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071C61C">
      <w:pPr>
        <w:spacing w:line="360" w:lineRule="auto"/>
        <w:rPr>
          <w:rFonts w:hint="eastAsia" w:eastAsia="仿宋_GB2312" w:asciiTheme="minorHAnsi" w:hAnsiTheme="minorHAnsi"/>
          <w:sz w:val="44"/>
          <w:szCs w:val="44"/>
          <w:lang w:val="en-GB"/>
        </w:rPr>
      </w:pPr>
    </w:p>
    <w:p w14:paraId="77C9D43E">
      <w:pPr>
        <w:spacing w:line="360" w:lineRule="auto"/>
        <w:jc w:val="center"/>
        <w:rPr>
          <w:rFonts w:hint="eastAsia" w:ascii="华文新魏" w:hAnsi="黑体" w:eastAsia="华文新魏"/>
          <w:b/>
          <w:kern w:val="15"/>
          <w:sz w:val="72"/>
          <w:szCs w:val="72"/>
        </w:rPr>
      </w:pPr>
      <w:r>
        <w:rPr>
          <w:rFonts w:hint="eastAsia" w:ascii="华文新魏" w:hAnsi="黑体" w:eastAsia="华文新魏"/>
          <w:b/>
          <w:kern w:val="15"/>
          <w:sz w:val="72"/>
          <w:szCs w:val="72"/>
        </w:rPr>
        <w:t>柳州市政府集中采购中心</w:t>
      </w:r>
    </w:p>
    <w:p w14:paraId="14E057F2">
      <w:pPr>
        <w:spacing w:line="360" w:lineRule="auto"/>
        <w:jc w:val="center"/>
        <w:rPr>
          <w:b/>
          <w:sz w:val="52"/>
          <w:szCs w:val="52"/>
        </w:rPr>
      </w:pPr>
      <w:r>
        <w:rPr>
          <w:rFonts w:hint="eastAsia" w:ascii="黑体" w:hAnsi="黑体" w:eastAsia="黑体"/>
          <w:sz w:val="72"/>
          <w:szCs w:val="72"/>
        </w:rPr>
        <mc:AlternateContent>
          <mc:Choice Requires="wps">
            <w:drawing>
              <wp:anchor distT="0" distB="0" distL="114300" distR="114300" simplePos="0" relativeHeight="251660288" behindDoc="0" locked="0" layoutInCell="1" allowOverlap="1">
                <wp:simplePos x="0" y="0"/>
                <wp:positionH relativeFrom="column">
                  <wp:posOffset>212725</wp:posOffset>
                </wp:positionH>
                <wp:positionV relativeFrom="paragraph">
                  <wp:posOffset>12700</wp:posOffset>
                </wp:positionV>
                <wp:extent cx="5306060" cy="0"/>
                <wp:effectExtent l="12700" t="18415" r="15240" b="10160"/>
                <wp:wrapNone/>
                <wp:docPr id="9" name="自选图形 14"/>
                <wp:cNvGraphicFramePr/>
                <a:graphic xmlns:a="http://schemas.openxmlformats.org/drawingml/2006/main">
                  <a:graphicData uri="http://schemas.microsoft.com/office/word/2010/wordprocessingShape">
                    <wps:wsp>
                      <wps:cNvCnPr>
                        <a:cxnSpLocks noChangeShapeType="1"/>
                      </wps:cNvCnPr>
                      <wps:spPr bwMode="auto">
                        <a:xfrm>
                          <a:off x="0" y="0"/>
                          <a:ext cx="5306060" cy="0"/>
                        </a:xfrm>
                        <a:prstGeom prst="straightConnector1">
                          <a:avLst/>
                        </a:prstGeom>
                        <a:noFill/>
                        <a:ln w="19050">
                          <a:solidFill>
                            <a:srgbClr val="000000"/>
                          </a:solidFill>
                          <a:round/>
                        </a:ln>
                      </wps:spPr>
                      <wps:bodyPr/>
                    </wps:wsp>
                  </a:graphicData>
                </a:graphic>
              </wp:anchor>
            </w:drawing>
          </mc:Choice>
          <mc:Fallback>
            <w:pict>
              <v:shape id="自选图形 14" o:spid="_x0000_s1026" o:spt="32" type="#_x0000_t32" style="position:absolute;left:0pt;margin-left:16.75pt;margin-top:1pt;height:0pt;width:417.8pt;z-index:251660288;mso-width-relative:page;mso-height-relative:page;" filled="f" stroked="t" coordsize="21600,21600" o:gfxdata="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muRd5dEA&#10;AAAGAQAADwAAAAAAAAABACAAAAAiAAAAZHJzL2Rvd25yZXYueG1sUEsBAhQAFAAAAAgAh07iQBz9&#10;KvztAQAAtwMAAA4AAAAAAAAAAQAgAAAAIAEAAGRycy9lMm9Eb2MueG1sUEsFBgAAAAAGAAYAWQEA&#10;AH8FAAAAAA==&#10;">
                <v:fill on="f" focussize="0,0"/>
                <v:stroke weight="1.5pt" color="#000000" joinstyle="round"/>
                <v:imagedata o:title=""/>
                <o:lock v:ext="edit" aspectratio="f"/>
              </v:shape>
            </w:pict>
          </mc:Fallback>
        </mc:AlternateContent>
      </w:r>
    </w:p>
    <w:p w14:paraId="7D9A977B">
      <w:pPr>
        <w:spacing w:line="800" w:lineRule="exact"/>
        <w:jc w:val="center"/>
        <w:rPr>
          <w:rFonts w:hint="eastAsia" w:ascii="华文中宋" w:hAnsi="华文中宋" w:eastAsia="华文中宋"/>
          <w:b/>
          <w:spacing w:val="200"/>
          <w:sz w:val="84"/>
          <w:szCs w:val="84"/>
        </w:rPr>
      </w:pPr>
    </w:p>
    <w:p w14:paraId="2EB24F35">
      <w:pPr>
        <w:jc w:val="center"/>
        <w:rPr>
          <w:rFonts w:hint="eastAsia" w:ascii="华文中宋" w:hAnsi="华文中宋" w:eastAsia="华文中宋"/>
          <w:b/>
          <w:spacing w:val="200"/>
          <w:sz w:val="144"/>
          <w:szCs w:val="144"/>
        </w:rPr>
      </w:pPr>
      <w:r>
        <w:rPr>
          <w:rFonts w:hint="eastAsia" w:ascii="华文中宋" w:hAnsi="华文中宋" w:eastAsia="华文中宋"/>
          <w:b/>
          <w:spacing w:val="200"/>
          <w:sz w:val="144"/>
          <w:szCs w:val="144"/>
        </w:rPr>
        <w:t>招标文件</w:t>
      </w:r>
    </w:p>
    <w:p w14:paraId="0995721C">
      <w:pPr>
        <w:spacing w:line="600" w:lineRule="exact"/>
        <w:jc w:val="center"/>
        <w:rPr>
          <w:b/>
          <w:sz w:val="44"/>
          <w:szCs w:val="44"/>
        </w:rPr>
      </w:pPr>
    </w:p>
    <w:p w14:paraId="45474515">
      <w:pPr>
        <w:spacing w:line="600" w:lineRule="exact"/>
        <w:rPr>
          <w:b/>
          <w:sz w:val="44"/>
          <w:szCs w:val="44"/>
        </w:rPr>
      </w:pPr>
    </w:p>
    <w:p w14:paraId="5A321736">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项目名称：</w:t>
      </w:r>
      <w:r>
        <w:rPr>
          <w:rFonts w:ascii="楷体" w:hAnsi="楷体" w:eastAsia="楷体"/>
          <w:b/>
          <w:color w:val="000000"/>
          <w:sz w:val="44"/>
          <w:szCs w:val="44"/>
        </w:rPr>
        <w:t>柳州高级中学AI教学中心设备采购</w:t>
      </w:r>
    </w:p>
    <w:p w14:paraId="03954D42">
      <w:pPr>
        <w:spacing w:line="800" w:lineRule="exact"/>
        <w:ind w:left="907" w:leftChars="432"/>
        <w:rPr>
          <w:rFonts w:hint="eastAsia" w:ascii="楷体" w:hAnsi="楷体" w:eastAsia="楷体"/>
          <w:b/>
          <w:sz w:val="44"/>
          <w:szCs w:val="44"/>
          <w:lang w:val="en-GB"/>
        </w:rPr>
      </w:pPr>
      <w:r>
        <w:rPr>
          <w:rFonts w:hint="eastAsia" w:ascii="楷体" w:hAnsi="楷体" w:eastAsia="楷体"/>
          <w:b/>
          <w:sz w:val="44"/>
          <w:szCs w:val="44"/>
        </w:rPr>
        <w:t>项目编号：</w:t>
      </w:r>
      <w:r>
        <w:rPr>
          <w:rFonts w:ascii="楷体" w:hAnsi="楷体" w:eastAsia="楷体"/>
          <w:b/>
          <w:color w:val="000000"/>
          <w:sz w:val="44"/>
          <w:szCs w:val="44"/>
        </w:rPr>
        <w:t>LZZC2026-G1-990498-LZSZ</w:t>
      </w:r>
    </w:p>
    <w:p w14:paraId="475FBFE0">
      <w:pPr>
        <w:spacing w:line="800" w:lineRule="exact"/>
        <w:rPr>
          <w:rFonts w:hint="eastAsia" w:ascii="楷体" w:hAnsi="楷体" w:eastAsia="楷体"/>
          <w:b/>
          <w:sz w:val="44"/>
          <w:szCs w:val="44"/>
        </w:rPr>
      </w:pPr>
    </w:p>
    <w:p w14:paraId="3F50D9AE">
      <w:pPr>
        <w:spacing w:line="800" w:lineRule="exact"/>
        <w:ind w:firstLine="663" w:firstLineChars="150"/>
        <w:jc w:val="center"/>
        <w:rPr>
          <w:rFonts w:hint="eastAsia" w:ascii="楷体" w:hAnsi="楷体" w:eastAsia="楷体"/>
          <w:b/>
          <w:sz w:val="44"/>
          <w:szCs w:val="44"/>
          <w:lang w:val="en-GB"/>
        </w:rPr>
      </w:pPr>
      <w:r>
        <w:rPr>
          <w:rFonts w:hint="eastAsia" w:ascii="楷体" w:hAnsi="楷体" w:eastAsia="楷体"/>
          <w:b/>
          <w:sz w:val="44"/>
          <w:szCs w:val="44"/>
        </w:rPr>
        <w:t>采购人：</w:t>
      </w:r>
      <w:r>
        <w:rPr>
          <w:rFonts w:ascii="楷体" w:hAnsi="楷体" w:eastAsia="楷体"/>
          <w:b/>
          <w:sz w:val="44"/>
          <w:szCs w:val="44"/>
        </w:rPr>
        <w:t>柳州市电化教育站</w:t>
      </w:r>
    </w:p>
    <w:p w14:paraId="1BBBB1DE">
      <w:pPr>
        <w:spacing w:line="800" w:lineRule="exact"/>
        <w:ind w:firstLine="658" w:firstLineChars="149"/>
        <w:rPr>
          <w:rFonts w:hint="eastAsia" w:ascii="楷体" w:hAnsi="楷体" w:eastAsia="楷体"/>
          <w:b/>
          <w:sz w:val="44"/>
          <w:szCs w:val="44"/>
        </w:rPr>
      </w:pPr>
      <w:r>
        <w:rPr>
          <w:rFonts w:hint="eastAsia" w:ascii="楷体" w:hAnsi="楷体" w:eastAsia="楷体"/>
          <w:b/>
          <w:sz w:val="44"/>
          <w:szCs w:val="44"/>
        </w:rPr>
        <w:t>采购代理机构：柳州市政府集中采购中心</w:t>
      </w:r>
    </w:p>
    <w:p w14:paraId="0AA35A55">
      <w:pPr>
        <w:spacing w:line="600" w:lineRule="exact"/>
        <w:jc w:val="center"/>
        <w:rPr>
          <w:rFonts w:hint="eastAsia" w:ascii="楷体" w:hAnsi="楷体" w:eastAsia="楷体"/>
          <w:b/>
          <w:sz w:val="44"/>
          <w:szCs w:val="44"/>
        </w:rPr>
      </w:pPr>
    </w:p>
    <w:p w14:paraId="37CD29B3">
      <w:pPr>
        <w:spacing w:line="600" w:lineRule="exact"/>
        <w:jc w:val="center"/>
        <w:rPr>
          <w:rFonts w:hint="eastAsia" w:ascii="楷体" w:hAnsi="楷体" w:eastAsia="楷体"/>
          <w:b/>
          <w:sz w:val="44"/>
          <w:szCs w:val="44"/>
        </w:rPr>
      </w:pPr>
      <w:r>
        <w:rPr>
          <w:rFonts w:ascii="楷体" w:hAnsi="楷体" w:eastAsia="楷体"/>
          <w:b/>
          <w:sz w:val="44"/>
          <w:szCs w:val="44"/>
        </w:rPr>
        <w:t>2026年</w:t>
      </w:r>
      <w:r>
        <w:rPr>
          <w:rFonts w:hint="eastAsia" w:ascii="楷体" w:hAnsi="楷体" w:eastAsia="楷体"/>
          <w:b/>
          <w:sz w:val="44"/>
          <w:szCs w:val="44"/>
          <w:lang w:val="en-US" w:eastAsia="zh-CN"/>
        </w:rPr>
        <w:t>9</w:t>
      </w:r>
      <w:r>
        <w:rPr>
          <w:rFonts w:ascii="楷体" w:hAnsi="楷体" w:eastAsia="楷体"/>
          <w:b/>
          <w:sz w:val="44"/>
          <w:szCs w:val="44"/>
        </w:rPr>
        <w:t>月</w:t>
      </w:r>
      <w:r>
        <w:rPr>
          <w:rFonts w:hint="eastAsia" w:ascii="楷体" w:hAnsi="楷体" w:eastAsia="楷体"/>
          <w:b/>
          <w:sz w:val="44"/>
          <w:szCs w:val="44"/>
          <w:lang w:val="en-US" w:eastAsia="zh-CN"/>
        </w:rPr>
        <w:t>1</w:t>
      </w:r>
      <w:r>
        <w:rPr>
          <w:rFonts w:ascii="楷体" w:hAnsi="楷体" w:eastAsia="楷体"/>
          <w:b/>
          <w:sz w:val="44"/>
          <w:szCs w:val="44"/>
        </w:rPr>
        <w:t>日</w:t>
      </w:r>
    </w:p>
    <w:p w14:paraId="59995ACD">
      <w:pPr>
        <w:widowControl/>
        <w:jc w:val="left"/>
        <w:rPr>
          <w:rFonts w:hint="eastAsia" w:ascii="楷体" w:hAnsi="楷体" w:eastAsia="楷体"/>
          <w:b/>
          <w:sz w:val="44"/>
          <w:szCs w:val="44"/>
        </w:rPr>
      </w:pPr>
    </w:p>
    <w:p w14:paraId="14DAB5DC">
      <w:pPr>
        <w:spacing w:line="360" w:lineRule="auto"/>
        <w:rPr>
          <w:b/>
          <w:sz w:val="52"/>
          <w:szCs w:val="52"/>
        </w:rPr>
        <w:sectPr>
          <w:headerReference r:id="rId3" w:type="first"/>
          <w:footerReference r:id="rId4" w:type="even"/>
          <w:pgSz w:w="11906" w:h="16838"/>
          <w:pgMar w:top="1440" w:right="1440" w:bottom="1440" w:left="1440" w:header="851" w:footer="992" w:gutter="0"/>
          <w:cols w:space="720" w:num="1"/>
          <w:docGrid w:type="lines" w:linePitch="312" w:charSpace="0"/>
        </w:sectPr>
      </w:pPr>
    </w:p>
    <w:p w14:paraId="381B3E9C">
      <w:pPr>
        <w:spacing w:line="360" w:lineRule="auto"/>
        <w:jc w:val="center"/>
        <w:rPr>
          <w:b/>
          <w:sz w:val="52"/>
          <w:szCs w:val="52"/>
        </w:rPr>
      </w:pPr>
    </w:p>
    <w:p w14:paraId="083DB341">
      <w:pPr>
        <w:spacing w:line="360" w:lineRule="auto"/>
        <w:jc w:val="center"/>
        <w:rPr>
          <w:b/>
          <w:sz w:val="52"/>
          <w:szCs w:val="52"/>
        </w:rPr>
      </w:pPr>
      <w:r>
        <w:rPr>
          <w:rFonts w:hint="eastAsia"/>
          <w:b/>
          <w:sz w:val="52"/>
          <w:szCs w:val="52"/>
        </w:rPr>
        <w:t>目  录</w:t>
      </w:r>
    </w:p>
    <w:p w14:paraId="42126A27">
      <w:pPr>
        <w:spacing w:line="360" w:lineRule="auto"/>
        <w:jc w:val="center"/>
        <w:rPr>
          <w:b/>
          <w:sz w:val="52"/>
          <w:szCs w:val="52"/>
        </w:rPr>
      </w:pPr>
    </w:p>
    <w:p w14:paraId="577F3415">
      <w:pPr>
        <w:pStyle w:val="33"/>
        <w:tabs>
          <w:tab w:val="right" w:leader="dot" w:pos="9746"/>
        </w:tabs>
        <w:spacing w:line="360" w:lineRule="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TOC \o "1-1" \h \z \u </w:instrText>
      </w:r>
      <w:r>
        <w:rPr>
          <w:rFonts w:hint="eastAsia" w:ascii="仿宋_GB2312" w:hAnsi="仿宋_GB2312" w:eastAsia="仿宋_GB2312" w:cs="仿宋_GB2312"/>
          <w:sz w:val="32"/>
          <w:szCs w:val="32"/>
        </w:rPr>
        <w:fldChar w:fldCharType="separate"/>
      </w:r>
      <w:r>
        <w:fldChar w:fldCharType="begin"/>
      </w:r>
      <w:r>
        <w:instrText xml:space="preserve"> HYPERLINK \l "_Toc29306" </w:instrText>
      </w:r>
      <w:r>
        <w:fldChar w:fldCharType="separate"/>
      </w:r>
      <w:r>
        <w:rPr>
          <w:rFonts w:hint="eastAsia" w:ascii="仿宋_GB2312" w:hAnsi="仿宋_GB2312" w:eastAsia="仿宋_GB2312" w:cs="仿宋_GB2312"/>
          <w:sz w:val="32"/>
          <w:szCs w:val="32"/>
        </w:rPr>
        <w:t>第一章 公开招标公告</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_Toc29306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45FDE245">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"_Toc13541" </w:instrText>
      </w:r>
      <w:r>
        <w:fldChar w:fldCharType="separate"/>
      </w:r>
      <w:r>
        <w:rPr>
          <w:rFonts w:hint="eastAsia" w:ascii="仿宋_GB2312" w:hAnsi="仿宋_GB2312" w:eastAsia="仿宋_GB2312" w:cs="仿宋_GB2312"/>
          <w:sz w:val="32"/>
          <w:szCs w:val="32"/>
        </w:rPr>
        <w:t>第二章 采购需求</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_Toc13541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5</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37DE4656">
      <w:pPr>
        <w:pStyle w:val="33"/>
        <w:tabs>
          <w:tab w:val="right" w:leader="dot" w:pos="9746"/>
        </w:tabs>
        <w:spacing w:line="360" w:lineRule="auto"/>
        <w:rPr>
          <w:rFonts w:hint="eastAsia" w:ascii="仿宋_GB2312" w:hAnsi="仿宋_GB2312" w:eastAsia="仿宋_GB2312" w:cs="仿宋_GB2312"/>
          <w:sz w:val="32"/>
          <w:szCs w:val="32"/>
          <w:lang w:eastAsia="zh-CN"/>
        </w:rPr>
      </w:pPr>
      <w:r>
        <w:fldChar w:fldCharType="begin"/>
      </w:r>
      <w:r>
        <w:instrText xml:space="preserve"> HYPERLINK \l "_Toc29711" </w:instrText>
      </w:r>
      <w:r>
        <w:fldChar w:fldCharType="separate"/>
      </w:r>
      <w:r>
        <w:rPr>
          <w:rFonts w:hint="eastAsia" w:ascii="仿宋_GB2312" w:hAnsi="仿宋_GB2312" w:eastAsia="仿宋_GB2312" w:cs="仿宋_GB2312"/>
          <w:sz w:val="32"/>
          <w:szCs w:val="32"/>
        </w:rPr>
        <w:t>第三章 投标人须知</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_Toc29711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83</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53D1FD7">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"_Toc27328" </w:instrText>
      </w:r>
      <w:r>
        <w:fldChar w:fldCharType="separate"/>
      </w:r>
      <w:r>
        <w:rPr>
          <w:rFonts w:hint="eastAsia" w:ascii="仿宋_GB2312" w:hAnsi="仿宋_GB2312" w:eastAsia="仿宋_GB2312" w:cs="仿宋_GB2312"/>
          <w:sz w:val="32"/>
          <w:szCs w:val="32"/>
        </w:rPr>
        <w:t>第四章 评标方法及评标标准</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_Toc27328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97</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74FB69B2">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"_Toc21458" </w:instrText>
      </w:r>
      <w:r>
        <w:fldChar w:fldCharType="separate"/>
      </w:r>
      <w:r>
        <w:rPr>
          <w:rFonts w:hint="eastAsia" w:ascii="仿宋_GB2312" w:hAnsi="仿宋_GB2312" w:eastAsia="仿宋_GB2312" w:cs="仿宋_GB2312"/>
          <w:sz w:val="32"/>
          <w:szCs w:val="32"/>
        </w:rPr>
        <w:t>第五章 合同主要条款格式及广西壮族自治区政府采购项目合同验收书格式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_Toc21458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114</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6C12D5C3">
      <w:pPr>
        <w:pStyle w:val="33"/>
        <w:tabs>
          <w:tab w:val="right" w:leader="dot" w:pos="9746"/>
        </w:tabs>
        <w:spacing w:line="360" w:lineRule="auto"/>
        <w:rPr>
          <w:rFonts w:hint="eastAsia" w:ascii="仿宋_GB2312" w:hAnsi="仿宋_GB2312" w:eastAsia="仿宋_GB2312" w:cs="仿宋_GB2312"/>
          <w:sz w:val="32"/>
          <w:szCs w:val="32"/>
        </w:rPr>
      </w:pPr>
      <w:r>
        <w:fldChar w:fldCharType="begin"/>
      </w:r>
      <w:r>
        <w:instrText xml:space="preserve"> HYPERLINK \l "_Toc13344" </w:instrText>
      </w:r>
      <w:r>
        <w:fldChar w:fldCharType="separate"/>
      </w:r>
      <w:r>
        <w:rPr>
          <w:rFonts w:hint="eastAsia" w:ascii="仿宋_GB2312" w:hAnsi="仿宋_GB2312" w:eastAsia="仿宋_GB2312" w:cs="仿宋_GB2312"/>
          <w:sz w:val="32"/>
          <w:szCs w:val="32"/>
        </w:rPr>
        <w:t>第六章 投标文件格式</w:t>
      </w:r>
      <w:r>
        <w:rPr>
          <w:rFonts w:hint="eastAsia" w:ascii="仿宋_GB2312" w:hAnsi="仿宋_GB2312" w:eastAsia="仿宋_GB2312" w:cs="仿宋_GB2312"/>
          <w:sz w:val="32"/>
          <w:szCs w:val="32"/>
        </w:rPr>
        <w:tab/>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PAGEREF _Toc13344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122</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fldChar w:fldCharType="end"/>
      </w:r>
    </w:p>
    <w:p w14:paraId="299F7CAC">
      <w:pPr>
        <w:pStyle w:val="33"/>
        <w:tabs>
          <w:tab w:val="right" w:leader="dot" w:pos="9016"/>
        </w:tabs>
        <w:spacing w:line="360" w:lineRule="auto"/>
        <w:rPr>
          <w:rFonts w:hint="eastAsia" w:ascii="仿宋_GB2312" w:hAnsi="宋体" w:eastAsia="仿宋_GB2312"/>
          <w:b w:val="0"/>
          <w:bCs w:val="0"/>
          <w:caps w:val="0"/>
          <w:sz w:val="32"/>
          <w:szCs w:val="32"/>
        </w:rPr>
      </w:pPr>
      <w:r>
        <w:rPr>
          <w:rFonts w:hint="eastAsia" w:ascii="仿宋_GB2312" w:hAnsi="仿宋_GB2312" w:eastAsia="仿宋_GB2312" w:cs="仿宋_GB2312"/>
          <w:sz w:val="32"/>
          <w:szCs w:val="32"/>
        </w:rPr>
        <w:fldChar w:fldCharType="end"/>
      </w:r>
      <w:r>
        <w:rPr>
          <w:rFonts w:hint="eastAsia" w:ascii="仿宋_GB2312" w:hAnsi="宋体" w:eastAsia="仿宋_GB2312"/>
          <w:b w:val="0"/>
          <w:bCs w:val="0"/>
          <w:caps w:val="0"/>
          <w:sz w:val="32"/>
          <w:szCs w:val="32"/>
        </w:rPr>
        <w:t xml:space="preserve"> </w:t>
      </w:r>
    </w:p>
    <w:p w14:paraId="667E9C70"/>
    <w:p w14:paraId="2244593E"/>
    <w:p w14:paraId="33207039"/>
    <w:p w14:paraId="7E7E063B"/>
    <w:p w14:paraId="43C2093C"/>
    <w:p w14:paraId="05E909C2"/>
    <w:p w14:paraId="58280B7A"/>
    <w:p w14:paraId="134D2369"/>
    <w:p w14:paraId="11542FB1"/>
    <w:p w14:paraId="65B643C8"/>
    <w:p w14:paraId="1C534F7D"/>
    <w:p w14:paraId="431D1D3E">
      <w:pPr>
        <w:widowControl/>
        <w:jc w:val="left"/>
      </w:pPr>
    </w:p>
    <w:p w14:paraId="20051530"/>
    <w:p w14:paraId="4EF79B28"/>
    <w:p w14:paraId="39E055E4">
      <w:pPr>
        <w:sectPr>
          <w:headerReference r:id="rId5" w:type="default"/>
          <w:footerReference r:id="rId6" w:type="default"/>
          <w:pgSz w:w="11906" w:h="16838"/>
          <w:pgMar w:top="1440" w:right="1440" w:bottom="1440" w:left="1440" w:header="851" w:footer="992" w:gutter="0"/>
          <w:cols w:space="720" w:num="1"/>
          <w:docGrid w:linePitch="312" w:charSpace="0"/>
        </w:sectPr>
      </w:pPr>
    </w:p>
    <w:p w14:paraId="2DD5D077">
      <w:pPr>
        <w:rPr>
          <w:lang w:val="en-GB"/>
        </w:rPr>
      </w:pPr>
    </w:p>
    <w:p w14:paraId="7EAB2524">
      <w:pPr>
        <w:pStyle w:val="3"/>
        <w:spacing w:line="276" w:lineRule="auto"/>
        <w:jc w:val="center"/>
        <w:rPr>
          <w:sz w:val="32"/>
          <w:szCs w:val="32"/>
        </w:rPr>
      </w:pPr>
      <w:bookmarkStart w:id="0" w:name="_Toc29306"/>
      <w:r>
        <w:rPr>
          <w:rFonts w:hint="eastAsia"/>
          <w:sz w:val="32"/>
          <w:szCs w:val="32"/>
        </w:rPr>
        <w:t>第一章 公开招标公告</w:t>
      </w:r>
      <w:bookmarkEnd w:id="0"/>
    </w:p>
    <w:p w14:paraId="222E60FE">
      <w:pPr>
        <w:pStyle w:val="4"/>
        <w:spacing w:line="240" w:lineRule="auto"/>
        <w:ind w:right="-21" w:rightChars="-10" w:firstLine="711" w:firstLineChars="253"/>
        <w:jc w:val="both"/>
        <w:rPr>
          <w:rFonts w:hint="eastAsia" w:ascii="仿宋_GB2312" w:hAnsi="仿宋_GB2312" w:eastAsia="仿宋_GB2312" w:cs="仿宋_GB2312"/>
          <w:bCs/>
          <w:sz w:val="28"/>
          <w:szCs w:val="28"/>
        </w:rPr>
      </w:pPr>
      <w:r>
        <w:rPr>
          <w:rFonts w:hint="eastAsia" w:ascii="仿宋_GB2312" w:hAnsi="仿宋_GB2312" w:eastAsia="仿宋_GB2312" w:cs="仿宋_GB2312"/>
          <w:bCs/>
          <w:sz w:val="28"/>
          <w:szCs w:val="28"/>
        </w:rPr>
        <w:t>项目概况</w:t>
      </w:r>
    </w:p>
    <w:p w14:paraId="4D14E71B">
      <w:pPr>
        <w:spacing w:line="400" w:lineRule="exact"/>
        <w:ind w:right="-21" w:rightChars="-10" w:firstLine="555"/>
        <w:rPr>
          <w:rFonts w:ascii="仿宋_GB2312" w:eastAsia="仿宋_GB2312"/>
          <w:sz w:val="28"/>
          <w:szCs w:val="28"/>
          <w:u w:val="single"/>
        </w:rPr>
      </w:pPr>
      <w:bookmarkStart w:id="1" w:name="_Hlk50568865"/>
      <w:r>
        <w:rPr>
          <w:rFonts w:ascii="仿宋_GB2312" w:eastAsia="仿宋_GB2312"/>
          <w:sz w:val="28"/>
          <w:szCs w:val="28"/>
        </w:rPr>
        <w:t>柳州高级中学AI教学中心设备采购</w:t>
      </w:r>
      <w:r>
        <w:rPr>
          <w:rFonts w:hint="eastAsia" w:ascii="仿宋_GB2312" w:eastAsia="仿宋_GB2312"/>
          <w:sz w:val="28"/>
          <w:szCs w:val="28"/>
        </w:rPr>
        <w:t>项目的潜在</w:t>
      </w:r>
      <w:bookmarkStart w:id="2" w:name="_Hlk93681477"/>
      <w:r>
        <w:rPr>
          <w:rFonts w:hint="eastAsia" w:ascii="仿宋_GB2312" w:eastAsia="仿宋_GB2312"/>
          <w:sz w:val="28"/>
          <w:szCs w:val="28"/>
        </w:rPr>
        <w:t>投标人应在</w:t>
      </w:r>
      <w:bookmarkEnd w:id="2"/>
      <w:r>
        <w:rPr>
          <w:rFonts w:hint="eastAsia" w:ascii="仿宋_GB2312" w:eastAsia="仿宋_GB2312"/>
          <w:sz w:val="28"/>
          <w:szCs w:val="28"/>
        </w:rPr>
        <w:t>广西政府采购云平台（https://www.gcy.zfcg.gxzf.gov.cn/）获取招标文件，并于</w:t>
      </w:r>
      <w:r>
        <w:rPr>
          <w:rFonts w:ascii="仿宋_GB2312" w:eastAsia="仿宋_GB2312"/>
          <w:sz w:val="28"/>
          <w:szCs w:val="28"/>
        </w:rPr>
        <w:t>2026年</w:t>
      </w:r>
      <w:r>
        <w:rPr>
          <w:rFonts w:hint="eastAsia" w:ascii="仿宋_GB2312" w:eastAsia="仿宋_GB2312"/>
          <w:sz w:val="28"/>
          <w:szCs w:val="28"/>
          <w:lang w:val="en-US" w:eastAsia="zh-CN"/>
        </w:rPr>
        <w:t>10</w:t>
      </w:r>
      <w:r>
        <w:rPr>
          <w:rFonts w:ascii="仿宋_GB2312" w:eastAsia="仿宋_GB2312"/>
          <w:sz w:val="28"/>
          <w:szCs w:val="28"/>
        </w:rPr>
        <w:t>月</w:t>
      </w:r>
      <w:r>
        <w:rPr>
          <w:rFonts w:hint="eastAsia" w:ascii="仿宋_GB2312" w:eastAsia="仿宋_GB2312"/>
          <w:sz w:val="28"/>
          <w:szCs w:val="28"/>
          <w:lang w:val="en-US" w:eastAsia="zh-CN"/>
        </w:rPr>
        <w:t>19</w:t>
      </w:r>
      <w:r>
        <w:rPr>
          <w:rFonts w:ascii="仿宋_GB2312" w:eastAsia="仿宋_GB2312"/>
          <w:sz w:val="28"/>
          <w:szCs w:val="28"/>
        </w:rPr>
        <w:t>日 09:20</w:t>
      </w:r>
      <w:r>
        <w:rPr>
          <w:rFonts w:hint="eastAsia" w:ascii="仿宋_GB2312" w:eastAsia="仿宋_GB2312"/>
          <w:sz w:val="28"/>
          <w:szCs w:val="28"/>
        </w:rPr>
        <w:t>（北京时间）前</w:t>
      </w:r>
      <w:bookmarkEnd w:id="1"/>
      <w:r>
        <w:rPr>
          <w:rFonts w:hint="eastAsia" w:ascii="仿宋_GB2312" w:hAnsi="仿宋_GB2312" w:eastAsia="仿宋_GB2312" w:cs="仿宋_GB2312"/>
          <w:sz w:val="28"/>
          <w:szCs w:val="28"/>
        </w:rPr>
        <w:t>在线提交投标文件</w:t>
      </w:r>
      <w:r>
        <w:rPr>
          <w:rFonts w:hint="eastAsia" w:ascii="仿宋_GB2312" w:eastAsia="仿宋_GB2312"/>
          <w:sz w:val="28"/>
          <w:szCs w:val="28"/>
        </w:rPr>
        <w:t>。</w:t>
      </w:r>
    </w:p>
    <w:p w14:paraId="35F2D8F7">
      <w:pPr>
        <w:spacing w:line="400" w:lineRule="exact"/>
        <w:ind w:right="-21" w:rightChars="-10" w:firstLine="562" w:firstLineChars="200"/>
        <w:rPr>
          <w:rFonts w:hint="eastAsia" w:ascii="黑体" w:hAnsi="黑体" w:eastAsia="黑体" w:cs="黑体"/>
          <w:b/>
          <w:bCs/>
          <w:sz w:val="28"/>
          <w:szCs w:val="28"/>
        </w:rPr>
      </w:pPr>
      <w:bookmarkStart w:id="3" w:name="_Hlk53504521"/>
      <w:r>
        <w:rPr>
          <w:rFonts w:hint="eastAsia" w:ascii="黑体" w:hAnsi="黑体" w:eastAsia="黑体" w:cs="黑体"/>
          <w:b/>
          <w:bCs/>
          <w:sz w:val="28"/>
          <w:szCs w:val="28"/>
        </w:rPr>
        <w:t>一、项目基本情况</w:t>
      </w:r>
    </w:p>
    <w:bookmarkEnd w:id="3"/>
    <w:p w14:paraId="407A539F">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项目编号：</w:t>
      </w:r>
      <w:r>
        <w:rPr>
          <w:rFonts w:ascii="仿宋_GB2312" w:eastAsia="仿宋_GB2312"/>
          <w:sz w:val="28"/>
          <w:szCs w:val="28"/>
        </w:rPr>
        <w:t>LZZC2026-G1-990498-LZSZ</w:t>
      </w:r>
    </w:p>
    <w:p w14:paraId="2FE6D713">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项目名称：</w:t>
      </w:r>
      <w:r>
        <w:rPr>
          <w:rFonts w:ascii="仿宋_GB2312" w:eastAsia="仿宋_GB2312"/>
          <w:sz w:val="28"/>
          <w:szCs w:val="28"/>
        </w:rPr>
        <w:t>柳州高级中学AI教学中心设备采购</w:t>
      </w:r>
    </w:p>
    <w:p w14:paraId="45D5C559">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预算总金额</w:t>
      </w:r>
      <w:bookmarkStart w:id="4" w:name="_Hlk50568912"/>
      <w:r>
        <w:rPr>
          <w:rFonts w:hint="eastAsia" w:ascii="仿宋_GB2312" w:eastAsia="仿宋_GB2312"/>
          <w:sz w:val="28"/>
          <w:szCs w:val="28"/>
        </w:rPr>
        <w:t>（元）</w:t>
      </w:r>
      <w:bookmarkEnd w:id="4"/>
      <w:r>
        <w:rPr>
          <w:rFonts w:hint="eastAsia" w:ascii="仿宋_GB2312" w:eastAsia="仿宋_GB2312"/>
          <w:sz w:val="28"/>
          <w:szCs w:val="28"/>
        </w:rPr>
        <w:t>：</w:t>
      </w:r>
      <w:r>
        <w:rPr>
          <w:rFonts w:ascii="仿宋_GB2312" w:hAnsi="Times New Roman" w:eastAsia="仿宋_GB2312"/>
          <w:sz w:val="28"/>
          <w:szCs w:val="28"/>
        </w:rPr>
        <w:t>3000000</w:t>
      </w:r>
    </w:p>
    <w:p w14:paraId="3500D22E">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采购需求：</w:t>
      </w:r>
    </w:p>
    <w:p w14:paraId="7B8C094C">
      <w:pPr>
        <w:spacing w:line="400" w:lineRule="exact"/>
        <w:ind w:right="-21" w:rightChars="-10"/>
        <w:rPr>
          <w:rFonts w:ascii="仿宋_GB2312" w:eastAsia="仿宋_GB2312"/>
          <w:b/>
          <w:sz w:val="28"/>
          <w:szCs w:val="28"/>
        </w:rPr>
      </w:pPr>
      <w:r>
        <w:rPr>
          <w:rFonts w:ascii="仿宋" w:hAnsi="仿宋" w:eastAsia="仿宋"/>
          <w:bCs/>
          <w:sz w:val="24"/>
        </w:rPr>
        <w:t>标项名称：柳州高级中学AI教学中心设备采购</w:t>
      </w:r>
      <w:r>
        <w:rPr>
          <w:rFonts w:ascii="仿宋" w:hAnsi="仿宋" w:eastAsia="仿宋"/>
          <w:bCs/>
          <w:sz w:val="24"/>
        </w:rPr>
        <w:cr/>
      </w:r>
      <w:r>
        <w:rPr>
          <w:rFonts w:ascii="仿宋" w:hAnsi="仿宋" w:eastAsia="仿宋"/>
          <w:bCs/>
          <w:sz w:val="24"/>
        </w:rPr>
        <w:t>数量：1</w:t>
      </w:r>
      <w:r>
        <w:rPr>
          <w:rFonts w:ascii="仿宋" w:hAnsi="仿宋" w:eastAsia="仿宋"/>
          <w:bCs/>
          <w:sz w:val="24"/>
        </w:rPr>
        <w:cr/>
      </w:r>
      <w:r>
        <w:rPr>
          <w:rFonts w:ascii="仿宋" w:hAnsi="仿宋" w:eastAsia="仿宋"/>
          <w:bCs/>
          <w:sz w:val="24"/>
        </w:rPr>
        <w:t>预算金额（元）：3000000</w:t>
      </w:r>
      <w:r>
        <w:rPr>
          <w:rFonts w:ascii="仿宋" w:hAnsi="仿宋" w:eastAsia="仿宋"/>
          <w:bCs/>
          <w:sz w:val="24"/>
        </w:rPr>
        <w:cr/>
      </w:r>
      <w:r>
        <w:rPr>
          <w:rFonts w:ascii="仿宋" w:hAnsi="仿宋" w:eastAsia="仿宋"/>
          <w:bCs/>
          <w:sz w:val="24"/>
        </w:rPr>
        <w:t>简要规格描述或项目基本概况介绍、用途：柳州高级中学AI教学中心设备采购（具体内容详见招标文件第二章《采购需求》）</w:t>
      </w:r>
      <w:r>
        <w:rPr>
          <w:rFonts w:ascii="仿宋" w:hAnsi="仿宋" w:eastAsia="仿宋"/>
          <w:bCs/>
          <w:sz w:val="24"/>
        </w:rPr>
        <w:cr/>
      </w:r>
      <w:r>
        <w:rPr>
          <w:rFonts w:ascii="仿宋" w:hAnsi="仿宋" w:eastAsia="仿宋"/>
          <w:bCs/>
          <w:sz w:val="24"/>
        </w:rPr>
        <w:t>最高限价（如有）：3000000</w:t>
      </w:r>
      <w:r>
        <w:rPr>
          <w:rFonts w:ascii="仿宋" w:hAnsi="仿宋" w:eastAsia="仿宋"/>
          <w:bCs/>
          <w:sz w:val="24"/>
        </w:rPr>
        <w:cr/>
      </w:r>
      <w:r>
        <w:rPr>
          <w:rFonts w:ascii="仿宋" w:hAnsi="仿宋" w:eastAsia="仿宋"/>
          <w:bCs/>
          <w:sz w:val="24"/>
        </w:rPr>
        <w:t>合同履约期限：自签订合同之日起60日内安装调试完毕，验收合格并交付使用。</w:t>
      </w:r>
      <w:r>
        <w:rPr>
          <w:rFonts w:hint="eastAsia" w:ascii="仿宋" w:hAnsi="仿宋" w:eastAsia="仿宋"/>
          <w:bCs/>
          <w:sz w:val="24"/>
          <w:highlight w:val="yellow"/>
        </w:rPr>
        <w:t>但因前置施工工序延误、其他</w:t>
      </w:r>
      <w:r>
        <w:rPr>
          <w:rFonts w:hint="eastAsia" w:ascii="仿宋" w:hAnsi="仿宋" w:eastAsia="仿宋"/>
          <w:bCs/>
          <w:sz w:val="24"/>
          <w:highlight w:val="yellow"/>
          <w:lang w:eastAsia="zh-CN"/>
        </w:rPr>
        <w:t>第三方</w:t>
      </w:r>
      <w:r>
        <w:rPr>
          <w:rFonts w:hint="eastAsia" w:ascii="仿宋" w:hAnsi="仿宋" w:eastAsia="仿宋"/>
          <w:bCs/>
          <w:sz w:val="24"/>
          <w:highlight w:val="yellow"/>
        </w:rPr>
        <w:t>原因或不可抗力导致</w:t>
      </w:r>
      <w:r>
        <w:rPr>
          <w:rFonts w:hint="eastAsia" w:ascii="仿宋" w:hAnsi="仿宋" w:eastAsia="仿宋"/>
          <w:bCs/>
          <w:sz w:val="24"/>
          <w:highlight w:val="yellow"/>
          <w:lang w:eastAsia="zh-CN"/>
        </w:rPr>
        <w:t>中标人</w:t>
      </w:r>
      <w:r>
        <w:rPr>
          <w:rFonts w:hint="eastAsia" w:ascii="仿宋" w:hAnsi="仿宋" w:eastAsia="仿宋"/>
          <w:bCs/>
          <w:sz w:val="24"/>
          <w:highlight w:val="yellow"/>
        </w:rPr>
        <w:t>无法按时进场或无法正常施工的，工期相应顺延，顺延天数以实际延误天数为准。</w:t>
      </w:r>
      <w:r>
        <w:rPr>
          <w:rFonts w:hint="eastAsia" w:ascii="仿宋" w:hAnsi="仿宋" w:eastAsia="仿宋"/>
          <w:bCs/>
          <w:sz w:val="24"/>
          <w:highlight w:val="yellow"/>
          <w:lang w:eastAsia="zh-CN"/>
        </w:rPr>
        <w:t>中标人</w:t>
      </w:r>
      <w:r>
        <w:rPr>
          <w:rFonts w:hint="eastAsia" w:ascii="仿宋" w:hAnsi="仿宋" w:eastAsia="仿宋"/>
          <w:bCs/>
          <w:sz w:val="24"/>
          <w:highlight w:val="yellow"/>
        </w:rPr>
        <w:t>应在延误事由发生后3日内书面通知采购人，经采购人确认后调整交付日期</w:t>
      </w:r>
      <w:r>
        <w:rPr>
          <w:rFonts w:hint="eastAsia" w:ascii="仿宋_GB2312" w:hAnsi="仿宋_GB2312" w:eastAsia="仿宋_GB2312" w:cs="仿宋_GB2312"/>
          <w:bCs/>
          <w:color w:val="000000"/>
          <w:sz w:val="24"/>
          <w:lang w:eastAsia="zh-CN"/>
        </w:rPr>
        <w:t>。</w:t>
      </w:r>
      <w:r>
        <w:rPr>
          <w:rFonts w:ascii="仿宋" w:hAnsi="仿宋" w:eastAsia="仿宋"/>
          <w:bCs/>
          <w:sz w:val="24"/>
        </w:rPr>
        <w:cr/>
      </w:r>
      <w:r>
        <w:rPr>
          <w:rFonts w:ascii="仿宋" w:hAnsi="仿宋" w:eastAsia="仿宋"/>
          <w:bCs/>
          <w:sz w:val="24"/>
        </w:rPr>
        <w:t>本标项（否）接受联合体投标</w:t>
      </w:r>
      <w:r>
        <w:rPr>
          <w:rFonts w:ascii="仿宋" w:hAnsi="仿宋" w:eastAsia="仿宋"/>
          <w:bCs/>
          <w:sz w:val="24"/>
        </w:rPr>
        <w:cr/>
      </w:r>
      <w:r>
        <w:rPr>
          <w:rFonts w:ascii="仿宋" w:hAnsi="仿宋" w:eastAsia="仿宋"/>
          <w:bCs/>
          <w:sz w:val="24"/>
        </w:rPr>
        <w:t>备注：本项目为线上电子招标项目，</w:t>
      </w:r>
      <w:r>
        <w:rPr>
          <w:rFonts w:ascii="仿宋" w:hAnsi="仿宋" w:eastAsia="仿宋"/>
          <w:b/>
          <w:sz w:val="24"/>
        </w:rPr>
        <w:t>采用远程异地评标，</w:t>
      </w:r>
      <w:r>
        <w:rPr>
          <w:rFonts w:ascii="仿宋" w:hAnsi="仿宋" w:eastAsia="仿宋"/>
          <w:bCs/>
          <w:sz w:val="24"/>
        </w:rPr>
        <w:t>有意向参与本项目的供应商应当做好参与全流程电子招投标交易的充分准备。</w:t>
      </w:r>
    </w:p>
    <w:p w14:paraId="464D999A">
      <w:pPr>
        <w:pStyle w:val="4"/>
        <w:spacing w:line="400" w:lineRule="exact"/>
        <w:ind w:right="-21" w:rightChars="-10" w:firstLine="562" w:firstLineChars="200"/>
        <w:jc w:val="both"/>
        <w:rPr>
          <w:rFonts w:hint="eastAsia" w:ascii="黑体" w:hAnsi="黑体" w:eastAsia="黑体" w:cs="黑体"/>
          <w:bCs/>
          <w:sz w:val="28"/>
          <w:szCs w:val="28"/>
        </w:rPr>
      </w:pPr>
      <w:bookmarkStart w:id="5" w:name="_Hlk53504529"/>
      <w:r>
        <w:rPr>
          <w:rFonts w:hint="eastAsia" w:ascii="黑体" w:hAnsi="黑体" w:eastAsia="黑体" w:cs="黑体"/>
          <w:bCs/>
          <w:sz w:val="28"/>
          <w:szCs w:val="28"/>
        </w:rPr>
        <w:t>二、申请人的资格要求</w:t>
      </w:r>
    </w:p>
    <w:bookmarkEnd w:id="5"/>
    <w:p w14:paraId="2A0A7F7D">
      <w:pPr>
        <w:pStyle w:val="7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1.</w:t>
      </w:r>
      <w:r>
        <w:rPr>
          <w:rFonts w:hint="eastAsia" w:ascii="仿宋_GB2312" w:eastAsia="仿宋_GB2312"/>
          <w:sz w:val="28"/>
          <w:szCs w:val="28"/>
        </w:rPr>
        <w:t>满足《中华人民共和国政府采购法》第二十二条规定；</w:t>
      </w:r>
    </w:p>
    <w:p w14:paraId="6FC9B061">
      <w:pPr>
        <w:pStyle w:val="73"/>
        <w:spacing w:line="400" w:lineRule="exact"/>
        <w:ind w:right="-21" w:rightChars="-10" w:firstLine="560"/>
        <w:rPr>
          <w:rFonts w:ascii="仿宋_GB2312" w:eastAsia="仿宋_GB2312"/>
          <w:sz w:val="28"/>
          <w:szCs w:val="28"/>
        </w:rPr>
      </w:pP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eastAsia="仿宋_GB2312"/>
          <w:sz w:val="28"/>
          <w:szCs w:val="28"/>
        </w:rPr>
        <w:t>落实政府采购政策需满足的资格要求：</w:t>
      </w:r>
      <w:r>
        <w:rPr>
          <w:rFonts w:ascii="仿宋_GB2312" w:eastAsia="仿宋_GB2312"/>
          <w:sz w:val="28"/>
          <w:szCs w:val="28"/>
        </w:rPr>
        <w:t>无；</w:t>
      </w:r>
    </w:p>
    <w:p w14:paraId="27806E81">
      <w:pPr>
        <w:pStyle w:val="73"/>
        <w:spacing w:line="400" w:lineRule="exact"/>
        <w:ind w:right="-21" w:rightChars="-10" w:firstLine="560"/>
        <w:rPr>
          <w:rFonts w:ascii="仿宋_GB2312" w:eastAsia="仿宋_GB2312"/>
          <w:sz w:val="28"/>
          <w:szCs w:val="28"/>
        </w:rPr>
      </w:pPr>
      <w:r>
        <w:rPr>
          <w:rFonts w:hint="eastAsia" w:ascii="仿宋_GB2312" w:eastAsia="仿宋_GB2312"/>
          <w:sz w:val="28"/>
          <w:szCs w:val="28"/>
        </w:rPr>
        <w:t>3</w:t>
      </w:r>
      <w:r>
        <w:rPr>
          <w:rFonts w:ascii="仿宋_GB2312" w:eastAsia="仿宋_GB2312"/>
          <w:sz w:val="28"/>
          <w:szCs w:val="28"/>
        </w:rPr>
        <w:t>.</w:t>
      </w:r>
      <w:r>
        <w:rPr>
          <w:rFonts w:hint="eastAsia" w:ascii="仿宋_GB2312" w:eastAsia="仿宋_GB2312"/>
          <w:sz w:val="28"/>
          <w:szCs w:val="28"/>
        </w:rPr>
        <w:t>本项目的特定资格要求：</w:t>
      </w:r>
      <w:r>
        <w:rPr>
          <w:rFonts w:ascii="仿宋_GB2312" w:eastAsia="仿宋_GB2312"/>
          <w:sz w:val="28"/>
          <w:szCs w:val="28"/>
        </w:rPr>
        <w:t>无；</w:t>
      </w:r>
    </w:p>
    <w:p w14:paraId="051C08AF">
      <w:pPr>
        <w:pStyle w:val="4"/>
        <w:spacing w:line="400" w:lineRule="exact"/>
        <w:ind w:right="-21" w:rightChars="-10" w:firstLine="562" w:firstLineChars="200"/>
        <w:jc w:val="both"/>
        <w:rPr>
          <w:rFonts w:hint="eastAsia" w:ascii="黑体" w:hAnsi="黑体" w:eastAsia="黑体" w:cs="黑体"/>
          <w:bCs/>
          <w:sz w:val="28"/>
          <w:szCs w:val="28"/>
        </w:rPr>
      </w:pPr>
      <w:bookmarkStart w:id="6" w:name="_Toc35393792"/>
      <w:bookmarkStart w:id="7" w:name="_Toc35393623"/>
      <w:r>
        <w:rPr>
          <w:rFonts w:hint="eastAsia" w:ascii="黑体" w:hAnsi="黑体" w:eastAsia="黑体" w:cs="黑体"/>
          <w:bCs/>
          <w:sz w:val="28"/>
          <w:szCs w:val="28"/>
        </w:rPr>
        <w:t>三、</w:t>
      </w:r>
      <w:bookmarkEnd w:id="6"/>
      <w:bookmarkEnd w:id="7"/>
      <w:r>
        <w:rPr>
          <w:rFonts w:hint="eastAsia" w:ascii="黑体" w:hAnsi="黑体" w:eastAsia="黑体" w:cs="黑体"/>
          <w:bCs/>
          <w:sz w:val="28"/>
          <w:szCs w:val="28"/>
        </w:rPr>
        <w:t>获取招标文件</w:t>
      </w:r>
    </w:p>
    <w:p w14:paraId="1F85CF6F">
      <w:pPr>
        <w:spacing w:line="400" w:lineRule="exact"/>
        <w:ind w:right="-21" w:rightChars="-10" w:firstLine="540"/>
        <w:rPr>
          <w:rFonts w:ascii="仿宋_GB2312" w:hAnsi="Calibri" w:eastAsia="仿宋_GB2312"/>
          <w:sz w:val="28"/>
          <w:szCs w:val="28"/>
        </w:rPr>
      </w:pPr>
      <w:r>
        <w:rPr>
          <w:rFonts w:hint="eastAsia" w:ascii="仿宋_GB2312" w:eastAsia="仿宋_GB2312"/>
          <w:sz w:val="28"/>
          <w:szCs w:val="28"/>
        </w:rPr>
        <w:t>时间：</w:t>
      </w:r>
      <w:r>
        <w:rPr>
          <w:rFonts w:hint="eastAsia" w:ascii="仿宋_GB2312" w:hAnsi="Calibri" w:eastAsia="仿宋_GB2312"/>
          <w:sz w:val="28"/>
          <w:szCs w:val="28"/>
        </w:rPr>
        <w:t>2026年</w:t>
      </w:r>
      <w:r>
        <w:rPr>
          <w:rFonts w:hint="eastAsia" w:ascii="仿宋_GB2312" w:hAnsi="Calibri" w:eastAsia="仿宋_GB2312"/>
          <w:sz w:val="28"/>
          <w:szCs w:val="28"/>
          <w:lang w:val="en-US" w:eastAsia="zh-CN"/>
        </w:rPr>
        <w:t>9</w:t>
      </w:r>
      <w:r>
        <w:rPr>
          <w:rFonts w:hint="eastAsia" w:ascii="仿宋_GB2312" w:hAnsi="Calibri" w:eastAsia="仿宋_GB2312"/>
          <w:sz w:val="28"/>
          <w:szCs w:val="28"/>
        </w:rPr>
        <w:t>月</w:t>
      </w:r>
      <w:r>
        <w:rPr>
          <w:rFonts w:hint="eastAsia" w:ascii="仿宋_GB2312" w:hAnsi="Calibri" w:eastAsia="仿宋_GB2312"/>
          <w:sz w:val="28"/>
          <w:szCs w:val="28"/>
          <w:lang w:val="en-US" w:eastAsia="zh-CN"/>
        </w:rPr>
        <w:t>1</w:t>
      </w:r>
      <w:r>
        <w:rPr>
          <w:rFonts w:hint="eastAsia" w:ascii="仿宋_GB2312" w:hAnsi="Calibri" w:eastAsia="仿宋_GB2312"/>
          <w:sz w:val="28"/>
          <w:szCs w:val="28"/>
        </w:rPr>
        <w:t>日</w:t>
      </w:r>
      <w:r>
        <w:rPr>
          <w:rFonts w:hint="eastAsia" w:ascii="仿宋_GB2312" w:eastAsia="仿宋_GB2312"/>
          <w:sz w:val="28"/>
          <w:szCs w:val="28"/>
        </w:rPr>
        <w:t>至</w:t>
      </w:r>
      <w:r>
        <w:rPr>
          <w:rFonts w:hint="eastAsia" w:ascii="仿宋_GB2312" w:hAnsi="Calibri" w:eastAsia="仿宋_GB2312"/>
          <w:sz w:val="28"/>
          <w:szCs w:val="28"/>
        </w:rPr>
        <w:t>2026</w:t>
      </w:r>
      <w:r>
        <w:rPr>
          <w:rFonts w:ascii="仿宋_GB2312" w:hAnsi="Calibri" w:eastAsia="仿宋_GB2312"/>
          <w:sz w:val="28"/>
          <w:szCs w:val="28"/>
        </w:rPr>
        <w:t>年</w:t>
      </w:r>
      <w:r>
        <w:rPr>
          <w:rFonts w:hint="eastAsia" w:ascii="仿宋_GB2312" w:hAnsi="Calibri" w:eastAsia="仿宋_GB2312"/>
          <w:sz w:val="28"/>
          <w:szCs w:val="28"/>
          <w:lang w:val="en-US" w:eastAsia="zh-CN"/>
        </w:rPr>
        <w:t>9</w:t>
      </w:r>
      <w:r>
        <w:rPr>
          <w:rFonts w:ascii="仿宋_GB2312" w:hAnsi="Calibri" w:eastAsia="仿宋_GB2312"/>
          <w:sz w:val="28"/>
          <w:szCs w:val="28"/>
        </w:rPr>
        <w:t>月</w:t>
      </w:r>
      <w:r>
        <w:rPr>
          <w:rFonts w:hint="eastAsia" w:ascii="仿宋_GB2312" w:hAnsi="Calibri" w:eastAsia="仿宋_GB2312"/>
          <w:sz w:val="28"/>
          <w:szCs w:val="28"/>
          <w:lang w:val="en-US" w:eastAsia="zh-CN"/>
        </w:rPr>
        <w:t>9</w:t>
      </w:r>
      <w:r>
        <w:rPr>
          <w:rFonts w:ascii="仿宋_GB2312" w:hAnsi="Calibri" w:eastAsia="仿宋_GB2312"/>
          <w:sz w:val="28"/>
          <w:szCs w:val="28"/>
        </w:rPr>
        <w:t>日</w:t>
      </w:r>
      <w:r>
        <w:rPr>
          <w:rFonts w:hint="eastAsia" w:ascii="仿宋_GB2312" w:hAnsi="仿宋_GB2312" w:eastAsia="仿宋_GB2312" w:cs="仿宋_GB2312"/>
          <w:color w:val="000000"/>
          <w:sz w:val="28"/>
          <w:szCs w:val="28"/>
        </w:rPr>
        <w:t>，每天上午08:00至12:00，下午12:00至</w:t>
      </w:r>
      <w:r>
        <w:rPr>
          <w:rFonts w:hint="eastAsia" w:ascii="仿宋_GB2312" w:hAnsi="仿宋_GB2312" w:eastAsia="仿宋_GB2312" w:cs="仿宋_GB2312"/>
          <w:sz w:val="28"/>
          <w:szCs w:val="28"/>
        </w:rPr>
        <w:t>21:00</w:t>
      </w:r>
      <w:r>
        <w:rPr>
          <w:rFonts w:hint="eastAsia" w:ascii="仿宋_GB2312" w:hAnsi="仿宋_GB2312" w:eastAsia="仿宋_GB2312" w:cs="仿宋_GB2312"/>
          <w:color w:val="000000"/>
          <w:sz w:val="28"/>
          <w:szCs w:val="28"/>
        </w:rPr>
        <w:t>（北京时间，法定节假日除外）</w:t>
      </w:r>
    </w:p>
    <w:p w14:paraId="6B738F17">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地点（网址）：</w:t>
      </w:r>
      <w:r>
        <w:rPr>
          <w:rFonts w:hint="eastAsia" w:ascii="仿宋_GB2312" w:hAnsi="仿宋_GB2312" w:eastAsia="仿宋_GB2312" w:cs="仿宋_GB2312"/>
          <w:sz w:val="28"/>
          <w:szCs w:val="28"/>
        </w:rPr>
        <w:t>广西政府采购云平台（https://www.gcy.zfcg.gxzf.gov.cn/）</w:t>
      </w:r>
    </w:p>
    <w:p w14:paraId="4B456748">
      <w:pPr>
        <w:spacing w:line="480" w:lineRule="exact"/>
        <w:ind w:right="-21" w:rightChars="-10" w:firstLine="560" w:firstLineChars="200"/>
        <w:rPr>
          <w:rFonts w:hint="eastAsia" w:ascii="仿宋_GB2312" w:hAnsi="仿宋_GB2312" w:eastAsia="仿宋_GB2312" w:cs="仿宋_GB2312"/>
          <w:color w:val="000000"/>
          <w:sz w:val="28"/>
          <w:szCs w:val="28"/>
          <w:u w:val="single"/>
        </w:rPr>
      </w:pPr>
      <w:r>
        <w:rPr>
          <w:rFonts w:hint="eastAsia" w:ascii="仿宋_GB2312" w:hAnsi="仿宋_GB2312" w:eastAsia="仿宋_GB2312" w:cs="仿宋_GB2312"/>
          <w:color w:val="000000"/>
          <w:sz w:val="28"/>
          <w:szCs w:val="28"/>
        </w:rPr>
        <w:t>方式：</w:t>
      </w:r>
      <w:r>
        <w:rPr>
          <w:rFonts w:hint="eastAsia" w:ascii="仿宋_GB2312" w:hAnsi="仿宋_GB2312" w:eastAsia="仿宋_GB2312" w:cs="仿宋_GB2312"/>
          <w:sz w:val="28"/>
          <w:szCs w:val="28"/>
        </w:rPr>
        <w:t>线上获取。登录广西政府采购云平台（https://www.gcy.zfcg.gxzf.gov.cn/），在“工作台”—“项目采购”—“获取采购文件”选择本项目，点击“申请获取采购文件”进行申请提交后，在已申请栏中选择下载本项目招标文件。提示：1.未注册的供应商可在广西政府采购云平台完成注册后再行获取招标文件。2.供应商只有在“广西政府采购云平台”完成获取招标文件申请并下载了招标文件后才视作依法获取招标文件（法律法规所指的供应商获取招标文件时间以供应商完成获取招标文件申请后下载招标文件的时间为准）。3.已获取招标文件的投标人不等于符合本项目的投标人资格。</w:t>
      </w:r>
    </w:p>
    <w:p w14:paraId="40980DCC">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售价（元）：0</w:t>
      </w:r>
    </w:p>
    <w:p w14:paraId="24562061">
      <w:pPr>
        <w:pStyle w:val="4"/>
        <w:spacing w:line="400" w:lineRule="exact"/>
        <w:ind w:right="-21" w:rightChars="-10" w:firstLine="562" w:firstLineChars="200"/>
        <w:jc w:val="both"/>
        <w:rPr>
          <w:rFonts w:hint="eastAsia" w:ascii="黑体" w:hAnsi="黑体" w:eastAsia="黑体" w:cs="黑体"/>
          <w:bCs/>
          <w:sz w:val="28"/>
          <w:szCs w:val="28"/>
        </w:rPr>
      </w:pPr>
      <w:bookmarkStart w:id="8" w:name="_Toc28359082"/>
      <w:bookmarkStart w:id="9" w:name="_Toc35393624"/>
      <w:bookmarkStart w:id="10" w:name="_Toc35393793"/>
      <w:bookmarkStart w:id="11" w:name="_Toc28359005"/>
      <w:r>
        <w:rPr>
          <w:rFonts w:hint="eastAsia" w:ascii="黑体" w:hAnsi="黑体" w:eastAsia="黑体" w:cs="黑体"/>
          <w:bCs/>
          <w:sz w:val="28"/>
          <w:szCs w:val="28"/>
        </w:rPr>
        <w:t>四、</w:t>
      </w:r>
      <w:bookmarkEnd w:id="8"/>
      <w:bookmarkEnd w:id="9"/>
      <w:bookmarkEnd w:id="10"/>
      <w:bookmarkEnd w:id="11"/>
      <w:r>
        <w:rPr>
          <w:rFonts w:hint="eastAsia" w:ascii="黑体" w:hAnsi="黑体" w:eastAsia="黑体" w:cs="黑体"/>
          <w:bCs/>
          <w:color w:val="000000"/>
          <w:sz w:val="28"/>
          <w:szCs w:val="28"/>
        </w:rPr>
        <w:t>提交投标文件截止时间、开标时间和地点</w:t>
      </w:r>
    </w:p>
    <w:p w14:paraId="1724F7D7">
      <w:pPr>
        <w:spacing w:line="400" w:lineRule="exact"/>
        <w:ind w:right="-21" w:rightChars="-10" w:firstLine="560" w:firstLineChars="200"/>
        <w:rPr>
          <w:rFonts w:hint="eastAsia" w:ascii="仿宋" w:hAnsi="仿宋" w:eastAsia="仿宋"/>
          <w:bCs/>
          <w:sz w:val="28"/>
          <w:szCs w:val="28"/>
          <w:u w:val="single"/>
        </w:rPr>
      </w:pPr>
      <w:r>
        <w:rPr>
          <w:rFonts w:hint="eastAsia" w:ascii="仿宋_GB2312" w:hAnsi="仿宋_GB2312" w:eastAsia="仿宋_GB2312" w:cs="仿宋_GB2312"/>
          <w:color w:val="000000"/>
          <w:sz w:val="28"/>
          <w:szCs w:val="28"/>
        </w:rPr>
        <w:t>提交投标文件截止时间：</w:t>
      </w:r>
      <w:r>
        <w:rPr>
          <w:rFonts w:ascii="仿宋_GB2312" w:hAnsi="仿宋_GB2312" w:eastAsia="仿宋_GB2312" w:cs="仿宋_GB2312"/>
          <w:bCs/>
          <w:sz w:val="28"/>
          <w:szCs w:val="28"/>
        </w:rPr>
        <w:t>2026年</w:t>
      </w:r>
      <w:r>
        <w:rPr>
          <w:rFonts w:hint="eastAsia" w:ascii="仿宋_GB2312" w:hAnsi="仿宋_GB2312" w:eastAsia="仿宋_GB2312" w:cs="仿宋_GB2312"/>
          <w:bCs/>
          <w:sz w:val="28"/>
          <w:szCs w:val="28"/>
          <w:lang w:val="en-US" w:eastAsia="zh-CN"/>
        </w:rPr>
        <w:t>10</w:t>
      </w:r>
      <w:r>
        <w:rPr>
          <w:rFonts w:ascii="仿宋_GB2312" w:hAnsi="仿宋_GB2312" w:eastAsia="仿宋_GB2312" w:cs="仿宋_GB2312"/>
          <w:bCs/>
          <w:sz w:val="28"/>
          <w:szCs w:val="28"/>
        </w:rPr>
        <w:t>月</w:t>
      </w:r>
      <w:r>
        <w:rPr>
          <w:rFonts w:hint="eastAsia" w:ascii="仿宋_GB2312" w:hAnsi="仿宋_GB2312" w:eastAsia="仿宋_GB2312" w:cs="仿宋_GB2312"/>
          <w:bCs/>
          <w:sz w:val="28"/>
          <w:szCs w:val="28"/>
          <w:lang w:val="en-US" w:eastAsia="zh-CN"/>
        </w:rPr>
        <w:t>19</w:t>
      </w:r>
      <w:r>
        <w:rPr>
          <w:rFonts w:ascii="仿宋_GB2312" w:hAnsi="仿宋_GB2312" w:eastAsia="仿宋_GB2312" w:cs="仿宋_GB2312"/>
          <w:bCs/>
          <w:sz w:val="28"/>
          <w:szCs w:val="28"/>
        </w:rPr>
        <w:t>日 09:20</w:t>
      </w:r>
      <w:r>
        <w:rPr>
          <w:rFonts w:hint="eastAsia" w:ascii="仿宋_GB2312" w:eastAsia="仿宋_GB2312"/>
          <w:sz w:val="28"/>
          <w:szCs w:val="28"/>
        </w:rPr>
        <w:t>（北京时间）</w:t>
      </w:r>
    </w:p>
    <w:p w14:paraId="0044BB57">
      <w:pPr>
        <w:spacing w:line="480" w:lineRule="exact"/>
        <w:ind w:right="-21" w:rightChars="-10" w:firstLine="560" w:firstLineChars="200"/>
        <w:rPr>
          <w:rFonts w:hint="eastAsia" w:ascii="仿宋_GB2312" w:hAnsi="仿宋_GB2312" w:eastAsia="仿宋_GB2312" w:cs="仿宋_GB2312"/>
          <w:bCs/>
          <w:color w:val="000000"/>
          <w:sz w:val="28"/>
          <w:szCs w:val="28"/>
        </w:rPr>
      </w:pPr>
      <w:r>
        <w:rPr>
          <w:rFonts w:hint="eastAsia" w:ascii="仿宋_GB2312" w:hAnsi="仿宋_GB2312" w:eastAsia="仿宋_GB2312" w:cs="仿宋_GB2312"/>
          <w:color w:val="000000"/>
          <w:sz w:val="28"/>
          <w:szCs w:val="28"/>
        </w:rPr>
        <w:t>投标地点（网址）：</w:t>
      </w:r>
      <w:r>
        <w:rPr>
          <w:rFonts w:hint="eastAsia" w:ascii="仿宋_GB2312" w:hAnsi="仿宋_GB2312" w:eastAsia="仿宋_GB2312" w:cs="仿宋_GB2312"/>
          <w:sz w:val="28"/>
          <w:szCs w:val="28"/>
        </w:rPr>
        <w:t>广西政府采购云平台（https://www.gcy.zfcg.gxzf.gov.cn/）</w:t>
      </w:r>
      <w:r>
        <w:rPr>
          <w:rFonts w:ascii="仿宋" w:hAnsi="仿宋" w:eastAsia="仿宋" w:cs="仿宋"/>
          <w:sz w:val="27"/>
          <w:szCs w:val="27"/>
        </w:rPr>
        <w:t>（</w:t>
      </w:r>
      <w:r>
        <w:rPr>
          <w:rFonts w:hint="eastAsia" w:ascii="仿宋_GB2312" w:hAnsi="仿宋_GB2312" w:eastAsia="仿宋_GB2312" w:cs="仿宋_GB2312"/>
          <w:bCs/>
          <w:sz w:val="28"/>
          <w:szCs w:val="28"/>
        </w:rPr>
        <w:t>投标人应当在提交投标文件截止时间前完成电子投标文件的传输提交，提交截止时间前可以补充、修改或者撤回电子投标文件。补充或者修改电子投标文件的，应当先行撤回原文件，补充、修改后重新传输提交。提交投标文件截止时间前未完成传输的，视为撤回电子投标文件。提交投标文件截止时间后提交的电子投标文件，及</w:t>
      </w:r>
      <w:r>
        <w:rPr>
          <w:rFonts w:hint="eastAsia" w:ascii="仿宋_GB2312" w:hAnsi="仿宋_GB2312" w:eastAsia="仿宋_GB2312" w:cs="仿宋_GB2312"/>
          <w:sz w:val="28"/>
          <w:szCs w:val="28"/>
        </w:rPr>
        <w:t>未按规定编制并加密的电子投标文件，</w:t>
      </w:r>
      <w:r>
        <w:rPr>
          <w:rFonts w:hint="eastAsia" w:ascii="仿宋_GB2312" w:hAnsi="仿宋_GB2312" w:eastAsia="仿宋_GB2312" w:cs="仿宋_GB2312"/>
          <w:bCs/>
          <w:sz w:val="28"/>
          <w:szCs w:val="28"/>
        </w:rPr>
        <w:t>将被广西政府采购云平台拒收。</w:t>
      </w:r>
      <w:r>
        <w:rPr>
          <w:rFonts w:ascii="仿宋" w:hAnsi="仿宋" w:eastAsia="仿宋" w:cs="仿宋"/>
          <w:sz w:val="27"/>
          <w:szCs w:val="27"/>
        </w:rPr>
        <w:t>）</w:t>
      </w:r>
    </w:p>
    <w:p w14:paraId="67D3AFFA">
      <w:pPr>
        <w:spacing w:line="480" w:lineRule="exact"/>
        <w:ind w:right="-21" w:rightChars="-10" w:firstLine="560" w:firstLineChars="200"/>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 开标时间：</w:t>
      </w:r>
      <w:r>
        <w:rPr>
          <w:rFonts w:ascii="仿宋_GB2312" w:eastAsia="仿宋_GB2312"/>
          <w:bCs/>
          <w:sz w:val="28"/>
          <w:szCs w:val="28"/>
        </w:rPr>
        <w:t>2026年</w:t>
      </w:r>
      <w:r>
        <w:rPr>
          <w:rFonts w:hint="eastAsia" w:ascii="仿宋_GB2312" w:eastAsia="仿宋_GB2312"/>
          <w:bCs/>
          <w:sz w:val="28"/>
          <w:szCs w:val="28"/>
          <w:lang w:val="en-US" w:eastAsia="zh-CN"/>
        </w:rPr>
        <w:t>10</w:t>
      </w:r>
      <w:r>
        <w:rPr>
          <w:rFonts w:ascii="仿宋_GB2312" w:eastAsia="仿宋_GB2312"/>
          <w:bCs/>
          <w:sz w:val="28"/>
          <w:szCs w:val="28"/>
        </w:rPr>
        <w:t>月</w:t>
      </w:r>
      <w:r>
        <w:rPr>
          <w:rFonts w:hint="eastAsia" w:ascii="仿宋_GB2312" w:eastAsia="仿宋_GB2312"/>
          <w:bCs/>
          <w:sz w:val="28"/>
          <w:szCs w:val="28"/>
          <w:lang w:val="en-US" w:eastAsia="zh-CN"/>
        </w:rPr>
        <w:t>19</w:t>
      </w:r>
      <w:r>
        <w:rPr>
          <w:rFonts w:ascii="仿宋_GB2312" w:eastAsia="仿宋_GB2312"/>
          <w:bCs/>
          <w:sz w:val="28"/>
          <w:szCs w:val="28"/>
        </w:rPr>
        <w:t>日 09:20</w:t>
      </w:r>
    </w:p>
    <w:p w14:paraId="3F12EC94">
      <w:pPr>
        <w:spacing w:line="480" w:lineRule="exact"/>
        <w:ind w:right="-21" w:rightChars="-10"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color w:val="000000"/>
          <w:sz w:val="28"/>
          <w:szCs w:val="28"/>
        </w:rPr>
        <w:t> 开标地点：</w:t>
      </w:r>
      <w:r>
        <w:rPr>
          <w:rFonts w:hint="eastAsia" w:ascii="仿宋_GB2312" w:hAnsi="仿宋_GB2312" w:eastAsia="仿宋_GB2312" w:cs="仿宋_GB2312"/>
          <w:sz w:val="28"/>
          <w:szCs w:val="28"/>
        </w:rPr>
        <w:t>广西政府采购云平台（https://www.gcy.zfcg.gxzf.gov.cn/）</w:t>
      </w:r>
    </w:p>
    <w:p w14:paraId="540ABB10">
      <w:pPr>
        <w:pStyle w:val="4"/>
        <w:spacing w:line="400" w:lineRule="exact"/>
        <w:ind w:right="-21" w:rightChars="-10" w:firstLine="562" w:firstLineChars="200"/>
        <w:jc w:val="both"/>
        <w:rPr>
          <w:rFonts w:hint="eastAsia" w:ascii="黑体" w:hAnsi="黑体" w:eastAsia="黑体" w:cs="黑体"/>
          <w:bCs/>
          <w:sz w:val="28"/>
          <w:szCs w:val="28"/>
        </w:rPr>
      </w:pPr>
      <w:bookmarkStart w:id="12" w:name="_Toc35393794"/>
      <w:bookmarkStart w:id="13" w:name="_Toc28359007"/>
      <w:bookmarkStart w:id="14" w:name="_Toc35393625"/>
      <w:bookmarkStart w:id="15" w:name="_Toc28359084"/>
      <w:r>
        <w:rPr>
          <w:rFonts w:hint="eastAsia" w:ascii="黑体" w:hAnsi="黑体" w:eastAsia="黑体" w:cs="黑体"/>
          <w:bCs/>
          <w:sz w:val="28"/>
          <w:szCs w:val="28"/>
        </w:rPr>
        <w:t>五、公告期限</w:t>
      </w:r>
      <w:bookmarkEnd w:id="12"/>
      <w:bookmarkEnd w:id="13"/>
      <w:bookmarkEnd w:id="14"/>
      <w:bookmarkEnd w:id="15"/>
    </w:p>
    <w:p w14:paraId="3AB731B9">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自本公告发布之日起5个工作日。</w:t>
      </w:r>
    </w:p>
    <w:p w14:paraId="20FB690A">
      <w:pPr>
        <w:pStyle w:val="4"/>
        <w:spacing w:line="400" w:lineRule="exact"/>
        <w:ind w:right="-21" w:rightChars="-10" w:firstLine="562" w:firstLineChars="200"/>
        <w:jc w:val="both"/>
        <w:rPr>
          <w:rFonts w:hint="eastAsia" w:ascii="仿宋_GB2312" w:hAnsi="仿宋_GB2312" w:eastAsia="仿宋_GB2312" w:cs="仿宋_GB2312"/>
          <w:bCs/>
          <w:sz w:val="28"/>
          <w:szCs w:val="28"/>
        </w:rPr>
      </w:pPr>
      <w:bookmarkStart w:id="16" w:name="_Toc35393626"/>
      <w:bookmarkStart w:id="17" w:name="_Toc35393795"/>
      <w:r>
        <w:rPr>
          <w:rFonts w:hint="eastAsia" w:ascii="黑体" w:hAnsi="黑体" w:eastAsia="黑体" w:cs="黑体"/>
          <w:bCs/>
          <w:sz w:val="28"/>
          <w:szCs w:val="28"/>
        </w:rPr>
        <w:t>六、其他补充事宜</w:t>
      </w:r>
      <w:bookmarkEnd w:id="16"/>
      <w:bookmarkEnd w:id="17"/>
    </w:p>
    <w:p w14:paraId="7B161A27">
      <w:pPr>
        <w:pStyle w:val="73"/>
        <w:spacing w:line="400" w:lineRule="exact"/>
        <w:ind w:right="-21" w:rightChars="-10" w:firstLine="56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（一）是否专门面向中小微企业采购：否</w:t>
      </w:r>
      <w:r>
        <w:rPr>
          <w:rFonts w:hint="eastAsia" w:ascii="仿宋_GB2312" w:hAnsi="仿宋_GB2312" w:eastAsia="仿宋_GB2312" w:cs="仿宋_GB2312"/>
          <w:b/>
          <w:bCs/>
          <w:sz w:val="28"/>
          <w:szCs w:val="28"/>
        </w:rPr>
        <w:cr/>
      </w:r>
      <w:r>
        <w:rPr>
          <w:rFonts w:hint="eastAsia" w:ascii="仿宋_GB2312" w:hAnsi="仿宋_GB2312" w:eastAsia="仿宋_GB2312" w:cs="仿宋_GB2312"/>
          <w:b/>
          <w:bCs/>
          <w:sz w:val="28"/>
          <w:szCs w:val="28"/>
        </w:rPr>
        <w:t xml:space="preserve">    </w:t>
      </w:r>
      <w:bookmarkStart w:id="18" w:name="_Hlk102729449"/>
      <w:r>
        <w:rPr>
          <w:rFonts w:hint="eastAsia" w:ascii="仿宋_GB2312" w:hAnsi="仿宋_GB2312" w:eastAsia="仿宋_GB2312" w:cs="仿宋_GB2312"/>
          <w:b/>
          <w:bCs/>
          <w:sz w:val="28"/>
          <w:szCs w:val="28"/>
        </w:rPr>
        <w:t>（二）</w:t>
      </w:r>
      <w:bookmarkEnd w:id="18"/>
      <w:r>
        <w:rPr>
          <w:rFonts w:hint="eastAsia" w:ascii="仿宋_GB2312" w:hAnsi="仿宋_GB2312" w:eastAsia="仿宋_GB2312" w:cs="仿宋_GB2312"/>
          <w:b/>
          <w:bCs/>
          <w:sz w:val="28"/>
          <w:szCs w:val="28"/>
        </w:rPr>
        <w:t>投标保证金：</w:t>
      </w:r>
      <w:r>
        <w:rPr>
          <w:rFonts w:hint="eastAsia" w:ascii="仿宋_GB2312" w:hAnsi="仿宋_GB2312" w:eastAsia="仿宋_GB2312" w:cs="仿宋_GB2312"/>
          <w:sz w:val="28"/>
          <w:szCs w:val="28"/>
        </w:rPr>
        <w:t>本项目无须提交投标保证金。</w:t>
      </w:r>
    </w:p>
    <w:p w14:paraId="19F64CEC">
      <w:pPr>
        <w:pStyle w:val="73"/>
        <w:spacing w:line="420" w:lineRule="exact"/>
        <w:ind w:firstLine="560"/>
        <w:rPr>
          <w:rFonts w:hint="eastAsia" w:ascii="仿宋_GB2312" w:hAnsi="仿宋_GB2312" w:eastAsia="仿宋_GB2312" w:cs="仿宋_GB2312"/>
          <w:sz w:val="28"/>
          <w:szCs w:val="28"/>
        </w:rPr>
      </w:pPr>
      <w:bookmarkStart w:id="19" w:name="_Hlk102729456"/>
      <w:r>
        <w:rPr>
          <w:rFonts w:hint="eastAsia" w:ascii="仿宋_GB2312" w:hAnsi="仿宋_GB2312" w:eastAsia="仿宋_GB2312" w:cs="仿宋_GB2312"/>
          <w:b/>
          <w:bCs/>
          <w:sz w:val="28"/>
          <w:szCs w:val="28"/>
        </w:rPr>
        <w:t>（三）</w:t>
      </w:r>
      <w:bookmarkEnd w:id="19"/>
      <w:r>
        <w:rPr>
          <w:rFonts w:hint="eastAsia" w:ascii="仿宋_GB2312" w:hAnsi="仿宋_GB2312" w:eastAsia="仿宋_GB2312" w:cs="仿宋_GB2312"/>
          <w:b/>
          <w:bCs/>
          <w:sz w:val="28"/>
          <w:szCs w:val="28"/>
        </w:rPr>
        <w:t>发布媒体：</w:t>
      </w:r>
      <w:r>
        <w:rPr>
          <w:rFonts w:hint="eastAsia" w:ascii="仿宋_GB2312" w:hAnsi="仿宋_GB2312" w:eastAsia="仿宋_GB2312" w:cs="仿宋_GB2312"/>
          <w:sz w:val="28"/>
          <w:szCs w:val="28"/>
        </w:rPr>
        <w:t>中国政府采购网（www.ccgp.gov.cn）、广西壮族自治区政府采购网（zfcg.gxzf.gov.cn）、柳州市政府采购网（zfcg.lzscz.liuzhou.gov.cn）。</w:t>
      </w:r>
    </w:p>
    <w:p w14:paraId="18F1ABDD">
      <w:pPr>
        <w:pStyle w:val="73"/>
        <w:spacing w:line="420" w:lineRule="exact"/>
        <w:ind w:firstLine="560"/>
        <w:rPr>
          <w:rFonts w:hint="eastAsia" w:ascii="仿宋_GB2312" w:hAnsi="仿宋_GB2312" w:eastAsia="仿宋_GB2312" w:cs="仿宋_GB2312"/>
          <w:sz w:val="28"/>
          <w:szCs w:val="28"/>
        </w:rPr>
      </w:pPr>
      <w:bookmarkStart w:id="20" w:name="_Hlk102729465"/>
      <w:bookmarkStart w:id="21" w:name="_Hlk93681467"/>
      <w:r>
        <w:rPr>
          <w:rFonts w:hint="eastAsia" w:ascii="仿宋_GB2312" w:hAnsi="仿宋_GB2312" w:eastAsia="仿宋_GB2312" w:cs="仿宋_GB2312"/>
          <w:sz w:val="28"/>
          <w:szCs w:val="28"/>
        </w:rPr>
        <w:t>（四）</w:t>
      </w:r>
      <w:bookmarkEnd w:id="20"/>
      <w:r>
        <w:rPr>
          <w:rFonts w:ascii="仿宋_GB2312" w:hAnsi="仿宋_GB2312" w:eastAsia="仿宋_GB2312" w:cs="仿宋_GB2312"/>
          <w:sz w:val="28"/>
          <w:szCs w:val="28"/>
        </w:rPr>
        <w:t>本项目需要落实的政府采购政策：</w:t>
      </w:r>
      <w:r>
        <w:rPr>
          <w:rFonts w:hint="eastAsia" w:ascii="仿宋_GB2312" w:hAnsi="仿宋_GB2312" w:eastAsia="仿宋_GB2312" w:cs="仿宋_GB2312"/>
          <w:sz w:val="28"/>
          <w:szCs w:val="28"/>
        </w:rPr>
        <w:t>落实强制采购的节能产品、鼓励节能政策、鼓励环保政策、促进中小企业发展政策、支持监狱企业发展政策、促进残疾人就业政府采购政策、实施本国产品标准及相关政策。如需进一步了解详细内容，详见公开招标文件第二章《采购需求》及第四章《评标方法及评标标准》。</w:t>
      </w:r>
    </w:p>
    <w:bookmarkEnd w:id="21"/>
    <w:p w14:paraId="704FF342">
      <w:pPr>
        <w:spacing w:line="420" w:lineRule="exact"/>
        <w:ind w:firstLine="560" w:firstLineChars="200"/>
        <w:rPr>
          <w:rFonts w:hint="eastAsia" w:ascii="仿宋_GB2312" w:hAnsi="仿宋_GB2312" w:eastAsia="仿宋_GB2312" w:cs="仿宋_GB2312"/>
          <w:sz w:val="28"/>
          <w:szCs w:val="28"/>
        </w:rPr>
      </w:pPr>
      <w:bookmarkStart w:id="22" w:name="_Hlk102729471"/>
      <w:r>
        <w:rPr>
          <w:rFonts w:hint="eastAsia" w:ascii="仿宋_GB2312" w:hAnsi="仿宋_GB2312" w:eastAsia="仿宋_GB2312" w:cs="仿宋_GB2312"/>
          <w:sz w:val="28"/>
          <w:szCs w:val="28"/>
        </w:rPr>
        <w:t>（五）</w:t>
      </w:r>
      <w:bookmarkEnd w:id="22"/>
      <w:r>
        <w:rPr>
          <w:rFonts w:hint="eastAsia" w:ascii="仿宋_GB2312" w:hAnsi="仿宋_GB2312" w:eastAsia="仿宋_GB2312" w:cs="仿宋_GB2312"/>
          <w:sz w:val="28"/>
          <w:szCs w:val="28"/>
        </w:rPr>
        <w:t>对在“信用中国”网站(www.creditchina.gov.cn)、中国政府采购网(www.ccgp.gov.cn)等渠道列入失信被执行人、重大税收违法案件当事人名单、政府采购严重违法失信行为记录名单的投标人，不得参与政府采购活动。</w:t>
      </w:r>
    </w:p>
    <w:p w14:paraId="46341467">
      <w:pPr>
        <w:spacing w:line="420" w:lineRule="exact"/>
        <w:ind w:firstLine="562" w:firstLineChars="200"/>
        <w:rPr>
          <w:rFonts w:hint="eastAsia" w:ascii="仿宋_GB2312" w:hAnsi="仿宋_GB2312" w:eastAsia="仿宋_GB2312" w:cs="仿宋_GB2312"/>
          <w:sz w:val="28"/>
          <w:szCs w:val="28"/>
        </w:rPr>
      </w:pPr>
      <w:r>
        <w:rPr>
          <w:rFonts w:hint="eastAsia" w:ascii="仿宋_GB2312" w:hAnsi="仿宋_GB2312" w:eastAsia="仿宋_GB2312" w:cs="仿宋_GB2312"/>
          <w:b/>
          <w:bCs/>
          <w:sz w:val="28"/>
          <w:szCs w:val="28"/>
        </w:rPr>
        <w:t>（六）根据《柳州市财政局 人民银行柳州市中心支行 关于进一步做好线上“政采贷”融资工作的通知》（柳财采〔2022〕19号），供应商可凭中标通知书、政府采购合同，通过中征应收账款融资服务平台向银行在线申请“政采贷”融资。</w:t>
      </w:r>
    </w:p>
    <w:p w14:paraId="60CCF83D">
      <w:pPr>
        <w:spacing w:line="420" w:lineRule="exact"/>
        <w:ind w:firstLine="562" w:firstLineChars="20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（七）投标人参与电子投标特别说明</w:t>
      </w:r>
    </w:p>
    <w:p w14:paraId="00894E1D">
      <w:pPr>
        <w:pStyle w:val="73"/>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1.本项目通过广西政府采购云平台实行电子投标，投标人应按照本项目公开招标文件和广西政府采购云平台的要求，通过“广西政府采购云平台客户端”编制、加密并提交电子投标文件。</w:t>
      </w:r>
    </w:p>
    <w:p w14:paraId="2E86689B">
      <w:pPr>
        <w:pStyle w:val="73"/>
        <w:wordWrap w:val="0"/>
        <w:spacing w:line="42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2.参与电子标的投标人必须为广西政府采购云平台的正式供应商且申领CA证书，</w:t>
      </w:r>
      <w:r>
        <w:rPr>
          <w:rFonts w:hint="eastAsia" w:ascii="仿宋_GB2312" w:hAnsi="仿宋_GB2312" w:eastAsia="仿宋_GB2312" w:cs="仿宋_GB2312"/>
          <w:b/>
          <w:bCs/>
          <w:sz w:val="28"/>
          <w:szCs w:val="28"/>
        </w:rPr>
        <w:t>各投标人应在开标前及时完成</w:t>
      </w:r>
      <w:r>
        <w:rPr>
          <w:rFonts w:hint="eastAsia" w:ascii="仿宋_GB2312" w:hAnsi="仿宋_GB2312" w:eastAsia="仿宋_GB2312" w:cs="仿宋_GB2312"/>
          <w:sz w:val="28"/>
          <w:szCs w:val="28"/>
        </w:rPr>
        <w:t>平台注册、CA证书申领、CA证书绑定、下载投标客户端，熟悉并掌握广西政府采购云平台电子标系统操作。</w:t>
      </w:r>
    </w:p>
    <w:p w14:paraId="2B252A1C">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1</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投标人应及时熟悉掌握电子标系统操作指南（见广西政府采购云平台电子卖场首页—服务中心—帮助中心—项目采购）</w:t>
      </w:r>
    </w:p>
    <w:p w14:paraId="4BCD4BC3">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2</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投标人</w:t>
      </w:r>
      <w:r>
        <w:rPr>
          <w:rFonts w:ascii="仿宋_GB2312" w:hAnsi="仿宋_GB2312" w:eastAsia="仿宋_GB2312" w:cs="仿宋_GB2312"/>
          <w:sz w:val="28"/>
          <w:szCs w:val="28"/>
        </w:rPr>
        <w:t>应及时完成CA申领和绑定（见广西壮族自治区政府采购网—办事服务—下载专区-政采云CA证书办理操作指南）</w:t>
      </w:r>
      <w:r>
        <w:rPr>
          <w:rFonts w:hint="eastAsia" w:ascii="仿宋_GB2312" w:hAnsi="仿宋_GB2312" w:eastAsia="仿宋_GB2312" w:cs="仿宋_GB2312"/>
          <w:sz w:val="28"/>
          <w:szCs w:val="28"/>
        </w:rPr>
        <w:t>：</w:t>
      </w:r>
    </w:p>
    <w:p w14:paraId="1DE05EA5">
      <w:pPr>
        <w:pStyle w:val="73"/>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http://www.ccgp-guangxi.gov.cn/luban/detail?parentId=66479&amp;articleId=giG2hxujOLVnOuVjZr6wgQ</w:t>
      </w:r>
    </w:p>
    <w:p w14:paraId="55D2C6DF">
      <w:pPr>
        <w:pStyle w:val="7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w:t>
      </w:r>
      <w:r>
        <w:rPr>
          <w:rFonts w:hint="eastAsia" w:ascii="仿宋_GB2312" w:hAnsi="仿宋_GB2312" w:eastAsia="仿宋_GB2312" w:cs="仿宋_GB2312"/>
          <w:sz w:val="28"/>
          <w:szCs w:val="28"/>
        </w:rPr>
        <w:t>3</w:t>
      </w:r>
      <w:r>
        <w:rPr>
          <w:rFonts w:ascii="仿宋_GB2312" w:hAnsi="仿宋_GB2312" w:eastAsia="仿宋_GB2312" w:cs="仿宋_GB2312"/>
          <w:sz w:val="28"/>
          <w:szCs w:val="28"/>
        </w:rPr>
        <w:t>）</w:t>
      </w:r>
      <w:r>
        <w:rPr>
          <w:rFonts w:hint="eastAsia" w:ascii="仿宋_GB2312" w:hAnsi="仿宋_GB2312" w:eastAsia="仿宋_GB2312" w:cs="仿宋_GB2312"/>
          <w:b/>
          <w:bCs/>
          <w:sz w:val="28"/>
          <w:szCs w:val="28"/>
        </w:rPr>
        <w:t>各投标人通过新平台参与政府采购项目投标需下载使用新版客户端，广西政府采购云平台客户端</w:t>
      </w:r>
      <w:r>
        <w:rPr>
          <w:rFonts w:hint="eastAsia" w:ascii="仿宋_GB2312" w:hAnsi="仿宋_GB2312" w:eastAsia="仿宋_GB2312" w:cs="仿宋_GB2312"/>
          <w:sz w:val="28"/>
          <w:szCs w:val="28"/>
        </w:rPr>
        <w:t>软件请投标人自行前往下载并安装：</w:t>
      </w:r>
    </w:p>
    <w:p w14:paraId="439B9B82">
      <w:pPr>
        <w:pStyle w:val="73"/>
        <w:wordWrap w:val="0"/>
        <w:spacing w:line="420" w:lineRule="exact"/>
        <w:ind w:firstLine="560"/>
        <w:rPr>
          <w:rFonts w:hint="eastAsia" w:ascii="仿宋_GB2312" w:hAnsi="仿宋_GB2312" w:eastAsia="仿宋_GB2312" w:cs="仿宋_GB2312"/>
          <w:sz w:val="28"/>
          <w:szCs w:val="28"/>
        </w:rPr>
      </w:pPr>
      <w:r>
        <w:rPr>
          <w:rFonts w:ascii="仿宋_GB2312" w:hAnsi="仿宋_GB2312" w:eastAsia="仿宋_GB2312" w:cs="仿宋_GB2312"/>
          <w:sz w:val="28"/>
          <w:szCs w:val="28"/>
        </w:rPr>
        <w:t>http://www.ccgp-guangxi.gov.cn/site/detail?parentId=66479&amp;articleId=+06E5n62B1RzrGh0ew1OFg==&amp;utm=site.site-PC-38919.1024-pc-wsg-secondLevelPage-front.1.5057b2c0cef811ee9fd599f289f082d5</w:t>
      </w:r>
    </w:p>
    <w:p w14:paraId="43A9B393">
      <w:pPr>
        <w:spacing w:line="420" w:lineRule="exact"/>
        <w:ind w:firstLine="560" w:firstLineChars="200"/>
        <w:rPr>
          <w:rFonts w:hint="eastAsia" w:ascii="仿宋_GB2312" w:hAnsi="仿宋_GB2312" w:eastAsia="仿宋_GB2312" w:cs="仿宋_GB2312"/>
          <w:bCs/>
          <w:sz w:val="28"/>
          <w:szCs w:val="28"/>
        </w:rPr>
      </w:pPr>
      <w:r>
        <w:rPr>
          <w:rFonts w:hint="eastAsia" w:ascii="仿宋_GB2312" w:hAnsi="仿宋_GB2312" w:eastAsia="仿宋_GB2312" w:cs="仿宋_GB2312"/>
          <w:sz w:val="28"/>
          <w:szCs w:val="28"/>
        </w:rPr>
        <w:t>3.</w:t>
      </w:r>
      <w:r>
        <w:rPr>
          <w:rFonts w:hint="eastAsia" w:ascii="仿宋_GB2312" w:hAnsi="仿宋_GB2312" w:eastAsia="仿宋_GB2312" w:cs="仿宋_GB2312"/>
          <w:bCs/>
          <w:sz w:val="28"/>
          <w:szCs w:val="28"/>
        </w:rPr>
        <w:t>电子标项目不要求参与投标的投标人到现场，但投标人应派法定代表人或委托代理人准时在线出席电子开评标会议，随时关注开评标进度，如在开评标过程中有电子询标，应在规定的时间内对电子询标函进行澄清回复。</w:t>
      </w:r>
    </w:p>
    <w:p w14:paraId="605AF713">
      <w:pPr>
        <w:pStyle w:val="73"/>
        <w:spacing w:line="420" w:lineRule="exact"/>
        <w:ind w:firstLine="56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4.因未注册广西政府采购云平台、未办理CA证书、CA证书故障、操作不当等原因造成无法投标或投标失败等后果由投标人自行承担；</w:t>
      </w:r>
    </w:p>
    <w:p w14:paraId="4B3A60E3">
      <w:pPr>
        <w:pStyle w:val="73"/>
        <w:spacing w:line="420" w:lineRule="exact"/>
        <w:ind w:firstLine="560"/>
        <w:rPr>
          <w:rFonts w:hint="eastAsia" w:ascii="仿宋_GB2312" w:hAnsi="仿宋_GB2312" w:eastAsia="仿宋_GB2312" w:cs="仿宋_GB2312"/>
          <w:b/>
          <w:bCs/>
          <w:sz w:val="28"/>
          <w:szCs w:val="28"/>
        </w:rPr>
      </w:pPr>
      <w:r>
        <w:rPr>
          <w:rFonts w:hint="eastAsia" w:ascii="仿宋_GB2312" w:hAnsi="仿宋_GB2312" w:eastAsia="仿宋_GB2312" w:cs="仿宋_GB2312"/>
          <w:b/>
          <w:bCs/>
          <w:sz w:val="28"/>
          <w:szCs w:val="28"/>
        </w:rPr>
        <w:t>5.投标人在使用广西政府采购云平台参与投标过程中遇到涉及平台使用的任何问题，可致电广西政府采购云平台技术支持热线咨询，联系方式：</w:t>
      </w:r>
      <w:r>
        <w:rPr>
          <w:rFonts w:ascii="仿宋_GB2312" w:hAnsi="仿宋_GB2312" w:eastAsia="仿宋_GB2312" w:cs="仿宋_GB2312"/>
          <w:b/>
          <w:bCs/>
          <w:sz w:val="28"/>
          <w:szCs w:val="28"/>
        </w:rPr>
        <w:t>95763</w:t>
      </w:r>
      <w:r>
        <w:rPr>
          <w:rFonts w:hint="eastAsia" w:ascii="仿宋_GB2312" w:hAnsi="仿宋_GB2312" w:eastAsia="仿宋_GB2312" w:cs="仿宋_GB2312"/>
          <w:b/>
          <w:bCs/>
          <w:sz w:val="28"/>
          <w:szCs w:val="28"/>
        </w:rPr>
        <w:t>。</w:t>
      </w:r>
    </w:p>
    <w:p w14:paraId="429190E7">
      <w:pPr>
        <w:pStyle w:val="4"/>
        <w:spacing w:line="400" w:lineRule="exact"/>
        <w:ind w:right="-21" w:rightChars="-10" w:firstLine="562" w:firstLineChars="200"/>
        <w:jc w:val="both"/>
        <w:rPr>
          <w:rFonts w:hint="eastAsia" w:ascii="黑体" w:hAnsi="黑体" w:eastAsia="黑体" w:cs="黑体"/>
          <w:b w:val="0"/>
          <w:sz w:val="28"/>
          <w:szCs w:val="28"/>
        </w:rPr>
      </w:pPr>
      <w:bookmarkStart w:id="23" w:name="_Toc28359008"/>
      <w:bookmarkStart w:id="24" w:name="_Toc35393796"/>
      <w:bookmarkStart w:id="25" w:name="_Toc28359085"/>
      <w:bookmarkStart w:id="26" w:name="_Toc35393627"/>
      <w:bookmarkStart w:id="27" w:name="_Hlk50569036"/>
      <w:r>
        <w:rPr>
          <w:rFonts w:hint="eastAsia" w:ascii="黑体" w:hAnsi="黑体" w:eastAsia="黑体" w:cs="黑体"/>
          <w:bCs/>
          <w:sz w:val="28"/>
          <w:szCs w:val="28"/>
        </w:rPr>
        <w:t>七、对本次招标提出询问，请按以下方式联系</w:t>
      </w:r>
      <w:bookmarkEnd w:id="23"/>
      <w:bookmarkEnd w:id="24"/>
      <w:bookmarkEnd w:id="25"/>
      <w:bookmarkEnd w:id="26"/>
    </w:p>
    <w:p w14:paraId="6570D77D">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1.采购人信息</w:t>
      </w:r>
    </w:p>
    <w:p w14:paraId="3507D3FE">
      <w:pPr>
        <w:tabs>
          <w:tab w:val="left" w:pos="851"/>
        </w:tabs>
        <w:spacing w:line="400" w:lineRule="exact"/>
        <w:ind w:right="-21" w:rightChars="-10" w:firstLine="560" w:firstLineChars="200"/>
        <w:rPr>
          <w:rFonts w:ascii="仿宋_GB2312" w:eastAsia="仿宋_GB2312"/>
          <w:color w:val="FF0000"/>
          <w:sz w:val="28"/>
          <w:szCs w:val="28"/>
        </w:rPr>
      </w:pPr>
      <w:r>
        <w:rPr>
          <w:rFonts w:hint="eastAsia" w:ascii="仿宋_GB2312" w:eastAsia="仿宋_GB2312"/>
          <w:sz w:val="28"/>
          <w:szCs w:val="28"/>
        </w:rPr>
        <w:t>名 称：</w:t>
      </w:r>
      <w:r>
        <w:rPr>
          <w:rFonts w:ascii="仿宋_GB2312" w:eastAsia="仿宋_GB2312"/>
          <w:sz w:val="28"/>
          <w:szCs w:val="28"/>
        </w:rPr>
        <w:t>柳州市电化教育站</w:t>
      </w:r>
    </w:p>
    <w:p w14:paraId="085C7B3D">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地</w:t>
      </w:r>
      <w:r>
        <w:rPr>
          <w:rFonts w:ascii="仿宋_GB2312" w:eastAsia="仿宋_GB2312"/>
          <w:sz w:val="28"/>
          <w:szCs w:val="28"/>
        </w:rPr>
        <w:t xml:space="preserve"> </w:t>
      </w:r>
      <w:r>
        <w:rPr>
          <w:rFonts w:hint="eastAsia" w:ascii="仿宋_GB2312" w:eastAsia="仿宋_GB2312"/>
          <w:sz w:val="28"/>
          <w:szCs w:val="28"/>
        </w:rPr>
        <w:t>址：</w:t>
      </w:r>
      <w:r>
        <w:rPr>
          <w:rFonts w:ascii="仿宋_GB2312" w:eastAsia="仿宋_GB2312"/>
          <w:sz w:val="28"/>
          <w:szCs w:val="28"/>
        </w:rPr>
        <w:t>柳州市柳东新区启元广场(鱼峰区新柳大道91号)A座24楼</w:t>
      </w:r>
    </w:p>
    <w:p w14:paraId="5EF07CF8">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秦佳乐</w:t>
      </w:r>
    </w:p>
    <w:p w14:paraId="4AF71D92">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0772-5378972</w:t>
      </w:r>
    </w:p>
    <w:p w14:paraId="05363DF6">
      <w:pPr>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2.采购代理机构信息</w:t>
      </w:r>
    </w:p>
    <w:p w14:paraId="0CF3CAA1">
      <w:pPr>
        <w:tabs>
          <w:tab w:val="left" w:pos="851"/>
        </w:tabs>
        <w:spacing w:line="400" w:lineRule="exact"/>
        <w:ind w:right="-21" w:rightChars="-10" w:firstLine="560" w:firstLineChars="200"/>
        <w:rPr>
          <w:rFonts w:ascii="仿宋_GB2312" w:eastAsia="仿宋_GB2312"/>
          <w:sz w:val="28"/>
          <w:szCs w:val="28"/>
        </w:rPr>
      </w:pPr>
      <w:r>
        <w:rPr>
          <w:rFonts w:hint="eastAsia" w:ascii="仿宋_GB2312" w:eastAsia="仿宋_GB2312"/>
          <w:sz w:val="28"/>
          <w:szCs w:val="28"/>
        </w:rPr>
        <w:t>名 称：柳州市政府集中采购中心</w:t>
      </w:r>
    </w:p>
    <w:p w14:paraId="7FB1482B">
      <w:pPr>
        <w:spacing w:line="400" w:lineRule="exact"/>
        <w:ind w:left="2100" w:right="-21" w:rightChars="-10" w:hanging="2100" w:hangingChars="750"/>
        <w:rPr>
          <w:rFonts w:ascii="仿宋_GB2312" w:eastAsia="仿宋_GB2312"/>
          <w:sz w:val="28"/>
          <w:szCs w:val="28"/>
        </w:rPr>
      </w:pPr>
      <w:r>
        <w:rPr>
          <w:rFonts w:hint="eastAsia" w:ascii="仿宋_GB2312" w:eastAsia="仿宋_GB2312"/>
          <w:sz w:val="28"/>
          <w:szCs w:val="28"/>
        </w:rPr>
        <w:t xml:space="preserve">    地 址：广西</w:t>
      </w:r>
      <w:r>
        <w:rPr>
          <w:rFonts w:ascii="仿宋_GB2312" w:eastAsia="仿宋_GB2312"/>
          <w:sz w:val="28"/>
          <w:szCs w:val="28"/>
        </w:rPr>
        <w:t>柳州市三中路6</w:t>
      </w:r>
      <w:r>
        <w:rPr>
          <w:rFonts w:hint="eastAsia" w:ascii="仿宋_GB2312" w:eastAsia="仿宋_GB2312"/>
          <w:sz w:val="28"/>
          <w:szCs w:val="28"/>
        </w:rPr>
        <w:t>4-2</w:t>
      </w:r>
      <w:r>
        <w:rPr>
          <w:rFonts w:ascii="仿宋_GB2312" w:eastAsia="仿宋_GB2312"/>
          <w:sz w:val="28"/>
          <w:szCs w:val="28"/>
        </w:rPr>
        <w:t>号</w:t>
      </w:r>
    </w:p>
    <w:p w14:paraId="4F2A96FA">
      <w:pPr>
        <w:spacing w:line="400" w:lineRule="exact"/>
        <w:ind w:right="-21" w:rightChars="-10" w:firstLine="555"/>
        <w:rPr>
          <w:rFonts w:ascii="仿宋_GB2312" w:eastAsia="仿宋_GB2312"/>
          <w:color w:val="FF0000"/>
          <w:sz w:val="28"/>
          <w:szCs w:val="28"/>
        </w:rPr>
      </w:pPr>
      <w:r>
        <w:rPr>
          <w:rFonts w:hint="eastAsia" w:ascii="仿宋_GB2312" w:eastAsia="仿宋_GB2312"/>
          <w:sz w:val="28"/>
          <w:szCs w:val="28"/>
        </w:rPr>
        <w:t>项目联系人：</w:t>
      </w:r>
      <w:r>
        <w:rPr>
          <w:rFonts w:ascii="仿宋_GB2312" w:eastAsia="仿宋_GB2312"/>
          <w:sz w:val="28"/>
          <w:szCs w:val="28"/>
        </w:rPr>
        <w:t>何可</w:t>
      </w:r>
    </w:p>
    <w:p w14:paraId="2FEECA51">
      <w:pPr>
        <w:spacing w:line="400" w:lineRule="exact"/>
        <w:ind w:right="-21" w:rightChars="-10"/>
        <w:rPr>
          <w:rFonts w:ascii="仿宋_GB2312" w:eastAsia="仿宋_GB2312"/>
          <w:sz w:val="28"/>
          <w:szCs w:val="28"/>
        </w:rPr>
      </w:pPr>
      <w:r>
        <w:rPr>
          <w:rFonts w:hint="eastAsia" w:ascii="仿宋_GB2312" w:eastAsia="仿宋_GB2312"/>
          <w:sz w:val="28"/>
          <w:szCs w:val="28"/>
        </w:rPr>
        <w:t xml:space="preserve">    项目联系方式：</w:t>
      </w:r>
      <w:r>
        <w:rPr>
          <w:rFonts w:ascii="仿宋_GB2312" w:eastAsia="仿宋_GB2312"/>
          <w:sz w:val="28"/>
          <w:szCs w:val="28"/>
        </w:rPr>
        <w:t>0772-2992106</w:t>
      </w:r>
      <w:bookmarkEnd w:id="27"/>
    </w:p>
    <w:p w14:paraId="18221137">
      <w:pPr>
        <w:spacing w:line="400" w:lineRule="exact"/>
        <w:ind w:right="560"/>
        <w:rPr>
          <w:rFonts w:ascii="仿宋_GB2312" w:eastAsia="仿宋_GB2312"/>
          <w:sz w:val="28"/>
          <w:szCs w:val="28"/>
        </w:rPr>
        <w:sectPr>
          <w:footerReference r:id="rId7" w:type="default"/>
          <w:pgSz w:w="11906" w:h="16838"/>
          <w:pgMar w:top="1440" w:right="991" w:bottom="1440" w:left="1440" w:header="851" w:footer="992" w:gutter="0"/>
          <w:pgNumType w:start="1"/>
          <w:cols w:space="720" w:num="1"/>
          <w:docGrid w:linePitch="312" w:charSpace="0"/>
        </w:sectPr>
      </w:pPr>
    </w:p>
    <w:p w14:paraId="0FD72F81">
      <w:pPr>
        <w:pStyle w:val="3"/>
        <w:spacing w:line="276" w:lineRule="auto"/>
        <w:jc w:val="center"/>
        <w:rPr>
          <w:rFonts w:hint="eastAsia" w:ascii="宋体" w:hAnsi="宋体"/>
          <w:sz w:val="32"/>
          <w:szCs w:val="32"/>
        </w:rPr>
      </w:pPr>
      <w:bookmarkStart w:id="28" w:name="_Toc13541"/>
      <w:r>
        <w:rPr>
          <w:rFonts w:hint="eastAsia" w:ascii="宋体" w:hAnsi="宋体"/>
          <w:sz w:val="32"/>
          <w:szCs w:val="32"/>
        </w:rPr>
        <w:t>第二章 采购需求</w:t>
      </w:r>
      <w:bookmarkEnd w:id="28"/>
    </w:p>
    <w:p w14:paraId="1DB39F8B">
      <w:pPr>
        <w:spacing w:line="276" w:lineRule="auto"/>
        <w:ind w:right="-330" w:rightChars="-157" w:firstLine="482" w:firstLineChars="200"/>
        <w:rPr>
          <w:rFonts w:ascii="仿宋_GB2312" w:eastAsia="仿宋_GB2312"/>
          <w:b/>
          <w:bCs/>
          <w:sz w:val="24"/>
        </w:rPr>
      </w:pPr>
      <w:bookmarkStart w:id="29" w:name="_Hlk50569056"/>
      <w:r>
        <w:rPr>
          <w:rFonts w:hint="eastAsia" w:ascii="仿宋_GB2312" w:eastAsia="仿宋_GB2312"/>
          <w:b/>
          <w:bCs/>
          <w:sz w:val="24"/>
        </w:rPr>
        <w:t>说明：</w:t>
      </w:r>
    </w:p>
    <w:bookmarkEnd w:id="29"/>
    <w:p w14:paraId="350DDB9F">
      <w:pPr>
        <w:spacing w:line="380" w:lineRule="exact"/>
        <w:ind w:right="-330" w:rightChars="-157" w:firstLine="482" w:firstLineChars="200"/>
        <w:rPr>
          <w:rFonts w:ascii="仿宋_GB2312" w:eastAsia="仿宋_GB2312"/>
          <w:b/>
          <w:bCs/>
          <w:color w:val="000000"/>
          <w:sz w:val="24"/>
        </w:rPr>
      </w:pPr>
      <w:bookmarkStart w:id="30" w:name="_Hlk93675025"/>
      <w:r>
        <w:rPr>
          <w:rFonts w:hint="eastAsia" w:ascii="仿宋_GB2312" w:eastAsia="仿宋_GB2312"/>
          <w:b/>
          <w:bCs/>
          <w:color w:val="000000"/>
          <w:sz w:val="24"/>
        </w:rPr>
        <w:t>（一）本一览表中的品牌、型号仅起参考作用，投标人可选用其他品牌型号替代，但这些替代的产品要实质上满足或优于参考品牌、型号及其技术参数性能（配置）要求。</w:t>
      </w:r>
    </w:p>
    <w:p w14:paraId="6FAF3DA6">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（二）本一览表中参考品牌、型号及技术参数性能（配置）不明确或有误的，或投标人选用其他品牌型号替代的，请说明品牌型号和详细、正确的技术参数性能（配置）同时填写投标报价明细表和技术响应表。</w:t>
      </w:r>
    </w:p>
    <w:p w14:paraId="30DCEFCF">
      <w:pPr>
        <w:spacing w:line="380" w:lineRule="exact"/>
        <w:ind w:right="-330" w:rightChars="-157" w:firstLine="482" w:firstLineChars="200"/>
        <w:rPr>
          <w:rFonts w:ascii="仿宋_GB2312" w:eastAsia="仿宋_GB2312"/>
          <w:b/>
          <w:bCs/>
          <w:color w:val="000000"/>
          <w:sz w:val="24"/>
        </w:rPr>
      </w:pPr>
      <w:r>
        <w:rPr>
          <w:rFonts w:ascii="仿宋_GB2312" w:eastAsia="仿宋_GB2312"/>
          <w:b/>
          <w:bCs/>
          <w:color w:val="000000"/>
          <w:sz w:val="24"/>
        </w:rPr>
        <w:t>（三）标记“★”符号的为实质性响应内容，该内容仅限于“第二章 采购需求”，评审时投标人的响应内容发生负偏离一项以上的，视为投标无效。</w:t>
      </w:r>
      <w:r>
        <w:rPr>
          <w:rFonts w:hint="eastAsia" w:ascii="仿宋_GB2312" w:eastAsia="仿宋_GB2312"/>
          <w:b/>
          <w:bCs/>
          <w:color w:val="000000"/>
          <w:sz w:val="24"/>
        </w:rPr>
        <w:t>没有</w:t>
      </w:r>
      <w:r>
        <w:rPr>
          <w:rFonts w:ascii="仿宋_GB2312" w:eastAsia="仿宋_GB2312"/>
          <w:b/>
          <w:bCs/>
          <w:color w:val="000000"/>
          <w:sz w:val="24"/>
        </w:rPr>
        <w:t>标记“★”符号的技术参数要求，评审时投标人的响应内容发生负偏离</w:t>
      </w:r>
      <w:r>
        <w:rPr>
          <w:rFonts w:hint="eastAsia" w:ascii="仿宋_GB2312" w:eastAsia="仿宋_GB2312"/>
          <w:b/>
          <w:bCs/>
          <w:color w:val="000000"/>
          <w:sz w:val="24"/>
        </w:rPr>
        <w:t>五</w:t>
      </w:r>
      <w:r>
        <w:rPr>
          <w:rFonts w:ascii="仿宋_GB2312" w:eastAsia="仿宋_GB2312"/>
          <w:b/>
          <w:bCs/>
          <w:color w:val="000000"/>
          <w:sz w:val="24"/>
        </w:rPr>
        <w:t>项以上的，视为投标无效。关于“项数”的规定，凡标有最低一级序号的指标项即为一项技术条款，无论是否隶属于上一级编号（有特别说明的除外）。</w:t>
      </w:r>
    </w:p>
    <w:p w14:paraId="26E89E4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四）评审时，评审委员会发现采购文件存在歧义、重大缺陷导致评审工作无法进行，或者采购文件内容违反国家有关规定的，要停止评审工作并向采购人或采购代理机构书面说明情况，采购人或采购代理机构应当修改采购文件后重新组织采购活动；发现投标人提供虚假材料、串通等违法违规行为的，要及时向采购人或采购代理机构报告。</w:t>
      </w:r>
    </w:p>
    <w:p w14:paraId="450C1D7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五）提供相同品牌产品且通过资格审查、符合性审查的不同投标人参加同一合同项下的投标，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7CD28596">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非单一产品采购项目中，多家投标人提供的核心产品品牌相同的，视为提供相同品牌产品，核心产品的名称在招标文件第二章“采购需求”用“▲”标明。</w:t>
      </w:r>
    </w:p>
    <w:p w14:paraId="335BD044">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（六）本项目包括以下设备，根据财办库〔2008〕248号文件有关规定，本项目不允许进口产品参加报价。</w:t>
      </w:r>
    </w:p>
    <w:p w14:paraId="64519572">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七）投标人必须为其响应产品侵犯其他投标人或专利人的专利成果承担相应法律责任；同时，具有产品专利的投标人应在其投标文件中提供与其自有产品专利相关的有效证明材料，否则，不能就其产品的专利在本项目响应过程中被侵权问题提出异议。</w:t>
      </w:r>
    </w:p>
    <w:p w14:paraId="28DF20F7">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（八）若采购货物属于</w:t>
      </w:r>
      <w:r>
        <w:fldChar w:fldCharType="begin"/>
      </w:r>
      <w:r>
        <w:instrText xml:space="preserve"> HYPERLINK "http://gks.mof.gov.cn/zhengfucaigouguanli/201904/P020190402638613799126.pdf" </w:instrText>
      </w:r>
      <w:r>
        <w:fldChar w:fldCharType="separate"/>
      </w:r>
      <w:r>
        <w:rPr>
          <w:rFonts w:hint="eastAsia" w:ascii="仿宋_GB2312" w:eastAsia="仿宋_GB2312"/>
          <w:b/>
          <w:bCs/>
          <w:color w:val="000000"/>
          <w:sz w:val="24"/>
        </w:rPr>
        <w:t>节能产品政府采购品目清单</w:t>
      </w:r>
      <w:r>
        <w:rPr>
          <w:rFonts w:hint="eastAsia" w:ascii="仿宋_GB2312" w:eastAsia="仿宋_GB2312"/>
          <w:b/>
          <w:bCs/>
          <w:color w:val="000000"/>
          <w:sz w:val="24"/>
        </w:rPr>
        <w:fldChar w:fldCharType="end"/>
      </w:r>
      <w:r>
        <w:rPr>
          <w:rFonts w:hint="eastAsia" w:ascii="仿宋_GB2312" w:eastAsia="仿宋_GB2312"/>
          <w:b/>
          <w:bCs/>
          <w:color w:val="000000"/>
          <w:sz w:val="24"/>
        </w:rPr>
        <w:t>范围的，投标人的投标货物必须使用政府强制采购的节能产品，品目清单请从中国政府采购网（www.ccgp.gov.cn）查询下载，有属于政府强制节能产品的，必须提供所投产品的证明材料（国家确定的认证机构出具的、处于有效期之内的节能产品认证证书材料，加盖投标人CA电子签章），否则其投标无效。</w:t>
      </w:r>
    </w:p>
    <w:p w14:paraId="13006273">
      <w:pPr>
        <w:spacing w:line="380" w:lineRule="exact"/>
        <w:ind w:right="-330" w:rightChars="-157" w:firstLine="482" w:firstLineChars="200"/>
        <w:rPr>
          <w:rFonts w:ascii="仿宋_GB2312" w:eastAsia="仿宋_GB2312"/>
          <w:b/>
          <w:bCs/>
          <w:color w:val="000000"/>
          <w:sz w:val="24"/>
        </w:rPr>
      </w:pPr>
      <w:r>
        <w:rPr>
          <w:rFonts w:hint="eastAsia" w:ascii="仿宋_GB2312" w:eastAsia="仿宋_GB2312"/>
          <w:b/>
          <w:bCs/>
          <w:color w:val="000000"/>
          <w:sz w:val="24"/>
        </w:rPr>
        <w:t>（九）本货物需求一览表的技术参数要求中未特别列明的技术要求参照国家相关技术标准执行，如有最新标准，按最新标准执行。</w:t>
      </w:r>
    </w:p>
    <w:bookmarkEnd w:id="30"/>
    <w:tbl>
      <w:tblPr>
        <w:tblStyle w:val="243"/>
        <w:tblW w:w="10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17"/>
        <w:gridCol w:w="7203"/>
        <w:gridCol w:w="1090"/>
      </w:tblGrid>
      <w:tr w14:paraId="00BB6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13765775">
            <w:pPr>
              <w:spacing w:line="380" w:lineRule="exact"/>
              <w:jc w:val="left"/>
              <w:rPr>
                <w:rFonts w:hint="eastAsia" w:ascii="仿宋_GB2312" w:hAnsi="仿宋_GB2312" w:eastAsia="仿宋_GB2312" w:cs="仿宋_GB2312"/>
                <w:b/>
                <w:color w:val="000000"/>
                <w:kern w:val="0"/>
                <w:sz w:val="24"/>
              </w:rPr>
            </w:pPr>
            <w:r>
              <w:rPr>
                <w:rFonts w:hint="eastAsia" w:ascii="仿宋_GB2312" w:hAnsi="仿宋_GB2312" w:eastAsia="仿宋_GB2312" w:cs="仿宋_GB2312"/>
                <w:b/>
                <w:color w:val="000000"/>
                <w:kern w:val="0"/>
                <w:sz w:val="24"/>
              </w:rPr>
              <w:t>一、</w:t>
            </w:r>
            <w:r>
              <w:rPr>
                <w:rFonts w:hint="eastAsia" w:ascii="仿宋_GB2312" w:hAnsi="仿宋_GB2312" w:eastAsia="仿宋_GB2312" w:cs="仿宋_GB2312"/>
                <w:b/>
                <w:kern w:val="0"/>
                <w:sz w:val="24"/>
              </w:rPr>
              <w:t>项目技术规格参数及要求</w:t>
            </w:r>
          </w:p>
        </w:tc>
      </w:tr>
      <w:tr w14:paraId="76E6B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EB20133">
            <w:pPr>
              <w:pStyle w:val="244"/>
              <w:snapToGrid w:val="0"/>
              <w:spacing w:line="40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序号</w:t>
            </w:r>
          </w:p>
        </w:tc>
        <w:tc>
          <w:tcPr>
            <w:tcW w:w="1017" w:type="dxa"/>
            <w:tcBorders>
              <w:top w:val="single" w:color="auto" w:sz="4" w:space="0"/>
              <w:left w:val="single" w:color="auto" w:sz="4" w:space="0"/>
              <w:bottom w:val="single" w:color="auto" w:sz="4" w:space="0"/>
              <w:right w:val="single" w:color="auto" w:sz="4" w:space="0"/>
            </w:tcBorders>
            <w:vAlign w:val="center"/>
          </w:tcPr>
          <w:p w14:paraId="2A4BCF37">
            <w:pPr>
              <w:pStyle w:val="244"/>
              <w:snapToGrid w:val="0"/>
              <w:spacing w:line="40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标的名称</w:t>
            </w:r>
          </w:p>
        </w:tc>
        <w:tc>
          <w:tcPr>
            <w:tcW w:w="7203" w:type="dxa"/>
            <w:tcBorders>
              <w:top w:val="single" w:color="auto" w:sz="4" w:space="0"/>
              <w:left w:val="single" w:color="auto" w:sz="4" w:space="0"/>
              <w:bottom w:val="single" w:color="auto" w:sz="4" w:space="0"/>
              <w:right w:val="single" w:color="auto" w:sz="4" w:space="0"/>
            </w:tcBorders>
            <w:vAlign w:val="center"/>
          </w:tcPr>
          <w:p w14:paraId="343F31C9">
            <w:pPr>
              <w:pStyle w:val="244"/>
              <w:snapToGrid w:val="0"/>
              <w:spacing w:line="40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技术参数</w:t>
            </w:r>
          </w:p>
        </w:tc>
        <w:tc>
          <w:tcPr>
            <w:tcW w:w="1090" w:type="dxa"/>
            <w:tcBorders>
              <w:top w:val="single" w:color="auto" w:sz="4" w:space="0"/>
              <w:left w:val="single" w:color="auto" w:sz="4" w:space="0"/>
              <w:bottom w:val="single" w:color="auto" w:sz="4" w:space="0"/>
              <w:right w:val="single" w:color="auto" w:sz="4" w:space="0"/>
            </w:tcBorders>
            <w:vAlign w:val="center"/>
          </w:tcPr>
          <w:p w14:paraId="57CCB176">
            <w:pPr>
              <w:pStyle w:val="244"/>
              <w:snapToGrid w:val="0"/>
              <w:spacing w:line="400" w:lineRule="exact"/>
              <w:jc w:val="center"/>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数量及单位</w:t>
            </w:r>
          </w:p>
        </w:tc>
      </w:tr>
      <w:tr w14:paraId="14F39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6E628069">
            <w:pPr>
              <w:pStyle w:val="244"/>
              <w:snapToGrid w:val="0"/>
              <w:spacing w:line="400" w:lineRule="exact"/>
              <w:jc w:val="left"/>
              <w:rPr>
                <w:rFonts w:hint="eastAsia" w:ascii="仿宋_GB2312" w:hAnsi="仿宋_GB2312" w:eastAsia="仿宋_GB2312" w:cs="仿宋_GB2312"/>
                <w:b/>
                <w:bCs/>
                <w:sz w:val="24"/>
                <w:szCs w:val="24"/>
              </w:rPr>
            </w:pPr>
            <w:r>
              <w:rPr>
                <w:rFonts w:hint="eastAsia" w:ascii="仿宋_GB2312" w:hAnsi="仿宋_GB2312" w:eastAsia="仿宋_GB2312" w:cs="仿宋_GB2312"/>
                <w:b/>
                <w:bCs/>
                <w:sz w:val="24"/>
                <w:szCs w:val="24"/>
              </w:rPr>
              <w:t>一、AI智慧大脑数据中心</w:t>
            </w:r>
          </w:p>
        </w:tc>
      </w:tr>
      <w:tr w14:paraId="6FF51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7EC8E82">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w:t>
            </w:r>
          </w:p>
        </w:tc>
        <w:tc>
          <w:tcPr>
            <w:tcW w:w="1017" w:type="dxa"/>
            <w:tcBorders>
              <w:top w:val="single" w:color="auto" w:sz="4" w:space="0"/>
              <w:left w:val="single" w:color="auto" w:sz="4" w:space="0"/>
              <w:bottom w:val="single" w:color="auto" w:sz="4" w:space="0"/>
              <w:right w:val="single" w:color="auto" w:sz="4" w:space="0"/>
            </w:tcBorders>
            <w:vAlign w:val="center"/>
          </w:tcPr>
          <w:p w14:paraId="2FA47927">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w:t>
            </w:r>
            <w:r>
              <w:rPr>
                <w:rFonts w:hint="eastAsia" w:ascii="仿宋_GB2312" w:hAnsi="仿宋_GB2312" w:eastAsia="仿宋_GB2312" w:cs="仿宋_GB2312"/>
                <w:color w:val="000000"/>
                <w:kern w:val="0"/>
                <w:sz w:val="24"/>
                <w:highlight w:val="yellow"/>
              </w:rPr>
              <w:t>校园数字化集成底座</w:t>
            </w:r>
          </w:p>
        </w:tc>
        <w:tc>
          <w:tcPr>
            <w:tcW w:w="7203" w:type="dxa"/>
            <w:tcBorders>
              <w:top w:val="single" w:color="auto" w:sz="4" w:space="0"/>
              <w:left w:val="single" w:color="auto" w:sz="4" w:space="0"/>
              <w:bottom w:val="single" w:color="auto" w:sz="4" w:space="0"/>
              <w:right w:val="single" w:color="auto" w:sz="4" w:space="0"/>
            </w:tcBorders>
            <w:vAlign w:val="center"/>
          </w:tcPr>
          <w:p w14:paraId="60E4710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bCs/>
                <w:color w:val="000000"/>
                <w:kern w:val="0"/>
                <w:sz w:val="24"/>
              </w:rPr>
              <w:t>一、数智空间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（一）WEB端空间</w:t>
            </w:r>
            <w:r>
              <w:rPr>
                <w:rFonts w:hint="eastAsia"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1.需提供平台登录，需支持在浏览器通过账号密码登录平台，同时需支持通过移动端APP扫码登录平台；需支持密码找回功能帮助用户在忘记密码后可以找回密码；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2.需提供全部应用模块，需支持在web端桌面按角色展示学校开通的应用，支持用户设置管理自己的常用应用；需支持设置全部应用的应用分类，并展示分类下对应的应用列表；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提供用户空间，实现不同角色针对多种业务场景的一屏通办；为学校管理员、教师、学生和家长角色提供通消息、待办、个人信息、宣传栏和我的应用组件，其中个人信息支持展示头像、姓名、角色等信息，消息支持查看已接收到的消息和待办，宣传栏支持学校管理员配置宣传图片及跳转到地址；我的应用支持每个用户自行配置常用应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4.班级空间：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（1）需支持网页端班级空间功能；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（2）需支持班级动态的发布与查阅，分享生活点滴，创建动态可需支持文字动态、图片动态，视频动态；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（3）需支持教师上传优秀作品展示，标记所属学生；学生和家长可查看优秀作品，共同学习进步；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（4）需支持创建班级相册，上传、下载、管理相册图片，分享班级活动精彩瞬间；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（5）需支持全班老师共同进行班级文件管理，需支持自定义文件夹，可自由归类管理各科和各类型文件；需支持班内学生和家长查看和下载班级文件；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（6）需支持班级管理功能，对班级基本信息，如班级昵称、班徽、口号进行维护，需支持为班级成员重置密码；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5.需支持统一导航服务，包含平台导航和应用导航，需支持统一的导航样式；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（1）导航需提供统一消息中心功能，需提供消息提醒，包括消息中心和待办事项的显示、删除功能；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（2）导航需提供快捷应用功能，支持管理员进行个性化配置，展示应用的快捷入口；</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（3）导航需提供多角色身份切换服务，支持通过身份切换完成业务数据的切换；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（4）导航需为用户提供统一退出功能，返回至登录页面；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（5）导航需支持管理员快捷跳转至管理员后台；</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6.需提供平台个性化设置功能，包括需支持按平台进行统一设置，包括导航主题、LOGO、用户空间的背景图的统一配置；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7.个人管理需支持个人信息查看、管理，包括用户头像、姓名等数据；需支持修改密码；支持绑定手机、绑定邮箱设置；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8.校园日历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（1）需支持日历查看功能，需支持小月历查看，需支持预置周程和校历。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（2）需支持多种日历视图（包含学期视图），需支持按照常规及列表两种模式查看日程。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（3）需支持日程管理功能，需支持对日程进行创建、查看、修改、删除和取消操作，需支持重复日程的操作，需支持日程搜索，需支持日程提醒。</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（4）需支持周程管理功能，需支持周程编辑、周程发布。</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（5）需支持校历管理功能，需支持校历编辑、校历发布。</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（6）需支持部门日历管理功能，需支持部门日历编辑，需支持部门日历订阅。</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（7）需支持校园日历与场馆预约、智能排课后的课表等业务联动。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9.通知公告</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（1）需支持发布内部通知和班级通知，任课教师和班主任能针对任教班级发布班级通知、通知发布对象支持选学生、家长、家长+学生。</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（2）需支持分类型提供通知模板，同时支持通知管理员新增管理通知模板。</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（3）需支持针对内部通知需支持设置通知须经领导审批通过后才可发布，可后台管理内部通知发布及审核人员。</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（4）需支持发布通知内容支持富文本编辑、插入图片、附件、网址链接功能。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（5）需支持发布需签字回执通知、置顶通知、标记通知为重要通知功能。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（6）需支持按身份（班主任、任课教师）及选择特定教师作为通知通共享对象共享通知。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（7）需支持发布人编辑已发布通知、转发通知、删除及批量删除已发布通知。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（8）需支持按班级、部门、身份查看已发布通知已读未读应读、已签字未签字应签字人数及相应名单，同时支持按班级或针对全体未读人员发系统消息提醒功能。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（9）需支持导出通知已读未读数据及回执内容、签字图片。</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（10）需支持按通知类型、通知已读未读状态、通知发布人、通知发布时间筛选通知，同时支持按通知标题搜索通知。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（11）需支持通知接收人按通知类型、发布时间、发布人筛选通知、查看通知详情、预览下载图片附件、打开链接、快捷回复通知、手写签字回执通知。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 xml:space="preserve">（二）移动端空间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1.即时沟通需支持移动端即时沟通功能，满足通讯录查询、群聊管理、发送即时信息：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（1）需支持依据权限范围按组织架构查看学校部门、班级内部成员的基本信息和沟通消息信息，通讯录支持通过搜索快速找人；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2）需支持按照组织架构自动生成群组关系，包含围绕部门的部门群，围绕家校的家校群，围绕班级的班级群；老师可对学生、家长进行单聊禁言，支持班主任对班级成员（学生、家长）的聊天权限进行管控，同时群主或群管理员可对群成员执行群聊禁言操作，群主可设置是否只允许群主或管理员添加群成员，打造安全的校园聊天环境；支持群成员查看群名、群公告、群相册、群文件、群成员详情、搜索和清理聊天记录、设置聊天置顶及消息免打扰，支持群投诉；支持群接龙工具，可快速收集信息，成员可填写和查看接龙结果；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3）需支持聊天内容支持文字、表情、图片、拍照、拍视频、文件格式，支持便捷发送常用语；支持已发送消息的复制、引用、撤回，撤回后的文本消息可编辑后重新发送；并支持通过PIN消息对指定成员进行强提醒，成员可发送回执；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（4）需支持针对家校场景的权限管理功能，支持管理员设置家长和学生的通讯录查看范围和聊天对象，支持班主任撤回家长或学生发送的消息；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2.消息待办：</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（1）需支持移动端统一消息待办提醒，通过消息条目可以快捷跳转消息处理界面；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（2）消息列表通过“一键已读”操作快速消除消息提醒；对不重要的消息可执行删除操作；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3.工作台：需支持在移动端工作台按角色展示学校开通的应用，支持用户设置管理自己的常用应用；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4.班级空间：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（1）需支持移动端班级空间功能；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（2）需支持班级动态的发布与查阅，分享生活点滴，创建动态可需支持文字动态、图片动态，视频动态；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（3）需支持教师上传优秀作品展示，标记所属学生；学生和家长可查看优秀作品，共同学习进步；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（4）需支持创建班级相册，上传、下载、管理相册图片，分享班级活动精彩瞬间；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（5）需支持全班老师共同进行班级文件管理，需支持自定义文件夹，可自由归类管理各科和各类型文件，同时需支持搜索、移动和删除文件的常见操作；需支持班内学生和家长查看和下载班级文件；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（6）需支持班级管理功能，对班级基本信息，如班级昵称、班徽、口号进行维护，需支持为班级成员重置密码；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（7）需提供话题讨论工具，学生家长可围绕话题提交作品，展开讨论：老师可创建话题讨论，学生和家长可接收并参与讨论发言，可添加图片、视频、音频、文档作为发言附件。需支持教师导出发言；</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5.“我的”个人中心：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个人账号信息管理，包括设置头像、设置手机号、密码修改和找回，可显示所属机构或学校、班级的组织信息；支持家长通过绑定孩子来设置和孩子的关系，支持一个家长多个孩子的绑定关系；对同时有多个角色的用户提供身份切换服务；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（2）支持查看个人收藏的聊天内容，包含文本、图片、视频、文档；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（3）支持进行系统设置，包括消息提醒打开或关闭、查看隐私政策及用户协议、版本更新、意见反馈；</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6.多终端互通服务 支持移动端与web端互通服务：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（1）基于平台用户中心服务实现手机端统一用户信息、应用统一认证；支持账号、手机号登录，并提供与第三方平台登录认证的服务能力；为方便用户使用，支持基于手机设备一键登录；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（2）需支持手机端与web端推送的消息数据互通；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（3）需支持手机端与web端同一应用的业务数据互通。</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7.校园日历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（1）需支持日历查看功能，需支持小月历查看。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（2）需支持多种日历视图（包含学期视图），需支持按照常规及列表两种模式查看日程。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（3）需支持日程管理功能，需支持对日程进行创建、查看、修改、删除和取消操作，需支持重复日程的操作，需支持日程搜索，需支持日程提醒，需支持日程处理。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（4）需支持校园日历与场馆预约、智能排课后的课表等业务联动。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8.通知公告</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（1）需支持发布人发布内部通知，任课教师和班主任能针对任教班级发布班级通知、通知发布对象支持选学生、家长、家长+学生。</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（2）需支持发布通知内容支持富文本编辑、插入图片功能。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（3）需支持发布需签字回执通知、置顶通知。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（4）需支持按身份（班主任、任课教师）及选择特定教师作为通知通共享对象共享通知。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（5）需支持发布人编辑已发布通知、转发通知、删除已发布通知。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（三）智能助理</w:t>
            </w:r>
            <w:r>
              <w:rPr>
                <w:rFonts w:hint="eastAsia" w:ascii="仿宋_GB2312" w:hAnsi="仿宋_GB2312" w:eastAsia="仿宋_GB2312" w:cs="仿宋_GB2312"/>
                <w:color w:val="000000"/>
                <w:kern w:val="0"/>
                <w:sz w:val="24"/>
              </w:rPr>
              <w:t xml:space="preserve">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1.需提供用户通过自然语言对话交互的方式，识别用户的意图并进行任务规划和执行。</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（1）需支持用户通过自然语言对话识别意图并完成任务规划与执行。</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（2）需支持文字、语音、Word 文件、图片多模态输入。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（3）需支持规划到智能助理内开通的效率工具。</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2.需支持多轮对话意图理解支持多轮对话中对用户不断变化的意图进行理解与跟踪。</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3.需支持对话短时记忆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（1）需支持实时记录和关联上下文，保持跨轮对话的意图连贯。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（2）需支持对话中话题切换时自动关联前文，避免信息断层。</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4.需支持3种不同模式：办公模式，联网搜索模式，大模型问答模式；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（1）办公模式：需支持基于意图识别调用效率工具和 AI 应用完成办公需求。</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（2）联网搜索模式：需支持互联网公开内容的语义检索、深度整合与溯源查看。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（3）大模型问答模式：需支持向通用大模型提问。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5.需支持需提供用户历史对话记录，便于用户查看过往对话记录；</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（1）需支持按照时间维度查看所有的对话历史记录；</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（2）需支持选择具体的对话历史记录后进入对话页面继续对话；</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（3）需支持通过模糊搜索的方式，搜索所有历史对话中的会话名称，会话内容；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（4）需支持通过理解用户指令对会话内容进行会话标题总结，需支持用户手动编辑修改会话标题；</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6.需支持通知与日程支持获取当日日程、通知和待办提醒。</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7.需支持专用助理配置按用户角色、使用场景、常用工具配置专用助理页面，例如校长助理、教研助理。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 xml:space="preserve">（四）智能助理场景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1.需支持通过自然语言的方式对校园日历应用进行相关操作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（1）需支持用户一句话快速查询今天的日程；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（2）需支持用户一句话创建、修改、删除和取消校园日历；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（3）需支持用户创建的校园日历任务与场馆预约等业务联动。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2.需支持通过自然语言的方式发布通知公告；</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（1）需支持用户通过一句话指令生成通知公告的内容，并需支持用户对生成的内容进行AI辅助的修改和二次创编；</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（2）需支持用户将生成的通知公告内容，通过自然语言指令发布为班级通知；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3.需支持一句话创建通用PPT；</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（1）需支持用户输入指令后创建PPT大纲和框架，需支持用户进行查看，新增，修改和删除；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（2）需支持10个不同风格的教育PPT模版；</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（3）需支持下载生成的PPT内容；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4.需支持一句话创建思维导图，在思维导图生成完成之后，需支持下载思维导图内容；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5.需支持用户上传录音文件，生成不同场景的录音总结</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（1）需支持识别：中文，英文，中英文混合的音频语言</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（2）需支持按照：通用，课堂记录，会议记录，家访沟通场景进行会议总结；</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（3）需支持对音频文件进行多轮追问；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6.需支持用户通过一句话的方式创建文本内容；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（1）需支持将创作的文本内容加入小记文件；</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（2）需支持对生成的内容进行AI辅助的润色，缩写，扩写等场景的修改和二次创编；</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（3）需支持在小记创作的过程中问知识库，并将检索到的内容加入知识库中；</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（4）需支持通过理解小记内容进行标题总结，需支持用户手动编辑修改会话标题；</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（5）需支持按照时间维度查看和管理所有小记内容；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7.需支持对用户的智能应用创编平台创建的AI应用进行MCP Server化配置之后，进行自然语言的调用。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二、组织中心</w:t>
            </w:r>
            <w:r>
              <w:rPr>
                <w:rFonts w:hint="eastAsia" w:ascii="仿宋_GB2312" w:hAnsi="仿宋_GB2312" w:eastAsia="仿宋_GB2312" w:cs="仿宋_GB2312"/>
                <w:b/>
                <w:bCs/>
                <w:color w:val="000000"/>
                <w:kern w:val="0"/>
                <w:sz w:val="24"/>
              </w:rPr>
              <w:br w:type="textWrapping"/>
            </w:r>
            <w:r>
              <w:rPr>
                <w:rFonts w:hint="eastAsia" w:ascii="仿宋_GB2312" w:hAnsi="仿宋_GB2312" w:eastAsia="仿宋_GB2312" w:cs="仿宋_GB2312"/>
                <w:b/>
                <w:bCs/>
                <w:color w:val="000000"/>
                <w:kern w:val="0"/>
                <w:sz w:val="24"/>
              </w:rPr>
              <w:t xml:space="preserve">（一）用户数据管理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校级基础数据管理需能够实现对学校基础信息、班级信息、师生用户以及教学关系的管理与维护；需支持对学校的学生、教师、班级、课程、教师授课、部门管理信息进行数据维护，系统需可生成教师、学生账号并进行基础数据组织关系的维护，以支撑业务对基础数据的依赖；</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班级管理：需支持按在读、未入学、已毕业3个大类别高中学段管理学校所有班级，支持单个或批量新增各校区、各学段、各年级的行政班和分层班；针对任意班级可查看班级教师数及学生数，并可进入班级设置班主任、副班主任、任课老师及新增管理班级学生；</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学生管理，需支持单个或批量维护学生信息，包括批量新增学生、批量修改学生、批量调班、批量导出学生、批量生成条码、学生异动；批量生成学生账号支持按照学籍号、全国学籍号、教育ID号和身份证号多种方式来快速生成，需同时支持加前后缀；批量修改学生和批量调班需支持在线编辑，可以通过学生姓名进行自动匹配；</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4.教师管理：需支持单个或批量维护教师信息，包括批量新增教师、批量修改教师、批量导出教师、维护教师部门关系；批量生成教师账号支持按照证件号或教职工编号多种方式来快速生成，同时支持加前后缀；</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5.教师安排：需支持按学年学期教学周期来维护所有班级的任课教师、年级主任、学科组长、备课组长和学校领导（包括校长和副校长）；</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6.分层班：需支持按学年学期教学周期来维护分层班，同时支持维护分层班下的学生；</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7.基础设置：需支持维护排课所属的基础数据，如课节时间、班级课时、班级教室。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 xml:space="preserve">（二）统一身份认证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1.统一身份认证服务需支持为接入平台的应用提供统一的用户身份认证和管理服务; 接入应用无需自建用户数据，以统一身份认证平台提供的用户身份信息为统一的身份信息源；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2.统一身份认证服务需提供单点登录（SSO）接口，为平台中的应用系统集成提供统一的身份认证标准；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3.单点登录接口需支持向三方应用开放，允许三方应用通过对接方式实现免登；</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4.用户只需通过浏览器界面登录一次，即可通过单点登录系统访问后台的多个用户权限内的Web应用系统，无需逐一输入用户名、密码登录。</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 xml:space="preserve">（三）日志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1.需支持对用户基础数据增、删、改操作行为的进行记录，提高系统数据安全性；</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2.需提供系统操作界面，支持管理员查看操作时间、行为、操作内容和操作人；</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3.需支持管理通过时间范围、操作行为、操作人进行查询。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三、应用中心</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highlight w:val="yellow"/>
              </w:rPr>
              <w:t xml:space="preserve">（一）开放平台 </w:t>
            </w:r>
          </w:p>
          <w:p w14:paraId="7906C62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1.需支持开发者在开放平台创建新应用，开发者需提供应用名称，应用简称，应用简介，应用图标，适用角色，应用分类信息，提交后即可创建应用成功；</w:t>
            </w:r>
          </w:p>
          <w:p w14:paraId="5294C09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2.需支持开发者按照应用适用终端配置不同的主页信息；</w:t>
            </w:r>
          </w:p>
          <w:p w14:paraId="2DD837EE">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3.需支持开发者维护版本信息应用版本信息，进行应用版本管理；</w:t>
            </w:r>
          </w:p>
          <w:p w14:paraId="2D015AC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4.需支持开发者提交应用授权申请，提交申请后会被对应学校的管理员进行审核，审核通过后应用即授权成功；</w:t>
            </w:r>
          </w:p>
          <w:p w14:paraId="7F347CB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5.需支持开发者对自己创建的应用进行管理，包括查看、修改、生成SDK功能，对于未授权的应用可以进行删除；</w:t>
            </w:r>
          </w:p>
          <w:p w14:paraId="5735B60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6.需在应用开发者在集成能力时向开发者提供能力调用调试工具，方便开发者快速调试接口；</w:t>
            </w:r>
          </w:p>
          <w:p w14:paraId="5AA1E1CA">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7.需提供文档中心，为第三方开发者提供的应用开发指南和应用规范标准，在文档中心，可以查阅到开放平台为开发者提供功能和服务文档，帮助开发者减少融入平台生态的门槛；</w:t>
            </w:r>
          </w:p>
          <w:p w14:paraId="069AA78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8.需支持为第三方开发者提供的问题反馈渠道，开发者可以将问题反馈给开放平台管理员，而开放平台管理员在后台可以看到开发者的问题反馈意见，可以答复开发者从而实现两者间的交流。</w:t>
            </w:r>
          </w:p>
          <w:p w14:paraId="7487D55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bCs/>
                <w:color w:val="000000"/>
                <w:kern w:val="0"/>
                <w:sz w:val="24"/>
                <w:highlight w:val="yellow"/>
              </w:rPr>
              <w:t>（二）应用运营管理</w:t>
            </w:r>
            <w:r>
              <w:rPr>
                <w:rFonts w:hint="eastAsia" w:ascii="仿宋_GB2312" w:hAnsi="仿宋_GB2312" w:eastAsia="仿宋_GB2312" w:cs="仿宋_GB2312"/>
                <w:b w:val="0"/>
                <w:bCs w:val="0"/>
                <w:color w:val="000000"/>
                <w:kern w:val="0"/>
                <w:sz w:val="24"/>
                <w:highlight w:val="yellow"/>
              </w:rPr>
              <w:t xml:space="preserve"> </w:t>
            </w:r>
          </w:p>
          <w:p w14:paraId="6A0960B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1.应用审核：需为开发者提供产品开发文档和对接服务，便于三方应用对接并上架至web和移动端。</w:t>
            </w:r>
          </w:p>
          <w:p w14:paraId="3DCED6B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2.应用管理：</w:t>
            </w:r>
          </w:p>
          <w:p w14:paraId="650CE91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（1）需支持查看学校的应用开通情况及使用情况，包括已开通应用数量、已启用应用数量、已停用应用数量；</w:t>
            </w:r>
          </w:p>
          <w:p w14:paraId="1F23DCD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（2）需支持查看学校全部已开通的应用信息，包括应用名称、适用终端、应用简介、开发者信息及上架状态等；</w:t>
            </w:r>
          </w:p>
          <w:p w14:paraId="3FF97D9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（3）需支持配置应用可见范围，支持管理员按照角色或者按照指定用户设置应用的可见范围，设置完成后应用入口可仅针对部分用户可见；</w:t>
            </w:r>
          </w:p>
          <w:p w14:paraId="0EF82EB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（4）需支持对开通应用进行统一停用/启用管理，设置同时在不同终端生效。</w:t>
            </w:r>
          </w:p>
          <w:p w14:paraId="3F7D8C8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3.应用分组</w:t>
            </w:r>
          </w:p>
          <w:p w14:paraId="025DF37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（1）需支持学校管理员开启或关闭自定义分组功能，开启后即可设置应用分组；</w:t>
            </w:r>
          </w:p>
          <w:p w14:paraId="7A1C2D9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（2）需支持查看近 30 天用户活跃趋势分析，</w:t>
            </w:r>
          </w:p>
          <w:p w14:paraId="265D886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（3）需支持查看全校不同角色、部门、年级的整体使用情况，支持按照时间进行筛选，并提供导出功能；</w:t>
            </w:r>
          </w:p>
          <w:p w14:paraId="6700E9F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（4）需支持查看全部应用的活跃情况，包括应用激活用户数、浏览量、活跃用户数等，支持按照时间筛选并导出结果；</w:t>
            </w:r>
          </w:p>
          <w:p w14:paraId="4E7ACF71">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val="0"/>
                <w:bCs w:val="0"/>
                <w:color w:val="000000"/>
                <w:kern w:val="0"/>
                <w:sz w:val="24"/>
                <w:highlight w:val="yellow"/>
              </w:rPr>
              <w:t>（5）需支持查看单个的应用使用情况，包括应用基本信息、应用活跃趋势及使用此应用的用户信息。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 xml:space="preserve">（三）应用市场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★1.需提供应用市场，为用户展示提供接入到基座的各类应用资源，包括接入的三方应用；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2.需支持将热门应用放置在应用市场较醒目的地方进行展示；</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3.需支持应用的分类展示，应用市场中的应用支持按照符合教育行业的分类按类型集中展示，如智慧学习、教学培训、校园管理，后台支持可配置；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4.需支持应用详情的展示，包括应用的图标、名称、简介、截图、适用群体、上架日期、更新日期；</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5.需支持用户查看他人对应用的评价评分情况，同时支持用户自己对应用进行评价与星级评分；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6.需支持对应用市场中案例的上传和管理，支持图文、视频多类型的上传和查阅，并可对优秀的案例进行推荐。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四、数据中心</w:t>
            </w:r>
            <w:r>
              <w:rPr>
                <w:rFonts w:hint="eastAsia" w:ascii="仿宋_GB2312" w:hAnsi="仿宋_GB2312" w:eastAsia="仿宋_GB2312" w:cs="仿宋_GB2312"/>
                <w:b/>
                <w:bCs/>
                <w:color w:val="000000"/>
                <w:kern w:val="0"/>
                <w:sz w:val="24"/>
              </w:rPr>
              <w:br w:type="textWrapping"/>
            </w:r>
            <w:r>
              <w:rPr>
                <w:rFonts w:hint="eastAsia" w:ascii="仿宋_GB2312" w:hAnsi="仿宋_GB2312" w:eastAsia="仿宋_GB2312" w:cs="仿宋_GB2312"/>
                <w:b/>
                <w:bCs/>
                <w:color w:val="000000"/>
                <w:kern w:val="0"/>
                <w:sz w:val="24"/>
              </w:rPr>
              <w:t>（一）数据集成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（1）数据源需支持管理多种数据组件的基础链接信息如，数据库IP，端口，用户名，密码。需支持数据组件基础信息的新增、编辑、删除、查看、复制功能。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（2）数据源需支持数据库、大数据存储组件、消息组件、文件组件。</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数据库需支持：Oracle、Mysql（5.X、8.X）、Sqlserver、Gbase8a、Gbase8s、GP、达梦、达梦MPP、KingbaseESV7.KingbaseESV8(R3,R（6）、KingbaseAnalyticsDB、PostgreSQL、LibrA、DB2.GaussDB200、Vertica、MongoDB、神通数据库、Tdengine、 ClickHouse。</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2.集成来源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集成来源管理需实现来源信息管理，来源的抽取模式，表抽取或sql抽取配置，表抽取模式中需支持数据表或视图选择配置，同时需支持增量和全量抽取方式配置，增量抽取模式实现增量字段选择，增量起始值配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（2）集成来源需支持：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①关系型数据库：Mysql(5.X、8.X)、Oracle、GBase8a、GBase8sV8.4.sqlserver、DamengDB、DamengMPP、LibrA、KingbaseES V7.KingbaseES V8(R3.R（6）、KingbaseAnalyticsDB、PostgreSQL、GaussDB200、DB2.Vertica、神通数据库、GP，Tdengine、ClickHouse</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 xml:space="preserve">②大数据存储组件：HDFS、Hive、ElasticSearch(2X、6X、7X) </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③实时数据：Kafka、RocketMQ、ActiveMq、RabbitMq</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④文本数据：文本文件、FastDFS、FTP）接口协议：Mqtt、Http、HttpServer、Socket、WebService</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⑤需实现集成来源的新建、编辑、详情查看、复制、删除、条件查询功能，通过目录树需支持对集成来源的业务分类，通过列表形式对来源进行管理。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 集成目的</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（1）集成目的需支持管理业务目的的资源信息，需实现目的表分表配置，解析写入场景如kafka,hdfs目的类型需支持写入格式和分隔符配置、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（2）管理的数据目的维度信息需包含目的表信息，HBase的表信息、HDFS的目录信息、Solr的集合信息、Elasticsearch的索引信息、Hive的数据库表信息、ActiveMQ、RocketMQ、Kafka的topic信息。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（3）集成目的需支持：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①关系型数据库：Mysql(5.X、8.X)、Oracle、GBase8a、GBase8s(V8.4.V8.（8）、Sqlserver、DamengDB、DamengMPP、LibrA、KingbaseES V7.KingbaseES V8(R3.R（6）、KingbaseAnalyticsDB、PostgreSQL、GaussDB200、GP、clickhouse</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②大数据存储：HDFS、Hive、HBase、ElasticSearch(5X、6X、7X)</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③实时数据：Kafka、RocketMQ</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④文本数据：FTP、Solr</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需支持集成目的的新建、编辑、详情查看、复制、删除、条件查询功能，需支持通过目录树对集成目的进行业务分类，并通过列表形式对目的进行管理。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4.任务管理模块</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（1）任务管理列表：需支持通过目录树的形式对任务进行逻辑分类，管理已创建的集成任务，需支持任务的查看，编辑，删除，启动，停止基本操作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（2）任务创建编辑器：需支持通过拖拽集成来源，预处理，集成目的节点，创建数据集成的任务流程。平台需支持来源和目的的数据映射，基础jdbc类型的数据预览。</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（3）预处理：集成过程中，系统提供多种预处理节点实现业务数据的加密、脱敏、映射需求，保障集成过程数据安全可靠。系统内置预处理包含数据转换、数据映射、数据脱敏、追加校验、数据加密等。</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5.批量集成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（1）批量任务管理列表：需支持管理已创建的集成任务，包含任务的查看，编辑，删除，启动，停止基本操作。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批量任务创建编辑器：需支持批量集成任务流程创建，需支持通过对任务的基础配置、映射配置等节点批量创建数据集成的任务流程，任务概览需实现批量集成任务中的子任务信息，需提供子任务的高级配置，子任务列表勾选保存和提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6.监控分析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（1）集成数据概览：集成数据概览需支持展示当前平台数据集成的总体情况，包含今日集成数据量、累计集成数据量、任务状态分布、集成数据量趋势、集成速率TOP5、成功集成数据量Top5。</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（2）监控任务列表：需支持任务情况监控，需支持获取任务状态、运行时长、获取成功量、写入成功量、集成失败量、集成速率、任务流量。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7.系统管理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（1）日志管理：需支持用日志管理记录用户的基础操作，包含数据来源，集成目的，集成任务的创建，修改，删除，需支持记录操作用户名和操作时间。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（2）节点管理：节点管理模块需支持系统运行节点进行监控和管理，节点上线后自动更新到节点管理模块，用户可通过节点管理模块进行节点上线，节点运行任务情况监控。</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（二）数据资产管理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1.数据资产盘点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（1）数据资产沙盘：需支持从各个维度统计数据仓库和数据湖中所有的资产信息，统计维度需包括数据标准、元数据、数据资源。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（2）数据资产查看：需支持查看目前平台中已编制的所有数据目录，并按各层数据库进行分别展示，查看现阶段所有数据资产信息，并需支持每一层级所有资产的详细信息，同时可对资产进行导出。</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2.数据标准管理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标准字典管理：需提供对整个平台的标准字典管理，需支持对各类标准字典和字典项的新增和编辑，扩充字典库。数据标准需包括不限于国标、部标、行标。需支持标准字典的查询、删除、启用、禁用、导入以及字典模型映射字段调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（2）数据源字典管理：需提供对平台接入的数据源的字典管理，需支持对各数据源字典和字典项的新增和编辑。需支持标准字典的查询、删除、启用、禁用、导入以及字典模型映射字段调整；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（3）数据元管理：需支持对数据元进行统一规范的管理，数据元规范需包含定义数据元名称、标识、长度、类型、值域，需支持数据元的新增、编辑、禁用、启用和导入导出功能。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（4）标准文档管理：需对平台的标准文档进行统一规范的管理，需支持按照自定义的分类规则进行归类管理标准文档，需支持标准文档的新增、上传附件，需支持升级、删除现有标准文档或下载文档附件。</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3.元数据管理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（1）元数据概览：需支持查看所有已注册的元数据统计信息，包括数据源、元模型、元数据、采集任务的数量统计以及近期元数据变更的趋势对比</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（2）数据源管理：需支持管理各类异构数据库，可添加、禁用、启用数据源。数据源需支持Oracle、MySQL、Swift、Hive、Hbase、ES、Kafka、Gbase，达梦。需支持ETL-接入任务、ETL-规整任务、ETL-作业数据源</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（3）元模型管理：需支持对所有数据库类型的元模型进行统一管理，展示各类异构的数据库元模型及其属性信息。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（4）元数据批量注册：需支持在数据源下依托元模型进行元数据异步注册，包括表、视图、索引、字段、列族、消息、ETL下元数据。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（5）元数据单个注册：需针对增量变化的元数据，提供数据源（包含数据湖）下单个元数据实时注册，包括表、视图、索引、字段、列族、消息、ETL下元数据。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（6）元数据分析：需支持查看已注册的元数据信息，并可查看元数据血缘分析及影响分析。血缘分析用来追溯元数据的上游来源，影响分析用来指明元数据的下游流向。</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（7）元数据变更：需支持查询到在元数据分析中属性编辑提交后的元数据变更信息，需支持对元数据变更信息进行查看、编辑、删除、提交及审核操作；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（8）元数据审核：需支持针对用户提交的元数据变更信息，进行审核、驳回操作功能。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（9）元数据日志：需支持查看已注册的元数据的变更记录以及详细变更内容。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（10）元数据地图：需支持元数据检索，按照对象、对象属性、任务、作业各维度查看元数据信息。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（11）数据溯源：基于元数据地图进行数据实例追溯，监控数据全生命周期中的变化过程以及异常问题定位。需支持查询仓库中数据的溯源信息,包含数据项总数、相同项个数、不同项个数。</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4.数据资源管理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（1）数据目录分类：需支持将数据目录按多层次分类配置形成树状结构，用于分类展示数据资源，需支持对目录分类的新增、修改、删除或批量删除。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（2）数据目录编制：需按照数据目录分类新增数据资源，需支持数据目录的编辑、查询、删除、启用、停用、导出、导入操作。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5.数据服务工厂</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（1）数据服务生产：需支持依据数据目录或数据源自定义sql方式生成数据服务接口，接口协议需支持RestFul、WebService两种方式，需支持在线接口调试。需支持接口文档查看，包括出入参信息、出入参报文示例。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（2）数据服务日志：需支持查看数据服务调用过程中的日志信息，包括调用时间，请求方信息，请求结果，可查看请求记录详情，包括请求sql。</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6.主数据管理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（1）对象分类管理：需支持主数据对象分类信息的新增、编辑、排序、删除。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（2）编码规则管理：需支持编码规则的新增、编辑、删除以及状态变更。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（3）对象管理：需支持对象的新增，包含属性配置、数据元属性配置。需支持对象发布、取消发布、编辑、删除。</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（4）主数据管理：需支持主数据的新增、编辑、删除以及有效/无效，需支持主数据导入、导出功能，需支持主数据状态修改，批量设置状态：有效/无效。</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（5）对象变更日志：需支持对象变更日志的查询和日志详情的查看；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（6）主数据变更日志：需支持主数据变更日志的查询和日志详情的查看；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7.数据权限管理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（1）维度管理：需支持对维度的新增、查询、编辑、删除，并分类管理。维度数据可应用于用户属性配置。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（2）用户角色授权：需支持按照按角色和用户两种授权方式，从数据集数据项或数据范围、可视化大屏分别进行用户角色授权。</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（3）数据授权：需支持按照按角色和用户两种授权方式，从数据集数据项或数据范围、可视化大屏分别进行数据授权。</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（4）用户属性：需提供用户列表的查询，可将属性分配给用户。属性管理需支持属性的新增编辑。</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（三）数据治理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1.数据规整</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（1）规整概览： 需支持查看规整任务运行整体统计情况；需支持按照任务数量、使用规则、TOP排序和处理数据量发展趋势维度统计数据。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（2）常规规整规则：系统初始化需预置格式转换、内容转换、增加列三类清洗转换规则。</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字典转换规则：需支持非标准的字典数据进行标准化转换，完成与标准字典映射；需支持通过数据源字典、标准字典、转换规则名称查询字典转换规则，以及字典转换规则名称、数据源字典、标准字典的列表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（4）自定义规则：需支持用户根据业务实际需求自定义规整规则；需支持入参、出参及函数自定义编辑，自定义规则同样需支持规整任务设计页面调用。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（5）规整任务列表：需支持规整任务的分类列表管理，增删改查操作；需支持任务提交和撤回，以及批量操作；需支持任务编辑器进行任务创建操作。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（6）规整任务设计器：需支持组件拖拽式流程化图形化任务编辑功能；满足自定义规则组件化使用功能；提供组件的参数与字段自定义配置操作；需支持输入输出数据源、表及字段自定义配置功能；</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（7）规整日志：需支持规整任务每次运行日志跟踪和执行结果查看；日志可查看异常信息、状态、时间、最后增量值。</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2.数据质量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（1）数据质量概览：需展示包括问题数据量发展趋势、按规则分问题数据量占比TOP、数据增量发展趋势、数据增量异常次数TOP等信息。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（2）质量规则管理：需支持内置检查规则与自定义检查规则两种类型的检查规则，覆盖常用准确性、一致性、完整性、有效性、唯一性质量检查规则。</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（3）数据质量任务：需支持拖拽式配置质量检查任务，需支持对数据目录或库表选择质量检查组件，配置质量任务实现质量检查。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（4）数据质量报告：需支持以数据资源为维度，进行质量检查报告查看。需支持总览以及明细数据查看数据质量信息，错误数据明细展示错误实例，以及对应的质量检查规则。</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（5）质量任务日志： 需支持数据质量任务执行的日志跟踪和结果查看，展示任务执行开始时间、结束时间、状态。</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（6）问题数据反馈：需支持根据数据质量报告反馈数据问题到部门组织。</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3.脚本管理</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需支持存储过程、Sql脚本、Hive脚本三种类型。列表实现脚本进行查询，添加，批量提交，提交，撤回，删除操作。可以通过脚本名称、创建时间、脚本状态、脚本类型查询脚本基本信息。列表信息包含脚本名称、创建时间、脚本类型、调用情况、脚本状态。列表的操作列可以进行提交、撤销、编辑、查看、删除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 数据建模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（1）逻辑模型：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①需支持逻辑模型的自定义分类管理、列表管理，按照模型名称和创建时间查询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②需提供手工创建和模板导入创建模型两种方式，需支持通过模板导入完成批量建模、可导出模型的表结构和建表SQL；</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③需支持引用现有模型、数据元或指标，快速创建模型结构字段，也可以手工新增字段；</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④满足对模型的修改、删除、配置关系、物化、查看历史版本及版本对比操作，可查看ER结构关系；</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⑤需支持逻辑模型物化多个物理模型，使用现有表进行物化映射或者直接创建物化表两种方式；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（2）物理模型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①需支持物理模型的自定义分类管理、列表管理，按照模型名称和创建时间查询；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②需支持直接创建物理模型和从逻辑模型物化两种方式；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③需提供物理模型的配置模型规则、配置血缘关系、批量提交、提交、撤回、编辑、查看、删除、发布操作；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④需支持模型基础配置和高级配置两种方式，高级配置满足SQL编辑器选取表自行配置；基础配置和高级配置均可以切换SQL编写模式切换；</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⑤创建模型需支持引用现有数据元或指标字段，快速创建模型结构，也可以手工新增字段；</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⑥需支持模型的导入导出功能，通过模板导入完成批量建模、可导出模型的表结构和建表SQL；</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（3）模型日志</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①系统提供模型创建和物化任务每次运行日志跟踪和执行结果查看；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②日志需支持查看执行完成后的异常信息、状态、开始时间、结束时间、耗时。</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五、消息中心</w:t>
            </w:r>
            <w:r>
              <w:rPr>
                <w:rFonts w:hint="eastAsia" w:ascii="仿宋_GB2312" w:hAnsi="仿宋_GB2312" w:eastAsia="仿宋_GB2312" w:cs="仿宋_GB2312"/>
                <w:b/>
                <w:bCs/>
                <w:color w:val="000000"/>
                <w:kern w:val="0"/>
                <w:sz w:val="24"/>
              </w:rPr>
              <w:br w:type="textWrapping"/>
            </w:r>
            <w:r>
              <w:rPr>
                <w:rFonts w:hint="eastAsia" w:ascii="仿宋_GB2312" w:hAnsi="仿宋_GB2312" w:eastAsia="仿宋_GB2312" w:cs="仿宋_GB2312"/>
                <w:b/>
                <w:bCs/>
                <w:color w:val="000000"/>
                <w:kern w:val="0"/>
                <w:sz w:val="24"/>
              </w:rPr>
              <w:t>（一）消息服务与能力共享</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1.消息中心需支持向数智基座以及接入应用提供统一消息服务；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2.消息处理：需支持消息的存储、分发；</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3.站内信需严格区分类型，至少需包括消息、待办；</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4.标准接口：需提供标准的消息集成接口，需支持应用接入后就可实现多种消息提醒方式；</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5.需为用户提供统一的消息中心，消息中心会收集系统内已接入消息服务的应用消息并统一推送，确保用户实时获知相应提醒；</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6.多终端统一消息：需支持WEB端、移动端APP统一消息服务，保障一个应用消息多终端消息接收和同步。</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（二）消息数据统计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1.需支持对消息内容的管理，包括对消息中心所有的消息内容进行汇总；</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2.需支持按照消息中心所有类型的消息进行统计，包括站内信消息和 IM 消息，需支持按照应用进行统计展示，需支持查看应用发布消息的明细数据。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六、智慧管理应用</w:t>
            </w:r>
          </w:p>
          <w:p w14:paraId="03ABC898">
            <w:pPr>
              <w:widowControl/>
              <w:numPr>
                <w:ilvl w:val="255"/>
                <w:numId w:val="0"/>
              </w:numPr>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（一）在线评教</w:t>
            </w:r>
          </w:p>
          <w:p w14:paraId="652A9EF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1.管理员端功能要求</w:t>
            </w:r>
          </w:p>
          <w:p w14:paraId="4C255FF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（1）需支持学校管理员添加、移除教师为评教管理员、评教组织者，需支持单一及批量移除；</w:t>
            </w:r>
          </w:p>
          <w:p w14:paraId="369BD3E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（2）需支持评教管理员、组织者创建、管理评教事件，包括新增、暂存、编辑、删除功能；</w:t>
            </w:r>
          </w:p>
          <w:p w14:paraId="392E1F2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（3）需支持对评教事件查看评教信息及进展，需支持查看当前总体进度百分比，按年级、班级查看及导出具体未评人员名单，并需支持在线一键提醒未评人员及时评教；评教活动需支持自动或手动结束；</w:t>
            </w:r>
          </w:p>
          <w:p w14:paraId="23D2D69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创建评教事件，需支持设定评教标题、评教说明、起止时间；需支持学生/家长评教师（班主任、必修课教师）、教师互评、教师自评、领导评教职工5个类型评教；需支持选择同一学期内不同周期展开评教，选定参评班级后自动将班级班主任、任课教师设定为被评教师；需支持另选择教师设为评教监督人，其可查看评教进度，督促未评人员完成评教活动；需支持设定评价规则是否允许对同一被评教师所有评分项选择同一选项。</w:t>
            </w:r>
          </w:p>
          <w:p w14:paraId="763E12D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创建评教过程暂存功能，及二次编辑；需支持针对未开始的评教可修改评教起止时间、评教名称、评教参与班级等信息；需支持针对已开始未结束的评教可修改结束时间；需支持针对已结束的评教可修改延长评教截止时间；</w:t>
            </w:r>
          </w:p>
          <w:p w14:paraId="718778B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需支持创建评教事件时根据用户选择的评教班级，自动对评教开展条件检查，系统会自动给出提示具体存在问题，并允许完善相关信息；需支持编辑评价表标题、设定评价表类型，评价类试题需支持单选题、简答题，设定是否必填，设置分数；</w:t>
            </w:r>
          </w:p>
          <w:p w14:paraId="16EE4F6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需支持创建及使用系统推荐模板创建评价表，系统须需提供班主任评价表模板、必修课教师评价表模板；需支持创建二级评价指标评价表，调整评价表结构，拖动调整试题归属分项；需支持评价表预览、保存、编辑、删除、收藏评价表功能；</w:t>
            </w:r>
          </w:p>
          <w:p w14:paraId="71E27B9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需支持生成评教结果分析报告，报告包含全校、年级、教师个人三级报告，其中全校/年级报告分别基于全校/各年级所有参评学生评教数据展开统计分析得出评分、排名等分析结果；报告内容包含评教基础信息、综合评价分析、年级对比分析、课程对比分析、分项评价分析、同班不同科评教结果对比分析、教师得分明细、评价人评分明细、逐项（逐题）分析等模块内容；</w:t>
            </w:r>
          </w:p>
          <w:p w14:paraId="79A2E7E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需支持评教管理员导出评价结果分析报告，包含被评教师总体得分明细、排名、各班得分明细、各班试题评价结果明细、试题评价结果明细，同班不同科教师得分明细、评价人评分明细汇总、被评教师个人评分卡。</w:t>
            </w:r>
          </w:p>
          <w:p w14:paraId="5423232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2.学生/家长功能要求</w:t>
            </w:r>
          </w:p>
          <w:p w14:paraId="0B101A5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（1）需支持学生家长查看评教列表和进行评教；需支持查看历史“我”提交的评价数据；</w:t>
            </w:r>
          </w:p>
          <w:p w14:paraId="16C34D9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（2）需支持管理员发布评教和发送消息提醒给未评人员，需支持学生家长快捷实现相应评教任务。</w:t>
            </w:r>
          </w:p>
          <w:p w14:paraId="405411F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3.被评教师功能要求</w:t>
            </w:r>
          </w:p>
          <w:p w14:paraId="311CB25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（1）需支持用户查看评教活动，在管理员发布评教结果分析报告时收到消息提醒；</w:t>
            </w:r>
          </w:p>
          <w:p w14:paraId="04F0EE0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用户查看评教结果，教师个人分析报告，报告内容包含教师综合得分、排名，同班不同科目教师评分对比，分项得分率对比分析雷达图，各评价试题得分以及各试题下各选项选择人数及占比，评价人评价结果详情。</w:t>
            </w:r>
          </w:p>
          <w:p w14:paraId="3498E07D">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bCs/>
                <w:color w:val="000000"/>
                <w:kern w:val="0"/>
                <w:sz w:val="24"/>
              </w:rPr>
              <w:t>（二）智能排课</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需支持自动检测学校排课所需基础数据准备情况，并提示；需支持按学年学期和教学周期创建多套排课方案；需支持复制各排课方案，共用相同数据；需支持课表预览、删除不需要的排课方案、发布已完成的排课方案。</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2.需支持按校区年级查看、批量调整、批量导入学生信息，能够自动检测导入数据。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3.需支持单双周设置、合班课设置、课程不排课、课程排课区域 、连堂课设置、全局固定点。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4.需支持教师规则设置，至少包括教师互斥设置、教师课时设置、教师跨区安排、教师不排课设置。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5.需支持个性化设置，至少包括主副科设置、教案齐头、尽量集中半天、同班无连堂课设置。</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6.需支持按校区、年级展示所有行政班排课结果；需支持调整行政班课程排课位置，自动提示选中课程可排位置；需支持特殊要求课程排入期望节次中；需支持选中课程时，教师课表自动展示选中课程任课教师的任课课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7.需支持对行政课程同时进行一键自动排课，并可视化课表。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8.需支持自动校验数据和已设置规则并展示冲突信息；需支持生成多维度课表且自动进行学生、教师、教室以及规则的冲突检测，并提示冲突信息。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9.需支持查看规则的满足率并提示不满足规则的信息。</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10.需支持自动记录、恢复管理员调整课程的操作步骤，能够生成操作记录并需支持刷新课表；需支持按校区、年级锁定或解锁所有行政班已排课程位置；需支持管理员一键清除未锁定课程排课结果、切换排课界面主题颜色、调整行政课程配色。</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11.需支持管理员按校区、年级查看所有班级及教师课表、配置显示内容和导出样式；需支持管理员查看全校所有班级课表及所有勾选课程的任课教师课表，能够导出各维度课表。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12.需支持管理员查看学校课表、各班级课表、教师课表、课程课表，配置课表、导出课表。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13.需支持管理员根据教师调课需求选择调课周次创建调课，需支持对调、安排、删除调课操作并自动对管理员选中课程进行冲突检测。</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14.需支持发布已完成的调课，并发送消息提醒提示调课相关教师课程变化；需支持自动生成调课记录、查看、导出调课记录。</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15.需支持管理员为需要代课的教师安排代课教师；并需支持教师推荐、搜索代课教师、发布代课内容、发布消息提醒、生成代课记录。</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16.需支持任课教师查看教师个人代课记录且需支持统计、查看、导出任课教师任课课时。</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17.需支持学生、教师、班主任按权限查看各自课表、课程详情、调代课变动记录；需支持教师、学生、配置自己课表的显示内容。</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highlight w:val="yellow"/>
              </w:rPr>
              <w:t>七、增值服务</w:t>
            </w:r>
          </w:p>
          <w:p w14:paraId="6F1ED532">
            <w:pPr>
              <w:widowControl/>
              <w:numPr>
                <w:ilvl w:val="255"/>
                <w:numId w:val="0"/>
              </w:numPr>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（一）三方应用对接服务</w:t>
            </w:r>
          </w:p>
          <w:p w14:paraId="49C00A03">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1.建立规范的第三方开发者准入审核机制，提供开发者入驻资质核验服务。</w:t>
            </w:r>
          </w:p>
          <w:p w14:paraId="25015599">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2.搭建平台统一用户认证体系，支撑第三方应用快速对接平台统一账号，实现用户单点登录。</w:t>
            </w:r>
          </w:p>
          <w:p w14:paraId="6D7C1A85">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3.提供轻量化、实用化的第三方应用监管能力，支持对校内第三方应用在线状态、访问活跃度进行常态化监测与统计。</w:t>
            </w:r>
          </w:p>
          <w:p w14:paraId="6D2B0B8C">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4.应用上架及分发服务：建立标准化校园应用上架与分发管理机制，提供第三方应用从提交、审核、迭代到发布、授权分发的全流程闭环服务。</w:t>
            </w:r>
          </w:p>
          <w:p w14:paraId="2F4F0071">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5.完成不少于3个第三方应用系统的标准化对接适配，确保对接系统兼容稳定、功能正常、数据互通，满足普通高中多系统融合应用需求。</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highlight w:val="yellow"/>
              </w:rPr>
              <w:t>（二）数据工程服务</w:t>
            </w:r>
          </w:p>
          <w:p w14:paraId="23054671">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1.数据资源梳理服务</w:t>
            </w:r>
          </w:p>
          <w:p w14:paraId="52165F0A">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业务调研：面向学校各职能部门、年级组、教研组管理人员及业务操作人员开展面对面专项访谈，全面梳理校内组织架构、核心工作流程、日常管理模式、关键业务任务，精准摸排各部门数据查询、数据共享、业务支撑等实际需求，形成完整、可落地的业务调研成果。</w:t>
            </w:r>
          </w:p>
          <w:p w14:paraId="5AAF2E00">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（2）系统调研：获取各个部门业务系统的详细信息，包括业务系统分布、功能描述、系统网段、数据量等，侧重了解业务系统中关键业务表、字典表、业务字段的分布等信息。</w:t>
            </w:r>
          </w:p>
          <w:p w14:paraId="6AAB2356">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 xml:space="preserve">2.三方数据接入服务  </w:t>
            </w:r>
          </w:p>
          <w:p w14:paraId="57689C90">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（1）需实现三方系统数据接入目标；</w:t>
            </w:r>
          </w:p>
          <w:p w14:paraId="67B3EB8E">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（2）需提供跨机房的数据汇聚服务：实现互联网、局域网不同网络环境下数据汇聚目标。</w:t>
            </w:r>
          </w:p>
          <w:p w14:paraId="01B6B464">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（3）需提供包含库表、接口及文件来源类型的数据接入能力；</w:t>
            </w:r>
          </w:p>
          <w:p w14:paraId="7E194049">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（4）需提供增量数据接入服务：提供增量接入服务，降低数据仓库计算、存算压力。</w:t>
            </w:r>
          </w:p>
          <w:p w14:paraId="06DD57B0">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（5）需提供基于分析目标的数据接入服务：围绕大数据分析应用，实现不同厂商相似业务场景数据汇聚、呈现，例如校园教学考评管场景下数据接入服务，支撑大数据洞察分析；</w:t>
            </w:r>
          </w:p>
          <w:p w14:paraId="3C751273">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（6）服务实施成果交付物包含数据接入方案、系统接入清单、数据中心集成任务配置、接入网络规划。</w:t>
            </w:r>
          </w:p>
          <w:p w14:paraId="227C06A3">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（7）提供不少于3个接入系统的数据接入服务。</w:t>
            </w:r>
          </w:p>
          <w:p w14:paraId="4BD0BFE0">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3.数据治理服务</w:t>
            </w:r>
          </w:p>
          <w:p w14:paraId="2A4B8825">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（1）提供数据质量检查服务：基于国家标准开展数据质量检查服务，包含规范性、完整性、准确性、一致性、时效性及可访问性检查，并输出数据质量分析报告。</w:t>
            </w:r>
          </w:p>
          <w:p w14:paraId="283574B3">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（2）提供数据规整服务：对非标准数据进行统一转换，包含数据填充、数据字段映射、数据格式转换等。</w:t>
            </w:r>
          </w:p>
          <w:p w14:paraId="714B2222">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（3）提供数据融合服务：实现跨主题域、跨部门、跨行业的数据融合服务。</w:t>
            </w:r>
          </w:p>
          <w:p w14:paraId="6F6AE07E">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（4）提供数据确源服务：通过系统调研工作，及数据接入情况，对基础库、主题库进行唯一源头确认，实现一数一源目标。</w:t>
            </w:r>
          </w:p>
          <w:p w14:paraId="12848D04">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（5）提供数据安全管理服务：基于国标个人信息安全管理规范，识别敏感数据，并对敏感数据进行加密、脱敏等操作，实现存储安全、共享安全目标</w:t>
            </w:r>
            <w:r>
              <w:rPr>
                <w:rFonts w:hint="eastAsia" w:ascii="仿宋_GB2312" w:hAnsi="仿宋_GB2312" w:eastAsia="仿宋_GB2312" w:cs="仿宋_GB2312"/>
                <w:b w:val="0"/>
                <w:bCs w:val="0"/>
                <w:color w:val="000000"/>
                <w:kern w:val="0"/>
                <w:sz w:val="24"/>
                <w:highlight w:val="yellow"/>
                <w:lang w:eastAsia="zh-CN"/>
              </w:rPr>
              <w:t>。</w:t>
            </w:r>
          </w:p>
          <w:p w14:paraId="41299B6B">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（6）提供任务运维服务：作业、任务运行周报，包含异常情况的记录及优化方案</w:t>
            </w:r>
            <w:r>
              <w:rPr>
                <w:rFonts w:hint="eastAsia" w:ascii="仿宋_GB2312" w:hAnsi="仿宋_GB2312" w:eastAsia="仿宋_GB2312" w:cs="仿宋_GB2312"/>
                <w:b w:val="0"/>
                <w:bCs w:val="0"/>
                <w:color w:val="000000"/>
                <w:kern w:val="0"/>
                <w:sz w:val="24"/>
                <w:highlight w:val="yellow"/>
                <w:lang w:eastAsia="zh-CN"/>
              </w:rPr>
              <w:t>。</w:t>
            </w:r>
          </w:p>
          <w:p w14:paraId="423987FC">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（7）提供适配项目的数据治理服务：具备数据战略、数据治理、数据架构、数据应用、数据安全、数据质量、数据标准及数据生存周期8个能力域落地能力。</w:t>
            </w:r>
          </w:p>
          <w:p w14:paraId="12927338">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（8）提供不少于3个接入系统的数据治理服务。</w:t>
            </w:r>
          </w:p>
          <w:p w14:paraId="7FA943E0">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4.主题库建设服务</w:t>
            </w:r>
          </w:p>
          <w:p w14:paraId="18E2D7AC">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1.需提供数据仓库设计服务：基于项目教育信息化系统建设及数据需求情况，规划数据仓库建设</w:t>
            </w:r>
            <w:r>
              <w:rPr>
                <w:rFonts w:hint="eastAsia" w:ascii="仿宋_GB2312" w:hAnsi="仿宋_GB2312" w:eastAsia="仿宋_GB2312" w:cs="仿宋_GB2312"/>
                <w:b w:val="0"/>
                <w:bCs w:val="0"/>
                <w:color w:val="000000"/>
                <w:kern w:val="0"/>
                <w:sz w:val="24"/>
                <w:highlight w:val="yellow"/>
                <w:lang w:eastAsia="zh-CN"/>
              </w:rPr>
              <w:t>。</w:t>
            </w:r>
          </w:p>
          <w:p w14:paraId="6B67EC73">
            <w:pPr>
              <w:widowControl/>
              <w:numPr>
                <w:ilvl w:val="255"/>
                <w:numId w:val="0"/>
              </w:numPr>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2.需提供数据标准服务：具备教育行业数据模型，能覆盖学校教学考评管及教育单位常见业务过程。</w:t>
            </w:r>
          </w:p>
          <w:p w14:paraId="4CB0C7E5">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val="0"/>
                <w:bCs w:val="0"/>
                <w:color w:val="000000"/>
                <w:kern w:val="0"/>
                <w:sz w:val="24"/>
                <w:highlight w:val="yellow"/>
              </w:rPr>
              <w:t>3.需提供教育行业数据资产初始化：初始化教育行业标准数据元，教育部及国家发布的标准字典，用于数据比对规整工作</w:t>
            </w:r>
            <w:r>
              <w:rPr>
                <w:rFonts w:hint="eastAsia" w:ascii="仿宋_GB2312" w:hAnsi="仿宋_GB2312" w:eastAsia="仿宋_GB2312" w:cs="仿宋_GB2312"/>
                <w:color w:val="000000"/>
                <w:kern w:val="0"/>
                <w:sz w:val="24"/>
              </w:rPr>
              <w:t>。</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（三）校级数据驾驶舱开发服务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1.驾驶舱需求调研服务：需按照项目需求进行调研，确认驾驶舱展示内容，形成指标体系清单。并且完成系统架构设计、技术选型以及交互界面（UI/UX）的设计。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数据指标开发服务：需按照驾驶舱展现目标，提供数据指标计算服务，根据指标体系，对关键指标进行预先计算和聚合，并将结果存入数据库中。在此基础上，开发一套标准化的数据服务层，通过安全、统一的接口，向上层应用提供高效、稳定的数据查询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前端开发服务：需按照驾驶舱设计通过集成专业的图表库，将从数据服务层获取的指标数据，渲染为丰富的、动态的可视化图表。同时，将重点开发应用的交互功能，支持用户进行多维度的数据钻取、联动分析、时间范围筛选等高级操作。</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4.结合校方实际业务需求，提供不少于 40 人/日工作量的系统开发配套技术服务。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b/>
                <w:bCs/>
                <w:color w:val="000000"/>
                <w:kern w:val="0"/>
                <w:sz w:val="24"/>
              </w:rPr>
              <w:t>（四）平台云托管服务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1.整体服务要求：需提供完整一体化云资源托管服务，统筹承载计算、存储、网络三类基础核心资源，配套全周期托管运维保障，保障资源 7×24 小时稳定、安全、持续可用。</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2.计算服务器资源要求：提供合规标准化服务器托管资源，支持按需弹性调配算力规格，包含物理服务器或虚拟化云主机资源，配套硬件上架、通电、环境监控、硬件故障报修更换、远程管理等托管配套服务。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3.存储资源要求：配套分布式/块/对象存储托管资源，满足业务数据读写、持久化存储、备份留存需求，存储资源具备扩容扩展能力，提供存储巡检、数据安全防护、故障恢复托管服务。</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4.网络带宽资源要求：提供专属互联网/内网专线带宽托管资源，带宽资源可按需调整，支持网络链路冗余、流量监控、防火墙策略配置、DDoS 基础防护，保障网络传输低延迟、高稳定性。</w:t>
            </w:r>
            <w:r>
              <w:rPr>
                <w:rFonts w:hint="eastAsia" w:ascii="仿宋_GB2312" w:hAnsi="仿宋_GB2312" w:eastAsia="仿宋_GB2312" w:cs="仿宋_GB2312"/>
                <w:color w:val="000000"/>
                <w:kern w:val="0"/>
                <w:sz w:val="24"/>
              </w:rPr>
              <w:br w:type="textWrapping"/>
            </w:r>
            <w:r>
              <w:rPr>
                <w:rFonts w:hint="eastAsia" w:ascii="仿宋_GB2312" w:hAnsi="仿宋_GB2312" w:eastAsia="仿宋_GB2312" w:cs="仿宋_GB2312"/>
                <w:color w:val="000000"/>
                <w:kern w:val="0"/>
                <w:sz w:val="24"/>
              </w:rPr>
              <w:t>5.统一托管运维要求：所有服务器、存储、网络带宽资源纳入统一托管运维体系，需负责机房环境管理、设备日常巡检、故障应急处置、资源性能监测、月度运行报告输出等全流程托管工作。</w:t>
            </w:r>
          </w:p>
        </w:tc>
        <w:tc>
          <w:tcPr>
            <w:tcW w:w="1090" w:type="dxa"/>
            <w:tcBorders>
              <w:top w:val="single" w:color="auto" w:sz="4" w:space="0"/>
              <w:left w:val="single" w:color="auto" w:sz="4" w:space="0"/>
              <w:bottom w:val="single" w:color="auto" w:sz="4" w:space="0"/>
              <w:right w:val="single" w:color="auto" w:sz="4" w:space="0"/>
            </w:tcBorders>
            <w:vAlign w:val="center"/>
          </w:tcPr>
          <w:p w14:paraId="6271661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618F6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D47A2E2">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w:t>
            </w:r>
          </w:p>
        </w:tc>
        <w:tc>
          <w:tcPr>
            <w:tcW w:w="1017" w:type="dxa"/>
            <w:tcBorders>
              <w:top w:val="single" w:color="auto" w:sz="4" w:space="0"/>
              <w:left w:val="single" w:color="auto" w:sz="4" w:space="0"/>
              <w:bottom w:val="single" w:color="auto" w:sz="4" w:space="0"/>
              <w:right w:val="single" w:color="auto" w:sz="4" w:space="0"/>
            </w:tcBorders>
            <w:vAlign w:val="center"/>
          </w:tcPr>
          <w:p w14:paraId="523AC411">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rPr>
              <w:t>教师数字画像分析系统</w:t>
            </w:r>
          </w:p>
        </w:tc>
        <w:tc>
          <w:tcPr>
            <w:tcW w:w="7203" w:type="dxa"/>
            <w:tcBorders>
              <w:top w:val="single" w:color="auto" w:sz="4" w:space="0"/>
              <w:left w:val="single" w:color="auto" w:sz="4" w:space="0"/>
              <w:bottom w:val="single" w:color="auto" w:sz="4" w:space="0"/>
              <w:right w:val="single" w:color="auto" w:sz="4" w:space="0"/>
            </w:tcBorders>
            <w:vAlign w:val="center"/>
          </w:tcPr>
          <w:p w14:paraId="0C8209DE">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一、校级全息搜索-AI智能检索助手</w:t>
            </w:r>
          </w:p>
          <w:p w14:paraId="35E15B1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1.支持学校管理员使用对话式智能查询，通过自然语言提问，系统自动返回查询结果并做智能解析；提供常用查询指令推荐功能。</w:t>
            </w:r>
          </w:p>
          <w:p w14:paraId="7A7C0E0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2.面向教师专业业务场景，支持大模型并发调用，并发路数不少于4路。</w:t>
            </w:r>
          </w:p>
          <w:p w14:paraId="232B77F6">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二、校级全息搜索-精准搜</w:t>
            </w:r>
          </w:p>
          <w:p w14:paraId="6529AFB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1.提供面向师资台账精细化核查场景的精准检索功能：系统配置不少于2种条件检索方式。学校管理者可按需自定义检索条件，灵活筛选、精准定位目标教师数据，支撑师资摸排、统计分析等管理工作。</w:t>
            </w:r>
          </w:p>
          <w:p w14:paraId="55EF78E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2.支持快捷搜模板配置功能，可预设常用人员筛选模板，按照学科带头人、拟办理退休教师、符合交流轮岗条件人员等常用管理口径，实现一键快捷搜索，减轻管理人员重复设置查询条件的工作量。</w:t>
            </w:r>
          </w:p>
          <w:p w14:paraId="771A551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3.支持组合检索模式，可同时获取满足条件的人员数量统计以及对应的人员名单，满足汇总统计和明细提取两类业务需要。</w:t>
            </w:r>
          </w:p>
          <w:p w14:paraId="5427993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4.在开展多批次师资摸排时，系统支持用户将多次独立检索得到的结果归集加入用户结果池，可统一导出汇总数据，方便跨批次数据合并分析。</w:t>
            </w:r>
          </w:p>
          <w:p w14:paraId="01F86A3E">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三、校级群体分析</w:t>
            </w:r>
          </w:p>
          <w:p w14:paraId="341DD27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1.专任教师队伍分析：支持校级管理者查看本校专任教师队伍基本结构情况，可从多维度拆解师资构成，分析维度至少包括：性别、年龄、编制、学科、学历、职称分析，直观掌握队伍基本家底。</w:t>
            </w:r>
          </w:p>
          <w:p w14:paraId="321B6AB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2.荣誉奖项分析：支持校级管理者查看本校教师荣誉奖项数量统计以及教师个人成果排行数据；支持按学年切片查看，追踪成果随时间的变化趋势，了解教师荣誉建设进展。</w:t>
            </w:r>
          </w:p>
          <w:p w14:paraId="0FA7A6E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3.科研成果分析：支持校级管理者查看本校教师教科研成果数量统计以及教师成果排行数据；支持按学年查看成果变化趋势，跟踪全校科研产出情况。</w:t>
            </w:r>
          </w:p>
          <w:p w14:paraId="741A64E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4.教学活动分析：支持校级管理者查看教师在日常教学中，使用信息化手段开展备课、授课、作业组织、教学资源分享的次数统计数据以及教师排行，掌握信息化教学应用普及情况。</w:t>
            </w:r>
          </w:p>
          <w:p w14:paraId="5CF8D42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5.教研活动分析：支持校级管理者查看本校教师参与各类教研活动的统计数据和教师排行；支持按学年查看数据变化趋势，动态监测校内教研活动开展情况。</w:t>
            </w:r>
          </w:p>
          <w:p w14:paraId="128480F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6.培训学习分析：支持校级管理者查看本校教师参与各级各类培训活动的统计数据和教师排行；支持按学年查看数据变化趋势，跟踪教师专业发展培训参与情况。</w:t>
            </w:r>
          </w:p>
          <w:p w14:paraId="0315EB72">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四、个人档案中心</w:t>
            </w:r>
          </w:p>
          <w:p w14:paraId="09AFB1C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个体档案：教师可以按照预设档案维度分类查阅本人的档案明细数据；支持教师自主维护档案，可对个人档案数据执行新增、修改、删除操作；教师可随时查阅个人档案中处于待审核、已驳回、已反馈状态的档案条目，跟进材料审核进度。</w:t>
            </w:r>
          </w:p>
          <w:p w14:paraId="4AE61FA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个人画像：支持以标签化形式展示教师个人成长画像，统计学术、教研、培训、荣誉奖项各维度下成果的有效活跃年份数以及成果数量变化趋势；同时可以集中展示教师在表彰、获奖、教研活动等过程中的标志性突破性事件，直观呈现成长亮点。</w:t>
            </w:r>
          </w:p>
          <w:p w14:paraId="38D52F5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3.支持教师在线预览个人完整档案，并且可以根据实际业务需要按需导出档案材料。</w:t>
            </w:r>
          </w:p>
          <w:p w14:paraId="001A01B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4.提供档案筛选能力，可依据档案对应的业务维度，对档案条目进行筛选查看。</w:t>
            </w:r>
          </w:p>
          <w:p w14:paraId="4C3892C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5.提供时间筛选能力，可设定时间周期，筛选该时段内产生的档案内容。</w:t>
            </w:r>
          </w:p>
          <w:p w14:paraId="285760C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6.支持档案附件单独一键批量导出，方便教师下载证书、证明等附件材料。</w:t>
            </w:r>
          </w:p>
          <w:p w14:paraId="1305921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7.支持将整套个人档案一键导出为word文件，便于线下存档、打印使用。</w:t>
            </w:r>
          </w:p>
          <w:p w14:paraId="65418B62">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五、校级评价观测</w:t>
            </w:r>
          </w:p>
          <w:p w14:paraId="538D48E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校级评价配置：校级评价管理人员可以自主创建不同类型的教师评价指标框架，框架内容包含：一级维度、二级维度、评价观测要点、赋分规则；支持自定义设置评价对象范围，同时可配置适配本次评价的结果分析方法，适配不同评价方案的建设需求。</w:t>
            </w:r>
          </w:p>
          <w:p w14:paraId="43DB2E8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2.本校评价任务管理：校级管理者可以集中查看本校所有已创建的教师评价框架清单，并且支持打开查看每一套框架对应的完整指标体系，方便统筹管理多套评价方案。</w:t>
            </w:r>
          </w:p>
          <w:p w14:paraId="72EE8D9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校级评价报告：校级管理者可以查看校级教师评价分析报告。系统可按照设定的评价群组，展示群体总体表现以及各分项维度表现，结合群组平均水平与常模参照进行比对分析，识别队伍整体优势项与薄弱项，并针对性给出队伍整体提升建议；支持查看配套结果报表。</w:t>
            </w:r>
          </w:p>
          <w:p w14:paraId="3BEE4C1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4.个体评价报告：校级管理者可以查看指定教师的个体评价分析报告。系统展示该教师的总体得分与分维度表现，识别存在提升空间的项目，为该教师推荐优先改进方向以及可供参照学习的对象，实现精准诊断。</w:t>
            </w:r>
          </w:p>
          <w:p w14:paraId="469F745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◆5.评价案例库：</w:t>
            </w:r>
            <w:r>
              <w:rPr>
                <w:rFonts w:hint="eastAsia" w:ascii="仿宋_GB2312" w:hAnsi="仿宋_GB2312" w:eastAsia="仿宋_GB2312" w:cs="仿宋_GB2312"/>
                <w:b w:val="0"/>
                <w:bCs w:val="0"/>
                <w:color w:val="000000"/>
                <w:kern w:val="0"/>
                <w:sz w:val="24"/>
                <w:highlight w:val="yellow"/>
                <w:u w:val="wave"/>
              </w:rPr>
              <w:t>需内置≥2套典型评价案例</w:t>
            </w:r>
            <w:r>
              <w:rPr>
                <w:rFonts w:hint="eastAsia" w:ascii="仿宋_GB2312" w:hAnsi="仿宋_GB2312" w:eastAsia="仿宋_GB2312" w:cs="仿宋_GB2312"/>
                <w:b w:val="0"/>
                <w:bCs w:val="0"/>
                <w:color w:val="000000"/>
                <w:kern w:val="0"/>
                <w:sz w:val="24"/>
                <w:highlight w:val="yellow"/>
              </w:rPr>
              <w:t>，需支持预览评价框架和报告，需支持案例匹配度检测、支持一键复用评价框架。</w:t>
            </w:r>
          </w:p>
          <w:p w14:paraId="785F8BD9">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六、校级教师发展成长树</w:t>
            </w:r>
          </w:p>
          <w:p w14:paraId="265B030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1.从工作过程、工作成效两个层面，可视化呈现本校教师教学、教研、培训、荣誉奖项、科研成果相关数据。</w:t>
            </w:r>
          </w:p>
          <w:p w14:paraId="3834FF4E">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2.采用成长树可视化视图，展示教师评价的群体统计数据。</w:t>
            </w:r>
          </w:p>
          <w:p w14:paraId="5919FE7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3.支持展示评价表现优异的教师代表。</w:t>
            </w:r>
          </w:p>
          <w:p w14:paraId="74BC669A">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七、智能采集助手</w:t>
            </w:r>
          </w:p>
          <w:p w14:paraId="618F913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1.集成通用高精度图文识别技术，支持各类纸质证书、证明材料的通用文字精准识别、印章识别等，适配各类制式证书材料的信息采集需求，为档案智能录入提供技术支撑。</w:t>
            </w:r>
          </w:p>
          <w:p w14:paraId="5014BC0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 依托通用人工智能大模型智能识别分析能力，自动判定证书、证明材料类型，实现材料智能分类、标准化信息编目；支持识别的材料类型不少于11类，具体包含不限于：教师资格证、毕业证书、学位证书、职称聘书、专业技术岗位聘书、个人获奖证书、课题结题证书、培训学习证书、指导学生获奖证书、指导教师获奖证书、普通话水平证书、英语等级证书、计算机等级证书。</w:t>
            </w:r>
          </w:p>
          <w:p w14:paraId="350661B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 依托通用人工智能大模型智能数据分析能力，实现证书信息智能提取、结构化回填，自动精准识别并提取奖项名称、奖项级别、颁奖单位、获奖时间等核心字段，完成档案信息标准化自动录入，减少人工填报工作量。</w:t>
            </w:r>
          </w:p>
          <w:p w14:paraId="7B354060">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八、移动端</w:t>
            </w:r>
          </w:p>
          <w:p w14:paraId="175CF54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（一）管理端</w:t>
            </w:r>
          </w:p>
          <w:p w14:paraId="00F2024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1.支持评价报告查询，包含评价任务列表、评价报告查阅。</w:t>
            </w:r>
          </w:p>
          <w:p w14:paraId="4087A9B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2.搭载AI智能查询，支持自然语言检索教师信息，涵盖人员检索、材料检索、指标查询。</w:t>
            </w:r>
          </w:p>
          <w:p w14:paraId="51BA33C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3.管理员可在移动端查看待办消息提醒。</w:t>
            </w:r>
          </w:p>
          <w:p w14:paraId="136E317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（二）教师端</w:t>
            </w:r>
          </w:p>
          <w:p w14:paraId="3CC433C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1.可按个人获奖、培训学习、指导学生获奖、公开课教学类别，统计个人档案条目数量。</w:t>
            </w:r>
          </w:p>
          <w:p w14:paraId="2AB9DDEE">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2.查看本人档案明细；支持按维度、时间、审核状态筛选档案，可按时间先后对档案记录排序。</w:t>
            </w:r>
          </w:p>
          <w:p w14:paraId="4BD1FE8A">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3.支持关键词检索个人档案，可按指定维度检索；保存检索历史记录，检索结果分类展示。</w:t>
            </w:r>
          </w:p>
          <w:p w14:paraId="1E435E3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4.在用户自主授权前提下，支持移动端拍照采集纸质档案材料，可实时对拍摄图片进行裁剪、角度调整、隐私打码等编辑操作，同步联动图文智能识别技术完成信息智能采集录入。</w:t>
            </w:r>
          </w:p>
          <w:p w14:paraId="39F64D0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5.在用户自主授权前提下，支持读取手机相册、本地存储文件中的证书、证明材料并上传至个人档案，上传过程支持图文智能识别、信息自动提取。</w:t>
            </w:r>
          </w:p>
          <w:p w14:paraId="0F4E980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6.支持纯文本类档案手动录入填报。</w:t>
            </w:r>
          </w:p>
          <w:p w14:paraId="018D544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val="0"/>
                <w:bCs w:val="0"/>
                <w:color w:val="000000"/>
                <w:kern w:val="0"/>
                <w:sz w:val="24"/>
                <w:highlight w:val="yellow"/>
              </w:rPr>
              <w:t>7.支持教师维护个人资料，可修改头像、基础信息、求学经历、工作履历。</w:t>
            </w:r>
          </w:p>
        </w:tc>
        <w:tc>
          <w:tcPr>
            <w:tcW w:w="1090" w:type="dxa"/>
            <w:tcBorders>
              <w:top w:val="single" w:color="auto" w:sz="4" w:space="0"/>
              <w:left w:val="single" w:color="auto" w:sz="4" w:space="0"/>
              <w:bottom w:val="single" w:color="auto" w:sz="4" w:space="0"/>
              <w:right w:val="single" w:color="auto" w:sz="4" w:space="0"/>
            </w:tcBorders>
            <w:vAlign w:val="center"/>
          </w:tcPr>
          <w:p w14:paraId="71C4FEBC">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416B8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956571B">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w:t>
            </w:r>
          </w:p>
        </w:tc>
        <w:tc>
          <w:tcPr>
            <w:tcW w:w="1017" w:type="dxa"/>
            <w:tcBorders>
              <w:top w:val="single" w:color="auto" w:sz="4" w:space="0"/>
              <w:left w:val="single" w:color="auto" w:sz="4" w:space="0"/>
              <w:bottom w:val="single" w:color="auto" w:sz="4" w:space="0"/>
              <w:right w:val="single" w:color="auto" w:sz="4" w:space="0"/>
            </w:tcBorders>
            <w:vAlign w:val="center"/>
          </w:tcPr>
          <w:p w14:paraId="2E18253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LED室内全彩显示屏</w:t>
            </w:r>
          </w:p>
        </w:tc>
        <w:tc>
          <w:tcPr>
            <w:tcW w:w="7203" w:type="dxa"/>
            <w:tcBorders>
              <w:top w:val="single" w:color="auto" w:sz="4" w:space="0"/>
              <w:left w:val="single" w:color="auto" w:sz="4" w:space="0"/>
              <w:bottom w:val="single" w:color="auto" w:sz="4" w:space="0"/>
              <w:right w:val="single" w:color="auto" w:sz="4" w:space="0"/>
            </w:tcBorders>
            <w:vAlign w:val="center"/>
          </w:tcPr>
          <w:p w14:paraId="7A1EF5B6">
            <w:pPr>
              <w:widowControl/>
              <w:jc w:val="left"/>
            </w:pPr>
            <w:r>
              <w:rPr>
                <w:rFonts w:hint="eastAsia" w:ascii="仿宋_GB2312" w:hAnsi="仿宋_GB2312" w:eastAsia="仿宋_GB2312" w:cs="仿宋_GB2312"/>
                <w:sz w:val="24"/>
              </w:rPr>
              <w:t>详细参数：</w:t>
            </w:r>
          </w:p>
          <w:p w14:paraId="22F70A0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1.屏体尺寸：宽度≥7.36米，高度≥1.92米；</w:t>
            </w:r>
          </w:p>
          <w:p w14:paraId="4E97187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2.点间距≤2mm；像素密度≥250000 点/平米，SMD三合一封装；</w:t>
            </w:r>
          </w:p>
          <w:p w14:paraId="3984E96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3.平整度≤0.2mm;拼接精度≤0.05mm, 水平相对错位等级≤5%;垂直相对错位等级≤5%；</w:t>
            </w:r>
          </w:p>
          <w:p w14:paraId="702C3C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4.亮度均匀 ≥98%；</w:t>
            </w:r>
          </w:p>
          <w:p w14:paraId="485B380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5.刷新率≥3840HZ；</w:t>
            </w:r>
          </w:p>
          <w:p w14:paraId="45CBEC4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6.亮度鉴别等级≥20；</w:t>
            </w:r>
          </w:p>
          <w:p w14:paraId="4831A41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7.最大亮度≥500cd/㎡；</w:t>
            </w:r>
          </w:p>
          <w:p w14:paraId="4044F03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8.水平视角≥160°垂直视角≥160°；</w:t>
            </w:r>
          </w:p>
          <w:p w14:paraId="15A6837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9.LED显示屏符合GB 21520-2023标准，能效一级，最大功耗≤400W/㎡；平均功耗≤ 85W/㎡；</w:t>
            </w:r>
          </w:p>
          <w:p w14:paraId="2A81ED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10.平均失效间隔工作时间≥100000h；使用寿命≥100000h；</w:t>
            </w:r>
          </w:p>
          <w:p w14:paraId="09E09A2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11.在常规温度下，LED显示屏供电电源的功率因数＞90%，，转换效率不小于＞70%，支持电源均流 DC4.2V-DC5V；</w:t>
            </w:r>
          </w:p>
          <w:p w14:paraId="60122BE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12.多个LED模组金属外壳与钢架一起接地，显示屏整体接地电阻不大于1Ω；</w:t>
            </w:r>
          </w:p>
          <w:p w14:paraId="06228BD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13.维护方式：支持后/前多种维护方式；</w:t>
            </w:r>
          </w:p>
          <w:p w14:paraId="4480A25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14.支持单点检测逐点校正功能，单点亮度校正，单点颜色校正、单点色温可调。校正数据存储在模组中，更换模组可自动回读；</w:t>
            </w:r>
          </w:p>
          <w:p w14:paraId="04B7646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15.视网膜蓝光危害：符合GB/T 20145-2006标准要求，蓝光视网膜危害应属无危害类；</w:t>
            </w:r>
          </w:p>
          <w:p w14:paraId="050E631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16.产品水平燃烧试验满足HB等级；机械碰撞防护符合IK06要求</w:t>
            </w:r>
          </w:p>
          <w:p w14:paraId="57E6C5B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灯驱合一，多层电路板设计，PCB焊盘采用沉金工艺处理，无电感效应，不花屏，具备消隐、节能功能；</w:t>
            </w:r>
          </w:p>
          <w:p w14:paraId="05213FE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17.支持千兆以太网（RJ45 或光纤）连接，支持星型，网状型，分布式，树型等多种结构；</w:t>
            </w:r>
          </w:p>
          <w:p w14:paraId="5A8AA6A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18.支持PWM 灰阶控制技术提升低灰视觉效果；支持软件实现不同亮度情况下，灰度8-16bit任意设置0-100%亮度时，8-16bits任意灰度设直；具有多点测温功能，防止温度过高造成局部颜色混乱、分离，提高屏体寿命；</w:t>
            </w:r>
          </w:p>
          <w:p w14:paraId="5EDA0D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19.谐波电流发射试验符合GB 17625.1-2022电磁兼容A类设备限值要求，电压波动和闪烁变化符合GB/T 17625.2-2007标准限值要求；</w:t>
            </w:r>
          </w:p>
          <w:p w14:paraId="5DC8C6C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20.具有电源温度控制功能，避免电源因温度过高导致失效，可实时监测电源温度，超出预警温度直接发出报警指示，并锁定过温电源位置；</w:t>
            </w:r>
          </w:p>
          <w:p w14:paraId="3F268BC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21.计算机控制，逐点一一对应，视频同步，实时显示；</w:t>
            </w:r>
          </w:p>
          <w:p w14:paraId="3B7B207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22.支持DVI、HDMI、VGA、SDI、S-Video、DP、网络流媒体等多种格式的信号输入至视频处理器；</w:t>
            </w:r>
          </w:p>
          <w:p w14:paraId="4AB799F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23.支持任意非标准分辨率信号输入自适应，输出范围内进行缩放，实现最佳分辨率自动匹配，避免屏幕比例和黑边问题的复杂调试；</w:t>
            </w:r>
          </w:p>
          <w:p w14:paraId="4ACE74A4">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24.支持无信号输入自动熄屏待机，有信号输入自动唤醒功能；</w:t>
            </w:r>
          </w:p>
        </w:tc>
        <w:tc>
          <w:tcPr>
            <w:tcW w:w="1090" w:type="dxa"/>
            <w:tcBorders>
              <w:top w:val="single" w:color="auto" w:sz="4" w:space="0"/>
              <w:left w:val="single" w:color="auto" w:sz="4" w:space="0"/>
              <w:bottom w:val="single" w:color="auto" w:sz="4" w:space="0"/>
              <w:right w:val="single" w:color="auto" w:sz="4" w:space="0"/>
            </w:tcBorders>
            <w:vAlign w:val="center"/>
          </w:tcPr>
          <w:p w14:paraId="55A2AEC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14.13平方米</w:t>
            </w:r>
          </w:p>
        </w:tc>
      </w:tr>
      <w:tr w14:paraId="0F5B0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AF9D6FB">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4</w:t>
            </w:r>
          </w:p>
        </w:tc>
        <w:tc>
          <w:tcPr>
            <w:tcW w:w="1017" w:type="dxa"/>
            <w:tcBorders>
              <w:top w:val="single" w:color="auto" w:sz="4" w:space="0"/>
              <w:left w:val="single" w:color="auto" w:sz="4" w:space="0"/>
              <w:bottom w:val="single" w:color="auto" w:sz="4" w:space="0"/>
              <w:right w:val="single" w:color="auto" w:sz="4" w:space="0"/>
            </w:tcBorders>
            <w:vAlign w:val="center"/>
          </w:tcPr>
          <w:p w14:paraId="661295C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视频处理器</w:t>
            </w:r>
          </w:p>
        </w:tc>
        <w:tc>
          <w:tcPr>
            <w:tcW w:w="7203" w:type="dxa"/>
            <w:tcBorders>
              <w:top w:val="single" w:color="auto" w:sz="4" w:space="0"/>
              <w:left w:val="single" w:color="auto" w:sz="4" w:space="0"/>
              <w:bottom w:val="single" w:color="auto" w:sz="4" w:space="0"/>
              <w:right w:val="single" w:color="auto" w:sz="4" w:space="0"/>
            </w:tcBorders>
            <w:vAlign w:val="center"/>
          </w:tcPr>
          <w:p w14:paraId="00389AC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0C58568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1.输入接口包括1路HDMI2.0+LOOP，2路HDMI1.3，1路USB3.0，支持选配1路3G-SDI（IN+LOOP），最大支持4096*2160@60HZ信号输入；</w:t>
            </w:r>
          </w:p>
          <w:p w14:paraId="7F9D3D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2.视频输出支持6个千兆网口输出，1路10G-OPT光口，最大带载高达390万像素，最宽支持10240,最高8192。</w:t>
            </w:r>
          </w:p>
          <w:p w14:paraId="1001F62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3.最大可支持6个2K图层或1个4K图层+2个2K图层，全部图层大小和位置可单独调节。4K接口输入2K信号，按2K图层计算图层资源；</w:t>
            </w:r>
          </w:p>
          <w:p w14:paraId="19908D7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4.集成发送卡和视频处理器功能，连线更少，设备集成度更高，稳定性兼容性大大提升。</w:t>
            </w:r>
          </w:p>
          <w:p w14:paraId="1239FD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5.支持U盘即插即播功能，最大支持4K级（3840*2160@60fps）图片和视频的流畅播放，播放列表及切换效果支持自定义编排，最多支持20余种图片切换特效；</w:t>
            </w:r>
          </w:p>
          <w:p w14:paraId="7BF5DFDF">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6.支持微信小程序快捷控制，平板快捷控制。</w:t>
            </w:r>
          </w:p>
        </w:tc>
        <w:tc>
          <w:tcPr>
            <w:tcW w:w="1090" w:type="dxa"/>
            <w:tcBorders>
              <w:top w:val="single" w:color="auto" w:sz="4" w:space="0"/>
              <w:left w:val="single" w:color="auto" w:sz="4" w:space="0"/>
              <w:bottom w:val="single" w:color="auto" w:sz="4" w:space="0"/>
              <w:right w:val="single" w:color="auto" w:sz="4" w:space="0"/>
            </w:tcBorders>
            <w:vAlign w:val="center"/>
          </w:tcPr>
          <w:p w14:paraId="11884991">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427CB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9EFE1CA">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w:t>
            </w:r>
          </w:p>
        </w:tc>
        <w:tc>
          <w:tcPr>
            <w:tcW w:w="1017" w:type="dxa"/>
            <w:tcBorders>
              <w:top w:val="single" w:color="auto" w:sz="4" w:space="0"/>
              <w:left w:val="single" w:color="auto" w:sz="4" w:space="0"/>
              <w:bottom w:val="single" w:color="auto" w:sz="4" w:space="0"/>
              <w:right w:val="single" w:color="auto" w:sz="4" w:space="0"/>
            </w:tcBorders>
            <w:vAlign w:val="center"/>
          </w:tcPr>
          <w:p w14:paraId="5F5A1E18">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接收卡</w:t>
            </w:r>
          </w:p>
        </w:tc>
        <w:tc>
          <w:tcPr>
            <w:tcW w:w="7203" w:type="dxa"/>
            <w:tcBorders>
              <w:top w:val="single" w:color="auto" w:sz="4" w:space="0"/>
              <w:left w:val="single" w:color="auto" w:sz="4" w:space="0"/>
              <w:bottom w:val="single" w:color="auto" w:sz="4" w:space="0"/>
              <w:right w:val="single" w:color="auto" w:sz="4" w:space="0"/>
            </w:tcBorders>
            <w:vAlign w:val="center"/>
          </w:tcPr>
          <w:p w14:paraId="6F57D3E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1DD5BB2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1.单卡最大带载512×512像素，最多支持24组RGB并行数据；</w:t>
            </w:r>
          </w:p>
          <w:p w14:paraId="571333D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2.支持色彩管理，将显示色域在多个色域之间自由切换，使显示屏色彩更精准。</w:t>
            </w:r>
          </w:p>
          <w:p w14:paraId="4DC0F0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3.支持18Bit+,使LED显示屏灰阶提升4倍，有效处理低亮时灰度丢失问题，使图像显示更细腻。</w:t>
            </w:r>
          </w:p>
          <w:p w14:paraId="239808D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4.采用12个标准HUB75接口，具有高稳定性和高可靠性，适用于多种环境的搭建。</w:t>
            </w:r>
          </w:p>
          <w:p w14:paraId="05C174B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5.支持逐点亮度校正，可以对每个灯点的亮度进行校正，使整屏的亮度达到高度均匀一致，提高显示屏的画质。</w:t>
            </w:r>
          </w:p>
          <w:p w14:paraId="55C00D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6.快速亮暗线调节在调试软件上进行快速亮暗线调节，快速解决因箱体及模组拼接造成的显示屏亮暗线，调节过程中即时生效，简单易用。</w:t>
            </w:r>
          </w:p>
          <w:p w14:paraId="0CE8C1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7.配合支持3D功能的独立主控，在软件或独立主控的操作面板上开启3D功能，并设置3D参数，使画面显示3D效果。</w:t>
            </w:r>
          </w:p>
          <w:p w14:paraId="0728E6B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8.支持Mapping功能开启，每个箱体上会显示数字，清楚告诉您当前箱体是哪个网口下的哪张接收卡，直观的看到显示屏连接状况。</w:t>
            </w:r>
          </w:p>
          <w:p w14:paraId="623B88D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9.支持预存画面设置，可以将指定图片设置为显示屏的开机、网线断开或无视频源信号时的画面或者最后一帧画面。</w:t>
            </w:r>
          </w:p>
          <w:p w14:paraId="6BD3EC6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10.通过电源指示灯和状态指示灯不同闪烁状态可以判断，屏体工作状态，无需软件。</w:t>
            </w:r>
          </w:p>
          <w:p w14:paraId="62C6A35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11.可配合多功能卡，实现当温度高于设定值时，自动断电，或打开风扇空调降低温度，保证屏体安全。</w:t>
            </w:r>
          </w:p>
          <w:p w14:paraId="39C47D66">
            <w:pPr>
              <w:widowControl/>
              <w:wordWrap w:val="0"/>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 RGB独立Gamma调节技术增加调节维度，通过对“红 Gamma”、“绿Gamma”、“蓝Gamma”分别进行调节，有效控制显示屏低灰不均匀、白平衡漂移等问题，使画面更加真实，提高色彩调节的灵活性。</w:t>
            </w:r>
          </w:p>
          <w:p w14:paraId="6A6A53B5">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 可以监测自身的温度和电压，无需其他外设，在软件上可以查看接收卡的温度和电压，检测发送设备与接收卡间或接收卡与接收卡间的网络通讯质量，记录错误包数，协助排除网络通讯隐患。</w:t>
            </w:r>
          </w:p>
        </w:tc>
        <w:tc>
          <w:tcPr>
            <w:tcW w:w="1090" w:type="dxa"/>
            <w:tcBorders>
              <w:top w:val="single" w:color="auto" w:sz="4" w:space="0"/>
              <w:left w:val="single" w:color="auto" w:sz="4" w:space="0"/>
              <w:bottom w:val="single" w:color="auto" w:sz="4" w:space="0"/>
              <w:right w:val="single" w:color="auto" w:sz="4" w:space="0"/>
            </w:tcBorders>
            <w:vAlign w:val="center"/>
          </w:tcPr>
          <w:p w14:paraId="0C56F81A">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26张</w:t>
            </w:r>
          </w:p>
        </w:tc>
      </w:tr>
      <w:tr w14:paraId="651B1A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2EFF841">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6</w:t>
            </w:r>
          </w:p>
        </w:tc>
        <w:tc>
          <w:tcPr>
            <w:tcW w:w="1017" w:type="dxa"/>
            <w:tcBorders>
              <w:top w:val="single" w:color="auto" w:sz="4" w:space="0"/>
              <w:left w:val="single" w:color="auto" w:sz="4" w:space="0"/>
              <w:bottom w:val="single" w:color="auto" w:sz="4" w:space="0"/>
              <w:right w:val="single" w:color="auto" w:sz="4" w:space="0"/>
            </w:tcBorders>
            <w:vAlign w:val="center"/>
          </w:tcPr>
          <w:p w14:paraId="10AF6F9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智能中控</w:t>
            </w:r>
          </w:p>
        </w:tc>
        <w:tc>
          <w:tcPr>
            <w:tcW w:w="7203" w:type="dxa"/>
            <w:tcBorders>
              <w:top w:val="single" w:color="auto" w:sz="4" w:space="0"/>
              <w:left w:val="single" w:color="auto" w:sz="4" w:space="0"/>
              <w:bottom w:val="single" w:color="auto" w:sz="4" w:space="0"/>
              <w:right w:val="single" w:color="auto" w:sz="4" w:space="0"/>
            </w:tcBorders>
            <w:vAlign w:val="center"/>
          </w:tcPr>
          <w:p w14:paraId="4BE6F60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72DC0B8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采用MINI型机壳，外壳防护等级符合GB/T4208-2017中IP20标准要求，支持不低于7*24小时持续稳定运行，平均无故障运行时间（MTBF）≥300000小时，设备内置大容量存储空间，支持数据实时存储/掉电存储，上电后数据智能快速恢复；</w:t>
            </w:r>
          </w:p>
          <w:p w14:paraId="5CD68E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2.设备至少需支持桌面放置、壁挂安装、标准19英寸机柜安装等多种安装方式，支持设备拓扑的图形化编辑与配置，实现中控主机与受控设备的映射关系可视化呈现，可实时展示设备的连接状态；</w:t>
            </w:r>
          </w:p>
          <w:p w14:paraId="5E7712D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3.支持手机APP远程控制，通过云平台数据安全处理和权限控制，实现账号安全和操控安全。同时支持非云端本地控制，设备响应时间≤10ms；</w:t>
            </w:r>
          </w:p>
          <w:p w14:paraId="1DD70B9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4.需采用Linux操作系统，不劣于四核 CortexA55，主频不低于2.0GHz，CPU不劣于ARM Cortex ® 64位工业级处理器，内存不低于32GB EMMC，2GB DDR，采用千兆交换网络通信；</w:t>
            </w:r>
          </w:p>
          <w:p w14:paraId="2D484C4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5.主机支持不少于2路全双向通讯串行接口，可兼容RS232 / RS422/RS485/DMX512/Modbus等协议；支持不少于3路I/O 输入输出控制接口；支持不少于2路RELAY接口；支持不少于1路IR学习接口和3路IR输出接口，所有接口均可通过扩展模块实现无限扩展；</w:t>
            </w:r>
          </w:p>
          <w:p w14:paraId="43E196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6.支持不少于1路USB 3.0接口，支持设备的固件升级、设备参数和工程文件的导入导出，支持连接扩展坞，扩展USB接口数量；</w:t>
            </w:r>
          </w:p>
          <w:p w14:paraId="69134AC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7.支持不少于1路ETHERNET控制接口，10/100/1000Mbps自适应网口，至少需兼容TCP、UDP组播、UDP广播、Art-Net、HTTPS、HTTP和MQTT等控制协议，支持 SNMP网络管理协议；支持TCP客户端长/短连接，TCP/UDP客户端链接数≥20000个，TCP/UDP服务端链接数≥100个；TCP长连接支持心跳包，定时监测连接状态；</w:t>
            </w:r>
          </w:p>
          <w:p w14:paraId="0127474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8.设备模型库需内置大量受控设备的指令内容，以及丰富的红外指令，支持根据品牌、型号快速进行选择并实例化；设备模型库至少支持本地建模、指令录入、云端更新存储；指令支持ASCII、HEX和JSON等格式；</w:t>
            </w:r>
          </w:p>
          <w:p w14:paraId="11DFBE8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提供开放式的可编程设计平台，至少支持3D控件、按钮、文本、容器、窗口、登录、图片、时间、拉杆、矩阵等多种控件，支持按键音效，可自由编辑主题风格样式和字体格式；支持项目分辨率调整时，可自适应同步调整布局内容；支持客户端界面同步显示当前日期和时间；</w:t>
            </w:r>
          </w:p>
          <w:p w14:paraId="7CE24A7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10.支持按钮的自锁与互锁功能，对单个按钮进行自锁，可实现点击按钮呈按下状态，再次点击按钮呈弹起状态；对多个按钮进行互锁，可实现多个按钮之间只能有一个按钮为按下状态；</w:t>
            </w:r>
          </w:p>
          <w:p w14:paraId="2629632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11.支持通过MAC地址网络唤醒、电脑开关机卡、IO控制、relay控制等方式实现对电脑的远程开关机操作；支持模拟电脑键盘的各种功能操作；</w:t>
            </w:r>
          </w:p>
          <w:p w14:paraId="445551F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12.支持通过串口、网口、I/O等接口接收第三方设备或平台的指令，实现对受控设备的触发控制及指令转发功能；</w:t>
            </w:r>
          </w:p>
          <w:p w14:paraId="57F6D92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支持多个智能操作终端之间状态同步，任意终端控制操作都实时同步至其它终端；支持查询设备的状态，解析数据后同步智能操作终端，实时显示受控设备的状态；支持音频电平实时动态显示，支持视频播控进度条实时显示；</w:t>
            </w:r>
          </w:p>
          <w:p w14:paraId="214E61B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支持在Windows、iOS、Android、鸿蒙等操作系统以及统信、麒麟等操作系统，至少支持触摸一体机、PC、平板、手机、触控面板、按键面板等多平台设备进行同时操作，主机支持一机多控、一控多机、多控多机等；支持跨平台、跨系统的交互控制；</w:t>
            </w:r>
          </w:p>
          <w:p w14:paraId="45BC723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支持开机自检、定期轮巡检测、手动检测等多种检测方式对整机全面扫描，保障设备的安全稳定运行；支持通信加密处理，账户登录安全控制、会话维持机制、隐私保护等多重安全机制，支持TLS/SSL加密技术、内置防火墙；</w:t>
            </w:r>
          </w:p>
          <w:p w14:paraId="16E738E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16.内置时钟系统，支持同步网络时钟，至少支持手动校时和NTP网络校时两种校时模式，时间校对可精确到年月日时分秒；</w:t>
            </w:r>
          </w:p>
          <w:p w14:paraId="5D1CD3A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17.支持接入传感器监测环境温湿度、空气质量、人体存在、环境亮度等环境信息，支持在终端上查看环境数据，根据环境变化实现对设备的控制，支持自适应优化场景环境；</w:t>
            </w:r>
          </w:p>
          <w:p w14:paraId="1DF1CAB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18.设备支持低温极限工作温度≤-10℃（可冷启动正常），高温极限工作温度≥60℃；设备可满足高温高湿工作环境为0%RH～80%RH，无冷凝 ；</w:t>
            </w:r>
          </w:p>
          <w:p w14:paraId="6D2D9F8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19.设备支持在不低于1m处随包装跌落，跌落后要求产品外观和功能正常；设备的包装支持空运运输标准和三四级公路陆运运输标准；</w:t>
            </w:r>
          </w:p>
          <w:p w14:paraId="21FEE0D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支持多机级联，支持局域网组网通信，分布式部署，统一集中管控；支持双中控的控制链路热备份，主设备异常时由备设备进行接管，切换时间≤100ms，支持无感切换，异常设备自动恢复，保障操作无间断执行；</w:t>
            </w:r>
          </w:p>
          <w:p w14:paraId="0DA3E9C9">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支持智能化预案管理功能和时间线管理功能，支持本地控制或远程控制，支持预案的一键调用、定时触发或按照日期进行排期自动触发，支持逻辑编程运行流程，执行过程可随时开始、暂停、停止，支持对受控设备的智能联动。</w:t>
            </w:r>
          </w:p>
        </w:tc>
        <w:tc>
          <w:tcPr>
            <w:tcW w:w="1090" w:type="dxa"/>
            <w:tcBorders>
              <w:top w:val="single" w:color="auto" w:sz="4" w:space="0"/>
              <w:left w:val="single" w:color="auto" w:sz="4" w:space="0"/>
              <w:bottom w:val="single" w:color="auto" w:sz="4" w:space="0"/>
              <w:right w:val="single" w:color="auto" w:sz="4" w:space="0"/>
            </w:tcBorders>
            <w:vAlign w:val="center"/>
          </w:tcPr>
          <w:p w14:paraId="24C9F9DE">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14E2A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6287CCC">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7</w:t>
            </w:r>
          </w:p>
        </w:tc>
        <w:tc>
          <w:tcPr>
            <w:tcW w:w="1017" w:type="dxa"/>
            <w:tcBorders>
              <w:top w:val="single" w:color="auto" w:sz="4" w:space="0"/>
              <w:left w:val="single" w:color="auto" w:sz="4" w:space="0"/>
              <w:bottom w:val="single" w:color="auto" w:sz="4" w:space="0"/>
              <w:right w:val="single" w:color="auto" w:sz="4" w:space="0"/>
            </w:tcBorders>
            <w:vAlign w:val="center"/>
          </w:tcPr>
          <w:p w14:paraId="668322FD">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LED电源</w:t>
            </w:r>
          </w:p>
        </w:tc>
        <w:tc>
          <w:tcPr>
            <w:tcW w:w="7203" w:type="dxa"/>
            <w:tcBorders>
              <w:top w:val="single" w:color="auto" w:sz="4" w:space="0"/>
              <w:left w:val="single" w:color="auto" w:sz="4" w:space="0"/>
              <w:bottom w:val="single" w:color="auto" w:sz="4" w:space="0"/>
              <w:right w:val="single" w:color="auto" w:sz="4" w:space="0"/>
            </w:tcBorders>
            <w:vAlign w:val="center"/>
          </w:tcPr>
          <w:p w14:paraId="34F8F55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3729CE5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1.直流电压：5V；</w:t>
            </w:r>
          </w:p>
          <w:p w14:paraId="108459C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2.额定电流：40A；</w:t>
            </w:r>
          </w:p>
          <w:p w14:paraId="0825C1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3.电流范围：0～40A；</w:t>
            </w:r>
          </w:p>
          <w:p w14:paraId="00C4888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4.额定功率：</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180W；</w:t>
            </w:r>
          </w:p>
          <w:p w14:paraId="27ACDC5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5.纹波与噪声：</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100mVp-p；</w:t>
            </w:r>
          </w:p>
          <w:p w14:paraId="03CE23A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6.电压调节范围：4.0～5.0V；</w:t>
            </w:r>
          </w:p>
          <w:p w14:paraId="1950CA2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7.电压精度：±1.0%；</w:t>
            </w:r>
          </w:p>
          <w:p w14:paraId="681BA43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8.线性调整率：±0.5% ；</w:t>
            </w:r>
          </w:p>
          <w:p w14:paraId="29E38163">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9.负载调整率：±2% 。</w:t>
            </w:r>
          </w:p>
        </w:tc>
        <w:tc>
          <w:tcPr>
            <w:tcW w:w="1090" w:type="dxa"/>
            <w:tcBorders>
              <w:top w:val="single" w:color="auto" w:sz="4" w:space="0"/>
              <w:left w:val="single" w:color="auto" w:sz="4" w:space="0"/>
              <w:bottom w:val="single" w:color="auto" w:sz="4" w:space="0"/>
              <w:right w:val="single" w:color="auto" w:sz="4" w:space="0"/>
            </w:tcBorders>
            <w:vAlign w:val="center"/>
          </w:tcPr>
          <w:p w14:paraId="2D0E719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48台</w:t>
            </w:r>
          </w:p>
        </w:tc>
      </w:tr>
      <w:tr w14:paraId="0ABCD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C0958DF">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8</w:t>
            </w:r>
          </w:p>
        </w:tc>
        <w:tc>
          <w:tcPr>
            <w:tcW w:w="1017" w:type="dxa"/>
            <w:tcBorders>
              <w:top w:val="single" w:color="auto" w:sz="4" w:space="0"/>
              <w:left w:val="single" w:color="auto" w:sz="4" w:space="0"/>
              <w:bottom w:val="single" w:color="auto" w:sz="4" w:space="0"/>
              <w:right w:val="single" w:color="auto" w:sz="4" w:space="0"/>
            </w:tcBorders>
            <w:vAlign w:val="center"/>
          </w:tcPr>
          <w:p w14:paraId="5AB48C90">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20KW智能配电箱</w:t>
            </w:r>
          </w:p>
        </w:tc>
        <w:tc>
          <w:tcPr>
            <w:tcW w:w="7203" w:type="dxa"/>
            <w:tcBorders>
              <w:top w:val="single" w:color="auto" w:sz="4" w:space="0"/>
              <w:left w:val="single" w:color="auto" w:sz="4" w:space="0"/>
              <w:bottom w:val="single" w:color="auto" w:sz="4" w:space="0"/>
              <w:right w:val="single" w:color="auto" w:sz="4" w:space="0"/>
            </w:tcBorders>
            <w:vAlign w:val="center"/>
          </w:tcPr>
          <w:p w14:paraId="2DCBFB5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7E01176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1.输入电压：380V，三相五线</w:t>
            </w:r>
          </w:p>
          <w:p w14:paraId="04FD6D6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2.输出电压：220V L,N,PE</w:t>
            </w:r>
          </w:p>
          <w:p w14:paraId="65247AA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3.额定功率：≥20KW</w:t>
            </w:r>
          </w:p>
          <w:p w14:paraId="668E891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4.额定电流：40A</w:t>
            </w:r>
          </w:p>
          <w:p w14:paraId="7E7FE6E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5.输出回路：6个单相回路（AC220V）</w:t>
            </w:r>
          </w:p>
          <w:p w14:paraId="778D9BC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6.交流接触器：25A交流接触器*2个</w:t>
            </w:r>
          </w:p>
          <w:p w14:paraId="7C93EE7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7.控制回路断路器：10A微型1P断路器*1个</w:t>
            </w:r>
          </w:p>
          <w:p w14:paraId="6476349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8.每路输出最大带载功率：≤3.5KW</w:t>
            </w:r>
          </w:p>
          <w:p w14:paraId="6D296C9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9.零地排：加厚铜排*7位孔</w:t>
            </w:r>
          </w:p>
          <w:p w14:paraId="1AF3D5A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10.主断路器：3P 63A断路器</w:t>
            </w:r>
          </w:p>
          <w:p w14:paraId="67E6E8E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11.回路状态监测：3组控</w:t>
            </w:r>
          </w:p>
          <w:p w14:paraId="0BA4DED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12.遥控控制，有</w:t>
            </w:r>
          </w:p>
          <w:p w14:paraId="092BB81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13.远程控制：有</w:t>
            </w:r>
          </w:p>
          <w:p w14:paraId="69A7F6E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14.计划任务上电：有</w:t>
            </w:r>
          </w:p>
          <w:p w14:paraId="40AC927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15.分步逐级上电：有</w:t>
            </w:r>
          </w:p>
          <w:p w14:paraId="2D4E37D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16.分布逐级断电：有</w:t>
            </w:r>
          </w:p>
          <w:p w14:paraId="01C1EB4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17.温度检测：有</w:t>
            </w:r>
          </w:p>
          <w:p w14:paraId="30C1CF2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18.壳体尺寸：</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 xml:space="preserve">高500mm*宽400mm*深150mm； </w:t>
            </w:r>
          </w:p>
          <w:p w14:paraId="231713B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19.逻辑联动控制：有</w:t>
            </w:r>
          </w:p>
          <w:p w14:paraId="08FD2AB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20.子断路器：32A微型1P断路器*6个</w:t>
            </w:r>
          </w:p>
          <w:p w14:paraId="6195EDF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21.照明检修插座断路器：16A 1P+N微型漏电保护断路器*1个</w:t>
            </w:r>
          </w:p>
          <w:p w14:paraId="51D1D76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22.输出接线端子：火零地接线端子*6组</w:t>
            </w:r>
          </w:p>
          <w:p w14:paraId="6747776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23.PLC控制器：自主研发PLC控制器*1个</w:t>
            </w:r>
          </w:p>
          <w:p w14:paraId="6516268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24.PLC控制电源模块：PLC内置</w:t>
            </w:r>
          </w:p>
          <w:p w14:paraId="6BC726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25.串口服务器：RS232-网口转换器*1个</w:t>
            </w:r>
          </w:p>
          <w:p w14:paraId="3B2638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26.网络控制，可以直接联网，也可以主机联网，中控控制</w:t>
            </w:r>
          </w:p>
          <w:p w14:paraId="1581D17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27.烟雾感应报警保护功能</w:t>
            </w:r>
          </w:p>
          <w:p w14:paraId="7DA741C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28.温度超标报警保护功能</w:t>
            </w:r>
          </w:p>
          <w:p w14:paraId="64B9407D">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29.数据回传功能：工作日志功能以及声光报警保护功能</w:t>
            </w:r>
          </w:p>
        </w:tc>
        <w:tc>
          <w:tcPr>
            <w:tcW w:w="1090" w:type="dxa"/>
            <w:tcBorders>
              <w:top w:val="single" w:color="auto" w:sz="4" w:space="0"/>
              <w:left w:val="single" w:color="auto" w:sz="4" w:space="0"/>
              <w:bottom w:val="single" w:color="auto" w:sz="4" w:space="0"/>
              <w:right w:val="single" w:color="auto" w:sz="4" w:space="0"/>
            </w:tcBorders>
            <w:vAlign w:val="center"/>
          </w:tcPr>
          <w:p w14:paraId="12CD4D9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44044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1D06AA3">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9</w:t>
            </w:r>
          </w:p>
        </w:tc>
        <w:tc>
          <w:tcPr>
            <w:tcW w:w="1017" w:type="dxa"/>
            <w:tcBorders>
              <w:top w:val="single" w:color="auto" w:sz="4" w:space="0"/>
              <w:left w:val="single" w:color="auto" w:sz="4" w:space="0"/>
              <w:bottom w:val="single" w:color="auto" w:sz="4" w:space="0"/>
              <w:right w:val="single" w:color="auto" w:sz="4" w:space="0"/>
            </w:tcBorders>
            <w:vAlign w:val="center"/>
          </w:tcPr>
          <w:p w14:paraId="4AE77BB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LED钢结构</w:t>
            </w:r>
          </w:p>
        </w:tc>
        <w:tc>
          <w:tcPr>
            <w:tcW w:w="7203" w:type="dxa"/>
            <w:tcBorders>
              <w:top w:val="single" w:color="auto" w:sz="4" w:space="0"/>
              <w:left w:val="single" w:color="auto" w:sz="4" w:space="0"/>
              <w:bottom w:val="single" w:color="auto" w:sz="4" w:space="0"/>
              <w:right w:val="single" w:color="auto" w:sz="4" w:space="0"/>
            </w:tcBorders>
            <w:vAlign w:val="center"/>
          </w:tcPr>
          <w:p w14:paraId="7A81749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68B92FB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1.贴墙壁挂安装，含钢结构、5cm定制包边。</w:t>
            </w:r>
          </w:p>
          <w:p w14:paraId="42B1DE2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2.采用专用钢结构支架。</w:t>
            </w:r>
          </w:p>
          <w:p w14:paraId="493ABEC6">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3.≥15.1平米配套LED屏幕尺寸。</w:t>
            </w:r>
          </w:p>
        </w:tc>
        <w:tc>
          <w:tcPr>
            <w:tcW w:w="1090" w:type="dxa"/>
            <w:tcBorders>
              <w:top w:val="single" w:color="auto" w:sz="4" w:space="0"/>
              <w:left w:val="single" w:color="auto" w:sz="4" w:space="0"/>
              <w:bottom w:val="single" w:color="auto" w:sz="4" w:space="0"/>
              <w:right w:val="single" w:color="auto" w:sz="4" w:space="0"/>
            </w:tcBorders>
            <w:vAlign w:val="center"/>
          </w:tcPr>
          <w:p w14:paraId="7253DCAC">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15.1平方米</w:t>
            </w:r>
          </w:p>
        </w:tc>
      </w:tr>
      <w:tr w14:paraId="05D25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4F94D6D">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10</w:t>
            </w:r>
          </w:p>
        </w:tc>
        <w:tc>
          <w:tcPr>
            <w:tcW w:w="1017" w:type="dxa"/>
            <w:tcBorders>
              <w:top w:val="single" w:color="auto" w:sz="4" w:space="0"/>
              <w:left w:val="single" w:color="auto" w:sz="4" w:space="0"/>
              <w:bottom w:val="single" w:color="auto" w:sz="4" w:space="0"/>
              <w:right w:val="single" w:color="auto" w:sz="4" w:space="0"/>
            </w:tcBorders>
            <w:vAlign w:val="center"/>
          </w:tcPr>
          <w:p w14:paraId="1929442F">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12U机柜</w:t>
            </w:r>
          </w:p>
        </w:tc>
        <w:tc>
          <w:tcPr>
            <w:tcW w:w="7203" w:type="dxa"/>
            <w:tcBorders>
              <w:top w:val="single" w:color="auto" w:sz="4" w:space="0"/>
              <w:left w:val="single" w:color="auto" w:sz="4" w:space="0"/>
              <w:bottom w:val="single" w:color="auto" w:sz="4" w:space="0"/>
              <w:right w:val="single" w:color="auto" w:sz="4" w:space="0"/>
            </w:tcBorders>
            <w:vAlign w:val="center"/>
          </w:tcPr>
          <w:p w14:paraId="04D7B64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31A0E2A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1.12U服务器机柜；</w:t>
            </w:r>
          </w:p>
          <w:p w14:paraId="03DF07F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2.尺寸：≥600mm（宽）×440mm(深) ×635mm(高)；</w:t>
            </w:r>
          </w:p>
          <w:p w14:paraId="504502BC">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3.表面防静电喷涂采用高硬度粉面；防护等级设计满足IP20等级；黑色，网孔上下门。</w:t>
            </w:r>
          </w:p>
        </w:tc>
        <w:tc>
          <w:tcPr>
            <w:tcW w:w="1090" w:type="dxa"/>
            <w:tcBorders>
              <w:top w:val="single" w:color="auto" w:sz="4" w:space="0"/>
              <w:left w:val="single" w:color="auto" w:sz="4" w:space="0"/>
              <w:bottom w:val="single" w:color="auto" w:sz="4" w:space="0"/>
              <w:right w:val="single" w:color="auto" w:sz="4" w:space="0"/>
            </w:tcBorders>
            <w:vAlign w:val="center"/>
          </w:tcPr>
          <w:p w14:paraId="2A23083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03CD8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9F15945">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11</w:t>
            </w:r>
          </w:p>
        </w:tc>
        <w:tc>
          <w:tcPr>
            <w:tcW w:w="1017" w:type="dxa"/>
            <w:tcBorders>
              <w:top w:val="single" w:color="auto" w:sz="4" w:space="0"/>
              <w:left w:val="single" w:color="auto" w:sz="4" w:space="0"/>
              <w:bottom w:val="single" w:color="auto" w:sz="4" w:space="0"/>
              <w:right w:val="single" w:color="auto" w:sz="4" w:space="0"/>
            </w:tcBorders>
            <w:vAlign w:val="center"/>
          </w:tcPr>
          <w:p w14:paraId="71848EB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内部电源线</w:t>
            </w:r>
          </w:p>
        </w:tc>
        <w:tc>
          <w:tcPr>
            <w:tcW w:w="7203" w:type="dxa"/>
            <w:tcBorders>
              <w:top w:val="single" w:color="auto" w:sz="4" w:space="0"/>
              <w:left w:val="single" w:color="auto" w:sz="4" w:space="0"/>
              <w:bottom w:val="single" w:color="auto" w:sz="4" w:space="0"/>
              <w:right w:val="single" w:color="auto" w:sz="4" w:space="0"/>
            </w:tcBorders>
            <w:vAlign w:val="center"/>
          </w:tcPr>
          <w:p w14:paraId="500CBEB3">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487907CF">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1.RVV3x2.5mm²，（单根长度0.5M）聚氯乙烯绝缘护套电力电缆；</w:t>
            </w:r>
          </w:p>
          <w:p w14:paraId="4D7169E8">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2.额定电压300/500V，20℃导体电阻≤7.98Ω/km；工频耐压试验：2500V，加压5min绝缘不击穿。</w:t>
            </w:r>
          </w:p>
        </w:tc>
        <w:tc>
          <w:tcPr>
            <w:tcW w:w="1090" w:type="dxa"/>
            <w:tcBorders>
              <w:top w:val="single" w:color="auto" w:sz="4" w:space="0"/>
              <w:left w:val="single" w:color="auto" w:sz="4" w:space="0"/>
              <w:bottom w:val="single" w:color="auto" w:sz="4" w:space="0"/>
              <w:right w:val="single" w:color="auto" w:sz="4" w:space="0"/>
            </w:tcBorders>
            <w:vAlign w:val="center"/>
          </w:tcPr>
          <w:p w14:paraId="7C11EB71">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15根</w:t>
            </w:r>
          </w:p>
        </w:tc>
      </w:tr>
      <w:tr w14:paraId="5CB6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067A909">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12</w:t>
            </w:r>
          </w:p>
        </w:tc>
        <w:tc>
          <w:tcPr>
            <w:tcW w:w="1017" w:type="dxa"/>
            <w:tcBorders>
              <w:top w:val="single" w:color="auto" w:sz="4" w:space="0"/>
              <w:left w:val="single" w:color="auto" w:sz="4" w:space="0"/>
              <w:bottom w:val="single" w:color="auto" w:sz="4" w:space="0"/>
              <w:right w:val="single" w:color="auto" w:sz="4" w:space="0"/>
            </w:tcBorders>
            <w:vAlign w:val="center"/>
          </w:tcPr>
          <w:p w14:paraId="40D9D94E">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分级电缆线</w:t>
            </w:r>
          </w:p>
        </w:tc>
        <w:tc>
          <w:tcPr>
            <w:tcW w:w="7203" w:type="dxa"/>
            <w:tcBorders>
              <w:top w:val="single" w:color="auto" w:sz="4" w:space="0"/>
              <w:left w:val="single" w:color="auto" w:sz="4" w:space="0"/>
              <w:bottom w:val="single" w:color="auto" w:sz="4" w:space="0"/>
              <w:right w:val="single" w:color="auto" w:sz="4" w:space="0"/>
            </w:tcBorders>
            <w:vAlign w:val="center"/>
          </w:tcPr>
          <w:p w14:paraId="5F7F0AD6">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2BDEEC30">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1.RVV3x2.5mm²，聚氯乙烯绝缘护套电力电缆；</w:t>
            </w:r>
          </w:p>
          <w:p w14:paraId="592CDEB3">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2.额定电压300/500V，20℃导体电阻≤7.98Ω/km；</w:t>
            </w:r>
          </w:p>
          <w:p w14:paraId="52A023BD">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3.工频耐压试验:2500V，加压 5min 绝缘不击穿。</w:t>
            </w:r>
          </w:p>
        </w:tc>
        <w:tc>
          <w:tcPr>
            <w:tcW w:w="1090" w:type="dxa"/>
            <w:tcBorders>
              <w:top w:val="single" w:color="auto" w:sz="4" w:space="0"/>
              <w:left w:val="single" w:color="auto" w:sz="4" w:space="0"/>
              <w:bottom w:val="single" w:color="auto" w:sz="4" w:space="0"/>
              <w:right w:val="single" w:color="auto" w:sz="4" w:space="0"/>
            </w:tcBorders>
            <w:vAlign w:val="center"/>
          </w:tcPr>
          <w:p w14:paraId="6348706C">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100米</w:t>
            </w:r>
          </w:p>
        </w:tc>
      </w:tr>
      <w:tr w14:paraId="2DFC5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FB74898">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13</w:t>
            </w:r>
          </w:p>
        </w:tc>
        <w:tc>
          <w:tcPr>
            <w:tcW w:w="1017" w:type="dxa"/>
            <w:tcBorders>
              <w:top w:val="single" w:color="auto" w:sz="4" w:space="0"/>
              <w:left w:val="single" w:color="auto" w:sz="4" w:space="0"/>
              <w:bottom w:val="single" w:color="auto" w:sz="4" w:space="0"/>
              <w:right w:val="single" w:color="auto" w:sz="4" w:space="0"/>
            </w:tcBorders>
            <w:vAlign w:val="center"/>
          </w:tcPr>
          <w:p w14:paraId="0A32635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主电源线</w:t>
            </w:r>
          </w:p>
        </w:tc>
        <w:tc>
          <w:tcPr>
            <w:tcW w:w="7203" w:type="dxa"/>
            <w:tcBorders>
              <w:top w:val="single" w:color="auto" w:sz="4" w:space="0"/>
              <w:left w:val="single" w:color="auto" w:sz="4" w:space="0"/>
              <w:bottom w:val="single" w:color="auto" w:sz="4" w:space="0"/>
              <w:right w:val="single" w:color="auto" w:sz="4" w:space="0"/>
            </w:tcBorders>
            <w:vAlign w:val="center"/>
          </w:tcPr>
          <w:p w14:paraId="22FC1B12">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3D2B2AF8">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1.YJV3*6mm²，交联聚乙烯绝缘电力电缆；</w:t>
            </w:r>
          </w:p>
          <w:p w14:paraId="48931D0D">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2.额定电压0.6/1KV，导体电阻≤1.15Ω/km，电压试验3500V/5min不击穿。</w:t>
            </w:r>
          </w:p>
        </w:tc>
        <w:tc>
          <w:tcPr>
            <w:tcW w:w="1090" w:type="dxa"/>
            <w:tcBorders>
              <w:top w:val="single" w:color="auto" w:sz="4" w:space="0"/>
              <w:left w:val="single" w:color="auto" w:sz="4" w:space="0"/>
              <w:bottom w:val="single" w:color="auto" w:sz="4" w:space="0"/>
              <w:right w:val="single" w:color="auto" w:sz="4" w:space="0"/>
            </w:tcBorders>
            <w:vAlign w:val="center"/>
          </w:tcPr>
          <w:p w14:paraId="25919874">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30米</w:t>
            </w:r>
          </w:p>
        </w:tc>
      </w:tr>
      <w:tr w14:paraId="2F1C0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721AAB0">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14</w:t>
            </w:r>
          </w:p>
        </w:tc>
        <w:tc>
          <w:tcPr>
            <w:tcW w:w="1017" w:type="dxa"/>
            <w:tcBorders>
              <w:top w:val="single" w:color="auto" w:sz="4" w:space="0"/>
              <w:left w:val="single" w:color="auto" w:sz="4" w:space="0"/>
              <w:bottom w:val="single" w:color="auto" w:sz="4" w:space="0"/>
              <w:right w:val="single" w:color="auto" w:sz="4" w:space="0"/>
            </w:tcBorders>
            <w:vAlign w:val="center"/>
          </w:tcPr>
          <w:p w14:paraId="448BFB2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网络跳线</w:t>
            </w:r>
          </w:p>
        </w:tc>
        <w:tc>
          <w:tcPr>
            <w:tcW w:w="7203" w:type="dxa"/>
            <w:tcBorders>
              <w:top w:val="single" w:color="auto" w:sz="4" w:space="0"/>
              <w:left w:val="single" w:color="auto" w:sz="4" w:space="0"/>
              <w:bottom w:val="single" w:color="auto" w:sz="4" w:space="0"/>
              <w:right w:val="single" w:color="auto" w:sz="4" w:space="0"/>
            </w:tcBorders>
            <w:vAlign w:val="center"/>
          </w:tcPr>
          <w:p w14:paraId="2CA09327">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013D84A7">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RJ45超五类网络跳线（1米/条）。</w:t>
            </w:r>
          </w:p>
        </w:tc>
        <w:tc>
          <w:tcPr>
            <w:tcW w:w="1090" w:type="dxa"/>
            <w:tcBorders>
              <w:top w:val="single" w:color="auto" w:sz="4" w:space="0"/>
              <w:left w:val="single" w:color="auto" w:sz="4" w:space="0"/>
              <w:bottom w:val="single" w:color="auto" w:sz="4" w:space="0"/>
              <w:right w:val="single" w:color="auto" w:sz="4" w:space="0"/>
            </w:tcBorders>
            <w:vAlign w:val="center"/>
          </w:tcPr>
          <w:p w14:paraId="1817502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20条</w:t>
            </w:r>
          </w:p>
        </w:tc>
      </w:tr>
      <w:tr w14:paraId="01363A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5747513">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15</w:t>
            </w:r>
          </w:p>
        </w:tc>
        <w:tc>
          <w:tcPr>
            <w:tcW w:w="1017" w:type="dxa"/>
            <w:tcBorders>
              <w:top w:val="single" w:color="auto" w:sz="4" w:space="0"/>
              <w:left w:val="single" w:color="auto" w:sz="4" w:space="0"/>
              <w:bottom w:val="single" w:color="auto" w:sz="4" w:space="0"/>
              <w:right w:val="single" w:color="auto" w:sz="4" w:space="0"/>
            </w:tcBorders>
            <w:vAlign w:val="center"/>
          </w:tcPr>
          <w:p w14:paraId="5F31D946">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网线</w:t>
            </w:r>
          </w:p>
        </w:tc>
        <w:tc>
          <w:tcPr>
            <w:tcW w:w="7203" w:type="dxa"/>
            <w:tcBorders>
              <w:top w:val="single" w:color="auto" w:sz="4" w:space="0"/>
              <w:left w:val="single" w:color="auto" w:sz="4" w:space="0"/>
              <w:bottom w:val="single" w:color="auto" w:sz="4" w:space="0"/>
              <w:right w:val="single" w:color="auto" w:sz="4" w:space="0"/>
            </w:tcBorders>
            <w:vAlign w:val="center"/>
          </w:tcPr>
          <w:p w14:paraId="524FDBD2">
            <w:pPr>
              <w:widowControl/>
              <w:numPr>
                <w:ilvl w:val="255"/>
                <w:numId w:val="0"/>
              </w:num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4666791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1.六类非屏蔽双绞线，纯铜芯，传输无衰减，采用PVC环保外皮，包装长度305米/箱；</w:t>
            </w:r>
          </w:p>
          <w:p w14:paraId="5A16059C">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2.芯数：4*2含十字骨架；导体直径：0.57±0.05mm；外护套材质：PVC；外径：6.3±0.2mm。</w:t>
            </w:r>
          </w:p>
        </w:tc>
        <w:tc>
          <w:tcPr>
            <w:tcW w:w="1090" w:type="dxa"/>
            <w:tcBorders>
              <w:top w:val="single" w:color="auto" w:sz="4" w:space="0"/>
              <w:left w:val="single" w:color="auto" w:sz="4" w:space="0"/>
              <w:bottom w:val="single" w:color="auto" w:sz="4" w:space="0"/>
              <w:right w:val="single" w:color="auto" w:sz="4" w:space="0"/>
            </w:tcBorders>
            <w:vAlign w:val="center"/>
          </w:tcPr>
          <w:p w14:paraId="7FD08EF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1箱</w:t>
            </w:r>
          </w:p>
        </w:tc>
      </w:tr>
      <w:tr w14:paraId="0649A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4BCA87A">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16</w:t>
            </w:r>
          </w:p>
        </w:tc>
        <w:tc>
          <w:tcPr>
            <w:tcW w:w="1017" w:type="dxa"/>
            <w:tcBorders>
              <w:top w:val="single" w:color="auto" w:sz="4" w:space="0"/>
              <w:left w:val="single" w:color="auto" w:sz="4" w:space="0"/>
              <w:bottom w:val="single" w:color="auto" w:sz="4" w:space="0"/>
              <w:right w:val="single" w:color="auto" w:sz="4" w:space="0"/>
            </w:tcBorders>
            <w:vAlign w:val="center"/>
          </w:tcPr>
          <w:p w14:paraId="03BF8D4E">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安装调试</w:t>
            </w:r>
          </w:p>
        </w:tc>
        <w:tc>
          <w:tcPr>
            <w:tcW w:w="7203" w:type="dxa"/>
            <w:tcBorders>
              <w:top w:val="single" w:color="auto" w:sz="4" w:space="0"/>
              <w:left w:val="single" w:color="auto" w:sz="4" w:space="0"/>
              <w:bottom w:val="single" w:color="auto" w:sz="4" w:space="0"/>
              <w:right w:val="single" w:color="auto" w:sz="4" w:space="0"/>
            </w:tcBorders>
            <w:vAlign w:val="center"/>
          </w:tcPr>
          <w:p w14:paraId="65FD2902">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拆除原旧拼接屏，含布线施工及设计，安装调试及培训、辅材等。按柳州市教育系统工程施工规范要求实施。</w:t>
            </w:r>
          </w:p>
        </w:tc>
        <w:tc>
          <w:tcPr>
            <w:tcW w:w="1090" w:type="dxa"/>
            <w:tcBorders>
              <w:top w:val="single" w:color="auto" w:sz="4" w:space="0"/>
              <w:left w:val="single" w:color="auto" w:sz="4" w:space="0"/>
              <w:bottom w:val="single" w:color="auto" w:sz="4" w:space="0"/>
              <w:right w:val="single" w:color="auto" w:sz="4" w:space="0"/>
            </w:tcBorders>
            <w:vAlign w:val="center"/>
          </w:tcPr>
          <w:p w14:paraId="5CFAB4A8">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5793CE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63850F9A">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sz w:val="24"/>
              </w:rPr>
              <w:t>二、AI教研室</w:t>
            </w:r>
          </w:p>
        </w:tc>
      </w:tr>
      <w:tr w14:paraId="747B1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7966A55">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17</w:t>
            </w:r>
          </w:p>
        </w:tc>
        <w:tc>
          <w:tcPr>
            <w:tcW w:w="1017" w:type="dxa"/>
            <w:tcBorders>
              <w:top w:val="single" w:color="auto" w:sz="4" w:space="0"/>
              <w:left w:val="single" w:color="auto" w:sz="4" w:space="0"/>
              <w:bottom w:val="single" w:color="auto" w:sz="4" w:space="0"/>
              <w:right w:val="single" w:color="auto" w:sz="4" w:space="0"/>
            </w:tcBorders>
            <w:vAlign w:val="center"/>
          </w:tcPr>
          <w:p w14:paraId="34884296">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红外互联黑板1</w:t>
            </w:r>
          </w:p>
        </w:tc>
        <w:tc>
          <w:tcPr>
            <w:tcW w:w="7203" w:type="dxa"/>
            <w:tcBorders>
              <w:top w:val="single" w:color="auto" w:sz="4" w:space="0"/>
              <w:left w:val="single" w:color="auto" w:sz="4" w:space="0"/>
              <w:bottom w:val="single" w:color="auto" w:sz="4" w:space="0"/>
              <w:right w:val="single" w:color="auto" w:sz="4" w:space="0"/>
            </w:tcBorders>
            <w:vAlign w:val="center"/>
          </w:tcPr>
          <w:p w14:paraId="3523F04B">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一、整机性能要求</w:t>
            </w:r>
          </w:p>
          <w:p w14:paraId="12F3EC6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1.整机屏幕需采用UHD超高清LED液晶屏，屏幕显示尺寸≥86英寸，显示比例16:9，屏幕图像分辨率≥3840*2160，整体外观尺寸：宽≥4100mm，高≥1200mm，厚≤105mm。</w:t>
            </w:r>
          </w:p>
          <w:p w14:paraId="576EF5D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2.液晶显示层与钢化玻璃层需采用零贴合或全贴合设计。</w:t>
            </w:r>
          </w:p>
          <w:p w14:paraId="1E4DE34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3.整机需采用全金属外壳材质，三拼接平面一体化设计，主副屏过渡平滑并在同一平面，中间无单独边框阻隔，屏幕边缘采用圆角包边防护，整机背板采用金属材质。</w:t>
            </w:r>
          </w:p>
          <w:p w14:paraId="79B1FBC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4.整机主屏和整机两侧副板需支持普通粉笔、液体粉笔、水溶性粉笔直接书写。</w:t>
            </w:r>
          </w:p>
          <w:p w14:paraId="62E17FF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5.整机需采用内置摄像头、麦克风，需支持无需外接线材连接和任何可见外接线材及模块化拼接痕迹，不占用整机外部设备接口。</w:t>
            </w:r>
          </w:p>
          <w:p w14:paraId="10F71BC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6.整机需支持前置物理接口不少于5个，所有接口均采用非转接方式，包含1路HDMI接口、2路双通道USB接口(Windows和整机系统均能被识别）、1路Type-C接口（支持全功能PD 65W）、1路USB-Type-B接口（Touch接口支持触摸功能）。</w:t>
            </w:r>
          </w:p>
          <w:p w14:paraId="4234FF1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7.Type-C接口需具备全功能，最大输出功率达到≥65W，支持Type-C线正反插，支持</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4K60Hz视频格式，支持双通道USB。</w:t>
            </w:r>
          </w:p>
          <w:p w14:paraId="6FEFEF9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8.整机需支持具有防浪涌、防静电、防辐射、防划伤、触摸屏防遮挡安全保护措施。</w:t>
            </w:r>
          </w:p>
          <w:p w14:paraId="5E522AB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9.整机需具备达到国家标准GB/T17626.2-2018静电放电抗扰度测试标准。</w:t>
            </w:r>
          </w:p>
          <w:p w14:paraId="0F35061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10.整机需具备抗振动、防跌落特性，保证整机运输或使用过程中不易受损，检测依据：GB/T 2423.10-2019和GB/T 2423.7-2018。</w:t>
            </w:r>
          </w:p>
          <w:p w14:paraId="0D2D80A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11.整机需支持内置环境光感传感器，支持根据环境光自动调节整机亮度。</w:t>
            </w:r>
          </w:p>
          <w:p w14:paraId="146D8D3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12.整机自带操作系统，处理器≥八核处理器，内存≥4GB，存储空间≥32GB。</w:t>
            </w:r>
          </w:p>
          <w:p w14:paraId="4B5323A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13.设备在整机正常运行工况下，具备自适应扩音优化与声学抑制算法能力。</w:t>
            </w:r>
          </w:p>
          <w:p w14:paraId="52620AC5">
            <w:pPr>
              <w:widowControl/>
              <w:jc w:val="left"/>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kern w:val="0"/>
                <w:sz w:val="24"/>
                <w:highlight w:val="yellow"/>
              </w:rPr>
              <w:t>◆14.整机需内置 2.2 声道扬声器，位于设备下边框出音，26W全频扬声器≥2个，16W高音扬声器≥2个，</w:t>
            </w:r>
            <w:r>
              <w:rPr>
                <w:rFonts w:hint="eastAsia" w:ascii="仿宋_GB2312" w:hAnsi="仿宋_GB2312" w:eastAsia="仿宋_GB2312" w:cs="仿宋_GB2312"/>
                <w:color w:val="000000"/>
                <w:kern w:val="0"/>
                <w:sz w:val="24"/>
                <w:highlight w:val="yellow"/>
                <w:u w:val="wave"/>
              </w:rPr>
              <w:t>最大峰值功率≥80W，语言清晰度（STI-PA）≥0.78。</w:t>
            </w:r>
          </w:p>
          <w:p w14:paraId="6F87D30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15.</w:t>
            </w:r>
            <w:r>
              <w:rPr>
                <w:rFonts w:hint="eastAsia" w:ascii="仿宋_GB2312" w:hAnsi="仿宋_GB2312" w:eastAsia="仿宋_GB2312" w:cs="仿宋_GB2312"/>
                <w:color w:val="000000"/>
                <w:kern w:val="0"/>
                <w:sz w:val="24"/>
                <w:highlight w:val="yellow"/>
                <w:u w:val="none"/>
              </w:rPr>
              <w:t>整机屏体需支持亮度≥350cd/m²，色彩覆盖率≥72%NTSC，对比度≥1200：1</w:t>
            </w:r>
            <w:r>
              <w:rPr>
                <w:rFonts w:hint="eastAsia" w:ascii="仿宋_GB2312" w:hAnsi="仿宋_GB2312" w:eastAsia="仿宋_GB2312" w:cs="仿宋_GB2312"/>
                <w:color w:val="000000"/>
                <w:kern w:val="0"/>
                <w:sz w:val="24"/>
                <w:highlight w:val="yellow"/>
              </w:rPr>
              <w:t>。</w:t>
            </w:r>
          </w:p>
          <w:p w14:paraId="33975A4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16.整机屏体需支持无需操作即可实现蓝光防护，具备物理防蓝光（过滤蓝光）功能，有效抗蓝光、防眩光，蓝光占比（有害蓝光 415～455nm 能量综合）/（整体蓝光 400～500 能量综合）＜50%，低蓝光保护显示不偏色、不泛黄。</w:t>
            </w:r>
          </w:p>
          <w:p w14:paraId="10AEA57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17.整机分辨率</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4K，屏幕刷新率≥60Hz。</w:t>
            </w:r>
          </w:p>
          <w:p w14:paraId="7DEA034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18.整机书写面板需采用防眩光全钢化防爆玻璃面板，面板的碎片状态、抗冲击性、霰弹袋冲击性能、耐热冲击性能均通过国家强制玻璃标准，表面应力≥100Mpa。</w:t>
            </w:r>
          </w:p>
          <w:p w14:paraId="102C342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19.依据相关国家标准，整机视网膜蓝光危害（蓝光加权辐射亮度LB）需满足蓝光危害RG0级别，LB限制范围≤100，蓝光无危害。</w:t>
            </w:r>
          </w:p>
          <w:p w14:paraId="320719F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20.需支持通过前置面板物理按键一键启动录课功能，录制屏幕及整机半径12米内课堂现场音频，录制画面完整，无死角，人声清晰，无背景噪音。</w:t>
            </w:r>
          </w:p>
          <w:p w14:paraId="084A1AD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21.需具备三合一电源按键，支持整机大屏开关机、OPS电脑开关机和息屏三合一，息屏后可实现降低功耗≥90%。</w:t>
            </w:r>
          </w:p>
          <w:p w14:paraId="5E92FDD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22.需支持WiFi6，整机内置2.4G、5GHz双频wifi。</w:t>
            </w:r>
          </w:p>
          <w:p w14:paraId="625FC88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bCs/>
                <w:color w:val="000000" w:themeColor="text1"/>
                <w:szCs w:val="21"/>
                <w14:textFill>
                  <w14:solidFill>
                    <w14:schemeClr w14:val="tx1"/>
                  </w14:solidFill>
                </w14:textFill>
              </w:rPr>
              <w:t>◆</w:t>
            </w:r>
            <w:r>
              <w:rPr>
                <w:rFonts w:hint="eastAsia" w:ascii="仿宋_GB2312" w:hAnsi="仿宋_GB2312" w:eastAsia="仿宋_GB2312" w:cs="仿宋_GB2312"/>
                <w:color w:val="000000"/>
                <w:kern w:val="0"/>
                <w:sz w:val="24"/>
                <w:highlight w:val="yellow"/>
              </w:rPr>
              <w:t>23.整机设备支持非外部插拔式运行内存扩展技术，</w:t>
            </w:r>
            <w:r>
              <w:rPr>
                <w:rFonts w:hint="eastAsia" w:ascii="仿宋_GB2312" w:hAnsi="仿宋_GB2312" w:eastAsia="仿宋_GB2312" w:cs="仿宋_GB2312"/>
                <w:color w:val="000000"/>
                <w:kern w:val="0"/>
                <w:sz w:val="24"/>
                <w:highlight w:val="yellow"/>
                <w:u w:val="wave"/>
              </w:rPr>
              <w:t>最大可用运行内存≥8GB</w:t>
            </w:r>
            <w:r>
              <w:rPr>
                <w:rFonts w:hint="eastAsia" w:ascii="仿宋_GB2312" w:hAnsi="仿宋_GB2312" w:eastAsia="仿宋_GB2312" w:cs="仿宋_GB2312"/>
                <w:color w:val="000000"/>
                <w:kern w:val="0"/>
                <w:sz w:val="24"/>
                <w:highlight w:val="yellow"/>
              </w:rPr>
              <w:t>，提高运行速度。</w:t>
            </w:r>
          </w:p>
          <w:p w14:paraId="51C5712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24.整机需内置非独立外扩展麦克风阵列，麦克风数量≥8个，可用于对教室环境音频进行采集，整机拾音距离≥12m，拾音角度≥180°。</w:t>
            </w:r>
          </w:p>
          <w:p w14:paraId="4B586EE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25.智能降噪麦克风阵列，需支持远场拾音，高信噪比≥65db，超高灵敏度≥-38db，支持AGC、AEC、NN智能AI降噪功能。</w:t>
            </w:r>
          </w:p>
          <w:p w14:paraId="5E52073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26.整机高清摄像头，需支持生物特征识别，如面部识别功能，支持AI识别人像，最大距离≥10米。</w:t>
            </w:r>
          </w:p>
          <w:p w14:paraId="19AB23C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27.需支持≥4800万像素，可拍摄8000×6000的照片，支持输出4K图片，对角视场角≥135°，水平视场角≥120°，垂直视场角≥80°。</w:t>
            </w:r>
          </w:p>
          <w:p w14:paraId="0FFACC2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28.</w:t>
            </w:r>
            <w:r>
              <w:rPr>
                <w:rFonts w:hint="eastAsia" w:ascii="仿宋_GB2312" w:hAnsi="仿宋_GB2312" w:eastAsia="仿宋_GB2312" w:cs="仿宋_GB2312"/>
                <w:color w:val="000000"/>
                <w:kern w:val="0"/>
                <w:sz w:val="24"/>
                <w:highlight w:val="yellow"/>
              </w:rPr>
              <w:t>整机在整机系统触控需支持≥40点触控及同时书写，触摸分辨率≥32768×32768。</w:t>
            </w:r>
          </w:p>
          <w:p w14:paraId="5437A40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lang w:val="en-US" w:eastAsia="zh-CN"/>
              </w:rPr>
              <w:t>29</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整机双系统下，需支持在任意信号源通道下，都可调出侧边栏快捷菜单，菜单含中控导航、系统切换、小工具、快捷设置、亮度/音量调节。</w:t>
            </w:r>
          </w:p>
          <w:p w14:paraId="2A85194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0</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整机侧边栏小工具需包括：批注、截屏、计时、降半屏、冻屏、投票器、日历、聚光灯。</w:t>
            </w:r>
          </w:p>
          <w:p w14:paraId="7C21CAF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1</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整机系统下需支持使用批注功能，清空批注内容、本地保存、添加新的批注页面、可切换书写笔颜色、粗细大小、扫码共享、板擦和最小化批注模式。</w:t>
            </w:r>
          </w:p>
          <w:p w14:paraId="51AB06D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2</w:t>
            </w:r>
            <w:r>
              <w:rPr>
                <w:rFonts w:hint="eastAsia" w:ascii="仿宋_GB2312" w:hAnsi="仿宋_GB2312" w:eastAsia="仿宋_GB2312" w:cs="仿宋_GB2312"/>
                <w:color w:val="000000"/>
                <w:kern w:val="0"/>
                <w:sz w:val="24"/>
              </w:rPr>
              <w:t>.双侧副板需具有快捷丝印功能按键，功能包含：快捷开启和关闭同步板书功能，快捷保存电子板书功能，快捷上下翻页功能，快捷切换画笔颜色功能。</w:t>
            </w:r>
          </w:p>
          <w:p w14:paraId="0923F5A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3</w:t>
            </w:r>
            <w:r>
              <w:rPr>
                <w:rFonts w:hint="eastAsia" w:ascii="仿宋_GB2312" w:hAnsi="仿宋_GB2312" w:eastAsia="仿宋_GB2312" w:cs="仿宋_GB2312"/>
                <w:color w:val="000000"/>
                <w:kern w:val="0"/>
                <w:sz w:val="24"/>
              </w:rPr>
              <w:t>.整机预留互联副板连接接口，可实现板书书写数据采集功能，可识别老师粉笔书写，板擦或手指擦除手势，且书写过程中可同步到一体机主屏，支持板书录制，回看和分享。</w:t>
            </w:r>
          </w:p>
          <w:p w14:paraId="2F66CDD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4</w:t>
            </w:r>
            <w:r>
              <w:rPr>
                <w:rFonts w:hint="eastAsia" w:ascii="仿宋_GB2312" w:hAnsi="仿宋_GB2312" w:eastAsia="仿宋_GB2312" w:cs="仿宋_GB2312"/>
                <w:color w:val="000000"/>
                <w:kern w:val="0"/>
                <w:sz w:val="24"/>
              </w:rPr>
              <w:t>.配套教学智能笔。</w:t>
            </w:r>
          </w:p>
          <w:p w14:paraId="3218C3E8">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二、OPS电脑系统</w:t>
            </w:r>
          </w:p>
          <w:p w14:paraId="4BA5A9A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1.整机架构：针脚数为行业通用≥80Pin ，与大屏无单独接线。</w:t>
            </w:r>
          </w:p>
          <w:p w14:paraId="6854BDA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2.整机OPS电脑安装结构需支持按压式卡扣或螺丝固定模式，抽拉式安装，无需工具即可快速拆卸电脑模块。</w:t>
            </w:r>
          </w:p>
          <w:p w14:paraId="64CAB81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3.CPU：≥8核12线程，主频≥2GHz，内存≥8G（每根通道最大支持扩展到32G，总容量64GB），硬盘≥256G SSD （单盘最大支持扩展到1TB）。</w:t>
            </w:r>
          </w:p>
          <w:p w14:paraId="2A0C94E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4.USB接口要求：USB3.0和USB2.0 不少于6个。</w:t>
            </w:r>
          </w:p>
          <w:p w14:paraId="38511C6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5.其他接口要求：支持网络接口不少于1个，DP输出接口不少于1个，HDMI不少于1个，耳机输出接口不少于1个，麦克风输入接口不少于1个。</w:t>
            </w:r>
          </w:p>
          <w:p w14:paraId="31EE86B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6.Wi-Fi 6：需支持802.11b/g/n/ac/ax；蓝牙支持Bluetooth 4.2及以上。</w:t>
            </w:r>
          </w:p>
          <w:p w14:paraId="2AE1F77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★7.含正版操作系统及提供功能至少有文字处理、电子表格、演示文稿三大应用模块的正版办公软件，授权≥3年。</w:t>
            </w:r>
          </w:p>
          <w:p w14:paraId="3998DB5D">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三、智能教学系统</w:t>
            </w:r>
          </w:p>
          <w:p w14:paraId="5EB74C6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1.支持一键开机后即刻进入教学应用系统界面，无需额外点击操作运行应用系统；支持教师通过二维码扫码、账密输入、人脸识别登录方式进入教学应用系统。</w:t>
            </w:r>
          </w:p>
          <w:p w14:paraId="406FC7B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2.教学应用快捷入口：教学桌面支持教学常用的功能，包括电子白板、文件管理、电子课本、视频展台、授课助手；需提供Windows桌面应用入口，无需切换到Windows系统桌面即可点击运行已安装的第三方应用。</w:t>
            </w:r>
          </w:p>
          <w:p w14:paraId="6E3753B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3.学科应用入口：教学桌面需支持语文、数学、英语、物理、化学、生物、地理、历史、信息技术共9个学科的学科应用，需支持教师直接下载并使用。</w:t>
            </w:r>
          </w:p>
          <w:p w14:paraId="6876263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4.需提供罗盘工具，需支持五指点击屏幕调出罗盘工具栏，需支持在屏幕任意位置停留或左右侧边隐藏；需提供用于教学的便捷工具，包括选择、画笔、板擦、撤销、回退。</w:t>
            </w:r>
          </w:p>
          <w:p w14:paraId="26228F5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5.选择工具：需支持在电子白板软件下，对手写笔迹、学科工具、插入的图片至少需支持2种方式，如框选、圈选；选择后至少支持≥3种操作如置顶、克隆、删除功能；</w:t>
            </w:r>
          </w:p>
          <w:p w14:paraId="1EE1F07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6.画笔工具：需支持一键调取3层功能，包含笔触粗细、颜色、笔形，教师随机选择；需提供≥4种笔型，如钢笔、毛笔、铅笔、印刷笔；需支持将手写体转写成标准印刷体，印刷体支持自动识别≥5 种格式，如中文、英文、数学公式、化学无机方程式、有机分子式；</w:t>
            </w:r>
          </w:p>
          <w:p w14:paraId="18008C3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7.聚焦工具：需支持≥3种格式进行快速截取，如电子课件、电子课本、电子习题；同时，需支持≥5种调整模式，如截取范围大小，内容进行放大、插入白板、关灯讲解、保存至桌面。</w:t>
            </w:r>
          </w:p>
          <w:p w14:paraId="7C0673B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8.录课功能：需支持录课功能，需支持≥2种调取方式，如前置物理按键一键调取或罗盘工具调取；支持对微课内容进行关键视频切片提取。</w:t>
            </w:r>
          </w:p>
          <w:p w14:paraId="4B23605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9.录制功能：需支持屏幕内容及教室声音画面同时进行录制；生成视频后支持分享链接；支持录制任意全屏画面、局部画</w:t>
            </w:r>
            <w:bookmarkStart w:id="100" w:name="_GoBack"/>
            <w:bookmarkEnd w:id="100"/>
            <w:r>
              <w:rPr>
                <w:rFonts w:hint="eastAsia" w:ascii="仿宋_GB2312" w:hAnsi="仿宋_GB2312" w:eastAsia="仿宋_GB2312" w:cs="仿宋_GB2312"/>
                <w:color w:val="000000"/>
                <w:kern w:val="0"/>
                <w:sz w:val="24"/>
              </w:rPr>
              <w:t>面，支持录制保存音频、屏幕画面、摄像头画面，支持在录制过程中进行书写和擦除。</w:t>
            </w:r>
          </w:p>
          <w:p w14:paraId="2C0E9D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需覆盖高中学段的电子版本教材，需给每个教师账号提供至少10本电子课本下载权限，并支持教师课本上课时，一键云同步获取备课资源，并下载至课本中。授课过程中，支持对课本进行文本批注、画笔标注、擦除、聚焦、翻页操作。</w:t>
            </w:r>
          </w:p>
          <w:p w14:paraId="221077F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11.语文学科工具：需支持提供≥5种语文类学科工具，包括诗词卡片、朗读评测、字词听写、识字接龙、汉语朗读；</w:t>
            </w:r>
          </w:p>
          <w:p w14:paraId="6ABDB94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立体几何工具：需支持手绘至少6种立体几何图形并自动识别为标准形状，包括立方体、圆柱体、圆锥、四棱锥、N棱柱、N棱锥；立方体需支持≥8种图形工具操作，如堆积、构图、展开、收起、旋转、三视图、调节、填充常见教学操作；需支持在立方体任一面复制立方体形成组合图形，并能对组合图形进行360°旋转；支持绘制立方体内部的任意切面，绘制后可自由调节；立体几何图形需支持“三视图”。</w:t>
            </w:r>
          </w:p>
          <w:p w14:paraId="377F554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函数工具：需支持≥6种函数类型，包括一次函数、二次函数、幂函数、指数函数、对数函数、三角函数，及其组合函数的图形绘制，支持手动调节函数参数，图形随之调整；支持以上类型函数手写直接转写为标准印刷体，点击即可生成相应的函数图像。</w:t>
            </w:r>
          </w:p>
          <w:p w14:paraId="18E1740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14.英语学科工具：需提供≥8种英语学科工具，包括但不限于四线三格、字母卡片、英语朗读、单词评测等；</w:t>
            </w:r>
          </w:p>
          <w:p w14:paraId="39F55C5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物理学科工具：需提供物理电路图，涵盖初高中教材电路实验，≥21种电路实验案例，包含伏安法测电阻、欧姆定律应用、动态电路分析等；≥26种元件包含二极管、滑动变阻器、热敏电阻、灵敏电流计等，教师可结合实际教学场景自行组装；以上实验操作支持≥5种功能操作。</w:t>
            </w:r>
          </w:p>
          <w:p w14:paraId="70DAF1F5">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16.需提供≥56种化学仪器工具，如反应类、固定和夹持类、加热类、分离类、计量类、存取类等仪器调用。</w:t>
            </w:r>
          </w:p>
        </w:tc>
        <w:tc>
          <w:tcPr>
            <w:tcW w:w="1090" w:type="dxa"/>
            <w:tcBorders>
              <w:top w:val="single" w:color="auto" w:sz="4" w:space="0"/>
              <w:left w:val="single" w:color="auto" w:sz="4" w:space="0"/>
              <w:bottom w:val="single" w:color="auto" w:sz="4" w:space="0"/>
              <w:right w:val="single" w:color="auto" w:sz="4" w:space="0"/>
            </w:tcBorders>
            <w:vAlign w:val="center"/>
          </w:tcPr>
          <w:p w14:paraId="46C9109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3AED3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A6FEFBE">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18</w:t>
            </w:r>
          </w:p>
        </w:tc>
        <w:tc>
          <w:tcPr>
            <w:tcW w:w="1017" w:type="dxa"/>
            <w:tcBorders>
              <w:top w:val="single" w:color="auto" w:sz="4" w:space="0"/>
              <w:left w:val="single" w:color="auto" w:sz="4" w:space="0"/>
              <w:bottom w:val="single" w:color="auto" w:sz="4" w:space="0"/>
              <w:right w:val="single" w:color="auto" w:sz="4" w:space="0"/>
            </w:tcBorders>
            <w:vAlign w:val="center"/>
          </w:tcPr>
          <w:p w14:paraId="506E6926">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安装集成1</w:t>
            </w:r>
          </w:p>
        </w:tc>
        <w:tc>
          <w:tcPr>
            <w:tcW w:w="7203" w:type="dxa"/>
            <w:tcBorders>
              <w:top w:val="single" w:color="auto" w:sz="4" w:space="0"/>
              <w:left w:val="single" w:color="auto" w:sz="4" w:space="0"/>
              <w:bottom w:val="single" w:color="auto" w:sz="4" w:space="0"/>
              <w:right w:val="single" w:color="auto" w:sz="4" w:space="0"/>
            </w:tcBorders>
            <w:vAlign w:val="center"/>
          </w:tcPr>
          <w:p w14:paraId="3DAB699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0AB3835D">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含整机固定、线路布线、强弱电分离、多媒体设备接线调试、教学系统部署、屏幕校准、防尘密封、旧副板拆除及新安装，完工通电验收，保障音视频、触控、投屏功能稳定运行。</w:t>
            </w:r>
          </w:p>
        </w:tc>
        <w:tc>
          <w:tcPr>
            <w:tcW w:w="1090" w:type="dxa"/>
            <w:tcBorders>
              <w:top w:val="single" w:color="auto" w:sz="4" w:space="0"/>
              <w:left w:val="single" w:color="auto" w:sz="4" w:space="0"/>
              <w:bottom w:val="single" w:color="auto" w:sz="4" w:space="0"/>
              <w:right w:val="single" w:color="auto" w:sz="4" w:space="0"/>
            </w:tcBorders>
            <w:vAlign w:val="center"/>
          </w:tcPr>
          <w:p w14:paraId="300CDAF4">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4929D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E3872EE">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19</w:t>
            </w:r>
          </w:p>
        </w:tc>
        <w:tc>
          <w:tcPr>
            <w:tcW w:w="1017" w:type="dxa"/>
            <w:tcBorders>
              <w:top w:val="single" w:color="auto" w:sz="4" w:space="0"/>
              <w:left w:val="single" w:color="auto" w:sz="4" w:space="0"/>
              <w:bottom w:val="single" w:color="auto" w:sz="4" w:space="0"/>
              <w:right w:val="single" w:color="auto" w:sz="4" w:space="0"/>
            </w:tcBorders>
            <w:vAlign w:val="center"/>
          </w:tcPr>
          <w:p w14:paraId="5E795EDB">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rPr>
              <w:t>智能试卷评阅终端</w:t>
            </w:r>
          </w:p>
        </w:tc>
        <w:tc>
          <w:tcPr>
            <w:tcW w:w="7203" w:type="dxa"/>
            <w:tcBorders>
              <w:top w:val="single" w:color="auto" w:sz="4" w:space="0"/>
              <w:left w:val="single" w:color="auto" w:sz="4" w:space="0"/>
              <w:bottom w:val="single" w:color="auto" w:sz="4" w:space="0"/>
              <w:right w:val="single" w:color="auto" w:sz="4" w:space="0"/>
            </w:tcBorders>
            <w:vAlign w:val="center"/>
          </w:tcPr>
          <w:p w14:paraId="788E25CA">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一、硬件参数</w:t>
            </w:r>
          </w:p>
          <w:p w14:paraId="44E9ED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1.扫描速度：不低于50ipm；</w:t>
            </w:r>
          </w:p>
          <w:p w14:paraId="43F9A79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2.ADF容量：≥50张（纸张克重65—80g/m²）；</w:t>
            </w:r>
          </w:p>
          <w:p w14:paraId="6BE942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3.打印速度：≥25ppm；</w:t>
            </w:r>
          </w:p>
          <w:p w14:paraId="41F93A6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4.需支持不少于A4,16K纸张类型扫描和打印；</w:t>
            </w:r>
          </w:p>
          <w:p w14:paraId="5AB9A6C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5.需支持网络打印协议以及高速USB, 有线网络；</w:t>
            </w:r>
          </w:p>
          <w:p w14:paraId="0BA4B39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6.CPU: 不低于八核，最大频率≥2GHz；</w:t>
            </w:r>
          </w:p>
          <w:p w14:paraId="226814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7.内存：≥8G ；</w:t>
            </w:r>
          </w:p>
          <w:p w14:paraId="4F79E5C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8.硬盘：≥128G固态硬盘；</w:t>
            </w:r>
          </w:p>
          <w:p w14:paraId="150D7B4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9.液晶显示屏≥11英寸，分辨率≥1200*1920，触摸式屏幕；</w:t>
            </w:r>
          </w:p>
          <w:p w14:paraId="6039C61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10.内置操作系统。</w:t>
            </w:r>
          </w:p>
          <w:p w14:paraId="1DFC50A4">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二、作业数据采集与批阅</w:t>
            </w:r>
          </w:p>
          <w:p w14:paraId="70F38E1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1.学情采集</w:t>
            </w:r>
          </w:p>
          <w:p w14:paraId="1576C8B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支持无题库、无固定版式、无定制答题卡依赖的作业与试卷数据采集，无需借助定位标记、二维码、专用数据线、空白模板预扫描等辅助操作，即可完成全量作业、试卷数据采集。系统具备复杂版式图文智能分析与识别能力。</w:t>
            </w:r>
          </w:p>
          <w:p w14:paraId="7807C00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（2）系统可自动识别并绑定作业对应的学科、年级、班级、作业类型等基础属性，实现作业数据规范化分类归集，保障学情数据统一、有序管理。</w:t>
            </w:r>
          </w:p>
          <w:p w14:paraId="1EEBB30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（3）系统兼容常见黑色、蓝色、红色手写笔迹识别，可同步完成标准答案卷、学生作答卷的内容识别与学情数据归集比对，适配多色笔迹批改、作答场景。</w:t>
            </w:r>
          </w:p>
          <w:p w14:paraId="0C8BC40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（4）系统支持纸质作业单面、双面内容自动识别采集，可精准区分纸张正反面作答内容。</w:t>
            </w:r>
          </w:p>
          <w:p w14:paraId="3A637C6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（5）系统具备学生信息智能识别能力，可自动识别作业纸张上手写姓名、作业编号，并自动匹配对应学生信息台账；同时支持教师人工核对、手动修正匹配关系，确保学生作业数据归属准确无误。</w:t>
            </w:r>
          </w:p>
          <w:p w14:paraId="0530409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（6）支持同一班级作业分批次扫描采集，系统可自动合并汇总分次采集的班级作业数据，无需人工二次整理，实现批量采集、自动归集、统一管理。</w:t>
            </w:r>
          </w:p>
          <w:p w14:paraId="391D34A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（7）系统留存全部作业批阅任务记录，支持按年级、学科、任务状态多维度筛选查询任务列表，支持对无效、过期任务进行删除操作，实现作业任务全生命周期规范化管理。</w:t>
            </w:r>
          </w:p>
          <w:p w14:paraId="0F39411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（8）支持移动端作业布置功能，可独立创建作文批阅任务，教师可通过文本录入、现场拍照、图片上传等多种方式录入并生成作文题目及作业要求，满足移动端轻量化、便捷化作业布置需求。</w:t>
            </w:r>
          </w:p>
          <w:p w14:paraId="41F59CA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2.智能批阅与留痕打印</w:t>
            </w:r>
          </w:p>
          <w:p w14:paraId="01E4F3A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◆（1）系统适配高中学段数学学科，</w:t>
            </w:r>
            <w:r>
              <w:rPr>
                <w:rFonts w:hint="eastAsia" w:ascii="仿宋_GB2312" w:hAnsi="仿宋_GB2312" w:eastAsia="仿宋_GB2312" w:cs="仿宋_GB2312"/>
                <w:b w:val="0"/>
                <w:bCs w:val="0"/>
                <w:color w:val="000000"/>
                <w:kern w:val="0"/>
                <w:sz w:val="24"/>
                <w:highlight w:val="yellow"/>
                <w:u w:val="wave"/>
              </w:rPr>
              <w:t>支持高中学段数学学科学生手写代数类章节、几何类章节≥2类题型实现分步骤批改</w:t>
            </w:r>
            <w:r>
              <w:rPr>
                <w:rFonts w:hint="eastAsia" w:ascii="仿宋_GB2312" w:hAnsi="仿宋_GB2312" w:eastAsia="仿宋_GB2312" w:cs="仿宋_GB2312"/>
                <w:b w:val="0"/>
                <w:bCs w:val="0"/>
                <w:color w:val="000000"/>
                <w:kern w:val="0"/>
                <w:sz w:val="24"/>
                <w:highlight w:val="yellow"/>
              </w:rPr>
              <w:t>，包含不限于解答题、证明题等，可定位错误步骤分析错因。智能批阅完成后，可在学生原始作答试卷上完整展示批阅痕迹，支持批阅效果可视化留存及纸质留痕打印输出。</w:t>
            </w:r>
          </w:p>
          <w:p w14:paraId="1A5EBCC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系统支持直接导入高中数学学科预处理完成的教辅原题资源，无需对参考答案执行扫描操作，就能开展智能自动批改。针对高中数学代数类解答题，支持分步智能批阅，可精准定位错误作答步骤、识别错因，在学生原卷对应位置生成批阅留痕，并支持完整留痕内容打印。</w:t>
            </w:r>
          </w:p>
          <w:p w14:paraId="16109C4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系统适配高中学段英语学科，支持学生手写选择题、填空题、单词拼写、完成句子、英语作文等题型智能批阅。针对英语作文，支持逐句精细化批改，包含语法纠错、书写规范指导、用词优化建议等批注内容；支持分数或等级评价，可从内容质量、篇章结构、卷面规范等维度生成综合点评与全文润色建议。所有评分、等级、逐句批注痕迹均可在学生原卷可视化展示，并支持留痕打印。</w:t>
            </w:r>
          </w:p>
          <w:p w14:paraId="5D06591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系统适配高中学段语文学科，支持学生手写选择题、填空题、古诗词默写、语文作文智能批阅。语文作文支持等级评价，可从主题立意、文章结构、内容素材、语言表达≥4个维度开展多维点评，具备原文批注、错别字修正、语句点评优化能力，可输出针对性写作提升建议。批阅完成后，学生原卷可完整展示评价等级、批注内容及批改痕迹，支持留痕渲染与纸质打印输出。</w:t>
            </w:r>
          </w:p>
          <w:p w14:paraId="523C745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（5）系统适配高中学段物理学科，支持学生手写选择题、填空题、解答题、实验探究题智能批阅，覆盖学科主流作业与考试题型。批阅完成后可在学生作答原卷生成完整批阅留痕，支持可视化展示与留痕打印。</w:t>
            </w:r>
          </w:p>
          <w:p w14:paraId="6C17A95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（6）系统适配高中化学、生物学科，支持学生手写判断题、选择题、填空题、实验探究题智能批阅，适配学科常规作业题型。所有批阅结果支持原卷痕迹留存、可视化展示及留痕打印。</w:t>
            </w:r>
          </w:p>
          <w:p w14:paraId="699229A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（7）系统适配高中思想政治、历史、地理、信息技术学科，支持学生手写判断题、选择题智能批阅，满足文科基础题型作业批阅需求。批阅痕迹可在学生原卷留存展示，支持留痕打印输出。</w:t>
            </w:r>
          </w:p>
          <w:p w14:paraId="0E635FA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◆（8）需支持教师通过移动端APP布置作文批阅任务，</w:t>
            </w:r>
            <w:r>
              <w:rPr>
                <w:rFonts w:hint="eastAsia" w:ascii="仿宋_GB2312" w:hAnsi="仿宋_GB2312" w:eastAsia="仿宋_GB2312" w:cs="仿宋_GB2312"/>
                <w:b w:val="0"/>
                <w:bCs w:val="0"/>
                <w:color w:val="000000"/>
                <w:kern w:val="0"/>
                <w:sz w:val="24"/>
                <w:highlight w:val="yellow"/>
                <w:u w:val="wave"/>
              </w:rPr>
              <w:t>需支持≥2种生成作文题目方式，包含不限于文本输入、上传图片等</w:t>
            </w:r>
            <w:r>
              <w:rPr>
                <w:rFonts w:hint="eastAsia" w:ascii="仿宋_GB2312" w:hAnsi="仿宋_GB2312" w:eastAsia="仿宋_GB2312" w:cs="仿宋_GB2312"/>
                <w:b w:val="0"/>
                <w:bCs w:val="0"/>
                <w:color w:val="000000"/>
                <w:kern w:val="0"/>
                <w:sz w:val="24"/>
                <w:highlight w:val="yellow"/>
              </w:rPr>
              <w:t>。</w:t>
            </w:r>
          </w:p>
          <w:p w14:paraId="76E05F40">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三、校本资源共建共享</w:t>
            </w:r>
          </w:p>
          <w:p w14:paraId="3AE8992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1.个人资源建设</w:t>
            </w:r>
          </w:p>
          <w:p w14:paraId="770F1CC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（1）系统支持教师通过扫描方式，将教研组集体研发的校本作业、试卷及教师个人原创作业资源数字化录入系统资源共享库，实现校本资源规范化入库、长期留存。</w:t>
            </w:r>
          </w:p>
          <w:p w14:paraId="22057B7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（2）支持教师自主管理个人资源库，可在线预览所有扫描上传的作业、试卷资源，可对个人冗余、过期、无效资源进行删除清理，保障个人资源库整洁有序。</w:t>
            </w:r>
          </w:p>
          <w:p w14:paraId="28D0E82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2.资源分享</w:t>
            </w:r>
          </w:p>
          <w:p w14:paraId="2EC211F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（1）支持教师将个人入库资源在校内定向分享，可自主设定分享范围，支持分享至备课组、学科组，实现校内分层、分组资源共建共享。</w:t>
            </w:r>
          </w:p>
          <w:p w14:paraId="474335E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（2）支持教师依托资源库已有优质资源快速创建作业批阅任务，简化作业布置流程；系统支持资源溯源查询，可查看共享资源的上传人员、上传时间等来源信息，实现资源可追溯管理。</w:t>
            </w:r>
          </w:p>
          <w:p w14:paraId="0B24E5C2">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四、学情大数据应用</w:t>
            </w:r>
          </w:p>
          <w:p w14:paraId="03A3B61B">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1.作业讲评讲义</w:t>
            </w:r>
          </w:p>
          <w:p w14:paraId="2B4B3A9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（1）系统可根据作业批阅结果自动生成班级作业成绩单，包含小题正确率、得分率明细以及学生个人正确率、总分等多维学情数据，全面呈现班级整体及学生个体作业完成情况。</w:t>
            </w:r>
          </w:p>
          <w:p w14:paraId="528C39B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（2）系统支持自动生成班级专属作业讲评讲义，当作业批阅结果、学生得分数据发生修改更新时，讲评讲义数据同步实时迭代更新，确保学情内容真实有效。</w:t>
            </w:r>
          </w:p>
          <w:p w14:paraId="61221BB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（3）支持讲评讲义在线预览，讲义内容涵盖未提交作业学生名单、班级核心学情指标、典型错题汇总、共性问题分析及针对性课堂讲评建议，为教师精准教学、课堂讲评提供数据支撑。</w:t>
            </w:r>
          </w:p>
          <w:p w14:paraId="2BB6828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（4）支持按班级筛选学情数据，可在线查看、批量打印班级作业成绩单与讲评讲义，适配日常教学备课、学情归档及线下讲评使用场景。</w:t>
            </w:r>
          </w:p>
          <w:p w14:paraId="1E9529E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2.作业报告</w:t>
            </w:r>
          </w:p>
          <w:p w14:paraId="4BEADB0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（1）系统支持多维度作业学情报告查询，教师可查看单次作业对应的班级学情报告、年级整体学情报告，实现班级、年级层级学情全覆盖分析。</w:t>
            </w:r>
          </w:p>
          <w:p w14:paraId="0EBAD8E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（2）班级单次作业报告包含作答概览、学情分布、题目概览三大核心模块，全方位拆解班级作业学情短板与优势。</w:t>
            </w:r>
          </w:p>
          <w:p w14:paraId="49DF034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（3）作答概览模块展示班级作业整体作答情况，清晰呈现作业提交人数、未提交学生名单、班级平均正确率、年级平均正确率、班级最高正确率等核心统计数据。</w:t>
            </w:r>
          </w:p>
          <w:p w14:paraId="1F34D9B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（4）支持教师在学情分布中查看班级作业等级学情分布情况及对应的学生名单，为教师开展分层教学、精准培优补差提供依据。</w:t>
            </w:r>
          </w:p>
          <w:p w14:paraId="6B0B1B7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（5）题目概览模块自动汇总班级共性错题，逐题展示班级正确率、年级正确率，精准定位班级薄弱知识点与高频错题。</w:t>
            </w:r>
          </w:p>
          <w:p w14:paraId="5BAB01B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系统支持Web端在线交互式讲评，教师可按题号、正确率自主筛选讲评试题；支持多名学生作答原卷同界面对比讲评，具备试题缩放、答案展开/隐藏功能。配套专业画笔讲评工具，支持自定义笔迹颜色，配备≥3种笔触大小、3种板擦大小，支持一键清空、操作撤销、操作恢复，满足常态化课堂讲评互动需求。</w:t>
            </w:r>
          </w:p>
          <w:p w14:paraId="097E809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系统支持学情报告数据批量下载，可按小题维度导出试题详情、学生作答详情、整体学情数据，涵盖题号、题型、年级正确率、班级正确率、答对人数、答错人数、答错学生名单等多维度字段，支持学情复盘与二次数据分析。</w:t>
            </w:r>
          </w:p>
          <w:p w14:paraId="35B8D27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（8）支持按班级批量下载学生作业批改原卷，便于教师线下归档、学情复盘、家校展示。</w:t>
            </w:r>
          </w:p>
          <w:p w14:paraId="5E8AFDF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（9）系统支持多角色权限分级查看，校长、年级主任、学科组长、备课组长、班主任等管理人员，可依据权限查看对应班级单次作业批阅报告，满足学校多层级教学管理、学情督导需求。</w:t>
            </w:r>
          </w:p>
          <w:p w14:paraId="0F92C00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（10）支持学生及家长查询单次作业学情报告，可查看整卷正确率、逐题作答对错情况、完整原卷批阅痕迹；英语作文专项报告支持查看作文原文、整体点评及逐句批改细节，支撑家校协同学情辅导。</w:t>
            </w:r>
          </w:p>
          <w:p w14:paraId="05800AC4">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3.错题本</w:t>
            </w:r>
          </w:p>
          <w:p w14:paraId="0EB8F5B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（1）系统可自动归集已批阅完成的班级共性错题，搭建班级共享错题库，支持查看错题题干、题型、班级正确率等学情信息，沉淀班级核心薄弱知识点。</w:t>
            </w:r>
          </w:p>
          <w:p w14:paraId="61683140">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（2）支持多维度筛选错题库，可依据错题来源作业、作答时间、题目题型等条件精准检索错题，满足针对性选题组卷需求。</w:t>
            </w:r>
          </w:p>
          <w:p w14:paraId="1B1E35F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（3）支持教师筛选班级典型错题，快速组卷生成错题巩固专项作业，助力学生针对性强化薄弱知识点。</w:t>
            </w:r>
          </w:p>
          <w:p w14:paraId="7BF15F3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val="0"/>
                <w:bCs w:val="0"/>
                <w:color w:val="000000"/>
                <w:kern w:val="0"/>
                <w:sz w:val="24"/>
                <w:highlight w:val="yellow"/>
              </w:rPr>
              <w:t>（4）支持将错题巩固作业以通用Word格式导出下载，方便教师二次编辑、排版打印与布置训练任务。</w:t>
            </w:r>
          </w:p>
          <w:p w14:paraId="2E0C9BF1">
            <w:pPr>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kern w:val="0"/>
                <w:sz w:val="24"/>
              </w:rPr>
              <w:t>五、设备出厂标配完整四色耗材一套。</w:t>
            </w:r>
          </w:p>
        </w:tc>
        <w:tc>
          <w:tcPr>
            <w:tcW w:w="1090" w:type="dxa"/>
            <w:tcBorders>
              <w:top w:val="single" w:color="auto" w:sz="4" w:space="0"/>
              <w:left w:val="single" w:color="auto" w:sz="4" w:space="0"/>
              <w:bottom w:val="single" w:color="auto" w:sz="4" w:space="0"/>
              <w:right w:val="single" w:color="auto" w:sz="4" w:space="0"/>
            </w:tcBorders>
            <w:vAlign w:val="center"/>
          </w:tcPr>
          <w:p w14:paraId="440A99F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4台</w:t>
            </w:r>
          </w:p>
        </w:tc>
      </w:tr>
      <w:tr w14:paraId="5135E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5986BDBE">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三、AI英语听说课堂</w:t>
            </w:r>
          </w:p>
        </w:tc>
      </w:tr>
      <w:tr w14:paraId="4D40FD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A5CF4C0">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20</w:t>
            </w:r>
          </w:p>
        </w:tc>
        <w:tc>
          <w:tcPr>
            <w:tcW w:w="1017" w:type="dxa"/>
            <w:tcBorders>
              <w:top w:val="single" w:color="auto" w:sz="4" w:space="0"/>
              <w:left w:val="single" w:color="auto" w:sz="4" w:space="0"/>
              <w:bottom w:val="single" w:color="auto" w:sz="4" w:space="0"/>
              <w:right w:val="single" w:color="auto" w:sz="4" w:space="0"/>
            </w:tcBorders>
            <w:vAlign w:val="center"/>
          </w:tcPr>
          <w:p w14:paraId="75B5C11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AI</w:t>
            </w:r>
            <w:r>
              <w:rPr>
                <w:rFonts w:hint="eastAsia" w:ascii="仿宋_GB2312" w:hAnsi="仿宋_GB2312" w:eastAsia="仿宋_GB2312" w:cs="仿宋_GB2312"/>
                <w:color w:val="000000"/>
                <w:kern w:val="0"/>
                <w:sz w:val="24"/>
                <w:highlight w:val="yellow"/>
                <w:lang w:bidi="ar"/>
              </w:rPr>
              <w:t>英语听说教学系统</w:t>
            </w:r>
          </w:p>
        </w:tc>
        <w:tc>
          <w:tcPr>
            <w:tcW w:w="7203" w:type="dxa"/>
            <w:tcBorders>
              <w:top w:val="single" w:color="auto" w:sz="4" w:space="0"/>
              <w:left w:val="single" w:color="auto" w:sz="4" w:space="0"/>
              <w:bottom w:val="single" w:color="auto" w:sz="4" w:space="0"/>
              <w:right w:val="single" w:color="auto" w:sz="4" w:space="0"/>
            </w:tcBorders>
            <w:vAlign w:val="center"/>
          </w:tcPr>
          <w:p w14:paraId="1B855C1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4D2EA6A4">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一、AI听说课堂软件</w:t>
            </w:r>
          </w:p>
          <w:p w14:paraId="0C22E259">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（一）课前资源库备课</w:t>
            </w:r>
          </w:p>
          <w:p w14:paraId="3418408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1、需支持教师通过云平台或者教学软件端进行备课。</w:t>
            </w:r>
          </w:p>
          <w:p w14:paraId="6395C0A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2、需支持教师浏览电子化教材、熟悉课本内容及内置互动资源，并根据教学需要将多种教学资源添加到电子化教材中。</w:t>
            </w:r>
          </w:p>
          <w:p w14:paraId="3708DF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3、需支持教师根据教学活动开展需要，自由选择不同类型的教学或练习资源，组成授课资源包。</w:t>
            </w:r>
          </w:p>
          <w:p w14:paraId="536E886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4、需支持教师对个人授课资源包进行管理，包括自主命名、搜索、调整资源展示排序、再次编辑，再次编辑包含添加资源、删除资源等。</w:t>
            </w:r>
          </w:p>
          <w:p w14:paraId="3F70F46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5、需支持教师共享自主创建的授课资源包，可分享给学校其他教师使用。</w:t>
            </w:r>
          </w:p>
          <w:p w14:paraId="77069539">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（二）课堂教学</w:t>
            </w:r>
          </w:p>
          <w:p w14:paraId="2CF0E0F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1、需支持多版本电子化教材资源，能够通过教室大屏或投影设备呈现教材内容、播放课文音频，可手动控制教学音频的播放进度，对重点内容反复播放或暂停播放。</w:t>
            </w:r>
          </w:p>
          <w:p w14:paraId="66B37A6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2、需支持自动记录教师课本教学进度，快速打开要讲解的教学单元内容。</w:t>
            </w:r>
          </w:p>
          <w:p w14:paraId="0C6250C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3、需支持教师随时选取单元配套的教学资源库，或打开课前备课准备的授课资源包，在课上展示讲解、播放等。</w:t>
            </w:r>
          </w:p>
          <w:p w14:paraId="2D060E8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4、需为老师提供同步教材单元教学课件、视频素材，支持教师课前预览选用、下载修改、课上播放。</w:t>
            </w:r>
          </w:p>
          <w:p w14:paraId="51D7CF63">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（三）课堂互动与练习</w:t>
            </w:r>
          </w:p>
          <w:p w14:paraId="02E6944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1、需支持学生通过语音输入姓名或者按键输入学生编号来绑定语音答题器，方便进行课堂互动练习。</w:t>
            </w:r>
          </w:p>
          <w:p w14:paraId="07EA5E2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配合学生语音答题器，在课上一键发起互动练习。支持全班下发，所有学生均可参与练习；支持随机模式，由系统随机抽选学生进行作答；支持抢答模式，学生通过语音答题器进行抢答；支持直接选人作答；支持小组间PK练习等。</w:t>
            </w:r>
          </w:p>
          <w:p w14:paraId="007EE0F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3、需支持查看班级学生名单，将学生分为不同小组，并在互动后给学生或小组增加积分奖励</w:t>
            </w:r>
          </w:p>
          <w:p w14:paraId="284032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4、需支持抽选单个学生在教学软件上进行练习，系统实时进行练习评测、反馈学生练习情况</w:t>
            </w:r>
          </w:p>
          <w:p w14:paraId="6104E295">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（四）报告讲评</w:t>
            </w:r>
          </w:p>
          <w:p w14:paraId="0813BC6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1、需支持查看课堂完成的各类互动报告，包括全班下发、小组PK、抢答、随机、选人、单机PK、单机练习，针对班级整体分析报告、学生个人分析报告进行讲评。</w:t>
            </w:r>
          </w:p>
          <w:p w14:paraId="44B69EF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成绩分析统计：可查看班级整体练习情况，包括完成人数、优秀率、低分率、最高分最低分、平均分；以及每个分数段的人数占比、对应的学生名单和成绩；可查看每题的班级平均得分率，快速定位得分率低的试题，重点讲评；</w:t>
            </w:r>
          </w:p>
          <w:p w14:paraId="61B7B1C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试题讲评：针对朗读题，展示准确度、流畅度、完整度、自然度的班级评分，支持通过颜色标记规则标记班级高频失分词和低分句，并支持高频失分词和低分句子及时再次下发巩固练习；支持回听每位学生的作答录音；支持将学生整段短文录音切分句子音频，分段播放；支持班级高频失分音素定位，以及失分单词音素定位。</w:t>
            </w:r>
          </w:p>
          <w:p w14:paraId="7E6267C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针对听力题，展示每个小题的正确、错误人数以及对应学生名单，可播放听力原音并任意调节播放进度，可快速定位到小题相关音频进行针对性播放，能够展示并讲解参考答案、听力原文，能够一键凸显各小题答案相关听力原文内容以及一键凸显各小题干扰项内容。</w:t>
            </w:r>
          </w:p>
          <w:p w14:paraId="2E43085C">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（五）学情分析</w:t>
            </w:r>
          </w:p>
          <w:p w14:paraId="46FF411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1、需支持自动汇总学校开展听说教学的数据，按学年、学期、年级生成学校综合教情，支持学校查看下属每一年级、班级的报告，包括课堂练习次数、参与率、得分率指标；</w:t>
            </w:r>
          </w:p>
          <w:p w14:paraId="6ECD708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2、需支持查看学校每月开展听说练习情况，并支持与区域平均得分率做比较，形成整体变化轨迹。</w:t>
            </w:r>
          </w:p>
          <w:p w14:paraId="3EA265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3、需支持自动汇总班级开展听说教学的数据，按学年、学期生成班级综合学情，支持班级教师查看授课班级开展教学后的整体教学分析报告，包括课堂练习的次数、参与率、得分率；</w:t>
            </w:r>
          </w:p>
          <w:p w14:paraId="1BE207F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4、需支持统计班级每月开展听说教学的整体变化轨迹，包括课堂练习次数变化、参与率和得分率变化，并可与学校对应年级的平均情况做比较。</w:t>
            </w:r>
          </w:p>
          <w:p w14:paraId="4B394455">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（六）英语教学资源</w:t>
            </w:r>
          </w:p>
          <w:p w14:paraId="0D01DDF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提供与对应学段主流教材版本相匹配的的电子课本，并配有对应音频，即点即读，辅助教师在备课及授课环节进行使用。2、需提供与对应学段主流教材版本对应的单元检测活动，包括听、说、读各种语言能力检测活动。</w:t>
            </w:r>
          </w:p>
          <w:p w14:paraId="799D7B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提供与单元内容与主题同步的巩固练习题，须包含20+不同的练习类型，含朗读（单词、句子、对话、短文）、听力（听后选择、听后判断、听后排序、听后配对、听后填空）、问答（听后回答、看图回答、情景回答、情景提问、交际应答、角色扮演）、表述（听后复述、听后记录并转述、信息转述及询问、口头翻译、要点表述、看图说话、话题简述），将可理解性输入与可理解性输出有机结合。</w:t>
            </w:r>
          </w:p>
          <w:p w14:paraId="3C1783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4、需提供试题的主题、难度等属性标签，帮助教师在练习后精准把握学生学科技能的掌握情况，便于教师在后期的教学中针对学生的重点薄弱项进行讲解。</w:t>
            </w:r>
          </w:p>
          <w:p w14:paraId="62E289A8">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（七）智能评测能力</w:t>
            </w:r>
          </w:p>
          <w:p w14:paraId="31C416E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1.系统需具备智能化口语测评评分能力，支持对单词朗读、句子朗读、短文朗读、情景问答等常规口语题型进行实时、自动化智能评分，评分响应高效、结果稳定，满足常态化听说教学测评需求。</w:t>
            </w:r>
          </w:p>
          <w:p w14:paraId="67FBB86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系统需具备异常作答智能识别与预警能力，可精准识别各类无效作答及环境干扰数据，包括但不限于无意义乱读、随意哼唱、咳嗽杂音、设备敲击噪音、无关话术作答等非有效答题行为，并自动进行异常预警、无效作答标记、数据过滤，保障测评数据真实性与有效性。</w:t>
            </w:r>
          </w:p>
          <w:p w14:paraId="41F0F6FF">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针对单词、句子、短文类朗读题型，系统支持多维度精细化智能测评，测评维度需包含准确度、完整度、流畅度、自然度四大核心维度分项得分及综合总分；支持对朗读内容进行学业水平智能标记，可自动区分作答优良等级、低分薄弱点、漏读内容、错读内容，直观呈现学生朗读薄弱项。</w:t>
            </w:r>
          </w:p>
          <w:p w14:paraId="298B2C95">
            <w:pPr>
              <w:jc w:val="left"/>
              <w:rPr>
                <w:rFonts w:hint="eastAsia" w:ascii="仿宋_GB2312" w:hAnsi="仿宋_GB2312" w:eastAsia="仿宋_GB2312" w:cs="仿宋_GB2312"/>
                <w:color w:val="000000"/>
                <w:sz w:val="24"/>
              </w:rPr>
            </w:pPr>
            <w:r>
              <w:rPr>
                <w:rFonts w:hint="eastAsia" w:ascii="仿宋_GB2312" w:hAnsi="仿宋_GB2312" w:eastAsia="仿宋_GB2312" w:cs="仿宋_GB2312"/>
                <w:b w:val="0"/>
                <w:bCs w:val="0"/>
                <w:color w:val="000000"/>
                <w:kern w:val="0"/>
                <w:sz w:val="24"/>
                <w:highlight w:val="yellow"/>
              </w:rPr>
              <w:t>4.系统支持问答类题型智能化语义测评，可基于作答语义、核心关键词匹配、答题逻辑完整度进行智能判分；支持自动分析学生作答失分原因，统计核心知识点、关键词作答准确率，生成针对性学情反馈，指导学生精准整改、专项提升。</w:t>
            </w:r>
          </w:p>
        </w:tc>
        <w:tc>
          <w:tcPr>
            <w:tcW w:w="1090" w:type="dxa"/>
            <w:tcBorders>
              <w:top w:val="single" w:color="auto" w:sz="4" w:space="0"/>
              <w:left w:val="single" w:color="auto" w:sz="4" w:space="0"/>
              <w:bottom w:val="single" w:color="auto" w:sz="4" w:space="0"/>
              <w:right w:val="single" w:color="auto" w:sz="4" w:space="0"/>
            </w:tcBorders>
            <w:vAlign w:val="center"/>
          </w:tcPr>
          <w:p w14:paraId="1EE67DF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58C24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381B4B7">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21</w:t>
            </w:r>
          </w:p>
        </w:tc>
        <w:tc>
          <w:tcPr>
            <w:tcW w:w="1017" w:type="dxa"/>
            <w:tcBorders>
              <w:top w:val="single" w:color="auto" w:sz="4" w:space="0"/>
              <w:left w:val="single" w:color="auto" w:sz="4" w:space="0"/>
              <w:bottom w:val="single" w:color="auto" w:sz="4" w:space="0"/>
              <w:right w:val="single" w:color="auto" w:sz="4" w:space="0"/>
            </w:tcBorders>
            <w:vAlign w:val="center"/>
          </w:tcPr>
          <w:p w14:paraId="416B6FE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智能演示器</w:t>
            </w:r>
          </w:p>
        </w:tc>
        <w:tc>
          <w:tcPr>
            <w:tcW w:w="7203" w:type="dxa"/>
            <w:tcBorders>
              <w:top w:val="single" w:color="auto" w:sz="4" w:space="0"/>
              <w:left w:val="single" w:color="auto" w:sz="4" w:space="0"/>
              <w:bottom w:val="single" w:color="auto" w:sz="4" w:space="0"/>
              <w:right w:val="single" w:color="auto" w:sz="4" w:space="0"/>
            </w:tcBorders>
            <w:vAlign w:val="center"/>
          </w:tcPr>
          <w:p w14:paraId="686CE01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1DF2F833">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1.录音按键设计：设备配备专属物理录音按键，采用人性化易用设计，按压按键即可激活录音工作状态，操作简洁高效，适配课堂常态化使用。</w:t>
            </w:r>
          </w:p>
          <w:p w14:paraId="206A62F9">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2.激光空中遥控功能：集成激光指示与空中姿态遥控定位双重功能，支持激光灯自由开启、关闭；可远程实现桌面鼠标移动、左键右键点击操作，满足远程操控演示场景需求。</w:t>
            </w:r>
          </w:p>
          <w:p w14:paraId="75C95974">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3.麦克风配置：搭载双麦克风阵列收音结构，具备远距离高清拾音能力，有效拾音距离≥3米，可清晰采集课堂人声，过滤环境杂音。</w:t>
            </w:r>
          </w:p>
          <w:p w14:paraId="6A23BC0D">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4.传感配置：内置六轴传感模组，包含三轴陀螺仪、三轴加速度传感器，感应灵敏、操控精准，保障空中操控、姿态识别精准度。</w:t>
            </w:r>
          </w:p>
          <w:p w14:paraId="1B41D571">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5.无线通讯方式：采用稳定射频无线通信技术，抗干扰能力强，连接稳定不卡顿，适配复杂教学环境使用。</w:t>
            </w:r>
          </w:p>
          <w:p w14:paraId="64262F5B">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6.电池配置：搭载容量≥500mAh锂聚合物电池，续航能力满足常态化课堂教学使用需求，安全稳定、耐用性强。</w:t>
            </w:r>
          </w:p>
          <w:p w14:paraId="2B6CFF1D">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7.充电时长：设备标准完整充电时长≤3小时，充电效率高，适配日常运维使用。</w:t>
            </w:r>
          </w:p>
          <w:p w14:paraId="2548C845">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8.无线传输距离：设备有效无线传输距离≥15米，满足常规教室、多功能报告厅全场景覆盖。</w:t>
            </w:r>
          </w:p>
          <w:p w14:paraId="52B6C633">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9.系统兼容性：全面兼容Windows7及以上全系Windows操作系统，适配市面教学电脑设备。</w:t>
            </w:r>
          </w:p>
          <w:p w14:paraId="10715530">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10.设备账号绑定免密登录：支持智能演示设备与教师个人业务账号绑定配对，绑定完成后，插入/连接设备可实现免密自动登录配套教学业务软件，简化登录流程。</w:t>
            </w:r>
          </w:p>
          <w:p w14:paraId="50E846EA">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11.软件自启动功能：设备支持配套教学软件联动自启动，终端已安装对应教学软件的前提下，设备成功连接电脑后，可自动唤醒启动教学软件，无需手动开启。</w:t>
            </w:r>
          </w:p>
          <w:p w14:paraId="5D2C2BD7">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12.录音联动评测功能：设备自带高清录音功能，可与配套教学业务软件数据互通，录制音频可同步至软件系统，支撑课堂口语采集、智能测评等教学应用。</w:t>
            </w:r>
          </w:p>
          <w:p w14:paraId="515CC1D9">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highlight w:val="yellow"/>
              </w:rPr>
              <w:t>13.演示操控功能：支持上下切题、教学资源切换操作，同时兼容PPT课件上下翻页、页面切换等常规演示操控功能，满足课堂课件演示、教学切换全场景需求。</w:t>
            </w:r>
          </w:p>
        </w:tc>
        <w:tc>
          <w:tcPr>
            <w:tcW w:w="1090" w:type="dxa"/>
            <w:tcBorders>
              <w:top w:val="single" w:color="auto" w:sz="4" w:space="0"/>
              <w:left w:val="single" w:color="auto" w:sz="4" w:space="0"/>
              <w:bottom w:val="single" w:color="auto" w:sz="4" w:space="0"/>
              <w:right w:val="single" w:color="auto" w:sz="4" w:space="0"/>
            </w:tcBorders>
            <w:vAlign w:val="center"/>
          </w:tcPr>
          <w:p w14:paraId="6A72FE9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1EE70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156246F">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22</w:t>
            </w:r>
          </w:p>
        </w:tc>
        <w:tc>
          <w:tcPr>
            <w:tcW w:w="1017" w:type="dxa"/>
            <w:tcBorders>
              <w:top w:val="single" w:color="auto" w:sz="4" w:space="0"/>
              <w:left w:val="single" w:color="auto" w:sz="4" w:space="0"/>
              <w:bottom w:val="single" w:color="auto" w:sz="4" w:space="0"/>
              <w:right w:val="single" w:color="auto" w:sz="4" w:space="0"/>
            </w:tcBorders>
            <w:vAlign w:val="center"/>
          </w:tcPr>
          <w:p w14:paraId="792B292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课堂互动语音作答终端</w:t>
            </w:r>
          </w:p>
        </w:tc>
        <w:tc>
          <w:tcPr>
            <w:tcW w:w="7203" w:type="dxa"/>
            <w:tcBorders>
              <w:top w:val="single" w:color="auto" w:sz="4" w:space="0"/>
              <w:left w:val="single" w:color="auto" w:sz="4" w:space="0"/>
              <w:bottom w:val="single" w:color="auto" w:sz="4" w:space="0"/>
              <w:right w:val="single" w:color="auto" w:sz="4" w:space="0"/>
            </w:tcBorders>
            <w:vAlign w:val="center"/>
          </w:tcPr>
          <w:p w14:paraId="7BF2F986">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详细参数：</w:t>
            </w:r>
          </w:p>
          <w:p w14:paraId="78CAC593">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1.设备采用无线射频通信技术，无遮挡环境下有效通信距离≥11米，支持课堂互动答题、语音作答交互功能，具备强抗干扰能力，可适配多设备密集教学场景稳定通信，无断连、丢包问题。</w:t>
            </w:r>
          </w:p>
          <w:p w14:paraId="2FDF4D57">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2.设备内置高频感应读写模块，支持与配套接收终端实现近距离非接触式快速配对绑定，配对操作简便、响应迅速，适配课堂批量设备快速入网与统一管理。</w:t>
            </w:r>
          </w:p>
          <w:p w14:paraId="28EFF02D">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3.设备搭载显示屏，屏幕分辨率≥128*64，支持个性化展示学生姓名、题目序号、作答内容、设备信号状态、剩余电池电量、答题得分、奖励信息等多类内容；支持屏幕自动休眠锁定节能机制，任意按键即可唤醒设备，适配常态化课堂使用。</w:t>
            </w:r>
          </w:p>
          <w:p w14:paraId="431B2364">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4</w:t>
            </w:r>
            <w:r>
              <w:rPr>
                <w:rFonts w:hint="eastAsia" w:ascii="仿宋_GB2312" w:hAnsi="仿宋_GB2312" w:eastAsia="仿宋_GB2312" w:cs="仿宋_GB2312"/>
                <w:color w:val="000000"/>
                <w:kern w:val="0"/>
                <w:sz w:val="24"/>
                <w:highlight w:val="yellow"/>
              </w:rPr>
              <w:t>.设备按键触控反馈清晰、结构坚固耐用，单键使用寿命≥48万次，满足长期高频课堂操作使用。</w:t>
            </w:r>
          </w:p>
          <w:p w14:paraId="1D87D719">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5</w:t>
            </w:r>
            <w:r>
              <w:rPr>
                <w:rFonts w:hint="eastAsia" w:ascii="仿宋_GB2312" w:hAnsi="仿宋_GB2312" w:eastAsia="仿宋_GB2312" w:cs="仿宋_GB2312"/>
                <w:color w:val="000000"/>
                <w:kern w:val="0"/>
                <w:sz w:val="24"/>
                <w:highlight w:val="yellow"/>
              </w:rPr>
              <w:t>.设备内置麦克风数量≥2个，麦克风灵敏度≥-45dB，信噪比≥60dB，保障课堂人声采集清晰、杂音过滤效果良好。</w:t>
            </w:r>
          </w:p>
          <w:p w14:paraId="53B70F0D">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6</w:t>
            </w:r>
            <w:r>
              <w:rPr>
                <w:rFonts w:hint="eastAsia" w:ascii="仿宋_GB2312" w:hAnsi="仿宋_GB2312" w:eastAsia="仿宋_GB2312" w:cs="仿宋_GB2312"/>
                <w:color w:val="000000"/>
                <w:kern w:val="0"/>
                <w:sz w:val="24"/>
                <w:highlight w:val="yellow"/>
              </w:rPr>
              <w:t>.支持语音作答数据实时上传传输，同步完成课堂口语采集与数据交互，保障课堂互动实时性。</w:t>
            </w:r>
          </w:p>
          <w:p w14:paraId="44707AC0">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7</w:t>
            </w:r>
            <w:r>
              <w:rPr>
                <w:rFonts w:hint="eastAsia" w:ascii="仿宋_GB2312" w:hAnsi="仿宋_GB2312" w:eastAsia="仿宋_GB2312" w:cs="仿宋_GB2312"/>
                <w:color w:val="000000"/>
                <w:kern w:val="0"/>
                <w:sz w:val="24"/>
                <w:highlight w:val="yellow"/>
                <w:lang w:val="en-US" w:eastAsia="zh-CN"/>
              </w:rPr>
              <w:t>.</w:t>
            </w:r>
            <w:r>
              <w:rPr>
                <w:rFonts w:hint="eastAsia" w:ascii="仿宋_GB2312" w:hAnsi="仿宋_GB2312" w:eastAsia="仿宋_GB2312" w:cs="仿宋_GB2312"/>
                <w:color w:val="000000"/>
                <w:kern w:val="0"/>
                <w:sz w:val="24"/>
                <w:highlight w:val="yellow"/>
              </w:rPr>
              <w:t xml:space="preserve"> 设备内置多色LED状态指示灯，可区分展示设备充电状态、课堂答题交互状态；支持通过指示灯颜色完成学生分组适配，满足课堂分组教学需求。</w:t>
            </w:r>
          </w:p>
          <w:p w14:paraId="42E440BC">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8</w:t>
            </w:r>
            <w:r>
              <w:rPr>
                <w:rFonts w:hint="eastAsia" w:ascii="仿宋_GB2312" w:hAnsi="仿宋_GB2312" w:eastAsia="仿宋_GB2312" w:cs="仿宋_GB2312"/>
                <w:color w:val="000000"/>
                <w:kern w:val="0"/>
                <w:sz w:val="24"/>
                <w:highlight w:val="yellow"/>
              </w:rPr>
              <w:t>.设备采用磁吸触点式充电方案，内置强力磁吸结构，充电对接稳固、接触稳定，不易松动，充电操作便捷，适配日常运维充电。</w:t>
            </w:r>
          </w:p>
          <w:p w14:paraId="5DB7FC05">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lang w:eastAsia="zh-CN"/>
              </w:rPr>
              <w:t>9</w:t>
            </w:r>
            <w:r>
              <w:rPr>
                <w:rFonts w:hint="eastAsia" w:ascii="仿宋_GB2312" w:hAnsi="仿宋_GB2312" w:eastAsia="仿宋_GB2312" w:cs="仿宋_GB2312"/>
                <w:color w:val="000000"/>
                <w:kern w:val="0"/>
                <w:sz w:val="24"/>
                <w:highlight w:val="yellow"/>
              </w:rPr>
              <w:t>.设备外壳一体化设计专用挂绳孔，可搭配挂绳固定设备，有效防止设备跌落损坏，延长设备整体使用寿命，适配学生日常使用。</w:t>
            </w:r>
          </w:p>
          <w:p w14:paraId="568F992C">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highlight w:val="yellow"/>
                <w:lang w:eastAsia="zh-CN"/>
              </w:rPr>
              <w:t>1</w:t>
            </w:r>
            <w:r>
              <w:rPr>
                <w:rFonts w:hint="eastAsia" w:ascii="仿宋_GB2312" w:hAnsi="仿宋_GB2312" w:eastAsia="仿宋_GB2312" w:cs="仿宋_GB2312"/>
                <w:color w:val="000000"/>
                <w:kern w:val="0"/>
                <w:sz w:val="24"/>
                <w:highlight w:val="yellow"/>
                <w:lang w:val="en-US" w:eastAsia="zh-CN"/>
              </w:rPr>
              <w:t>0</w:t>
            </w:r>
            <w:r>
              <w:rPr>
                <w:rFonts w:hint="eastAsia" w:ascii="仿宋_GB2312" w:hAnsi="仿宋_GB2312" w:eastAsia="仿宋_GB2312" w:cs="仿宋_GB2312"/>
                <w:color w:val="000000"/>
                <w:kern w:val="0"/>
                <w:sz w:val="24"/>
                <w:highlight w:val="yellow"/>
              </w:rPr>
              <w:t>.支持课堂实时参与教师发起的线上互动练习，可完成客观题选择作答、口语题型录音作答，系统可实时反馈学生作答正误结果、对应得分数据，实现课堂学情即时反馈。</w:t>
            </w:r>
          </w:p>
          <w:p w14:paraId="12D0C2D8">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highlight w:val="yellow"/>
                <w:lang w:eastAsia="zh-CN"/>
              </w:rPr>
              <w:t>1</w:t>
            </w:r>
            <w:r>
              <w:rPr>
                <w:rFonts w:hint="eastAsia" w:ascii="仿宋_GB2312" w:hAnsi="仿宋_GB2312" w:eastAsia="仿宋_GB2312" w:cs="仿宋_GB2312"/>
                <w:color w:val="000000"/>
                <w:kern w:val="0"/>
                <w:sz w:val="24"/>
                <w:highlight w:val="yellow"/>
                <w:lang w:val="en-US" w:eastAsia="zh-CN"/>
              </w:rPr>
              <w:t>1</w:t>
            </w:r>
            <w:r>
              <w:rPr>
                <w:rFonts w:hint="eastAsia" w:ascii="仿宋_GB2312" w:hAnsi="仿宋_GB2312" w:eastAsia="仿宋_GB2312" w:cs="仿宋_GB2312"/>
                <w:color w:val="000000"/>
                <w:kern w:val="0"/>
                <w:sz w:val="24"/>
                <w:highlight w:val="yellow"/>
              </w:rPr>
              <w:t>.设备支持跨班级重复使用，可灵活与不同班级教学终端进行绑定、解绑，设备复用性强，适配学校常态化分班教学管理。</w:t>
            </w:r>
          </w:p>
        </w:tc>
        <w:tc>
          <w:tcPr>
            <w:tcW w:w="1090" w:type="dxa"/>
            <w:tcBorders>
              <w:top w:val="single" w:color="auto" w:sz="4" w:space="0"/>
              <w:left w:val="single" w:color="auto" w:sz="4" w:space="0"/>
              <w:bottom w:val="single" w:color="auto" w:sz="4" w:space="0"/>
              <w:right w:val="single" w:color="auto" w:sz="4" w:space="0"/>
            </w:tcBorders>
            <w:vAlign w:val="center"/>
          </w:tcPr>
          <w:p w14:paraId="60533A5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60台</w:t>
            </w:r>
          </w:p>
        </w:tc>
      </w:tr>
      <w:tr w14:paraId="5F4DC3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E233DB4">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23</w:t>
            </w:r>
          </w:p>
        </w:tc>
        <w:tc>
          <w:tcPr>
            <w:tcW w:w="1017" w:type="dxa"/>
            <w:tcBorders>
              <w:top w:val="single" w:color="auto" w:sz="4" w:space="0"/>
              <w:left w:val="single" w:color="auto" w:sz="4" w:space="0"/>
              <w:bottom w:val="single" w:color="auto" w:sz="4" w:space="0"/>
              <w:right w:val="single" w:color="auto" w:sz="4" w:space="0"/>
            </w:tcBorders>
            <w:vAlign w:val="center"/>
          </w:tcPr>
          <w:p w14:paraId="1AB1E311">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配套射频接收终端</w:t>
            </w:r>
          </w:p>
        </w:tc>
        <w:tc>
          <w:tcPr>
            <w:tcW w:w="7203" w:type="dxa"/>
            <w:tcBorders>
              <w:top w:val="single" w:color="auto" w:sz="4" w:space="0"/>
              <w:left w:val="single" w:color="auto" w:sz="4" w:space="0"/>
              <w:bottom w:val="single" w:color="auto" w:sz="4" w:space="0"/>
              <w:right w:val="single" w:color="auto" w:sz="4" w:space="0"/>
            </w:tcBorders>
            <w:vAlign w:val="center"/>
          </w:tcPr>
          <w:p w14:paraId="6A9649D8">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详细参数：</w:t>
            </w:r>
          </w:p>
          <w:p w14:paraId="17C45865">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 应采用无线射频通信频段，在无遮挡情况下信号覆盖范围半径≥10 米，可同时进行双向数据收发，具备超强抗干扰能力；</w:t>
            </w:r>
          </w:p>
          <w:p w14:paraId="2AE8A463">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 应内置可读写近场通讯模块，与答题器实现非接触刷卡配对；</w:t>
            </w:r>
          </w:p>
          <w:p w14:paraId="510E0802">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3. 需使用高速 USB或Type-C 接口，即插即用，无需安装驱动，需支持 Windows7 及以上版本；支持 USB或Type-C 连接电脑进行升级软件、软件版本查询；</w:t>
            </w:r>
          </w:p>
          <w:p w14:paraId="0A0E6044">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4. 单接收器工作时应支持 USB或Type-C 供电，接口同时具备供电与数据功能，无需额外供电；</w:t>
            </w:r>
          </w:p>
          <w:p w14:paraId="775A61CD">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5. 单接收器模式下应支持≥ 65 路并发；</w:t>
            </w:r>
          </w:p>
          <w:p w14:paraId="5DC2A7FA">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6. 应具有多个 LED 指示灯，可分别独立显示：电源、系统、数据传输状态等；</w:t>
            </w:r>
          </w:p>
          <w:p w14:paraId="2230CA87">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highlight w:val="yellow"/>
              </w:rPr>
              <w:t>7. 应支持多种固定方式，可分别安装在墙壁、桌面。</w:t>
            </w:r>
          </w:p>
        </w:tc>
        <w:tc>
          <w:tcPr>
            <w:tcW w:w="1090" w:type="dxa"/>
            <w:tcBorders>
              <w:top w:val="single" w:color="auto" w:sz="4" w:space="0"/>
              <w:left w:val="single" w:color="auto" w:sz="4" w:space="0"/>
              <w:bottom w:val="single" w:color="auto" w:sz="4" w:space="0"/>
              <w:right w:val="single" w:color="auto" w:sz="4" w:space="0"/>
            </w:tcBorders>
            <w:vAlign w:val="center"/>
          </w:tcPr>
          <w:p w14:paraId="5AE9B75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6407D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6D26623">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24</w:t>
            </w:r>
          </w:p>
        </w:tc>
        <w:tc>
          <w:tcPr>
            <w:tcW w:w="1017" w:type="dxa"/>
            <w:tcBorders>
              <w:top w:val="single" w:color="auto" w:sz="4" w:space="0"/>
              <w:left w:val="single" w:color="auto" w:sz="4" w:space="0"/>
              <w:bottom w:val="single" w:color="auto" w:sz="4" w:space="0"/>
              <w:right w:val="single" w:color="auto" w:sz="4" w:space="0"/>
            </w:tcBorders>
            <w:vAlign w:val="center"/>
          </w:tcPr>
          <w:p w14:paraId="1E906705">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配套充电基座</w:t>
            </w:r>
            <w:r>
              <w:rPr>
                <w:rFonts w:hint="eastAsia" w:ascii="仿宋_GB2312" w:hAnsi="仿宋_GB2312" w:eastAsia="仿宋_GB2312" w:cs="仿宋_GB2312"/>
                <w:color w:val="000000"/>
                <w:kern w:val="0"/>
                <w:sz w:val="24"/>
                <w:lang w:bidi="ar"/>
              </w:rPr>
              <w:t>1</w:t>
            </w:r>
          </w:p>
        </w:tc>
        <w:tc>
          <w:tcPr>
            <w:tcW w:w="7203" w:type="dxa"/>
            <w:tcBorders>
              <w:top w:val="single" w:color="auto" w:sz="4" w:space="0"/>
              <w:left w:val="single" w:color="auto" w:sz="4" w:space="0"/>
              <w:bottom w:val="single" w:color="auto" w:sz="4" w:space="0"/>
              <w:right w:val="single" w:color="auto" w:sz="4" w:space="0"/>
            </w:tcBorders>
            <w:vAlign w:val="center"/>
          </w:tcPr>
          <w:p w14:paraId="54A794C2">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配套充电基座详细参数：</w:t>
            </w:r>
          </w:p>
          <w:p w14:paraId="1884DEF5">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1.设备外壳采用环保ABS+PC阻燃复合材料，阻燃等级达到V0级。</w:t>
            </w:r>
          </w:p>
          <w:p w14:paraId="65671F90">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2.采用220V交流供电，整机额定功耗≤100W。</w:t>
            </w:r>
          </w:p>
          <w:p w14:paraId="1111FF59">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3.支持≥28台课堂互动语音作答终端同时充电，终端从无电至完全充满时长≤8小时。</w:t>
            </w:r>
          </w:p>
          <w:p w14:paraId="6CAC8222">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4.搭载智能充电管控电路，具备过压、过流、过热保护功能，保障设备长时间充电运行安全可靠。</w:t>
            </w:r>
          </w:p>
          <w:p w14:paraId="7F72918E">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5.配备工作状态指示灯，用于展示充电基座通电运行状态。</w:t>
            </w:r>
          </w:p>
          <w:p w14:paraId="5575977B">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highlight w:val="yellow"/>
              </w:rPr>
              <w:t>6.设备充电仓位内置磁吸组件，保障课堂互动语音作答终端充电触点接触稳定可靠。</w:t>
            </w:r>
          </w:p>
        </w:tc>
        <w:tc>
          <w:tcPr>
            <w:tcW w:w="1090" w:type="dxa"/>
            <w:tcBorders>
              <w:top w:val="single" w:color="auto" w:sz="4" w:space="0"/>
              <w:left w:val="single" w:color="auto" w:sz="4" w:space="0"/>
              <w:bottom w:val="single" w:color="auto" w:sz="4" w:space="0"/>
              <w:right w:val="single" w:color="auto" w:sz="4" w:space="0"/>
            </w:tcBorders>
            <w:vAlign w:val="center"/>
          </w:tcPr>
          <w:p w14:paraId="2B2F495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2台</w:t>
            </w:r>
          </w:p>
        </w:tc>
      </w:tr>
      <w:tr w14:paraId="4247F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620A6C1">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25</w:t>
            </w:r>
          </w:p>
        </w:tc>
        <w:tc>
          <w:tcPr>
            <w:tcW w:w="1017" w:type="dxa"/>
            <w:tcBorders>
              <w:top w:val="single" w:color="auto" w:sz="4" w:space="0"/>
              <w:left w:val="single" w:color="auto" w:sz="4" w:space="0"/>
              <w:bottom w:val="single" w:color="auto" w:sz="4" w:space="0"/>
              <w:right w:val="single" w:color="auto" w:sz="4" w:space="0"/>
            </w:tcBorders>
            <w:vAlign w:val="center"/>
          </w:tcPr>
          <w:p w14:paraId="489EC29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配套便携收纳包</w:t>
            </w:r>
          </w:p>
        </w:tc>
        <w:tc>
          <w:tcPr>
            <w:tcW w:w="7203" w:type="dxa"/>
            <w:tcBorders>
              <w:top w:val="single" w:color="auto" w:sz="4" w:space="0"/>
              <w:left w:val="single" w:color="auto" w:sz="4" w:space="0"/>
              <w:bottom w:val="single" w:color="auto" w:sz="4" w:space="0"/>
              <w:right w:val="single" w:color="auto" w:sz="4" w:space="0"/>
            </w:tcBorders>
            <w:vAlign w:val="center"/>
          </w:tcPr>
          <w:p w14:paraId="035CE694">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配套便携收纳包详细参数：</w:t>
            </w:r>
          </w:p>
          <w:p w14:paraId="4B79C1A6">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1.采用轻量化结构设计，体积小巧、自重轻便，便于教师单手携带，支持跨班级调配复用。</w:t>
            </w:r>
          </w:p>
          <w:p w14:paraId="4B9321B9">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2.采用半网兜式收纳结构，可同时容纳≥25台课堂互动语音作答终端及1台配套射频接收终端。</w:t>
            </w:r>
          </w:p>
          <w:p w14:paraId="2DC542CC">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3.面料具备防水、抗污特性，表面污渍便于擦拭清洁。</w:t>
            </w:r>
          </w:p>
          <w:p w14:paraId="1EF77505">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highlight w:val="yellow"/>
              </w:rPr>
              <w:t>4.内部预置防震缓冲泡棉，可对课堂互动语音作答终端形成有效防护，降低搬运磕碰损伤，延长设备使用寿命。</w:t>
            </w:r>
          </w:p>
        </w:tc>
        <w:tc>
          <w:tcPr>
            <w:tcW w:w="1090" w:type="dxa"/>
            <w:tcBorders>
              <w:top w:val="single" w:color="auto" w:sz="4" w:space="0"/>
              <w:left w:val="single" w:color="auto" w:sz="4" w:space="0"/>
              <w:bottom w:val="single" w:color="auto" w:sz="4" w:space="0"/>
              <w:right w:val="single" w:color="auto" w:sz="4" w:space="0"/>
            </w:tcBorders>
            <w:vAlign w:val="center"/>
          </w:tcPr>
          <w:p w14:paraId="2888D09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2个</w:t>
            </w:r>
          </w:p>
        </w:tc>
      </w:tr>
      <w:tr w14:paraId="31A93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23554335">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四、AI自习室</w:t>
            </w:r>
          </w:p>
        </w:tc>
      </w:tr>
      <w:tr w14:paraId="0D73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5584F5E">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26</w:t>
            </w:r>
          </w:p>
        </w:tc>
        <w:tc>
          <w:tcPr>
            <w:tcW w:w="1017" w:type="dxa"/>
            <w:tcBorders>
              <w:top w:val="single" w:color="auto" w:sz="4" w:space="0"/>
              <w:left w:val="single" w:color="auto" w:sz="4" w:space="0"/>
              <w:bottom w:val="single" w:color="auto" w:sz="4" w:space="0"/>
              <w:right w:val="single" w:color="auto" w:sz="4" w:space="0"/>
            </w:tcBorders>
            <w:vAlign w:val="center"/>
          </w:tcPr>
          <w:p w14:paraId="4EE6788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智能 AI 助学系统</w:t>
            </w:r>
            <w:r>
              <w:rPr>
                <w:rFonts w:hint="eastAsia" w:ascii="仿宋_GB2312" w:hAnsi="仿宋_GB2312" w:eastAsia="仿宋_GB2312" w:cs="仿宋_GB2312"/>
                <w:color w:val="000000"/>
                <w:kern w:val="0"/>
                <w:sz w:val="24"/>
                <w:lang w:bidi="ar"/>
              </w:rPr>
              <w:t>1</w:t>
            </w:r>
          </w:p>
        </w:tc>
        <w:tc>
          <w:tcPr>
            <w:tcW w:w="7203" w:type="dxa"/>
            <w:tcBorders>
              <w:top w:val="single" w:color="auto" w:sz="4" w:space="0"/>
              <w:left w:val="single" w:color="auto" w:sz="4" w:space="0"/>
              <w:bottom w:val="single" w:color="auto" w:sz="4" w:space="0"/>
              <w:right w:val="single" w:color="auto" w:sz="4" w:space="0"/>
            </w:tcBorders>
            <w:vAlign w:val="center"/>
          </w:tcPr>
          <w:p w14:paraId="5DC3678F">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（一）学情诊断</w:t>
            </w:r>
          </w:p>
          <w:p w14:paraId="689692E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1.需支持中学数理化学科结合个性化精准学习数据和智能评测引擎，按照教材章节目录提供弱项知识点检测功能；</w:t>
            </w:r>
          </w:p>
          <w:p w14:paraId="24770A5D">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2.需支持学生通过试题测试定位薄弱知识；</w:t>
            </w:r>
          </w:p>
          <w:p w14:paraId="7D97C16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3.需支持针对薄弱知识点提供针对性学习方案，提供针对性提升练习和视频课程学习；</w:t>
            </w:r>
          </w:p>
          <w:p w14:paraId="3D145E2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4.需支持学生仅做弱项知识点相关的的题，且支持查看当前知识点掌握情况。</w:t>
            </w:r>
          </w:p>
          <w:p w14:paraId="4C7C509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5.需支持按照教材章节目录提供知识点视频和对应知识卡片学习。</w:t>
            </w:r>
          </w:p>
          <w:p w14:paraId="5D73169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6.系统需支持同步阶段模拟测试，包括期中、期末的基础和进阶综合测试题。</w:t>
            </w:r>
          </w:p>
          <w:p w14:paraId="1E031B26">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（二）语言学习</w:t>
            </w:r>
          </w:p>
          <w:p w14:paraId="0A2C289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1.需支持专项单词背诵及生词本功能，需支持学生将日常学习的单词加入生词本，进行学习计划设定。</w:t>
            </w:r>
          </w:p>
          <w:p w14:paraId="44FB15D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音标练习、对话实战、听说练习，训练学生听说能力。音标练习需支持48个音标的发音方法、发音视频和单词练习；对话实战需支持通过情境对话来创造英语学习环境，帮助学生练习；听说练习方面，需提供多类型的听力训练。</w:t>
            </w:r>
          </w:p>
          <w:p w14:paraId="13D924CA">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3.需根据新课标《关于课外阅读的建议》，内置书目每个年级都有对应的推荐书目可供学生选择。</w:t>
            </w:r>
          </w:p>
          <w:p w14:paraId="6654D85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4.需支持在阅读过程中，学生可从界面右下角随时唤起AI阅读助手并发起对话、为学生答疑解惑。</w:t>
            </w:r>
          </w:p>
          <w:p w14:paraId="527CF6D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5.需支持学生在文本中划词选中阅读内容，即可随时向AI助手提问，获取即时的朗读、赏析和解释以及针对性的讲解。</w:t>
            </w:r>
          </w:p>
          <w:p w14:paraId="7F615823">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6.需支持复原书中经典人物角色，让学生同书本内虚拟角色对话，激发兴趣、加深理解、启发思考。</w:t>
            </w:r>
          </w:p>
          <w:p w14:paraId="55795E7A">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7.需提供阅读报告，统计展示阅读量、时长等阅读学情信息。</w:t>
            </w:r>
          </w:p>
          <w:p w14:paraId="7B3476CE">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8.需支持学生线下作文自动批改，系统将从单词、语句和篇章进行打分，并给出综合评价，支持查看作文原图和再次批改。</w:t>
            </w:r>
          </w:p>
          <w:p w14:paraId="40B3568A">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9.需提供中高考常见话题作文的自动批改，系统将从完整性、准确性和流畅性三个维度进行分析，并给出高分范文；</w:t>
            </w:r>
          </w:p>
          <w:p w14:paraId="4D2A382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10.需支持中译英和英译中。</w:t>
            </w:r>
          </w:p>
          <w:p w14:paraId="7D2AE3A1">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11.需支持通过键盘录入或者语音录入（单词朗读、拼读，中/英文朗读）的方式，找到对应的单词。</w:t>
            </w:r>
          </w:p>
          <w:p w14:paraId="1B47812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12.需支持通过语音或文本输入查询英语单词，给出对应的中英文翻译，展示拼写、发音、例句等。</w:t>
            </w:r>
          </w:p>
          <w:p w14:paraId="148E76D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13.需支持将单词加入生词本中，方便学生整理复习。</w:t>
            </w:r>
          </w:p>
          <w:p w14:paraId="49DB013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14.需支持单词口语评测。</w:t>
            </w:r>
          </w:p>
          <w:p w14:paraId="039D206D">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（三）电子错题本</w:t>
            </w:r>
          </w:p>
          <w:p w14:paraId="23B3DB32">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★1.需支持收集学生在自主学习、作业场景下产生的错题；</w:t>
            </w:r>
          </w:p>
          <w:p w14:paraId="1290577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2.需支持错题按照来源、错因、题型、时间段筛选；</w:t>
            </w:r>
          </w:p>
          <w:p w14:paraId="590CCAF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3.需支持错题订正和查看错题答案，支持错题打印和线下错题上传；</w:t>
            </w:r>
          </w:p>
          <w:p w14:paraId="557656A9">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val="0"/>
                <w:bCs w:val="0"/>
                <w:color w:val="000000"/>
                <w:kern w:val="0"/>
                <w:sz w:val="24"/>
                <w:highlight w:val="yellow"/>
              </w:rPr>
              <w:t>4.数学、物理、化学学科需支持提供变式题练习。</w:t>
            </w:r>
          </w:p>
        </w:tc>
        <w:tc>
          <w:tcPr>
            <w:tcW w:w="1090" w:type="dxa"/>
            <w:tcBorders>
              <w:top w:val="single" w:color="auto" w:sz="4" w:space="0"/>
              <w:left w:val="single" w:color="auto" w:sz="4" w:space="0"/>
              <w:bottom w:val="single" w:color="auto" w:sz="4" w:space="0"/>
              <w:right w:val="single" w:color="auto" w:sz="4" w:space="0"/>
            </w:tcBorders>
            <w:vAlign w:val="center"/>
          </w:tcPr>
          <w:p w14:paraId="0C97199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72套</w:t>
            </w:r>
          </w:p>
        </w:tc>
      </w:tr>
      <w:tr w14:paraId="4A8DD6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BA95EED">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27</w:t>
            </w:r>
          </w:p>
        </w:tc>
        <w:tc>
          <w:tcPr>
            <w:tcW w:w="1017" w:type="dxa"/>
            <w:tcBorders>
              <w:top w:val="single" w:color="auto" w:sz="4" w:space="0"/>
              <w:left w:val="single" w:color="auto" w:sz="4" w:space="0"/>
              <w:bottom w:val="single" w:color="auto" w:sz="4" w:space="0"/>
              <w:right w:val="single" w:color="auto" w:sz="4" w:space="0"/>
            </w:tcBorders>
            <w:vAlign w:val="center"/>
          </w:tcPr>
          <w:p w14:paraId="247421E4">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lang w:bidi="ar"/>
              </w:rPr>
              <w:t>高考备考系统</w:t>
            </w:r>
            <w:r>
              <w:rPr>
                <w:rFonts w:hint="eastAsia" w:ascii="仿宋_GB2312" w:hAnsi="仿宋_GB2312" w:eastAsia="仿宋_GB2312" w:cs="仿宋_GB2312"/>
                <w:color w:val="000000"/>
                <w:kern w:val="0"/>
                <w:sz w:val="24"/>
                <w:lang w:bidi="ar"/>
              </w:rPr>
              <w:t>1</w:t>
            </w:r>
          </w:p>
        </w:tc>
        <w:tc>
          <w:tcPr>
            <w:tcW w:w="7203" w:type="dxa"/>
            <w:tcBorders>
              <w:top w:val="single" w:color="auto" w:sz="4" w:space="0"/>
              <w:left w:val="single" w:color="auto" w:sz="4" w:space="0"/>
              <w:bottom w:val="single" w:color="auto" w:sz="4" w:space="0"/>
              <w:right w:val="single" w:color="auto" w:sz="4" w:space="0"/>
            </w:tcBorders>
            <w:vAlign w:val="center"/>
          </w:tcPr>
          <w:p w14:paraId="2CCD4B02">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（一）精品试卷：</w:t>
            </w:r>
          </w:p>
          <w:p w14:paraId="1C67D3A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1.需内置九大学科（数学/语文/英语/物理/化学/生物/政治/历史/地理）精品试卷，包含不同地区的优质真题卷和模拟卷。</w:t>
            </w:r>
          </w:p>
          <w:p w14:paraId="738C99E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2.需支持按照学科、按区域筛选试卷。</w:t>
            </w:r>
          </w:p>
          <w:p w14:paraId="32BD829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3.需支持对试卷展示其热度数据和试卷题型、题量，学生完成作答后，系统需支持提供作答报告，包括：统计作答正确率、已作答次数、答题时间，且需支持提供每道题的参考答案和试题解析。</w:t>
            </w:r>
          </w:p>
          <w:p w14:paraId="16FD642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4.需支持重新作答和错题自动归入电子错题本。</w:t>
            </w:r>
          </w:p>
          <w:p w14:paraId="789B3F7D">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（二）高考备考：</w:t>
            </w:r>
          </w:p>
          <w:p w14:paraId="6ECBC149">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 需支持内置不少于五个学科的备考资料包和精品试卷,备考资料包需呈现考情分析、典型例题。</w:t>
            </w:r>
          </w:p>
          <w:p w14:paraId="78A31704">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val="0"/>
                <w:bCs w:val="0"/>
                <w:color w:val="000000"/>
                <w:kern w:val="0"/>
                <w:sz w:val="24"/>
                <w:highlight w:val="yellow"/>
              </w:rPr>
              <w:t>2.需提供备考学情数据和练习记录数据，其中，备考学情数据需包括：资料包已学套数、已练习套数、周平均正确率及与上周对比。</w:t>
            </w:r>
          </w:p>
        </w:tc>
        <w:tc>
          <w:tcPr>
            <w:tcW w:w="1090" w:type="dxa"/>
            <w:tcBorders>
              <w:top w:val="single" w:color="auto" w:sz="4" w:space="0"/>
              <w:left w:val="single" w:color="auto" w:sz="4" w:space="0"/>
              <w:bottom w:val="single" w:color="auto" w:sz="4" w:space="0"/>
              <w:right w:val="single" w:color="auto" w:sz="4" w:space="0"/>
            </w:tcBorders>
            <w:vAlign w:val="center"/>
          </w:tcPr>
          <w:p w14:paraId="58DB81D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72套</w:t>
            </w:r>
          </w:p>
        </w:tc>
      </w:tr>
      <w:tr w14:paraId="18A1B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F1F91A5">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28</w:t>
            </w:r>
          </w:p>
        </w:tc>
        <w:tc>
          <w:tcPr>
            <w:tcW w:w="1017" w:type="dxa"/>
            <w:tcBorders>
              <w:top w:val="single" w:color="auto" w:sz="4" w:space="0"/>
              <w:left w:val="single" w:color="auto" w:sz="4" w:space="0"/>
              <w:bottom w:val="single" w:color="auto" w:sz="4" w:space="0"/>
              <w:right w:val="single" w:color="auto" w:sz="4" w:space="0"/>
            </w:tcBorders>
            <w:vAlign w:val="center"/>
          </w:tcPr>
          <w:p w14:paraId="1B9B41CE">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资源中心1</w:t>
            </w:r>
          </w:p>
        </w:tc>
        <w:tc>
          <w:tcPr>
            <w:tcW w:w="7203" w:type="dxa"/>
            <w:tcBorders>
              <w:top w:val="single" w:color="auto" w:sz="4" w:space="0"/>
              <w:left w:val="single" w:color="auto" w:sz="4" w:space="0"/>
              <w:bottom w:val="single" w:color="auto" w:sz="4" w:space="0"/>
              <w:right w:val="single" w:color="auto" w:sz="4" w:space="0"/>
            </w:tcBorders>
            <w:vAlign w:val="center"/>
          </w:tcPr>
          <w:p w14:paraId="34920AE9">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（一）同步资料：</w:t>
            </w:r>
          </w:p>
          <w:p w14:paraId="3CA212F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1.需支持提供学科资源，包括：语文、英语、数学、化学、物理等学科，内含微课视频、音频、图片、ppt、word等类型资源；</w:t>
            </w:r>
          </w:p>
          <w:p w14:paraId="20E468F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2.需支持学生按照年级、学科、教材、资源类型进行筛选、查看学习，需支持资源搜索功能。</w:t>
            </w:r>
          </w:p>
          <w:p w14:paraId="556295E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3.需支持查看、点击具体章节目录，查看对应节点下的同步资料。</w:t>
            </w:r>
          </w:p>
          <w:p w14:paraId="074F8E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4.需支持将重点可下载资料下载到本地进行学习。</w:t>
            </w:r>
          </w:p>
          <w:p w14:paraId="3AB9A60D">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（二）微课中心：</w:t>
            </w:r>
          </w:p>
          <w:p w14:paraId="6A2C5D0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1.需支持学科知识微课学习；</w:t>
            </w:r>
          </w:p>
          <w:p w14:paraId="7F6A9B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2.需支持通过年级、学科筛选微课资源；</w:t>
            </w:r>
          </w:p>
          <w:p w14:paraId="7EB77D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3.需支持在线观看、离线缓存、加入我的课程。</w:t>
            </w:r>
          </w:p>
          <w:p w14:paraId="6F701C7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b/>
                <w:bCs/>
                <w:color w:val="000000"/>
                <w:kern w:val="0"/>
                <w:sz w:val="24"/>
              </w:rPr>
              <w:t>（三）同步电子课本：</w:t>
            </w:r>
          </w:p>
          <w:p w14:paraId="348BDDC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1.需支持学生下载多学科电子课本；</w:t>
            </w:r>
          </w:p>
          <w:p w14:paraId="6B84BFB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2.需支持学生下载的电子课本中语文、英语、音乐学科的点读功能；</w:t>
            </w:r>
          </w:p>
          <w:p w14:paraId="73CDDBDB">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3.支持朗读的过程中进行暂停和播放操作。</w:t>
            </w:r>
          </w:p>
        </w:tc>
        <w:tc>
          <w:tcPr>
            <w:tcW w:w="1090" w:type="dxa"/>
            <w:tcBorders>
              <w:top w:val="single" w:color="auto" w:sz="4" w:space="0"/>
              <w:left w:val="single" w:color="auto" w:sz="4" w:space="0"/>
              <w:bottom w:val="single" w:color="auto" w:sz="4" w:space="0"/>
              <w:right w:val="single" w:color="auto" w:sz="4" w:space="0"/>
            </w:tcBorders>
            <w:vAlign w:val="center"/>
          </w:tcPr>
          <w:p w14:paraId="0346145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72套</w:t>
            </w:r>
          </w:p>
        </w:tc>
      </w:tr>
      <w:tr w14:paraId="5F50E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1A57C66">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29</w:t>
            </w:r>
          </w:p>
        </w:tc>
        <w:tc>
          <w:tcPr>
            <w:tcW w:w="1017" w:type="dxa"/>
            <w:tcBorders>
              <w:top w:val="single" w:color="auto" w:sz="4" w:space="0"/>
              <w:left w:val="single" w:color="auto" w:sz="4" w:space="0"/>
              <w:bottom w:val="single" w:color="auto" w:sz="4" w:space="0"/>
              <w:right w:val="single" w:color="auto" w:sz="4" w:space="0"/>
            </w:tcBorders>
            <w:vAlign w:val="center"/>
          </w:tcPr>
          <w:p w14:paraId="7FD5A0BA">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个人中心1</w:t>
            </w:r>
          </w:p>
        </w:tc>
        <w:tc>
          <w:tcPr>
            <w:tcW w:w="7203" w:type="dxa"/>
            <w:tcBorders>
              <w:top w:val="single" w:color="auto" w:sz="4" w:space="0"/>
              <w:left w:val="single" w:color="auto" w:sz="4" w:space="0"/>
              <w:bottom w:val="single" w:color="auto" w:sz="4" w:space="0"/>
              <w:right w:val="single" w:color="auto" w:sz="4" w:space="0"/>
            </w:tcBorders>
            <w:vAlign w:val="center"/>
          </w:tcPr>
          <w:p w14:paraId="396532B1">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（一）学习报告：</w:t>
            </w:r>
          </w:p>
          <w:p w14:paraId="352D93A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1.需支持生成学生的学习周报；</w:t>
            </w:r>
          </w:p>
          <w:p w14:paraId="5663EFC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2.需支持统计学生学习数据，按照全部及各学科呈现答题情况；</w:t>
            </w:r>
          </w:p>
          <w:p w14:paraId="304173E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3.需支持统计学生答题数据、答题正确率等，并支持查看学生知识点掌握情况。</w:t>
            </w:r>
          </w:p>
          <w:p w14:paraId="3FA69903">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（二）学生激励系统：</w:t>
            </w:r>
          </w:p>
          <w:p w14:paraId="34876CB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1.需支持统计学生学习表现所获积分，学习积分与学生在自主学习答题、订正错题等行为相关；</w:t>
            </w:r>
          </w:p>
          <w:p w14:paraId="18FE126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2.需支持学生在获得相应积分后，通过积分兑换虚拟奖励（如：用户头像、挂件等）。</w:t>
            </w:r>
          </w:p>
          <w:p w14:paraId="6C2319B3">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（三）学生安全管控中心：</w:t>
            </w:r>
          </w:p>
          <w:p w14:paraId="550C7CF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1.学生终端需预置绿色安全桌面作为系统的默认桌面且防第三方篡改；</w:t>
            </w:r>
          </w:p>
          <w:p w14:paraId="2A06102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2.系统需支持限制用户随意修改系统设置项和随意安装或卸载应用；</w:t>
            </w:r>
          </w:p>
          <w:p w14:paraId="73692D8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3.系统需支持通过系统底层限制的方式防止用户通过下载市场通路版本的ROM刷机成非管控的系统。</w:t>
            </w:r>
          </w:p>
          <w:p w14:paraId="0656FED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4.需支持一机一号，需支持账号异地登录风险提醒，识别异常登录行为。</w:t>
            </w:r>
          </w:p>
          <w:p w14:paraId="082A554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5.后台管理：</w:t>
            </w:r>
          </w:p>
          <w:p w14:paraId="0153638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（1）学生终端管控：需支持远程实时获取学生终端设备信息和应用安装信息。需支持后台管理网址白名单、应用白名单。</w:t>
            </w:r>
          </w:p>
          <w:p w14:paraId="76D9023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（2）应用管理：需支持管理应用是否允许卸载、更新及应用使用时间段。</w:t>
            </w:r>
          </w:p>
          <w:p w14:paraId="2EA68B7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（3）需支持设备功能管控服务，包括蓝牙开关、摄像头、USB、虚拟按键和物理按键的启用禁用等；需支持远程关闭学生终端或远程恢复出厂设置。</w:t>
            </w:r>
          </w:p>
          <w:p w14:paraId="4434533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（4）需支持针对学生终端异常行为分析的违规告警，需支持远程清理学生机相册资源。</w:t>
            </w:r>
          </w:p>
          <w:p w14:paraId="666E90CE">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（四）绿色安全护眼：</w:t>
            </w:r>
          </w:p>
          <w:p w14:paraId="139A7A9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1.学生端需支持设置过滤蓝光、定时休息时间；</w:t>
            </w:r>
          </w:p>
          <w:p w14:paraId="4DE584C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2.屏幕支持自动调节亮度、开启阅读模式；</w:t>
            </w:r>
          </w:p>
          <w:p w14:paraId="3DC2E0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家校共育小程序：</w:t>
            </w:r>
          </w:p>
          <w:p w14:paraId="0285CE5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1.需支持家长通过微信小程序绑定学生设备。</w:t>
            </w:r>
          </w:p>
          <w:p w14:paraId="686DD84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2.需支持家长通过微信小程序查看学生学习周报，包括学情、学习任务等。</w:t>
            </w:r>
          </w:p>
          <w:p w14:paraId="595762FA">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3.需支持家长通过微信小程序给学生发送信息。</w:t>
            </w:r>
          </w:p>
        </w:tc>
        <w:tc>
          <w:tcPr>
            <w:tcW w:w="1090" w:type="dxa"/>
            <w:tcBorders>
              <w:top w:val="single" w:color="auto" w:sz="4" w:space="0"/>
              <w:left w:val="single" w:color="auto" w:sz="4" w:space="0"/>
              <w:bottom w:val="single" w:color="auto" w:sz="4" w:space="0"/>
              <w:right w:val="single" w:color="auto" w:sz="4" w:space="0"/>
            </w:tcBorders>
            <w:vAlign w:val="center"/>
          </w:tcPr>
          <w:p w14:paraId="740F704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72套</w:t>
            </w:r>
          </w:p>
        </w:tc>
      </w:tr>
      <w:tr w14:paraId="79E9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F5FC8BE">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30</w:t>
            </w:r>
          </w:p>
        </w:tc>
        <w:tc>
          <w:tcPr>
            <w:tcW w:w="1017" w:type="dxa"/>
            <w:tcBorders>
              <w:top w:val="single" w:color="auto" w:sz="4" w:space="0"/>
              <w:left w:val="single" w:color="auto" w:sz="4" w:space="0"/>
              <w:bottom w:val="single" w:color="auto" w:sz="4" w:space="0"/>
              <w:right w:val="single" w:color="auto" w:sz="4" w:space="0"/>
            </w:tcBorders>
            <w:vAlign w:val="center"/>
          </w:tcPr>
          <w:p w14:paraId="7120D6A8">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学生终端</w:t>
            </w:r>
          </w:p>
        </w:tc>
        <w:tc>
          <w:tcPr>
            <w:tcW w:w="7203" w:type="dxa"/>
            <w:tcBorders>
              <w:top w:val="single" w:color="auto" w:sz="4" w:space="0"/>
              <w:left w:val="single" w:color="auto" w:sz="4" w:space="0"/>
              <w:bottom w:val="single" w:color="auto" w:sz="4" w:space="0"/>
              <w:right w:val="single" w:color="auto" w:sz="4" w:space="0"/>
            </w:tcBorders>
            <w:vAlign w:val="center"/>
          </w:tcPr>
          <w:p w14:paraId="52C0664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23F2987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1.CPU：≥八核心CPU，主频≥2.0GHz；</w:t>
            </w:r>
          </w:p>
          <w:p w14:paraId="5CF8EAB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2.运行内存≥8GB；</w:t>
            </w:r>
          </w:p>
          <w:p w14:paraId="4ED1D90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3.存储容量≥128GB，支持Micro SD（TF）卡扩展，最小支持32GB；</w:t>
            </w:r>
          </w:p>
          <w:p w14:paraId="6A5EB68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4.屏幕尺寸≥10.95英寸，屏幕分辨率≥1280*800；</w:t>
            </w:r>
          </w:p>
          <w:p w14:paraId="1307D89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5.操作系统：Android 13操作系统及以上或HarmonyOS3.0以上；</w:t>
            </w:r>
          </w:p>
          <w:p w14:paraId="44EF54A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6.摄像头：双摄像头，前置≥800万，后置≥1300万；</w:t>
            </w:r>
          </w:p>
          <w:p w14:paraId="573083B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7.网络支持：支持WiFi；</w:t>
            </w:r>
          </w:p>
          <w:p w14:paraId="665088B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8.功能支持：Bluetooth 4.0及以上；电池容量≥7040mAh锂聚合物电池；</w:t>
            </w:r>
          </w:p>
          <w:p w14:paraId="03213C90">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9.标配皮套。</w:t>
            </w:r>
          </w:p>
        </w:tc>
        <w:tc>
          <w:tcPr>
            <w:tcW w:w="1090" w:type="dxa"/>
            <w:tcBorders>
              <w:top w:val="single" w:color="auto" w:sz="4" w:space="0"/>
              <w:left w:val="single" w:color="auto" w:sz="4" w:space="0"/>
              <w:bottom w:val="single" w:color="auto" w:sz="4" w:space="0"/>
              <w:right w:val="single" w:color="auto" w:sz="4" w:space="0"/>
            </w:tcBorders>
            <w:vAlign w:val="center"/>
          </w:tcPr>
          <w:p w14:paraId="75A8028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72套</w:t>
            </w:r>
          </w:p>
        </w:tc>
      </w:tr>
      <w:tr w14:paraId="766E3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1985A44">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31</w:t>
            </w:r>
          </w:p>
        </w:tc>
        <w:tc>
          <w:tcPr>
            <w:tcW w:w="1017" w:type="dxa"/>
            <w:tcBorders>
              <w:top w:val="single" w:color="auto" w:sz="4" w:space="0"/>
              <w:left w:val="single" w:color="auto" w:sz="4" w:space="0"/>
              <w:bottom w:val="single" w:color="auto" w:sz="4" w:space="0"/>
              <w:right w:val="single" w:color="auto" w:sz="4" w:space="0"/>
            </w:tcBorders>
            <w:vAlign w:val="center"/>
          </w:tcPr>
          <w:p w14:paraId="253DA8B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充电座2</w:t>
            </w:r>
          </w:p>
        </w:tc>
        <w:tc>
          <w:tcPr>
            <w:tcW w:w="7203" w:type="dxa"/>
            <w:tcBorders>
              <w:top w:val="single" w:color="auto" w:sz="4" w:space="0"/>
              <w:left w:val="single" w:color="auto" w:sz="4" w:space="0"/>
              <w:bottom w:val="single" w:color="auto" w:sz="4" w:space="0"/>
              <w:right w:val="single" w:color="auto" w:sz="4" w:space="0"/>
            </w:tcBorders>
            <w:vAlign w:val="center"/>
          </w:tcPr>
          <w:p w14:paraId="0BBE09A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638F3CE7">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可充电且带平板支架，拔除充电线或充电线断，则报警，带防盗功能。</w:t>
            </w:r>
          </w:p>
        </w:tc>
        <w:tc>
          <w:tcPr>
            <w:tcW w:w="1090" w:type="dxa"/>
            <w:tcBorders>
              <w:top w:val="single" w:color="auto" w:sz="4" w:space="0"/>
              <w:left w:val="single" w:color="auto" w:sz="4" w:space="0"/>
              <w:bottom w:val="single" w:color="auto" w:sz="4" w:space="0"/>
              <w:right w:val="single" w:color="auto" w:sz="4" w:space="0"/>
            </w:tcBorders>
            <w:vAlign w:val="center"/>
          </w:tcPr>
          <w:p w14:paraId="6258D101">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72台</w:t>
            </w:r>
          </w:p>
        </w:tc>
      </w:tr>
      <w:tr w14:paraId="08B6C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FA9A404">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32</w:t>
            </w:r>
          </w:p>
        </w:tc>
        <w:tc>
          <w:tcPr>
            <w:tcW w:w="1017" w:type="dxa"/>
            <w:tcBorders>
              <w:top w:val="single" w:color="auto" w:sz="4" w:space="0"/>
              <w:left w:val="single" w:color="auto" w:sz="4" w:space="0"/>
              <w:bottom w:val="single" w:color="auto" w:sz="4" w:space="0"/>
              <w:right w:val="single" w:color="auto" w:sz="4" w:space="0"/>
            </w:tcBorders>
            <w:vAlign w:val="center"/>
          </w:tcPr>
          <w:p w14:paraId="4B67F4A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无线AP</w:t>
            </w:r>
          </w:p>
        </w:tc>
        <w:tc>
          <w:tcPr>
            <w:tcW w:w="7203" w:type="dxa"/>
            <w:tcBorders>
              <w:top w:val="single" w:color="auto" w:sz="4" w:space="0"/>
              <w:left w:val="single" w:color="auto" w:sz="4" w:space="0"/>
              <w:bottom w:val="single" w:color="auto" w:sz="4" w:space="0"/>
              <w:right w:val="single" w:color="auto" w:sz="4" w:space="0"/>
            </w:tcBorders>
            <w:vAlign w:val="center"/>
          </w:tcPr>
          <w:p w14:paraId="5912FF9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4A71FE3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1.需支持胖瘦模式切换；</w:t>
            </w:r>
          </w:p>
          <w:p w14:paraId="1012AD7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2.需支持三路双频设计，一路2.4GHz射频和两路5GHz射频；</w:t>
            </w:r>
          </w:p>
          <w:p w14:paraId="29F7F47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 802.11 ac Wave2 协议标准，支持802.11 a/n/ac、802.11 b/g/n工作频段；</w:t>
            </w:r>
          </w:p>
          <w:p w14:paraId="28CAC6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4.需支持整机最高速率不低于2.0Gbps；</w:t>
            </w:r>
          </w:p>
          <w:p w14:paraId="623A526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5.需支持2个及以上10/100/1000M以太网端口，支持DC供电；</w:t>
            </w:r>
          </w:p>
          <w:p w14:paraId="3947DF0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6.需支持学生终端连接数不少于60个；</w:t>
            </w:r>
          </w:p>
          <w:p w14:paraId="51C65B1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7.需支持内置智能天线；</w:t>
            </w:r>
          </w:p>
          <w:p w14:paraId="04CD134F">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8.无线加密需支持Open System，WPA-PSK，WPA2-PSK。</w:t>
            </w:r>
          </w:p>
        </w:tc>
        <w:tc>
          <w:tcPr>
            <w:tcW w:w="1090" w:type="dxa"/>
            <w:tcBorders>
              <w:top w:val="single" w:color="auto" w:sz="4" w:space="0"/>
              <w:left w:val="single" w:color="auto" w:sz="4" w:space="0"/>
              <w:bottom w:val="single" w:color="auto" w:sz="4" w:space="0"/>
              <w:right w:val="single" w:color="auto" w:sz="4" w:space="0"/>
            </w:tcBorders>
            <w:vAlign w:val="center"/>
          </w:tcPr>
          <w:p w14:paraId="64E11A2E">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2台</w:t>
            </w:r>
          </w:p>
        </w:tc>
      </w:tr>
      <w:tr w14:paraId="1E728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DE492E6">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33</w:t>
            </w:r>
          </w:p>
        </w:tc>
        <w:tc>
          <w:tcPr>
            <w:tcW w:w="1017" w:type="dxa"/>
            <w:tcBorders>
              <w:top w:val="single" w:color="auto" w:sz="4" w:space="0"/>
              <w:left w:val="single" w:color="auto" w:sz="4" w:space="0"/>
              <w:bottom w:val="single" w:color="auto" w:sz="4" w:space="0"/>
              <w:right w:val="single" w:color="auto" w:sz="4" w:space="0"/>
            </w:tcBorders>
            <w:vAlign w:val="center"/>
          </w:tcPr>
          <w:p w14:paraId="096C20BE">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红外互联黑板2</w:t>
            </w:r>
          </w:p>
        </w:tc>
        <w:tc>
          <w:tcPr>
            <w:tcW w:w="7203" w:type="dxa"/>
            <w:tcBorders>
              <w:top w:val="single" w:color="auto" w:sz="4" w:space="0"/>
              <w:left w:val="single" w:color="auto" w:sz="4" w:space="0"/>
              <w:bottom w:val="single" w:color="auto" w:sz="4" w:space="0"/>
              <w:right w:val="single" w:color="auto" w:sz="4" w:space="0"/>
            </w:tcBorders>
            <w:vAlign w:val="center"/>
          </w:tcPr>
          <w:p w14:paraId="5F0FEA90">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一、整机性能要求</w:t>
            </w:r>
          </w:p>
          <w:p w14:paraId="039810E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1.整机屏幕需采用UHD超高清A规LED液晶屏，屏幕显示尺寸≥86英寸，显示比例16:9，屏幕图像分辨率≥3840*2160，整体外观尺寸:宽≥4100mm，高≥1200mm，厚≤105mm。</w:t>
            </w:r>
          </w:p>
          <w:p w14:paraId="496F981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2.液晶显示层与钢化玻璃层需采用零贴合或全贴合设计。</w:t>
            </w:r>
          </w:p>
          <w:p w14:paraId="13CB90A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3.整机需采用全金属外壳材质，三拼接平面一体化设计，主副屏过渡平滑并在同一平面，中间无单独边框阻隔，屏幕边缘采用圆角包边防护，整机背板采用金属材质。</w:t>
            </w:r>
          </w:p>
          <w:p w14:paraId="5CB93F2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4.整机主屏和整机两侧副板需支持普通粉笔、液体粉笔、水溶性粉笔直接书写。</w:t>
            </w:r>
          </w:p>
          <w:p w14:paraId="03C4CBD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5.整机需采用内置摄像头、麦克风，需支持无需外接线材连接和任何可见外接线材及模块化拼接痕迹，不占用整机外部设备接口。</w:t>
            </w:r>
          </w:p>
          <w:p w14:paraId="60540E1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6.整机需支持前置物理接口不少于5个，所有接口均采用非转接方式，包含1路HDMI接口、2路双通道USB接口(Windows和整机系统均能被识别）、1路Type-C接口（支持全功能PD 65W）、1路USB-Type-B接口（Touch接口 支持触摸功能）。</w:t>
            </w:r>
          </w:p>
          <w:p w14:paraId="3239F25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7.Type-C接口需具备全功能，最大输出功率达到≥65W，支持Type-C线正反插，支持</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4K 60Hz视频格式，支持双通道USB。</w:t>
            </w:r>
          </w:p>
          <w:p w14:paraId="5428B9B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8.整机需支持具有防浪涌、防静电、防辐射、防划伤、触摸屏防遮挡安全保护措施。</w:t>
            </w:r>
          </w:p>
          <w:p w14:paraId="4F5EA04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9.整机需具备达到国家标准GB/T17626.2-2018静电放电抗扰度测试标准。</w:t>
            </w:r>
          </w:p>
          <w:p w14:paraId="2AA32EF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10.整机需具备抗振动、防跌落特性，保证整机运输或使用过程中不易受损，检测依据：GB/T 2423.10-2019和GB/T 2423.7-2018。</w:t>
            </w:r>
          </w:p>
          <w:p w14:paraId="0AB5E81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11.整机需支持内置环境光感传感器，支持根据环境光自动调节整机亮度。</w:t>
            </w:r>
          </w:p>
          <w:p w14:paraId="02FAF6C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12.整机自带操作系统，处理器≥八核处理器，内存≥4GB，存储空间≥32GB。</w:t>
            </w:r>
          </w:p>
          <w:p w14:paraId="4B60028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13.设备在整机正常运行工况下，具备自适应扩音优化与声学抑制算法能力。</w:t>
            </w:r>
          </w:p>
          <w:p w14:paraId="11CEFD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14.整机需内置2.2声道扬声器，位于设备下边框出音，20W全频扬声器2个，15W高音扬声器2个，额定总功率≥70W，语言清晰度（STI-PA）≥0.75。</w:t>
            </w:r>
          </w:p>
          <w:p w14:paraId="33297C5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15.整机屏体需支持亮度≥350cd/m²，色彩覆盖率≥72%NTSC，对比度≥1200：1。</w:t>
            </w:r>
          </w:p>
          <w:p w14:paraId="44DEC57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16.整机屏体需支持无需操作即可实现蓝光防护，具备物理防蓝光（过滤蓝光）功能，有效抗蓝光、防眩光，蓝光占比（有害蓝光 415～455nm 能量综合）/（整体蓝光 400～500 能量综合）＜50%，低蓝光保护显示不偏色、不泛黄。</w:t>
            </w:r>
          </w:p>
          <w:p w14:paraId="2BC0882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17.整机分辨率</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4K，屏幕刷新率≥60Hz。</w:t>
            </w:r>
          </w:p>
          <w:p w14:paraId="03671DD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18.整机书写面板需采用防眩光全钢化防爆玻璃面板，面板的碎片状态、抗冲击性、霰弹袋冲击性能、耐热冲击性能均通过国家强制玻璃标准，表面应力≥100Mpa。</w:t>
            </w:r>
          </w:p>
          <w:p w14:paraId="10675B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19.依据相关国家标准，整机视网膜蓝光危害（蓝光加权辐射亮度LB）需满足蓝光危害RG0级别，LB 限制范围≤100，蓝光无危害。</w:t>
            </w:r>
          </w:p>
          <w:p w14:paraId="5F63086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20.需支持通过前置面板物理按键一键启动录课功能，录制屏幕及整机半径12米内课堂现场音频，录制画面完整，无死角，人声清晰，无背景噪音。</w:t>
            </w:r>
          </w:p>
          <w:p w14:paraId="4DBE5E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21.需具备三合一电源按键，支持整机大屏开关机、OPS电脑开关机和息屏三合一，息屏后可实现降低功耗≥90%</w:t>
            </w:r>
          </w:p>
          <w:p w14:paraId="239EB36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22.需支持WiFi6，整机内置2.4G、5GHz双频wifi，满足IEEE802.11a/b/g/n/ac/ax。</w:t>
            </w:r>
          </w:p>
          <w:p w14:paraId="43038F9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23.整机需内置高清广角摄像头，结构采用非独立设计。支持3D降噪算法，图像信噪比≥40db，支持输出MJPG视频格式。</w:t>
            </w:r>
          </w:p>
          <w:p w14:paraId="519F89D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24.整机需内置非独立外扩展麦克风阵列，麦克风数量≥8个，可用于对教室环境音频进行采集，整机拾音距离≥12m，拾音角度≥180°。</w:t>
            </w:r>
          </w:p>
          <w:p w14:paraId="0D1752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25.智能降噪麦克风阵列，需支持远场拾音，高信噪比≥65db，超高灵敏度≥-38db，支持AGC、AEC、NN智能AI降噪功能。</w:t>
            </w:r>
          </w:p>
          <w:p w14:paraId="4D154DA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26.整机高清摄像头，需支持生物特征识别，如面部识别功能，支持AI识别人像，最大距离≥10米。</w:t>
            </w:r>
          </w:p>
          <w:p w14:paraId="3959000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27.需支持≥4800万像素，可拍摄8000×6000的照片，支持输出4K图片，对角视场角≥135°，水平视场角≥120°，垂直视场角≥80°。</w:t>
            </w:r>
          </w:p>
          <w:p w14:paraId="59F0B980">
            <w:pPr>
              <w:widowControl/>
              <w:jc w:val="left"/>
              <w:rPr>
                <w:rFonts w:hint="eastAsia" w:ascii="仿宋_GB2312" w:hAnsi="仿宋_GB2312" w:eastAsia="仿宋_GB2312" w:cs="仿宋_GB2312"/>
                <w:color w:val="000000"/>
                <w:kern w:val="0"/>
                <w:sz w:val="24"/>
                <w:highlight w:val="yellow"/>
              </w:rPr>
            </w:pPr>
            <w:r>
              <w:rPr>
                <w:rFonts w:hint="eastAsia" w:ascii="仿宋_GB2312" w:hAnsi="仿宋_GB2312" w:eastAsia="仿宋_GB2312" w:cs="仿宋_GB2312"/>
                <w:color w:val="000000"/>
                <w:kern w:val="0"/>
                <w:sz w:val="24"/>
                <w:highlight w:val="yellow"/>
              </w:rPr>
              <w:t>28.整机在整机系统触控需支持≥40点触控及同时书写，触摸分辨率≥32768×32768。</w:t>
            </w:r>
          </w:p>
          <w:p w14:paraId="756A50E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lang w:val="en-US" w:eastAsia="zh-CN"/>
              </w:rPr>
              <w:t>29</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整机双系统下，需支持在任意信号源通道下，都可调出侧边栏快捷菜单，菜单含中控导航、系统切换、小工具、快捷设置、亮度/音量调节。</w:t>
            </w:r>
          </w:p>
          <w:p w14:paraId="359B12C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0</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整机侧边栏小工具需包括：批注、截屏、计时、降半屏、冻屏、投票器、日历、聚光灯。</w:t>
            </w:r>
          </w:p>
          <w:p w14:paraId="1B73B0D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1</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整机系统下需支持使用批注功能，清空批注内容、本地保存、添加新的批注页面、可切换书写笔颜色、粗细大小、扫码共享、板擦和最小化批注模式。</w:t>
            </w:r>
          </w:p>
          <w:p w14:paraId="5DCCE53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2</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双侧副板需具有快捷丝印功能按键，功能包含：快捷开启和关闭同步板书功能，快捷保存电子板书功能，快捷上下翻页功能，快捷切换画笔颜色功能。</w:t>
            </w:r>
          </w:p>
          <w:p w14:paraId="05C29D6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3</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整机预留互联副板连接接口，可实现板书书写数据采集功能，可识别老师粉笔书写，板擦或手指擦除手势，且书写过程中可同步到一体机主屏，支持板书录制，回看和分享。</w:t>
            </w:r>
          </w:p>
          <w:p w14:paraId="4F9697D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4</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配套教学智能笔。</w:t>
            </w:r>
          </w:p>
          <w:p w14:paraId="3FEA32FD">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二、OPS电脑系统</w:t>
            </w:r>
          </w:p>
          <w:p w14:paraId="59675CC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1.整机架构：针脚数为行业通用≥80Pin ，与大屏无单独接线。</w:t>
            </w:r>
          </w:p>
          <w:p w14:paraId="2312E57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2.整机OPS电脑安装结构需支持按压式卡扣或螺丝固定模式，抽拉式安装，无需工具即可快速拆卸电脑模块。</w:t>
            </w:r>
          </w:p>
          <w:p w14:paraId="572ADFC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3.CPU：≥8核12线程，主频≥2GHz，内存≥8G（每根通道最大支持扩展到32G，总容量64GB），硬盘≥256G SSD （单盘最大支持扩展到1TB）。</w:t>
            </w:r>
          </w:p>
          <w:p w14:paraId="25642DF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4.USB接口要求：USB3.0和USB2.0 不少于6个。</w:t>
            </w:r>
          </w:p>
          <w:p w14:paraId="3BE8865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5.其他接口要求：支持网络接口不少于1个，DP输出接口不少于1个，HDMI不少于1个，耳机输出接口不少于1个，麦克风输入接口不少于1个。</w:t>
            </w:r>
          </w:p>
          <w:p w14:paraId="2C9564A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6.Wi-Fi 6：需支持802.11b/g/n/ac/ax；蓝牙支持Bluetooth 4.2及以上。</w:t>
            </w:r>
          </w:p>
          <w:p w14:paraId="1CEBEE4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★7.含正版操作系统及提供功能至少有文字处理、电子表格、演示文稿三大应用模块的正版办公软件，授权≥3年。</w:t>
            </w:r>
          </w:p>
          <w:p w14:paraId="44640712">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三、智能教学系统</w:t>
            </w:r>
          </w:p>
          <w:p w14:paraId="5AAB45E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1.支持一键开机后即刻进入教学应用系统界面，无需额外点击操作运行应用系统；支持教师通过二维码扫码、账密输入、人脸识别登录方式进入教学应用系统。</w:t>
            </w:r>
          </w:p>
          <w:p w14:paraId="577BCF0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2.教学应用快捷入口：教学桌面支持教学常用的功能，包括电子白板、文件管理、电子课本、视频展台、授课助手；需提供Windows桌面应用入口，无需切换到Windows系统桌面即可点击运行已安装的第三方应用。</w:t>
            </w:r>
          </w:p>
          <w:p w14:paraId="6D00D0A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3.学科应用入口：教学桌面需支持语文、数学、英语、物理、化学、生物、地理、历史、信息技术共9个学科的学科应用，需支持教师直接下载并使用。</w:t>
            </w:r>
          </w:p>
          <w:p w14:paraId="39F2DFC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4.需提供罗盘工具，需支持五指点击屏幕调出罗盘工具栏，需支持在屏幕任意位置停留或左右侧边隐藏；需提供用于教学的便捷工具，包括选择、画笔、板擦、撤销、回退。</w:t>
            </w:r>
          </w:p>
          <w:p w14:paraId="5F6C701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5.选择工具：需支持在电子白板软件下，对手写笔迹、学科工具、插入的图片至少需支持2种方式，如框选、圈选；选择后至少支持≥3种操作如置顶、克隆、删除功能；</w:t>
            </w:r>
          </w:p>
          <w:p w14:paraId="3EFD15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6.画笔工具：需支持一键调取3层功能，包含笔触粗细、颜色、笔形，教师随机选择；需提供≥4种笔型，如钢笔、毛笔、铅笔、印刷笔；需支持将手写体转写成标准印刷体，印刷体支持自动识别≥5 种格式，如中文、英文、数学公式、化学无机方程式、有机分子式；</w:t>
            </w:r>
          </w:p>
          <w:p w14:paraId="58D927F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7.聚焦工具：需支持≥3种格式进行快速截取，如电子课件、电子课本、电子习题；同时，需支持≥5种调整模式，如截取范围大小，内容进行放大、插入白板、关灯讲解、保存至桌面。</w:t>
            </w:r>
          </w:p>
          <w:p w14:paraId="3937110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8.录课功能：需支持录课功能，需支持≥2种调取方式，如前置物理按键一键调取或罗盘工具调取；支持对微课内容进行关键视频切片提取。</w:t>
            </w:r>
          </w:p>
          <w:p w14:paraId="08F8953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9.录制功能：需支持屏幕内容及教室声音画面同时进行录制；生成视频后支持分享链接；支持录制任意全屏画面、局部画面，支持录制保存音频、屏幕画面、摄像头画面，支持在录制过程中进行书写和擦除。</w:t>
            </w:r>
          </w:p>
          <w:p w14:paraId="5C804D7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需覆盖高中学段的电子版本教材，需给每个教师账号提供至少10本电子课本下载权限，并支持教师课本上课时，一键云同步获取备课资源，并下载至课本中。授课过程中，支持对课本进行文本批注、画笔标注、擦除、聚焦、翻页操作。</w:t>
            </w:r>
          </w:p>
          <w:p w14:paraId="2BA9A65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11.语文学科工具：需支持提供≥5种语文类学科工具，包括诗词卡片、朗读评测、字词听写、识字接龙、汉语朗读；</w:t>
            </w:r>
          </w:p>
          <w:p w14:paraId="4DDA683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立体几何工具：需支持手绘至少6种立体几何图形并自动识别为标准形状，包括立方体、圆柱体、圆锥、四棱锥、N棱柱、N棱锥；立方体需支持≥8种图形工具操作，如堆积、构图、展开、收起、旋转、三视图、调节、填充常见教学操作；需支持在立方体任一面复制立方体形成组合图形，并能对组合图形进行360°旋转；支持绘制立方体内部的任意切面，绘制后可自由调节；立体几何图形需支持“三视图”。</w:t>
            </w:r>
          </w:p>
          <w:p w14:paraId="006E72A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函数工具：需支持≥6种函数类型，包括一次函数、二次函数、幂函数、指数函数、对数函数、三角函数，及其组合函数的图形绘制，支持手动调节函数参数，图形随之调整；支持以上类型函数手写直接转写为标准印刷体，点击即可生成相应的函数图像。</w:t>
            </w:r>
          </w:p>
          <w:p w14:paraId="6BA591B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14.英语学科工具：需提供≥8种英语学科工具，包括但不限于四线三格、字母卡片、英语朗读、单词评测等；</w:t>
            </w:r>
          </w:p>
          <w:p w14:paraId="78A9BFD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物理学科工具：需提供物理电路图，涵盖初高中教材电路实验，≥21种电路实验案例，包含伏安法测电阻、欧姆定律应用、动态电路分析等；≥26种元件包含二极管、滑动变阻器、热敏电阻、灵敏电流计等，教师可结合实际教学场景自行组装；以上实验操作支持≥5种功能操作。</w:t>
            </w:r>
          </w:p>
          <w:p w14:paraId="2529424E">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16.需提供≥56种化学仪器工具，如反应类、固定和夹持类、加热类、分离类、计量类、存取类等仪器调用。</w:t>
            </w:r>
          </w:p>
        </w:tc>
        <w:tc>
          <w:tcPr>
            <w:tcW w:w="1090" w:type="dxa"/>
            <w:tcBorders>
              <w:top w:val="single" w:color="auto" w:sz="4" w:space="0"/>
              <w:left w:val="single" w:color="auto" w:sz="4" w:space="0"/>
              <w:bottom w:val="single" w:color="auto" w:sz="4" w:space="0"/>
              <w:right w:val="single" w:color="auto" w:sz="4" w:space="0"/>
            </w:tcBorders>
            <w:vAlign w:val="center"/>
          </w:tcPr>
          <w:p w14:paraId="2602C7D8">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35125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219DD0C">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34</w:t>
            </w:r>
          </w:p>
        </w:tc>
        <w:tc>
          <w:tcPr>
            <w:tcW w:w="1017" w:type="dxa"/>
            <w:tcBorders>
              <w:top w:val="single" w:color="auto" w:sz="4" w:space="0"/>
              <w:left w:val="single" w:color="auto" w:sz="4" w:space="0"/>
              <w:bottom w:val="single" w:color="auto" w:sz="4" w:space="0"/>
              <w:right w:val="single" w:color="auto" w:sz="4" w:space="0"/>
            </w:tcBorders>
            <w:vAlign w:val="center"/>
          </w:tcPr>
          <w:p w14:paraId="48FA3FC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安装集成2</w:t>
            </w:r>
          </w:p>
        </w:tc>
        <w:tc>
          <w:tcPr>
            <w:tcW w:w="7203" w:type="dxa"/>
            <w:tcBorders>
              <w:top w:val="single" w:color="auto" w:sz="4" w:space="0"/>
              <w:left w:val="single" w:color="auto" w:sz="4" w:space="0"/>
              <w:bottom w:val="single" w:color="auto" w:sz="4" w:space="0"/>
              <w:right w:val="single" w:color="auto" w:sz="4" w:space="0"/>
            </w:tcBorders>
            <w:vAlign w:val="center"/>
          </w:tcPr>
          <w:p w14:paraId="5A06494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7E30B38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含整机固定、线路布线、强弱电分离、多媒体设备接线调试、教学系统部署、屏幕校准、防尘密封、旧副板拆除及新安装，完工通电验收，保障音视频、触控、投屏功能稳定运行。</w:t>
            </w:r>
          </w:p>
        </w:tc>
        <w:tc>
          <w:tcPr>
            <w:tcW w:w="1090" w:type="dxa"/>
            <w:tcBorders>
              <w:top w:val="single" w:color="auto" w:sz="4" w:space="0"/>
              <w:left w:val="single" w:color="auto" w:sz="4" w:space="0"/>
              <w:bottom w:val="single" w:color="auto" w:sz="4" w:space="0"/>
              <w:right w:val="single" w:color="auto" w:sz="4" w:space="0"/>
            </w:tcBorders>
            <w:vAlign w:val="center"/>
          </w:tcPr>
          <w:p w14:paraId="68A7D09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4460E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2E568278">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五、人工智能实验室</w:t>
            </w:r>
          </w:p>
        </w:tc>
      </w:tr>
      <w:tr w14:paraId="2F4F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2B98D56">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35</w:t>
            </w:r>
          </w:p>
        </w:tc>
        <w:tc>
          <w:tcPr>
            <w:tcW w:w="1017" w:type="dxa"/>
            <w:tcBorders>
              <w:top w:val="single" w:color="auto" w:sz="4" w:space="0"/>
              <w:left w:val="single" w:color="auto" w:sz="4" w:space="0"/>
              <w:bottom w:val="single" w:color="auto" w:sz="4" w:space="0"/>
              <w:right w:val="single" w:color="auto" w:sz="4" w:space="0"/>
            </w:tcBorders>
            <w:vAlign w:val="center"/>
          </w:tcPr>
          <w:p w14:paraId="542A910A">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红外互联黑板3</w:t>
            </w:r>
          </w:p>
        </w:tc>
        <w:tc>
          <w:tcPr>
            <w:tcW w:w="7203" w:type="dxa"/>
            <w:tcBorders>
              <w:top w:val="single" w:color="auto" w:sz="4" w:space="0"/>
              <w:left w:val="single" w:color="auto" w:sz="4" w:space="0"/>
              <w:bottom w:val="single" w:color="auto" w:sz="4" w:space="0"/>
              <w:right w:val="single" w:color="auto" w:sz="4" w:space="0"/>
            </w:tcBorders>
            <w:vAlign w:val="center"/>
          </w:tcPr>
          <w:p w14:paraId="6CE0724A">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一、整机性能要求</w:t>
            </w:r>
          </w:p>
          <w:p w14:paraId="03E2A7C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1.整机屏幕需采用UHD超高清LED液晶屏，屏幕显示尺寸≥86英寸，显示比例16:9，屏幕图像分辨率≥3840*2160，整体外观尺寸:宽≥4100mm，高≥1200mm，厚≤105mm。</w:t>
            </w:r>
          </w:p>
          <w:p w14:paraId="2000DE9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2.液晶显示层与钢化玻璃层需采用零贴合或全贴合设计。</w:t>
            </w:r>
          </w:p>
          <w:p w14:paraId="634134B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3.整机需采用全金属外壳材质，三拼接平面一体化设计，主副屏过渡平滑并在同一平面，中间无单独边框阻隔，屏幕边缘采用圆角包边防护，整机背板采用金属材质。</w:t>
            </w:r>
          </w:p>
          <w:p w14:paraId="69382DD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4.整机主屏和整机两侧副板需支持普通粉笔、液体粉笔、水溶性粉笔直接书写。</w:t>
            </w:r>
          </w:p>
          <w:p w14:paraId="1597F1D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5.整机需采用内置摄像头、麦克风，需支持无需外接线材连接和任何可见外接线材及模块化拼接痕迹，不占用整机外部设备接口。</w:t>
            </w:r>
          </w:p>
          <w:p w14:paraId="20F1C42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6.整机需支持前置物理接口不少于5个，所有接口均采用非转接方式，包含1路HDMI接口、2路双通道USB接口(Windows和整机系统均能被识别）、1路Type-C接口（支持全功能PD 65W）、1路USB-Type-B接口（Touch接口 支持触摸功能）。</w:t>
            </w:r>
          </w:p>
          <w:p w14:paraId="436D9C8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7.Type-C接口需具备全功能，最大输出功率达到≥65W，支持Type-C线正反插，支持</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4K 60Hz视频格式，支持双通道USB。</w:t>
            </w:r>
          </w:p>
          <w:p w14:paraId="2F94952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8.整机需支持具有防浪涌、防静电、防辐射、防划伤、触摸屏防遮挡安全保护措施。</w:t>
            </w:r>
          </w:p>
          <w:p w14:paraId="47C9E05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9.整机需具备达到国家标准GB/T17626.2-2018静电放电抗扰度测试标准。</w:t>
            </w:r>
          </w:p>
          <w:p w14:paraId="0C7D438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10.整机需具备抗振动、防跌落特性，保证整机运输或使用过程中不易受损，检测依据：GB/T 2423.10-2019和GB/T 2423.7-2018。</w:t>
            </w:r>
          </w:p>
          <w:p w14:paraId="1AC873A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11.整机需支持内置环境光感传感器，支持根据环境光自动调节整机亮度。</w:t>
            </w:r>
          </w:p>
          <w:p w14:paraId="0324A70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12.整机自带操作系统，处理器≥八核处理器，内存≥4GB，存储空间≥32GB。</w:t>
            </w:r>
          </w:p>
          <w:p w14:paraId="2801B97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13.设备在整机正常运行工况下，具备自适应扩音优化与声学抑制算法能力。</w:t>
            </w:r>
          </w:p>
          <w:p w14:paraId="60DF865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14.整机需内置2.2声道扬声器，位于设备下边框出音，20W全频扬声器2个，15W高音扬声器2个，额定总功率≥70W，语言清晰度（STI-PA）≥0.75。</w:t>
            </w:r>
          </w:p>
          <w:p w14:paraId="6777176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15.整机屏体需支持亮度≥350cd/m²，色彩覆盖率≥72%NTSC，对比度≥1200：1。</w:t>
            </w:r>
          </w:p>
          <w:p w14:paraId="2A6ACBC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16.整机屏体需支持无需操作即可实现蓝光防护，具备物理防蓝光（过滤蓝光）功能，有效抗蓝光、防眩光，蓝光占比（有害蓝光 415～455nm 能量综合）/（整体蓝光 400～500 能量综合）＜50%，低蓝光保护显示不偏色、不泛黄。</w:t>
            </w:r>
          </w:p>
          <w:p w14:paraId="1626377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17.整机需具备可达到4K分辨率，屏幕刷新率≥60Hz。</w:t>
            </w:r>
          </w:p>
          <w:p w14:paraId="4C8BED8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18.整机书写面板需采用防眩光全钢化防爆玻璃面板，面板的碎片状态、抗冲击性、霰弹袋冲击性能、耐热冲击性能均通过国家强制玻璃标准，表面应力≥100Mpa。</w:t>
            </w:r>
          </w:p>
          <w:p w14:paraId="256C298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19.依据相关国家标准，整机视网膜蓝光危害（蓝光加权辐射亮度LB）需满足蓝光危害RG0级别，LB 限制范围≤100，蓝光无危害。</w:t>
            </w:r>
          </w:p>
          <w:p w14:paraId="075ACD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20.需支持通过前置面板物理按键一键启动录课功能，录制屏幕及整机半径12米内课堂现场音频，录制画面完整，无死角，人声清晰，无背景噪音。</w:t>
            </w:r>
          </w:p>
          <w:p w14:paraId="79A77B3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21.需具备三合一电源按键，支持整机大屏开关机、OPS电脑开关机和息屏三合一，息屏后可实现降低功耗≥90%</w:t>
            </w:r>
          </w:p>
          <w:p w14:paraId="56A98F5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22.需支持WiFi6，整机内置2.4G、5GHz双频wifi，满足IEEE802.11a/b/g/n/ac/ax。</w:t>
            </w:r>
          </w:p>
          <w:p w14:paraId="743EE01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23.整机需内置高清广角摄像头，结构采用非独立设计。支持3D降噪算法，图像信噪比≥40db，支持输出MJPG视频格式。</w:t>
            </w:r>
          </w:p>
          <w:p w14:paraId="25AA164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24.整机需内置非独立外扩展麦克风阵列，麦克风数量≥8个，可用于对教室环境音频进行采集，整机拾音距离≥12m，拾音角度≥180°。</w:t>
            </w:r>
          </w:p>
          <w:p w14:paraId="3462756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25.智能降噪麦克风阵列，需支持远场拾音，高信噪比≥65db，超高灵敏度≥-38db，支持AGC、AEC、NN智能AI降噪功能。</w:t>
            </w:r>
          </w:p>
          <w:p w14:paraId="0814414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26.整机高清摄像头，需支持生物特征识别，如面部识别功能，支持AI识别人像，最大距离≥10米。</w:t>
            </w:r>
          </w:p>
          <w:p w14:paraId="6E7A3F2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27.需支持≥4800万像素，可拍摄8000×6000的照片，支持输出4K图片，对角视场角≥135°，水平视场角≥120°，垂直视场角≥80°。</w:t>
            </w:r>
          </w:p>
          <w:p w14:paraId="469E60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28.</w:t>
            </w:r>
            <w:r>
              <w:rPr>
                <w:rFonts w:hint="eastAsia" w:ascii="仿宋_GB2312" w:hAnsi="仿宋_GB2312" w:eastAsia="仿宋_GB2312" w:cs="仿宋_GB2312"/>
                <w:color w:val="000000"/>
                <w:kern w:val="0"/>
                <w:sz w:val="24"/>
                <w:highlight w:val="yellow"/>
              </w:rPr>
              <w:t>整机在整机系统触控需支持≥40点触控及同时书写，触摸分辨率≥32768×32768。</w:t>
            </w:r>
          </w:p>
          <w:p w14:paraId="176827C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lang w:val="en-US" w:eastAsia="zh-CN"/>
              </w:rPr>
              <w:t>29</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整机双系统下，需支持在任意信号源通道下，都可调出侧边栏快捷菜单，菜单含中控导航、系统切换、小工具、快捷设置、亮度/音量调节。</w:t>
            </w:r>
          </w:p>
          <w:p w14:paraId="7E0ECDB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0</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整机侧边栏小工具需包括：批注、截屏、计时、降半屏、冻屏、投票器、日历、聚光灯。</w:t>
            </w:r>
          </w:p>
          <w:p w14:paraId="3CAD5F7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1</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整机系统下需支持使用批注功能，清空批注内容、本地保存、添加新的批注页面、可切换书写笔颜色、粗细大小、扫码共享、板擦和最小化批注模式。</w:t>
            </w:r>
          </w:p>
          <w:p w14:paraId="09A61BB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2</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双侧副板需具有快捷丝印功能按键，功能包含：快捷开启和关闭同步板书功能，快捷保存电子板书功能，快捷上下翻页功能，快捷切换画笔颜色功能。</w:t>
            </w:r>
          </w:p>
          <w:p w14:paraId="6F07925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3</w:t>
            </w:r>
            <w:r>
              <w:rPr>
                <w:rFonts w:hint="eastAsia" w:ascii="仿宋_GB2312" w:hAnsi="仿宋_GB2312" w:eastAsia="仿宋_GB2312" w:cs="仿宋_GB2312"/>
                <w:color w:val="000000"/>
                <w:kern w:val="0"/>
                <w:sz w:val="24"/>
              </w:rPr>
              <w:t>.整机预留互联副板连接接口，可实现板书书写数据采集功能，可识别老师粉笔书写，板擦或手指擦除手势，且书写过程中可同步到一体机主屏，支持板书录制，回看和分享。</w:t>
            </w:r>
          </w:p>
          <w:p w14:paraId="7C84163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3</w:t>
            </w:r>
            <w:r>
              <w:rPr>
                <w:rFonts w:hint="eastAsia" w:ascii="仿宋_GB2312" w:hAnsi="仿宋_GB2312" w:eastAsia="仿宋_GB2312" w:cs="仿宋_GB2312"/>
                <w:color w:val="000000"/>
                <w:kern w:val="0"/>
                <w:sz w:val="24"/>
                <w:highlight w:val="yellow"/>
                <w:lang w:val="en-US" w:eastAsia="zh-CN"/>
              </w:rPr>
              <w:t>4</w:t>
            </w:r>
            <w:r>
              <w:rPr>
                <w:rFonts w:hint="eastAsia" w:ascii="仿宋_GB2312" w:hAnsi="仿宋_GB2312" w:eastAsia="仿宋_GB2312" w:cs="仿宋_GB2312"/>
                <w:color w:val="000000"/>
                <w:kern w:val="0"/>
                <w:sz w:val="24"/>
                <w:highlight w:val="yellow"/>
              </w:rPr>
              <w:t>.</w:t>
            </w:r>
            <w:r>
              <w:rPr>
                <w:rFonts w:hint="eastAsia" w:ascii="仿宋_GB2312" w:hAnsi="仿宋_GB2312" w:eastAsia="仿宋_GB2312" w:cs="仿宋_GB2312"/>
                <w:color w:val="000000"/>
                <w:kern w:val="0"/>
                <w:sz w:val="24"/>
              </w:rPr>
              <w:t>配套教学智能笔。</w:t>
            </w:r>
          </w:p>
          <w:p w14:paraId="39424AE7">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二、OPS电脑系统</w:t>
            </w:r>
          </w:p>
          <w:p w14:paraId="5938275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1.整机架构：针脚数为行业通用≥80Pin ，与大屏无单独接线。</w:t>
            </w:r>
          </w:p>
          <w:p w14:paraId="61996BE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2.整机OPS电脑安装结构需支持按压式卡扣或螺丝固定模式，抽拉式安装，无需工具即可快速拆卸电脑模块。</w:t>
            </w:r>
          </w:p>
          <w:p w14:paraId="7C1143F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3.CPU：≥8核12线程，主频≥2GHz，内存≥8G（每根通道最大支持扩展到32G，总容量64GB），硬盘≥256G SSD （单盘最大支持扩展到1TB）。</w:t>
            </w:r>
          </w:p>
          <w:p w14:paraId="14D31AD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4.USB接口要求：USB3.0和USB2.0 不少于6个。</w:t>
            </w:r>
          </w:p>
          <w:p w14:paraId="5CEE03C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5.其他接口要求：支持网络接口不少于1个，DP输出接口不少于1个，HDMI不少于1个，耳机输出接口不少于1个，麦克风输入接口不少于1个。</w:t>
            </w:r>
          </w:p>
          <w:p w14:paraId="361BC30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6.Wi-Fi 6：需支持802.11b/g/n/ac/ax；蓝牙支持Bluetooth 4.2及以上。</w:t>
            </w:r>
          </w:p>
          <w:p w14:paraId="6FD4637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★7.含正版操作系统及提供功能至少有文字处理、电子表格、演示文稿三大应用模块的正版办公软件，授权≥3年。</w:t>
            </w:r>
          </w:p>
          <w:p w14:paraId="336CD12D">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三、智能教学系统</w:t>
            </w:r>
          </w:p>
          <w:p w14:paraId="2EC39DC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1.支持一键开机后即刻进入教学应用系统界面，无需额外点击操作运行应用系统；支持教师通过二维码扫码、账密输入、人脸识别登录方式进入教学应用系统。</w:t>
            </w:r>
          </w:p>
          <w:p w14:paraId="5D99E9A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2.教学应用快捷入口：教学桌面支持教学常用的功能，包括电子白板、文件管理、电子课本、视频展台、授课助手；需提供Windows桌面应用入口，无需切换到Windows系统桌面即可点击运行已安装的第三方应用。</w:t>
            </w:r>
          </w:p>
          <w:p w14:paraId="3792A24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3.学科应用入口：教学桌面需支持语文、数学、英语、物理、化学、生物、地理、历史、信息技术共9个学科的学科应用，需支持教师直接下载并使用。</w:t>
            </w:r>
          </w:p>
          <w:p w14:paraId="049EF73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4.需提供罗盘工具，需支持五指点击屏幕调出罗盘工具栏，需支持在屏幕任意位置停留或左右侧边隐藏；需提供用于教学的便捷工具，包括选择、画笔、板擦、撤销、回退。</w:t>
            </w:r>
          </w:p>
          <w:p w14:paraId="5CA811F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5.选择工具：需支持在电子白板软件下，对手写笔迹、学科工具、插入的图片至少需支持2种方式，如框选、圈选；选择后至少支持≥3种操作如置顶、克隆、删除功能；</w:t>
            </w:r>
          </w:p>
          <w:p w14:paraId="409EFC3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6.画笔工具：需支持一键调取3层功能，包含笔触粗细、颜色、笔形，教师随机选择；需提供≥4种笔型，如钢笔、毛笔、铅笔、印刷笔；需支持将手写体转写成标准印刷体，印刷体支持自动识别≥5 种格式，如中文、英文、数学公式、化学无机方程式、有机分子式；</w:t>
            </w:r>
          </w:p>
          <w:p w14:paraId="6BA5451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7.聚焦工具：需支持≥3种格式进行快速截取，如电子课件、电子课本、电子习题；同时，需支持≥5种调整模式，如截取范围大小，内容进行放大、插入白板、关灯讲解、保存至桌面。</w:t>
            </w:r>
          </w:p>
          <w:p w14:paraId="1BDE358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8.录课功能：需支持录课功能，需支持≥2种调取方式，如前置物理按键一键调取或罗盘工具调取；支持对微课内容进行关键视频切片提取。</w:t>
            </w:r>
          </w:p>
          <w:p w14:paraId="6A331BD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9.录制功能：需支持屏幕内容及教室声音画面同时进行录制；生成视频后支持分享链接；支持录制任意全屏画面、局部画面，支持录制保存音频、屏幕画面、摄像头画面，支持在录制过程中进行书写和擦除。</w:t>
            </w:r>
          </w:p>
          <w:p w14:paraId="53FC72C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需覆盖高中学段的电子版本教材，需给每个教师账号提供至少10本电子课本下载权限，并支持教师课本上课时，一键云同步获取备课资源，并下载至课本中。授课过程中，支持对课本进行文本批注、画笔标注、擦除、聚焦、翻页操作。</w:t>
            </w:r>
          </w:p>
          <w:p w14:paraId="0C64A9C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11.语文学科工具：需支持提供≥5种语文类学科工具，包括诗词卡片、朗读评测、字词听写、识字接龙、汉语朗读；</w:t>
            </w:r>
          </w:p>
          <w:p w14:paraId="6F2398F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立体几何工具：需支持手绘至少6种立体几何图形并自动识别为标准形状，包括立方体、圆柱体、圆锥、四棱锥、N棱柱、N棱锥；立方体需支持≥8种图形工具操作，如堆积、构图、展开、收起、旋转、三视图、调节、填充常见教学操作；需支持在立方体任一面复制立方体形成组合图形，并能对组合图形进行360°旋转；支持绘制立方体内部的任意切面，绘制后可自由调节；立体几何图形需支持“三视图”。</w:t>
            </w:r>
          </w:p>
          <w:p w14:paraId="6688A73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函数工具：需支持≥6种函数类型，包括一次函数、二次函数、幂函数、指数函数、对数函数、三角函数，及其组合函数的图形绘制，支持手动调节函数参数，图形随之调整；支持以上类型函数手写直接转写为标准印刷体，点击即可生成相应的函数图像。</w:t>
            </w:r>
          </w:p>
          <w:p w14:paraId="5178496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14.英语学科工具：需提供≥8种英语学科工具，包括但不限于四线三格、字母卡片、英语朗读、单词评测等；</w:t>
            </w:r>
          </w:p>
          <w:p w14:paraId="7064DBA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物理学科工具：需提供物理电路图，涵盖初高中教材电路实验，≥21种电路实验案例，包含伏安法测电阻、欧姆定律应用、动态电路分析等；≥26种元件包含二极管、滑动变阻器、热敏电阻、灵敏电流计等，教师可结合实际教学场景自行组装；以上实验操作支持≥5种功能操作。</w:t>
            </w:r>
          </w:p>
          <w:p w14:paraId="218D180A">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16.需提供≥56种化学仪器工具，如反应类、固定和夹持类、加热类、分离类、计量类、存取类等仪器调用。</w:t>
            </w:r>
          </w:p>
        </w:tc>
        <w:tc>
          <w:tcPr>
            <w:tcW w:w="1090" w:type="dxa"/>
            <w:tcBorders>
              <w:top w:val="single" w:color="auto" w:sz="4" w:space="0"/>
              <w:left w:val="single" w:color="auto" w:sz="4" w:space="0"/>
              <w:bottom w:val="single" w:color="auto" w:sz="4" w:space="0"/>
              <w:right w:val="single" w:color="auto" w:sz="4" w:space="0"/>
            </w:tcBorders>
            <w:vAlign w:val="center"/>
          </w:tcPr>
          <w:p w14:paraId="25C04CE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290D4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F8D71A0">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36</w:t>
            </w:r>
          </w:p>
        </w:tc>
        <w:tc>
          <w:tcPr>
            <w:tcW w:w="1017" w:type="dxa"/>
            <w:tcBorders>
              <w:top w:val="single" w:color="auto" w:sz="4" w:space="0"/>
              <w:left w:val="single" w:color="auto" w:sz="4" w:space="0"/>
              <w:bottom w:val="single" w:color="auto" w:sz="4" w:space="0"/>
              <w:right w:val="single" w:color="auto" w:sz="4" w:space="0"/>
            </w:tcBorders>
            <w:vAlign w:val="center"/>
          </w:tcPr>
          <w:p w14:paraId="34D186FB">
            <w:pPr>
              <w:widowControl/>
              <w:jc w:val="center"/>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安装集成3</w:t>
            </w:r>
          </w:p>
        </w:tc>
        <w:tc>
          <w:tcPr>
            <w:tcW w:w="7203" w:type="dxa"/>
            <w:tcBorders>
              <w:top w:val="single" w:color="auto" w:sz="4" w:space="0"/>
              <w:left w:val="single" w:color="auto" w:sz="4" w:space="0"/>
              <w:bottom w:val="single" w:color="auto" w:sz="4" w:space="0"/>
              <w:right w:val="single" w:color="auto" w:sz="4" w:space="0"/>
            </w:tcBorders>
            <w:vAlign w:val="center"/>
          </w:tcPr>
          <w:p w14:paraId="6141703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6A0963B1">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含整机固定、线路布线、强弱电分离、多媒体设备接线调试、教学系统部署、屏幕校准、防尘密封、旧副板拆除及新安装，完工通电验收，保障音视频、触控、投屏功能稳定运行。</w:t>
            </w:r>
          </w:p>
        </w:tc>
        <w:tc>
          <w:tcPr>
            <w:tcW w:w="1090" w:type="dxa"/>
            <w:tcBorders>
              <w:top w:val="single" w:color="auto" w:sz="4" w:space="0"/>
              <w:left w:val="single" w:color="auto" w:sz="4" w:space="0"/>
              <w:bottom w:val="single" w:color="auto" w:sz="4" w:space="0"/>
              <w:right w:val="single" w:color="auto" w:sz="4" w:space="0"/>
            </w:tcBorders>
            <w:vAlign w:val="center"/>
          </w:tcPr>
          <w:p w14:paraId="43EC45AB">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5673E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ED48E0B">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37</w:t>
            </w:r>
          </w:p>
        </w:tc>
        <w:tc>
          <w:tcPr>
            <w:tcW w:w="1017" w:type="dxa"/>
            <w:tcBorders>
              <w:top w:val="single" w:color="auto" w:sz="4" w:space="0"/>
              <w:left w:val="single" w:color="auto" w:sz="4" w:space="0"/>
              <w:bottom w:val="single" w:color="auto" w:sz="4" w:space="0"/>
              <w:right w:val="single" w:color="auto" w:sz="4" w:space="0"/>
            </w:tcBorders>
            <w:vAlign w:val="center"/>
          </w:tcPr>
          <w:p w14:paraId="575DC4D0">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人形机器人</w:t>
            </w:r>
          </w:p>
        </w:tc>
        <w:tc>
          <w:tcPr>
            <w:tcW w:w="7203" w:type="dxa"/>
            <w:tcBorders>
              <w:top w:val="single" w:color="auto" w:sz="4" w:space="0"/>
              <w:left w:val="single" w:color="auto" w:sz="4" w:space="0"/>
              <w:bottom w:val="single" w:color="auto" w:sz="4" w:space="0"/>
              <w:right w:val="single" w:color="auto" w:sz="4" w:space="0"/>
            </w:tcBorders>
            <w:vAlign w:val="center"/>
          </w:tcPr>
          <w:p w14:paraId="482DEE4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1.整体尺寸：</w:t>
            </w:r>
          </w:p>
          <w:p w14:paraId="12A461C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（1）高宽厚(站立)≥1320mm×450mm×200mm。</w:t>
            </w:r>
          </w:p>
          <w:p w14:paraId="3F5468A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（2）高宽厚(折叠)≥690mm×450mm×300mm。</w:t>
            </w:r>
          </w:p>
          <w:p w14:paraId="34F9D47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2.带电池重量≥35kg。</w:t>
            </w:r>
          </w:p>
          <w:p w14:paraId="3B2261D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3.总自由度(关节电机)≥29。</w:t>
            </w:r>
          </w:p>
          <w:p w14:paraId="44E02C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4.单腿自由度≥6个。</w:t>
            </w:r>
          </w:p>
          <w:p w14:paraId="4DDE8B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5.腰部自由度≥3个。</w:t>
            </w:r>
          </w:p>
          <w:p w14:paraId="2EA392A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6.单手臂自由度≥7个。</w:t>
            </w:r>
          </w:p>
          <w:p w14:paraId="76F8FEC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7.配备2只五指黑色假手。</w:t>
            </w:r>
          </w:p>
          <w:p w14:paraId="2523956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8.支持智能OTA升级。</w:t>
            </w:r>
          </w:p>
          <w:p w14:paraId="5974E82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9.感知传感器：深度相机+3D激光雷达</w:t>
            </w:r>
          </w:p>
          <w:p w14:paraId="4F126C3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（1）深度相机：</w:t>
            </w:r>
          </w:p>
          <w:p w14:paraId="7A8DC7B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①传感器类型：主动立体红外成像，包含1个RGB传感器,2个红外传感器及红外发射器；</w:t>
            </w:r>
          </w:p>
          <w:p w14:paraId="3E0DB68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②IMU模块：</w:t>
            </w:r>
            <w:r>
              <w:rPr>
                <w:rFonts w:hint="eastAsia" w:ascii="仿宋_GB2312" w:hAnsi="仿宋_GB2312" w:eastAsia="仿宋_GB2312" w:cs="仿宋_GB2312"/>
                <w:color w:val="000000"/>
                <w:kern w:val="0"/>
                <w:sz w:val="24"/>
                <w:highlight w:val="yellow"/>
                <w:u w:val="none"/>
              </w:rPr>
              <w:t>支持</w:t>
            </w:r>
            <w:r>
              <w:rPr>
                <w:rFonts w:hint="eastAsia" w:ascii="宋体" w:hAnsi="宋体" w:cs="宋体"/>
                <w:color w:val="000000"/>
                <w:kern w:val="0"/>
                <w:sz w:val="24"/>
                <w:highlight w:val="yellow"/>
                <w:u w:val="none"/>
              </w:rPr>
              <w:t>≥</w:t>
            </w:r>
            <w:r>
              <w:rPr>
                <w:rFonts w:hint="eastAsia" w:ascii="仿宋_GB2312" w:hAnsi="仿宋_GB2312" w:eastAsia="仿宋_GB2312" w:cs="仿宋_GB2312"/>
                <w:color w:val="000000"/>
                <w:kern w:val="0"/>
                <w:sz w:val="24"/>
                <w:highlight w:val="yellow"/>
                <w:u w:val="none"/>
              </w:rPr>
              <w:t>4自由度运动追踪（平移+旋转）</w:t>
            </w:r>
            <w:r>
              <w:rPr>
                <w:rFonts w:hint="eastAsia" w:ascii="仿宋_GB2312" w:hAnsi="仿宋_GB2312" w:eastAsia="仿宋_GB2312" w:cs="仿宋_GB2312"/>
                <w:color w:val="000000"/>
                <w:kern w:val="0"/>
                <w:sz w:val="24"/>
                <w:highlight w:val="yellow"/>
              </w:rPr>
              <w:t>，为3D模型重建提供数据支持；</w:t>
            </w:r>
          </w:p>
          <w:p w14:paraId="52CAAE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③深度分辨率：</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1280×720（双目）；</w:t>
            </w:r>
          </w:p>
          <w:p w14:paraId="64036D0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④帧率：最高90FPS；</w:t>
            </w:r>
          </w:p>
          <w:p w14:paraId="2F8F4E5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⑤深度探测范围：0.2m-10m；</w:t>
            </w:r>
          </w:p>
          <w:p w14:paraId="5B89292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⑥视场深度：H:87°，V:58°。</w:t>
            </w:r>
          </w:p>
          <w:p w14:paraId="202D747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（2）3D混合固态激光雷达：</w:t>
            </w:r>
          </w:p>
          <w:p w14:paraId="59AFB38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①激光波长:905 nm；</w:t>
            </w:r>
          </w:p>
          <w:p w14:paraId="7DDE286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②FOV：水平360°，竖直 -7°-52°；</w:t>
            </w:r>
          </w:p>
          <w:p w14:paraId="66AA518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③测距随机误差 (1σ) ：≤ 2 cm (@ 10m)，≤ 3 cm (@ 0.2m)；</w:t>
            </w:r>
          </w:p>
          <w:p w14:paraId="6AE30AA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④角度随机误差（1σ）：&lt; 0.15º；</w:t>
            </w:r>
          </w:p>
          <w:p w14:paraId="73A6F3E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⑤点云输出：200000点/秒 (可配置第一回波)；</w:t>
            </w:r>
          </w:p>
          <w:p w14:paraId="1B5769B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⑥点云帧率：10Hz (典型值)；</w:t>
            </w:r>
          </w:p>
          <w:p w14:paraId="290648A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⑦数据网口：100BASE-TX 以太网；</w:t>
            </w:r>
          </w:p>
          <w:p w14:paraId="1D0C7C05">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⑧</w:t>
            </w:r>
            <w:r>
              <w:rPr>
                <w:rFonts w:hint="eastAsia" w:ascii="仿宋_GB2312" w:hAnsi="仿宋_GB2312" w:eastAsia="仿宋_GB2312" w:cs="仿宋_GB2312"/>
                <w:color w:val="000000"/>
                <w:kern w:val="0"/>
                <w:sz w:val="24"/>
              </w:rPr>
              <w:t>数据同步方式：GPS；</w:t>
            </w:r>
          </w:p>
          <w:p w14:paraId="71ABC159">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⑨</w:t>
            </w:r>
            <w:r>
              <w:rPr>
                <w:rFonts w:hint="eastAsia" w:ascii="仿宋_GB2312" w:hAnsi="仿宋_GB2312" w:eastAsia="仿宋_GB2312" w:cs="仿宋_GB2312"/>
                <w:color w:val="000000"/>
                <w:kern w:val="0"/>
                <w:sz w:val="24"/>
              </w:rPr>
              <w:t>具有抗串扰功能；</w:t>
            </w:r>
          </w:p>
          <w:p w14:paraId="59E823F7">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⑩</w:t>
            </w:r>
            <w:r>
              <w:rPr>
                <w:rFonts w:hint="eastAsia" w:ascii="仿宋_GB2312" w:hAnsi="仿宋_GB2312" w:eastAsia="仿宋_GB2312" w:cs="仿宋_GB2312"/>
                <w:color w:val="000000"/>
                <w:kern w:val="0"/>
                <w:sz w:val="24"/>
              </w:rPr>
              <w:t>虚警率 (@ 100 klx) ⁶&lt; 0.01%；</w:t>
            </w:r>
          </w:p>
          <w:p w14:paraId="7867C1C9">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⑪</w:t>
            </w:r>
            <w:r>
              <w:rPr>
                <w:rFonts w:hint="eastAsia" w:ascii="仿宋_GB2312" w:hAnsi="仿宋_GB2312" w:eastAsia="仿宋_GB2312" w:cs="仿宋_GB2312"/>
                <w:color w:val="000000"/>
                <w:kern w:val="0"/>
                <w:sz w:val="24"/>
              </w:rPr>
              <w:t>IMU：内置；</w:t>
            </w:r>
          </w:p>
          <w:p w14:paraId="50BA1A7B">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⑫</w:t>
            </w:r>
            <w:r>
              <w:rPr>
                <w:rFonts w:hint="eastAsia" w:ascii="仿宋_GB2312" w:hAnsi="仿宋_GB2312" w:eastAsia="仿宋_GB2312" w:cs="仿宋_GB2312"/>
                <w:color w:val="000000"/>
                <w:kern w:val="0"/>
                <w:sz w:val="24"/>
              </w:rPr>
              <w:t>防护等级：</w:t>
            </w:r>
            <w:r>
              <w:rPr>
                <w:rFonts w:hint="eastAsia" w:ascii="宋体" w:hAnsi="宋体" w:cs="宋体"/>
                <w:color w:val="000000"/>
                <w:kern w:val="0"/>
                <w:sz w:val="24"/>
              </w:rPr>
              <w:t>≥</w:t>
            </w:r>
            <w:r>
              <w:rPr>
                <w:rFonts w:hint="eastAsia" w:ascii="仿宋_GB2312" w:hAnsi="仿宋_GB2312" w:eastAsia="仿宋_GB2312" w:cs="仿宋_GB2312"/>
                <w:color w:val="000000"/>
                <w:kern w:val="0"/>
                <w:sz w:val="24"/>
              </w:rPr>
              <w:t>IP67；</w:t>
            </w:r>
          </w:p>
          <w:p w14:paraId="7F698053">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⑬</w:t>
            </w:r>
            <w:r>
              <w:rPr>
                <w:rFonts w:hint="eastAsia" w:ascii="仿宋_GB2312" w:hAnsi="仿宋_GB2312" w:eastAsia="仿宋_GB2312" w:cs="仿宋_GB2312"/>
                <w:color w:val="000000"/>
                <w:kern w:val="0"/>
                <w:sz w:val="24"/>
              </w:rPr>
              <w:t>功率：6.5 W；</w:t>
            </w:r>
          </w:p>
          <w:p w14:paraId="7723C49A">
            <w:pPr>
              <w:widowControl/>
              <w:jc w:val="left"/>
              <w:rPr>
                <w:rFonts w:hint="eastAsia" w:ascii="仿宋_GB2312" w:hAnsi="仿宋_GB2312" w:eastAsia="仿宋_GB2312" w:cs="仿宋_GB2312"/>
                <w:color w:val="000000"/>
                <w:kern w:val="0"/>
                <w:sz w:val="24"/>
              </w:rPr>
            </w:pPr>
            <w:r>
              <w:rPr>
                <w:rFonts w:hint="eastAsia" w:ascii="微软雅黑" w:hAnsi="微软雅黑" w:eastAsia="微软雅黑" w:cs="微软雅黑"/>
                <w:color w:val="000000"/>
                <w:kern w:val="0"/>
                <w:sz w:val="24"/>
              </w:rPr>
              <w:t>⑭</w:t>
            </w:r>
            <w:r>
              <w:rPr>
                <w:rFonts w:hint="eastAsia" w:ascii="仿宋_GB2312" w:hAnsi="仿宋_GB2312" w:eastAsia="仿宋_GB2312" w:cs="仿宋_GB2312"/>
                <w:color w:val="000000"/>
                <w:kern w:val="0"/>
                <w:sz w:val="24"/>
              </w:rPr>
              <w:t>供电电压范围：9 ~ 27 V DC。</w:t>
            </w:r>
          </w:p>
          <w:p w14:paraId="245CBC2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10.</w:t>
            </w:r>
            <w:r>
              <w:rPr>
                <w:rFonts w:hint="eastAsia" w:ascii="仿宋_GB2312" w:hAnsi="仿宋_GB2312" w:eastAsia="仿宋_GB2312" w:cs="仿宋_GB2312"/>
                <w:color w:val="000000"/>
                <w:kern w:val="0"/>
                <w:sz w:val="24"/>
                <w:highlight w:val="yellow"/>
                <w:u w:val="none"/>
              </w:rPr>
              <w:t>膝关节最大扭矩≥100N.m</w:t>
            </w:r>
            <w:r>
              <w:rPr>
                <w:rFonts w:hint="eastAsia" w:ascii="仿宋_GB2312" w:hAnsi="仿宋_GB2312" w:eastAsia="仿宋_GB2312" w:cs="仿宋_GB2312"/>
                <w:color w:val="000000"/>
                <w:kern w:val="0"/>
                <w:sz w:val="24"/>
                <w:highlight w:val="yellow"/>
              </w:rPr>
              <w:t>。</w:t>
            </w:r>
          </w:p>
          <w:p w14:paraId="5FD821B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11.手臂最大负载≥3kg。</w:t>
            </w:r>
          </w:p>
          <w:p w14:paraId="7641E0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12.小腿+大腿长度≥0.6m。</w:t>
            </w:r>
          </w:p>
          <w:p w14:paraId="48A9978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13.手臂臂展≥0.45m。</w:t>
            </w:r>
          </w:p>
          <w:p w14:paraId="1E0C847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14.关节运动空间要求：</w:t>
            </w:r>
          </w:p>
          <w:p w14:paraId="19B5CE9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（1）腰部Z轴关节：Z±155°或优于；</w:t>
            </w:r>
          </w:p>
          <w:p w14:paraId="578A99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（2）膝关节：0~165°或优于；</w:t>
            </w:r>
          </w:p>
          <w:p w14:paraId="7E5C66A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（3）髋关节：P±154°、R-30°~±170°、Y±158°或优于；</w:t>
            </w:r>
          </w:p>
          <w:p w14:paraId="0D5B38B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（4）手腕关节：二自由度手腕P±92.5°、Y±92.5°或优于。</w:t>
            </w:r>
          </w:p>
          <w:p w14:paraId="56CC108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15.走线和散热及编码器的要求：</w:t>
            </w:r>
          </w:p>
          <w:p w14:paraId="593F18B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（1）具备全关节中空内走线；</w:t>
            </w:r>
          </w:p>
          <w:p w14:paraId="269C7AF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（2）散热系统：局部风冷散热；</w:t>
            </w:r>
          </w:p>
          <w:p w14:paraId="4FC3A29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（3）关节编码器：双编码器或优于。</w:t>
            </w:r>
          </w:p>
          <w:p w14:paraId="6221019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16.人形机器人专用电池≥1块，技术要求如下：</w:t>
            </w:r>
          </w:p>
          <w:p w14:paraId="23E21FB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（1）产品尺寸≤长120mm×宽80mm×高182mm；</w:t>
            </w:r>
          </w:p>
          <w:p w14:paraId="5B57A2E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（2）额定容量≥9000mAh，额定能量不得低于421.2Wh ；</w:t>
            </w:r>
          </w:p>
          <w:p w14:paraId="6990D6D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（3）自研电池管理系统（BMS）；</w:t>
            </w:r>
          </w:p>
          <w:p w14:paraId="7434192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（4）功能：电量显示、电池储存自放电保护、平衡充电保护、过充电保护、短路保护、电池负载检测保护。</w:t>
            </w:r>
          </w:p>
          <w:p w14:paraId="6449494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17.通用人形机器人专用，调试保护支架≥1套 ，技术要求如下：</w:t>
            </w:r>
          </w:p>
          <w:p w14:paraId="6593A1D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（1）负载≥ 200KG；</w:t>
            </w:r>
          </w:p>
          <w:p w14:paraId="791CB2E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（2）后轮间距≥800mm；</w:t>
            </w:r>
          </w:p>
          <w:p w14:paraId="4561A5D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（3）立柱地盘双钢梁支撑，配有5个可锁万向轮，地盘深度约700mm；两腿内宽 ≥900mm；后轮间距 ≥800mm；支腿长度 ≥850mm；</w:t>
            </w:r>
          </w:p>
          <w:p w14:paraId="1899DDE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（4）吊钩离地面最大距离≥2000mm；</w:t>
            </w:r>
          </w:p>
          <w:p w14:paraId="0EBA403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（5）吊钩离立柱的距离≥600mm。</w:t>
            </w:r>
          </w:p>
          <w:p w14:paraId="39C2724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18.基础算力：8核高性能CPU或优于。</w:t>
            </w:r>
          </w:p>
          <w:p w14:paraId="78ABD99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19.具备≥100Tops算力的拓展坞，含AI算法及技术支持。</w:t>
            </w:r>
          </w:p>
          <w:p w14:paraId="3B71747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20.支持高层和底层的二次开发，须提供以下相关资料：</w:t>
            </w:r>
          </w:p>
          <w:p w14:paraId="2E1F93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（1）详细的用户使用，软件开发等手册等。</w:t>
            </w:r>
          </w:p>
          <w:p w14:paraId="04C251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（2）提供高层控制（如行走）功能的二次开发文档及例程。</w:t>
            </w:r>
          </w:p>
          <w:p w14:paraId="779727D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（3）提供底层控制（电机的位置、速度和力矩）功能的二次开发文档及例程。</w:t>
            </w:r>
          </w:p>
          <w:p w14:paraId="045168F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（4）通用Ubuntu操作系统，易于使用通用数学库、机器人库，开发程序。</w:t>
            </w:r>
          </w:p>
          <w:p w14:paraId="7A854C7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（5）提供调用运动控制的接口。</w:t>
            </w:r>
          </w:p>
          <w:p w14:paraId="43CC3CC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21.运动控制：</w:t>
            </w:r>
          </w:p>
          <w:p w14:paraId="05723ED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（1）带有越障运控模式；</w:t>
            </w:r>
          </w:p>
          <w:p w14:paraId="0AE247A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（2）带有舞蹈运控模式。</w:t>
            </w:r>
          </w:p>
          <w:p w14:paraId="00BD9A9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w:t>
            </w:r>
            <w:r>
              <w:rPr>
                <w:rFonts w:hint="eastAsia" w:ascii="仿宋_GB2312" w:hAnsi="仿宋_GB2312" w:eastAsia="仿宋_GB2312" w:cs="仿宋_GB2312"/>
                <w:sz w:val="24"/>
              </w:rPr>
              <w:t>交互手势联动：在语音交互过程中，机器人将自动配合自然的交互手势。</w:t>
            </w:r>
          </w:p>
          <w:p w14:paraId="340F11A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22.导航功能：支持APP建图、路径规划、巡逻等功能。</w:t>
            </w:r>
          </w:p>
          <w:p w14:paraId="2E2F6B5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23.音频管理：支持APP录音音频、外部导入音频在设备上播放。</w:t>
            </w:r>
          </w:p>
          <w:p w14:paraId="3815006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24.示教功能：支持可通过控制手臂关节、腰部旋转关节自己编排舞蹈动作。</w:t>
            </w:r>
          </w:p>
          <w:p w14:paraId="6C2117C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25.日志上传：支持授权后将日志上传到后台，供研发查看异常日志功能入口。</w:t>
            </w:r>
          </w:p>
          <w:p w14:paraId="6AD0C0E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26.权限管理：支持公网远程连接管理功能，此功能默认关闭，需要授权，授权成功后，机器人连接网络，可以看到基础的产品本体信息(如机器人编号、健康状态)。</w:t>
            </w:r>
          </w:p>
          <w:p w14:paraId="10153ECA">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27.该具身智能机器人须能支持教育部的A类赛：中国高校智能机器人创意大赛，全国大学生机器人大赛ROBOTAC。</w:t>
            </w:r>
          </w:p>
          <w:p w14:paraId="4D975884">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highlight w:val="yellow"/>
              </w:rPr>
              <w:t>28.供货时，提供人形机器人《人形机器人智能仿真开发》45个课时的培训课程,具体的课程章节包含：</w:t>
            </w:r>
          </w:p>
          <w:p w14:paraId="0ED73B37">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①</w:t>
            </w:r>
            <w:r>
              <w:rPr>
                <w:rFonts w:ascii="仿宋_GB2312" w:hAnsi="仿宋_GB2312" w:eastAsia="仿宋_GB2312" w:cs="仿宋_GB2312"/>
                <w:color w:val="000000"/>
                <w:kern w:val="0"/>
                <w:sz w:val="24"/>
              </w:rPr>
              <w:t>人形机器人简介与仿真入门(含3个课时的课件资料)</w:t>
            </w:r>
          </w:p>
          <w:p w14:paraId="3A85E183">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②</w:t>
            </w:r>
            <w:r>
              <w:rPr>
                <w:rFonts w:ascii="仿宋_GB2312" w:hAnsi="仿宋_GB2312" w:eastAsia="仿宋_GB2312" w:cs="仿宋_GB2312"/>
                <w:color w:val="000000"/>
                <w:kern w:val="0"/>
                <w:sz w:val="24"/>
              </w:rPr>
              <w:t>人形机器人的行走控制(含5个课时的课件资料)</w:t>
            </w:r>
          </w:p>
          <w:p w14:paraId="1686EB76">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③</w:t>
            </w:r>
            <w:r>
              <w:rPr>
                <w:rFonts w:ascii="仿宋_GB2312" w:hAnsi="仿宋_GB2312" w:eastAsia="仿宋_GB2312" w:cs="仿宋_GB2312"/>
                <w:color w:val="000000"/>
                <w:kern w:val="0"/>
                <w:sz w:val="24"/>
              </w:rPr>
              <w:t>人形机器人的复杂动作(含5个课时的课件资料)</w:t>
            </w:r>
          </w:p>
          <w:p w14:paraId="6E55005E">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④</w:t>
            </w:r>
            <w:r>
              <w:rPr>
                <w:rFonts w:ascii="仿宋_GB2312" w:hAnsi="仿宋_GB2312" w:eastAsia="仿宋_GB2312" w:cs="仿宋_GB2312"/>
                <w:color w:val="000000"/>
                <w:kern w:val="0"/>
                <w:sz w:val="24"/>
              </w:rPr>
              <w:t>人形机器人的感知系统(含5个课时的课件资料)</w:t>
            </w:r>
          </w:p>
          <w:p w14:paraId="214F5507">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⑤</w:t>
            </w:r>
            <w:r>
              <w:rPr>
                <w:rFonts w:ascii="仿宋_GB2312" w:hAnsi="仿宋_GB2312" w:eastAsia="仿宋_GB2312" w:cs="仿宋_GB2312"/>
                <w:color w:val="000000"/>
                <w:kern w:val="0"/>
                <w:sz w:val="24"/>
              </w:rPr>
              <w:t>人形机器人的目标识别(含5个课时的课件资料)</w:t>
            </w:r>
          </w:p>
          <w:p w14:paraId="12D407DE">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⑥</w:t>
            </w:r>
            <w:r>
              <w:rPr>
                <w:rFonts w:ascii="仿宋_GB2312" w:hAnsi="仿宋_GB2312" w:eastAsia="仿宋_GB2312" w:cs="仿宋_GB2312"/>
                <w:color w:val="000000"/>
                <w:kern w:val="0"/>
                <w:sz w:val="24"/>
              </w:rPr>
              <w:t>人形机器人的定位系统(含5个课时的课件资料)</w:t>
            </w:r>
          </w:p>
          <w:p w14:paraId="2035732B">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⑦</w:t>
            </w:r>
            <w:r>
              <w:rPr>
                <w:rFonts w:ascii="仿宋_GB2312" w:hAnsi="仿宋_GB2312" w:eastAsia="仿宋_GB2312" w:cs="仿宋_GB2312"/>
                <w:color w:val="000000"/>
                <w:kern w:val="0"/>
                <w:sz w:val="24"/>
              </w:rPr>
              <w:t>人形机器人的路径规划(含5个课时的课件资料)</w:t>
            </w:r>
          </w:p>
          <w:p w14:paraId="674D8695">
            <w:pPr>
              <w:rPr>
                <w:rFonts w:hint="eastAsia" w:ascii="仿宋_GB2312" w:hAnsi="仿宋_GB2312" w:eastAsia="仿宋_GB2312" w:cs="仿宋_GB2312"/>
                <w:color w:val="000000"/>
                <w:sz w:val="24"/>
              </w:rPr>
            </w:pPr>
            <w:r>
              <w:rPr>
                <w:rFonts w:hint="eastAsia" w:ascii="微软雅黑" w:hAnsi="微软雅黑" w:eastAsia="微软雅黑" w:cs="微软雅黑"/>
                <w:color w:val="000000"/>
                <w:kern w:val="0"/>
                <w:sz w:val="24"/>
              </w:rPr>
              <w:t>⑧</w:t>
            </w:r>
            <w:r>
              <w:rPr>
                <w:rFonts w:ascii="仿宋_GB2312" w:hAnsi="仿宋_GB2312" w:eastAsia="仿宋_GB2312" w:cs="仿宋_GB2312"/>
                <w:color w:val="000000"/>
                <w:kern w:val="0"/>
                <w:sz w:val="24"/>
              </w:rPr>
              <w:t xml:space="preserve">综合实践应用(含12个课时的课件资料) </w:t>
            </w:r>
            <w:r>
              <w:rPr>
                <w:rFonts w:hint="eastAsia" w:ascii="仿宋_GB2312" w:hAnsi="仿宋_GB2312" w:eastAsia="仿宋_GB2312" w:cs="仿宋_GB2312"/>
                <w:color w:val="000000"/>
                <w:kern w:val="0"/>
                <w:sz w:val="24"/>
              </w:rPr>
              <w:t>。</w:t>
            </w:r>
          </w:p>
        </w:tc>
        <w:tc>
          <w:tcPr>
            <w:tcW w:w="1090" w:type="dxa"/>
            <w:tcBorders>
              <w:top w:val="single" w:color="auto" w:sz="4" w:space="0"/>
              <w:left w:val="single" w:color="auto" w:sz="4" w:space="0"/>
              <w:bottom w:val="single" w:color="auto" w:sz="4" w:space="0"/>
              <w:right w:val="single" w:color="auto" w:sz="4" w:space="0"/>
            </w:tcBorders>
            <w:vAlign w:val="center"/>
          </w:tcPr>
          <w:p w14:paraId="39631FE3">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1套</w:t>
            </w:r>
          </w:p>
        </w:tc>
      </w:tr>
      <w:tr w14:paraId="6B3C0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20C978B2">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六、常规教室用AI设备</w:t>
            </w:r>
          </w:p>
        </w:tc>
      </w:tr>
      <w:tr w14:paraId="62FB5D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2DF0BDC">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38</w:t>
            </w:r>
          </w:p>
        </w:tc>
        <w:tc>
          <w:tcPr>
            <w:tcW w:w="1017" w:type="dxa"/>
            <w:tcBorders>
              <w:top w:val="single" w:color="auto" w:sz="4" w:space="0"/>
              <w:left w:val="single" w:color="auto" w:sz="4" w:space="0"/>
              <w:bottom w:val="single" w:color="auto" w:sz="4" w:space="0"/>
              <w:right w:val="single" w:color="auto" w:sz="4" w:space="0"/>
            </w:tcBorders>
            <w:vAlign w:val="center"/>
          </w:tcPr>
          <w:p w14:paraId="6A07E18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互动平板一体机</w:t>
            </w:r>
          </w:p>
        </w:tc>
        <w:tc>
          <w:tcPr>
            <w:tcW w:w="7203" w:type="dxa"/>
            <w:tcBorders>
              <w:top w:val="single" w:color="auto" w:sz="4" w:space="0"/>
              <w:left w:val="single" w:color="auto" w:sz="4" w:space="0"/>
              <w:bottom w:val="single" w:color="auto" w:sz="4" w:space="0"/>
              <w:right w:val="single" w:color="auto" w:sz="4" w:space="0"/>
            </w:tcBorders>
            <w:vAlign w:val="center"/>
          </w:tcPr>
          <w:p w14:paraId="6B48CF7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详细参数：</w:t>
            </w:r>
          </w:p>
          <w:p w14:paraId="4A2C7B6E">
            <w:pPr>
              <w:widowControl/>
              <w:jc w:val="left"/>
              <w:rPr>
                <w:rFonts w:hint="eastAsia" w:ascii="仿宋_GB2312" w:hAnsi="仿宋_GB2312" w:eastAsia="仿宋_GB2312" w:cs="仿宋_GB2312"/>
                <w:b/>
                <w:bCs/>
                <w:sz w:val="24"/>
                <w:highlight w:val="yellow"/>
              </w:rPr>
            </w:pPr>
            <w:r>
              <w:rPr>
                <w:rFonts w:hint="eastAsia" w:ascii="仿宋_GB2312" w:hAnsi="仿宋_GB2312" w:eastAsia="仿宋_GB2312" w:cs="仿宋_GB2312"/>
                <w:b/>
                <w:bCs/>
                <w:sz w:val="24"/>
                <w:highlight w:val="yellow"/>
              </w:rPr>
              <w:t>一、数字化教研管理：</w:t>
            </w:r>
          </w:p>
          <w:p w14:paraId="6C80253D">
            <w:pPr>
              <w:widowControl/>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rPr>
              <w:t>（一）需配套建设普通高中教研数字化管理平台，依托教学数据汇聚与基础分析能力，实现学校教学教研全流程规范化管理，全面覆盖教学计划管理、线上集体备课、在线听课评课、班级学风氛围管理、校本教学资源建设等核心业务模块。平台支持全校教研数据统一归集、数据反馈、过程评价与结果统计，同时面向教师个人提供教研活动台账管理、日常教学行为数据采集、教学过程数据统计分析能力，实现教研工作可查、可管、可溯、可评。</w:t>
            </w:r>
          </w:p>
          <w:p w14:paraId="5EA443F2">
            <w:pPr>
              <w:widowControl/>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rPr>
              <w:t>（二）平台具备完善的备课资源统计与核查管理能力，可自动统计并展示全校教案、课件、校本教案、校本课件等教学资源存量数据；支持按周、月度、自定义时间段生成教师备课资源制作统计排行，直观展示全校备课工作开展情况；支持管理人员查阅全校教师教案、课件、校本资源、微课等各类教学成果，提供线上资源核查、抽检、核验功能，支持一键批量导出资源统计台账与汇总报表，满足学校教研督查、常规检查工作需要。</w:t>
            </w:r>
          </w:p>
          <w:p w14:paraId="25994D96">
            <w:pPr>
              <w:widowControl/>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rPr>
              <w:t>（三）平台支持全校集体备课业务数据汇总统计，支持按照集体备课整体台账、教师个人集备记录两个维度进行分类查询、筛选与统计；系统完整留存集体备课核心信息，包含备课主题、学科、年级、对应教学章节、备课版本、参与教师名单、研讨评论数量、批注修改记录等内容，全面真实记录学校集体备课开展频次、参与度、研讨质量，便于学校常态化监管教研落地成效。</w:t>
            </w:r>
          </w:p>
          <w:p w14:paraId="1AC4C158">
            <w:pPr>
              <w:widowControl/>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rPr>
              <w:t>（四）平台统一归集全校听课、评课全过程业务数据，自动统计展示月度评课节数、月度评课次数、累计评课节数、累计评课次数等核心台账数据；支持根据评课参与人数、评课综合得分生成全校统计排行，客观反映各学科、各教师听课评课参与情况与教研落地实效，为学校教研督导、质量管控提供数据支撑。</w:t>
            </w:r>
          </w:p>
          <w:p w14:paraId="2852EEF9">
            <w:pPr>
              <w:widowControl/>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rPr>
              <w:t>◆（五）平台具备学校信息化教学综合评估能力，可从校本资源建设质量、教师校本研修开展、校园教研应用氛围、学情教学成效等</w:t>
            </w:r>
            <w:r>
              <w:rPr>
                <w:rFonts w:hint="eastAsia" w:ascii="仿宋_GB2312" w:hAnsi="仿宋_GB2312" w:eastAsia="仿宋_GB2312" w:cs="仿宋_GB2312"/>
                <w:sz w:val="24"/>
                <w:highlight w:val="yellow"/>
                <w:u w:val="wave"/>
                <w:lang w:val="en-US" w:eastAsia="zh-CN"/>
              </w:rPr>
              <w:t>≥</w:t>
            </w:r>
            <w:r>
              <w:rPr>
                <w:rFonts w:hint="eastAsia" w:ascii="仿宋_GB2312" w:hAnsi="仿宋_GB2312" w:eastAsia="仿宋_GB2312" w:cs="仿宋_GB2312"/>
                <w:sz w:val="24"/>
                <w:highlight w:val="yellow"/>
                <w:u w:val="wave"/>
              </w:rPr>
              <w:t>4个核心维度</w:t>
            </w:r>
            <w:r>
              <w:rPr>
                <w:rFonts w:hint="eastAsia" w:ascii="仿宋_GB2312" w:hAnsi="仿宋_GB2312" w:eastAsia="仿宋_GB2312" w:cs="仿宋_GB2312"/>
                <w:sz w:val="24"/>
                <w:highlight w:val="yellow"/>
              </w:rPr>
              <w:t>开展常态化信息化教学应用评估，形成学校信息化教学应用综合评价指数，支持学校横向自查、纵向对比，实现多维度、常态化研判学校信息化教学应用水平，为学校教研提质、信息化建设优化提供参考依据。</w:t>
            </w:r>
          </w:p>
          <w:p w14:paraId="24286DB4">
            <w:pPr>
              <w:widowControl/>
              <w:numPr>
                <w:ilvl w:val="0"/>
                <w:numId w:val="0"/>
              </w:numPr>
              <w:jc w:val="left"/>
              <w:rPr>
                <w:rFonts w:hint="eastAsia" w:ascii="仿宋_GB2312" w:hAnsi="仿宋_GB2312" w:eastAsia="仿宋_GB2312" w:cs="仿宋_GB2312"/>
                <w:sz w:val="24"/>
                <w:highlight w:val="yellow"/>
              </w:rPr>
            </w:pPr>
            <w:r>
              <w:rPr>
                <w:rFonts w:hint="eastAsia" w:ascii="仿宋_GB2312" w:hAnsi="仿宋_GB2312" w:eastAsia="仿宋_GB2312" w:cs="仿宋_GB2312"/>
                <w:sz w:val="24"/>
                <w:highlight w:val="yellow"/>
                <w:lang w:eastAsia="zh-CN"/>
              </w:rPr>
              <w:t>（</w:t>
            </w:r>
            <w:r>
              <w:rPr>
                <w:rFonts w:hint="eastAsia" w:ascii="仿宋_GB2312" w:hAnsi="仿宋_GB2312" w:eastAsia="仿宋_GB2312" w:cs="仿宋_GB2312"/>
                <w:sz w:val="24"/>
                <w:highlight w:val="yellow"/>
                <w:lang w:val="en-US" w:eastAsia="zh-CN"/>
              </w:rPr>
              <w:t>六</w:t>
            </w:r>
            <w:r>
              <w:rPr>
                <w:rFonts w:hint="eastAsia" w:ascii="仿宋_GB2312" w:hAnsi="仿宋_GB2312" w:eastAsia="仿宋_GB2312" w:cs="仿宋_GB2312"/>
                <w:sz w:val="24"/>
                <w:highlight w:val="yellow"/>
                <w:lang w:eastAsia="zh-CN"/>
              </w:rPr>
              <w:t>）</w:t>
            </w:r>
            <w:r>
              <w:rPr>
                <w:rFonts w:hint="eastAsia" w:ascii="仿宋_GB2312" w:hAnsi="仿宋_GB2312" w:eastAsia="仿宋_GB2312" w:cs="仿宋_GB2312"/>
                <w:sz w:val="24"/>
                <w:highlight w:val="yellow"/>
              </w:rPr>
              <w:t>平台支持可视化展示校内教研动态信息，实时汇总展示全校集体备课、听课评课、校本资源更新等常态化教研工作动态；自动统计教师云端教案、云端课件产出数量与校本资源库建设增量、存量情况；支持统计展示教师优质教学资源被校内引用、共享、复用情况，形成正向教研激励榜单，客观反映教师教研工作实绩，为学校教师年度考核、教研评价、评优评先提供客观、可溯源的数据支撑。</w:t>
            </w:r>
          </w:p>
          <w:p w14:paraId="03810866">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二、整机系统设计</w:t>
            </w:r>
          </w:p>
          <w:p w14:paraId="66ED3461">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（一）电脑系统</w:t>
            </w:r>
          </w:p>
          <w:p w14:paraId="3ED1E398">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1.CPU：≥8核12线程，主频≥2.0GHz，末级缓存≥12M，内存≥双通道DDR4-2666M，位宽≥64位。</w:t>
            </w:r>
          </w:p>
          <w:p w14:paraId="2B8F3B2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2.内存：16GB DDR4笔记本内存或以上配置。</w:t>
            </w:r>
          </w:p>
          <w:p w14:paraId="2CCD87D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3.硬盘：512GB或以上SSD固态硬盘。</w:t>
            </w:r>
          </w:p>
          <w:p w14:paraId="397A93E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4.PC模块可抽拉式插入整机，可实现无单独接线的插拔，与整机的连接采用万兆级接口，传输速率≥10Gbps。</w:t>
            </w:r>
          </w:p>
          <w:p w14:paraId="43D4CE5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5.采用按压式卡扣，无需工具就可快速拆卸电脑模块。</w:t>
            </w:r>
          </w:p>
          <w:p w14:paraId="4C950B8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6.PC模块的USB接口须为冗余备份接口，在正常使用整机的内置摄像头、内置麦克风功能时，USB接口不被占用，确保教师有足够的接口外接存储设备及显示设备。</w:t>
            </w:r>
          </w:p>
          <w:p w14:paraId="6BBF50E8">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7.具有独立非外扩展的视频输出接口：≥1路HDMI。</w:t>
            </w:r>
          </w:p>
          <w:p w14:paraId="0B76629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8.具有独立非外拓展的电脑USB接口：至少具备3个USB3.0 接口。</w:t>
            </w:r>
          </w:p>
          <w:p w14:paraId="2289F43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9.整机具备供电保护模块，能够检测内置电脑是否插好、在位，在内置电脑未在位的情况下，内置电脑无法上电工作。</w:t>
            </w:r>
          </w:p>
          <w:p w14:paraId="1D2EDAA2">
            <w:pPr>
              <w:widowControl/>
              <w:jc w:val="left"/>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w:t>
            </w:r>
            <w:r>
              <w:rPr>
                <w:rFonts w:hint="eastAsia" w:ascii="仿宋_GB2312" w:hAnsi="仿宋_GB2312" w:eastAsia="仿宋_GB2312" w:cs="仿宋_GB2312"/>
                <w:sz w:val="24"/>
              </w:rPr>
              <w:t>10.含正版操作系统及提供功能至少有文字处理、电子表格、演示文稿三大应用模块的办公软件，授权≥3年。</w:t>
            </w:r>
          </w:p>
          <w:p w14:paraId="28B32B2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（二）触摸系统</w:t>
            </w:r>
          </w:p>
          <w:p w14:paraId="6B7B8C2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1.采用红外触控技术，支持Windows系统中进行≥40点触控，支持在Android系统中进行≥30点触控。</w:t>
            </w:r>
          </w:p>
          <w:p w14:paraId="0D56599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2.整机屏幕触摸有效识别高度不超过1.5mm，即触摸物体距离玻璃外表面高度不超过1.5mm时，触摸屏识别为点击操作。</w:t>
            </w:r>
          </w:p>
          <w:p w14:paraId="7A1907D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3.整机触控书写功能集成预测算法，书写速度≥50cm/s，支持笔迹与笔的距离小于20mm。</w:t>
            </w:r>
          </w:p>
          <w:p w14:paraId="49045E3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4.整机系统支持书写触控延迟≤30ms。</w:t>
            </w:r>
          </w:p>
          <w:p w14:paraId="1067A3C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5.整机支持提笔书写，在Windows系统下可实现无需点击任意功能入口，当检测到红外笔笔尖接触屏幕时，自动进入书写模式，且触摸最小识别物≤3.2mm。</w:t>
            </w:r>
          </w:p>
          <w:p w14:paraId="11256E3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highlight w:val="yellow"/>
              </w:rPr>
              <w:t>6.支持智能擦除功能，可使用实体板擦、手势等方式擦除电子白板笔迹，设备可识别擦除操作，无需外接电子类配件即可完成擦除。</w:t>
            </w:r>
            <w:r>
              <w:rPr>
                <w:rFonts w:hint="eastAsia" w:ascii="仿宋_GB2312" w:hAnsi="仿宋_GB2312" w:eastAsia="仿宋_GB2312" w:cs="仿宋_GB2312"/>
                <w:sz w:val="24"/>
              </w:rPr>
              <w:t>7.支持Windows 7.Windows 8.Windows 10.Windows 11.Linux、Mac Os、UOS和麒麟系统外置电脑操作系统接入时，无需安装触摸驱动。</w:t>
            </w:r>
          </w:p>
          <w:p w14:paraId="5B1B8E7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8.整机触摸支持动态压力感应，支持无任何电子功能的普通书写笔在整机上书写或点压时，整机能感应压力变化，书写或点压过程笔迹呈现不同粗细。</w:t>
            </w:r>
          </w:p>
          <w:p w14:paraId="015B463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（三）嵌入式系统</w:t>
            </w:r>
          </w:p>
          <w:p w14:paraId="4A00C30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1.整机嵌入式系统版本≥Android 15，CPU≥8核，主频≥1.5GHz，内存≥2GB，存储空间≥32GB。</w:t>
            </w:r>
          </w:p>
          <w:p w14:paraId="56DD19B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2.嵌入式Android操作系统下，白板支持对已经书写的笔迹和形状的颜色进行更换。</w:t>
            </w:r>
          </w:p>
          <w:p w14:paraId="6246DDB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3.在嵌入式系统下使用白板软件时，整机可自行调节屏幕亮度。</w:t>
            </w:r>
          </w:p>
          <w:p w14:paraId="343834B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4.嵌入式Android操作系统下，互动白板支持不同背景颜色，同时提供学科背景，如：五线谱、信纸、田字格、英文格、篮球和足球场地平面图。</w:t>
            </w:r>
          </w:p>
          <w:p w14:paraId="1E6A377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5.无PC状态下，嵌入式系统内置互动白板支持十笔书写及手掌擦除（手掌擦除面积根据手掌与屏幕的接触面大小自动调整），白板书写内容可以PDF、IWB和SVG格式导出。支持10种以上平面图形工具。支持8种以上立体图形工具。</w:t>
            </w:r>
          </w:p>
          <w:p w14:paraId="1B9E442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6.无PC状态下，嵌入式系统内置互动白板支持全局漫游，并能在工具栏中对全局内容进行预览和移动。</w:t>
            </w:r>
          </w:p>
          <w:p w14:paraId="03EC73A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7.支持通过悬浮球调起元素周期表，支持对不同类别元素进行颜色区分，可通过点击对不同元素进行分类展示，展示样式支持按原子数/原子结构/相对原子质量/电子构型配置元素方式进行调整。</w:t>
            </w:r>
          </w:p>
          <w:p w14:paraId="20F70F98">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三、整机屏幕及护眼设计</w:t>
            </w:r>
          </w:p>
          <w:p w14:paraId="577F8E5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（一）整机采用超高清LED液晶显示屏，屏幕尺寸≥86英寸，钢化玻璃表面硬度≥9H，灰度等级≥256级，整机色域覆盖率（NTSC）≥72%，显示比例16:9，分辨率≥3840×2160。</w:t>
            </w:r>
          </w:p>
          <w:p w14:paraId="551959C9">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（二）整机背光系统支持DC调光方式，多级亮度调节，支持白颜色背景下最暗亮度≤120nit，用于提升显示对比度。</w:t>
            </w:r>
          </w:p>
          <w:p w14:paraId="08D4277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highlight w:val="yellow"/>
              </w:rPr>
              <w:t>◆（三）整机内置全视角背光增光膜，通过增光膜对背光光源进行均光，整机屏幕中心亮度三分之一的</w:t>
            </w:r>
            <w:r>
              <w:rPr>
                <w:rFonts w:hint="eastAsia" w:ascii="仿宋_GB2312" w:hAnsi="仿宋_GB2312" w:eastAsia="仿宋_GB2312" w:cs="仿宋_GB2312"/>
                <w:sz w:val="24"/>
                <w:highlight w:val="yellow"/>
                <w:u w:val="wave"/>
              </w:rPr>
              <w:t>亮度观看视角≥12</w:t>
            </w:r>
            <w:r>
              <w:rPr>
                <w:rFonts w:hint="eastAsia" w:ascii="仿宋_GB2312" w:hAnsi="仿宋_GB2312" w:eastAsia="仿宋_GB2312" w:cs="仿宋_GB2312"/>
                <w:sz w:val="24"/>
                <w:highlight w:val="yellow"/>
                <w:u w:val="wave"/>
                <w:lang w:val="en-US" w:eastAsia="zh-CN"/>
              </w:rPr>
              <w:t>5</w:t>
            </w:r>
            <w:r>
              <w:rPr>
                <w:rFonts w:hint="eastAsia" w:ascii="仿宋_GB2312" w:hAnsi="仿宋_GB2312" w:eastAsia="仿宋_GB2312" w:cs="仿宋_GB2312"/>
                <w:sz w:val="24"/>
                <w:highlight w:val="yellow"/>
                <w:u w:val="wave"/>
              </w:rPr>
              <w:t>°</w:t>
            </w:r>
            <w:r>
              <w:rPr>
                <w:rFonts w:hint="eastAsia" w:ascii="仿宋_GB2312" w:hAnsi="仿宋_GB2312" w:eastAsia="仿宋_GB2312" w:cs="仿宋_GB2312"/>
                <w:sz w:val="24"/>
                <w:highlight w:val="yellow"/>
              </w:rPr>
              <w:t>，满足GB40070-2021标准。</w:t>
            </w:r>
          </w:p>
          <w:p w14:paraId="7814822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（四）整机蓝光占比（有害蓝光415～455nm能量综合）/（整体蓝光400～500nm能量综合）≤50%。</w:t>
            </w:r>
          </w:p>
          <w:p w14:paraId="5CBF50E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（五）整机支持色彩空间可选，包含标准模式和sRGB模式，在sRGB模式下可做到高色准△E≤1.2。</w:t>
            </w:r>
          </w:p>
          <w:p w14:paraId="28CA37C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六）整机支持纸质护眼模式，在任意通道任意画面任意软件所在显示内容下可实时调整画面纹理。画面纹理的类型有牛皮纸、素描纸、宣纸、水彩纸、水纹纸。同时支持色温调节和透明度调节；纸质护眼模式下，显示画面各像素点灰度不规则，减少背景干扰。</w:t>
            </w:r>
          </w:p>
          <w:p w14:paraId="31E4BD0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（七）整机左、右、下三边框皆具备磁吸功能，边框任意位置可吸附具备磁吸功能的书写笔。</w:t>
            </w:r>
          </w:p>
          <w:p w14:paraId="5A94F2F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（八）整机采用一体设计，外部无任何可见内部功能模块连接线。整机采用全金属外壳设计，边角采用弧形设计，表面无尖锐边缘或凸起。</w:t>
            </w:r>
          </w:p>
          <w:p w14:paraId="3250355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（九）整机屏幕边缘采用金属圆角包边防护，整机背板采用金属材质，有效屏蔽内部电路器件辐射；防潮耐盐雾蚀锈，适应多种教学环境。</w:t>
            </w:r>
          </w:p>
          <w:p w14:paraId="7D925F2B">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四、音频接收及播放功能</w:t>
            </w:r>
          </w:p>
          <w:p w14:paraId="5A8DDDD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（一）整机上边框内置非独立摄像头，整机上边框内置非独立式摄像头，摄像头数量≥4个，其中至少四个摄像头像素值均≥1300 万，支持拍摄有效像素数≥5000万的照片，支持拍摄8192×2772分辨率的视频。</w:t>
            </w:r>
          </w:p>
          <w:p w14:paraId="04287AE9">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highlight w:val="yellow"/>
              </w:rPr>
              <w:t>◆（二）整机广角摄像头</w:t>
            </w:r>
            <w:r>
              <w:rPr>
                <w:rFonts w:hint="eastAsia" w:ascii="仿宋_GB2312" w:hAnsi="仿宋_GB2312" w:eastAsia="仿宋_GB2312" w:cs="仿宋_GB2312"/>
                <w:sz w:val="24"/>
                <w:highlight w:val="yellow"/>
                <w:u w:val="wave"/>
              </w:rPr>
              <w:t>最大视场角≥140度</w:t>
            </w:r>
            <w:r>
              <w:rPr>
                <w:rFonts w:hint="eastAsia" w:ascii="仿宋_GB2312" w:hAnsi="仿宋_GB2312" w:eastAsia="仿宋_GB2312" w:cs="仿宋_GB2312"/>
                <w:sz w:val="24"/>
                <w:highlight w:val="yellow"/>
              </w:rPr>
              <w:t>且水平视场角≥130度，支持输出4:3.16:9比例的图片和视频；在清晰度为3840x2160分辨率下，支持30帧的视频输出，支持3D降噪算法和数字宽动态范围成像WDR技术，支持输出MJPG.H.264视频格式，在1.5m处拍摄ISO12233 8倍大小图卡，边缘和中心的清晰度TV lines 均≥ 1800 lines。</w:t>
            </w:r>
          </w:p>
          <w:p w14:paraId="08B14B3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（三）整机支持同时输出≥4路画面，视频画面覆盖整个教室1.7m-9m处全教室场景图像采集。</w:t>
            </w:r>
          </w:p>
          <w:p w14:paraId="409BA43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（四）整机摄像头支持人脸识别、清点人数、随机抽人；识别所有学生，显示标记，然后随机抽选，同时显示标记≥60人。</w:t>
            </w:r>
          </w:p>
          <w:p w14:paraId="7121F76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（五）整机可选择高级音效设置，支持在左右声道平衡显示范围中进行更改；中低频段显示调节范围125Hz～1KHz，高频段显示调节范围2KHz～16KHz，分贝显示-12dB～12dB调节范围。</w:t>
            </w:r>
          </w:p>
          <w:p w14:paraId="478B03E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（六）整机扬声器在100%音量下，可做到1米处声压级≥88dB，10米处声压级≥79dB。</w:t>
            </w:r>
          </w:p>
          <w:p w14:paraId="34B7D60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（七）整机设备内置2.2声道扬声器，前朝向发声，12W高音扬声器2个，上朝向30W中低音扬声器2个，最大功率≥84W</w:t>
            </w:r>
          </w:p>
          <w:p w14:paraId="6F6EB84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（八）整机内置非独立外扩展的8阵列麦克风，拾音角度：180°，可用于对教室环境音频进行采集，整机内置麦克风声源定位算法，声源定位精度≤4度，可以识别回答问题的学生方位。</w:t>
            </w:r>
          </w:p>
          <w:p w14:paraId="5D22B72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（九）整机PC端支持主动发现蓝牙外设从而连接（无需整机进入发现模式），支持连接外部蓝牙音箱播放音频。</w:t>
            </w:r>
          </w:p>
          <w:p w14:paraId="059B62A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highlight w:val="yellow"/>
              </w:rPr>
              <w:t>◆（十）整机内置AR授课工具，支持对视频展台所采集的画面中叠加动态的3D 模型，</w:t>
            </w:r>
            <w:r>
              <w:rPr>
                <w:rFonts w:hint="eastAsia" w:ascii="仿宋_GB2312" w:hAnsi="仿宋_GB2312" w:eastAsia="仿宋_GB2312" w:cs="仿宋_GB2312"/>
                <w:sz w:val="24"/>
                <w:highlight w:val="yellow"/>
                <w:u w:val="wave"/>
              </w:rPr>
              <w:t>3D模型种类≥4种</w:t>
            </w:r>
            <w:r>
              <w:rPr>
                <w:rFonts w:hint="eastAsia" w:ascii="仿宋_GB2312" w:hAnsi="仿宋_GB2312" w:eastAsia="仿宋_GB2312" w:cs="仿宋_GB2312"/>
                <w:sz w:val="24"/>
                <w:highlight w:val="yellow"/>
              </w:rPr>
              <w:t>。</w:t>
            </w:r>
          </w:p>
          <w:p w14:paraId="7C9E05E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十一）整机内置的阵列麦支持在无任何外部设备的情况下，实时录制用户朗读内容，识别用户声纹并进行统一身份登录操作，登录后自动获取个人云端教学课件列表，打开教学白板软件时可跳过软件自带登录步骤。</w:t>
            </w:r>
          </w:p>
          <w:p w14:paraId="520F0F88">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五、传屏及连接功能</w:t>
            </w:r>
          </w:p>
          <w:p w14:paraId="5C03EA9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整机内置传屏接收模块，整机不需要连接任何附加设备，可实现外部电脑、手机设备的音视频信号实时传输到整机上；当使用外部电脑传屏时，支持触摸回传，在屏幕上部显示传屏工具栏，可以进行触摸回传控制、勿扰模式、暂停投屏功能；开启勿扰模式时，不允许其他人再进行传屏；投屏时可以选择过滤特定应用窗口，如邮件应用等窗口。</w:t>
            </w:r>
          </w:p>
          <w:p w14:paraId="5744E0E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（二）整机支持Bluetooth 5.4及以上标准，支持主动发现蓝牙外设从而连接（无需整机进入发现模式），支持连接外部蓝牙音箱播放音频。</w:t>
            </w:r>
          </w:p>
          <w:p w14:paraId="3D657F2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（三）整机支持Wi-Fi无线上网和AP无线热点发射，支持版本Wi-Fi6；Wi-Fi和AP无线热点工作距离≥10m。</w:t>
            </w:r>
          </w:p>
          <w:p w14:paraId="76B2864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（四）外接电脑设备连接整机且触摸信号连通时，外接电脑设备可直接读取整机前置USB接口的移动存储设备数据，连接整机前置USB接口的翻页笔和无线键鼠可直接使用于外接电脑。</w:t>
            </w:r>
          </w:p>
          <w:p w14:paraId="40CB90C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（五）整机前置USB接口支持多系统读取外接移动存储设备。</w:t>
            </w:r>
          </w:p>
          <w:p w14:paraId="709867B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（六）支持通道自动跳转功能，如整机处于正常使用状态，HDMI信号接入时，能自动识别并切换到对应的HDMI信号源通道，且断开后能回到上一通道。</w:t>
            </w:r>
          </w:p>
          <w:p w14:paraId="47E410F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（七）支持外接信号输入时自动唤醒功能，整机处于关机通电状态，外接电脑显示信号通过HDMI传输线连接至整机时，整机可智能识别外接电气设备信号输入并自动开机。</w:t>
            </w:r>
          </w:p>
          <w:p w14:paraId="3398667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（八）外接电脑设备连接整机且触摸信号连通时，外接电脑设备可直接读取整机前置USB接口的移动存储设备数据，连接整机前置USB接口的翻页笔和无线键鼠可直接使用于外接电脑。</w:t>
            </w:r>
          </w:p>
          <w:p w14:paraId="5EBDAE40">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六、按键及接口设计</w:t>
            </w:r>
          </w:p>
          <w:p w14:paraId="55FAB79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（一）三合一电源按键，同一电源物理按键完成Android系统和Windows系统的开机、节能熄屏、关机操作；关机状态下按按键开机；开机状态下按按键实现节能熄屏/唤醒，长按按键实现关机。</w:t>
            </w:r>
          </w:p>
          <w:p w14:paraId="4B0DBE7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（二）设备支持通过前置面板物理按键一键启动录屏功能，可将屏幕中显示的课件、音频内容与老师人声同时录制。</w:t>
            </w:r>
          </w:p>
          <w:p w14:paraId="201A9BF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（三）整机关机状态下，通过长按电源键进入设置界面后，可点击屏幕选择恢复整机系统及桌面式操作系统到出厂默认状态，无需额外工具辅助。</w:t>
            </w:r>
          </w:p>
          <w:p w14:paraId="06D3EBD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（四）侧置输入接口具备≥2路HDMI、≥1路RS232.≥1路USB接口。</w:t>
            </w:r>
          </w:p>
          <w:p w14:paraId="02684C89">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（五）侧置输出接口具备≥1路音频输出、≥1路触控USB输出。</w:t>
            </w:r>
          </w:p>
          <w:p w14:paraId="553BEBC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（六）前置输入接口包含≥3路USB接口（包含≥1路Type-C、≥2路USB接口），前置USB接口支持Android系统、Windows系统读取外接移动存储设备。</w:t>
            </w:r>
          </w:p>
          <w:p w14:paraId="172759C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七）整机具备前置Type-C接口，前置type-C接口支持最大充电功率≥12W，通过Type-C接口实现音视频输入，外接电脑设备经双头Type-C线连接至整机，即可把外接电脑设备画面投到整机上，同时在整机上操作画面，可实现触摸电脑的操作，无需再连接触控USB线。</w:t>
            </w:r>
          </w:p>
          <w:p w14:paraId="3711B3E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（八）外接电脑设备经双头Type-C线连接至整机，可调用整机内置的摄像头、麦克风、扬声器，在外部电脑上即可控制整机拍摄教室画面。</w:t>
            </w:r>
          </w:p>
          <w:p w14:paraId="305ECF1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（九）支持通过Type-C接口U盘进行文件传输，兼容Type-C接口手机充电。</w:t>
            </w:r>
          </w:p>
          <w:p w14:paraId="537117B2">
            <w:pPr>
              <w:widowControl/>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七、教学辅助功能</w:t>
            </w:r>
          </w:p>
          <w:p w14:paraId="1919C8B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（一）教学工具栏设计</w:t>
            </w:r>
          </w:p>
          <w:p w14:paraId="05CCCD8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1.整机内置AI授课工具，可根据题目所涉及的知识点和难度级别，可推荐相似题目，推荐题目数量可根据用户需求进行设置。</w:t>
            </w:r>
          </w:p>
          <w:p w14:paraId="0573CF4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2.整机内置AI作文批改工具，支持对视频展台所采集的内容进行识别，识别到英文作文类型后，支持作文内容进行批改。可根据作文的整体表现给出一个综合评分，并提供详细的评分依据。</w:t>
            </w:r>
          </w:p>
          <w:p w14:paraId="5127ADB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整机内置AI智能体（非第三方应用），支持用户通过当前设备与历史学家智能体进行对话交流。智能体包涵历史文物、文化遗址、博物馆展览文博知识。用户可通过语音方式向智能体提问，智能体能够根据用户的问题提供准确、详细的回答，支持多轮对话，可根据用户的兴趣偏好，推荐相关的文博展览、文物故事内容。</w:t>
            </w:r>
          </w:p>
          <w:p w14:paraId="50C8E25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4.支持智能书写功能，书写文字自动识别为标准印刷体，支持图形识别功能，可将多种手绘图形转化为≥2种图形。</w:t>
            </w:r>
          </w:p>
          <w:p w14:paraId="5AB12D4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5.整机侧边栏内置智能语音转文字工具，将整机内置麦克风拾取的语音进行文字转译，以悬浮字幕形式将转译文字显示在屏幕上。</w:t>
            </w:r>
          </w:p>
          <w:p w14:paraId="401BA54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6.整机侧边栏内置自习工具，通过整机麦克风内置AI音频检测算法监测教室中学生音量大小，当学生音量大于阈值时，屏幕自动弹窗提醒进行自习纪律干预。</w:t>
            </w:r>
          </w:p>
          <w:p w14:paraId="52E2E56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7.整机设备自带地震预警功能，支持在地震预警页面中获取位置，可以手动进行位置校准。支持在地震预警页面中选择提醒阈值。支持在地震预警界面中开启和关闭地震预警服务。</w:t>
            </w:r>
          </w:p>
          <w:p w14:paraId="4F7B353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8.整机具备班级视力检测功能，学⽣站在距离屏幕前≥4m处，可通过⼿势识别方式来标识方向进行视力测试，测试完成后可直接生成视⼒检测结果，并建立学生视力档案，对学生视力情况进行管理。</w:t>
            </w:r>
          </w:p>
          <w:p w14:paraId="5521B2A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9.整机内置投票统计小工具，通过内置多摄像头捕捉每个同学的投票动作，如举手，双手交叉并进行AI识别，统计投票情况及占比，并以柱状图图表形式呈现。</w:t>
            </w:r>
          </w:p>
          <w:p w14:paraId="5A3A340F">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10.整机内置手势答题小工具，支持老师在课中发起互动选择题，学生通过手势给出对应答案，通过摄像头进行捕捉和AI识别，最终收集回作答情况，形成课中的互动学情。</w:t>
            </w:r>
          </w:p>
          <w:p w14:paraId="6047B6F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（二）教学桌面设计</w:t>
            </w:r>
          </w:p>
          <w:p w14:paraId="5145C83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1.整机设备开机启动后，自动进入教学桌面，支持通过账号登录、手机扫码登录，登录后可以自动获取并在桌面显示最近使用的教学课件，点击课件可直接进入授课模式。</w:t>
            </w:r>
          </w:p>
          <w:p w14:paraId="650C828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2.整机设备可将应用编辑到教学桌面首页，编辑方式支持从教学桌面首页进入编辑，支持在全部应用列表中进入编辑2 种方式。教学桌面首页应用支持无需进入应用编辑页面，在首页指定应用上长按进行移除。</w:t>
            </w:r>
          </w:p>
          <w:p w14:paraId="1C7DAB0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3.整机设备教学桌面支持U盘、移动硬盘外接存储设备直接在桌面显示，无需打开文件浏览器即可查看文件列表，并且支持文件打开。支持查看全部文件列表以及按照文档、图片、音视频分类方式查看文件列表。</w:t>
            </w:r>
          </w:p>
          <w:p w14:paraId="05D3BC2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4.整机设备教学桌面支持进行通道切换、锁屏、重启、关机操作，且支持进行壁纸编辑，内置10张以上壁纸，支持自定义壁纸。</w:t>
            </w:r>
          </w:p>
          <w:p w14:paraId="5FD9715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（三）文件传输功能</w:t>
            </w:r>
          </w:p>
          <w:p w14:paraId="7CC619D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1.整机Windows通道支持文件传输应用，支持通过扫码、wifi直联等方式与手机进行连接，实现文件传输功能。</w:t>
            </w:r>
          </w:p>
          <w:p w14:paraId="72724D0C">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2.文件传输应用支持多人同时将手机文件传输到整机上。</w:t>
            </w:r>
          </w:p>
          <w:p w14:paraId="41548978">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3.文件传输应用开启后，可自动打开整机热点。</w:t>
            </w:r>
          </w:p>
          <w:p w14:paraId="615661F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4.文件传输应用接收的文件支持单份删除；接收的文件支持手动全部清空。</w:t>
            </w:r>
          </w:p>
          <w:p w14:paraId="7FA73AF1">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（四）备授课一体化教学软件</w:t>
            </w:r>
          </w:p>
          <w:p w14:paraId="4C60BF8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1.备授课一体化，具有备课模式及授课模式，且内置的操作界面可根据备课和授课使用场景的不同而选择。</w:t>
            </w:r>
          </w:p>
          <w:p w14:paraId="1C040B7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2.备课模式工具栏具备自动根据老师账号中关联的学科的不同而提供相对应的教学工具的功能。</w:t>
            </w:r>
          </w:p>
          <w:p w14:paraId="055B025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AI智能备课助手：在备课场景中支持搜索课件库课件资源，具有≥15万份的课件资源，支持整份课件或按照课件页插入课件中。支持按照教学环节筛选对应课件页一键插入课件中，可导入新课、作者简介。支持按照元素类型思维导图、课堂活动选取需要的部分补充课件缺失的部分。支持在查看部分课件的同时查看对应整份课件，了解作者整体教学思路。</w:t>
            </w:r>
          </w:p>
          <w:p w14:paraId="129C718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互动课件内容的编辑修改无需人为保存即可自动同步至云空间，可根据教师需要调整云空间自动同步的时间间隔，避免教学资源的损坏、遗失。本地课件则不会自动同步到云空间以保证数据安全。编辑多份互动课件时，教师可一键将所有处于编辑状态的课件同步到互动课件云空间。</w:t>
            </w:r>
          </w:p>
          <w:p w14:paraId="4CAB4F77">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5.云教案功能：</w:t>
            </w:r>
          </w:p>
          <w:p w14:paraId="14200DC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（1）云教案分享：云教案内容可自动同步至云空间，支持以链接方式进行定向式分享和开放式分享。接收者可直接在桌面浏览器、微信内打开预览，可将云教案转存至个人云空间。</w:t>
            </w:r>
          </w:p>
          <w:p w14:paraId="40A38578">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（2）云教案模板：提供教案模板以供老师撰写教案，预置表格式、提纲式、集备式、多课时式等≥4个教案模板。</w:t>
            </w:r>
          </w:p>
          <w:p w14:paraId="6261BC1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（3）支持校本教案模板设计，管理员在教研管理后台设置校本模板后，老师可在云教案模板直接调用。</w:t>
            </w:r>
          </w:p>
          <w:p w14:paraId="1789FEB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（4）云教案与云课件可一对多关联绑定，产生绑定后，在课件页和教案页均支持在同一面板打开关联的云课件或云教案预览，便于老师备课时相互对照。</w:t>
            </w:r>
          </w:p>
          <w:p w14:paraId="0408159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6.AI智能生成课堂活动：具有课堂活动智能填写功能，支持选词填空、判断对错等≥2类课堂活动，输入文本后可以一键解析，自动将文本内容结构化填充至题干和正确选项，完成课堂活动的制作。</w:t>
            </w:r>
          </w:p>
          <w:p w14:paraId="49B4AC51">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7.课堂互动游戏支持云储存功能：编辑完成的活动可一键存储至教师云空间，便于在不同课件中直接调用，无需反复编辑。</w:t>
            </w:r>
          </w:p>
          <w:p w14:paraId="6D7C313D">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8.智能选词填空：支持创建智能选词填空游戏，填空选项支持并列选项，并列选项支持答案互换，教师可随意编辑填空题题干以及相应的答案选项，将选项拖到对应题干空白处，系统自动判断答案正误，系统需提供不少于9种游戏模板，且模板样式支持自定义修改。</w:t>
            </w:r>
          </w:p>
          <w:p w14:paraId="2C4F897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9.智能配对游戏：支持创建配对游戏，教师可随意将知识点进行配对。当开始配对游戏时，拖动知识点进行配对，系统将自动判断是否正确。系统至少提供10种游戏模板，且模板样式支持自定义修改，同时支持设置干扰项。</w:t>
            </w:r>
          </w:p>
          <w:p w14:paraId="32B74B00">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10.分组竞争游戏：支持创建分组竞争游戏，教师可设置正确项／干扰项，让两组学生开展竞争游戏。提供不少于3种难度、10种游戏模板供选择，且模板样式支持自定义修改。支持记录和展示学生作答结果，便于课堂知识点对比讲解。</w:t>
            </w:r>
          </w:p>
          <w:p w14:paraId="5BB293D9">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11.课件背景：提供≥12种背景模板供用户选择，支持自定义背景。</w:t>
            </w:r>
          </w:p>
          <w:p w14:paraId="755DCBC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12.AI智能英语工具：</w:t>
            </w:r>
          </w:p>
          <w:p w14:paraId="295D5FA5">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（1）软件内置的AI智能语义分析模块，可对输入的英文文本的拼写、句型、语法进行错误检查，并支持一键纠错。</w:t>
            </w:r>
          </w:p>
          <w:p w14:paraId="4CFAA8DA">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英汉字典：支持输入英文单词生成单词卡和详解页，包含单词的释义、读音、例句、词组、近义词等，可插入多个单词卡，同时支持教师自定义编辑单词释义、创建未收录的生僻单词供授课使用。可将插入的单词卡一键切换至详解页进入单词详解模式，支持教师自定义编辑单词释义、例句、词组和近义词，且提供≥4种详解页背景模板供选择。</w:t>
            </w:r>
          </w:p>
          <w:p w14:paraId="66B9BA4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（3）AI音标助手：支持浏览和插入国际音标表，可直接点击发音，支持整表和单个音标卡片的插入。支持智能将字母、单词、句子转写为音标，并可一键插入到备课课件中形成文本。</w:t>
            </w:r>
          </w:p>
          <w:p w14:paraId="53AD5076">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13.快捷抠图：可在白板软件中对导入的图片进行快捷抠图、去背景，处理后的图片主体边缘没有明显毛边，可导出保存成PNG格式。</w:t>
            </w:r>
          </w:p>
          <w:p w14:paraId="4393AA5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14.数学公式编辑器：支持复杂数学公式输入，提供≥20个数学符号及和≥15种公式模板，输出的公式内容支持不同颜色标记及二次编辑。</w:t>
            </w:r>
          </w:p>
          <w:p w14:paraId="6ECEFBCD">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sz w:val="24"/>
              </w:rPr>
              <w:t>15.3D星球模型：提供3D立体星球模型，太阳系行星模型≥4个，支持360°自由旋转、缩放展示；并支持在立体地球模型上清晰地展现地球表面的六大板块、降水分布、气温分布、气候分布、人口分布、表层洋流、陆地自然带、海平面等压线等内容；且支持三维、二维切换展示，方便地理学科教学。</w:t>
            </w:r>
          </w:p>
        </w:tc>
        <w:tc>
          <w:tcPr>
            <w:tcW w:w="1090" w:type="dxa"/>
            <w:tcBorders>
              <w:top w:val="single" w:color="auto" w:sz="4" w:space="0"/>
              <w:left w:val="single" w:color="auto" w:sz="4" w:space="0"/>
              <w:bottom w:val="single" w:color="auto" w:sz="4" w:space="0"/>
              <w:right w:val="single" w:color="auto" w:sz="4" w:space="0"/>
            </w:tcBorders>
            <w:vAlign w:val="center"/>
          </w:tcPr>
          <w:p w14:paraId="228DD89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18套</w:t>
            </w:r>
          </w:p>
        </w:tc>
      </w:tr>
      <w:tr w14:paraId="6BC59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143FB0F">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39</w:t>
            </w:r>
          </w:p>
        </w:tc>
        <w:tc>
          <w:tcPr>
            <w:tcW w:w="1017" w:type="dxa"/>
            <w:tcBorders>
              <w:top w:val="single" w:color="auto" w:sz="4" w:space="0"/>
              <w:left w:val="single" w:color="auto" w:sz="4" w:space="0"/>
              <w:bottom w:val="single" w:color="auto" w:sz="4" w:space="0"/>
              <w:right w:val="single" w:color="auto" w:sz="4" w:space="0"/>
            </w:tcBorders>
            <w:vAlign w:val="center"/>
          </w:tcPr>
          <w:p w14:paraId="112235FC">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互动平板一体机远程管理系统</w:t>
            </w:r>
          </w:p>
        </w:tc>
        <w:tc>
          <w:tcPr>
            <w:tcW w:w="7203" w:type="dxa"/>
            <w:tcBorders>
              <w:top w:val="single" w:color="auto" w:sz="4" w:space="0"/>
              <w:left w:val="single" w:color="auto" w:sz="4" w:space="0"/>
              <w:bottom w:val="single" w:color="auto" w:sz="4" w:space="0"/>
              <w:right w:val="single" w:color="auto" w:sz="4" w:space="0"/>
            </w:tcBorders>
          </w:tcPr>
          <w:p w14:paraId="5FF5F340">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详细参数：</w:t>
            </w:r>
          </w:p>
          <w:p w14:paraId="09941D04">
            <w:pPr>
              <w:widowControl/>
              <w:jc w:val="left"/>
              <w:textAlignment w:val="top"/>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（一）整体设计</w:t>
            </w:r>
          </w:p>
          <w:p w14:paraId="096A726F">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1.管理平台采用B/S混合云架构设计，无需本地额外部署服务器等设备，即可支持对教学信息化设备运行数据的监测。</w:t>
            </w:r>
          </w:p>
          <w:p w14:paraId="07969277">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2.支持在Windows、Linux、Android、IOS等多种操作系统通过网页浏览器登陆操作，提供多种智能身份识别方式：支持通过账号登录、手机扫码登录等方式。</w:t>
            </w:r>
          </w:p>
          <w:p w14:paraId="66D27406">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3.管理平台提供管理员移动管理平台，免安装并支持Android、IOS等多种移动操作系统，便于远程管理及告警信息通知。</w:t>
            </w:r>
          </w:p>
          <w:p w14:paraId="567267BF">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4.平台支持对全校智慧教室的教学信息化设备进行集中运维管理和策略部署。</w:t>
            </w:r>
          </w:p>
          <w:p w14:paraId="5043F9AA">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5.支持多设备接入，与交互智能教学设备、学生智能终端等教学设备对。</w:t>
            </w:r>
          </w:p>
          <w:p w14:paraId="6EC12132">
            <w:pPr>
              <w:widowControl/>
              <w:jc w:val="left"/>
              <w:textAlignment w:val="top"/>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（二）智能教学设备管理</w:t>
            </w:r>
          </w:p>
          <w:p w14:paraId="7F01A4CD">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1.管理平台为学校提供专属识别代码，可支持交互智能设备在广域网环境下，输入专属代码接入管理平台即可在通过管理平台可开启或关闭指定交互智能设备的任意磁盘分区数据还原（冰点）保护。</w:t>
            </w:r>
          </w:p>
          <w:p w14:paraId="302BBCF3">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管理平台实时监控已连接的交互智能设备状态，支持多台设备的略缩预览和单设备全屏查看；可远程监控交互智能设备开关机状态、CPU温度、CPU使用率、硬盘空间、硬盘已使用状况、内存容量、内存使用率、管理软件版本、设备ID。</w:t>
            </w:r>
          </w:p>
          <w:p w14:paraId="2D37DC44">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3.支持不少于10台设备的略缩预览。</w:t>
            </w:r>
          </w:p>
          <w:p w14:paraId="0F91278F">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4.管理平台可对局域网内的交互智能终端进行远程实时控制，能够监控设备当前运行界面，并远程对设备操作界面进行控制。</w:t>
            </w:r>
          </w:p>
          <w:p w14:paraId="413C72AE">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5.管理平台可控制连接广域网的交互智能设备整机关机、开机和重启；可批量设定智能设备开关机的执行时间，并支持自定义循环模式（循环操作、定时操作）。</w:t>
            </w:r>
          </w:p>
          <w:p w14:paraId="0BD2F16D">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6.管理平台可远程对选定的交互智能设备推送动态文字滚动公告，可对公告文字的颜色、粗体以及播放次数、推送时间进行设置。</w:t>
            </w:r>
          </w:p>
          <w:p w14:paraId="1FF5A89C">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7.管理平台可远程开启指定交互智能设备倒计日功能并设定倒计日截止日期。</w:t>
            </w:r>
          </w:p>
          <w:p w14:paraId="19A93AFC">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8.管理平台提供巡课值守模式，自动轮循显示所有的交互智能设备使用界面。</w:t>
            </w:r>
          </w:p>
          <w:p w14:paraId="401568F8">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9.管理平台实时显示交互智能设备异常的告警提示，并同步将异常信息推送至管理员移动端工作平台。</w:t>
            </w:r>
          </w:p>
          <w:p w14:paraId="28689358">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10.管理平台根据设备日常运行 状况综合生成设备健康值， 可查看设备健康值排名并进 行正序、反序排列。</w:t>
            </w:r>
          </w:p>
          <w:p w14:paraId="1D790959">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11.管理平台支持多路音视频直播，支持视频直播、桌面直播、桌面+视频直播等直播形式，直播过程中默认显示班级列表，点击查看班级摄像头，可以切换为各班级摄像头画面。</w:t>
            </w:r>
          </w:p>
          <w:p w14:paraId="7F69BC79">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12.管理平台支持后台锁定教室设备，用户可通过密码 在后台或者设备上进行解锁，支持即时锁定和多时间段锁定。</w:t>
            </w:r>
          </w:p>
          <w:p w14:paraId="14ED7EBF">
            <w:pPr>
              <w:widowControl/>
              <w:jc w:val="left"/>
              <w:textAlignment w:val="top"/>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（三）安全应用防护</w:t>
            </w:r>
          </w:p>
          <w:p w14:paraId="007A2B33">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管理平台可远程对运行状态下的交互智能设备批量进行本地系统启动盘的冻结、解冻（冰点保护）。冻结的设备重启后会自动还原到冻结前的状态，即本地系统启动盘的数据及系统更改会自动恢复至冻结前状态。</w:t>
            </w:r>
          </w:p>
          <w:p w14:paraId="2A673E4A">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管理平台可实时监控开启冰点保护设备数量、安装冰点保护设备数量、磁盘冰冻状态等，并提示冰点风险，方便用户管理一体机系统环境管理平台可开启或关闭指定交互智能设备的任意磁盘分区数据还原（冰点）保护。</w:t>
            </w:r>
          </w:p>
          <w:p w14:paraId="14947B5B">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3.管理平台可随时查看所有弹窗拦截的设备数和历史拦截的条数。</w:t>
            </w:r>
          </w:p>
          <w:p w14:paraId="0B417686">
            <w:pPr>
              <w:widowControl/>
              <w:jc w:val="left"/>
              <w:textAlignment w:val="top"/>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4.管理平台可开启或关闭全校所有设备的弹窗拦截功能。</w:t>
            </w:r>
          </w:p>
          <w:p w14:paraId="5716D144">
            <w:pPr>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sz w:val="24"/>
              </w:rPr>
              <w:t>5.管理平台可远程批量拦截弹窗，适用于所有关联本学校的交互智能设备。</w:t>
            </w:r>
          </w:p>
        </w:tc>
        <w:tc>
          <w:tcPr>
            <w:tcW w:w="1090" w:type="dxa"/>
            <w:tcBorders>
              <w:top w:val="single" w:color="auto" w:sz="4" w:space="0"/>
              <w:left w:val="single" w:color="auto" w:sz="4" w:space="0"/>
              <w:bottom w:val="single" w:color="auto" w:sz="4" w:space="0"/>
              <w:right w:val="single" w:color="auto" w:sz="4" w:space="0"/>
            </w:tcBorders>
            <w:vAlign w:val="center"/>
          </w:tcPr>
          <w:p w14:paraId="4FE4A86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181套</w:t>
            </w:r>
          </w:p>
        </w:tc>
      </w:tr>
      <w:tr w14:paraId="56AC4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F1D724D">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40</w:t>
            </w:r>
          </w:p>
        </w:tc>
        <w:tc>
          <w:tcPr>
            <w:tcW w:w="1017" w:type="dxa"/>
            <w:tcBorders>
              <w:top w:val="single" w:color="auto" w:sz="4" w:space="0"/>
              <w:left w:val="single" w:color="auto" w:sz="4" w:space="0"/>
              <w:bottom w:val="single" w:color="auto" w:sz="4" w:space="0"/>
              <w:right w:val="single" w:color="auto" w:sz="4" w:space="0"/>
            </w:tcBorders>
            <w:vAlign w:val="center"/>
          </w:tcPr>
          <w:p w14:paraId="187D9C6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壁挂视频展台</w:t>
            </w:r>
          </w:p>
        </w:tc>
        <w:tc>
          <w:tcPr>
            <w:tcW w:w="7203" w:type="dxa"/>
            <w:tcBorders>
              <w:top w:val="single" w:color="auto" w:sz="4" w:space="0"/>
              <w:left w:val="single" w:color="auto" w:sz="4" w:space="0"/>
              <w:bottom w:val="single" w:color="auto" w:sz="4" w:space="0"/>
              <w:right w:val="single" w:color="auto" w:sz="4" w:space="0"/>
            </w:tcBorders>
            <w:vAlign w:val="center"/>
          </w:tcPr>
          <w:p w14:paraId="1D189A2E">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详细参数：</w:t>
            </w:r>
          </w:p>
          <w:p w14:paraId="03044832">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1.采用≥800万像素摄像头；采用USB五伏电源直接供电，无需额外配置电源适配器，环保无辐射；箱内USB连线采用隐藏式设计。</w:t>
            </w:r>
          </w:p>
          <w:p w14:paraId="633CDFC3">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2.A4大小拍摄幅面，1080P动态视频预览达到30帧/秒或720P动态视频预览达到25帧/秒；托板及挂墙部分采用金属加强，托板可承重3kg，整机壁挂式安装。</w:t>
            </w:r>
          </w:p>
          <w:p w14:paraId="1C89FCFB">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3.支持展台成像画面批注功能，预设多种笔画粗细及颜色供选择，且支持对展台成像画面连同批注内容进行同步缩放、移动。</w:t>
            </w:r>
          </w:p>
          <w:p w14:paraId="0C212FC4">
            <w:pPr>
              <w:widowControl/>
              <w:jc w:val="left"/>
              <w:rPr>
                <w:rFonts w:hint="eastAsia" w:ascii="仿宋_GB2312" w:hAnsi="仿宋_GB2312" w:eastAsia="仿宋_GB2312" w:cs="仿宋_GB2312"/>
                <w:sz w:val="24"/>
              </w:rPr>
            </w:pPr>
            <w:r>
              <w:rPr>
                <w:rFonts w:hint="eastAsia" w:ascii="仿宋_GB2312" w:hAnsi="仿宋_GB2312" w:eastAsia="仿宋_GB2312" w:cs="仿宋_GB2312"/>
                <w:sz w:val="24"/>
              </w:rPr>
              <w:t>4.展示托板正上方具备LED补光灯，保证展示区域的亮度及展示效果，补光灯开关采用触摸按键设计，同时可通过交互智能平板中的软件直接控制开关；带自动对焦摄像头。</w:t>
            </w:r>
          </w:p>
          <w:p w14:paraId="68AA0B3F">
            <w:pPr>
              <w:jc w:val="left"/>
              <w:rPr>
                <w:rFonts w:hint="eastAsia" w:ascii="仿宋_GB2312" w:hAnsi="仿宋_GB2312" w:eastAsia="仿宋_GB2312" w:cs="仿宋_GB2312"/>
                <w:color w:val="000000"/>
                <w:sz w:val="24"/>
              </w:rPr>
            </w:pPr>
            <w:r>
              <w:rPr>
                <w:rFonts w:hint="eastAsia" w:ascii="仿宋_GB2312" w:hAnsi="仿宋_GB2312" w:eastAsia="仿宋_GB2312" w:cs="仿宋_GB2312"/>
                <w:sz w:val="24"/>
              </w:rPr>
              <w:t>5.具有故障自动检测功能：在调用展台却无法出现镜头采集画面信号时，可自动出现检测链接，并给出导致原因。</w:t>
            </w:r>
          </w:p>
        </w:tc>
        <w:tc>
          <w:tcPr>
            <w:tcW w:w="1090" w:type="dxa"/>
            <w:tcBorders>
              <w:top w:val="single" w:color="auto" w:sz="4" w:space="0"/>
              <w:left w:val="single" w:color="auto" w:sz="4" w:space="0"/>
              <w:bottom w:val="single" w:color="auto" w:sz="4" w:space="0"/>
              <w:right w:val="single" w:color="auto" w:sz="4" w:space="0"/>
            </w:tcBorders>
            <w:vAlign w:val="center"/>
          </w:tcPr>
          <w:p w14:paraId="1977A29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11台</w:t>
            </w:r>
          </w:p>
        </w:tc>
      </w:tr>
      <w:tr w14:paraId="6D939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D9D48F9">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41</w:t>
            </w:r>
          </w:p>
        </w:tc>
        <w:tc>
          <w:tcPr>
            <w:tcW w:w="1017" w:type="dxa"/>
            <w:tcBorders>
              <w:top w:val="single" w:color="auto" w:sz="4" w:space="0"/>
              <w:left w:val="single" w:color="auto" w:sz="4" w:space="0"/>
              <w:bottom w:val="single" w:color="auto" w:sz="4" w:space="0"/>
              <w:right w:val="single" w:color="auto" w:sz="4" w:space="0"/>
            </w:tcBorders>
            <w:vAlign w:val="center"/>
          </w:tcPr>
          <w:p w14:paraId="70EAAAAB">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变轨无尘书写板</w:t>
            </w:r>
          </w:p>
        </w:tc>
        <w:tc>
          <w:tcPr>
            <w:tcW w:w="7203" w:type="dxa"/>
            <w:tcBorders>
              <w:top w:val="single" w:color="auto" w:sz="4" w:space="0"/>
              <w:left w:val="single" w:color="auto" w:sz="4" w:space="0"/>
              <w:bottom w:val="single" w:color="auto" w:sz="4" w:space="0"/>
              <w:right w:val="single" w:color="auto" w:sz="4" w:space="0"/>
            </w:tcBorders>
            <w:vAlign w:val="center"/>
          </w:tcPr>
          <w:p w14:paraId="7DE8B48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0395866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1.结构：由两块滑动板、两块固定板、一套外框组成，当滑动板闭合时，可自动向内变轨至与固定板平齐。闭合后，滑动板应与固定板处在同一平面。</w:t>
            </w:r>
          </w:p>
          <w:p w14:paraId="15558BC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2.参考尺寸：≥长4300mm*宽1350mm，高度可根据所配电子产品适当调整，确保与电子产品的有效配套。</w:t>
            </w:r>
          </w:p>
          <w:p w14:paraId="0AED789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3.内板：正面左右两侧无边框设计，上下边框正面高度≤15mm。</w:t>
            </w:r>
          </w:p>
          <w:p w14:paraId="6C6A36C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4.板面：采用金属烤漆书写板面，哑光、墨绿色，光泽度≤12光泽单位，可吸附磁钉、磁片，便于教学。</w:t>
            </w:r>
          </w:p>
          <w:p w14:paraId="0AF58CB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5.边框：采用高强度银白色铝合金型材，横框规格≥宽45×高100mm，立框规格≥宽35mm×高135mm。立框隐藏于固定板后部。边框具有良好的耐磨性及耐腐蚀性。</w:t>
            </w:r>
          </w:p>
          <w:p w14:paraId="3DCEDC5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6.覆板：覆板粘贴牢固、板面平整无起鼓等现象，甲醛释放量≤0.2mg/L。</w:t>
            </w:r>
          </w:p>
          <w:p w14:paraId="4F68549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7.滑轮：采用高精度轴承滑轮，上下各4组。</w:t>
            </w:r>
          </w:p>
          <w:p w14:paraId="3D70A8A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8.置物：下侧设有置物空间，可放置粉笔、教鞭等。置物空间后部及左右两侧有封堵，避免物品掉落。其下侧面向学生侧有避免物品从前端滚落的凸起。</w:t>
            </w:r>
          </w:p>
          <w:p w14:paraId="57B8342B">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9.拉手：拉手位置在安装完毕后，仍可由用户在水平方向调整，确保舒适。</w:t>
            </w:r>
          </w:p>
        </w:tc>
        <w:tc>
          <w:tcPr>
            <w:tcW w:w="1090" w:type="dxa"/>
            <w:tcBorders>
              <w:top w:val="single" w:color="auto" w:sz="4" w:space="0"/>
              <w:left w:val="single" w:color="auto" w:sz="4" w:space="0"/>
              <w:bottom w:val="single" w:color="auto" w:sz="4" w:space="0"/>
              <w:right w:val="single" w:color="auto" w:sz="4" w:space="0"/>
            </w:tcBorders>
            <w:vAlign w:val="center"/>
          </w:tcPr>
          <w:p w14:paraId="401D797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11套</w:t>
            </w:r>
          </w:p>
        </w:tc>
      </w:tr>
      <w:tr w14:paraId="6BD19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D27B68A">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42</w:t>
            </w:r>
          </w:p>
        </w:tc>
        <w:tc>
          <w:tcPr>
            <w:tcW w:w="1017" w:type="dxa"/>
            <w:tcBorders>
              <w:top w:val="single" w:color="auto" w:sz="4" w:space="0"/>
              <w:left w:val="single" w:color="auto" w:sz="4" w:space="0"/>
              <w:bottom w:val="single" w:color="auto" w:sz="4" w:space="0"/>
              <w:right w:val="single" w:color="auto" w:sz="4" w:space="0"/>
            </w:tcBorders>
            <w:vAlign w:val="center"/>
          </w:tcPr>
          <w:p w14:paraId="62FD1A2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有源音箱</w:t>
            </w:r>
          </w:p>
        </w:tc>
        <w:tc>
          <w:tcPr>
            <w:tcW w:w="7203" w:type="dxa"/>
            <w:tcBorders>
              <w:top w:val="single" w:color="auto" w:sz="4" w:space="0"/>
              <w:left w:val="single" w:color="auto" w:sz="4" w:space="0"/>
              <w:bottom w:val="single" w:color="auto" w:sz="4" w:space="0"/>
              <w:right w:val="single" w:color="auto" w:sz="4" w:space="0"/>
            </w:tcBorders>
            <w:vAlign w:val="center"/>
          </w:tcPr>
          <w:p w14:paraId="7EFDC4C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09A8A17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1.额定输出功率：≥2*15W有源音箱一对。</w:t>
            </w:r>
          </w:p>
          <w:p w14:paraId="27B34D8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2.支持扩音和输入音源叠加输出。</w:t>
            </w:r>
          </w:p>
          <w:p w14:paraId="7CB9D9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3.端口：电源*1个，Line in*1个，Line out*1个。</w:t>
            </w:r>
          </w:p>
          <w:p w14:paraId="5A67D693">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4.支持专业无线麦克风接收技术数字U段无线麦克风扩音接收，有效避开wifi干扰。</w:t>
            </w:r>
          </w:p>
        </w:tc>
        <w:tc>
          <w:tcPr>
            <w:tcW w:w="1090" w:type="dxa"/>
            <w:tcBorders>
              <w:top w:val="single" w:color="auto" w:sz="4" w:space="0"/>
              <w:left w:val="single" w:color="auto" w:sz="4" w:space="0"/>
              <w:bottom w:val="single" w:color="auto" w:sz="4" w:space="0"/>
              <w:right w:val="single" w:color="auto" w:sz="4" w:space="0"/>
            </w:tcBorders>
            <w:vAlign w:val="center"/>
          </w:tcPr>
          <w:p w14:paraId="404F751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11对</w:t>
            </w:r>
          </w:p>
        </w:tc>
      </w:tr>
      <w:tr w14:paraId="6B10C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1964F8DE">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43</w:t>
            </w:r>
          </w:p>
        </w:tc>
        <w:tc>
          <w:tcPr>
            <w:tcW w:w="1017" w:type="dxa"/>
            <w:tcBorders>
              <w:top w:val="single" w:color="auto" w:sz="4" w:space="0"/>
              <w:left w:val="single" w:color="auto" w:sz="4" w:space="0"/>
              <w:bottom w:val="single" w:color="auto" w:sz="4" w:space="0"/>
              <w:right w:val="single" w:color="auto" w:sz="4" w:space="0"/>
            </w:tcBorders>
            <w:vAlign w:val="center"/>
          </w:tcPr>
          <w:p w14:paraId="3C6CFDA1">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延保服务</w:t>
            </w:r>
          </w:p>
        </w:tc>
        <w:tc>
          <w:tcPr>
            <w:tcW w:w="7203" w:type="dxa"/>
            <w:tcBorders>
              <w:top w:val="single" w:color="auto" w:sz="4" w:space="0"/>
              <w:left w:val="single" w:color="auto" w:sz="4" w:space="0"/>
              <w:bottom w:val="single" w:color="auto" w:sz="4" w:space="0"/>
              <w:right w:val="single" w:color="auto" w:sz="4" w:space="0"/>
            </w:tcBorders>
            <w:vAlign w:val="center"/>
          </w:tcPr>
          <w:p w14:paraId="6214BB8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78568306">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互动平板一体机在原厂三年质保基础上，延长三年原厂质保服务。</w:t>
            </w:r>
          </w:p>
        </w:tc>
        <w:tc>
          <w:tcPr>
            <w:tcW w:w="1090" w:type="dxa"/>
            <w:tcBorders>
              <w:top w:val="single" w:color="auto" w:sz="4" w:space="0"/>
              <w:left w:val="single" w:color="auto" w:sz="4" w:space="0"/>
              <w:bottom w:val="single" w:color="auto" w:sz="4" w:space="0"/>
              <w:right w:val="single" w:color="auto" w:sz="4" w:space="0"/>
            </w:tcBorders>
            <w:vAlign w:val="center"/>
          </w:tcPr>
          <w:p w14:paraId="60AE261E">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11套</w:t>
            </w:r>
          </w:p>
        </w:tc>
      </w:tr>
      <w:tr w14:paraId="01CE6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CF8C98B">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44</w:t>
            </w:r>
          </w:p>
        </w:tc>
        <w:tc>
          <w:tcPr>
            <w:tcW w:w="1017" w:type="dxa"/>
            <w:tcBorders>
              <w:top w:val="single" w:color="auto" w:sz="4" w:space="0"/>
              <w:left w:val="single" w:color="auto" w:sz="4" w:space="0"/>
              <w:bottom w:val="single" w:color="auto" w:sz="4" w:space="0"/>
              <w:right w:val="single" w:color="auto" w:sz="4" w:space="0"/>
            </w:tcBorders>
            <w:vAlign w:val="center"/>
          </w:tcPr>
          <w:p w14:paraId="5351225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辅助材料及施工等</w:t>
            </w:r>
          </w:p>
        </w:tc>
        <w:tc>
          <w:tcPr>
            <w:tcW w:w="7203" w:type="dxa"/>
            <w:tcBorders>
              <w:top w:val="single" w:color="auto" w:sz="4" w:space="0"/>
              <w:left w:val="single" w:color="auto" w:sz="4" w:space="0"/>
              <w:bottom w:val="single" w:color="auto" w:sz="4" w:space="0"/>
              <w:right w:val="single" w:color="auto" w:sz="4" w:space="0"/>
            </w:tcBorders>
            <w:vAlign w:val="center"/>
          </w:tcPr>
          <w:p w14:paraId="5D1D0A0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57C727AD">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含符合国家标准的电源线、网线、电源排插、双位空开、弧形钢制或工程PVC走线槽等配件（配件及安装费用包含在预算价中），施工、安装、调试完成后，进行培训。</w:t>
            </w:r>
          </w:p>
        </w:tc>
        <w:tc>
          <w:tcPr>
            <w:tcW w:w="1090" w:type="dxa"/>
            <w:tcBorders>
              <w:top w:val="single" w:color="auto" w:sz="4" w:space="0"/>
              <w:left w:val="single" w:color="auto" w:sz="4" w:space="0"/>
              <w:bottom w:val="single" w:color="auto" w:sz="4" w:space="0"/>
              <w:right w:val="single" w:color="auto" w:sz="4" w:space="0"/>
            </w:tcBorders>
            <w:vAlign w:val="center"/>
          </w:tcPr>
          <w:p w14:paraId="344D424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11项</w:t>
            </w:r>
          </w:p>
        </w:tc>
      </w:tr>
      <w:tr w14:paraId="1B5B1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7A8619F">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45</w:t>
            </w:r>
          </w:p>
        </w:tc>
        <w:tc>
          <w:tcPr>
            <w:tcW w:w="1017" w:type="dxa"/>
            <w:tcBorders>
              <w:top w:val="single" w:color="auto" w:sz="4" w:space="0"/>
              <w:left w:val="single" w:color="auto" w:sz="4" w:space="0"/>
              <w:bottom w:val="single" w:color="auto" w:sz="4" w:space="0"/>
              <w:right w:val="single" w:color="auto" w:sz="4" w:space="0"/>
            </w:tcBorders>
            <w:vAlign w:val="center"/>
          </w:tcPr>
          <w:p w14:paraId="644193C5">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移动支架</w:t>
            </w:r>
          </w:p>
        </w:tc>
        <w:tc>
          <w:tcPr>
            <w:tcW w:w="7203" w:type="dxa"/>
            <w:tcBorders>
              <w:top w:val="single" w:color="auto" w:sz="4" w:space="0"/>
              <w:left w:val="single" w:color="auto" w:sz="4" w:space="0"/>
              <w:bottom w:val="single" w:color="auto" w:sz="4" w:space="0"/>
              <w:right w:val="single" w:color="auto" w:sz="4" w:space="0"/>
            </w:tcBorders>
            <w:vAlign w:val="center"/>
          </w:tcPr>
          <w:p w14:paraId="7E363E5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2A7D5D5E">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钢结构，可以适合65寸到86寸一体机，带轮自由移动。</w:t>
            </w:r>
          </w:p>
        </w:tc>
        <w:tc>
          <w:tcPr>
            <w:tcW w:w="1090" w:type="dxa"/>
            <w:tcBorders>
              <w:top w:val="single" w:color="auto" w:sz="4" w:space="0"/>
              <w:left w:val="single" w:color="auto" w:sz="4" w:space="0"/>
              <w:bottom w:val="single" w:color="auto" w:sz="4" w:space="0"/>
              <w:right w:val="single" w:color="auto" w:sz="4" w:space="0"/>
            </w:tcBorders>
            <w:vAlign w:val="center"/>
          </w:tcPr>
          <w:p w14:paraId="4FA8F50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3套</w:t>
            </w:r>
          </w:p>
        </w:tc>
      </w:tr>
      <w:tr w14:paraId="069C4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B3F15A0">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46</w:t>
            </w:r>
          </w:p>
        </w:tc>
        <w:tc>
          <w:tcPr>
            <w:tcW w:w="1017" w:type="dxa"/>
            <w:tcBorders>
              <w:top w:val="single" w:color="auto" w:sz="4" w:space="0"/>
              <w:left w:val="single" w:color="auto" w:sz="4" w:space="0"/>
              <w:bottom w:val="single" w:color="auto" w:sz="4" w:space="0"/>
              <w:right w:val="single" w:color="auto" w:sz="4" w:space="0"/>
            </w:tcBorders>
            <w:vAlign w:val="center"/>
          </w:tcPr>
          <w:p w14:paraId="6718F6B5">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AI分析系统</w:t>
            </w:r>
          </w:p>
        </w:tc>
        <w:tc>
          <w:tcPr>
            <w:tcW w:w="7203" w:type="dxa"/>
            <w:tcBorders>
              <w:top w:val="single" w:color="auto" w:sz="4" w:space="0"/>
              <w:left w:val="single" w:color="auto" w:sz="4" w:space="0"/>
              <w:bottom w:val="single" w:color="auto" w:sz="4" w:space="0"/>
              <w:right w:val="single" w:color="auto" w:sz="4" w:space="0"/>
            </w:tcBorders>
            <w:vAlign w:val="center"/>
          </w:tcPr>
          <w:p w14:paraId="7069DE8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4DCE1F6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1.整机最大外形尺寸≤宽260 mm*高289mm*深47mm；</w:t>
            </w:r>
          </w:p>
          <w:p w14:paraId="7A75147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2.整机正面采用铝合金外壳设计，外部无任何可见的内部功能模块连接线；采用顶部出线，出线接口使用线槽屏蔽盖；</w:t>
            </w:r>
          </w:p>
          <w:p w14:paraId="17ABF8A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3.整机采用一体设计，产品边缘采用圆角包边防护；背板采用金属材质，有效屏蔽内部电路器件辐射；</w:t>
            </w:r>
          </w:p>
          <w:p w14:paraId="606962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4.整机壁挂式固定方式，挂壁后使用螺丝进行锁紧固定，避免模块脱落；</w:t>
            </w:r>
          </w:p>
          <w:p w14:paraId="4A683CC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整机接口非外接拓展，不少于2路千兆以太网交换接口，一路连接外网（学校网络），一路连接多媒体教学设备（一体机/智慧黑板）；不少于3路支持PoE功能的千兆以太网接口，支持级联PoE功能的网络摄像机和阵列麦克风；不少于1路MicroSD卡接口，支持通过MicroSD卡升级整机系统软件；不少于1路Type-C 接口，支持调试和控制功能；</w:t>
            </w:r>
          </w:p>
          <w:p w14:paraId="18E7FE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6.整机支持红绿双色工作状态LED指示灯；绿色常亮表示正常工作；红色常亮代表故障；红色闪烁代表系统处于升级过程；</w:t>
            </w:r>
          </w:p>
          <w:p w14:paraId="44A8F34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7.整机底部支持独立按键；在休眠模式下，短按唤醒算力模块；在任何情况下长按底部按键5秒以上，系统重启；</w:t>
            </w:r>
          </w:p>
          <w:p w14:paraId="6AC0898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8.整机内置网卡，支持不少于2路网口连接以太网，实现有线上网功能；</w:t>
            </w:r>
          </w:p>
          <w:p w14:paraId="5207741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9.整机内置独立千兆网络交换机，满足外接的多媒体教学设备（一体机/智慧黑板），实现与AI算力模块单元之间通信；</w:t>
            </w:r>
          </w:p>
          <w:p w14:paraId="3D16528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10.整机处理器内核不低于8核A53内核芯片，主频≥2.3GHz；</w:t>
            </w:r>
          </w:p>
          <w:p w14:paraId="67A1BD4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11.整机系统支持不低于linux 5.4，采用LPDDR4内存，内存容量大于等于16GB；采用SSD存储，支持TCG-OPAL 2.0硬件加密功能，存储容量大于等于256GB；</w:t>
            </w:r>
          </w:p>
          <w:p w14:paraId="5CC1430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12.整机采用AI算力芯片，峰值算力不低于32TOPS@INT8峰值算力，支持H.264&amp;H.265解码格式，解码能力支持32x1080P@25fps，8x4K@25fps，不低于8K ；编码能力不低于12x1080P@25fps, 不低于3x4K@25fps，不低于8K。支持JPEG图片编解码：1080P@600fps，不低于32768*32768；</w:t>
            </w:r>
          </w:p>
          <w:p w14:paraId="65B913B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13.整机存储器支持TCG-OPAL 2.0硬件加密功能，既不影响硬盘读写性能又保障用户数据安全，每一块存储器密钥均根据特定算法生成，和设备一一绑定；</w:t>
            </w:r>
          </w:p>
          <w:p w14:paraId="2A2A43F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14.整机支持通过web管理后台实现定时开关机、远程关机功能、查看设备在线状态；</w:t>
            </w:r>
          </w:p>
          <w:p w14:paraId="6BD2A81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15.支持云端在线系统固件升级；</w:t>
            </w:r>
          </w:p>
          <w:p w14:paraId="789F0C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16.整机处于无任务并无人操作状态下，5分钟后自动进入低功耗模式；</w:t>
            </w:r>
          </w:p>
          <w:p w14:paraId="43C2BFC4">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17.支持AC220V独立供电，功耗≤80W；</w:t>
            </w:r>
          </w:p>
        </w:tc>
        <w:tc>
          <w:tcPr>
            <w:tcW w:w="1090" w:type="dxa"/>
            <w:tcBorders>
              <w:top w:val="single" w:color="auto" w:sz="4" w:space="0"/>
              <w:left w:val="single" w:color="auto" w:sz="4" w:space="0"/>
              <w:bottom w:val="single" w:color="auto" w:sz="4" w:space="0"/>
              <w:right w:val="single" w:color="auto" w:sz="4" w:space="0"/>
            </w:tcBorders>
            <w:vAlign w:val="center"/>
          </w:tcPr>
          <w:p w14:paraId="2D86BD3B">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12套</w:t>
            </w:r>
          </w:p>
        </w:tc>
      </w:tr>
      <w:tr w14:paraId="6E32F9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4EA3DE5">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47</w:t>
            </w:r>
          </w:p>
        </w:tc>
        <w:tc>
          <w:tcPr>
            <w:tcW w:w="1017" w:type="dxa"/>
            <w:tcBorders>
              <w:top w:val="single" w:color="auto" w:sz="4" w:space="0"/>
              <w:left w:val="single" w:color="auto" w:sz="4" w:space="0"/>
              <w:bottom w:val="single" w:color="auto" w:sz="4" w:space="0"/>
              <w:right w:val="single" w:color="auto" w:sz="4" w:space="0"/>
            </w:tcBorders>
            <w:vAlign w:val="center"/>
          </w:tcPr>
          <w:p w14:paraId="42A6D870">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8K多目学生观察摄像机</w:t>
            </w:r>
          </w:p>
        </w:tc>
        <w:tc>
          <w:tcPr>
            <w:tcW w:w="7203" w:type="dxa"/>
            <w:tcBorders>
              <w:top w:val="single" w:color="auto" w:sz="4" w:space="0"/>
              <w:left w:val="single" w:color="auto" w:sz="4" w:space="0"/>
              <w:bottom w:val="single" w:color="auto" w:sz="4" w:space="0"/>
              <w:right w:val="single" w:color="auto" w:sz="4" w:space="0"/>
            </w:tcBorders>
            <w:vAlign w:val="center"/>
          </w:tcPr>
          <w:p w14:paraId="05C74723">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详细参数：</w:t>
            </w:r>
          </w:p>
          <w:p w14:paraId="644115E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1.整机采用一体化设计，内置不少于四个摄像头和8阵列麦克风，支持PoE和DC12V直流供电；</w:t>
            </w:r>
          </w:p>
          <w:p w14:paraId="3F6892A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2.整机具备不少于2路RJ45接口；不少于1路3.5mm audio in 音频输入接口；不少于1路Type-C接口；不少于1路DC12V电源输入接口；</w:t>
            </w:r>
          </w:p>
          <w:p w14:paraId="2D61479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3.整机RJ45接口支持PoE功能，≥2级PoE功能阵列麦克风级联；3.5mm Audio in音频输入接口，支持对远端音频信号与本地音频进行混音，以消除混响；Type-C接口支持整机功能调试，可查看整机工作状态和系统配置；电源输入接口支持12V直流输入；</w:t>
            </w:r>
          </w:p>
          <w:p w14:paraId="6DF029F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4.整机具有≥2个工作状态LED指示灯，可分别指示音频系统工作状态指示和视频系统工作状态指示；</w:t>
            </w:r>
          </w:p>
          <w:p w14:paraId="59E2693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5.产品内置专属的不低于4核音频CPU处理器，配置独立不低于64MB系统内存，不低于256MB存储空间；支持不低于8路麦克风数据处理，采样率不低于192k，AAC编码码率不低于480kbps；</w:t>
            </w:r>
          </w:p>
          <w:p w14:paraId="3D6D8D1B">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整机内置独立音频CPU处理器，采集音频拆分2路信号，一路用于课堂回放音频，一路用于AI语音分析；支持音频3A算法（自动增益控制（AGC）、自动抑制噪声（ANC）、自动回声消除（AEC）），提升麦克风拾音效果；</w:t>
            </w:r>
          </w:p>
          <w:p w14:paraId="0A95547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7.整机内置8阵列麦克风，拾音角度≥180°，可用于对教室环境音频进行采集，拾音距离≥12m时，信噪比不低于15dB；</w:t>
            </w:r>
          </w:p>
          <w:p w14:paraId="3785DD0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8.产品内置采用不低于4核视频处理器，操作系统版本linux 5.1及以上操作系统，≥1GB系统内存、≥8GB存储空间；</w:t>
            </w:r>
          </w:p>
          <w:p w14:paraId="05AFFFF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9.产品支持MJPG、H.264视频编码格式，支持输出1080p、4k、8k分辨率画面；</w:t>
            </w:r>
          </w:p>
          <w:p w14:paraId="4E2F5448">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10.整机内置非独立式摄像头，采用一体化集成设计，摄像头数量≥4个；像素值均不低于800万； 均支持3D降噪算法和数字宽动态范围成像WDR 技术，支持输出 MJPG、 H.264 视频格式；</w:t>
            </w:r>
          </w:p>
          <w:p w14:paraId="0B99E6D5">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11.整机内置1路独立式广角高清摄像头，视场角≥151度且水平视场角≥135度，支持输出4:3、16:9比例的图片和视频；支持1920 x 1080，3840x 2160分辨率输出；在清晰度为3840x2160分辨率下，支持30帧的视频输出；</w:t>
            </w:r>
          </w:p>
          <w:p w14:paraId="040FBF23">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12.整机内置非独立式≥3个智能拼接摄像头，支持清晰度TV lines ≥1600 lines；整机内置的智能拼接摄像头，视场角≥141度且水平视场角≥139度，可拍摄≥1600万像素的照片，支持输出8192×2048分辨率的照片和视频，支持画面畸变矫正功能；</w:t>
            </w:r>
          </w:p>
          <w:p w14:paraId="691A5A2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13.整机内置非独立的广角高清摄像头，在距离整机 1.7 米情况下， 且拍摄范围可以覆盖摄像头垂直法线左右距离大于等于 4 米，可以实现人脸识别；</w:t>
            </w:r>
          </w:p>
          <w:p w14:paraId="5252876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14.整机支持距离摄像头位置≥10米距离的AI识别人脸；</w:t>
            </w:r>
          </w:p>
          <w:p w14:paraId="7686BDF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15.整机内置非独立摄像头模组，同时输出至少3路视频流，同时支持课堂远程巡课、课堂教学数据采集、本地画面预览（拍照或视频录制）；</w:t>
            </w:r>
          </w:p>
          <w:p w14:paraId="4A5CFFD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16.整机通过一根网线可实现供电、网络传输及图像传输；</w:t>
            </w:r>
          </w:p>
          <w:p w14:paraId="14DA592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17.设备支持复位按键，支持通过物理按键复位及重启；</w:t>
            </w:r>
          </w:p>
          <w:p w14:paraId="4D65BAE8">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18.整机内置网卡，无需外接网络连接设备，连接网线至PoE in或PoE out接口均可实现联网功能；</w:t>
            </w:r>
          </w:p>
          <w:p w14:paraId="2C08337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19.当产品处于无拉流状态时，5分钟后整机自动进入低功耗模式；</w:t>
            </w:r>
          </w:p>
          <w:p w14:paraId="422FD6D5">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20.支持云端在线系统固件升级；</w:t>
            </w:r>
          </w:p>
          <w:p w14:paraId="27EB9A8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21.产品支持≥2种供电方式，PoE和DC12V供电方式；</w:t>
            </w:r>
          </w:p>
          <w:p w14:paraId="66214ED0">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22.产品整机支持POE供电，其中一路为POE IN，另一路为POE OUT，支持给外部POE设备供电。</w:t>
            </w:r>
          </w:p>
        </w:tc>
        <w:tc>
          <w:tcPr>
            <w:tcW w:w="1090" w:type="dxa"/>
            <w:tcBorders>
              <w:top w:val="single" w:color="auto" w:sz="4" w:space="0"/>
              <w:left w:val="single" w:color="auto" w:sz="4" w:space="0"/>
              <w:bottom w:val="single" w:color="auto" w:sz="4" w:space="0"/>
              <w:right w:val="single" w:color="auto" w:sz="4" w:space="0"/>
            </w:tcBorders>
            <w:vAlign w:val="center"/>
          </w:tcPr>
          <w:p w14:paraId="487F3A78">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12套</w:t>
            </w:r>
          </w:p>
        </w:tc>
      </w:tr>
      <w:tr w14:paraId="11522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965960F">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48</w:t>
            </w:r>
          </w:p>
        </w:tc>
        <w:tc>
          <w:tcPr>
            <w:tcW w:w="1017" w:type="dxa"/>
            <w:tcBorders>
              <w:top w:val="single" w:color="auto" w:sz="4" w:space="0"/>
              <w:left w:val="single" w:color="auto" w:sz="4" w:space="0"/>
              <w:bottom w:val="single" w:color="auto" w:sz="4" w:space="0"/>
              <w:right w:val="single" w:color="auto" w:sz="4" w:space="0"/>
            </w:tcBorders>
            <w:vAlign w:val="center"/>
          </w:tcPr>
          <w:p w14:paraId="00110C24">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4K教学观察机</w:t>
            </w:r>
          </w:p>
        </w:tc>
        <w:tc>
          <w:tcPr>
            <w:tcW w:w="7203" w:type="dxa"/>
            <w:tcBorders>
              <w:top w:val="single" w:color="auto" w:sz="4" w:space="0"/>
              <w:left w:val="single" w:color="auto" w:sz="4" w:space="0"/>
              <w:bottom w:val="single" w:color="auto" w:sz="4" w:space="0"/>
              <w:right w:val="single" w:color="auto" w:sz="4" w:space="0"/>
            </w:tcBorders>
            <w:vAlign w:val="center"/>
          </w:tcPr>
          <w:p w14:paraId="7F62B67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详细参数：</w:t>
            </w:r>
          </w:p>
          <w:p w14:paraId="18B8112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1.产品采用一体化设计，内置4k摄像头和麦克风。</w:t>
            </w:r>
          </w:p>
          <w:p w14:paraId="724E1B5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2.产品摄像头水平视场角≥40°，对角线视场角≥45°；</w:t>
            </w:r>
          </w:p>
          <w:p w14:paraId="446F5B3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3.产品摄像头传感器有效像素≥800万 。</w:t>
            </w:r>
          </w:p>
          <w:p w14:paraId="1D9022D8">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4.产品摄像头支持4K超高清影像输出。</w:t>
            </w:r>
          </w:p>
          <w:p w14:paraId="0C35737D">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5.可提供3840×2160图像编码输出，同时向下兼容1920×1080、1280×720分辨率；</w:t>
            </w:r>
          </w:p>
          <w:p w14:paraId="33EF241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6.产品可同时提供3路编码输出，1路支持1920x1080分辨率的课堂实录画面，帧率可设置25fps、30fps；1路支持3840x2160分辨率；1路1920x1080分辨率板书画面，菜单设置帧率可选10/5/3/1 帧；</w:t>
            </w:r>
          </w:p>
          <w:p w14:paraId="3375DED3">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7.产品内置视频处理器采用四核处理器，linux 5.1及以上操作系统，≥512MB系统内存、≥128MB存储空间。</w:t>
            </w:r>
          </w:p>
          <w:p w14:paraId="606A87D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8.在无需连接外网情况下，产品支持老师在教学过程书写的板书内容和老师遮挡分层处理，输出视频中老师身体遮挡板书内容实现透视可见，实现教学过程板书可视化。</w:t>
            </w:r>
          </w:p>
          <w:p w14:paraId="653BF3D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9.产品支持板书采集视频画面分割，支持识别≥4个书写板，同时输出1张整体黑板图片；</w:t>
            </w:r>
          </w:p>
          <w:p w14:paraId="4EFE7FB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10.在无需连接外网情况下，产品支持老师在副屏位置书写板书的图像识别，可对画面内板书内容和人物进行分层； 支持人物的隐藏和透明度调整设置；</w:t>
            </w:r>
          </w:p>
          <w:p w14:paraId="59BA773F">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11.产品支持老师在教学过程使用的教具识别，包括：三角尺、圆规、直尺和半圆尺、磁吸板擦/普通板擦识别。</w:t>
            </w:r>
          </w:p>
          <w:p w14:paraId="4DB78C5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12.产品支持H.264视频编码格式。</w:t>
            </w:r>
          </w:p>
          <w:p w14:paraId="0503F370">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13.产品视频码率设置范围：819Kbps~12288Kbps。</w:t>
            </w:r>
          </w:p>
          <w:p w14:paraId="134CC530">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14.产品内置8阵列麦克风，拾音角度≥180°，麦克风拾音距离≥12m；</w:t>
            </w:r>
          </w:p>
          <w:p w14:paraId="10EA948F">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15.产品音频处理采用4核音频处理芯片，配置64MB系统内存，256MB存储空间；</w:t>
            </w:r>
          </w:p>
          <w:p w14:paraId="2AAA51D5">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16.产品软件支持web端进行远程OTA在线升级；</w:t>
            </w:r>
          </w:p>
          <w:p w14:paraId="366E4FD0">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17.产品接口含2路RJ45级联接口，PoE in支持RJ45音频输入，PoE out 支持网络级联和信息输出；1路DC接口；1个红绿双色指示灯，支持显示产品工作状态；1路针孔按键，支持复位重启设备功能。</w:t>
            </w:r>
          </w:p>
          <w:p w14:paraId="0F02A345">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18.产品内置1个红绿双色指示灯，支持显示工作状态；工作状态包括：正常上电后状态、OTA升级状态、复位状态；正常工作状态为绿色；OTA升级，指示灯为绿色闪烁；</w:t>
            </w:r>
          </w:p>
          <w:p w14:paraId="529E2CF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19.产品支持2种供电方式，PoE和DC12V供电方式。</w:t>
            </w:r>
          </w:p>
          <w:p w14:paraId="1F93C95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20.产品支持POE有线网络供电，只需要1路网线，即可实现供电及网络信号传输，支持同时输出全景输出和板书记忆多路画面。</w:t>
            </w:r>
          </w:p>
          <w:p w14:paraId="4C4C9FD6">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21.产品整机支持POE供电，其中一路为POE IN，另一路为POE OUT，支持给外部POE设备供电；</w:t>
            </w:r>
          </w:p>
        </w:tc>
        <w:tc>
          <w:tcPr>
            <w:tcW w:w="1090" w:type="dxa"/>
            <w:tcBorders>
              <w:top w:val="single" w:color="auto" w:sz="4" w:space="0"/>
              <w:left w:val="single" w:color="auto" w:sz="4" w:space="0"/>
              <w:bottom w:val="single" w:color="auto" w:sz="4" w:space="0"/>
              <w:right w:val="single" w:color="auto" w:sz="4" w:space="0"/>
            </w:tcBorders>
            <w:vAlign w:val="center"/>
          </w:tcPr>
          <w:p w14:paraId="7FC48D9C">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12套</w:t>
            </w:r>
          </w:p>
        </w:tc>
      </w:tr>
      <w:tr w14:paraId="1DB6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03CDE3F2">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49</w:t>
            </w:r>
          </w:p>
        </w:tc>
        <w:tc>
          <w:tcPr>
            <w:tcW w:w="1017" w:type="dxa"/>
            <w:tcBorders>
              <w:top w:val="single" w:color="auto" w:sz="4" w:space="0"/>
              <w:left w:val="single" w:color="auto" w:sz="4" w:space="0"/>
              <w:bottom w:val="single" w:color="auto" w:sz="4" w:space="0"/>
              <w:right w:val="single" w:color="auto" w:sz="4" w:space="0"/>
            </w:tcBorders>
            <w:vAlign w:val="center"/>
          </w:tcPr>
          <w:p w14:paraId="66D658C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AI师生成长系统</w:t>
            </w:r>
          </w:p>
        </w:tc>
        <w:tc>
          <w:tcPr>
            <w:tcW w:w="7203" w:type="dxa"/>
            <w:tcBorders>
              <w:top w:val="single" w:color="auto" w:sz="4" w:space="0"/>
              <w:left w:val="single" w:color="auto" w:sz="4" w:space="0"/>
              <w:bottom w:val="single" w:color="auto" w:sz="4" w:space="0"/>
              <w:right w:val="single" w:color="auto" w:sz="4" w:space="0"/>
            </w:tcBorders>
            <w:vAlign w:val="center"/>
          </w:tcPr>
          <w:p w14:paraId="5C9AF972">
            <w:pPr>
              <w:widowControl/>
              <w:jc w:val="left"/>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一、课堂反馈系统</w:t>
            </w:r>
          </w:p>
          <w:p w14:paraId="4B026359">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1.系统支持通过物理按钮控制启动、停止，当系统运行时，有指示灯提示。</w:t>
            </w:r>
          </w:p>
          <w:p w14:paraId="42BD4EC9">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2.系统支持通过整机设备的侧边栏控制启动、停止，启动后实时显示平均语速、讲授时长、讲授字数。</w:t>
            </w:r>
          </w:p>
          <w:p w14:paraId="27CE0AE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3.系统支持在整机设备的侧边栏中查看运行状态，当设备异常时，会进行异常提示。</w:t>
            </w:r>
          </w:p>
          <w:p w14:paraId="690B03E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4.系统支持在整机设备的侧边栏中查看报告二维码，当录制分析结束后，会出现报告二维码，使用指定APP扫码可查看详细报告。</w:t>
            </w:r>
          </w:p>
          <w:p w14:paraId="4A1FF21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5.系统支持对教室环境的3D还原重建，形成桌椅、讲台、一体机的真实环境建模，采集到的师生互动行为自动对应到具体课桌位置；支持正前方、左前方、右前方、左后方、右后方5种视角转换。</w:t>
            </w:r>
          </w:p>
          <w:p w14:paraId="0792301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6.在3D课堂孪生界面中，通过课桌的颜色深浅表示学生参与互动的活跃程度，基于学生上台次数、举手次数、问答次数计算学生活跃程度，颜色越深则代表越活跃。</w:t>
            </w:r>
          </w:p>
          <w:p w14:paraId="02E24EFD">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7.在3D课堂孪生界面中，支持点击课堂活跃热力图中的学生头像，查看该学生的师生互动视频片段，统计该学生在本节课的上台互动、举手次数、问答次数。</w:t>
            </w:r>
          </w:p>
          <w:p w14:paraId="0AECD526">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8.在3D课堂孪生界面中，支持在地面上显示教师的巡堂轨迹，颜色越深代表停留时间越长。</w:t>
            </w:r>
          </w:p>
          <w:p w14:paraId="226790E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系统根据教学内容自动生成师生问答、课堂互动、新课标落实三个维度的课堂反馈建议，可查看全部提问、符合知识性目标的提问、不合适的提问、提问优化建议、课堂互动建议、基于新课标的亮点和改进建议。</w:t>
            </w:r>
          </w:p>
          <w:p w14:paraId="407F45DB">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10.系统支持统计课程时长、课堂中教师讲授时长、教师讲授字数、教师授课平均语速。</w:t>
            </w:r>
          </w:p>
          <w:p w14:paraId="071A40FD">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11.系统自动统计教师授课、师生互动、小组讨论、课堂练习的时间分布情况，支持按照饼状图样式展示，展示不同课堂行为的整体时间占比。</w:t>
            </w:r>
          </w:p>
          <w:p w14:paraId="700E761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12.系统自动统计教师授课、师生互动、小组讨论、课堂练习的时间分布情况，支持按照时序图样式展示，展示不同课堂行为发生的顺序、时长。</w:t>
            </w:r>
          </w:p>
          <w:p w14:paraId="3283386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13.系统将课堂中老师和学生的声音转写为文字，按照前后文自动切割为不同的片段；片段支持展开查看详细文字，支持跳转到文字段落对应的视频片段。</w:t>
            </w:r>
          </w:p>
          <w:p w14:paraId="1FEE6A83">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14.系统支持对语音转写中的师生问答进行自动识别，所有的提问自动高亮显示，支持将识别出的问答实录一键导出为云文档。</w:t>
            </w:r>
          </w:p>
          <w:p w14:paraId="681FDCB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15.系统支持对识别出的文字进行手动校准，支持对识别出的问答片段标注是否有效，被标注有效的问答片段，在播放器时间轴对应的时间点上会高亮显示。</w:t>
            </w:r>
          </w:p>
          <w:p w14:paraId="37C1E1A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16.系统支持自动识别问题分类，按简单型、追问型、思考再答型、自问自答、无响应进行分类统计，通过柱状图表呈现。</w:t>
            </w:r>
          </w:p>
          <w:p w14:paraId="69E5DD88">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17.系统支持点击问答模式柱状图对该类型的提问进行筛选，问答实录中显示对应文字明细，文字明细会按师生角色区分，并自动进行分段分句，支持跳转到文字段落对应的视频片段。</w:t>
            </w:r>
          </w:p>
          <w:p w14:paraId="56B080D9">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18.系统支持通过弗兰德斯编码规则对课堂数据进行每秒1次的打点，自动计算出启发/指导比（I/D）、学生稳态比（PSSR）、教学内容比（CCR）、学生发言比（PIR）、教师提问比（TQR）的指标数值，通过雷达图呈现。</w:t>
            </w:r>
          </w:p>
          <w:p w14:paraId="133B7775">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19.系统支持将本堂课的弗兰德斯编码数值和标准数据进行对比，通过上下箭头呈现高于或低于标准数值；可查看弗兰德斯矩阵编码打点信息，每1秒为一个点，将课堂的全部过程进行打点标记。</w:t>
            </w:r>
          </w:p>
          <w:p w14:paraId="11401B89">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20.系统支持教师画面、学生画面双窗口显示，小窗口可自由拖动位置和自由切换；视频画面与互动课件一一对应，点击互动课件缩略图，可跳转至对应视频片段。</w:t>
            </w:r>
          </w:p>
          <w:p w14:paraId="2ECABD7B">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21.系统将课堂实录自动切割为关键片段，根据模式的选择播放指定类型的片段内容；片段中包含提问、回答、举手、上台、齐读、讨论的教学事件，播放进度条支持显示事件类型、定位播放功能。</w:t>
            </w:r>
          </w:p>
          <w:p w14:paraId="215814E3">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22.系统支持教学环节、课堂互动、完整回放三种播放模式，可任意切换。</w:t>
            </w:r>
          </w:p>
          <w:p w14:paraId="55CAAFA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23.系统支持将报告下载至本地，报告中包含基础数据、教学时间分配、讲学环节时间轴、弗兰德斯编码图、S-T/Rt-Ch教学分析图、高频词语分析、提问数据统计、提问详情列表。</w:t>
            </w:r>
          </w:p>
          <w:p w14:paraId="19C0AFF6">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24.系统支持计算本节课的教师行为占有率Rt、师生行为转换率Ch，基于本节课的Rt值、Ch值得出本节课的教学模式，教学模式包含：混合型、练习型、讲授型、对话型。</w:t>
            </w:r>
          </w:p>
          <w:p w14:paraId="13D5543B">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25.系统支持以海报、二维码的方式分享给他人。</w:t>
            </w:r>
          </w:p>
          <w:p w14:paraId="1E811BC6">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26.系统支持在移动端查看课堂观察报告。</w:t>
            </w:r>
          </w:p>
          <w:p w14:paraId="33029FC9">
            <w:pPr>
              <w:widowControl/>
              <w:jc w:val="left"/>
              <w:textAlignment w:val="center"/>
              <w:rPr>
                <w:rFonts w:hint="eastAsia" w:ascii="仿宋_GB2312" w:hAnsi="仿宋_GB2312" w:eastAsia="仿宋_GB2312" w:cs="仿宋_GB2312"/>
                <w:b/>
                <w:bCs/>
                <w:color w:val="000000"/>
                <w:sz w:val="24"/>
              </w:rPr>
            </w:pPr>
            <w:r>
              <w:rPr>
                <w:rFonts w:hint="eastAsia" w:ascii="仿宋_GB2312" w:hAnsi="仿宋_GB2312" w:eastAsia="仿宋_GB2312" w:cs="仿宋_GB2312"/>
                <w:b/>
                <w:bCs/>
                <w:color w:val="000000"/>
                <w:sz w:val="24"/>
              </w:rPr>
              <w:t>二、学生成长系统</w:t>
            </w:r>
          </w:p>
          <w:p w14:paraId="18FB542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1.能根据开课情况，自动识别学生认真听讲、积极举手、问答问题等行为，并且课后形成AI建议给到老师。老师可以删除或者增加学生点评。</w:t>
            </w:r>
          </w:p>
          <w:p w14:paraId="32CD902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2.支持以座位表图片、导入Excel表格等形式还原座位布局，以管理座位排布。</w:t>
            </w:r>
          </w:p>
          <w:p w14:paraId="0441C0CC">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3.系统支持按照周、月自动生成班级报表。支持按照全部老师，以及老师个体的数据进行查阅呈现。</w:t>
            </w:r>
          </w:p>
          <w:p w14:paraId="68721DCD">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系统自动生成周期内待关注学生列表，按照情绪波动、有点小情绪、专注度下降、表扬减少、待改进增加、以及单项待改进最多的标签显示学生头像及姓名。支持点击下钻查阅学生详情，包含待改进变化、点评变化、以及自动生成AI评语。</w:t>
            </w:r>
          </w:p>
          <w:p w14:paraId="6449AA4E">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系统自动生成周期内标杆学生清单，按照小红花最多、小红花飙升、待改进减少、专注度最高、专注度飙升、以及单项最多的表扬项标签显示学生头像及姓名。支持点击下钻查阅学生详情，包含待改进变化、点评变化、以及自动生成AI评语。</w:t>
            </w:r>
          </w:p>
          <w:p w14:paraId="4D0782A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6.系统自动生成周期内的标杆小组清单，按照小红花获得数量前三进行呈现。</w:t>
            </w:r>
          </w:p>
          <w:p w14:paraId="078FF52F">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7.系统支持一键生成奖状，支持修改奖状的模版、获奖学生姓名、奖状内容、称号、颁发人、颁发日期。支持删除奖状与颁发推送，并发送站内通知。</w:t>
            </w:r>
          </w:p>
          <w:p w14:paraId="6249167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8.系统依据采集到的学生情绪状态数据、专注度数据、点评数据，生成全班的学生成长报告，按照学生头像形式进行选择。点击学生头像即可打开具体报告，并支持调整学期时间。</w:t>
            </w:r>
          </w:p>
          <w:p w14:paraId="61C12EEE">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9.系统根据采集到的点评数据、专注度及情绪数据进行综合理解，自动生成AI评语。</w:t>
            </w:r>
          </w:p>
          <w:p w14:paraId="5305CBCB">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10.系统自动采集学生点评数据、专注度数据和情绪数据，并且支持数据下钻。其中点评数据可以看见表扬、待改进次数、点评趋势、待改进趋势，支持班级均值和当前学生比较。点评分布支持按照表扬维度和待改进维度以饼图形式呈现。支持查阅点评记录</w:t>
            </w:r>
          </w:p>
          <w:p w14:paraId="5740CD0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11.系统按照点评的统计，自动形成综合素质评价。系统将根据点评的内容，按照学习表现、品行素养、身心健康、社会实践、艺术审美五个维度构建雷达图。并且基于评价内容，生成AI评价。支持学生数值和全班均值比较。</w:t>
            </w:r>
          </w:p>
          <w:p w14:paraId="1E010219">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12.根据采集到的不同学科的专注度、愉悦度数据，系统进行学科兴趣分析，并且基于学科兴趣分析形成AI分析建议。支持点击学科下钻，查阅学科的个性化评价建议、专注度变化、情绪指数变化以及点评数据。</w:t>
            </w:r>
          </w:p>
          <w:p w14:paraId="05E816F0">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13.系统自动采集学生所获取的奖状，并形成荣誉墙</w:t>
            </w:r>
          </w:p>
          <w:p w14:paraId="65B4E6C3">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14.系统支持绑定班级信息，并且设定开启定时录制能力。同时支持上传人脸信息，实现人脸绑定。支持设定AI点评项。</w:t>
            </w:r>
          </w:p>
          <w:p w14:paraId="37106382">
            <w:pPr>
              <w:jc w:val="left"/>
              <w:rPr>
                <w:rFonts w:hint="eastAsia" w:ascii="仿宋_GB2312" w:hAnsi="仿宋_GB2312" w:eastAsia="仿宋_GB2312" w:cs="仿宋_GB2312"/>
                <w:color w:val="000000"/>
                <w:sz w:val="24"/>
              </w:rPr>
            </w:pPr>
            <w:r>
              <w:rPr>
                <w:rFonts w:hint="eastAsia" w:ascii="仿宋_GB2312" w:hAnsi="仿宋_GB2312" w:eastAsia="仿宋_GB2312" w:cs="仿宋_GB2312"/>
                <w:b/>
                <w:bCs/>
                <w:color w:val="000000"/>
                <w:sz w:val="24"/>
              </w:rPr>
              <w:t>三、本系统需要提供5年技术售后服务（即质保期）。</w:t>
            </w:r>
          </w:p>
        </w:tc>
        <w:tc>
          <w:tcPr>
            <w:tcW w:w="1090" w:type="dxa"/>
            <w:tcBorders>
              <w:top w:val="single" w:color="auto" w:sz="4" w:space="0"/>
              <w:left w:val="single" w:color="auto" w:sz="4" w:space="0"/>
              <w:bottom w:val="single" w:color="auto" w:sz="4" w:space="0"/>
              <w:right w:val="single" w:color="auto" w:sz="4" w:space="0"/>
            </w:tcBorders>
            <w:vAlign w:val="center"/>
          </w:tcPr>
          <w:p w14:paraId="1D4A8658">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12套</w:t>
            </w:r>
          </w:p>
        </w:tc>
      </w:tr>
      <w:tr w14:paraId="1D0C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71199EA">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50</w:t>
            </w:r>
          </w:p>
        </w:tc>
        <w:tc>
          <w:tcPr>
            <w:tcW w:w="1017" w:type="dxa"/>
            <w:tcBorders>
              <w:top w:val="single" w:color="auto" w:sz="4" w:space="0"/>
              <w:left w:val="single" w:color="auto" w:sz="4" w:space="0"/>
              <w:bottom w:val="single" w:color="auto" w:sz="4" w:space="0"/>
              <w:right w:val="single" w:color="auto" w:sz="4" w:space="0"/>
            </w:tcBorders>
            <w:vAlign w:val="center"/>
          </w:tcPr>
          <w:p w14:paraId="127D91E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全向拾音麦</w:t>
            </w:r>
          </w:p>
        </w:tc>
        <w:tc>
          <w:tcPr>
            <w:tcW w:w="7203" w:type="dxa"/>
            <w:tcBorders>
              <w:top w:val="single" w:color="auto" w:sz="4" w:space="0"/>
              <w:left w:val="single" w:color="auto" w:sz="4" w:space="0"/>
              <w:bottom w:val="single" w:color="auto" w:sz="4" w:space="0"/>
              <w:right w:val="single" w:color="auto" w:sz="4" w:space="0"/>
            </w:tcBorders>
            <w:vAlign w:val="center"/>
          </w:tcPr>
          <w:p w14:paraId="77620FD4">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详细参数：</w:t>
            </w:r>
          </w:p>
          <w:p w14:paraId="16CFF957">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1.产品采用一体化设计，内置6个传感器单元，组成环形阵列。</w:t>
            </w:r>
          </w:p>
          <w:p w14:paraId="6579335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2.产品内置阵列麦克风，360°全向拾音，麦克风拾音距离≥4m。</w:t>
            </w:r>
          </w:p>
          <w:p w14:paraId="064E2D5A">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3.产品音频处理采用4核音频处理芯片。</w:t>
            </w:r>
          </w:p>
          <w:p w14:paraId="0124556F">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4.阵列麦克风具备≥1个状态指示灯，可显示麦克风工作状态，蓝灯表示工作状态正常，红灯表示无法正常拾音。</w:t>
            </w:r>
          </w:p>
          <w:p w14:paraId="2660D112">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5.产品支持数字音频传输。</w:t>
            </w:r>
          </w:p>
          <w:p w14:paraId="67E4B2A1">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6.产品接口含2路RJ45级联接口，Down支持RJ45音频输入，Up 支持网络级联和信息输出，同时支持PoE in电源；1路USB音频接口；2路3.5mm AUX接口，支持音频输入输出接口；1个红绿双色指示灯，支持显示产品工作状态。</w:t>
            </w:r>
          </w:p>
          <w:p w14:paraId="09280B8F">
            <w:pPr>
              <w:widowControl/>
              <w:jc w:val="left"/>
              <w:textAlignment w:val="center"/>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7.产品支持POE有线网络供电，只需要1路网线，即可实现供电及信号传输。</w:t>
            </w:r>
          </w:p>
          <w:p w14:paraId="3CC0C5B9">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sz w:val="24"/>
              </w:rPr>
              <w:t>8.产品整机支持POE供电，其中一路为POE IN，另一路为POE OUT，支持给外部POE设备供电。</w:t>
            </w:r>
          </w:p>
        </w:tc>
        <w:tc>
          <w:tcPr>
            <w:tcW w:w="1090" w:type="dxa"/>
            <w:tcBorders>
              <w:top w:val="single" w:color="auto" w:sz="4" w:space="0"/>
              <w:left w:val="single" w:color="auto" w:sz="4" w:space="0"/>
              <w:bottom w:val="single" w:color="auto" w:sz="4" w:space="0"/>
              <w:right w:val="single" w:color="auto" w:sz="4" w:space="0"/>
            </w:tcBorders>
            <w:vAlign w:val="center"/>
          </w:tcPr>
          <w:p w14:paraId="2E45FE73">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12套</w:t>
            </w:r>
          </w:p>
        </w:tc>
      </w:tr>
      <w:tr w14:paraId="4EB87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0C36592">
            <w:pPr>
              <w:pStyle w:val="244"/>
              <w:snapToGrid w:val="0"/>
              <w:spacing w:line="400" w:lineRule="atLeast"/>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rPr>
              <w:t>51</w:t>
            </w:r>
          </w:p>
        </w:tc>
        <w:tc>
          <w:tcPr>
            <w:tcW w:w="1017" w:type="dxa"/>
            <w:tcBorders>
              <w:top w:val="single" w:color="auto" w:sz="4" w:space="0"/>
              <w:left w:val="single" w:color="auto" w:sz="4" w:space="0"/>
              <w:bottom w:val="single" w:color="auto" w:sz="4" w:space="0"/>
              <w:right w:val="single" w:color="auto" w:sz="4" w:space="0"/>
            </w:tcBorders>
            <w:vAlign w:val="center"/>
          </w:tcPr>
          <w:p w14:paraId="1181420D">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集成服务</w:t>
            </w:r>
          </w:p>
        </w:tc>
        <w:tc>
          <w:tcPr>
            <w:tcW w:w="7203" w:type="dxa"/>
            <w:tcBorders>
              <w:top w:val="single" w:color="auto" w:sz="4" w:space="0"/>
              <w:left w:val="single" w:color="auto" w:sz="4" w:space="0"/>
              <w:bottom w:val="single" w:color="auto" w:sz="4" w:space="0"/>
              <w:right w:val="single" w:color="auto" w:sz="4" w:space="0"/>
            </w:tcBorders>
            <w:vAlign w:val="center"/>
          </w:tcPr>
          <w:p w14:paraId="2DD4660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5C587610">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AI课堂观察硬件设备安装所需要耗材线材，系统软件安装调试等集成服务。</w:t>
            </w:r>
          </w:p>
        </w:tc>
        <w:tc>
          <w:tcPr>
            <w:tcW w:w="1090" w:type="dxa"/>
            <w:tcBorders>
              <w:top w:val="single" w:color="auto" w:sz="4" w:space="0"/>
              <w:left w:val="single" w:color="auto" w:sz="4" w:space="0"/>
              <w:bottom w:val="single" w:color="auto" w:sz="4" w:space="0"/>
              <w:right w:val="single" w:color="auto" w:sz="4" w:space="0"/>
            </w:tcBorders>
            <w:vAlign w:val="center"/>
          </w:tcPr>
          <w:p w14:paraId="0E0E73D4">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1项</w:t>
            </w:r>
          </w:p>
        </w:tc>
      </w:tr>
      <w:tr w14:paraId="5AB53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05B88379">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七、STEAM创客设备</w:t>
            </w:r>
          </w:p>
        </w:tc>
      </w:tr>
      <w:tr w14:paraId="12496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3DD5BE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52</w:t>
            </w:r>
          </w:p>
        </w:tc>
        <w:tc>
          <w:tcPr>
            <w:tcW w:w="1017" w:type="dxa"/>
            <w:tcBorders>
              <w:top w:val="single" w:color="auto" w:sz="4" w:space="0"/>
              <w:left w:val="single" w:color="auto" w:sz="4" w:space="0"/>
              <w:bottom w:val="single" w:color="auto" w:sz="4" w:space="0"/>
              <w:right w:val="single" w:color="auto" w:sz="4" w:space="0"/>
            </w:tcBorders>
            <w:vAlign w:val="center"/>
          </w:tcPr>
          <w:p w14:paraId="5ED8740C">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激光雕刻</w:t>
            </w:r>
          </w:p>
        </w:tc>
        <w:tc>
          <w:tcPr>
            <w:tcW w:w="7203" w:type="dxa"/>
            <w:tcBorders>
              <w:top w:val="single" w:color="auto" w:sz="4" w:space="0"/>
              <w:left w:val="single" w:color="auto" w:sz="4" w:space="0"/>
              <w:bottom w:val="single" w:color="auto" w:sz="4" w:space="0"/>
              <w:right w:val="single" w:color="auto" w:sz="4" w:space="0"/>
            </w:tcBorders>
            <w:vAlign w:val="center"/>
          </w:tcPr>
          <w:p w14:paraId="1511BB36">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一、激光系统参数</w:t>
            </w:r>
          </w:p>
          <w:p w14:paraId="11F3858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1.激光器类型：固态紫外（UV）激光器，波长355±5nm，冷加工原理。</w:t>
            </w:r>
          </w:p>
          <w:p w14:paraId="7F7677D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2.额定激光功率：≥5W 紫外激光输出。</w:t>
            </w:r>
          </w:p>
          <w:p w14:paraId="2BDDD2A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3.光斑直径：≤0.02mm×0.02mm，支持超精细线条雕刻。</w:t>
            </w:r>
          </w:p>
          <w:p w14:paraId="5A4F87D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4.冷却方式：风冷散热，无需外接水冷机组。</w:t>
            </w:r>
          </w:p>
          <w:p w14:paraId="2025E43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5.激光安全等级：Class 4级激光，整机封闭式防护设计。</w:t>
            </w:r>
          </w:p>
          <w:p w14:paraId="2B7E8CCF">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二、加工性能参数</w:t>
            </w:r>
          </w:p>
          <w:p w14:paraId="1E3DB890">
            <w:pPr>
              <w:widowControl/>
              <w:jc w:val="left"/>
              <w:rPr>
                <w:rFonts w:hint="eastAsia" w:ascii="仿宋_GB2312" w:hAnsi="仿宋_GB2312" w:cs="仿宋_GB2312"/>
                <w:color w:val="000000"/>
                <w:kern w:val="0"/>
                <w:sz w:val="24"/>
              </w:rPr>
            </w:pPr>
            <w:r>
              <w:rPr>
                <w:rFonts w:hint="eastAsia" w:ascii="仿宋_GB2312" w:hAnsi="仿宋_GB2312" w:eastAsia="仿宋_GB2312" w:cs="仿宋_GB2312"/>
                <w:color w:val="000000"/>
                <w:kern w:val="0"/>
                <w:sz w:val="24"/>
              </w:rPr>
              <w:t>1.表面雕刻幅面：≥长200mm×宽200mm</w:t>
            </w:r>
            <w:r>
              <w:rPr>
                <w:rFonts w:hint="eastAsia"/>
              </w:rPr>
              <w:t>。</w:t>
            </w:r>
          </w:p>
          <w:p w14:paraId="2D15EB3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2.3D水晶内雕幅面：≥长70mm×宽70mm，支持最大加工高度150mm。</w:t>
            </w:r>
          </w:p>
          <w:p w14:paraId="7B7DBCE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3.传送带扩展幅面：支持传送带配件，连续加工幅面≥长200mm×宽500mm。</w:t>
            </w:r>
          </w:p>
          <w:p w14:paraId="5D3CA8A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4.最大雕刻速度：≥15000mm/s。</w:t>
            </w:r>
          </w:p>
          <w:p w14:paraId="5605F81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5.最大切割厚度（椴木）：≥15mm（多次走刀）。</w:t>
            </w:r>
          </w:p>
          <w:p w14:paraId="1F2738B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6.最大切割厚度（亚克力）：≥12mm（多次走刀）。</w:t>
            </w:r>
          </w:p>
          <w:p w14:paraId="262058F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7.玻璃加工能力：支持玻璃表面雕刻与1mm厚度玻璃切割，支持水晶3D内雕。</w:t>
            </w:r>
          </w:p>
          <w:p w14:paraId="74F2DD3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8.兼容材料：玻璃、水晶、陶瓷、亚克力、木材、皮革、塑料、橡胶、硅胶、金属等多材质。</w:t>
            </w:r>
          </w:p>
          <w:p w14:paraId="6C508CF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9.旋转雕刻：支持旋转轴配件，最大旋转雕刻直径≥150mm。</w:t>
            </w:r>
          </w:p>
          <w:p w14:paraId="63E0F593">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三、精度与运动系统</w:t>
            </w:r>
          </w:p>
          <w:p w14:paraId="290140A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1.相机定位精度：≤0.2mm。</w:t>
            </w:r>
          </w:p>
          <w:p w14:paraId="079DF83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2.测距精度：≤0.2mm。</w:t>
            </w:r>
          </w:p>
          <w:p w14:paraId="529824C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3.内雕运动分辨率：≤0.00133mm。</w:t>
            </w:r>
          </w:p>
          <w:p w14:paraId="76DFD8D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4.矢量拟合分辨率：≤0.001mm。</w:t>
            </w:r>
          </w:p>
          <w:p w14:paraId="32897D6A">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5.对焦方式：支持自动对焦，配备 LiDAR 激光测距系统。</w:t>
            </w:r>
          </w:p>
        </w:tc>
        <w:tc>
          <w:tcPr>
            <w:tcW w:w="1090" w:type="dxa"/>
            <w:tcBorders>
              <w:top w:val="single" w:color="auto" w:sz="4" w:space="0"/>
              <w:left w:val="single" w:color="auto" w:sz="4" w:space="0"/>
              <w:bottom w:val="single" w:color="auto" w:sz="4" w:space="0"/>
              <w:right w:val="single" w:color="auto" w:sz="4" w:space="0"/>
            </w:tcBorders>
            <w:vAlign w:val="center"/>
          </w:tcPr>
          <w:p w14:paraId="1089D039">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1台</w:t>
            </w:r>
          </w:p>
        </w:tc>
      </w:tr>
      <w:tr w14:paraId="01A2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40417D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53</w:t>
            </w:r>
          </w:p>
        </w:tc>
        <w:tc>
          <w:tcPr>
            <w:tcW w:w="1017" w:type="dxa"/>
            <w:tcBorders>
              <w:top w:val="single" w:color="auto" w:sz="4" w:space="0"/>
              <w:left w:val="single" w:color="auto" w:sz="4" w:space="0"/>
              <w:bottom w:val="single" w:color="auto" w:sz="4" w:space="0"/>
              <w:right w:val="single" w:color="auto" w:sz="4" w:space="0"/>
            </w:tcBorders>
            <w:vAlign w:val="center"/>
          </w:tcPr>
          <w:p w14:paraId="1FE8421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雕刻机</w:t>
            </w:r>
          </w:p>
        </w:tc>
        <w:tc>
          <w:tcPr>
            <w:tcW w:w="7203" w:type="dxa"/>
            <w:tcBorders>
              <w:top w:val="single" w:color="auto" w:sz="4" w:space="0"/>
              <w:left w:val="single" w:color="auto" w:sz="4" w:space="0"/>
              <w:bottom w:val="single" w:color="auto" w:sz="4" w:space="0"/>
              <w:right w:val="single" w:color="auto" w:sz="4" w:space="0"/>
            </w:tcBorders>
            <w:vAlign w:val="center"/>
          </w:tcPr>
          <w:p w14:paraId="498A3123">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一、激光系统</w:t>
            </w:r>
          </w:p>
          <w:p w14:paraId="293D18F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1.激光器类型：405nm 半导体二极管激光器。</w:t>
            </w:r>
          </w:p>
          <w:p w14:paraId="1D49BE6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2.额定激光输出功率：≥600mW。</w:t>
            </w:r>
          </w:p>
          <w:p w14:paraId="18E73CB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3.光斑直径：≤0.15mm。</w:t>
            </w:r>
          </w:p>
          <w:p w14:paraId="1227E9C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4.冷却方式：自然风冷，无需外接散热设备。</w:t>
            </w:r>
          </w:p>
          <w:p w14:paraId="68081BEB">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二、加工性能</w:t>
            </w:r>
          </w:p>
          <w:p w14:paraId="2DC0A47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1.标准雕刻幅面：≥长100mm×宽100mm。</w:t>
            </w:r>
          </w:p>
          <w:p w14:paraId="4CB43C5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2.最大雕刻速度：≥600mm/s。</w:t>
            </w:r>
          </w:p>
          <w:p w14:paraId="14D0621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3.对焦方式：手动定焦，标准对焦距离200mm。</w:t>
            </w:r>
          </w:p>
          <w:p w14:paraId="1E58566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4.兼容材质：支持木材、皮革、纸张、竹材、部分塑料、布料等非金属材质雕刻。</w:t>
            </w:r>
          </w:p>
          <w:p w14:paraId="3C41D711">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5.预览功能：支持矩形范围、轮廓、中心点三种定位预览模式。</w:t>
            </w:r>
          </w:p>
        </w:tc>
        <w:tc>
          <w:tcPr>
            <w:tcW w:w="1090" w:type="dxa"/>
            <w:tcBorders>
              <w:top w:val="single" w:color="auto" w:sz="4" w:space="0"/>
              <w:left w:val="single" w:color="auto" w:sz="4" w:space="0"/>
              <w:bottom w:val="single" w:color="auto" w:sz="4" w:space="0"/>
              <w:right w:val="single" w:color="auto" w:sz="4" w:space="0"/>
            </w:tcBorders>
            <w:vAlign w:val="center"/>
          </w:tcPr>
          <w:p w14:paraId="19F037FB">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2台</w:t>
            </w:r>
          </w:p>
        </w:tc>
      </w:tr>
      <w:tr w14:paraId="6F8C6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324C57B">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54</w:t>
            </w:r>
          </w:p>
        </w:tc>
        <w:tc>
          <w:tcPr>
            <w:tcW w:w="1017" w:type="dxa"/>
            <w:tcBorders>
              <w:top w:val="single" w:color="auto" w:sz="4" w:space="0"/>
              <w:left w:val="single" w:color="auto" w:sz="4" w:space="0"/>
              <w:bottom w:val="single" w:color="auto" w:sz="4" w:space="0"/>
              <w:right w:val="single" w:color="auto" w:sz="4" w:space="0"/>
            </w:tcBorders>
            <w:vAlign w:val="center"/>
          </w:tcPr>
          <w:p w14:paraId="367549D0">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多色3D打印机</w:t>
            </w:r>
          </w:p>
        </w:tc>
        <w:tc>
          <w:tcPr>
            <w:tcW w:w="7203" w:type="dxa"/>
            <w:tcBorders>
              <w:top w:val="single" w:color="auto" w:sz="4" w:space="0"/>
              <w:left w:val="single" w:color="auto" w:sz="4" w:space="0"/>
              <w:bottom w:val="single" w:color="auto" w:sz="4" w:space="0"/>
              <w:right w:val="single" w:color="auto" w:sz="4" w:space="0"/>
            </w:tcBorders>
            <w:vAlign w:val="center"/>
          </w:tcPr>
          <w:p w14:paraId="592AE007">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一、核心打印系统参数</w:t>
            </w:r>
          </w:p>
          <w:p w14:paraId="0D97D39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1.打印工艺：FDM 熔融沉积成型。</w:t>
            </w:r>
          </w:p>
          <w:p w14:paraId="5D0B809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2.成型尺寸：≥长256mm×宽256mm×高256mm。</w:t>
            </w:r>
          </w:p>
          <w:p w14:paraId="53FA687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3.喷嘴规格：标配0.4mm硬化钢喷嘴，支持0.2/0.4/0.6/0.8mm 规格喷嘴更换。</w:t>
            </w:r>
          </w:p>
          <w:p w14:paraId="76C2167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4.喷嘴最高温度：≥300℃，支持快拆更换。</w:t>
            </w:r>
          </w:p>
          <w:p w14:paraId="175E08C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5.热床最高温度：≥110℃，标配柔性PEI纹理打印平台。</w:t>
            </w:r>
          </w:p>
          <w:p w14:paraId="2DDC719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6.挤出系统：永磁同步伺服挤出电机，最大挤出力≥8.5kg，支持堵料、磨料实时检测。</w:t>
            </w:r>
          </w:p>
          <w:p w14:paraId="2CBEA34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7.最大挤出流量：≥40mm³/s。</w:t>
            </w:r>
          </w:p>
          <w:p w14:paraId="1FC72B4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8.适配耗材直径：1.75mm标准耗材。</w:t>
            </w:r>
          </w:p>
          <w:p w14:paraId="71FBD02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9.兼容耗材：PLA、PETG、ABS、ASA、PA、PC、TPU、PVA、碳纤维增强耗材等多品类。</w:t>
            </w:r>
          </w:p>
          <w:p w14:paraId="19057696">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二、多色自动供料（AMS）系统参数</w:t>
            </w:r>
          </w:p>
          <w:p w14:paraId="427F598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1.多色系统：标配第二代自动供料系统（AMS 2 Pro），单台AMS 含4个独立料槽。</w:t>
            </w:r>
          </w:p>
          <w:p w14:paraId="454A978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2.最大多色能力：单机支持扩展多台AMS，最高支持16色及以上同步打印。</w:t>
            </w:r>
          </w:p>
          <w:p w14:paraId="27CB966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3.耗材识别：支持RFID耗材自动识别，自动匹配打印参数。</w:t>
            </w:r>
          </w:p>
          <w:p w14:paraId="42A5F78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4.烘干功能：AMS内置耗材烘干功能，最高烘干温度≥65℃，带湿度检测。</w:t>
            </w:r>
          </w:p>
          <w:p w14:paraId="49B6B93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5.智能功能：支持断料自动续打、缠料检测、余料估算、同色耗材自动续料。</w:t>
            </w:r>
          </w:p>
          <w:p w14:paraId="35FE3F66">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三、运动与打印性能</w:t>
            </w:r>
          </w:p>
          <w:p w14:paraId="5E6518F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1.最大打印速度：≥600mm/s。</w:t>
            </w:r>
          </w:p>
          <w:p w14:paraId="7322A63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2.最大加速度：≥20000mm/s²。</w:t>
            </w:r>
          </w:p>
          <w:p w14:paraId="58790F2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3.定位精度：XY轴定位精度≤0.1mm，Z轴定位精度≤0.05mm。</w:t>
            </w:r>
          </w:p>
          <w:p w14:paraId="7497A0D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4.层厚范围：0.05mm–0.32mm可调。</w:t>
            </w:r>
          </w:p>
          <w:p w14:paraId="06E15583">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5.自动校准：支持自动流量校准、热床自动调平、Z 轴自动补偿。</w:t>
            </w:r>
          </w:p>
        </w:tc>
        <w:tc>
          <w:tcPr>
            <w:tcW w:w="1090" w:type="dxa"/>
            <w:tcBorders>
              <w:top w:val="single" w:color="auto" w:sz="4" w:space="0"/>
              <w:left w:val="single" w:color="auto" w:sz="4" w:space="0"/>
              <w:bottom w:val="single" w:color="auto" w:sz="4" w:space="0"/>
              <w:right w:val="single" w:color="auto" w:sz="4" w:space="0"/>
            </w:tcBorders>
            <w:vAlign w:val="center"/>
          </w:tcPr>
          <w:p w14:paraId="2B6D6A8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2台</w:t>
            </w:r>
          </w:p>
        </w:tc>
      </w:tr>
      <w:tr w14:paraId="42CC3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ACE33F7">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55</w:t>
            </w:r>
          </w:p>
        </w:tc>
        <w:tc>
          <w:tcPr>
            <w:tcW w:w="1017" w:type="dxa"/>
            <w:tcBorders>
              <w:top w:val="single" w:color="auto" w:sz="4" w:space="0"/>
              <w:left w:val="single" w:color="auto" w:sz="4" w:space="0"/>
              <w:bottom w:val="single" w:color="auto" w:sz="4" w:space="0"/>
              <w:right w:val="single" w:color="auto" w:sz="4" w:space="0"/>
            </w:tcBorders>
            <w:vAlign w:val="center"/>
          </w:tcPr>
          <w:p w14:paraId="02EC0A33">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黑白激光多功能打印一体机</w:t>
            </w:r>
          </w:p>
        </w:tc>
        <w:tc>
          <w:tcPr>
            <w:tcW w:w="7203" w:type="dxa"/>
            <w:tcBorders>
              <w:top w:val="single" w:color="auto" w:sz="4" w:space="0"/>
              <w:left w:val="single" w:color="auto" w:sz="4" w:space="0"/>
              <w:bottom w:val="single" w:color="auto" w:sz="4" w:space="0"/>
              <w:right w:val="single" w:color="auto" w:sz="4" w:space="0"/>
            </w:tcBorders>
            <w:vAlign w:val="center"/>
          </w:tcPr>
          <w:p w14:paraId="79E42D78">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一、核心打印系统参数</w:t>
            </w:r>
          </w:p>
          <w:p w14:paraId="6D04EC7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1.设备类型：黑白激光多功能一体机，集成打印、复印、扫描三合一功能；</w:t>
            </w:r>
          </w:p>
          <w:p w14:paraId="3DA76CF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2.打印速度：A4 幅面黑白连续打印≥28页/分钟；</w:t>
            </w:r>
          </w:p>
          <w:p w14:paraId="632B633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3.自动双面打印：支持自动双面打印，无需手动翻页；</w:t>
            </w:r>
          </w:p>
          <w:p w14:paraId="19DF7A9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4.打印分辨率：最高1200×1200dpi；</w:t>
            </w:r>
          </w:p>
          <w:p w14:paraId="12E2062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5.首页输出时间：就绪状态下首页打印≤8.5秒；</w:t>
            </w:r>
          </w:p>
          <w:p w14:paraId="4EE7A47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6.月最大打印负荷：≥15000页；</w:t>
            </w:r>
          </w:p>
          <w:p w14:paraId="5E74450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7.支持介质：兼容A4.A5.B5.信封及自定义尺寸，介质克重范围 60-105g/㎡；</w:t>
            </w:r>
          </w:p>
          <w:p w14:paraId="7B4427A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8.定影技术：环保无臭氧定影方案。</w:t>
            </w:r>
          </w:p>
          <w:p w14:paraId="3406005A">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二、复印与扫描系统</w:t>
            </w:r>
          </w:p>
          <w:p w14:paraId="35EA303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1.复印速度：A4 黑白连续复印≥28页/分钟；</w:t>
            </w:r>
          </w:p>
          <w:p w14:paraId="51955EE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2.复印分辨率：最高600×600dpi；</w:t>
            </w:r>
          </w:p>
          <w:p w14:paraId="3163955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3.连续复印页数：支持1-99页连续复印；</w:t>
            </w:r>
          </w:p>
          <w:p w14:paraId="1B6BDA0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4.缩放范围：25%~400%无级缩放；</w:t>
            </w:r>
          </w:p>
          <w:p w14:paraId="3F3EDB3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5.特色功能：支持身份证智能复印、全角度纠偏、N合一复印；</w:t>
            </w:r>
          </w:p>
          <w:p w14:paraId="30620B3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6.扫描方式：CIS平板式扫描；</w:t>
            </w:r>
          </w:p>
          <w:p w14:paraId="6717F40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7.扫描分辨率：光学分辨率最高1200×1200dpi；</w:t>
            </w:r>
          </w:p>
          <w:p w14:paraId="23E8C8E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8.色彩能力：支持24位彩色扫描，256级灰度；</w:t>
            </w:r>
          </w:p>
          <w:p w14:paraId="30496A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9.输出格式：支持JPEG、PDF等常用存档格式；</w:t>
            </w:r>
          </w:p>
          <w:p w14:paraId="4FE3C9E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10.最大扫描幅面：A4（216mm×297mm）。</w:t>
            </w:r>
          </w:p>
          <w:p w14:paraId="0604427F">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三、硬件与控制系统</w:t>
            </w:r>
          </w:p>
          <w:p w14:paraId="45A5C40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1.供纸容量：标配进纸盒≥150页，出纸托盘≥50页；</w:t>
            </w:r>
          </w:p>
          <w:p w14:paraId="6E59306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2.有线接口：标配 USB 2.0 接口、10/100M 有线网口（RJ45）；</w:t>
            </w:r>
          </w:p>
          <w:p w14:paraId="37A433E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3.无线连接：支持2.4G Wi-Fi、蓝牙 5.0、NFC 一碰打印；</w:t>
            </w:r>
          </w:p>
          <w:p w14:paraId="311197B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4.内存与存储：运行内存≥512MB，机身存储≥4GB；</w:t>
            </w:r>
          </w:p>
          <w:p w14:paraId="13271C0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5.操作方式：电容触控按键；</w:t>
            </w:r>
          </w:p>
          <w:p w14:paraId="20C3C0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6.兼容系统：支持 Windows、macOS、Linux 桌面系统，以及鸿蒙、安卓、iOS 移动端系统；</w:t>
            </w:r>
          </w:p>
          <w:p w14:paraId="15F3F51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7.电源规格：AC 220-240V，50/60Hz；</w:t>
            </w:r>
          </w:p>
          <w:p w14:paraId="53EC7D6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8.功耗表现：打印功率≤410W，休眠功率≤2.5W；</w:t>
            </w:r>
          </w:p>
          <w:p w14:paraId="1889E25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9.工作噪音：打印噪音≤54dB，待机噪音≤33dB；</w:t>
            </w:r>
          </w:p>
          <w:p w14:paraId="2F03F489">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10.机身规格：尺寸≤长370mm×宽320mm×高290mm，整机重量≤10kg。</w:t>
            </w:r>
          </w:p>
        </w:tc>
        <w:tc>
          <w:tcPr>
            <w:tcW w:w="1090" w:type="dxa"/>
            <w:tcBorders>
              <w:top w:val="single" w:color="auto" w:sz="4" w:space="0"/>
              <w:left w:val="single" w:color="auto" w:sz="4" w:space="0"/>
              <w:bottom w:val="single" w:color="auto" w:sz="4" w:space="0"/>
              <w:right w:val="single" w:color="auto" w:sz="4" w:space="0"/>
            </w:tcBorders>
            <w:vAlign w:val="center"/>
          </w:tcPr>
          <w:p w14:paraId="343657D2">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15台</w:t>
            </w:r>
          </w:p>
        </w:tc>
      </w:tr>
      <w:tr w14:paraId="746C2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41BA2A4E">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56</w:t>
            </w:r>
          </w:p>
        </w:tc>
        <w:tc>
          <w:tcPr>
            <w:tcW w:w="1017" w:type="dxa"/>
            <w:tcBorders>
              <w:top w:val="single" w:color="auto" w:sz="4" w:space="0"/>
              <w:left w:val="single" w:color="auto" w:sz="4" w:space="0"/>
              <w:bottom w:val="single" w:color="auto" w:sz="4" w:space="0"/>
              <w:right w:val="single" w:color="auto" w:sz="4" w:space="0"/>
            </w:tcBorders>
            <w:vAlign w:val="center"/>
          </w:tcPr>
          <w:p w14:paraId="317FD167">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原装粉盒 黑色</w:t>
            </w:r>
          </w:p>
        </w:tc>
        <w:tc>
          <w:tcPr>
            <w:tcW w:w="7203" w:type="dxa"/>
            <w:tcBorders>
              <w:top w:val="single" w:color="auto" w:sz="4" w:space="0"/>
              <w:left w:val="single" w:color="auto" w:sz="4" w:space="0"/>
              <w:bottom w:val="single" w:color="auto" w:sz="4" w:space="0"/>
              <w:right w:val="single" w:color="auto" w:sz="4" w:space="0"/>
            </w:tcBorders>
            <w:vAlign w:val="center"/>
          </w:tcPr>
          <w:p w14:paraId="5E2C07A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20763F6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1.打印机配套粉盒，标称打印量：≥1500页，可独立更换。</w:t>
            </w:r>
          </w:p>
          <w:p w14:paraId="797DBD7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2.抽屉式推入安装结构，免工具更换，操作不接触碳粉。</w:t>
            </w:r>
          </w:p>
          <w:p w14:paraId="45487076">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3.输出文字清晰锐利，黑度均匀，无底灰、无重影，符合原厂打印质量标准。</w:t>
            </w:r>
          </w:p>
        </w:tc>
        <w:tc>
          <w:tcPr>
            <w:tcW w:w="1090" w:type="dxa"/>
            <w:tcBorders>
              <w:top w:val="single" w:color="auto" w:sz="4" w:space="0"/>
              <w:left w:val="single" w:color="auto" w:sz="4" w:space="0"/>
              <w:bottom w:val="single" w:color="auto" w:sz="4" w:space="0"/>
              <w:right w:val="single" w:color="auto" w:sz="4" w:space="0"/>
            </w:tcBorders>
            <w:vAlign w:val="center"/>
          </w:tcPr>
          <w:p w14:paraId="6E5941AA">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15套</w:t>
            </w:r>
          </w:p>
        </w:tc>
      </w:tr>
      <w:tr w14:paraId="40886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000" w:type="dxa"/>
            <w:gridSpan w:val="4"/>
            <w:tcBorders>
              <w:top w:val="single" w:color="auto" w:sz="4" w:space="0"/>
              <w:left w:val="single" w:color="auto" w:sz="4" w:space="0"/>
              <w:bottom w:val="single" w:color="auto" w:sz="4" w:space="0"/>
              <w:right w:val="single" w:color="auto" w:sz="4" w:space="0"/>
            </w:tcBorders>
            <w:vAlign w:val="center"/>
          </w:tcPr>
          <w:p w14:paraId="183A1514">
            <w:pPr>
              <w:widowControl/>
              <w:jc w:val="left"/>
              <w:rPr>
                <w:rFonts w:hint="eastAsia" w:ascii="仿宋_GB2312" w:hAnsi="仿宋_GB2312" w:eastAsia="仿宋_GB2312" w:cs="仿宋_GB2312"/>
                <w:sz w:val="24"/>
              </w:rPr>
            </w:pPr>
            <w:r>
              <w:rPr>
                <w:rFonts w:hint="eastAsia" w:ascii="仿宋_GB2312" w:hAnsi="仿宋_GB2312" w:eastAsia="仿宋_GB2312" w:cs="仿宋_GB2312"/>
                <w:b/>
                <w:bCs/>
                <w:color w:val="000000"/>
                <w:kern w:val="0"/>
                <w:sz w:val="24"/>
              </w:rPr>
              <w:t>八、学生辅助学习服务</w:t>
            </w:r>
          </w:p>
        </w:tc>
      </w:tr>
      <w:tr w14:paraId="7C78D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3FF53231">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57</w:t>
            </w:r>
          </w:p>
        </w:tc>
        <w:tc>
          <w:tcPr>
            <w:tcW w:w="1017" w:type="dxa"/>
            <w:tcBorders>
              <w:top w:val="single" w:color="auto" w:sz="4" w:space="0"/>
              <w:left w:val="single" w:color="auto" w:sz="4" w:space="0"/>
              <w:bottom w:val="single" w:color="auto" w:sz="4" w:space="0"/>
              <w:right w:val="single" w:color="auto" w:sz="4" w:space="0"/>
            </w:tcBorders>
            <w:vAlign w:val="center"/>
          </w:tcPr>
          <w:p w14:paraId="393157CB">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数据洞察系统</w:t>
            </w:r>
          </w:p>
        </w:tc>
        <w:tc>
          <w:tcPr>
            <w:tcW w:w="7203" w:type="dxa"/>
            <w:tcBorders>
              <w:top w:val="single" w:color="auto" w:sz="4" w:space="0"/>
              <w:left w:val="single" w:color="auto" w:sz="4" w:space="0"/>
              <w:bottom w:val="single" w:color="auto" w:sz="4" w:space="0"/>
              <w:right w:val="single" w:color="auto" w:sz="4" w:space="0"/>
            </w:tcBorders>
            <w:vAlign w:val="center"/>
          </w:tcPr>
          <w:p w14:paraId="7DE6AD1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63131BCF">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（一）学生分析</w:t>
            </w:r>
          </w:p>
          <w:p w14:paraId="4126A17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1.需支持按日历模式和按日模式记录学生日常线上练习成绩和课堂表现数据。</w:t>
            </w:r>
          </w:p>
          <w:p w14:paraId="07AC2B6F">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2.需支持查看每位学生各学科作业测评得分走势与班级平均得分率对比图；需支持依据课堂表现数据和线上练习数据为每名学生生成个人画像。</w:t>
            </w:r>
          </w:p>
          <w:p w14:paraId="39E0A62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3.需支持按学科查看学生练习提交情况、练习完成平均时长、各学科作业累积用时。</w:t>
            </w:r>
          </w:p>
          <w:p w14:paraId="4C4A1C3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4.需支持查看学生在作业练习、考试等场景的学业成绩、答题用时等数据，并支持与班级均值进行对比。</w:t>
            </w:r>
          </w:p>
          <w:p w14:paraId="5B66317D">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（二）学生管控</w:t>
            </w:r>
          </w:p>
          <w:p w14:paraId="36F30D5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1.需支持查看学校违规用户人数，学生多媒体资源增长数量，应用使用时长排行，应用版本及ROM版本分布情况。</w:t>
            </w:r>
          </w:p>
          <w:p w14:paraId="19AA70A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2.需支持按照用户名查看学生账号所属班级、最后登陆时间、设备更新时间并提供该账号下操作的具体详情。</w:t>
            </w:r>
          </w:p>
          <w:p w14:paraId="04AC121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对学生使用设备过程中异常行为进行预警，包括：使用时长过长、安装非法应用、安装破解应用、登录本机管理、资源数量增长过多、配置代理等；需支持查看有异常行为的学生及其设备信息、异常事件名称，事件时间基础信息。</w:t>
            </w:r>
          </w:p>
          <w:p w14:paraId="5408A471">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4.需支持按账号、设备查看当前设备的登录记录、应用安装卸载记录、本地已安装应用、历史ROM版本、历史违规行为、设备上报记录、地理位置记录信息。</w:t>
            </w:r>
          </w:p>
          <w:p w14:paraId="72E992D2">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（三）设备监管</w:t>
            </w:r>
          </w:p>
          <w:p w14:paraId="76F9AC9E">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1.需支持查看全校智慧课堂学生终端的活跃数量、活跃率及平均使用时长。</w:t>
            </w:r>
          </w:p>
        </w:tc>
        <w:tc>
          <w:tcPr>
            <w:tcW w:w="1090" w:type="dxa"/>
            <w:tcBorders>
              <w:top w:val="single" w:color="auto" w:sz="4" w:space="0"/>
              <w:left w:val="single" w:color="auto" w:sz="4" w:space="0"/>
              <w:bottom w:val="single" w:color="auto" w:sz="4" w:space="0"/>
              <w:right w:val="single" w:color="auto" w:sz="4" w:space="0"/>
            </w:tcBorders>
            <w:vAlign w:val="center"/>
          </w:tcPr>
          <w:p w14:paraId="7129DB6A">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2项</w:t>
            </w:r>
          </w:p>
        </w:tc>
      </w:tr>
      <w:tr w14:paraId="679BD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543FEB39">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58</w:t>
            </w:r>
          </w:p>
        </w:tc>
        <w:tc>
          <w:tcPr>
            <w:tcW w:w="1017" w:type="dxa"/>
            <w:tcBorders>
              <w:top w:val="single" w:color="auto" w:sz="4" w:space="0"/>
              <w:left w:val="single" w:color="auto" w:sz="4" w:space="0"/>
              <w:bottom w:val="single" w:color="auto" w:sz="4" w:space="0"/>
              <w:right w:val="single" w:color="auto" w:sz="4" w:space="0"/>
            </w:tcBorders>
            <w:vAlign w:val="center"/>
          </w:tcPr>
          <w:p w14:paraId="7F24B6C7">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rPr>
              <w:t>辅助学习系统</w:t>
            </w:r>
            <w:r>
              <w:rPr>
                <w:rFonts w:hint="eastAsia" w:ascii="仿宋_GB2312" w:hAnsi="仿宋_GB2312" w:eastAsia="仿宋_GB2312" w:cs="仿宋_GB2312"/>
                <w:color w:val="000000"/>
                <w:kern w:val="0"/>
                <w:sz w:val="24"/>
              </w:rPr>
              <w:t>2</w:t>
            </w:r>
          </w:p>
        </w:tc>
        <w:tc>
          <w:tcPr>
            <w:tcW w:w="7203" w:type="dxa"/>
            <w:tcBorders>
              <w:top w:val="single" w:color="auto" w:sz="4" w:space="0"/>
              <w:left w:val="single" w:color="auto" w:sz="4" w:space="0"/>
              <w:bottom w:val="single" w:color="auto" w:sz="4" w:space="0"/>
              <w:right w:val="single" w:color="auto" w:sz="4" w:space="0"/>
            </w:tcBorders>
            <w:vAlign w:val="center"/>
          </w:tcPr>
          <w:p w14:paraId="02A963C5">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（一）AI精准学：</w:t>
            </w:r>
          </w:p>
          <w:p w14:paraId="7584699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1.需支持中学数理化学科结合个性化精准学习数据和智能评测引擎，按照教材章节目录提供弱项知识点检测功能；</w:t>
            </w:r>
          </w:p>
          <w:p w14:paraId="716BA17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2.需支持学生通过试题测试定位薄弱知识；</w:t>
            </w:r>
          </w:p>
          <w:p w14:paraId="570780D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3.需支持针对薄弱知识点提供针对性学习方案，提供针对性提升练习和视频课程学习；</w:t>
            </w:r>
          </w:p>
          <w:p w14:paraId="583CDB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4.需支持学生仅做弱项知识点相关的的题，且支持查看当前知识点掌握情况。</w:t>
            </w:r>
          </w:p>
          <w:p w14:paraId="7D666DF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5.需支持按照教材章节目录提供知识点视频和对应知识卡片学习。</w:t>
            </w:r>
          </w:p>
          <w:p w14:paraId="6C07F459">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6.系统需支持同步阶段模拟测试，包括期中、期末的基础和进阶综合测试题。</w:t>
            </w:r>
          </w:p>
          <w:p w14:paraId="3F13C2E0">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（二）AI语言学习：</w:t>
            </w:r>
          </w:p>
          <w:p w14:paraId="1DB5954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1.需支持专项单词背诵及生词本功能，需支持学生将日常学习的单词加入生词本，进行学习计划设定。</w:t>
            </w:r>
          </w:p>
          <w:p w14:paraId="73692DC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音标练习、对话实战、听说练习，训练学生听说能力。音标练习需支持48个音标的发音方法、发音视频和单词练习；对话实战需支持通过情境对话来创造英语学习环境，帮助学生练习；听说练习方面，需提供多类型的听力训练。</w:t>
            </w:r>
          </w:p>
          <w:p w14:paraId="213ED90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3.需根据新课标《关于课外阅读的建议》，内置书目每个年级都有对应的推荐书目可供学生选择。</w:t>
            </w:r>
          </w:p>
          <w:p w14:paraId="7BBEAAD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4.需支持在阅读过程中，学生可从界面右下角随时唤起AI阅读助手并发起对话、为学生答疑解惑。</w:t>
            </w:r>
          </w:p>
          <w:p w14:paraId="056CEAA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5.需支持学生在文本中划词选中阅读内容，即可随时向AI助手提问，获取即时的朗读、赏析和解释以及针对性的讲解。</w:t>
            </w:r>
          </w:p>
          <w:p w14:paraId="475FBBC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6.需支持复原书中经典人物角色，让学生同书本内虚拟角色对话，激发兴趣、加深理解、启发思考。</w:t>
            </w:r>
          </w:p>
          <w:p w14:paraId="224413B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7.需提供阅读报告，统计展示阅读量、时长等阅读学情信息。</w:t>
            </w:r>
          </w:p>
          <w:p w14:paraId="6F48C43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8.需支持学生线下作文自动批改，系统将从单词、语句和篇章进行打分，并给出综合评价，支持查看作文原图和再次批改。</w:t>
            </w:r>
          </w:p>
          <w:p w14:paraId="1FA8F34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9.需提供中高考常见话题作文的自动批改，系统将从完整性、准确性和流畅性三个维度进行分析，并给出高分范文；</w:t>
            </w:r>
          </w:p>
          <w:p w14:paraId="2207BBA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10.需支持中译英和英译中。</w:t>
            </w:r>
          </w:p>
          <w:p w14:paraId="69BFE8F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11.需支持通过键盘录入或者语音录入（单词朗读、拼读，中/英文朗读）的方式，找到对应的单词。</w:t>
            </w:r>
          </w:p>
          <w:p w14:paraId="4638283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12.需支持通过语音或文本输入查询英语单词，给出对应的中英文翻译，展示拼写、发音、例句等。</w:t>
            </w:r>
          </w:p>
          <w:p w14:paraId="422FAB3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13.需支持将单词加入生词本中，方便学生整理复习。</w:t>
            </w:r>
          </w:p>
          <w:p w14:paraId="024BB61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14.需支持单词口语评测。</w:t>
            </w:r>
          </w:p>
          <w:p w14:paraId="63E73D4E">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（三）AI错题本：</w:t>
            </w:r>
          </w:p>
          <w:p w14:paraId="48BA184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1.需支持收集学生在自主学习、作业场景下产生的错题；</w:t>
            </w:r>
          </w:p>
          <w:p w14:paraId="392159B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2.需支持错题按照来源、错因、题型、时间段筛选；</w:t>
            </w:r>
          </w:p>
          <w:p w14:paraId="461A314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3.需支持错题订正和查看错题答案，支持错题打印和线下错题上传；</w:t>
            </w:r>
          </w:p>
          <w:p w14:paraId="59049FA6">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4.数学、物理、化学学科需支持提供变式题练习。</w:t>
            </w:r>
          </w:p>
        </w:tc>
        <w:tc>
          <w:tcPr>
            <w:tcW w:w="1090" w:type="dxa"/>
            <w:tcBorders>
              <w:top w:val="single" w:color="auto" w:sz="4" w:space="0"/>
              <w:left w:val="single" w:color="auto" w:sz="4" w:space="0"/>
              <w:bottom w:val="single" w:color="auto" w:sz="4" w:space="0"/>
              <w:right w:val="single" w:color="auto" w:sz="4" w:space="0"/>
            </w:tcBorders>
            <w:vAlign w:val="center"/>
          </w:tcPr>
          <w:p w14:paraId="0BFFF6AF">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1171套</w:t>
            </w:r>
          </w:p>
        </w:tc>
      </w:tr>
      <w:tr w14:paraId="54FFC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32922AC">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59</w:t>
            </w:r>
          </w:p>
        </w:tc>
        <w:tc>
          <w:tcPr>
            <w:tcW w:w="1017" w:type="dxa"/>
            <w:tcBorders>
              <w:top w:val="single" w:color="auto" w:sz="4" w:space="0"/>
              <w:left w:val="single" w:color="auto" w:sz="4" w:space="0"/>
              <w:bottom w:val="single" w:color="auto" w:sz="4" w:space="0"/>
              <w:right w:val="single" w:color="auto" w:sz="4" w:space="0"/>
            </w:tcBorders>
            <w:vAlign w:val="center"/>
          </w:tcPr>
          <w:p w14:paraId="13B8D4D1">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highlight w:val="yellow"/>
              </w:rPr>
              <w:t>高考备考系统</w:t>
            </w:r>
            <w:r>
              <w:rPr>
                <w:rFonts w:hint="eastAsia" w:ascii="仿宋_GB2312" w:hAnsi="仿宋_GB2312" w:eastAsia="仿宋_GB2312" w:cs="仿宋_GB2312"/>
                <w:color w:val="000000"/>
                <w:kern w:val="0"/>
                <w:sz w:val="24"/>
              </w:rPr>
              <w:t>2</w:t>
            </w:r>
          </w:p>
        </w:tc>
        <w:tc>
          <w:tcPr>
            <w:tcW w:w="7203" w:type="dxa"/>
            <w:tcBorders>
              <w:top w:val="single" w:color="auto" w:sz="4" w:space="0"/>
              <w:left w:val="single" w:color="auto" w:sz="4" w:space="0"/>
              <w:bottom w:val="single" w:color="auto" w:sz="4" w:space="0"/>
              <w:right w:val="single" w:color="auto" w:sz="4" w:space="0"/>
            </w:tcBorders>
            <w:vAlign w:val="center"/>
          </w:tcPr>
          <w:p w14:paraId="667EC28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bCs/>
                <w:color w:val="000000"/>
                <w:kern w:val="0"/>
                <w:sz w:val="24"/>
                <w:highlight w:val="yellow"/>
              </w:rPr>
              <w:t>（一）精品试卷</w:t>
            </w:r>
            <w:r>
              <w:rPr>
                <w:rFonts w:hint="eastAsia" w:ascii="仿宋_GB2312" w:hAnsi="仿宋_GB2312" w:eastAsia="仿宋_GB2312" w:cs="仿宋_GB2312"/>
                <w:b w:val="0"/>
                <w:bCs w:val="0"/>
                <w:color w:val="000000"/>
                <w:kern w:val="0"/>
                <w:sz w:val="24"/>
                <w:highlight w:val="yellow"/>
              </w:rPr>
              <w:t>：</w:t>
            </w:r>
          </w:p>
          <w:p w14:paraId="66BA7ADC">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1.需内置九大学科（数学/语文/英语/物理/化学/生物/政治/历史/地理）精品试卷，包含不同地区的优质真题卷和模拟卷。</w:t>
            </w:r>
          </w:p>
          <w:p w14:paraId="5701EFC7">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2.需支持按照学科、按区域筛选试卷。</w:t>
            </w:r>
          </w:p>
          <w:p w14:paraId="7963B4F6">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3.需支持对试卷展示其热度数据和试卷题型、题量，学生完成作答后，系统需支持提供作答报告，包括：统计作答正确率、已作答次数、答题时间，且需支持提供每道题的参考答案和试题解析。</w:t>
            </w:r>
          </w:p>
          <w:p w14:paraId="2F8C51B5">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4.需支持重新作答和错题自动归入电子错题本。</w:t>
            </w:r>
          </w:p>
          <w:p w14:paraId="02EEFE51">
            <w:pPr>
              <w:widowControl/>
              <w:jc w:val="left"/>
              <w:rPr>
                <w:rFonts w:hint="eastAsia" w:ascii="仿宋_GB2312" w:hAnsi="仿宋_GB2312" w:eastAsia="仿宋_GB2312" w:cs="仿宋_GB2312"/>
                <w:b/>
                <w:bCs/>
                <w:color w:val="000000"/>
                <w:kern w:val="0"/>
                <w:sz w:val="24"/>
                <w:highlight w:val="yellow"/>
              </w:rPr>
            </w:pPr>
            <w:r>
              <w:rPr>
                <w:rFonts w:hint="eastAsia" w:ascii="仿宋_GB2312" w:hAnsi="仿宋_GB2312" w:eastAsia="仿宋_GB2312" w:cs="仿宋_GB2312"/>
                <w:b/>
                <w:bCs/>
                <w:color w:val="000000"/>
                <w:kern w:val="0"/>
                <w:sz w:val="24"/>
                <w:highlight w:val="yellow"/>
              </w:rPr>
              <w:t>（二）高考备考：</w:t>
            </w:r>
          </w:p>
          <w:p w14:paraId="79C1D6F8">
            <w:pPr>
              <w:widowControl/>
              <w:jc w:val="left"/>
              <w:rPr>
                <w:rFonts w:hint="eastAsia" w:ascii="仿宋_GB2312" w:hAnsi="仿宋_GB2312" w:eastAsia="仿宋_GB2312" w:cs="仿宋_GB2312"/>
                <w:b w:val="0"/>
                <w:bCs w:val="0"/>
                <w:color w:val="000000"/>
                <w:kern w:val="0"/>
                <w:sz w:val="24"/>
                <w:highlight w:val="yellow"/>
              </w:rPr>
            </w:pPr>
            <w:r>
              <w:rPr>
                <w:rFonts w:hint="eastAsia" w:ascii="仿宋_GB2312" w:hAnsi="仿宋_GB2312" w:eastAsia="仿宋_GB2312" w:cs="仿宋_GB2312"/>
                <w:b w:val="0"/>
                <w:bCs w:val="0"/>
                <w:color w:val="000000"/>
                <w:kern w:val="0"/>
                <w:sz w:val="24"/>
                <w:highlight w:val="yellow"/>
              </w:rPr>
              <w:t>1. 需支持内置不少于五个学科的备考资料包和精品试卷,备考资料包需呈现考情分析、典型例题。</w:t>
            </w:r>
          </w:p>
          <w:p w14:paraId="19EC4BE6">
            <w:pPr>
              <w:jc w:val="left"/>
              <w:rPr>
                <w:rFonts w:hint="eastAsia" w:ascii="仿宋_GB2312" w:hAnsi="仿宋_GB2312" w:eastAsia="仿宋_GB2312" w:cs="仿宋_GB2312"/>
                <w:color w:val="000000"/>
                <w:sz w:val="24"/>
              </w:rPr>
            </w:pPr>
            <w:r>
              <w:rPr>
                <w:rFonts w:hint="eastAsia" w:ascii="仿宋_GB2312" w:hAnsi="仿宋_GB2312" w:eastAsia="仿宋_GB2312" w:cs="仿宋_GB2312"/>
                <w:b w:val="0"/>
                <w:bCs w:val="0"/>
                <w:color w:val="000000"/>
                <w:kern w:val="0"/>
                <w:sz w:val="24"/>
                <w:highlight w:val="yellow"/>
              </w:rPr>
              <w:t>2.需提供备考学情数据和练习记录数据，其中，备考学情数据需包括：资料包已学套数、已练习套数、周平均正确率及与上周对比。</w:t>
            </w:r>
          </w:p>
        </w:tc>
        <w:tc>
          <w:tcPr>
            <w:tcW w:w="1090" w:type="dxa"/>
            <w:tcBorders>
              <w:top w:val="single" w:color="auto" w:sz="4" w:space="0"/>
              <w:left w:val="single" w:color="auto" w:sz="4" w:space="0"/>
              <w:bottom w:val="single" w:color="auto" w:sz="4" w:space="0"/>
              <w:right w:val="single" w:color="auto" w:sz="4" w:space="0"/>
            </w:tcBorders>
            <w:vAlign w:val="center"/>
          </w:tcPr>
          <w:p w14:paraId="57F2F436">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1171套</w:t>
            </w:r>
          </w:p>
        </w:tc>
      </w:tr>
      <w:tr w14:paraId="08F1D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6FE9CEF9">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60</w:t>
            </w:r>
          </w:p>
        </w:tc>
        <w:tc>
          <w:tcPr>
            <w:tcW w:w="1017" w:type="dxa"/>
            <w:tcBorders>
              <w:top w:val="single" w:color="auto" w:sz="4" w:space="0"/>
              <w:left w:val="single" w:color="auto" w:sz="4" w:space="0"/>
              <w:bottom w:val="single" w:color="auto" w:sz="4" w:space="0"/>
              <w:right w:val="single" w:color="auto" w:sz="4" w:space="0"/>
            </w:tcBorders>
            <w:vAlign w:val="center"/>
          </w:tcPr>
          <w:p w14:paraId="4AA1FF10">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资源中心2</w:t>
            </w:r>
          </w:p>
        </w:tc>
        <w:tc>
          <w:tcPr>
            <w:tcW w:w="7203" w:type="dxa"/>
            <w:tcBorders>
              <w:top w:val="single" w:color="auto" w:sz="4" w:space="0"/>
              <w:left w:val="single" w:color="auto" w:sz="4" w:space="0"/>
              <w:bottom w:val="single" w:color="auto" w:sz="4" w:space="0"/>
              <w:right w:val="single" w:color="auto" w:sz="4" w:space="0"/>
            </w:tcBorders>
            <w:vAlign w:val="center"/>
          </w:tcPr>
          <w:p w14:paraId="749E0C02">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（一）同步资料：</w:t>
            </w:r>
          </w:p>
          <w:p w14:paraId="15AA844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1.需支持提供学科资源，包括：语文、英语、数学、化学、物理等学科，内含微课视频、音频、图片、ppt、word等类型资源。</w:t>
            </w:r>
          </w:p>
          <w:p w14:paraId="5CD24E1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2.需支持学生按照年级、学科、教材、资源类型进行筛选、查看学习，需支持资源搜索功能。</w:t>
            </w:r>
          </w:p>
          <w:p w14:paraId="22E918A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3.需支持查看、点击具体章节目录，查看对应节点下的同步资料。</w:t>
            </w:r>
          </w:p>
          <w:p w14:paraId="0B422C1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4.需支持将重点可下载资料下载到本地进行学习。</w:t>
            </w:r>
          </w:p>
          <w:p w14:paraId="07CC8884">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（二）微课中心：</w:t>
            </w:r>
          </w:p>
          <w:p w14:paraId="41F8E6D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1.需支持学科知识微课学习；</w:t>
            </w:r>
          </w:p>
          <w:p w14:paraId="48CD675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2.需支持通过年级、学科筛选微课资源；</w:t>
            </w:r>
          </w:p>
          <w:p w14:paraId="335AF8A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3.需支持在线观看、离线缓存、加入我的课程。</w:t>
            </w:r>
          </w:p>
          <w:p w14:paraId="38E85B67">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（三）同步电子课本：</w:t>
            </w:r>
          </w:p>
          <w:p w14:paraId="469313D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1.需支持学生下载多学科电子课本；</w:t>
            </w:r>
          </w:p>
          <w:p w14:paraId="7A44135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2.需支持错题按照来源、错因、题型、时间段筛选；</w:t>
            </w:r>
          </w:p>
          <w:p w14:paraId="0CB2471C">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3.支持朗读的过程中进行暂停和播放操作。</w:t>
            </w:r>
          </w:p>
        </w:tc>
        <w:tc>
          <w:tcPr>
            <w:tcW w:w="1090" w:type="dxa"/>
            <w:tcBorders>
              <w:top w:val="single" w:color="auto" w:sz="4" w:space="0"/>
              <w:left w:val="single" w:color="auto" w:sz="4" w:space="0"/>
              <w:bottom w:val="single" w:color="auto" w:sz="4" w:space="0"/>
              <w:right w:val="single" w:color="auto" w:sz="4" w:space="0"/>
            </w:tcBorders>
            <w:vAlign w:val="center"/>
          </w:tcPr>
          <w:p w14:paraId="286693A7">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1171套</w:t>
            </w:r>
          </w:p>
        </w:tc>
      </w:tr>
      <w:tr w14:paraId="7DA1A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239223BF">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61</w:t>
            </w:r>
          </w:p>
        </w:tc>
        <w:tc>
          <w:tcPr>
            <w:tcW w:w="1017" w:type="dxa"/>
            <w:tcBorders>
              <w:top w:val="single" w:color="auto" w:sz="4" w:space="0"/>
              <w:left w:val="single" w:color="auto" w:sz="4" w:space="0"/>
              <w:bottom w:val="single" w:color="auto" w:sz="4" w:space="0"/>
              <w:right w:val="single" w:color="auto" w:sz="4" w:space="0"/>
            </w:tcBorders>
            <w:vAlign w:val="center"/>
          </w:tcPr>
          <w:p w14:paraId="64D458F9">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个人中心2</w:t>
            </w:r>
          </w:p>
        </w:tc>
        <w:tc>
          <w:tcPr>
            <w:tcW w:w="7203" w:type="dxa"/>
            <w:tcBorders>
              <w:top w:val="single" w:color="auto" w:sz="4" w:space="0"/>
              <w:left w:val="single" w:color="auto" w:sz="4" w:space="0"/>
              <w:bottom w:val="single" w:color="auto" w:sz="4" w:space="0"/>
              <w:right w:val="single" w:color="auto" w:sz="4" w:space="0"/>
            </w:tcBorders>
            <w:vAlign w:val="center"/>
          </w:tcPr>
          <w:p w14:paraId="2A16A001">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（一）学习报告：</w:t>
            </w:r>
          </w:p>
          <w:p w14:paraId="5DEFDBD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1.需支持生成学生的学习周报；</w:t>
            </w:r>
          </w:p>
          <w:p w14:paraId="7CCD2EC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2.需支持统计学生学习数据，按照全部及各学科呈现答题情况；</w:t>
            </w:r>
          </w:p>
          <w:p w14:paraId="21EF1D68">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3.需支持统计学生答题数据、答题正确率等，并支持查看学生知识点掌握情况;</w:t>
            </w:r>
          </w:p>
          <w:p w14:paraId="588336A2">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（二）学生激励系统：</w:t>
            </w:r>
          </w:p>
          <w:p w14:paraId="0131867C">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1.需支持统计学生学习表现所获积分，学习积分与学生在自主学习答题、订正错题等行为相关；</w:t>
            </w:r>
          </w:p>
          <w:p w14:paraId="3249A87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2.需支持学生在获得相应积分后，通过积分兑换虚拟奖励（如：用户头像、挂件等）。</w:t>
            </w:r>
          </w:p>
          <w:p w14:paraId="73BDC424">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（三）学生安全管控中心：</w:t>
            </w:r>
          </w:p>
          <w:p w14:paraId="6756DD9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1.学生终端需预置绿色安全桌面作为系统的默认桌面且防第三方篡改；</w:t>
            </w:r>
          </w:p>
          <w:p w14:paraId="02EE9EB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2.系统需支持限制用户随意修改系统设置项和随意安装或卸载应用；</w:t>
            </w:r>
          </w:p>
          <w:p w14:paraId="2EFA3FC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3.系统需支持通过系统底层限制的方式防止用户通过下载市场通路版本的ROM刷机成非管控的系统。</w:t>
            </w:r>
          </w:p>
          <w:p w14:paraId="0AE2CDD2">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4.需支持一机一号，需支持账号异地登录风险提醒，识别异常登录行为。</w:t>
            </w:r>
          </w:p>
          <w:p w14:paraId="444AB36A">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5.后台管理：</w:t>
            </w:r>
          </w:p>
          <w:p w14:paraId="0D17967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（1）学生终端管控：需支持远程实时获取学生终端设备信息和应用安装信息。需支持后台管理网址白名单、应用白名单。</w:t>
            </w:r>
          </w:p>
          <w:p w14:paraId="0A77999B">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（2）应用管理：需支持管理应用是否允许卸载、更新及应用使用时间段。</w:t>
            </w:r>
          </w:p>
          <w:p w14:paraId="64D964FE">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（3）需支持设备功能管控服务，包括蓝牙开关、摄像头、USB、虚拟按键和物理按键的启用禁用等；需支持远程关闭学生终端或远程恢复出厂设置。</w:t>
            </w:r>
          </w:p>
          <w:p w14:paraId="7B64BE65">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（4）需支持针对学生终端异常行为分析的违规告警，需支持远程清理学生机相册资源。</w:t>
            </w:r>
          </w:p>
          <w:p w14:paraId="673D7EB1">
            <w:pPr>
              <w:widowControl/>
              <w:jc w:val="left"/>
              <w:rPr>
                <w:rFonts w:hint="eastAsia" w:ascii="仿宋_GB2312" w:hAnsi="仿宋_GB2312" w:eastAsia="仿宋_GB2312" w:cs="仿宋_GB2312"/>
                <w:b/>
                <w:bCs/>
                <w:color w:val="000000"/>
                <w:kern w:val="0"/>
                <w:sz w:val="24"/>
              </w:rPr>
            </w:pPr>
            <w:r>
              <w:rPr>
                <w:rFonts w:hint="eastAsia" w:ascii="仿宋_GB2312" w:hAnsi="仿宋_GB2312" w:eastAsia="仿宋_GB2312" w:cs="仿宋_GB2312"/>
                <w:b/>
                <w:bCs/>
                <w:color w:val="000000"/>
                <w:kern w:val="0"/>
                <w:sz w:val="24"/>
              </w:rPr>
              <w:t>（四）绿色安全护眼：</w:t>
            </w:r>
          </w:p>
          <w:p w14:paraId="31662C7D">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1.学生端需支持设置过滤蓝光、定时休息时间；</w:t>
            </w:r>
          </w:p>
          <w:p w14:paraId="7C2FED06">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2.屏幕支持自动调节亮度、开启阅读模式；</w:t>
            </w:r>
          </w:p>
          <w:p w14:paraId="4E879293">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家校共育小程序：</w:t>
            </w:r>
          </w:p>
          <w:p w14:paraId="23906DB4">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1.需支持家长通过微信小程序绑定学生设备。</w:t>
            </w:r>
          </w:p>
          <w:p w14:paraId="7D400D77">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2.需支持家长通过微信小程序查看学生学习周报，包括学情、学习任务等。</w:t>
            </w:r>
          </w:p>
          <w:p w14:paraId="65AE556F">
            <w:pPr>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3.需支持家长通过微信小程序给学生发送信息。</w:t>
            </w:r>
          </w:p>
        </w:tc>
        <w:tc>
          <w:tcPr>
            <w:tcW w:w="1090" w:type="dxa"/>
            <w:tcBorders>
              <w:top w:val="single" w:color="auto" w:sz="4" w:space="0"/>
              <w:left w:val="single" w:color="auto" w:sz="4" w:space="0"/>
              <w:bottom w:val="single" w:color="auto" w:sz="4" w:space="0"/>
              <w:right w:val="single" w:color="auto" w:sz="4" w:space="0"/>
            </w:tcBorders>
            <w:vAlign w:val="center"/>
          </w:tcPr>
          <w:p w14:paraId="10607C43">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1171套</w:t>
            </w:r>
          </w:p>
        </w:tc>
      </w:tr>
      <w:tr w14:paraId="219AB6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90" w:type="dxa"/>
            <w:tcBorders>
              <w:top w:val="single" w:color="auto" w:sz="4" w:space="0"/>
              <w:left w:val="single" w:color="auto" w:sz="4" w:space="0"/>
              <w:bottom w:val="single" w:color="auto" w:sz="4" w:space="0"/>
              <w:right w:val="single" w:color="auto" w:sz="4" w:space="0"/>
            </w:tcBorders>
            <w:vAlign w:val="center"/>
          </w:tcPr>
          <w:p w14:paraId="7AAA4B17">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62</w:t>
            </w:r>
          </w:p>
        </w:tc>
        <w:tc>
          <w:tcPr>
            <w:tcW w:w="1017" w:type="dxa"/>
            <w:tcBorders>
              <w:top w:val="single" w:color="auto" w:sz="4" w:space="0"/>
              <w:left w:val="single" w:color="auto" w:sz="4" w:space="0"/>
              <w:bottom w:val="single" w:color="auto" w:sz="4" w:space="0"/>
              <w:right w:val="single" w:color="auto" w:sz="4" w:space="0"/>
            </w:tcBorders>
            <w:vAlign w:val="center"/>
          </w:tcPr>
          <w:p w14:paraId="597388A6">
            <w:pPr>
              <w:widowControl/>
              <w:jc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rPr>
              <w:t>充电座3</w:t>
            </w:r>
          </w:p>
        </w:tc>
        <w:tc>
          <w:tcPr>
            <w:tcW w:w="7203" w:type="dxa"/>
            <w:tcBorders>
              <w:top w:val="single" w:color="auto" w:sz="4" w:space="0"/>
              <w:left w:val="single" w:color="auto" w:sz="4" w:space="0"/>
              <w:bottom w:val="single" w:color="auto" w:sz="4" w:space="0"/>
              <w:right w:val="single" w:color="auto" w:sz="4" w:space="0"/>
            </w:tcBorders>
            <w:vAlign w:val="center"/>
          </w:tcPr>
          <w:p w14:paraId="601D0320">
            <w:pPr>
              <w:widowControl/>
              <w:jc w:val="left"/>
              <w:rPr>
                <w:rFonts w:hint="eastAsia" w:ascii="仿宋_GB2312" w:hAnsi="仿宋_GB2312" w:eastAsia="仿宋_GB2312" w:cs="仿宋_GB2312"/>
                <w:color w:val="000000"/>
                <w:kern w:val="0"/>
                <w:sz w:val="24"/>
              </w:rPr>
            </w:pPr>
            <w:r>
              <w:rPr>
                <w:rFonts w:hint="eastAsia" w:ascii="仿宋_GB2312" w:hAnsi="仿宋_GB2312" w:eastAsia="仿宋_GB2312" w:cs="仿宋_GB2312"/>
                <w:color w:val="000000"/>
                <w:kern w:val="0"/>
                <w:sz w:val="24"/>
              </w:rPr>
              <w:t>详细参数：</w:t>
            </w:r>
          </w:p>
          <w:p w14:paraId="38887D43">
            <w:pPr>
              <w:widowControl/>
              <w:jc w:val="left"/>
              <w:rPr>
                <w:rFonts w:hint="eastAsia" w:ascii="仿宋_GB2312" w:hAnsi="仿宋_GB2312" w:eastAsia="仿宋_GB2312" w:cs="仿宋_GB2312"/>
                <w:color w:val="000000"/>
                <w:sz w:val="24"/>
              </w:rPr>
            </w:pPr>
            <w:r>
              <w:rPr>
                <w:rFonts w:hint="eastAsia" w:ascii="仿宋_GB2312" w:hAnsi="仿宋_GB2312" w:eastAsia="仿宋_GB2312" w:cs="仿宋_GB2312"/>
                <w:color w:val="000000"/>
                <w:kern w:val="0"/>
                <w:sz w:val="24"/>
              </w:rPr>
              <w:t>可充电且带平板支架，拔除充电线或充电线断，则报警，带防盗。</w:t>
            </w:r>
          </w:p>
        </w:tc>
        <w:tc>
          <w:tcPr>
            <w:tcW w:w="1090" w:type="dxa"/>
            <w:tcBorders>
              <w:top w:val="single" w:color="auto" w:sz="4" w:space="0"/>
              <w:left w:val="single" w:color="auto" w:sz="4" w:space="0"/>
              <w:bottom w:val="single" w:color="auto" w:sz="4" w:space="0"/>
              <w:right w:val="single" w:color="auto" w:sz="4" w:space="0"/>
            </w:tcBorders>
            <w:vAlign w:val="center"/>
          </w:tcPr>
          <w:p w14:paraId="02839803">
            <w:pPr>
              <w:widowControl/>
              <w:jc w:val="center"/>
              <w:textAlignment w:val="center"/>
              <w:rPr>
                <w:rFonts w:hint="eastAsia" w:ascii="仿宋_GB2312" w:hAnsi="仿宋_GB2312" w:eastAsia="仿宋_GB2312" w:cs="仿宋_GB2312"/>
                <w:sz w:val="24"/>
              </w:rPr>
            </w:pPr>
            <w:r>
              <w:rPr>
                <w:rFonts w:hint="eastAsia" w:ascii="仿宋_GB2312" w:hAnsi="仿宋_GB2312" w:eastAsia="仿宋_GB2312" w:cs="仿宋_GB2312"/>
                <w:color w:val="000000"/>
                <w:kern w:val="0"/>
                <w:sz w:val="24"/>
                <w:lang w:bidi="ar"/>
              </w:rPr>
              <w:t>103台</w:t>
            </w:r>
          </w:p>
        </w:tc>
      </w:tr>
    </w:tbl>
    <w:p w14:paraId="0D477905"/>
    <w:tbl>
      <w:tblPr>
        <w:tblStyle w:val="48"/>
        <w:tblW w:w="9214"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0"/>
        <w:gridCol w:w="7654"/>
      </w:tblGrid>
      <w:tr w14:paraId="2DCFBA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0255BA10">
            <w:pPr>
              <w:spacing w:line="400" w:lineRule="exact"/>
              <w:ind w:right="-330" w:rightChars="-157"/>
              <w:rPr>
                <w:rFonts w:hint="eastAsia" w:ascii="仿宋_GB2312" w:hAnsi="宋体" w:eastAsia="仿宋_GB2312" w:cs="宋体"/>
                <w:b/>
                <w:color w:val="000000"/>
                <w:kern w:val="0"/>
                <w:sz w:val="24"/>
              </w:rPr>
            </w:pPr>
            <w:r>
              <w:rPr>
                <w:rFonts w:ascii="仿宋_GB2312" w:hAnsi="宋体" w:eastAsia="仿宋_GB2312" w:cs="宋体"/>
                <w:b/>
                <w:kern w:val="0"/>
                <w:sz w:val="24"/>
              </w:rPr>
              <w:t>★</w:t>
            </w:r>
            <w:r>
              <w:rPr>
                <w:rFonts w:hint="eastAsia" w:ascii="仿宋_GB2312" w:hAnsi="宋体" w:eastAsia="仿宋_GB2312" w:cs="宋体"/>
                <w:b/>
                <w:color w:val="000000"/>
                <w:kern w:val="0"/>
                <w:sz w:val="24"/>
              </w:rPr>
              <w:t>二、商务要求</w:t>
            </w:r>
          </w:p>
        </w:tc>
      </w:tr>
      <w:tr w14:paraId="737381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0C49BA34">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基本要求</w:t>
            </w:r>
          </w:p>
        </w:tc>
        <w:tc>
          <w:tcPr>
            <w:tcW w:w="7654" w:type="dxa"/>
            <w:tcBorders>
              <w:top w:val="single" w:color="auto" w:sz="4" w:space="0"/>
              <w:left w:val="single" w:color="auto" w:sz="4" w:space="0"/>
              <w:bottom w:val="single" w:color="auto" w:sz="4" w:space="0"/>
              <w:right w:val="single" w:color="auto" w:sz="4" w:space="0"/>
            </w:tcBorders>
            <w:vAlign w:val="center"/>
          </w:tcPr>
          <w:p w14:paraId="0C6CAB15">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本项目投标报价包括货物及货物运抵指定交付地点的各种费用、随配附件、备品备件、易损件、专用工具、安装调试、技术培训、技术资料、包装、售后服务、保险费、税金、验收检验及其他所有成本费用的总和；</w:t>
            </w:r>
          </w:p>
          <w:p w14:paraId="795406C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2.投标人应保证投标产品涉及的知识产权和所提供的相关技术资料是合法取得，不会因为采购人的使用而被责令停止使用、追偿或要求赔偿损失，如出现此情况，一切经济和法律责任均由投标人承担；</w:t>
            </w:r>
          </w:p>
          <w:p w14:paraId="24D925C0">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3.投标人所投产品应符合国家有关部门规定的相应技术、节能、安全和环保标准；国家有关部门对所投产品有强制性规定或要求的，必须符合相应规定或要求。</w:t>
            </w:r>
          </w:p>
          <w:p w14:paraId="1F475B44">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4.本项目所采购的产品如属于《网络关键设备和网络安全专用产品目录》的，应严格执行《关于调整网络安全专用产品安全管理有关事项的公告》 《关于调整〈网络关键设备和网络安全专用产品目录〉的公告》等相关 文件要求，所投产品应符合由具备资格的机构安全认证合格或安全检测 符合要求。</w:t>
            </w:r>
          </w:p>
          <w:p w14:paraId="79836F3D">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5.带“★”的条款为本项目实质性要求条款。货物供货验收阶段，采购人有权对★标注的功能、参数进行核验。若核验结果不满足投标文件承诺内容，视为供应商履约违约，采购人有权拒收货物、解除合同，并追究其违约责任；经查实属于投标时弄虚作假、虚假响应谋取中标的，将上报财政监管部门按虚假应标相关规定处理。</w:t>
            </w:r>
          </w:p>
          <w:p w14:paraId="31EE9E52">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6.投标人应具备为本项目服务的安装管理团队。</w:t>
            </w:r>
          </w:p>
        </w:tc>
      </w:tr>
      <w:tr w14:paraId="46AC62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9760BB7">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质量保证期</w:t>
            </w:r>
          </w:p>
        </w:tc>
        <w:tc>
          <w:tcPr>
            <w:tcW w:w="7654" w:type="dxa"/>
            <w:tcBorders>
              <w:top w:val="single" w:color="auto" w:sz="4" w:space="0"/>
              <w:left w:val="single" w:color="auto" w:sz="4" w:space="0"/>
              <w:bottom w:val="single" w:color="auto" w:sz="4" w:space="0"/>
              <w:right w:val="single" w:color="auto" w:sz="4" w:space="0"/>
            </w:tcBorders>
            <w:vAlign w:val="center"/>
          </w:tcPr>
          <w:p w14:paraId="247CA50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自验收合格后交付使用之日起3年。 “一、项目技术规格参数及要求”中另有要求的，按 “一、项目技术规格参数及要求”要求执行。</w:t>
            </w:r>
          </w:p>
        </w:tc>
      </w:tr>
      <w:tr w14:paraId="48A3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6A9E7313">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售后服务要求</w:t>
            </w:r>
          </w:p>
        </w:tc>
        <w:tc>
          <w:tcPr>
            <w:tcW w:w="7654" w:type="dxa"/>
            <w:tcBorders>
              <w:top w:val="single" w:color="auto" w:sz="4" w:space="0"/>
              <w:left w:val="single" w:color="auto" w:sz="4" w:space="0"/>
              <w:bottom w:val="single" w:color="auto" w:sz="4" w:space="0"/>
              <w:right w:val="single" w:color="auto" w:sz="4" w:space="0"/>
            </w:tcBorders>
            <w:vAlign w:val="center"/>
          </w:tcPr>
          <w:p w14:paraId="781A65F1">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1.投标产品必须是按厂家标准配置的整套全新产品，按国家规定实行“三包”，免费送货上门、免费安装调试（附安装说明书）及人员培训，培训后采购人可熟悉基本操作；</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2.故障处理 ：提供7*24小时维修服务，并提供售后服务电话，出现故障应在接到故障通知起2小时内响应，一般问题4小时内通过远程方式解决；遇到大的问题，在接到报修通知后8小时内派技术人员到达现场维修，故障修复时限不超过24小时,如超过时限无法排除故障，免费提供同等质量的产品作为备用品供采购人使用，直到修复完成。</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3.质量保证期内免费提供维修服务（含人工费、配件费、差旅费等各项费用），所更换的所有零配件全部使用原厂配件；保修期以外一律按投标文件承诺的优惠价收费，提供终身上门维修服务。</w:t>
            </w:r>
          </w:p>
        </w:tc>
      </w:tr>
      <w:tr w14:paraId="2875E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128F8700">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交货时间及地点</w:t>
            </w:r>
          </w:p>
        </w:tc>
        <w:tc>
          <w:tcPr>
            <w:tcW w:w="7654" w:type="dxa"/>
            <w:tcBorders>
              <w:top w:val="single" w:color="auto" w:sz="4" w:space="0"/>
              <w:left w:val="single" w:color="auto" w:sz="4" w:space="0"/>
              <w:bottom w:val="single" w:color="auto" w:sz="4" w:space="0"/>
              <w:right w:val="single" w:color="auto" w:sz="4" w:space="0"/>
            </w:tcBorders>
            <w:vAlign w:val="center"/>
          </w:tcPr>
          <w:p w14:paraId="62D94897">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1.交货时间：自签订合同之日起</w:t>
            </w:r>
            <w:r>
              <w:rPr>
                <w:rFonts w:hint="eastAsia" w:ascii="仿宋_GB2312" w:hAnsi="仿宋_GB2312" w:eastAsia="仿宋_GB2312" w:cs="仿宋_GB2312"/>
                <w:bCs/>
                <w:color w:val="000000"/>
                <w:sz w:val="24"/>
                <w:u w:val="single"/>
              </w:rPr>
              <w:t>60</w:t>
            </w:r>
            <w:r>
              <w:rPr>
                <w:rFonts w:hint="eastAsia" w:ascii="仿宋_GB2312" w:hAnsi="仿宋_GB2312" w:eastAsia="仿宋_GB2312" w:cs="仿宋_GB2312"/>
                <w:bCs/>
                <w:color w:val="000000"/>
                <w:sz w:val="24"/>
              </w:rPr>
              <w:t>日内安装调试完毕，验收合格并交付使用</w:t>
            </w:r>
            <w:r>
              <w:rPr>
                <w:rFonts w:hint="eastAsia" w:ascii="仿宋_GB2312" w:hAnsi="仿宋_GB2312" w:eastAsia="仿宋_GB2312" w:cs="仿宋_GB2312"/>
                <w:bCs/>
                <w:color w:val="000000"/>
                <w:sz w:val="24"/>
                <w:lang w:eastAsia="zh-CN"/>
              </w:rPr>
              <w:t>。</w:t>
            </w:r>
            <w:r>
              <w:rPr>
                <w:rFonts w:hint="eastAsia" w:ascii="仿宋_GB2312" w:hAnsi="仿宋_GB2312" w:eastAsia="仿宋_GB2312" w:cs="仿宋_GB2312"/>
                <w:bCs/>
                <w:color w:val="000000"/>
                <w:sz w:val="24"/>
                <w:highlight w:val="yellow"/>
              </w:rPr>
              <w:t>但因前置施工工序延误、其他</w:t>
            </w:r>
            <w:r>
              <w:rPr>
                <w:rFonts w:hint="eastAsia" w:ascii="仿宋_GB2312" w:hAnsi="仿宋_GB2312" w:eastAsia="仿宋_GB2312" w:cs="仿宋_GB2312"/>
                <w:bCs/>
                <w:color w:val="000000"/>
                <w:sz w:val="24"/>
                <w:highlight w:val="yellow"/>
                <w:lang w:eastAsia="zh-CN"/>
              </w:rPr>
              <w:t>第三方</w:t>
            </w:r>
            <w:r>
              <w:rPr>
                <w:rFonts w:hint="eastAsia" w:ascii="仿宋_GB2312" w:hAnsi="仿宋_GB2312" w:eastAsia="仿宋_GB2312" w:cs="仿宋_GB2312"/>
                <w:bCs/>
                <w:color w:val="000000"/>
                <w:sz w:val="24"/>
                <w:highlight w:val="yellow"/>
              </w:rPr>
              <w:t>原因或不可抗力导致</w:t>
            </w:r>
            <w:r>
              <w:rPr>
                <w:rFonts w:hint="eastAsia" w:ascii="仿宋_GB2312" w:hAnsi="仿宋_GB2312" w:eastAsia="仿宋_GB2312" w:cs="仿宋_GB2312"/>
                <w:bCs/>
                <w:color w:val="000000"/>
                <w:sz w:val="24"/>
                <w:highlight w:val="yellow"/>
                <w:lang w:eastAsia="zh-CN"/>
              </w:rPr>
              <w:t>中标人</w:t>
            </w:r>
            <w:r>
              <w:rPr>
                <w:rFonts w:hint="eastAsia" w:ascii="仿宋_GB2312" w:hAnsi="仿宋_GB2312" w:eastAsia="仿宋_GB2312" w:cs="仿宋_GB2312"/>
                <w:bCs/>
                <w:color w:val="000000"/>
                <w:sz w:val="24"/>
                <w:highlight w:val="yellow"/>
              </w:rPr>
              <w:t>无法按时进场或无法正常施工的，工期相应顺延，顺延天数以实际延误天数为准。</w:t>
            </w:r>
            <w:r>
              <w:rPr>
                <w:rFonts w:hint="eastAsia" w:ascii="仿宋_GB2312" w:hAnsi="仿宋_GB2312" w:eastAsia="仿宋_GB2312" w:cs="仿宋_GB2312"/>
                <w:bCs/>
                <w:color w:val="000000"/>
                <w:sz w:val="24"/>
                <w:highlight w:val="yellow"/>
                <w:lang w:eastAsia="zh-CN"/>
              </w:rPr>
              <w:t>中标人</w:t>
            </w:r>
            <w:r>
              <w:rPr>
                <w:rFonts w:hint="eastAsia" w:ascii="仿宋_GB2312" w:hAnsi="仿宋_GB2312" w:eastAsia="仿宋_GB2312" w:cs="仿宋_GB2312"/>
                <w:bCs/>
                <w:color w:val="000000"/>
                <w:sz w:val="24"/>
                <w:highlight w:val="yellow"/>
              </w:rPr>
              <w:t>应在延误事由发生后3日内书面通知采购人，经采购人确认后调整交付日期</w:t>
            </w:r>
            <w:r>
              <w:rPr>
                <w:rFonts w:hint="eastAsia" w:ascii="仿宋_GB2312" w:hAnsi="仿宋_GB2312" w:eastAsia="仿宋_GB2312" w:cs="仿宋_GB2312"/>
                <w:bCs/>
                <w:color w:val="000000"/>
                <w:sz w:val="24"/>
              </w:rPr>
              <w:t>；</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2.交货地点：广西柳州市采购人指定地点。</w:t>
            </w:r>
          </w:p>
        </w:tc>
      </w:tr>
      <w:tr w14:paraId="290A1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54433931">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付款方式</w:t>
            </w:r>
          </w:p>
        </w:tc>
        <w:tc>
          <w:tcPr>
            <w:tcW w:w="7654" w:type="dxa"/>
            <w:tcBorders>
              <w:top w:val="single" w:color="auto" w:sz="4" w:space="0"/>
              <w:left w:val="single" w:color="auto" w:sz="4" w:space="0"/>
              <w:bottom w:val="single" w:color="auto" w:sz="4" w:space="0"/>
              <w:right w:val="single" w:color="auto" w:sz="4" w:space="0"/>
            </w:tcBorders>
            <w:vAlign w:val="center"/>
          </w:tcPr>
          <w:p w14:paraId="0F023D60">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财政性资金按财政国库集中支付规定程序办理。</w:t>
            </w:r>
          </w:p>
          <w:p w14:paraId="030BFDEF">
            <w:pPr>
              <w:spacing w:line="440" w:lineRule="exact"/>
              <w:ind w:firstLine="480" w:firstLineChars="200"/>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本项目无预付款，货物全部到货完毕，货物验收合格后，采购人在收到中标人开具的合同总价款的 40%增值税</w:t>
            </w:r>
            <w:r>
              <w:rPr>
                <w:rFonts w:hint="eastAsia" w:ascii="仿宋_GB2312" w:hAnsi="仿宋_GB2312" w:eastAsia="仿宋_GB2312" w:cs="仿宋_GB2312"/>
                <w:bCs/>
                <w:color w:val="000000"/>
                <w:sz w:val="24"/>
                <w:lang w:eastAsia="zh-CN"/>
              </w:rPr>
              <w:t>普通发票</w:t>
            </w:r>
            <w:r>
              <w:rPr>
                <w:rFonts w:hint="eastAsia" w:ascii="仿宋_GB2312" w:hAnsi="仿宋_GB2312" w:eastAsia="仿宋_GB2312" w:cs="仿宋_GB2312"/>
                <w:bCs/>
                <w:color w:val="000000"/>
                <w:sz w:val="24"/>
              </w:rPr>
              <w:t>之日起 10 个工作日内向中标人指定账户支付合同总价款的 40%；全部安装、调试完毕，项目整体交付使用并通过最终验收合格后，采购人在收到中标人开具的合同总价款 60%增值税</w:t>
            </w:r>
            <w:r>
              <w:rPr>
                <w:rFonts w:hint="eastAsia" w:ascii="仿宋_GB2312" w:hAnsi="仿宋_GB2312" w:eastAsia="仿宋_GB2312" w:cs="仿宋_GB2312"/>
                <w:bCs/>
                <w:color w:val="000000"/>
                <w:sz w:val="24"/>
                <w:lang w:eastAsia="zh-CN"/>
              </w:rPr>
              <w:t>普通发票</w:t>
            </w:r>
            <w:r>
              <w:rPr>
                <w:rFonts w:hint="eastAsia" w:ascii="仿宋_GB2312" w:hAnsi="仿宋_GB2312" w:eastAsia="仿宋_GB2312" w:cs="仿宋_GB2312"/>
                <w:bCs/>
                <w:color w:val="000000"/>
                <w:sz w:val="24"/>
              </w:rPr>
              <w:t>之日起 10 个工作日内向中标人指定账户支付合同总价款的 60%(不计利息）。</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注：资金支付等事项按照《保障中小企业款项支付条例》（国务院令第802号）、《广西壮族自治区财政厅关于持续优化政府采购营商环境推动高质量发展的通知》等要求执行。</w:t>
            </w:r>
          </w:p>
        </w:tc>
      </w:tr>
      <w:tr w14:paraId="69772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tcBorders>
              <w:top w:val="single" w:color="auto" w:sz="4" w:space="0"/>
              <w:left w:val="single" w:color="auto" w:sz="4" w:space="0"/>
              <w:bottom w:val="single" w:color="auto" w:sz="4" w:space="0"/>
              <w:right w:val="single" w:color="auto" w:sz="4" w:space="0"/>
            </w:tcBorders>
            <w:vAlign w:val="center"/>
          </w:tcPr>
          <w:p w14:paraId="2CAAB7F7">
            <w:pPr>
              <w:spacing w:line="440" w:lineRule="exact"/>
              <w:ind w:right="-27" w:rightChars="-13"/>
              <w:jc w:val="left"/>
              <w:rPr>
                <w:rFonts w:hint="eastAsia" w:eastAsia="仿宋_GB2312" w:cs="Arial" w:asciiTheme="minorHAnsi" w:hAnsiTheme="minorHAnsi"/>
                <w:bCs/>
                <w:color w:val="000000"/>
                <w:sz w:val="24"/>
                <w:lang w:val="en-GB"/>
              </w:rPr>
            </w:pPr>
            <w:r>
              <w:rPr>
                <w:rFonts w:hint="eastAsia" w:ascii="仿宋_GB2312" w:hAnsi="仿宋_GB2312" w:eastAsia="仿宋_GB2312" w:cs="仿宋_GB2312"/>
                <w:color w:val="000000"/>
                <w:sz w:val="24"/>
              </w:rPr>
              <w:t>备品备件及耗材等要求</w:t>
            </w:r>
          </w:p>
        </w:tc>
        <w:tc>
          <w:tcPr>
            <w:tcW w:w="7654" w:type="dxa"/>
            <w:tcBorders>
              <w:top w:val="single" w:color="auto" w:sz="4" w:space="0"/>
              <w:left w:val="single" w:color="auto" w:sz="4" w:space="0"/>
              <w:bottom w:val="single" w:color="auto" w:sz="4" w:space="0"/>
              <w:right w:val="single" w:color="auto" w:sz="4" w:space="0"/>
            </w:tcBorders>
            <w:vAlign w:val="center"/>
          </w:tcPr>
          <w:p w14:paraId="2C0BF223">
            <w:pPr>
              <w:spacing w:line="440" w:lineRule="exact"/>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1.投标人所提供零部件、配件及安装材料必须是符合国家规定质量安全标准的全新、合格产品；该项费用应包含在报价中；</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2.投标人所提供完整的全套设备须包括必备的易损耗备件和专用工具；</w:t>
            </w:r>
            <w:r>
              <w:rPr>
                <w:rFonts w:hint="eastAsia" w:ascii="仿宋_GB2312" w:hAnsi="仿宋_GB2312" w:eastAsia="仿宋_GB2312" w:cs="仿宋_GB2312"/>
                <w:bCs/>
                <w:color w:val="000000"/>
                <w:sz w:val="24"/>
              </w:rPr>
              <w:br w:type="textWrapping"/>
            </w:r>
            <w:r>
              <w:rPr>
                <w:rFonts w:hint="eastAsia" w:ascii="仿宋_GB2312" w:hAnsi="仿宋_GB2312" w:eastAsia="仿宋_GB2312" w:cs="仿宋_GB2312"/>
                <w:bCs/>
                <w:color w:val="000000"/>
                <w:sz w:val="24"/>
              </w:rPr>
              <w:t>3.投标人必须有完善的备品备件库体系，质保期内能提供相应的免费的措施和配件，保证过质保期后五年内有足够的备品备件，为完成本项目技术支持、服务需求提供可靠保证。</w:t>
            </w:r>
          </w:p>
        </w:tc>
      </w:tr>
      <w:tr w14:paraId="33D46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6AE9D46">
            <w:pPr>
              <w:pStyle w:val="26"/>
              <w:snapToGrid w:val="0"/>
              <w:spacing w:line="400" w:lineRule="exact"/>
              <w:ind w:right="27" w:rightChars="13"/>
              <w:rPr>
                <w:rFonts w:hint="eastAsia" w:eastAsia="仿宋_GB2312" w:cs="仿宋_GB2312" w:asciiTheme="minorHAnsi" w:hAnsiTheme="minorHAnsi"/>
                <w:bCs/>
                <w:color w:val="000000"/>
                <w:sz w:val="24"/>
                <w:lang w:val="en-GB"/>
              </w:rPr>
            </w:pPr>
            <w:r>
              <w:rPr>
                <w:rFonts w:ascii="仿宋_GB2312" w:hAnsi="宋体" w:eastAsia="仿宋_GB2312" w:cs="宋体"/>
                <w:b/>
                <w:kern w:val="0"/>
                <w:sz w:val="24"/>
              </w:rPr>
              <w:t>★</w:t>
            </w:r>
            <w:r>
              <w:rPr>
                <w:rFonts w:hint="eastAsia" w:ascii="仿宋_GB2312" w:hAnsi="宋体" w:eastAsia="仿宋_GB2312" w:cs="Arial"/>
                <w:b/>
                <w:bCs/>
                <w:sz w:val="24"/>
                <w:szCs w:val="24"/>
              </w:rPr>
              <w:t>三、</w:t>
            </w:r>
            <w:r>
              <w:rPr>
                <w:rFonts w:hint="eastAsia" w:ascii="仿宋_GB2312" w:hAnsi="宋体" w:eastAsia="仿宋_GB2312"/>
                <w:b/>
                <w:sz w:val="24"/>
              </w:rPr>
              <w:t>验收要求</w:t>
            </w:r>
          </w:p>
        </w:tc>
      </w:tr>
      <w:tr w14:paraId="5CC2D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41D12928">
            <w:pPr>
              <w:spacing w:line="440" w:lineRule="exact"/>
              <w:ind w:right="-27" w:rightChars="-13"/>
              <w:jc w:val="left"/>
              <w:rPr>
                <w:rFonts w:hint="eastAsia" w:eastAsia="仿宋_GB2312" w:cs="Arial" w:asciiTheme="minorHAnsi" w:hAnsiTheme="minorHAnsi"/>
                <w:bCs/>
                <w:color w:val="000000"/>
                <w:sz w:val="24"/>
                <w:lang w:val="en-GB"/>
              </w:rPr>
            </w:pPr>
            <w:r>
              <w:rPr>
                <w:rFonts w:ascii="仿宋_GB2312" w:hAnsi="仿宋_GB2312" w:eastAsia="仿宋_GB2312" w:cs="仿宋_GB2312"/>
                <w:bCs/>
                <w:color w:val="000000"/>
                <w:sz w:val="24"/>
              </w:rPr>
              <w:t>验收标准及要求</w:t>
            </w:r>
          </w:p>
        </w:tc>
        <w:tc>
          <w:tcPr>
            <w:tcW w:w="7654" w:type="dxa"/>
            <w:tcBorders>
              <w:top w:val="single" w:color="auto" w:sz="4" w:space="0"/>
              <w:left w:val="single" w:color="auto" w:sz="4" w:space="0"/>
              <w:bottom w:val="single" w:color="auto" w:sz="4" w:space="0"/>
              <w:right w:val="single" w:color="auto" w:sz="4" w:space="0"/>
            </w:tcBorders>
            <w:vAlign w:val="center"/>
          </w:tcPr>
          <w:p w14:paraId="00B18F36">
            <w:pPr>
              <w:spacing w:line="440" w:lineRule="exact"/>
              <w:ind w:right="27" w:rightChars="13"/>
              <w:jc w:val="left"/>
              <w:rPr>
                <w:rFonts w:hint="eastAsia" w:ascii="仿宋_GB2312" w:hAnsi="仿宋_GB2312" w:eastAsia="仿宋_GB2312" w:cs="仿宋_GB2312"/>
                <w:bCs/>
                <w:color w:val="000000"/>
                <w:sz w:val="24"/>
              </w:rPr>
            </w:pPr>
            <w:r>
              <w:rPr>
                <w:rFonts w:ascii="仿宋_GB2312" w:hAnsi="仿宋_GB2312" w:eastAsia="仿宋_GB2312" w:cs="仿宋_GB2312"/>
                <w:bCs/>
                <w:color w:val="000000"/>
                <w:sz w:val="24"/>
              </w:rPr>
              <w:t>1.</w:t>
            </w:r>
            <w:r>
              <w:rPr>
                <w:rFonts w:hint="eastAsia" w:ascii="仿宋_GB2312" w:hAnsi="仿宋_GB2312" w:eastAsia="仿宋_GB2312" w:cs="仿宋_GB2312"/>
                <w:bCs/>
                <w:color w:val="000000"/>
                <w:sz w:val="24"/>
              </w:rPr>
              <w:t>符合国家强制性技术标准及有关规定；</w:t>
            </w:r>
          </w:p>
          <w:p w14:paraId="77DE0078">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2.交货验收时，采购人已委托监理单位提供监理服务的，参照柳政规</w:t>
            </w:r>
          </w:p>
          <w:p w14:paraId="121A1554">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〔2020〕7 号《柳州市政府投资信息化项目管理办法》的通知，应由当采购人、监理单位、中标人三方共同进行收货验收。必要时可委托国家认可的质量检测机构开展采购项目验收工作；</w:t>
            </w:r>
          </w:p>
          <w:p w14:paraId="49DA3871">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3.本项目因中标人提供的货物不能满足采购需求的技术参数或其投标文件承诺等原因无法通过验收，造成不能按时、按质、按量完成项目要求的，将按照《中华人民共和国政府采购法》等法律法规由中标人承担相应的法律责任；</w:t>
            </w:r>
          </w:p>
          <w:p w14:paraId="5656DC53">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4.中标人完成安装调试后，可向采购人提出初验申请，采购人可以进行累计运行时间不超过 72小时的试运行，以确认所供货物功能参数、兼容性及稳定性符合标准达到初验条件；</w:t>
            </w:r>
          </w:p>
          <w:p w14:paraId="3A146CB3">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5 中标人通过初验后向采购人提出最终验收申请，采购人组织聘请验收专家组（3-5人）、监理单位、中标人共同进行验收工作；</w:t>
            </w:r>
          </w:p>
          <w:p w14:paraId="41C843D0">
            <w:pPr>
              <w:spacing w:line="440" w:lineRule="exact"/>
              <w:ind w:right="27" w:rightChars="13"/>
              <w:jc w:val="left"/>
              <w:rPr>
                <w:rFonts w:hint="eastAsia" w:ascii="仿宋_GB2312" w:hAnsi="仿宋_GB2312" w:eastAsia="仿宋_GB2312" w:cs="仿宋_GB2312"/>
                <w:bCs/>
                <w:color w:val="000000"/>
                <w:sz w:val="24"/>
              </w:rPr>
            </w:pPr>
            <w:r>
              <w:rPr>
                <w:rFonts w:hint="eastAsia" w:ascii="仿宋_GB2312" w:hAnsi="仿宋_GB2312" w:eastAsia="仿宋_GB2312" w:cs="仿宋_GB2312"/>
                <w:bCs/>
                <w:color w:val="000000"/>
                <w:sz w:val="24"/>
              </w:rPr>
              <w:t>6.验收费用：验收过程所产生的检验费、验收费及相关的全部费用均由中标人承担（验收费用参照柳财采〔2024〕24 号文件执行），中标人在投标报价时应充分考虑。</w:t>
            </w:r>
          </w:p>
        </w:tc>
      </w:tr>
      <w:tr w14:paraId="7D08F2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58743458">
            <w:pPr>
              <w:pStyle w:val="26"/>
              <w:snapToGrid w:val="0"/>
              <w:spacing w:line="400" w:lineRule="exact"/>
              <w:ind w:right="-330" w:rightChars="-157"/>
              <w:rPr>
                <w:rFonts w:hint="eastAsia" w:ascii="仿宋_GB2312" w:hAnsi="宋体" w:eastAsia="仿宋_GB2312" w:cs="Arial"/>
                <w:b/>
                <w:bCs/>
                <w:color w:val="000000"/>
                <w:sz w:val="24"/>
                <w:szCs w:val="24"/>
              </w:rPr>
            </w:pPr>
            <w:r>
              <w:rPr>
                <w:rFonts w:hint="eastAsia" w:ascii="仿宋_GB2312" w:hAnsi="宋体" w:eastAsia="仿宋_GB2312" w:cs="Arial"/>
                <w:b/>
                <w:bCs/>
                <w:color w:val="000000"/>
                <w:sz w:val="24"/>
                <w:szCs w:val="24"/>
              </w:rPr>
              <w:t>四、</w:t>
            </w:r>
            <w:r>
              <w:rPr>
                <w:rFonts w:hint="eastAsia" w:ascii="仿宋_GB2312" w:hAnsi="宋体" w:eastAsia="仿宋_GB2312"/>
                <w:b/>
                <w:sz w:val="24"/>
              </w:rPr>
              <w:t>资信要求</w:t>
            </w:r>
          </w:p>
        </w:tc>
      </w:tr>
      <w:tr w14:paraId="241B1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7E7DE145">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政策性加分条件（如有）</w:t>
            </w:r>
          </w:p>
        </w:tc>
        <w:tc>
          <w:tcPr>
            <w:tcW w:w="7654" w:type="dxa"/>
            <w:tcBorders>
              <w:top w:val="single" w:color="auto" w:sz="4" w:space="0"/>
              <w:left w:val="single" w:color="auto" w:sz="4" w:space="0"/>
              <w:bottom w:val="single" w:color="auto" w:sz="4" w:space="0"/>
              <w:right w:val="single" w:color="auto" w:sz="4" w:space="0"/>
            </w:tcBorders>
            <w:vAlign w:val="center"/>
          </w:tcPr>
          <w:p w14:paraId="548E27C4">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1．《政府采购促进中小企业发展管理办法》（财库〔2020〕46号），符合办法规定条件且出具该办法规定的《中小企业声明函》的小型和微型企业报价，对其报价给予20%的扣除。监狱企业、残疾人福利性单位视同小型和微型企业；</w:t>
            </w:r>
          </w:p>
          <w:p w14:paraId="09D9EA6B">
            <w:pPr>
              <w:pStyle w:val="493"/>
              <w:spacing w:before="0" w:beforeAutospacing="0" w:after="0" w:afterAutospacing="0" w:line="460" w:lineRule="atLeast"/>
              <w:rPr>
                <w:rFonts w:hint="eastAsia" w:ascii="仿宋_GB2312" w:eastAsia="仿宋_GB2312"/>
                <w:color w:val="000000"/>
              </w:rPr>
            </w:pPr>
            <w:r>
              <w:rPr>
                <w:rStyle w:val="494"/>
                <w:rFonts w:hint="eastAsia" w:ascii="仿宋_GB2312" w:eastAsia="仿宋_GB2312"/>
                <w:color w:val="000000"/>
              </w:rPr>
              <w:t>注：（1）采购标的对应的中小企业划分标准所属行业：采购需求所列第16项、第18项、第34项、第36项、第43-44项、第51项货物不作中小企业划分要求,</w:t>
            </w:r>
            <w:r>
              <w:rPr>
                <w:rStyle w:val="818"/>
                <w:rFonts w:hint="eastAsia" w:ascii="仿宋_GB2312" w:eastAsia="仿宋_GB2312"/>
                <w:color w:val="000000"/>
              </w:rPr>
              <w:t>采购需求所列第1-2项、第20项、第26-29项、第39项、第46项、第49项、第57-61项货物所属行业为</w:t>
            </w:r>
            <w:r>
              <w:rPr>
                <w:rStyle w:val="818"/>
                <w:rFonts w:hint="eastAsia" w:ascii="仿宋_GB2312" w:eastAsia="仿宋_GB2312"/>
                <w:color w:val="000000"/>
                <w:u w:val="single"/>
              </w:rPr>
              <w:t>软件和信息技术服务业</w:t>
            </w:r>
            <w:r>
              <w:rPr>
                <w:rStyle w:val="818"/>
                <w:rFonts w:hint="eastAsia" w:ascii="仿宋_GB2312" w:eastAsia="仿宋_GB2312"/>
                <w:color w:val="000000"/>
              </w:rPr>
              <w:t>；</w:t>
            </w:r>
            <w:r>
              <w:rPr>
                <w:rStyle w:val="494"/>
                <w:rFonts w:hint="eastAsia" w:ascii="仿宋_GB2312" w:eastAsia="仿宋_GB2312"/>
                <w:color w:val="000000"/>
              </w:rPr>
              <w:t>其余项货物所属行业为</w:t>
            </w:r>
            <w:r>
              <w:rPr>
                <w:rStyle w:val="494"/>
                <w:rFonts w:hint="eastAsia" w:ascii="仿宋_GB2312" w:eastAsia="仿宋_GB2312"/>
                <w:color w:val="000000"/>
                <w:u w:val="single"/>
              </w:rPr>
              <w:t>工业；</w:t>
            </w:r>
          </w:p>
          <w:p w14:paraId="57C9582F">
            <w:pPr>
              <w:pStyle w:val="493"/>
              <w:spacing w:before="0" w:beforeAutospacing="0" w:after="0" w:afterAutospacing="0" w:line="460" w:lineRule="atLeast"/>
              <w:rPr>
                <w:rFonts w:hint="eastAsia" w:ascii="仿宋_GB2312" w:eastAsia="仿宋_GB2312"/>
                <w:color w:val="000000"/>
              </w:rPr>
            </w:pPr>
            <w:r>
              <w:rPr>
                <w:rStyle w:val="494"/>
                <w:rFonts w:hint="eastAsia" w:ascii="仿宋_GB2312" w:eastAsia="仿宋_GB2312"/>
                <w:color w:val="000000"/>
              </w:rPr>
              <w:t>（2）中小企业划分有关标准根据工信部等部委发布的《关于印发中小企业划型标准规定的通知》（工信部联企业〔2011〕300号）确定；</w:t>
            </w:r>
          </w:p>
          <w:p w14:paraId="000AC378">
            <w:pPr>
              <w:pStyle w:val="493"/>
              <w:spacing w:before="0" w:beforeAutospacing="0" w:after="0" w:afterAutospacing="0" w:line="460" w:lineRule="atLeast"/>
              <w:rPr>
                <w:rFonts w:hint="eastAsia" w:ascii="仿宋_GB2312" w:eastAsia="仿宋_GB2312"/>
                <w:color w:val="000000"/>
              </w:rPr>
            </w:pPr>
            <w:r>
              <w:rPr>
                <w:rStyle w:val="494"/>
                <w:rFonts w:hint="eastAsia" w:ascii="仿宋_GB2312" w:eastAsia="仿宋_GB2312"/>
                <w:color w:val="000000"/>
              </w:rPr>
              <w:t>（3）为方便投标人识别企业规模类型，投标人可使用工业和信息化部组织开发的中小企业规模类型自测小程序生成企业规模类型测试结果。自测小程序链接：https://baosong.miit.gov.cn/ScaleTest</w:t>
            </w:r>
          </w:p>
          <w:p w14:paraId="03F5F786">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2.《财政部、司法部关于政府采购支持监狱企业发展有关问题的通知》（财库〔2014〕68号）；</w:t>
            </w:r>
          </w:p>
          <w:p w14:paraId="749B8F13">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3.《财政部 民政部 中国残疾人联合会关于促进残疾人就业政府采购政策的通知》（财库〔2017〕141号）；</w:t>
            </w:r>
          </w:p>
          <w:p w14:paraId="5C09C12A">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4.《财政部 发展改革委 生态环境部 市场监管总局关于调整优化节能产品、环境标志产品政府采购执行机制的通知》（财库〔2019〕9号）：对政府采购节能产品、环境标志产品实施品目清单管理，依据品目清单和认证证书实施政府优先采购和强制采购；</w:t>
            </w:r>
          </w:p>
          <w:p w14:paraId="3E430106">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5.财政部 生态环境部《关于印发环境标志产品政府采购品目清单的通知》（财库〔2019〕18号）；</w:t>
            </w:r>
          </w:p>
          <w:p w14:paraId="31AED68D">
            <w:pPr>
              <w:pStyle w:val="49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6.财政部 发展改革委《关于印发节能产品政府采购品目清单的通知》（财库〔2019〕19号）；</w:t>
            </w:r>
          </w:p>
          <w:p w14:paraId="2F6A595A">
            <w:pPr>
              <w:pStyle w:val="826"/>
              <w:spacing w:before="0" w:beforeAutospacing="0" w:after="0" w:afterAutospacing="0" w:line="460" w:lineRule="atLeast"/>
              <w:rPr>
                <w:rFonts w:hint="eastAsia" w:ascii="仿宋_GB2312" w:eastAsia="仿宋_GB2312" w:cs="Arial"/>
                <w:b/>
                <w:color w:val="000000"/>
                <w:kern w:val="2"/>
              </w:rPr>
            </w:pPr>
            <w:r>
              <w:rPr>
                <w:rFonts w:hint="eastAsia" w:ascii="仿宋_GB2312" w:eastAsia="仿宋_GB2312" w:cs="Arial"/>
                <w:b/>
                <w:color w:val="000000"/>
              </w:rPr>
              <w:t>7.国务院办公厅关于在政府采购中实施本国产品标准及相关政策的通知</w:t>
            </w:r>
            <w:r>
              <w:rPr>
                <w:rFonts w:hint="eastAsia" w:ascii="仿宋_GB2312" w:eastAsia="仿宋_GB2312" w:cs="Arial"/>
                <w:b/>
                <w:color w:val="000000"/>
                <w:kern w:val="2"/>
              </w:rPr>
              <w:t>（国办发〔2025〕34号）。</w:t>
            </w:r>
          </w:p>
          <w:p w14:paraId="4314B013">
            <w:pPr>
              <w:pStyle w:val="826"/>
              <w:spacing w:before="0" w:beforeAutospacing="0" w:after="0" w:afterAutospacing="0" w:line="460" w:lineRule="atLeast"/>
              <w:ind w:firstLine="482" w:firstLineChars="200"/>
              <w:rPr>
                <w:rFonts w:hint="eastAsia" w:ascii="仿宋_GB2312" w:eastAsia="仿宋_GB2312"/>
                <w:color w:val="000000"/>
              </w:rPr>
            </w:pPr>
            <w:r>
              <w:rPr>
                <w:rFonts w:hint="eastAsia" w:ascii="仿宋_GB2312" w:eastAsia="仿宋_GB2312"/>
                <w:b/>
                <w:bCs/>
                <w:color w:val="000000"/>
              </w:rPr>
              <w:t>本国产品标准的适用范围：</w:t>
            </w:r>
            <w:r>
              <w:rPr>
                <w:rFonts w:hint="eastAsia" w:ascii="仿宋_GB2312" w:eastAsia="仿宋_GB2312"/>
                <w:color w:val="000000"/>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0582F169">
            <w:pPr>
              <w:pStyle w:val="826"/>
              <w:spacing w:before="0" w:beforeAutospacing="0" w:after="0" w:afterAutospacing="0" w:line="460" w:lineRule="atLeast"/>
              <w:ind w:firstLine="482" w:firstLineChars="200"/>
              <w:rPr>
                <w:rFonts w:hint="eastAsia" w:ascii="仿宋_GB2312" w:eastAsia="仿宋_GB2312"/>
                <w:color w:val="000000"/>
              </w:rPr>
            </w:pPr>
            <w:r>
              <w:rPr>
                <w:rFonts w:hint="eastAsia" w:ascii="仿宋_GB2312" w:eastAsia="仿宋_GB2312"/>
                <w:b/>
                <w:bCs/>
                <w:color w:val="000000"/>
              </w:rPr>
              <w:t>本国产品应当符合以下条件：</w:t>
            </w:r>
            <w:r>
              <w:rPr>
                <w:rFonts w:hint="eastAsia" w:ascii="仿宋_GB2312" w:eastAsia="仿宋_GB2312"/>
                <w:color w:val="000000"/>
              </w:rPr>
              <w:t>产品应当在中国境内生产，即在中华人民共和国关境内实现从原材料、组件到产品的属性改变。属性改变是指经过制造、加工或者组装等工序，产生完全不同于原材料、组件的新产品，并具有新的名称和特征（用途）。</w:t>
            </w:r>
          </w:p>
          <w:p w14:paraId="37A54637">
            <w:pPr>
              <w:pStyle w:val="826"/>
              <w:spacing w:before="0" w:beforeAutospacing="0" w:after="0" w:afterAutospacing="0" w:line="460" w:lineRule="atLeast"/>
              <w:ind w:firstLine="482" w:firstLineChars="200"/>
              <w:rPr>
                <w:rFonts w:hint="eastAsia" w:ascii="仿宋_GB2312" w:eastAsia="仿宋_GB2312"/>
                <w:color w:val="000000"/>
              </w:rPr>
            </w:pPr>
            <w:r>
              <w:rPr>
                <w:rFonts w:hint="eastAsia" w:ascii="仿宋_GB2312" w:eastAsia="仿宋_GB2312"/>
                <w:b/>
                <w:bCs/>
                <w:color w:val="000000"/>
              </w:rPr>
              <w:t>对本国产品的支持政策：</w:t>
            </w:r>
            <w:r>
              <w:rPr>
                <w:rFonts w:hint="eastAsia" w:ascii="仿宋_GB2312" w:eastAsia="仿宋_GB2312"/>
                <w:color w:val="000000"/>
              </w:rPr>
              <w:t>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091916AE">
            <w:pPr>
              <w:pStyle w:val="826"/>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前述全部产品是指货物或服务采购项目或采购包中包含的全部货物、服务产品。</w:t>
            </w:r>
          </w:p>
          <w:p w14:paraId="56B6FBEF">
            <w:pPr>
              <w:pStyle w:val="826"/>
              <w:spacing w:before="0" w:beforeAutospacing="0" w:after="0" w:afterAutospacing="0" w:line="460" w:lineRule="atLeast"/>
              <w:ind w:firstLine="482" w:firstLineChars="200"/>
              <w:rPr>
                <w:rFonts w:hint="eastAsia" w:ascii="仿宋_GB2312" w:eastAsia="仿宋_GB2312"/>
                <w:color w:val="000000"/>
                <w:highlight w:val="none"/>
              </w:rPr>
            </w:pPr>
            <w:r>
              <w:rPr>
                <w:rFonts w:hint="eastAsia" w:ascii="仿宋_GB2312" w:eastAsia="仿宋_GB2312"/>
                <w:b/>
                <w:bCs/>
                <w:color w:val="000000"/>
                <w:highlight w:val="none"/>
              </w:rPr>
              <w:t>供应商应提供的证明文件：</w:t>
            </w:r>
            <w:r>
              <w:rPr>
                <w:rFonts w:hint="eastAsia" w:ascii="仿宋_GB2312" w:eastAsia="仿宋_GB2312"/>
                <w:color w:val="000000"/>
                <w:highlight w:val="none"/>
              </w:rPr>
              <w:t>供应商拟享受该政策的，应当对其提供的产品出具《关于符合本国产品标准的声明函》或财政部会同有关部门规定的有关证明文件。出具符合要求的《声明函》或有关证明文件的，该产品视为本国产品，采购人、采购代理机构不得再要求供应商提供其他证明材料。供应商提供虚假《声明函》、虚假证明文件谋取中标、成交的，依照《中华人民共和国政府采购法》等法律法规规定追究相应责任。供应商未出具《关于符合本国产品标准的声明函》或财政部会同有关部门规定的有关证明文件的，该产品视为非本国产品，不能享受价格扣除。</w:t>
            </w:r>
          </w:p>
          <w:p w14:paraId="418493C5">
            <w:pPr>
              <w:pStyle w:val="826"/>
              <w:spacing w:before="0" w:beforeAutospacing="0" w:after="0" w:afterAutospacing="0" w:line="460" w:lineRule="atLeast"/>
              <w:ind w:firstLine="480" w:firstLineChars="200"/>
              <w:rPr>
                <w:rFonts w:hint="eastAsia" w:ascii="仿宋_GB2312" w:eastAsia="仿宋_GB2312"/>
                <w:color w:val="000000"/>
                <w:highlight w:val="none"/>
              </w:rPr>
            </w:pPr>
            <w:r>
              <w:rPr>
                <w:rFonts w:hint="eastAsia" w:ascii="仿宋_GB2312" w:eastAsia="仿宋_GB2312"/>
                <w:color w:val="000000"/>
                <w:highlight w:val="none"/>
              </w:rPr>
              <w:t>当采购项目或者采购包中含有多种产品时，供应商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w:t>
            </w:r>
          </w:p>
          <w:p w14:paraId="5926F97C">
            <w:pPr>
              <w:pStyle w:val="826"/>
              <w:spacing w:before="0" w:beforeAutospacing="0" w:after="0" w:afterAutospacing="0" w:line="460" w:lineRule="atLeast"/>
              <w:ind w:firstLine="480" w:firstLineChars="200"/>
              <w:rPr>
                <w:rFonts w:hint="eastAsia" w:ascii="仿宋_GB2312" w:eastAsia="仿宋_GB2312"/>
                <w:color w:val="000000"/>
                <w:highlight w:val="none"/>
              </w:rPr>
            </w:pPr>
            <w:r>
              <w:rPr>
                <w:rFonts w:hint="eastAsia" w:ascii="仿宋_GB2312" w:eastAsia="仿宋_GB2312"/>
                <w:color w:val="000000"/>
                <w:highlight w:val="none"/>
              </w:rPr>
              <w:t>若中标人依法享受本国产品优惠政策的，供应商提供的声明函或有关证明文件应当随中标结果同时公告。其他未尽事宜按照《国务院办公厅关于在政府采购中实施本国产品标准及相关政策的通知》（国办发〔2025〕34号）执行。”</w:t>
            </w:r>
          </w:p>
          <w:p w14:paraId="4092FA70">
            <w:pPr>
              <w:pStyle w:val="493"/>
              <w:spacing w:before="0" w:beforeAutospacing="0" w:after="0" w:afterAutospacing="0" w:line="460" w:lineRule="atLeast"/>
              <w:ind w:firstLine="480" w:firstLineChars="200"/>
              <w:rPr>
                <w:rFonts w:hint="eastAsia" w:ascii="仿宋_GB2312" w:eastAsia="仿宋_GB2312"/>
                <w:color w:val="000000"/>
              </w:rPr>
            </w:pPr>
          </w:p>
        </w:tc>
      </w:tr>
      <w:tr w14:paraId="5768A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3E644344">
            <w:pPr>
              <w:spacing w:line="440" w:lineRule="exact"/>
              <w:ind w:right="-27" w:rightChars="-13"/>
              <w:jc w:val="left"/>
              <w:rPr>
                <w:rFonts w:hint="eastAsia" w:ascii="仿宋_GB2312" w:hAnsi="宋体" w:eastAsia="仿宋_GB2312" w:cs="Arial"/>
                <w:bCs/>
                <w:color w:val="000000"/>
                <w:sz w:val="24"/>
              </w:rPr>
            </w:pPr>
            <w:r>
              <w:rPr>
                <w:rFonts w:ascii="仿宋_GB2312" w:hAnsi="仿宋_GB2312" w:eastAsia="仿宋_GB2312" w:cs="仿宋_GB2312"/>
                <w:bCs/>
                <w:color w:val="000000"/>
                <w:sz w:val="24"/>
              </w:rPr>
              <w:t xml:space="preserve">质量管理、企业信用要求（如有） </w:t>
            </w:r>
          </w:p>
        </w:tc>
        <w:tc>
          <w:tcPr>
            <w:tcW w:w="7654" w:type="dxa"/>
            <w:tcBorders>
              <w:top w:val="single" w:color="auto" w:sz="4" w:space="0"/>
              <w:left w:val="single" w:color="auto" w:sz="4" w:space="0"/>
              <w:bottom w:val="single" w:color="auto" w:sz="4" w:space="0"/>
              <w:right w:val="single" w:color="auto" w:sz="4" w:space="0"/>
            </w:tcBorders>
            <w:vAlign w:val="center"/>
          </w:tcPr>
          <w:p w14:paraId="63F753B8">
            <w:pPr>
              <w:pStyle w:val="51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1.投标人或投标核心产品生产厂商具备有效的质量管理体系认证证书；</w:t>
            </w:r>
          </w:p>
          <w:p w14:paraId="5F63E6AA">
            <w:pPr>
              <w:pStyle w:val="51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2.投标人或投标核心产品生产厂商具备有效的职业健康安全管理体系认证证书；</w:t>
            </w:r>
          </w:p>
          <w:p w14:paraId="59D57B88">
            <w:pPr>
              <w:pStyle w:val="51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3.投标人或投标核心产品生产厂商具备有效的环境管理体系认证证书。</w:t>
            </w:r>
          </w:p>
        </w:tc>
      </w:tr>
      <w:tr w14:paraId="1BB3A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9214" w:type="dxa"/>
            <w:gridSpan w:val="2"/>
            <w:tcBorders>
              <w:top w:val="single" w:color="auto" w:sz="4" w:space="0"/>
              <w:left w:val="single" w:color="auto" w:sz="4" w:space="0"/>
              <w:bottom w:val="single" w:color="auto" w:sz="4" w:space="0"/>
              <w:right w:val="single" w:color="auto" w:sz="4" w:space="0"/>
            </w:tcBorders>
            <w:vAlign w:val="center"/>
          </w:tcPr>
          <w:p w14:paraId="4DCBBA37">
            <w:pPr>
              <w:pStyle w:val="26"/>
              <w:snapToGrid w:val="0"/>
              <w:spacing w:line="400" w:lineRule="exact"/>
              <w:ind w:right="-330" w:rightChars="-157"/>
              <w:rPr>
                <w:rFonts w:hint="eastAsia" w:ascii="仿宋_GB2312" w:hAnsi="宋体" w:eastAsia="仿宋_GB2312" w:cs="宋体"/>
                <w:bCs/>
                <w:color w:val="000000"/>
                <w:sz w:val="24"/>
              </w:rPr>
            </w:pPr>
            <w:r>
              <w:rPr>
                <w:rFonts w:hint="eastAsia" w:ascii="仿宋_GB2312" w:hAnsi="宋体" w:eastAsia="仿宋_GB2312" w:cs="Arial"/>
                <w:bCs/>
                <w:color w:val="000000"/>
                <w:sz w:val="24"/>
                <w:highlight w:val="yellow"/>
              </w:rPr>
              <w:t>★</w:t>
            </w:r>
            <w:r>
              <w:rPr>
                <w:rFonts w:hint="eastAsia" w:ascii="仿宋_GB2312" w:hAnsi="宋体" w:eastAsia="仿宋_GB2312"/>
                <w:b/>
                <w:bCs/>
                <w:sz w:val="24"/>
              </w:rPr>
              <w:t>五、其他要求</w:t>
            </w:r>
          </w:p>
        </w:tc>
      </w:tr>
      <w:tr w14:paraId="2F33E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1560" w:type="dxa"/>
            <w:tcBorders>
              <w:top w:val="single" w:color="auto" w:sz="4" w:space="0"/>
              <w:left w:val="single" w:color="auto" w:sz="4" w:space="0"/>
              <w:bottom w:val="single" w:color="auto" w:sz="4" w:space="0"/>
              <w:right w:val="single" w:color="auto" w:sz="4" w:space="0"/>
            </w:tcBorders>
            <w:vAlign w:val="center"/>
          </w:tcPr>
          <w:p w14:paraId="0E800614">
            <w:pPr>
              <w:spacing w:line="440" w:lineRule="exact"/>
              <w:ind w:right="0" w:rightChars="0"/>
              <w:jc w:val="center"/>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数据安全、个人信息及人工智能大模型合规总体要求</w:t>
            </w:r>
          </w:p>
          <w:p w14:paraId="1910BF83">
            <w:pPr>
              <w:spacing w:line="440" w:lineRule="exact"/>
              <w:ind w:right="-107" w:rightChars="-51"/>
              <w:jc w:val="left"/>
              <w:rPr>
                <w:rFonts w:hint="eastAsia" w:ascii="仿宋_GB2312" w:hAnsi="宋体" w:eastAsia="仿宋_GB2312" w:cs="Arial"/>
                <w:bCs/>
                <w:color w:val="000000"/>
                <w:sz w:val="24"/>
                <w:highlight w:val="yellow"/>
              </w:rPr>
            </w:pPr>
          </w:p>
        </w:tc>
        <w:tc>
          <w:tcPr>
            <w:tcW w:w="7654" w:type="dxa"/>
            <w:tcBorders>
              <w:top w:val="single" w:color="auto" w:sz="4" w:space="0"/>
              <w:left w:val="single" w:color="auto" w:sz="4" w:space="0"/>
              <w:bottom w:val="single" w:color="auto" w:sz="4" w:space="0"/>
              <w:right w:val="single" w:color="auto" w:sz="4" w:space="0"/>
            </w:tcBorders>
            <w:vAlign w:val="center"/>
          </w:tcPr>
          <w:p w14:paraId="3AEFEEFF">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1. 本项目所有软硬件系统、智能终端、AI算法模型、数据采集及对接服务，在数据采集、传输、存储、使用、处理、共享、销毁等全生命周期管理过程中，必须严格遵守《中华人民共和国网络安全法》《中华人民共和国数据安全法》《中华人民共和国个人信息保护法》《生成式人工智能服务管理暂行办法》等国家法律法规及教育行业数据安全管理规范。</w:t>
            </w:r>
          </w:p>
          <w:p w14:paraId="0A2A9CE4">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2. 系统涉及OCR证件识别、教师证书信息、教师评价数据、学生学情数据、身份信息等个人信息及敏感个人信息，须严格遵循“最小必要、合规合法”原则，严禁超范围采集、强制采集、私自留存、违规对外传输；所有敏感信息处理须具备合法合规依据，做到全程可控、可溯源、可审计。</w:t>
            </w:r>
          </w:p>
          <w:p w14:paraId="3D32DA31">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3. 平台搭载的人工智能大模型、智能评测、智能问答、智能批阅等AI能力，须满足生成式AI安全合规要求，严禁利用学校师生个人敏感数据、校内业务数据进行模型训练、迭代优化、公开推演及商业复用；所有AI运算、数据处理仅限校内教学辅助场景使用。</w:t>
            </w:r>
          </w:p>
          <w:p w14:paraId="45B854ED">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4. 供应商须具备完善的数据安全管理制度与技术防护机制，对师生敏感数据采取加密存储、权限分级、访问控制、操作日志审计、数据脱敏、安全水印等防护措施，所有操作日志留存时长不低于6个月，支持学校随时核查审计。</w:t>
            </w:r>
          </w:p>
          <w:p w14:paraId="470B0E35">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5. 项目所有业务数据、个人信息、敏感数据均需境内存储，未经采购人书面授权，不得对外提供、共享、出境或挪作他用。</w:t>
            </w:r>
          </w:p>
          <w:p w14:paraId="4C178760">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6. 项目服务期结束后，</w:t>
            </w:r>
            <w:r>
              <w:rPr>
                <w:rFonts w:hint="eastAsia" w:ascii="仿宋_GB2312" w:hAnsi="宋体" w:eastAsia="仿宋_GB2312" w:cs="Arial"/>
                <w:bCs/>
                <w:color w:val="000000"/>
                <w:sz w:val="24"/>
                <w:highlight w:val="yellow"/>
                <w:lang w:val="en-US" w:eastAsia="zh-CN"/>
              </w:rPr>
              <w:t>中标人</w:t>
            </w:r>
            <w:r>
              <w:rPr>
                <w:rFonts w:hint="eastAsia" w:ascii="仿宋_GB2312" w:hAnsi="宋体" w:eastAsia="仿宋_GB2312" w:cs="Arial"/>
                <w:bCs/>
                <w:color w:val="000000"/>
                <w:sz w:val="24"/>
                <w:highlight w:val="yellow"/>
              </w:rPr>
              <w:t>须根据采购人要求，完整移交全部业务数据，并彻底清除留存的所有师生个人敏感信息，不得私自备份、留存、复用，确保数据闭环合规销毁。</w:t>
            </w:r>
          </w:p>
          <w:p w14:paraId="574FE5E8">
            <w:pPr>
              <w:spacing w:line="440" w:lineRule="exact"/>
              <w:ind w:right="27" w:rightChars="13"/>
              <w:jc w:val="left"/>
              <w:rPr>
                <w:rFonts w:hint="eastAsia" w:ascii="仿宋_GB2312" w:hAnsi="宋体" w:eastAsia="仿宋_GB2312" w:cs="Arial"/>
                <w:bCs/>
                <w:color w:val="000000"/>
                <w:sz w:val="24"/>
                <w:highlight w:val="yellow"/>
              </w:rPr>
            </w:pPr>
            <w:r>
              <w:rPr>
                <w:rFonts w:hint="eastAsia" w:ascii="仿宋_GB2312" w:hAnsi="宋体" w:eastAsia="仿宋_GB2312" w:cs="Arial"/>
                <w:bCs/>
                <w:color w:val="000000"/>
                <w:sz w:val="24"/>
                <w:highlight w:val="yellow"/>
              </w:rPr>
              <w:t>7. 承诺本项目建设、运行、服务全过程满足国家数据安全、个人信息保护及人工智能合规相关要求，若存在违规采集、数据泄露、滥用数据等行为，由投标人承担全部法律责任与违约责任。</w:t>
            </w:r>
          </w:p>
        </w:tc>
      </w:tr>
    </w:tbl>
    <w:p w14:paraId="6E6D31F9">
      <w:pPr>
        <w:sectPr>
          <w:pgSz w:w="11906" w:h="16838"/>
          <w:pgMar w:top="1440" w:right="1440" w:bottom="1440" w:left="1440" w:header="851" w:footer="992" w:gutter="0"/>
          <w:cols w:space="720" w:num="1"/>
          <w:docGrid w:linePitch="312" w:charSpace="0"/>
        </w:sectPr>
      </w:pPr>
    </w:p>
    <w:p w14:paraId="1422A870">
      <w:pPr>
        <w:pStyle w:val="3"/>
        <w:spacing w:line="276" w:lineRule="auto"/>
        <w:jc w:val="center"/>
        <w:rPr>
          <w:sz w:val="32"/>
          <w:szCs w:val="32"/>
        </w:rPr>
      </w:pPr>
      <w:bookmarkStart w:id="31" w:name="_Toc29711"/>
      <w:r>
        <w:rPr>
          <w:rFonts w:hint="eastAsia"/>
          <w:sz w:val="32"/>
          <w:szCs w:val="32"/>
        </w:rPr>
        <w:t>第三章 投标人须知</w:t>
      </w:r>
      <w:bookmarkEnd w:id="31"/>
    </w:p>
    <w:p w14:paraId="10A49C25">
      <w:pPr>
        <w:spacing w:line="276" w:lineRule="auto"/>
        <w:jc w:val="center"/>
        <w:rPr>
          <w:rFonts w:ascii="仿宋_GB2312" w:eastAsia="仿宋_GB2312"/>
          <w:b/>
          <w:sz w:val="28"/>
          <w:szCs w:val="28"/>
        </w:rPr>
      </w:pPr>
      <w:r>
        <w:rPr>
          <w:rFonts w:hint="eastAsia" w:ascii="仿宋_GB2312" w:eastAsia="仿宋_GB2312"/>
          <w:b/>
          <w:sz w:val="28"/>
          <w:szCs w:val="28"/>
        </w:rPr>
        <w:t>前附表</w:t>
      </w:r>
    </w:p>
    <w:tbl>
      <w:tblPr>
        <w:tblStyle w:val="48"/>
        <w:tblW w:w="904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17"/>
        <w:gridCol w:w="8232"/>
      </w:tblGrid>
      <w:tr w14:paraId="36A6E14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tcPr>
          <w:p w14:paraId="1606E78C">
            <w:pPr>
              <w:spacing w:line="400" w:lineRule="exact"/>
              <w:jc w:val="center"/>
              <w:rPr>
                <w:rFonts w:ascii="仿宋_GB2312" w:eastAsia="仿宋_GB2312"/>
                <w:b/>
                <w:sz w:val="24"/>
              </w:rPr>
            </w:pPr>
            <w:r>
              <w:rPr>
                <w:rFonts w:hint="eastAsia" w:ascii="仿宋_GB2312" w:eastAsia="仿宋_GB2312"/>
                <w:b/>
                <w:sz w:val="24"/>
              </w:rPr>
              <w:t>序号</w:t>
            </w:r>
          </w:p>
        </w:tc>
        <w:tc>
          <w:tcPr>
            <w:tcW w:w="8232" w:type="dxa"/>
          </w:tcPr>
          <w:p w14:paraId="21EDB0DD">
            <w:pPr>
              <w:spacing w:line="400" w:lineRule="exact"/>
              <w:jc w:val="center"/>
              <w:rPr>
                <w:rFonts w:ascii="仿宋_GB2312" w:eastAsia="仿宋_GB2312"/>
                <w:b/>
                <w:sz w:val="24"/>
              </w:rPr>
            </w:pPr>
            <w:r>
              <w:rPr>
                <w:rFonts w:hint="eastAsia" w:ascii="仿宋_GB2312" w:eastAsia="仿宋_GB2312"/>
                <w:b/>
                <w:sz w:val="24"/>
              </w:rPr>
              <w:t>内    容</w:t>
            </w:r>
          </w:p>
        </w:tc>
      </w:tr>
      <w:tr w14:paraId="1ED022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B1E5111">
            <w:pPr>
              <w:spacing w:line="400" w:lineRule="exact"/>
              <w:jc w:val="center"/>
              <w:rPr>
                <w:rFonts w:ascii="仿宋_GB2312" w:eastAsia="仿宋_GB2312"/>
                <w:sz w:val="24"/>
              </w:rPr>
            </w:pPr>
            <w:r>
              <w:rPr>
                <w:rFonts w:hint="eastAsia" w:ascii="仿宋_GB2312" w:eastAsia="仿宋_GB2312"/>
                <w:sz w:val="24"/>
              </w:rPr>
              <w:t>1</w:t>
            </w:r>
          </w:p>
        </w:tc>
        <w:tc>
          <w:tcPr>
            <w:tcW w:w="8232" w:type="dxa"/>
            <w:vAlign w:val="center"/>
          </w:tcPr>
          <w:p w14:paraId="1518C9F4">
            <w:pPr>
              <w:spacing w:line="400" w:lineRule="exact"/>
              <w:rPr>
                <w:rFonts w:ascii="仿宋_GB2312" w:eastAsia="仿宋_GB2312"/>
                <w:sz w:val="24"/>
              </w:rPr>
            </w:pPr>
            <w:r>
              <w:rPr>
                <w:rFonts w:hint="eastAsia" w:ascii="仿宋_GB2312" w:eastAsia="仿宋_GB2312"/>
                <w:sz w:val="24"/>
              </w:rPr>
              <w:t>项目名称：</w:t>
            </w:r>
            <w:r>
              <w:rPr>
                <w:rFonts w:ascii="仿宋_GB2312" w:hAnsi="宋体" w:eastAsia="仿宋_GB2312"/>
                <w:sz w:val="24"/>
              </w:rPr>
              <w:t>柳州高级中学AI教学中心设备采购</w:t>
            </w:r>
          </w:p>
          <w:p w14:paraId="730841C5">
            <w:pPr>
              <w:spacing w:line="400" w:lineRule="exact"/>
              <w:rPr>
                <w:rFonts w:ascii="仿宋_GB2312" w:eastAsia="仿宋_GB2312"/>
                <w:sz w:val="24"/>
              </w:rPr>
            </w:pPr>
            <w:r>
              <w:rPr>
                <w:rFonts w:hint="eastAsia" w:ascii="仿宋_GB2312" w:eastAsia="仿宋_GB2312"/>
                <w:sz w:val="24"/>
              </w:rPr>
              <w:t>项目编号：</w:t>
            </w:r>
            <w:r>
              <w:rPr>
                <w:rFonts w:ascii="仿宋_GB2312" w:hAnsi="宋体" w:eastAsia="仿宋_GB2312"/>
                <w:sz w:val="24"/>
              </w:rPr>
              <w:t>LZZC2026-G1-990498-LZSZ</w:t>
            </w:r>
          </w:p>
        </w:tc>
      </w:tr>
      <w:tr w14:paraId="432BB2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035A2473">
            <w:pPr>
              <w:spacing w:line="400" w:lineRule="exact"/>
              <w:jc w:val="center"/>
              <w:rPr>
                <w:rFonts w:ascii="仿宋_GB2312" w:eastAsia="仿宋_GB2312"/>
                <w:sz w:val="24"/>
              </w:rPr>
            </w:pPr>
            <w:r>
              <w:rPr>
                <w:rFonts w:ascii="仿宋_GB2312" w:eastAsia="仿宋_GB2312"/>
                <w:sz w:val="24"/>
              </w:rPr>
              <w:t>2</w:t>
            </w:r>
          </w:p>
        </w:tc>
        <w:tc>
          <w:tcPr>
            <w:tcW w:w="8232" w:type="dxa"/>
          </w:tcPr>
          <w:p w14:paraId="3434FA7D">
            <w:pPr>
              <w:autoSpaceDE w:val="0"/>
              <w:autoSpaceDN w:val="0"/>
              <w:spacing w:line="400" w:lineRule="exact"/>
              <w:textAlignment w:val="bottom"/>
              <w:rPr>
                <w:rFonts w:ascii="仿宋_GB2312" w:eastAsia="仿宋_GB2312"/>
                <w:sz w:val="24"/>
              </w:rPr>
            </w:pPr>
            <w:r>
              <w:rPr>
                <w:rFonts w:hint="eastAsia" w:ascii="仿宋_GB2312" w:eastAsia="仿宋_GB2312"/>
                <w:sz w:val="24"/>
              </w:rPr>
              <w:t>采购资金来源：财政性资金</w:t>
            </w:r>
          </w:p>
          <w:p w14:paraId="6F7A556A">
            <w:pPr>
              <w:autoSpaceDE w:val="0"/>
              <w:autoSpaceDN w:val="0"/>
              <w:spacing w:line="400" w:lineRule="exact"/>
              <w:textAlignment w:val="bottom"/>
              <w:rPr>
                <w:rFonts w:ascii="仿宋_GB2312" w:eastAsia="仿宋_GB2312"/>
                <w:sz w:val="24"/>
              </w:rPr>
            </w:pPr>
            <w:r>
              <w:rPr>
                <w:rFonts w:hint="eastAsia" w:ascii="仿宋_GB2312" w:eastAsia="仿宋_GB2312"/>
                <w:sz w:val="24"/>
              </w:rPr>
              <w:t>预算金额（人民币）：</w:t>
            </w:r>
            <w:r>
              <w:rPr>
                <w:rFonts w:ascii="仿宋_GB2312" w:eastAsia="仿宋_GB2312"/>
                <w:sz w:val="24"/>
              </w:rPr>
              <w:t>叁佰万元整</w:t>
            </w:r>
            <w:r>
              <w:rPr>
                <w:rFonts w:hint="eastAsia" w:ascii="仿宋_GB2312" w:eastAsia="仿宋_GB2312"/>
                <w:sz w:val="24"/>
              </w:rPr>
              <w:t>（¥</w:t>
            </w:r>
            <w:r>
              <w:rPr>
                <w:rFonts w:ascii="仿宋_GB2312" w:eastAsia="仿宋_GB2312"/>
                <w:sz w:val="24"/>
              </w:rPr>
              <w:t>3</w:t>
            </w:r>
            <w:r>
              <w:rPr>
                <w:rFonts w:hint="eastAsia" w:ascii="仿宋_GB2312" w:eastAsia="仿宋_GB2312"/>
                <w:sz w:val="24"/>
              </w:rPr>
              <w:t>,</w:t>
            </w:r>
            <w:r>
              <w:rPr>
                <w:rFonts w:ascii="仿宋_GB2312" w:eastAsia="仿宋_GB2312"/>
                <w:sz w:val="24"/>
              </w:rPr>
              <w:t>000</w:t>
            </w:r>
            <w:r>
              <w:rPr>
                <w:rFonts w:hint="eastAsia" w:ascii="仿宋_GB2312" w:eastAsia="仿宋_GB2312"/>
                <w:sz w:val="24"/>
              </w:rPr>
              <w:t>,</w:t>
            </w:r>
            <w:r>
              <w:rPr>
                <w:rFonts w:ascii="仿宋_GB2312" w:eastAsia="仿宋_GB2312"/>
                <w:sz w:val="24"/>
              </w:rPr>
              <w:t>000</w:t>
            </w:r>
            <w:r>
              <w:rPr>
                <w:rFonts w:hint="eastAsia" w:ascii="仿宋_GB2312" w:eastAsia="仿宋_GB2312"/>
                <w:sz w:val="24"/>
              </w:rPr>
              <w:t>.00）。</w:t>
            </w:r>
          </w:p>
        </w:tc>
      </w:tr>
      <w:tr w14:paraId="6774A6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1BE9225">
            <w:pPr>
              <w:spacing w:line="400" w:lineRule="exact"/>
              <w:jc w:val="center"/>
              <w:rPr>
                <w:rFonts w:ascii="仿宋_GB2312" w:eastAsia="仿宋_GB2312"/>
                <w:sz w:val="24"/>
              </w:rPr>
            </w:pPr>
            <w:r>
              <w:rPr>
                <w:rFonts w:ascii="仿宋_GB2312" w:eastAsia="仿宋_GB2312"/>
                <w:sz w:val="24"/>
              </w:rPr>
              <w:t>3</w:t>
            </w:r>
          </w:p>
        </w:tc>
        <w:tc>
          <w:tcPr>
            <w:tcW w:w="8232" w:type="dxa"/>
            <w:vAlign w:val="center"/>
          </w:tcPr>
          <w:p w14:paraId="76F96550">
            <w:pPr>
              <w:spacing w:line="400" w:lineRule="exact"/>
              <w:rPr>
                <w:rFonts w:ascii="仿宋_GB2312" w:eastAsia="仿宋_GB2312"/>
                <w:sz w:val="24"/>
              </w:rPr>
            </w:pPr>
            <w:r>
              <w:rPr>
                <w:rFonts w:hint="eastAsia" w:ascii="仿宋_GB2312" w:eastAsia="仿宋_GB2312"/>
                <w:sz w:val="24"/>
              </w:rPr>
              <w:t>投标报价及费用：</w:t>
            </w:r>
          </w:p>
          <w:p w14:paraId="58B0A007">
            <w:pPr>
              <w:spacing w:line="400" w:lineRule="exact"/>
              <w:rPr>
                <w:rFonts w:ascii="仿宋_GB2312" w:eastAsia="仿宋_GB2312"/>
                <w:sz w:val="24"/>
              </w:rPr>
            </w:pPr>
            <w:r>
              <w:rPr>
                <w:rFonts w:hint="eastAsia" w:ascii="仿宋_GB2312" w:eastAsia="仿宋_GB2312"/>
                <w:sz w:val="24"/>
              </w:rPr>
              <w:t>1.本项目投标应以人民币报价；</w:t>
            </w:r>
          </w:p>
          <w:p w14:paraId="0AF81106">
            <w:pPr>
              <w:spacing w:line="400" w:lineRule="exact"/>
              <w:rPr>
                <w:rFonts w:ascii="仿宋_GB2312" w:eastAsia="仿宋_GB2312"/>
                <w:sz w:val="24"/>
              </w:rPr>
            </w:pPr>
            <w:r>
              <w:rPr>
                <w:rFonts w:hint="eastAsia" w:ascii="仿宋_GB2312" w:eastAsia="仿宋_GB2312"/>
                <w:sz w:val="24"/>
              </w:rPr>
              <w:t>2.不论投标结果如何，投标人均应自行承担所有与投标有关的全部费用；</w:t>
            </w:r>
          </w:p>
          <w:p w14:paraId="69B1DCE8">
            <w:pPr>
              <w:spacing w:line="400" w:lineRule="exact"/>
              <w:rPr>
                <w:rFonts w:ascii="仿宋_GB2312" w:eastAsia="仿宋_GB2312"/>
                <w:sz w:val="24"/>
              </w:rPr>
            </w:pPr>
            <w:r>
              <w:rPr>
                <w:rFonts w:hint="eastAsia" w:ascii="仿宋_GB2312" w:eastAsia="仿宋_GB2312"/>
                <w:sz w:val="24"/>
              </w:rPr>
              <w:t>3.本次招标文件和代理服务费用全免。</w:t>
            </w:r>
          </w:p>
        </w:tc>
      </w:tr>
      <w:tr w14:paraId="43FDF1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atLeast"/>
          <w:jc w:val="center"/>
        </w:trPr>
        <w:tc>
          <w:tcPr>
            <w:tcW w:w="817" w:type="dxa"/>
            <w:vAlign w:val="center"/>
          </w:tcPr>
          <w:p w14:paraId="5373ADF1">
            <w:pPr>
              <w:spacing w:line="400" w:lineRule="exact"/>
              <w:jc w:val="center"/>
              <w:rPr>
                <w:rFonts w:ascii="仿宋_GB2312" w:eastAsia="仿宋_GB2312"/>
                <w:sz w:val="24"/>
              </w:rPr>
            </w:pPr>
            <w:r>
              <w:rPr>
                <w:rFonts w:ascii="仿宋_GB2312" w:eastAsia="仿宋_GB2312"/>
                <w:sz w:val="24"/>
              </w:rPr>
              <w:t>4</w:t>
            </w:r>
          </w:p>
        </w:tc>
        <w:tc>
          <w:tcPr>
            <w:tcW w:w="8232" w:type="dxa"/>
            <w:vAlign w:val="center"/>
          </w:tcPr>
          <w:p w14:paraId="17E4EA51">
            <w:pPr>
              <w:spacing w:line="400" w:lineRule="exact"/>
              <w:rPr>
                <w:rFonts w:ascii="仿宋_GB2312" w:eastAsia="仿宋_GB2312"/>
                <w:sz w:val="24"/>
              </w:rPr>
            </w:pPr>
            <w:r>
              <w:rPr>
                <w:rFonts w:hint="eastAsia" w:ascii="仿宋_GB2312" w:eastAsia="仿宋_GB2312"/>
                <w:sz w:val="24"/>
              </w:rPr>
              <w:t>投标保证金为：本项目无需提交投标保证金。</w:t>
            </w:r>
          </w:p>
        </w:tc>
      </w:tr>
      <w:tr w14:paraId="79620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EE23166">
            <w:pPr>
              <w:spacing w:line="400" w:lineRule="exact"/>
              <w:jc w:val="center"/>
              <w:rPr>
                <w:rFonts w:ascii="仿宋_GB2312" w:eastAsia="仿宋_GB2312"/>
                <w:sz w:val="24"/>
              </w:rPr>
            </w:pPr>
            <w:r>
              <w:rPr>
                <w:rFonts w:ascii="仿宋_GB2312" w:eastAsia="仿宋_GB2312"/>
                <w:sz w:val="24"/>
              </w:rPr>
              <w:t>5</w:t>
            </w:r>
          </w:p>
        </w:tc>
        <w:tc>
          <w:tcPr>
            <w:tcW w:w="8232" w:type="dxa"/>
            <w:vAlign w:val="center"/>
          </w:tcPr>
          <w:p w14:paraId="368DCF9A">
            <w:pPr>
              <w:spacing w:line="400" w:lineRule="exact"/>
              <w:rPr>
                <w:rFonts w:ascii="仿宋_GB2312" w:eastAsia="仿宋_GB2312"/>
                <w:sz w:val="24"/>
              </w:rPr>
            </w:pPr>
            <w:r>
              <w:rPr>
                <w:rFonts w:hint="eastAsia" w:ascii="仿宋_GB2312" w:hAnsi="宋体" w:eastAsia="仿宋_GB2312"/>
                <w:sz w:val="24"/>
              </w:rPr>
              <w:t>答疑与澄清：投标人如认为招标文件表述不清晰或对政府采购活动事项有疑问的，应当以书面形式向采购人提出询问、澄清；答疑内容是招标文件的组成部分，并将以书面形式送达所有已获取招标文件的投标人；采购人或采购代理机构可以视采购具体情况，延长</w:t>
            </w:r>
            <w:r>
              <w:rPr>
                <w:rFonts w:hint="eastAsia" w:ascii="仿宋_GB2312" w:eastAsia="仿宋_GB2312"/>
                <w:sz w:val="24"/>
              </w:rPr>
              <w:t>招标文件提供期限，并在财政部门指定的政府采购信息发布媒体上发布公告。</w:t>
            </w:r>
          </w:p>
        </w:tc>
      </w:tr>
      <w:tr w14:paraId="4B200A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FD37338">
            <w:pPr>
              <w:spacing w:line="400" w:lineRule="exact"/>
              <w:jc w:val="center"/>
              <w:rPr>
                <w:rFonts w:ascii="仿宋_GB2312" w:eastAsia="仿宋_GB2312"/>
                <w:sz w:val="24"/>
              </w:rPr>
            </w:pPr>
            <w:r>
              <w:rPr>
                <w:rFonts w:hint="eastAsia" w:ascii="仿宋_GB2312" w:eastAsia="仿宋_GB2312"/>
                <w:color w:val="000000"/>
                <w:sz w:val="24"/>
              </w:rPr>
              <w:t>6</w:t>
            </w:r>
          </w:p>
        </w:tc>
        <w:tc>
          <w:tcPr>
            <w:tcW w:w="8232" w:type="dxa"/>
            <w:vAlign w:val="center"/>
          </w:tcPr>
          <w:p w14:paraId="7D9341A6">
            <w:pPr>
              <w:pStyle w:val="573"/>
              <w:spacing w:before="0" w:beforeAutospacing="0" w:after="0" w:afterAutospacing="0" w:line="460" w:lineRule="atLeast"/>
              <w:rPr>
                <w:rFonts w:hint="eastAsia" w:ascii="仿宋_GB2312" w:eastAsia="仿宋_GB2312"/>
                <w:color w:val="000000"/>
              </w:rPr>
            </w:pPr>
            <w:r>
              <w:rPr>
                <w:rStyle w:val="574"/>
                <w:rFonts w:hint="eastAsia" w:ascii="仿宋_GB2312" w:eastAsia="仿宋_GB2312"/>
                <w:color w:val="000000"/>
              </w:rPr>
              <w:t>电子投标文件：</w:t>
            </w:r>
            <w:r>
              <w:rPr>
                <w:rFonts w:hint="eastAsia" w:ascii="仿宋_GB2312" w:eastAsia="仿宋_GB2312"/>
                <w:b/>
                <w:bCs/>
                <w:color w:val="000000"/>
              </w:rPr>
              <w:br w:type="textWrapping"/>
            </w:r>
            <w:r>
              <w:rPr>
                <w:rStyle w:val="574"/>
                <w:rFonts w:hint="eastAsia" w:ascii="仿宋_GB2312" w:eastAsia="仿宋_GB2312"/>
                <w:color w:val="000000"/>
              </w:rPr>
              <w:t>1.投标人应按照本项目公开招标文件和广西政府采购云平台的要求，通过“广西政府采购云平台客户端”编制、加密电子投标文件，并于提交投标文件截止时间前在广西政府采购云平台上提交加密的电子投标文件。</w:t>
            </w:r>
            <w:r>
              <w:rPr>
                <w:rFonts w:hint="eastAsia" w:ascii="仿宋_GB2312" w:eastAsia="仿宋_GB2312"/>
                <w:b/>
                <w:bCs/>
                <w:color w:val="000000"/>
              </w:rPr>
              <w:br w:type="textWrapping"/>
            </w:r>
            <w:r>
              <w:rPr>
                <w:rStyle w:val="574"/>
                <w:rFonts w:hint="eastAsia" w:ascii="仿宋_GB2312" w:eastAsia="仿宋_GB2312"/>
                <w:color w:val="000000"/>
              </w:rPr>
              <w:t>2.未按规定传输提交电子投标文件的将被广西政府采购云平台拒绝。</w:t>
            </w:r>
            <w:r>
              <w:rPr>
                <w:rFonts w:hint="eastAsia" w:ascii="仿宋_GB2312" w:eastAsia="仿宋_GB2312"/>
                <w:b/>
                <w:bCs/>
                <w:color w:val="000000"/>
              </w:rPr>
              <w:br w:type="textWrapping"/>
            </w:r>
            <w:r>
              <w:rPr>
                <w:rStyle w:val="574"/>
                <w:rFonts w:hint="eastAsia" w:ascii="仿宋_GB2312" w:eastAsia="仿宋_GB2312"/>
                <w:color w:val="000000"/>
              </w:rPr>
              <w:t>3.电子投标文件成功提交后，投标人可自行打印投标文件接收回执。</w:t>
            </w:r>
          </w:p>
        </w:tc>
      </w:tr>
      <w:tr w14:paraId="3F57E5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B519A77">
            <w:pPr>
              <w:spacing w:line="400" w:lineRule="exact"/>
              <w:jc w:val="center"/>
              <w:rPr>
                <w:rFonts w:ascii="仿宋_GB2312" w:eastAsia="仿宋_GB2312"/>
                <w:sz w:val="24"/>
              </w:rPr>
            </w:pPr>
            <w:r>
              <w:rPr>
                <w:rFonts w:hint="eastAsia" w:ascii="仿宋_GB2312" w:eastAsia="仿宋_GB2312"/>
                <w:color w:val="000000"/>
                <w:sz w:val="24"/>
              </w:rPr>
              <w:t>7</w:t>
            </w:r>
          </w:p>
        </w:tc>
        <w:tc>
          <w:tcPr>
            <w:tcW w:w="8232" w:type="dxa"/>
            <w:vAlign w:val="center"/>
          </w:tcPr>
          <w:p w14:paraId="56405FC3">
            <w:pPr>
              <w:pStyle w:val="59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投标文件提交截止时间及地点：详见公开招标公告。</w:t>
            </w:r>
          </w:p>
        </w:tc>
      </w:tr>
      <w:tr w14:paraId="25966D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F377C2F">
            <w:pPr>
              <w:spacing w:line="400" w:lineRule="exact"/>
              <w:jc w:val="center"/>
              <w:rPr>
                <w:rFonts w:ascii="仿宋_GB2312" w:eastAsia="仿宋_GB2312"/>
                <w:sz w:val="24"/>
              </w:rPr>
            </w:pPr>
            <w:r>
              <w:rPr>
                <w:rFonts w:hint="eastAsia" w:ascii="仿宋_GB2312" w:eastAsia="仿宋_GB2312"/>
                <w:color w:val="000000"/>
                <w:sz w:val="24"/>
              </w:rPr>
              <w:t>8</w:t>
            </w:r>
          </w:p>
        </w:tc>
        <w:tc>
          <w:tcPr>
            <w:tcW w:w="8232" w:type="dxa"/>
            <w:vAlign w:val="center"/>
          </w:tcPr>
          <w:p w14:paraId="12EB8799">
            <w:pPr>
              <w:pStyle w:val="61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开标时间：详见公开招标公告。</w:t>
            </w:r>
          </w:p>
        </w:tc>
      </w:tr>
      <w:tr w14:paraId="21FF46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B81C37F">
            <w:pPr>
              <w:spacing w:line="400" w:lineRule="exact"/>
              <w:jc w:val="center"/>
              <w:rPr>
                <w:rFonts w:ascii="仿宋_GB2312" w:eastAsia="仿宋_GB2312"/>
                <w:sz w:val="24"/>
              </w:rPr>
            </w:pPr>
            <w:r>
              <w:rPr>
                <w:rFonts w:hint="eastAsia" w:ascii="仿宋_GB2312" w:eastAsia="仿宋_GB2312"/>
                <w:color w:val="000000"/>
                <w:sz w:val="24"/>
              </w:rPr>
              <w:t>9</w:t>
            </w:r>
          </w:p>
        </w:tc>
        <w:tc>
          <w:tcPr>
            <w:tcW w:w="8232" w:type="dxa"/>
            <w:vAlign w:val="center"/>
          </w:tcPr>
          <w:p w14:paraId="48D53864">
            <w:pPr>
              <w:pStyle w:val="63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电子投标文件解密时间：采购代理机构开启解密标书后30分钟内，投标人必须在此时间段内登录广西政府采购云平台，用“项目采购-开标评标”功能完成电子投标文件的解密。若投标人在规定时间内未按时解密的，视为投标无效。</w:t>
            </w:r>
          </w:p>
        </w:tc>
      </w:tr>
      <w:tr w14:paraId="38E2AE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65E9164">
            <w:pPr>
              <w:spacing w:line="400" w:lineRule="exact"/>
              <w:jc w:val="center"/>
              <w:rPr>
                <w:rFonts w:ascii="仿宋_GB2312" w:eastAsia="仿宋_GB2312"/>
                <w:sz w:val="24"/>
              </w:rPr>
            </w:pPr>
            <w:r>
              <w:rPr>
                <w:rFonts w:hint="eastAsia" w:ascii="仿宋_GB2312" w:eastAsia="仿宋_GB2312"/>
                <w:color w:val="000000"/>
                <w:sz w:val="24"/>
              </w:rPr>
              <w:t>10</w:t>
            </w:r>
          </w:p>
        </w:tc>
        <w:tc>
          <w:tcPr>
            <w:tcW w:w="8232" w:type="dxa"/>
            <w:vAlign w:val="center"/>
          </w:tcPr>
          <w:p w14:paraId="759F551D">
            <w:pPr>
              <w:pStyle w:val="65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评标方法：综合评分法</w:t>
            </w:r>
          </w:p>
        </w:tc>
      </w:tr>
      <w:tr w14:paraId="3D0E35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5174F57">
            <w:pPr>
              <w:spacing w:line="400" w:lineRule="exact"/>
              <w:jc w:val="center"/>
              <w:rPr>
                <w:rFonts w:ascii="仿宋_GB2312" w:eastAsia="仿宋_GB2312"/>
                <w:sz w:val="24"/>
              </w:rPr>
            </w:pPr>
            <w:r>
              <w:rPr>
                <w:rFonts w:hint="eastAsia" w:ascii="仿宋_GB2312" w:eastAsia="仿宋_GB2312"/>
                <w:color w:val="000000"/>
                <w:sz w:val="24"/>
              </w:rPr>
              <w:t>11</w:t>
            </w:r>
          </w:p>
        </w:tc>
        <w:tc>
          <w:tcPr>
            <w:tcW w:w="8232" w:type="dxa"/>
            <w:vAlign w:val="center"/>
          </w:tcPr>
          <w:p w14:paraId="483391CF">
            <w:pPr>
              <w:pStyle w:val="674"/>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发布媒体：中国政府采购网（www.ccgp.gov.cn）、广西壮族自治区政府采购网（zfcg.gxzf.gov.cn）、柳州市政府采购网（zfcg.lzscz.liuzhou.gov.cn）。</w:t>
            </w:r>
          </w:p>
        </w:tc>
      </w:tr>
      <w:tr w14:paraId="1BB8E0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27520069">
            <w:pPr>
              <w:spacing w:line="400" w:lineRule="exact"/>
              <w:jc w:val="center"/>
              <w:rPr>
                <w:rFonts w:ascii="仿宋_GB2312" w:eastAsia="仿宋_GB2312"/>
                <w:sz w:val="24"/>
              </w:rPr>
            </w:pPr>
            <w:r>
              <w:rPr>
                <w:rFonts w:hint="eastAsia" w:ascii="仿宋_GB2312" w:eastAsia="仿宋_GB2312"/>
                <w:color w:val="000000"/>
                <w:sz w:val="24"/>
              </w:rPr>
              <w:t>12</w:t>
            </w:r>
          </w:p>
        </w:tc>
        <w:tc>
          <w:tcPr>
            <w:tcW w:w="8232" w:type="dxa"/>
            <w:vAlign w:val="center"/>
          </w:tcPr>
          <w:p w14:paraId="2F19A240">
            <w:pPr>
              <w:pStyle w:val="694"/>
              <w:spacing w:before="0" w:beforeAutospacing="0" w:after="0" w:afterAutospacing="0" w:line="460" w:lineRule="atLeast"/>
              <w:rPr>
                <w:rFonts w:hint="eastAsia" w:ascii="仿宋_GB2312" w:eastAsia="仿宋_GB2312"/>
                <w:color w:val="000000"/>
              </w:rPr>
            </w:pPr>
            <w:r>
              <w:rPr>
                <w:rStyle w:val="695"/>
                <w:rFonts w:hint="eastAsia" w:ascii="仿宋_GB2312" w:eastAsia="仿宋_GB2312"/>
                <w:color w:val="000000"/>
              </w:rPr>
              <w:t>一、信用信息使用规则：</w:t>
            </w:r>
            <w:r>
              <w:rPr>
                <w:rFonts w:hint="eastAsia" w:ascii="仿宋_GB2312" w:eastAsia="仿宋_GB2312"/>
                <w:color w:val="000000"/>
              </w:rPr>
              <w:br w:type="textWrapping"/>
            </w:r>
            <w:r>
              <w:rPr>
                <w:rFonts w:hint="eastAsia" w:ascii="仿宋_GB2312" w:eastAsia="仿宋_GB2312"/>
                <w:color w:val="000000"/>
              </w:rPr>
              <w:t>采购人或者采购代理机构将对供应商信用记录进行甄别，对在“信用中国”网站(www.creditchina.gov.cn)、中国政府采购网(www.ccgp.gov.cn)等渠道列入失信被执行人、重大税收违法案件当事人名单、政府采购严重违法失信行为记录名单及其他不符合《中华人民共和国政府采购法》第二十二条规定条件的供应商，拒绝其参与政府采购活动。</w:t>
            </w:r>
            <w:r>
              <w:rPr>
                <w:rFonts w:hint="eastAsia" w:ascii="仿宋_GB2312" w:eastAsia="仿宋_GB2312"/>
                <w:color w:val="000000"/>
              </w:rPr>
              <w:br w:type="textWrapping"/>
            </w:r>
            <w:r>
              <w:rPr>
                <w:rStyle w:val="695"/>
                <w:rFonts w:hint="eastAsia" w:ascii="仿宋_GB2312" w:eastAsia="仿宋_GB2312"/>
                <w:color w:val="000000"/>
              </w:rPr>
              <w:t>二、甄别方式：</w:t>
            </w:r>
            <w:r>
              <w:rPr>
                <w:rFonts w:hint="eastAsia" w:ascii="仿宋_GB2312" w:eastAsia="仿宋_GB2312"/>
                <w:b/>
                <w:bCs/>
                <w:color w:val="000000"/>
              </w:rPr>
              <w:br w:type="textWrapping"/>
            </w:r>
            <w:r>
              <w:rPr>
                <w:rStyle w:val="695"/>
                <w:rFonts w:hint="eastAsia" w:ascii="仿宋_GB2312" w:eastAsia="仿宋_GB2312"/>
                <w:color w:val="000000"/>
              </w:rPr>
              <w:t>1.在本项目资格性审查时，采购人将对投标人信用进行查询，并按照以上信用信息使用规则处理；</w:t>
            </w:r>
            <w:r>
              <w:rPr>
                <w:rFonts w:hint="eastAsia" w:ascii="仿宋_GB2312" w:eastAsia="仿宋_GB2312"/>
                <w:b/>
                <w:bCs/>
                <w:color w:val="000000"/>
              </w:rPr>
              <w:br w:type="textWrapping"/>
            </w:r>
            <w:r>
              <w:rPr>
                <w:rStyle w:val="695"/>
                <w:rFonts w:hint="eastAsia" w:ascii="仿宋_GB2312" w:eastAsia="仿宋_GB2312"/>
                <w:color w:val="000000"/>
              </w:rPr>
              <w:t>2.在中标通知书发出前，采购人或者采购代理机构将对中标人信用进行查询，并按照以上信用信息使用规则处理；</w:t>
            </w:r>
            <w:r>
              <w:rPr>
                <w:rFonts w:hint="eastAsia" w:ascii="仿宋_GB2312" w:eastAsia="仿宋_GB2312"/>
                <w:b/>
                <w:bCs/>
                <w:color w:val="000000"/>
              </w:rPr>
              <w:br w:type="textWrapping"/>
            </w:r>
            <w:r>
              <w:rPr>
                <w:rStyle w:val="695"/>
                <w:rFonts w:hint="eastAsia" w:ascii="仿宋_GB2312" w:eastAsia="仿宋_GB2312"/>
                <w:color w:val="000000"/>
              </w:rPr>
              <w:t>3.根据《财政部关于〈中华人民共和国政府采购法实施条例〉第十九条第一款“较大数额罚款”具体适用问题的意见》（财库〔2022〕3 号），“较大数额罚款”认定为200万元以上的罚款，法律、行政法规以及国务院有关部门明确规定相关领域“较大数额罚款”标准高于200万元的，从其规定。</w:t>
            </w:r>
          </w:p>
        </w:tc>
      </w:tr>
      <w:tr w14:paraId="7C3E0F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88FDD93">
            <w:pPr>
              <w:spacing w:line="400" w:lineRule="exact"/>
              <w:jc w:val="center"/>
              <w:rPr>
                <w:rFonts w:ascii="仿宋_GB2312" w:eastAsia="仿宋_GB2312"/>
                <w:sz w:val="24"/>
              </w:rPr>
            </w:pPr>
            <w:r>
              <w:rPr>
                <w:rFonts w:hint="eastAsia" w:ascii="仿宋_GB2312" w:eastAsia="仿宋_GB2312"/>
                <w:color w:val="000000"/>
                <w:sz w:val="24"/>
              </w:rPr>
              <w:t>13</w:t>
            </w:r>
          </w:p>
        </w:tc>
        <w:tc>
          <w:tcPr>
            <w:tcW w:w="8232" w:type="dxa"/>
            <w:vAlign w:val="center"/>
          </w:tcPr>
          <w:p w14:paraId="6CE61382">
            <w:pPr>
              <w:pStyle w:val="715"/>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中标公告及中标通知书：采购代理机构在采购人依法确认中标人后两个工作日内发布中标公告和中标通知书。</w:t>
            </w:r>
            <w:r>
              <w:rPr>
                <w:rFonts w:hint="eastAsia" w:ascii="仿宋_GB2312" w:eastAsia="仿宋_GB2312"/>
                <w:color w:val="000000"/>
              </w:rPr>
              <w:br w:type="textWrapping"/>
            </w:r>
            <w:r>
              <w:rPr>
                <w:rStyle w:val="716"/>
                <w:rFonts w:hint="eastAsia" w:ascii="仿宋_GB2312" w:eastAsia="仿宋_GB2312"/>
                <w:color w:val="000000"/>
              </w:rPr>
              <w:t>根据《柳州市财政局 人民银行柳州市中心支行 关于进一步做好线上“政采贷”融资工作的通知》（柳财采〔2022〕19号），供应商可凭中标通知书、政府采购合同，通过中征应收账款融资服务平台向银行在线申请“政采贷”融资。</w:t>
            </w:r>
          </w:p>
        </w:tc>
      </w:tr>
      <w:tr w14:paraId="4B754D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706F7E9F">
            <w:pPr>
              <w:spacing w:line="400" w:lineRule="exact"/>
              <w:jc w:val="center"/>
              <w:rPr>
                <w:rFonts w:ascii="仿宋_GB2312" w:eastAsia="仿宋_GB2312"/>
                <w:sz w:val="24"/>
              </w:rPr>
            </w:pPr>
            <w:r>
              <w:rPr>
                <w:rFonts w:hint="eastAsia" w:ascii="仿宋_GB2312" w:eastAsia="仿宋_GB2312"/>
                <w:color w:val="000000"/>
                <w:sz w:val="24"/>
              </w:rPr>
              <w:t>14</w:t>
            </w:r>
          </w:p>
        </w:tc>
        <w:tc>
          <w:tcPr>
            <w:tcW w:w="8232" w:type="dxa"/>
            <w:vAlign w:val="center"/>
          </w:tcPr>
          <w:p w14:paraId="68AFEE27">
            <w:pPr>
              <w:pStyle w:val="736"/>
              <w:spacing w:before="0" w:beforeAutospacing="0" w:after="0" w:afterAutospacing="0" w:line="460" w:lineRule="atLeast"/>
              <w:rPr>
                <w:rFonts w:hint="eastAsia" w:ascii="仿宋_GB2312" w:eastAsia="仿宋_GB2312"/>
                <w:color w:val="000000"/>
              </w:rPr>
            </w:pPr>
            <w:r>
              <w:rPr>
                <w:rStyle w:val="737"/>
                <w:rFonts w:hint="eastAsia" w:ascii="仿宋_GB2312" w:eastAsia="仿宋_GB2312"/>
                <w:color w:val="000000"/>
              </w:rPr>
              <w:t>签订合同时间：中标通知书发出后</w:t>
            </w:r>
            <w:r>
              <w:rPr>
                <w:rStyle w:val="737"/>
                <w:rFonts w:hint="eastAsia" w:ascii="仿宋_GB2312" w:eastAsia="仿宋_GB2312"/>
                <w:color w:val="000000"/>
                <w:u w:val="single"/>
              </w:rPr>
              <w:t>25</w:t>
            </w:r>
            <w:r>
              <w:rPr>
                <w:rStyle w:val="737"/>
                <w:rFonts w:hint="eastAsia" w:ascii="仿宋_GB2312" w:eastAsia="仿宋_GB2312"/>
                <w:color w:val="000000"/>
              </w:rPr>
              <w:t>日内。</w:t>
            </w:r>
          </w:p>
        </w:tc>
      </w:tr>
      <w:tr w14:paraId="6396491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3A5F60F0">
            <w:pPr>
              <w:spacing w:line="400" w:lineRule="exact"/>
              <w:jc w:val="center"/>
              <w:rPr>
                <w:rFonts w:ascii="仿宋_GB2312" w:eastAsia="仿宋_GB2312"/>
                <w:sz w:val="24"/>
              </w:rPr>
            </w:pPr>
            <w:r>
              <w:rPr>
                <w:rFonts w:hint="eastAsia" w:ascii="仿宋_GB2312" w:eastAsia="仿宋_GB2312"/>
                <w:color w:val="000000"/>
                <w:sz w:val="24"/>
              </w:rPr>
              <w:t>15</w:t>
            </w:r>
          </w:p>
        </w:tc>
        <w:tc>
          <w:tcPr>
            <w:tcW w:w="8232" w:type="dxa"/>
            <w:vAlign w:val="center"/>
          </w:tcPr>
          <w:p w14:paraId="2C20CC2D">
            <w:pPr>
              <w:pStyle w:val="75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投标文件有效期：投标截止日期后</w:t>
            </w:r>
            <w:r>
              <w:rPr>
                <w:rFonts w:hint="eastAsia" w:ascii="仿宋_GB2312" w:eastAsia="仿宋_GB2312"/>
                <w:color w:val="000000"/>
                <w:u w:val="single"/>
              </w:rPr>
              <w:t>不得少于90天</w:t>
            </w:r>
            <w:r>
              <w:rPr>
                <w:rFonts w:hint="eastAsia" w:ascii="仿宋_GB2312" w:eastAsia="仿宋_GB2312"/>
                <w:color w:val="000000"/>
              </w:rPr>
              <w:t>。</w:t>
            </w:r>
          </w:p>
        </w:tc>
      </w:tr>
      <w:tr w14:paraId="4B03D09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13CC4DB3">
            <w:pPr>
              <w:spacing w:line="400" w:lineRule="exact"/>
              <w:jc w:val="center"/>
              <w:rPr>
                <w:rFonts w:ascii="仿宋_GB2312" w:eastAsia="仿宋_GB2312"/>
                <w:sz w:val="24"/>
              </w:rPr>
            </w:pPr>
            <w:r>
              <w:rPr>
                <w:rFonts w:hint="eastAsia" w:ascii="仿宋_GB2312" w:eastAsia="仿宋_GB2312"/>
                <w:color w:val="000000"/>
                <w:sz w:val="24"/>
              </w:rPr>
              <w:t>16</w:t>
            </w:r>
          </w:p>
        </w:tc>
        <w:tc>
          <w:tcPr>
            <w:tcW w:w="8232" w:type="dxa"/>
            <w:vAlign w:val="center"/>
          </w:tcPr>
          <w:p w14:paraId="13A8FB94">
            <w:pPr>
              <w:pStyle w:val="77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解释：本招标文件的解释权属于采购代理机构。</w:t>
            </w:r>
          </w:p>
        </w:tc>
      </w:tr>
      <w:tr w14:paraId="01C26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6E4E448B">
            <w:pPr>
              <w:spacing w:line="400" w:lineRule="exact"/>
              <w:jc w:val="center"/>
              <w:rPr>
                <w:rFonts w:ascii="仿宋_GB2312" w:eastAsia="仿宋_GB2312"/>
                <w:sz w:val="24"/>
              </w:rPr>
            </w:pPr>
            <w:r>
              <w:rPr>
                <w:rFonts w:hint="eastAsia" w:ascii="仿宋_GB2312" w:eastAsia="仿宋_GB2312"/>
                <w:color w:val="000000"/>
                <w:sz w:val="24"/>
              </w:rPr>
              <w:t>17</w:t>
            </w:r>
          </w:p>
        </w:tc>
        <w:tc>
          <w:tcPr>
            <w:tcW w:w="8232" w:type="dxa"/>
            <w:vAlign w:val="center"/>
          </w:tcPr>
          <w:p w14:paraId="7CD0F027">
            <w:pPr>
              <w:pStyle w:val="79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政府采购合同公告：根据《中华人民共和国政府采购法实施条例》第五十条规定，采购人应当自政府采购合同签订之日起2个工作日内，将政府采购合同在省级以上人民政府财政部门指定的媒体上公告，但政府采购合同中涉及国家秘密、商业秘密的内容除外。因此请各投标人应在投标文件中注明投标文件内容中涉及商业秘密的部分，未注明的视为投标文件中不涉及商业秘密。</w:t>
            </w:r>
          </w:p>
        </w:tc>
      </w:tr>
      <w:tr w14:paraId="687BB8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817" w:type="dxa"/>
            <w:vAlign w:val="center"/>
          </w:tcPr>
          <w:p w14:paraId="41A42D84">
            <w:pPr>
              <w:spacing w:line="400" w:lineRule="exact"/>
              <w:jc w:val="center"/>
              <w:rPr>
                <w:rFonts w:ascii="仿宋_GB2312" w:eastAsia="仿宋_GB2312"/>
                <w:sz w:val="24"/>
              </w:rPr>
            </w:pPr>
            <w:r>
              <w:rPr>
                <w:rFonts w:hint="eastAsia" w:ascii="仿宋_GB2312" w:eastAsia="仿宋_GB2312"/>
                <w:color w:val="000000"/>
                <w:sz w:val="24"/>
              </w:rPr>
              <w:t>18</w:t>
            </w:r>
          </w:p>
        </w:tc>
        <w:tc>
          <w:tcPr>
            <w:tcW w:w="8232" w:type="dxa"/>
            <w:vAlign w:val="center"/>
          </w:tcPr>
          <w:p w14:paraId="1EAACEDF">
            <w:pPr>
              <w:pStyle w:val="817"/>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1.本招标文件中描述投标人的“公章”是指投标人的CA电子签章。</w:t>
            </w:r>
            <w:r>
              <w:rPr>
                <w:rFonts w:hint="eastAsia" w:ascii="仿宋_GB2312" w:eastAsia="仿宋_GB2312"/>
                <w:color w:val="000000"/>
              </w:rPr>
              <w:br w:type="textWrapping"/>
            </w:r>
            <w:r>
              <w:rPr>
                <w:rFonts w:hint="eastAsia" w:ascii="仿宋_GB2312" w:eastAsia="仿宋_GB2312"/>
                <w:color w:val="000000"/>
              </w:rPr>
              <w:t>2.本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p>
        </w:tc>
      </w:tr>
    </w:tbl>
    <w:p w14:paraId="6A899AA5">
      <w:pPr>
        <w:spacing w:line="360" w:lineRule="auto"/>
        <w:jc w:val="center"/>
        <w:rPr>
          <w:b/>
          <w:sz w:val="32"/>
          <w:szCs w:val="32"/>
        </w:rPr>
        <w:sectPr>
          <w:pgSz w:w="11906" w:h="16838"/>
          <w:pgMar w:top="1440" w:right="1440" w:bottom="1440" w:left="1440" w:header="851" w:footer="992" w:gutter="0"/>
          <w:cols w:space="720" w:num="1"/>
          <w:docGrid w:linePitch="312" w:charSpace="0"/>
        </w:sectPr>
      </w:pPr>
    </w:p>
    <w:p w14:paraId="5288A8D3">
      <w:pPr>
        <w:spacing w:line="360" w:lineRule="auto"/>
        <w:jc w:val="center"/>
        <w:rPr>
          <w:b/>
          <w:sz w:val="32"/>
          <w:szCs w:val="32"/>
        </w:rPr>
      </w:pPr>
      <w:r>
        <w:rPr>
          <w:rFonts w:hint="eastAsia"/>
          <w:b/>
          <w:sz w:val="32"/>
          <w:szCs w:val="32"/>
        </w:rPr>
        <w:t>投标人须知</w:t>
      </w:r>
    </w:p>
    <w:p w14:paraId="5FC1764D">
      <w:pPr>
        <w:spacing w:line="300" w:lineRule="exact"/>
        <w:jc w:val="center"/>
        <w:rPr>
          <w:b/>
          <w:sz w:val="32"/>
          <w:szCs w:val="32"/>
        </w:rPr>
      </w:pPr>
    </w:p>
    <w:p w14:paraId="1BE44509">
      <w:pPr>
        <w:pStyle w:val="26"/>
        <w:snapToGrid w:val="0"/>
        <w:spacing w:line="360" w:lineRule="exact"/>
        <w:ind w:right="-330" w:rightChars="-157"/>
        <w:rPr>
          <w:rFonts w:hint="eastAsia" w:ascii="仿宋_GB2312" w:hAnsi="宋体" w:eastAsia="仿宋_GB2312"/>
          <w:b/>
          <w:sz w:val="24"/>
          <w:szCs w:val="24"/>
        </w:rPr>
      </w:pPr>
      <w:r>
        <w:rPr>
          <w:rFonts w:hint="eastAsia" w:ascii="仿宋_GB2312" w:hAnsi="宋体" w:eastAsia="仿宋_GB2312"/>
          <w:b/>
          <w:sz w:val="24"/>
          <w:szCs w:val="24"/>
        </w:rPr>
        <w:t>一、总  则</w:t>
      </w:r>
    </w:p>
    <w:p w14:paraId="1F3934AD">
      <w:pPr>
        <w:snapToGrid w:val="0"/>
        <w:spacing w:line="360" w:lineRule="exact"/>
        <w:ind w:right="-330" w:rightChars="-157" w:firstLine="472" w:firstLineChars="196"/>
        <w:jc w:val="left"/>
        <w:outlineLvl w:val="1"/>
        <w:rPr>
          <w:rFonts w:ascii="仿宋_GB2312" w:eastAsia="仿宋_GB2312"/>
          <w:b/>
          <w:sz w:val="24"/>
        </w:rPr>
      </w:pPr>
      <w:bookmarkStart w:id="32" w:name="_Toc254970527"/>
      <w:bookmarkStart w:id="33" w:name="_Toc254970668"/>
      <w:r>
        <w:rPr>
          <w:rFonts w:hint="eastAsia" w:ascii="仿宋_GB2312" w:eastAsia="仿宋_GB2312"/>
          <w:b/>
          <w:sz w:val="24"/>
        </w:rPr>
        <w:t>1. 适用范围</w:t>
      </w:r>
      <w:bookmarkEnd w:id="32"/>
      <w:bookmarkEnd w:id="33"/>
    </w:p>
    <w:p w14:paraId="70A6927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1.1本招标文件适用于</w:t>
      </w:r>
      <w:r>
        <w:rPr>
          <w:rFonts w:hint="eastAsia" w:ascii="仿宋_GB2312" w:hAnsi="宋体" w:eastAsia="仿宋_GB2312"/>
          <w:sz w:val="24"/>
          <w:u w:val="single"/>
        </w:rPr>
        <w:t>柳州高级中学AI教学中心设备采购</w:t>
      </w:r>
      <w:r>
        <w:rPr>
          <w:rFonts w:hint="eastAsia" w:ascii="仿宋_GB2312" w:hAnsi="宋体" w:eastAsia="仿宋_GB2312"/>
          <w:bCs/>
          <w:sz w:val="24"/>
          <w:szCs w:val="24"/>
        </w:rPr>
        <w:t>项目的招标、投标、评标、定标、验收、合同履约、付款等行为（法律、法规另有规定的，从其规定）。</w:t>
      </w:r>
    </w:p>
    <w:p w14:paraId="414E7D62">
      <w:pPr>
        <w:snapToGrid w:val="0"/>
        <w:spacing w:line="360" w:lineRule="exact"/>
        <w:ind w:right="-330" w:rightChars="-157" w:firstLine="354" w:firstLineChars="147"/>
        <w:jc w:val="left"/>
        <w:outlineLvl w:val="1"/>
        <w:rPr>
          <w:rFonts w:ascii="仿宋_GB2312" w:eastAsia="仿宋_GB2312"/>
          <w:b/>
          <w:sz w:val="24"/>
        </w:rPr>
      </w:pPr>
      <w:bookmarkStart w:id="34" w:name="_Toc254970528"/>
      <w:bookmarkStart w:id="35" w:name="_Toc254970669"/>
      <w:r>
        <w:rPr>
          <w:rFonts w:hint="eastAsia" w:ascii="仿宋_GB2312" w:eastAsia="仿宋_GB2312"/>
          <w:b/>
          <w:sz w:val="24"/>
        </w:rPr>
        <w:t>2.定义</w:t>
      </w:r>
      <w:bookmarkEnd w:id="34"/>
      <w:bookmarkEnd w:id="35"/>
    </w:p>
    <w:p w14:paraId="7B2CE673">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2.1“采购人”是指：</w:t>
      </w:r>
      <w:r>
        <w:rPr>
          <w:rFonts w:hint="eastAsia" w:ascii="仿宋_GB2312" w:hAnsi="宋体" w:eastAsia="仿宋_GB2312"/>
          <w:sz w:val="24"/>
          <w:u w:val="single"/>
        </w:rPr>
        <w:t>柳州市电化教育站</w:t>
      </w:r>
      <w:r>
        <w:rPr>
          <w:rFonts w:hint="eastAsia" w:ascii="仿宋_GB2312" w:hAnsi="宋体" w:eastAsia="仿宋_GB2312"/>
          <w:bCs/>
          <w:sz w:val="24"/>
          <w:szCs w:val="24"/>
        </w:rPr>
        <w:t>；“采购代理机构”是指</w:t>
      </w:r>
      <w:r>
        <w:rPr>
          <w:rFonts w:hint="eastAsia" w:ascii="仿宋_GB2312" w:hAnsi="宋体" w:eastAsia="仿宋_GB2312"/>
          <w:bCs/>
          <w:sz w:val="24"/>
          <w:szCs w:val="24"/>
          <w:u w:val="single"/>
        </w:rPr>
        <w:t>柳州市政府集中采购中心</w:t>
      </w:r>
      <w:r>
        <w:rPr>
          <w:rFonts w:hint="eastAsia" w:ascii="仿宋_GB2312" w:hAnsi="宋体" w:eastAsia="仿宋_GB2312"/>
          <w:bCs/>
          <w:sz w:val="24"/>
          <w:szCs w:val="24"/>
        </w:rPr>
        <w:t>。</w:t>
      </w:r>
    </w:p>
    <w:p w14:paraId="6AF88A91">
      <w:pPr>
        <w:pStyle w:val="26"/>
        <w:snapToGrid w:val="0"/>
        <w:spacing w:line="360" w:lineRule="exact"/>
        <w:ind w:right="-330" w:rightChars="-157" w:firstLine="480" w:firstLineChars="200"/>
        <w:rPr>
          <w:rFonts w:hint="eastAsia" w:ascii="仿宋_GB2312" w:hAnsi="宋体" w:eastAsia="仿宋_GB2312"/>
          <w:bCs/>
          <w:sz w:val="24"/>
          <w:szCs w:val="24"/>
        </w:rPr>
      </w:pPr>
      <w:bookmarkStart w:id="36" w:name="_Hlk93681432"/>
      <w:r>
        <w:rPr>
          <w:rFonts w:hint="eastAsia" w:ascii="仿宋_GB2312" w:hAnsi="宋体" w:eastAsia="仿宋_GB2312"/>
          <w:bCs/>
          <w:sz w:val="24"/>
          <w:szCs w:val="24"/>
        </w:rPr>
        <w:t>2.2“投标人”系指响应本公开招标文件要求，参加投标的法人或其他组织或自然人。如果该投标人在本次投标中中标，即成为“中标人”。</w:t>
      </w:r>
    </w:p>
    <w:p w14:paraId="20F704FF">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2.3“产品”系指投标人按招标文件规定，须向采购人提供的一切设备（含安装）、保险、税金、备品备件、工具、手册及其它有关技术资料和材料。</w:t>
      </w:r>
    </w:p>
    <w:bookmarkEnd w:id="36"/>
    <w:p w14:paraId="6AECDF1B">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2.4“服务”系指招标文件规定投标人须承担的安装、调试、技术协助、校准、培训、技术指导以及其他类似的义务。</w:t>
      </w:r>
    </w:p>
    <w:p w14:paraId="1C37ECB2">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2.5“项目”系指投标人按招标文件规定向采购人提供的产品和服务。</w:t>
      </w:r>
    </w:p>
    <w:p w14:paraId="28803312">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2.6“签字”系指投标人的法定代表人或授权委托代理人的电子签名或电子签章或手写签名或盖章，表示同意、认可、承担责任或义务的行为。</w:t>
      </w:r>
    </w:p>
    <w:p w14:paraId="6F69D76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2.7“电子投标文件”系指完整的投标文件，内容包括资格文件、报价要求文件、商务技术文件。</w:t>
      </w:r>
    </w:p>
    <w:p w14:paraId="4F8BDD94">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2.8“</w:t>
      </w:r>
      <w:r>
        <w:rPr>
          <w:rFonts w:hint="eastAsia" w:ascii="仿宋_GB2312" w:hAnsi="仿宋_GB2312" w:eastAsia="仿宋_GB2312" w:cs="仿宋_GB2312"/>
          <w:kern w:val="0"/>
          <w:sz w:val="24"/>
        </w:rPr>
        <w:t>★</w:t>
      </w:r>
      <w:r>
        <w:rPr>
          <w:rFonts w:hint="eastAsia" w:ascii="仿宋_GB2312" w:hAnsi="宋体" w:eastAsia="仿宋_GB2312"/>
          <w:bCs/>
          <w:sz w:val="24"/>
        </w:rPr>
        <w:t>”系指本次采购项目“第二章 采购需求”中的实质性要求。</w:t>
      </w:r>
    </w:p>
    <w:p w14:paraId="1A7D7563">
      <w:pPr>
        <w:pStyle w:val="26"/>
        <w:snapToGrid w:val="0"/>
        <w:spacing w:line="360" w:lineRule="exact"/>
        <w:ind w:right="-330" w:rightChars="-157" w:firstLine="480" w:firstLineChars="200"/>
        <w:rPr>
          <w:rFonts w:hint="eastAsia" w:ascii="仿宋_GB2312" w:hAnsi="宋体" w:eastAsia="仿宋_GB2312"/>
          <w:bCs/>
          <w:sz w:val="24"/>
          <w:szCs w:val="24"/>
        </w:rPr>
      </w:pPr>
      <w:bookmarkStart w:id="37" w:name="_Hlk93681424"/>
      <w:bookmarkStart w:id="38" w:name="_Toc254970529"/>
      <w:bookmarkStart w:id="39" w:name="_Toc254970670"/>
      <w:bookmarkStart w:id="40" w:name="_Toc254970534"/>
      <w:bookmarkStart w:id="41" w:name="_Toc254970675"/>
      <w:bookmarkStart w:id="42" w:name="_Toc254970536"/>
      <w:bookmarkStart w:id="43" w:name="_Toc254970677"/>
      <w:r>
        <w:rPr>
          <w:rFonts w:hint="eastAsia" w:ascii="仿宋_GB2312" w:hAnsi="宋体" w:eastAsia="仿宋_GB2312"/>
          <w:bCs/>
          <w:sz w:val="24"/>
          <w:szCs w:val="24"/>
        </w:rPr>
        <w:t>2.9“▲”系指本次采购的核心产品。</w:t>
      </w:r>
    </w:p>
    <w:p w14:paraId="1097F461">
      <w:pPr>
        <w:pStyle w:val="26"/>
        <w:snapToGrid w:val="0"/>
        <w:spacing w:line="360" w:lineRule="exact"/>
        <w:ind w:right="-330" w:rightChars="-157" w:firstLine="480" w:firstLineChars="200"/>
        <w:rPr>
          <w:rFonts w:hint="eastAsia" w:ascii="仿宋_GB2312" w:hAnsi="宋体" w:eastAsia="仿宋_GB2312"/>
          <w:bCs/>
          <w:sz w:val="24"/>
          <w:szCs w:val="24"/>
        </w:rPr>
      </w:pPr>
      <w:r>
        <w:rPr>
          <w:rFonts w:hint="eastAsia" w:ascii="仿宋_GB2312" w:hAnsi="宋体" w:eastAsia="仿宋_GB2312"/>
          <w:bCs/>
          <w:sz w:val="24"/>
          <w:szCs w:val="24"/>
        </w:rPr>
        <w:t>2.10公开招标文件中所称的“以上”、“以下”、“内”、“以内”、“届满”，包括本数；所称的“不满”、“不足”、“以外”，不包括本数。</w:t>
      </w:r>
    </w:p>
    <w:p w14:paraId="77AAE1E8">
      <w:pPr>
        <w:pStyle w:val="26"/>
        <w:widowControl/>
        <w:snapToGrid w:val="0"/>
        <w:spacing w:line="400" w:lineRule="exact"/>
        <w:ind w:firstLine="480" w:firstLineChars="200"/>
        <w:rPr>
          <w:rFonts w:hint="eastAsia" w:ascii="仿宋_GB2312" w:hAnsi="宋体" w:eastAsia="仿宋_GB2312"/>
          <w:bCs/>
          <w:sz w:val="24"/>
        </w:rPr>
      </w:pPr>
      <w:r>
        <w:rPr>
          <w:rFonts w:hint="eastAsia" w:ascii="仿宋_GB2312" w:hAnsi="宋体" w:eastAsia="仿宋_GB2312"/>
          <w:bCs/>
          <w:sz w:val="24"/>
        </w:rPr>
        <w:t>2.11“法定代表人”系指投标人的法定代表人、负责人或自然人。</w:t>
      </w:r>
    </w:p>
    <w:bookmarkEnd w:id="37"/>
    <w:p w14:paraId="3E813AC2">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3.招标方式</w:t>
      </w:r>
      <w:bookmarkEnd w:id="38"/>
      <w:bookmarkEnd w:id="39"/>
    </w:p>
    <w:p w14:paraId="7EB7F47F">
      <w:pPr>
        <w:snapToGrid w:val="0"/>
        <w:spacing w:line="400" w:lineRule="exact"/>
        <w:ind w:firstLine="480" w:firstLineChars="200"/>
        <w:jc w:val="left"/>
        <w:rPr>
          <w:rFonts w:ascii="仿宋_GB2312" w:eastAsia="仿宋_GB2312"/>
          <w:sz w:val="24"/>
        </w:rPr>
      </w:pPr>
      <w:r>
        <w:rPr>
          <w:rFonts w:hint="eastAsia" w:ascii="仿宋_GB2312" w:eastAsia="仿宋_GB2312"/>
          <w:sz w:val="24"/>
        </w:rPr>
        <w:t>3.1公开招标方式。</w:t>
      </w:r>
    </w:p>
    <w:p w14:paraId="722BAC09">
      <w:pPr>
        <w:snapToGrid w:val="0"/>
        <w:spacing w:line="400" w:lineRule="exact"/>
        <w:ind w:firstLine="482" w:firstLineChars="200"/>
        <w:jc w:val="left"/>
        <w:rPr>
          <w:rFonts w:ascii="仿宋_GB2312" w:eastAsia="仿宋_GB2312"/>
          <w:b/>
          <w:sz w:val="24"/>
        </w:rPr>
      </w:pPr>
      <w:bookmarkStart w:id="44" w:name="_Toc254970530"/>
      <w:bookmarkStart w:id="45" w:name="_Toc254970671"/>
      <w:r>
        <w:rPr>
          <w:rFonts w:hint="eastAsia" w:ascii="仿宋_GB2312" w:eastAsia="仿宋_GB2312"/>
          <w:b/>
          <w:sz w:val="24"/>
        </w:rPr>
        <w:t>4.投标委托</w:t>
      </w:r>
      <w:bookmarkEnd w:id="44"/>
      <w:bookmarkEnd w:id="45"/>
    </w:p>
    <w:p w14:paraId="1073D7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4.1如投标人代表不是法定代表人，须有法定代表人出具的授权委托书（格式见第六章投标文件格式）。</w:t>
      </w:r>
      <w:bookmarkStart w:id="46" w:name="_Toc254970672"/>
      <w:bookmarkStart w:id="47" w:name="_Toc254970531"/>
    </w:p>
    <w:p w14:paraId="472D5091">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5.投标费用</w:t>
      </w:r>
      <w:bookmarkEnd w:id="46"/>
      <w:bookmarkEnd w:id="47"/>
    </w:p>
    <w:p w14:paraId="30789A40">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5.1投标人均应自行承担所有与投标有关的全部费用（招标文件有相关规定的除外）。</w:t>
      </w:r>
    </w:p>
    <w:p w14:paraId="1DC25F58">
      <w:pPr>
        <w:snapToGrid w:val="0"/>
        <w:spacing w:line="400" w:lineRule="exact"/>
        <w:ind w:firstLine="482" w:firstLineChars="200"/>
        <w:jc w:val="left"/>
        <w:rPr>
          <w:rFonts w:ascii="仿宋_GB2312" w:eastAsia="仿宋_GB2312"/>
          <w:b/>
          <w:sz w:val="24"/>
        </w:rPr>
      </w:pPr>
      <w:r>
        <w:rPr>
          <w:rFonts w:hint="eastAsia" w:ascii="仿宋_GB2312" w:eastAsia="仿宋_GB2312"/>
          <w:b/>
          <w:sz w:val="24"/>
        </w:rPr>
        <w:t>6.联合体投标</w:t>
      </w:r>
    </w:p>
    <w:p w14:paraId="44D0817E">
      <w:pPr>
        <w:snapToGrid w:val="0"/>
        <w:spacing w:line="400" w:lineRule="exact"/>
        <w:ind w:firstLine="420"/>
        <w:jc w:val="left"/>
        <w:rPr>
          <w:rFonts w:ascii="仿宋_GB2312" w:eastAsia="仿宋_GB2312"/>
          <w:sz w:val="24"/>
        </w:rPr>
      </w:pPr>
      <w:r>
        <w:rPr>
          <w:rFonts w:hint="eastAsia" w:ascii="仿宋_GB2312" w:eastAsia="仿宋_GB2312"/>
          <w:sz w:val="24"/>
        </w:rPr>
        <w:t>6.1本项目</w:t>
      </w:r>
      <w:r>
        <w:rPr>
          <w:rFonts w:hint="eastAsia" w:ascii="仿宋_GB2312" w:eastAsia="仿宋_GB2312"/>
          <w:sz w:val="24"/>
          <w:u w:val="single"/>
        </w:rPr>
        <w:t>不接受</w:t>
      </w:r>
      <w:r>
        <w:rPr>
          <w:rFonts w:hint="eastAsia" w:ascii="仿宋_GB2312" w:eastAsia="仿宋_GB2312"/>
          <w:sz w:val="24"/>
        </w:rPr>
        <w:t>联合体投标。</w:t>
      </w:r>
    </w:p>
    <w:p w14:paraId="0E04A667">
      <w:pPr>
        <w:snapToGrid w:val="0"/>
        <w:spacing w:line="400" w:lineRule="exact"/>
        <w:ind w:firstLine="470" w:firstLineChars="195"/>
        <w:rPr>
          <w:rFonts w:ascii="仿宋_GB2312" w:eastAsia="仿宋_GB2312"/>
          <w:b/>
          <w:kern w:val="0"/>
          <w:sz w:val="24"/>
        </w:rPr>
      </w:pPr>
      <w:r>
        <w:rPr>
          <w:rFonts w:hint="eastAsia" w:ascii="仿宋_GB2312" w:eastAsia="仿宋_GB2312"/>
          <w:b/>
          <w:sz w:val="24"/>
        </w:rPr>
        <w:t>7.</w:t>
      </w:r>
      <w:r>
        <w:rPr>
          <w:rFonts w:hint="eastAsia" w:ascii="仿宋_GB2312" w:eastAsia="仿宋_GB2312"/>
          <w:b/>
          <w:kern w:val="0"/>
          <w:sz w:val="24"/>
        </w:rPr>
        <w:t xml:space="preserve">转包与分包             </w:t>
      </w:r>
    </w:p>
    <w:p w14:paraId="637078E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7.1本项目不允许转包。</w:t>
      </w:r>
    </w:p>
    <w:p w14:paraId="6CDB6506">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7.2本项目不可以分包。</w:t>
      </w:r>
    </w:p>
    <w:p w14:paraId="37BF83FA">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7.2.1享受扶持政策获得政府采购合同的，小微企业不得将合同分包给大中型企业，中型企业不得将合同分包给大型企业。</w:t>
      </w:r>
    </w:p>
    <w:p w14:paraId="4936DDC5">
      <w:pPr>
        <w:snapToGrid w:val="0"/>
        <w:spacing w:line="400" w:lineRule="exact"/>
        <w:ind w:firstLine="472" w:firstLineChars="196"/>
        <w:jc w:val="left"/>
        <w:outlineLvl w:val="1"/>
        <w:rPr>
          <w:rFonts w:ascii="仿宋_GB2312" w:eastAsia="仿宋_GB2312"/>
          <w:b/>
          <w:sz w:val="24"/>
        </w:rPr>
      </w:pPr>
      <w:bookmarkStart w:id="48" w:name="_Toc254970532"/>
      <w:bookmarkStart w:id="49" w:name="_Toc254970673"/>
      <w:r>
        <w:rPr>
          <w:rFonts w:hint="eastAsia" w:ascii="仿宋_GB2312" w:eastAsia="仿宋_GB2312"/>
          <w:b/>
          <w:sz w:val="24"/>
        </w:rPr>
        <w:t>8.特别说明</w:t>
      </w:r>
      <w:bookmarkEnd w:id="48"/>
      <w:bookmarkEnd w:id="49"/>
    </w:p>
    <w:p w14:paraId="22C09C00">
      <w:pPr>
        <w:pStyle w:val="26"/>
        <w:snapToGrid w:val="0"/>
        <w:spacing w:line="400" w:lineRule="exact"/>
        <w:ind w:firstLine="480" w:firstLineChars="200"/>
        <w:rPr>
          <w:rFonts w:hint="eastAsia" w:ascii="仿宋_GB2312" w:hAnsi="宋体" w:eastAsia="仿宋_GB2312"/>
          <w:bCs/>
          <w:sz w:val="24"/>
          <w:szCs w:val="24"/>
        </w:rPr>
      </w:pPr>
      <w:bookmarkStart w:id="50" w:name="_Toc254970674"/>
      <w:bookmarkStart w:id="51" w:name="_Toc254970533"/>
      <w:r>
        <w:rPr>
          <w:rFonts w:hint="eastAsia" w:ascii="仿宋_GB2312" w:hAnsi="宋体" w:eastAsia="仿宋_GB2312"/>
          <w:bCs/>
          <w:sz w:val="24"/>
          <w:szCs w:val="24"/>
        </w:rPr>
        <w:t>8.1投标人应仔细阅读招标文件的所有内容，按照招标文件的要求提交投标文件，并对所提供的全部资料的真实性承担法律责任。</w:t>
      </w:r>
    </w:p>
    <w:p w14:paraId="522D6F23">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sz w:val="24"/>
          <w:szCs w:val="24"/>
        </w:rPr>
        <w:t>8.2关联供应商不得参加同一合同项下的政府采购活动，否则投标文件将被视为无效：</w:t>
      </w:r>
    </w:p>
    <w:p w14:paraId="340D61F7">
      <w:pPr>
        <w:pStyle w:val="26"/>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8.2.1 单位负责人为同一人或者存在直接控股、管理关系的不同供应商，不得参加同一合同项下的政府采购活动。</w:t>
      </w:r>
    </w:p>
    <w:p w14:paraId="007408D1">
      <w:pPr>
        <w:pStyle w:val="26"/>
        <w:widowControl/>
        <w:snapToGrid w:val="0"/>
        <w:spacing w:line="400" w:lineRule="exact"/>
        <w:ind w:firstLine="480" w:firstLineChars="200"/>
        <w:outlineLvl w:val="1"/>
        <w:rPr>
          <w:rFonts w:hint="eastAsia" w:ascii="仿宋_GB2312" w:hAnsi="宋体" w:eastAsia="仿宋_GB2312"/>
          <w:sz w:val="24"/>
          <w:szCs w:val="24"/>
        </w:rPr>
      </w:pPr>
      <w:r>
        <w:rPr>
          <w:rFonts w:hint="eastAsia" w:ascii="仿宋_GB2312" w:hAnsi="宋体" w:eastAsia="仿宋_GB2312"/>
          <w:sz w:val="24"/>
          <w:szCs w:val="24"/>
        </w:rPr>
        <w:t>8.3除单一来源采购项目外，为采购项目提供整体设计、规范编制或者项目管理、监理、检测等服务的供应商，不得再参加该采购项目的其他采购活动。</w:t>
      </w:r>
    </w:p>
    <w:bookmarkEnd w:id="50"/>
    <w:bookmarkEnd w:id="51"/>
    <w:p w14:paraId="7E82E35C">
      <w:pPr>
        <w:pStyle w:val="26"/>
        <w:snapToGrid w:val="0"/>
        <w:spacing w:line="400" w:lineRule="exact"/>
        <w:ind w:firstLine="472" w:firstLineChars="196"/>
        <w:outlineLvl w:val="1"/>
        <w:rPr>
          <w:rFonts w:hint="eastAsia" w:ascii="仿宋_GB2312" w:hAnsi="宋体" w:eastAsia="仿宋_GB2312"/>
          <w:b/>
          <w:bCs/>
          <w:sz w:val="24"/>
          <w:szCs w:val="24"/>
        </w:rPr>
      </w:pPr>
      <w:r>
        <w:rPr>
          <w:rFonts w:hint="eastAsia" w:ascii="仿宋_GB2312" w:hAnsi="宋体" w:eastAsia="仿宋_GB2312"/>
          <w:b/>
          <w:bCs/>
          <w:sz w:val="24"/>
          <w:szCs w:val="24"/>
        </w:rPr>
        <w:t>9.</w:t>
      </w:r>
      <w:r>
        <w:rPr>
          <w:rFonts w:hint="eastAsia" w:ascii="仿宋_GB2312" w:hAnsi="宋体" w:eastAsia="仿宋_GB2312" w:cs="宋体"/>
          <w:b/>
          <w:sz w:val="24"/>
          <w:szCs w:val="24"/>
        </w:rPr>
        <w:t>质疑和投诉</w:t>
      </w:r>
    </w:p>
    <w:p w14:paraId="7E592B6B">
      <w:pPr>
        <w:pStyle w:val="26"/>
        <w:snapToGrid w:val="0"/>
        <w:spacing w:line="400" w:lineRule="exact"/>
        <w:ind w:firstLine="482" w:firstLineChars="200"/>
        <w:rPr>
          <w:rFonts w:hint="eastAsia" w:ascii="仿宋_GB2312" w:hAnsi="宋体" w:eastAsia="仿宋_GB2312"/>
          <w:bCs/>
          <w:sz w:val="24"/>
          <w:szCs w:val="24"/>
        </w:rPr>
      </w:pPr>
      <w:r>
        <w:rPr>
          <w:rFonts w:hint="eastAsia" w:ascii="仿宋_GB2312" w:hAnsi="宋体" w:eastAsia="仿宋_GB2312"/>
          <w:b/>
          <w:sz w:val="24"/>
        </w:rPr>
        <w:t>注：投标人对电子标项目提出质疑和投诉的，应按照《政府采购质疑和投诉办法》（财政部令第94号）规定的方式提交质疑和投诉。</w:t>
      </w:r>
    </w:p>
    <w:p w14:paraId="3DE39BE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9.1投标人认为招标文件、招标过程或中标结果使自己的合法权益受到损害的，可以在知道或者应知其权益受到损害之日起七个工作日内，以书面形式向采购人或采购代理机构提出质疑。权益受到损害之日是：</w:t>
      </w:r>
    </w:p>
    <w:p w14:paraId="5FE20799">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9.1.1对可以质疑的采购文件提出质疑的，为收到采购文件之日或者采购文件公告期限届满之日；</w:t>
      </w:r>
    </w:p>
    <w:p w14:paraId="7D4A685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9.1.2对采购过程提出质疑的，为各采购程序环节结束之日；</w:t>
      </w:r>
    </w:p>
    <w:p w14:paraId="2A930504">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9.1.3对成交结果提出质疑的，为成交结果公告期限届满之日。</w:t>
      </w:r>
    </w:p>
    <w:p w14:paraId="653431B5">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投标人对采购人或采购代理机构的答复不满意或者采购人、采购代理机构未在规定时间内作出答复的，可以在答复期满后十五个工作日内向同级政府采购监管部门投诉。</w:t>
      </w:r>
    </w:p>
    <w:p w14:paraId="1E63E2FE">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 xml:space="preserve">9.2采购人或采购代理机构（采购代理机构应当按照有关规定就采购人委托授权范围内的事项）在收到供应商的书面质疑后七个工作日内作出答复，但答复的内容不得涉及商业秘密。 </w:t>
      </w:r>
    </w:p>
    <w:p w14:paraId="7907F5DF">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9.3质疑、投诉应当采用书面形式，质疑函、投诉书均应明确阐述招标文件、招标过程或中标结果中使自己合法权益受到损害的实质性内容，提供相关事实依据和证据及其来源或线索，便于有关单位调查、答复和处理。</w:t>
      </w:r>
    </w:p>
    <w:p w14:paraId="417076C7">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9.4质疑书面要求</w:t>
      </w:r>
    </w:p>
    <w:p w14:paraId="1289996C">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9.4.1质疑人质疑时须提交质疑</w:t>
      </w:r>
      <w:r>
        <w:rPr>
          <w:rFonts w:ascii="仿宋_GB2312" w:hAnsi="宋体" w:eastAsia="仿宋_GB2312"/>
          <w:sz w:val="24"/>
          <w:szCs w:val="24"/>
        </w:rPr>
        <w:t>函</w:t>
      </w:r>
      <w:r>
        <w:rPr>
          <w:rFonts w:hint="eastAsia" w:ascii="仿宋_GB2312" w:hAnsi="宋体" w:eastAsia="仿宋_GB2312"/>
          <w:sz w:val="24"/>
          <w:szCs w:val="24"/>
        </w:rPr>
        <w:t>和必要的证明材料</w:t>
      </w:r>
      <w:r>
        <w:rPr>
          <w:rFonts w:hint="eastAsia" w:ascii="仿宋_GB2312" w:eastAsia="仿宋_GB2312"/>
          <w:sz w:val="24"/>
        </w:rPr>
        <w:t>，</w:t>
      </w:r>
      <w:r>
        <w:rPr>
          <w:rFonts w:hint="eastAsia" w:ascii="仿宋_GB2312" w:hAnsi="宋体" w:eastAsia="仿宋_GB2312"/>
          <w:sz w:val="24"/>
          <w:szCs w:val="24"/>
        </w:rPr>
        <w:t>供应商须在法定质疑期内一次性提出针对同一采购程序环节的质疑。</w:t>
      </w:r>
      <w:r>
        <w:rPr>
          <w:rFonts w:hint="eastAsia" w:ascii="仿宋_GB2312" w:hAnsi="宋体" w:eastAsia="仿宋_GB2312"/>
          <w:bCs/>
          <w:sz w:val="24"/>
          <w:szCs w:val="24"/>
        </w:rPr>
        <w:t>质疑函至少包括下列主要内容：</w:t>
      </w:r>
    </w:p>
    <w:p w14:paraId="43CF71A4">
      <w:pPr>
        <w:pStyle w:val="26"/>
        <w:numPr>
          <w:ilvl w:val="0"/>
          <w:numId w:val="2"/>
        </w:numPr>
        <w:tabs>
          <w:tab w:val="left" w:pos="1150"/>
          <w:tab w:val="left" w:pos="1350"/>
        </w:tabs>
        <w:spacing w:line="400" w:lineRule="exact"/>
        <w:rPr>
          <w:rFonts w:hint="eastAsia" w:ascii="仿宋_GB2312" w:hAnsi="宋体" w:eastAsia="仿宋_GB2312"/>
          <w:sz w:val="24"/>
          <w:szCs w:val="24"/>
        </w:rPr>
      </w:pPr>
      <w:r>
        <w:rPr>
          <w:rFonts w:hint="eastAsia" w:ascii="仿宋_GB2312" w:hAnsi="宋体" w:eastAsia="仿宋_GB2312"/>
          <w:sz w:val="24"/>
          <w:szCs w:val="24"/>
        </w:rPr>
        <w:t>供应商的姓名或名称、地址、邮编、联系人及联系电话；</w:t>
      </w:r>
    </w:p>
    <w:p w14:paraId="08477D45">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质疑项目的名称、编号；</w:t>
      </w:r>
    </w:p>
    <w:p w14:paraId="399D67A1">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具体、明确的质疑事项和与质疑事项相关的请求；</w:t>
      </w:r>
    </w:p>
    <w:p w14:paraId="669D61BB">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事实依据；</w:t>
      </w:r>
    </w:p>
    <w:p w14:paraId="3EBB1F65">
      <w:pPr>
        <w:pStyle w:val="26"/>
        <w:numPr>
          <w:ilvl w:val="0"/>
          <w:numId w:val="2"/>
        </w:numPr>
        <w:spacing w:line="400" w:lineRule="exact"/>
        <w:rPr>
          <w:rFonts w:hint="eastAsia" w:ascii="仿宋_GB2312" w:hAnsi="宋体" w:eastAsia="仿宋_GB2312"/>
          <w:sz w:val="24"/>
          <w:szCs w:val="24"/>
        </w:rPr>
      </w:pPr>
      <w:r>
        <w:rPr>
          <w:rFonts w:hint="eastAsia" w:ascii="仿宋_GB2312" w:hAnsi="宋体" w:eastAsia="仿宋_GB2312"/>
          <w:sz w:val="24"/>
          <w:szCs w:val="24"/>
        </w:rPr>
        <w:t>必要的法律依据；</w:t>
      </w:r>
    </w:p>
    <w:p w14:paraId="2BB04514">
      <w:pPr>
        <w:pStyle w:val="26"/>
        <w:numPr>
          <w:ilvl w:val="0"/>
          <w:numId w:val="2"/>
        </w:numPr>
        <w:spacing w:line="400" w:lineRule="exact"/>
        <w:ind w:left="1025" w:hanging="590"/>
        <w:rPr>
          <w:rFonts w:hint="eastAsia" w:ascii="仿宋_GB2312" w:hAnsi="宋体" w:eastAsia="仿宋_GB2312"/>
          <w:sz w:val="24"/>
          <w:szCs w:val="24"/>
        </w:rPr>
      </w:pPr>
      <w:r>
        <w:rPr>
          <w:rFonts w:hint="eastAsia" w:ascii="仿宋_GB2312" w:hAnsi="宋体" w:eastAsia="仿宋_GB2312"/>
          <w:sz w:val="24"/>
          <w:szCs w:val="24"/>
        </w:rPr>
        <w:t>提出质疑的日期。</w:t>
      </w:r>
    </w:p>
    <w:p w14:paraId="2456CC83">
      <w:pPr>
        <w:pStyle w:val="26"/>
        <w:snapToGrid w:val="0"/>
        <w:spacing w:line="400" w:lineRule="exact"/>
        <w:ind w:firstLine="480" w:firstLineChars="200"/>
        <w:rPr>
          <w:rFonts w:hint="eastAsia" w:ascii="仿宋_GB2312" w:hAnsi="宋体" w:eastAsia="仿宋_GB2312"/>
          <w:bCs/>
          <w:sz w:val="24"/>
          <w:szCs w:val="24"/>
        </w:rPr>
      </w:pPr>
      <w:r>
        <w:rPr>
          <w:rFonts w:hint="eastAsia" w:ascii="仿宋_GB2312" w:hAnsi="宋体" w:eastAsia="仿宋_GB2312"/>
          <w:bCs/>
          <w:sz w:val="24"/>
          <w:szCs w:val="24"/>
        </w:rPr>
        <w:t>供应商为自然人的，应当由本人签字；供应商为法人或者其他组织的，应当由法定代表人、主要负责人，或其授权代表签字或者盖章，并加盖公章。</w:t>
      </w:r>
    </w:p>
    <w:p w14:paraId="30F07291">
      <w:pPr>
        <w:pStyle w:val="26"/>
        <w:spacing w:line="400" w:lineRule="exact"/>
        <w:ind w:firstLine="480" w:firstLineChars="200"/>
        <w:rPr>
          <w:rFonts w:hint="eastAsia" w:ascii="仿宋_GB2312" w:hAnsi="宋体" w:eastAsia="仿宋_GB2312"/>
          <w:sz w:val="24"/>
          <w:szCs w:val="24"/>
        </w:rPr>
      </w:pPr>
      <w:r>
        <w:rPr>
          <w:rFonts w:hint="eastAsia" w:ascii="仿宋_GB2312" w:hAnsi="宋体" w:eastAsia="仿宋_GB2312"/>
          <w:bCs/>
          <w:sz w:val="24"/>
          <w:szCs w:val="24"/>
        </w:rPr>
        <w:t>代理人提出质疑和投诉，应当提交供应商签署的授权委托书。</w:t>
      </w:r>
    </w:p>
    <w:p w14:paraId="1367E844">
      <w:pPr>
        <w:snapToGrid w:val="0"/>
        <w:spacing w:line="400" w:lineRule="exact"/>
        <w:ind w:firstLine="480" w:firstLineChars="200"/>
        <w:jc w:val="left"/>
        <w:rPr>
          <w:rFonts w:ascii="仿宋_GB2312" w:eastAsia="仿宋_GB2312" w:cs="Courier New"/>
          <w:sz w:val="24"/>
        </w:rPr>
      </w:pPr>
      <w:r>
        <w:rPr>
          <w:rFonts w:hint="eastAsia" w:ascii="仿宋_GB2312" w:eastAsia="仿宋_GB2312" w:cs="Courier New"/>
          <w:sz w:val="24"/>
        </w:rPr>
        <w:t>9.5接收质疑函的方式：质疑人必须以书面形式向采购人、采购代理机构提出质疑，质疑人至我中心提交质疑函时必须出示有效证件，法定代表人凭本人有效的居民身份证原件；委托代理人凭法定代表人授权委托书原件（委托授权书应当载明代理人的姓名或者名称、代理事项、具体权限、期限和相关事项，供应商为自然人的，应当由本人签字；供应商为法人或者其他组织的，应当由法定代表人、主要负责人签字或者盖章，并加盖公章）和本人有效的居民身份证原件。</w:t>
      </w:r>
    </w:p>
    <w:p w14:paraId="1446260A">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9.6联系部门：柳州市政府集中采购中心监督科。</w:t>
      </w:r>
    </w:p>
    <w:p w14:paraId="622DFCF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9.7联系电话：0772-2992103。</w:t>
      </w:r>
    </w:p>
    <w:p w14:paraId="194F47F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9.8通讯地址：广西</w:t>
      </w:r>
      <w:r>
        <w:rPr>
          <w:rFonts w:ascii="仿宋_GB2312" w:eastAsia="仿宋_GB2312" w:cs="Courier New"/>
          <w:sz w:val="24"/>
        </w:rPr>
        <w:t>柳州市三中路6</w:t>
      </w:r>
      <w:r>
        <w:rPr>
          <w:rFonts w:hint="eastAsia" w:ascii="仿宋_GB2312" w:eastAsia="仿宋_GB2312" w:cs="Courier New"/>
          <w:sz w:val="24"/>
        </w:rPr>
        <w:t>4-2</w:t>
      </w:r>
      <w:r>
        <w:rPr>
          <w:rFonts w:ascii="仿宋_GB2312" w:eastAsia="仿宋_GB2312" w:cs="Courier New"/>
          <w:sz w:val="24"/>
        </w:rPr>
        <w:t>号</w:t>
      </w:r>
      <w:r>
        <w:rPr>
          <w:rFonts w:hint="eastAsia" w:ascii="仿宋_GB2312" w:eastAsia="仿宋_GB2312" w:cs="Courier New"/>
          <w:sz w:val="24"/>
        </w:rPr>
        <w:t>。</w:t>
      </w:r>
    </w:p>
    <w:p w14:paraId="118857E0">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9.9现场提交质疑办理业务时间：工作日8时00分到12时00分，15时00分到18时 00分，业务时间以外、双休日和法定节假日不办理业务。</w:t>
      </w:r>
    </w:p>
    <w:p w14:paraId="369FE5FF">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9.10投诉的书面要求</w:t>
      </w:r>
    </w:p>
    <w:p w14:paraId="6996C28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9.10.1符合《政府采购质疑和投诉办法》（财政部第94号令）要求。</w:t>
      </w:r>
    </w:p>
    <w:p w14:paraId="36295E81">
      <w:pPr>
        <w:pStyle w:val="26"/>
        <w:snapToGrid w:val="0"/>
        <w:spacing w:line="360" w:lineRule="exact"/>
        <w:ind w:right="-330" w:rightChars="-157" w:firstLine="472" w:firstLineChars="196"/>
        <w:rPr>
          <w:rFonts w:hint="eastAsia" w:ascii="仿宋_GB2312" w:hAnsi="宋体" w:eastAsia="仿宋_GB2312"/>
          <w:b/>
          <w:sz w:val="24"/>
          <w:szCs w:val="24"/>
        </w:rPr>
      </w:pPr>
      <w:r>
        <w:rPr>
          <w:rFonts w:hint="eastAsia" w:ascii="仿宋_GB2312" w:hAnsi="宋体" w:eastAsia="仿宋_GB2312"/>
          <w:b/>
          <w:sz w:val="24"/>
          <w:szCs w:val="24"/>
        </w:rPr>
        <w:t>二、招标文件</w:t>
      </w:r>
      <w:bookmarkEnd w:id="40"/>
      <w:bookmarkEnd w:id="41"/>
    </w:p>
    <w:p w14:paraId="6C1B5CCB">
      <w:pPr>
        <w:snapToGrid w:val="0"/>
        <w:spacing w:line="360" w:lineRule="exact"/>
        <w:ind w:right="-330" w:rightChars="-157" w:firstLine="472" w:firstLineChars="196"/>
        <w:jc w:val="left"/>
        <w:rPr>
          <w:rFonts w:hint="eastAsia" w:eastAsia="仿宋_GB2312" w:asciiTheme="minorHAnsi" w:hAnsiTheme="minorHAnsi"/>
          <w:b/>
          <w:sz w:val="24"/>
          <w:lang w:val="en-GB"/>
        </w:rPr>
      </w:pPr>
      <w:r>
        <w:rPr>
          <w:rFonts w:hint="eastAsia" w:ascii="仿宋_GB2312" w:eastAsia="仿宋_GB2312" w:cs="Courier New"/>
          <w:b/>
          <w:sz w:val="24"/>
        </w:rPr>
        <w:t>10.招标文件的构成</w:t>
      </w:r>
    </w:p>
    <w:p w14:paraId="4FCE19C3">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（1）公开招标公告；</w:t>
      </w:r>
    </w:p>
    <w:p w14:paraId="2CF0163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（2）采购需求；</w:t>
      </w:r>
    </w:p>
    <w:p w14:paraId="20BBBC81">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（3）投标人须知；</w:t>
      </w:r>
    </w:p>
    <w:p w14:paraId="4F7F0229">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（4）评标方法及评标标准；</w:t>
      </w:r>
    </w:p>
    <w:p w14:paraId="09D69014">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（5）合同主要条款及验收书格式；</w:t>
      </w:r>
    </w:p>
    <w:p w14:paraId="0A603BBF">
      <w:pPr>
        <w:tabs>
          <w:tab w:val="left" w:pos="3870"/>
          <w:tab w:val="left" w:pos="4085"/>
        </w:tabs>
        <w:snapToGrid w:val="0"/>
        <w:spacing w:line="360" w:lineRule="exact"/>
        <w:ind w:right="-330" w:rightChars="-157" w:firstLine="720" w:firstLineChars="300"/>
        <w:jc w:val="left"/>
        <w:rPr>
          <w:rFonts w:ascii="仿宋_GB2312" w:eastAsia="仿宋_GB2312"/>
          <w:sz w:val="24"/>
        </w:rPr>
      </w:pPr>
      <w:r>
        <w:rPr>
          <w:rFonts w:ascii="仿宋_GB2312" w:eastAsia="仿宋_GB2312"/>
          <w:sz w:val="24"/>
        </w:rPr>
        <w:t>（6）投标文件格式。</w:t>
      </w:r>
    </w:p>
    <w:p w14:paraId="03BF05E6">
      <w:pPr>
        <w:snapToGrid w:val="0"/>
        <w:spacing w:line="400" w:lineRule="exact"/>
        <w:ind w:firstLine="472" w:firstLineChars="196"/>
        <w:jc w:val="left"/>
        <w:rPr>
          <w:rFonts w:ascii="仿宋_GB2312" w:eastAsia="仿宋_GB2312" w:cs="Courier New"/>
          <w:b/>
          <w:sz w:val="24"/>
        </w:rPr>
      </w:pPr>
      <w:r>
        <w:rPr>
          <w:rFonts w:hint="eastAsia" w:ascii="仿宋_GB2312" w:eastAsia="仿宋_GB2312" w:cs="Courier New"/>
          <w:b/>
          <w:sz w:val="24"/>
        </w:rPr>
        <w:t>11.投标人的风险</w:t>
      </w:r>
    </w:p>
    <w:p w14:paraId="5251F09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11.1投标人没有按照招标文件要求提供全部资料，或者投标人没有对招标文件在各方面作出实质性响应是投标人的风险，并可能导致其投标被拒绝。</w:t>
      </w:r>
    </w:p>
    <w:p w14:paraId="2C86C45E">
      <w:pPr>
        <w:snapToGrid w:val="0"/>
        <w:spacing w:line="400" w:lineRule="exact"/>
        <w:ind w:firstLine="472" w:firstLineChars="196"/>
        <w:jc w:val="left"/>
        <w:rPr>
          <w:rFonts w:ascii="仿宋_GB2312" w:eastAsia="仿宋_GB2312"/>
          <w:b/>
          <w:sz w:val="24"/>
        </w:rPr>
      </w:pPr>
      <w:r>
        <w:rPr>
          <w:rFonts w:hint="eastAsia" w:ascii="仿宋_GB2312" w:eastAsia="仿宋_GB2312" w:cs="Courier New"/>
          <w:b/>
          <w:sz w:val="24"/>
        </w:rPr>
        <w:t>12.招标文件的澄清与修改</w:t>
      </w:r>
      <w:r>
        <w:rPr>
          <w:rFonts w:hint="eastAsia" w:ascii="仿宋_GB2312" w:eastAsia="仿宋_GB2312"/>
          <w:b/>
          <w:sz w:val="24"/>
        </w:rPr>
        <w:t xml:space="preserve"> </w:t>
      </w:r>
    </w:p>
    <w:p w14:paraId="49280D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12.1投标人应认真阅读本招标文件，发现其中有误或有不合理要求的，投标人必须以书面形式询问采购人或采购代理机构。采购代理机构对已发出的招标文件进行必要澄清、答复、修改或补充的，应当在招标文件要求提交投标文件截止时间十五日前，在财政部门指定的政府采购信息发布媒体上发布更正公告，并以书面形式通知所有获取招标文件的供应商。该澄清或者修改的内容为招标文件的组成部分。</w:t>
      </w:r>
    </w:p>
    <w:p w14:paraId="20A978B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12.2采购人或采购代理机构以书面形式答复投标人询问的问题，除书面答复以外的其他澄清方式及澄清内容均无效。</w:t>
      </w:r>
    </w:p>
    <w:p w14:paraId="208991C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12.3招标文件澄清、答复、修改、补充的内容为招标文件的组成部分。当招标文件与招标文件的答复、澄清、修改、补充通知就同一内容的表述不一致时，以最后发出的书面文件为准。</w:t>
      </w:r>
    </w:p>
    <w:p w14:paraId="58AA2BB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12.4招标文件的澄清、答复、修改或补充都应该通过本采购代理机构以法定形式发布，采购人非通过代理机构，不得擅自澄清、答复、修改或补充招标文件。</w:t>
      </w:r>
    </w:p>
    <w:p w14:paraId="3B3A6DD8">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12.5</w:t>
      </w:r>
      <w:r>
        <w:rPr>
          <w:rFonts w:hint="eastAsia" w:ascii="仿宋_GB2312" w:hAnsi="宋体" w:eastAsia="仿宋_GB2312"/>
          <w:sz w:val="24"/>
        </w:rPr>
        <w:t>采购人或采购代理机构可以视采购具体情况，延长</w:t>
      </w:r>
      <w:r>
        <w:rPr>
          <w:rFonts w:hint="eastAsia" w:ascii="仿宋_GB2312" w:eastAsia="仿宋_GB2312"/>
          <w:sz w:val="24"/>
        </w:rPr>
        <w:t>招标文件提供期限，并在财政部门指定的政府采购信息发布媒体上发布公告</w:t>
      </w:r>
      <w:r>
        <w:rPr>
          <w:rFonts w:hint="eastAsia" w:ascii="仿宋_GB2312" w:eastAsia="仿宋_GB2312" w:cs="Courier New"/>
          <w:sz w:val="24"/>
        </w:rPr>
        <w:t>。</w:t>
      </w:r>
    </w:p>
    <w:p w14:paraId="4B94C23F">
      <w:pPr>
        <w:snapToGrid w:val="0"/>
        <w:spacing w:line="360" w:lineRule="exact"/>
        <w:ind w:right="-330" w:rightChars="-157" w:firstLine="472" w:firstLineChars="196"/>
        <w:jc w:val="left"/>
        <w:rPr>
          <w:rFonts w:ascii="仿宋_GB2312" w:eastAsia="仿宋_GB2312" w:cs="Courier New"/>
          <w:b/>
          <w:sz w:val="24"/>
        </w:rPr>
      </w:pPr>
      <w:bookmarkStart w:id="52" w:name="_Toc254970676"/>
      <w:bookmarkStart w:id="53" w:name="_Toc254970535"/>
      <w:r>
        <w:rPr>
          <w:rFonts w:hint="eastAsia" w:ascii="仿宋_GB2312" w:eastAsia="仿宋_GB2312" w:cs="Courier New"/>
          <w:b/>
          <w:sz w:val="24"/>
        </w:rPr>
        <w:t>三、投标文件的编制</w:t>
      </w:r>
      <w:bookmarkEnd w:id="52"/>
      <w:bookmarkEnd w:id="53"/>
    </w:p>
    <w:p w14:paraId="24ECCF5E">
      <w:pPr>
        <w:snapToGrid w:val="0"/>
        <w:spacing w:line="360" w:lineRule="exact"/>
        <w:ind w:right="-330" w:rightChars="-157" w:firstLine="472" w:firstLineChars="196"/>
        <w:jc w:val="left"/>
        <w:rPr>
          <w:rFonts w:ascii="仿宋_GB2312" w:eastAsia="仿宋_GB2312"/>
          <w:b/>
          <w:sz w:val="24"/>
        </w:rPr>
      </w:pPr>
      <w:r>
        <w:rPr>
          <w:rFonts w:hint="eastAsia" w:ascii="仿宋_GB2312" w:eastAsia="仿宋_GB2312" w:cs="Courier New"/>
          <w:b/>
          <w:sz w:val="24"/>
        </w:rPr>
        <w:t>13.投标文件的组成</w:t>
      </w:r>
    </w:p>
    <w:p w14:paraId="2BDC12E1">
      <w:pPr>
        <w:snapToGrid w:val="0"/>
        <w:spacing w:line="400" w:lineRule="exact"/>
        <w:ind w:firstLine="482" w:firstLineChars="200"/>
        <w:jc w:val="left"/>
        <w:rPr>
          <w:rFonts w:ascii="仿宋_GB2312" w:eastAsia="仿宋_GB2312"/>
          <w:b/>
          <w:bCs/>
          <w:sz w:val="24"/>
        </w:rPr>
      </w:pPr>
      <w:r>
        <w:rPr>
          <w:rFonts w:hint="eastAsia" w:ascii="仿宋_GB2312" w:eastAsia="仿宋_GB2312"/>
          <w:b/>
          <w:bCs/>
          <w:sz w:val="24"/>
        </w:rPr>
        <w:t>13.1投标文件由资格文件、报价要求文件、商务技术文件三部分组成。</w:t>
      </w:r>
    </w:p>
    <w:bookmarkEnd w:id="42"/>
    <w:bookmarkEnd w:id="43"/>
    <w:p w14:paraId="4367E7FF">
      <w:pPr>
        <w:snapToGrid w:val="0"/>
        <w:spacing w:line="360" w:lineRule="exact"/>
        <w:ind w:right="-330" w:rightChars="-157" w:firstLine="472" w:firstLineChars="196"/>
        <w:jc w:val="left"/>
        <w:rPr>
          <w:rFonts w:ascii="仿宋_GB2312" w:eastAsia="仿宋_GB2312" w:cs="Courier New"/>
          <w:b/>
          <w:sz w:val="24"/>
        </w:rPr>
      </w:pPr>
      <w:r>
        <w:rPr>
          <w:rFonts w:hint="eastAsia" w:ascii="仿宋_GB2312" w:eastAsia="仿宋_GB2312"/>
          <w:b/>
          <w:sz w:val="24"/>
        </w:rPr>
        <w:t>13.1.</w:t>
      </w:r>
      <w:r>
        <w:rPr>
          <w:rFonts w:ascii="仿宋_GB2312" w:eastAsia="仿宋_GB2312"/>
          <w:b/>
          <w:sz w:val="24"/>
        </w:rPr>
        <w:t>1</w:t>
      </w:r>
      <w:r>
        <w:rPr>
          <w:rFonts w:hint="eastAsia" w:ascii="仿宋_GB2312" w:eastAsia="仿宋_GB2312" w:cs="Courier New"/>
          <w:b/>
          <w:bCs/>
          <w:sz w:val="24"/>
        </w:rPr>
        <w:t>资格文件</w:t>
      </w:r>
    </w:p>
    <w:p w14:paraId="59AA33D6">
      <w:pPr>
        <w:snapToGrid w:val="0"/>
        <w:spacing w:line="340" w:lineRule="exact"/>
        <w:ind w:right="-330" w:rightChars="-157" w:firstLine="472" w:firstLineChars="196"/>
        <w:jc w:val="left"/>
        <w:rPr>
          <w:rFonts w:hint="eastAsia" w:ascii="仿宋_GB2312" w:hAnsi="宋体" w:eastAsia="仿宋_GB2312" w:cs="Courier New"/>
          <w:sz w:val="24"/>
        </w:rPr>
      </w:pPr>
      <w:r>
        <w:rPr>
          <w:rFonts w:hint="eastAsia" w:ascii="仿宋_GB2312" w:hAnsi="宋体" w:eastAsia="仿宋_GB2312"/>
          <w:b/>
          <w:bCs/>
          <w:sz w:val="24"/>
        </w:rPr>
        <w:t>注：以下各项必须提供并加盖投标人CA电子签章、按照第六章格式要求签字，否则其投标无效。</w:t>
      </w:r>
    </w:p>
    <w:p w14:paraId="1BA933F8">
      <w:pPr>
        <w:pStyle w:val="26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，格式见第六章）；</w:t>
      </w:r>
    </w:p>
    <w:p w14:paraId="07574E3F">
      <w:pPr>
        <w:pStyle w:val="26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，格式见第六章）；</w:t>
      </w:r>
    </w:p>
    <w:p w14:paraId="5FAE6E75">
      <w:pPr>
        <w:pStyle w:val="26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，格式见第六章）；</w:t>
      </w:r>
    </w:p>
    <w:p w14:paraId="3FD69063">
      <w:pPr>
        <w:pStyle w:val="26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25080D3D">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13.1.2报价要求文件</w:t>
      </w:r>
    </w:p>
    <w:p w14:paraId="40F0AFA8">
      <w:pPr>
        <w:snapToGrid w:val="0"/>
        <w:spacing w:line="400" w:lineRule="exact"/>
        <w:ind w:firstLine="420"/>
        <w:jc w:val="left"/>
        <w:rPr>
          <w:rFonts w:ascii="仿宋_GB2312" w:eastAsia="仿宋_GB2312" w:cs="Courier New"/>
          <w:sz w:val="24"/>
        </w:rPr>
      </w:pPr>
      <w:r>
        <w:rPr>
          <w:rFonts w:hint="eastAsia" w:ascii="仿宋_GB2312" w:eastAsia="仿宋_GB2312" w:cs="Courier New"/>
          <w:b/>
          <w:bCs/>
          <w:sz w:val="24"/>
        </w:rPr>
        <w:t>注：以下各项必须提供并加盖投标人</w:t>
      </w:r>
      <w:r>
        <w:rPr>
          <w:rFonts w:hint="eastAsia" w:ascii="仿宋_GB2312" w:hAnsi="宋体" w:eastAsia="仿宋_GB2312"/>
          <w:b/>
          <w:bCs/>
          <w:sz w:val="24"/>
        </w:rPr>
        <w:t>CA电子签章</w:t>
      </w:r>
      <w:r>
        <w:rPr>
          <w:rFonts w:hint="eastAsia" w:ascii="仿宋_GB2312" w:eastAsia="仿宋_GB2312" w:cs="Courier New"/>
          <w:b/>
          <w:bCs/>
          <w:sz w:val="24"/>
        </w:rPr>
        <w:t>、</w:t>
      </w:r>
      <w:r>
        <w:rPr>
          <w:rFonts w:hint="eastAsia" w:ascii="仿宋_GB2312" w:eastAsia="仿宋_GB2312"/>
          <w:b/>
          <w:bCs/>
          <w:sz w:val="24"/>
        </w:rPr>
        <w:t>按照第六章格式要求签字，</w:t>
      </w:r>
      <w:r>
        <w:rPr>
          <w:rFonts w:hint="eastAsia" w:ascii="仿宋_GB2312" w:eastAsia="仿宋_GB2312" w:cs="Courier New"/>
          <w:b/>
          <w:bCs/>
          <w:sz w:val="24"/>
        </w:rPr>
        <w:t>否则其投标无效。</w:t>
      </w:r>
    </w:p>
    <w:p w14:paraId="6C8F995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3E70B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（2）投标报价明细表（</w:t>
      </w:r>
      <w:r>
        <w:rPr>
          <w:rFonts w:hint="eastAsia" w:ascii="仿宋_GB2312" w:eastAsia="仿宋_GB2312"/>
          <w:b/>
          <w:bCs/>
          <w:sz w:val="24"/>
        </w:rPr>
        <w:t>必须提供，</w:t>
      </w:r>
      <w:r>
        <w:rPr>
          <w:rFonts w:hint="eastAsia" w:ascii="仿宋_GB2312" w:eastAsia="仿宋_GB2312"/>
          <w:sz w:val="24"/>
        </w:rPr>
        <w:t>格式见第六章</w:t>
      </w:r>
      <w:r>
        <w:rPr>
          <w:rFonts w:hint="eastAsia" w:ascii="仿宋_GB2312" w:eastAsia="仿宋_GB2312" w:cs="Courier New"/>
          <w:sz w:val="24"/>
        </w:rPr>
        <w:t>）。</w:t>
      </w:r>
    </w:p>
    <w:p w14:paraId="043EA579">
      <w:pPr>
        <w:snapToGrid w:val="0"/>
        <w:spacing w:line="340" w:lineRule="exact"/>
        <w:ind w:right="-330" w:rightChars="-157" w:firstLine="441" w:firstLineChars="183"/>
        <w:jc w:val="left"/>
        <w:rPr>
          <w:rFonts w:ascii="仿宋_GB2312" w:eastAsia="仿宋_GB2312" w:cs="Courier New"/>
          <w:b/>
          <w:sz w:val="24"/>
        </w:rPr>
      </w:pPr>
      <w:r>
        <w:rPr>
          <w:rFonts w:hint="eastAsia" w:ascii="仿宋_GB2312" w:eastAsia="仿宋_GB2312"/>
          <w:b/>
          <w:sz w:val="24"/>
        </w:rPr>
        <w:t>13.1.3商务技术文件</w:t>
      </w:r>
    </w:p>
    <w:p w14:paraId="725EBE7D">
      <w:pPr>
        <w:snapToGrid w:val="0"/>
        <w:spacing w:line="340" w:lineRule="exact"/>
        <w:ind w:right="-330" w:rightChars="-157" w:firstLine="472" w:firstLineChars="196"/>
        <w:jc w:val="left"/>
        <w:rPr>
          <w:rFonts w:hint="eastAsia" w:ascii="仿宋_GB2312" w:hAnsi="宋体" w:eastAsia="仿宋_GB2312" w:cs="Courier New"/>
          <w:sz w:val="24"/>
        </w:rPr>
      </w:pPr>
      <w:bookmarkStart w:id="54" w:name="_Hlk517112171"/>
      <w:bookmarkStart w:id="55" w:name="_Hlk517112217"/>
      <w:bookmarkStart w:id="56" w:name="_Toc254970537"/>
      <w:bookmarkStart w:id="57" w:name="_Toc254970678"/>
      <w:r>
        <w:rPr>
          <w:rFonts w:hint="eastAsia" w:ascii="仿宋_GB2312" w:hAnsi="宋体" w:eastAsia="仿宋_GB2312"/>
          <w:b/>
          <w:bCs/>
          <w:sz w:val="24"/>
        </w:rPr>
        <w:t>注：以下第（1）至第（</w:t>
      </w:r>
      <w:r>
        <w:rPr>
          <w:rFonts w:hint="eastAsia" w:ascii="仿宋_GB2312" w:hAnsi="宋体" w:eastAsia="仿宋_GB2312"/>
          <w:b/>
          <w:bCs/>
          <w:sz w:val="24"/>
          <w:lang w:val="en-US" w:eastAsia="zh-CN"/>
        </w:rPr>
        <w:t>3</w:t>
      </w:r>
      <w:r>
        <w:rPr>
          <w:rFonts w:hint="eastAsia" w:ascii="仿宋_GB2312" w:hAnsi="宋体" w:eastAsia="仿宋_GB2312"/>
          <w:b/>
          <w:bCs/>
          <w:sz w:val="24"/>
        </w:rPr>
        <w:t>）项必须提供并加盖投标人CA电子签章、并按照第六章格式要求签字，否则投标无效。其余各项如有请提供，同时要加盖投标人CA电子签章，否则该材料被视为无效。</w:t>
      </w:r>
    </w:p>
    <w:bookmarkEnd w:id="54"/>
    <w:p w14:paraId="4D696F01">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，格式见第六章）；</w:t>
      </w:r>
    </w:p>
    <w:p w14:paraId="460E200F">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，格式见第六章）；</w:t>
      </w:r>
    </w:p>
    <w:p w14:paraId="59C8ADEA">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，格式见第六章）；</w:t>
      </w:r>
    </w:p>
    <w:p w14:paraId="64FE6926">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4</w:t>
      </w:r>
      <w:r>
        <w:rPr>
          <w:rFonts w:hint="eastAsia" w:ascii="仿宋_GB2312" w:eastAsia="仿宋_GB2312"/>
          <w:color w:val="000000"/>
          <w:highlight w:val="yellow"/>
        </w:rPr>
        <w:t>）软件系统实施方案（如有，格式见第六章）；</w:t>
      </w:r>
    </w:p>
    <w:p w14:paraId="425745D3">
      <w:pPr>
        <w:pStyle w:val="287"/>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5</w:t>
      </w:r>
      <w:r>
        <w:rPr>
          <w:rFonts w:hint="eastAsia" w:ascii="仿宋_GB2312" w:eastAsia="仿宋_GB2312"/>
          <w:color w:val="000000"/>
          <w:highlight w:val="yellow"/>
        </w:rPr>
        <w:t>）</w:t>
      </w:r>
      <w:r>
        <w:rPr>
          <w:rFonts w:hint="eastAsia" w:ascii="仿宋_GB2312" w:eastAsia="仿宋_GB2312"/>
          <w:color w:val="000000"/>
        </w:rPr>
        <w:t>项目实施方案（如有，格式见第六章）；</w:t>
      </w:r>
    </w:p>
    <w:p w14:paraId="6B418ABE">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6</w:t>
      </w:r>
      <w:r>
        <w:rPr>
          <w:rFonts w:hint="eastAsia" w:ascii="仿宋_GB2312" w:eastAsia="仿宋_GB2312"/>
          <w:color w:val="000000"/>
          <w:highlight w:val="yellow"/>
        </w:rPr>
        <w:t>）</w:t>
      </w:r>
      <w:r>
        <w:rPr>
          <w:rFonts w:hint="eastAsia" w:ascii="仿宋_GB2312" w:eastAsia="仿宋_GB2312"/>
          <w:color w:val="000000"/>
        </w:rPr>
        <w:t>安装进度计划和工期保证（如有，格式见第六章）；</w:t>
      </w:r>
    </w:p>
    <w:p w14:paraId="0841BEA2">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7</w:t>
      </w:r>
      <w:r>
        <w:rPr>
          <w:rFonts w:hint="eastAsia" w:ascii="仿宋_GB2312" w:eastAsia="仿宋_GB2312"/>
          <w:color w:val="000000"/>
          <w:highlight w:val="yellow"/>
        </w:rPr>
        <w:t>）</w:t>
      </w:r>
      <w:r>
        <w:rPr>
          <w:rFonts w:hint="eastAsia" w:ascii="仿宋_GB2312" w:eastAsia="仿宋_GB2312"/>
          <w:color w:val="000000"/>
        </w:rPr>
        <w:t>技术培训方案（如有，格式见第六章）；</w:t>
      </w:r>
    </w:p>
    <w:p w14:paraId="0F7DA61E">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8</w:t>
      </w:r>
      <w:r>
        <w:rPr>
          <w:rFonts w:hint="eastAsia" w:ascii="仿宋_GB2312" w:eastAsia="仿宋_GB2312"/>
          <w:color w:val="000000"/>
          <w:highlight w:val="yellow"/>
        </w:rPr>
        <w:t>）</w:t>
      </w:r>
      <w:r>
        <w:rPr>
          <w:rFonts w:hint="eastAsia" w:ascii="仿宋_GB2312" w:eastAsia="仿宋_GB2312"/>
          <w:color w:val="000000"/>
        </w:rPr>
        <w:t>售后服务方案（如有，格式见第六章）；</w:t>
      </w:r>
    </w:p>
    <w:p w14:paraId="09DFD76E">
      <w:pPr>
        <w:pStyle w:val="287"/>
        <w:spacing w:before="0" w:beforeAutospacing="0" w:after="0" w:afterAutospacing="0" w:line="360" w:lineRule="atLeast"/>
        <w:ind w:firstLine="0" w:firstLineChars="0"/>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9</w:t>
      </w:r>
      <w:r>
        <w:rPr>
          <w:rFonts w:hint="eastAsia" w:ascii="仿宋_GB2312" w:eastAsia="仿宋_GB2312"/>
          <w:color w:val="000000"/>
          <w:highlight w:val="yellow"/>
        </w:rPr>
        <w:t>）所投产品标记“◆”的技术参数</w:t>
      </w:r>
      <w:r>
        <w:rPr>
          <w:rFonts w:hint="eastAsia" w:ascii="仿宋_GB2312" w:eastAsia="仿宋_GB2312"/>
          <w:color w:val="000000"/>
          <w:highlight w:val="yellow"/>
          <w:lang w:eastAsia="zh-CN"/>
        </w:rPr>
        <w:t>带波浪线</w:t>
      </w:r>
      <w:r>
        <w:rPr>
          <w:rFonts w:hint="eastAsia" w:ascii="仿宋_GB2312" w:eastAsia="仿宋_GB2312"/>
          <w:color w:val="000000"/>
          <w:highlight w:val="yellow"/>
        </w:rPr>
        <w:t>“</w:t>
      </w:r>
      <w:r>
        <w:rPr>
          <w:rFonts w:hint="eastAsia" w:ascii="仿宋_GB2312" w:hAnsi="仿宋_GB2312" w:eastAsia="仿宋_GB2312" w:cs="仿宋_GB2312"/>
          <w:color w:val="auto"/>
          <w:highlight w:val="yellow"/>
          <w:u w:val="wave"/>
          <w:lang w:val="en-US" w:eastAsia="zh-CN"/>
        </w:rPr>
        <w:t xml:space="preserve">    </w:t>
      </w:r>
      <w:r>
        <w:rPr>
          <w:rFonts w:hint="eastAsia" w:ascii="仿宋_GB2312" w:eastAsia="仿宋_GB2312"/>
          <w:color w:val="000000"/>
          <w:highlight w:val="yellow"/>
        </w:rPr>
        <w:t>”的内容优于采购需求，</w:t>
      </w:r>
      <w:r>
        <w:rPr>
          <w:rFonts w:hint="eastAsia" w:ascii="仿宋_GB2312" w:eastAsia="仿宋_GB2312"/>
          <w:color w:val="000000"/>
          <w:highlight w:val="yellow"/>
          <w:lang w:eastAsia="zh-CN"/>
        </w:rPr>
        <w:t>提供证明材料，</w:t>
      </w:r>
      <w:r>
        <w:rPr>
          <w:rFonts w:hint="eastAsia" w:ascii="仿宋_GB2312" w:hAnsi="仿宋_GB2312" w:eastAsia="仿宋_GB2312" w:cs="仿宋_GB2312"/>
          <w:b w:val="0"/>
          <w:bCs w:val="0"/>
          <w:color w:val="000000" w:themeColor="text1"/>
          <w:highlight w:val="yellow"/>
          <w14:textFill>
            <w14:solidFill>
              <w14:schemeClr w14:val="tx1"/>
            </w14:solidFill>
          </w14:textFill>
        </w:rPr>
        <w:t>证明材料可以是检测（检验）报告、彩页、官网或功能截图等任意一种）</w:t>
      </w:r>
      <w:r>
        <w:rPr>
          <w:rFonts w:hint="eastAsia" w:ascii="仿宋_GB2312" w:eastAsia="仿宋_GB2312"/>
          <w:color w:val="000000"/>
          <w:highlight w:val="yellow"/>
        </w:rPr>
        <w:t>（如有）；</w:t>
      </w:r>
    </w:p>
    <w:p w14:paraId="2564D12E">
      <w:pPr>
        <w:pStyle w:val="287"/>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10</w:t>
      </w:r>
      <w:r>
        <w:rPr>
          <w:rFonts w:hint="eastAsia" w:ascii="仿宋_GB2312" w:eastAsia="仿宋_GB2312"/>
          <w:color w:val="000000"/>
          <w:highlight w:val="yellow"/>
        </w:rPr>
        <w:t>）</w:t>
      </w:r>
      <w:r>
        <w:rPr>
          <w:rFonts w:hint="eastAsia" w:ascii="仿宋_GB2312" w:eastAsia="仿宋_GB2312"/>
          <w:color w:val="000000"/>
        </w:rPr>
        <w:t>投标人或投标核心产品的生产厂商具备有效的质量管理体系认证证书（如有）；</w:t>
      </w:r>
    </w:p>
    <w:p w14:paraId="1299FA86">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11</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投标人或投标核心产品生产厂商具备有效的职业健康安全管理体系认证证书（如有）；</w:t>
      </w:r>
    </w:p>
    <w:p w14:paraId="7AF65B78">
      <w:pPr>
        <w:pStyle w:val="287"/>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highlight w:val="yellow"/>
        </w:rPr>
        <w:t>（1</w:t>
      </w:r>
      <w:r>
        <w:rPr>
          <w:rFonts w:hint="eastAsia" w:ascii="仿宋_GB2312" w:eastAsia="仿宋_GB2312"/>
          <w:color w:val="000000"/>
          <w:highlight w:val="yellow"/>
          <w:lang w:val="en-US" w:eastAsia="zh-CN"/>
        </w:rPr>
        <w:t>2</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投标人或投标核心产品生产厂商具备有效的环境管理体系认证证书（如有）；</w:t>
      </w:r>
    </w:p>
    <w:p w14:paraId="58DD3D7B">
      <w:pPr>
        <w:pStyle w:val="287"/>
        <w:spacing w:before="0" w:beforeAutospacing="0" w:after="0" w:afterAutospacing="0" w:line="360" w:lineRule="atLeast"/>
        <w:ind w:firstLine="480" w:firstLineChars="200"/>
        <w:rPr>
          <w:rFonts w:hint="eastAsia" w:ascii="仿宋_GB2312" w:eastAsia="仿宋_GB2312"/>
          <w:color w:val="000000"/>
        </w:rPr>
      </w:pP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yellow"/>
          <w:lang w:val="en-US" w:eastAsia="zh-CN"/>
        </w:rPr>
        <w:t>1</w:t>
      </w:r>
      <w:r>
        <w:rPr>
          <w:rFonts w:hint="eastAsia" w:ascii="仿宋_GB2312" w:eastAsia="仿宋_GB2312"/>
          <w:bCs/>
          <w:color w:val="auto"/>
          <w:sz w:val="24"/>
          <w:highlight w:val="yellow"/>
          <w:lang w:val="en-US" w:eastAsia="zh-CN"/>
        </w:rPr>
        <w:t>3</w:t>
      </w: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none"/>
        </w:rPr>
        <w:t>投标产品</w:t>
      </w:r>
      <w:r>
        <w:rPr>
          <w:rFonts w:hint="eastAsia" w:ascii="仿宋_GB2312" w:hAnsi="宋体" w:eastAsia="仿宋_GB2312"/>
          <w:bCs/>
          <w:color w:val="auto"/>
          <w:sz w:val="24"/>
          <w:highlight w:val="none"/>
          <w:lang w:eastAsia="zh-CN"/>
        </w:rPr>
        <w:t>为非政府强制采购节能产品，由</w:t>
      </w:r>
      <w:r>
        <w:rPr>
          <w:rFonts w:hint="eastAsia" w:ascii="仿宋_GB2312" w:hAnsi="宋体" w:eastAsia="仿宋_GB2312"/>
          <w:bCs/>
          <w:color w:val="auto"/>
          <w:sz w:val="24"/>
          <w:highlight w:val="none"/>
        </w:rPr>
        <w:t>国家确定的认证机构出具的</w:t>
      </w:r>
      <w:r>
        <w:rPr>
          <w:rFonts w:hint="eastAsia" w:ascii="仿宋_GB2312" w:hAnsi="宋体" w:eastAsia="仿宋_GB2312"/>
          <w:bCs/>
          <w:color w:val="000000"/>
          <w:sz w:val="24"/>
          <w:highlight w:val="none"/>
        </w:rPr>
        <w:t>、处于有效期之内的节能产品认证证书</w:t>
      </w:r>
      <w:r>
        <w:rPr>
          <w:rFonts w:hint="eastAsia" w:ascii="仿宋_GB2312" w:hAnsi="宋体" w:eastAsia="仿宋_GB2312"/>
          <w:bCs/>
          <w:color w:val="000000"/>
          <w:sz w:val="24"/>
          <w:highlight w:val="none"/>
          <w:lang w:eastAsia="zh-CN"/>
        </w:rPr>
        <w:t>（如有）；</w:t>
      </w:r>
    </w:p>
    <w:p w14:paraId="4A2F6085">
      <w:pPr>
        <w:pStyle w:val="287"/>
        <w:spacing w:before="0" w:beforeAutospacing="0" w:after="0" w:afterAutospacing="0" w:line="360" w:lineRule="atLeast"/>
        <w:ind w:firstLine="480" w:firstLineChars="200"/>
        <w:rPr>
          <w:rFonts w:hint="eastAsia" w:ascii="仿宋_GB2312" w:eastAsia="仿宋_GB2312"/>
          <w:color w:val="000000"/>
        </w:rPr>
      </w:pPr>
      <w:r>
        <w:rPr>
          <w:rFonts w:hint="eastAsia" w:ascii="仿宋_GB2312" w:eastAsia="仿宋_GB2312"/>
          <w:color w:val="000000"/>
          <w:highlight w:val="yellow"/>
        </w:rPr>
        <w:t>（1</w:t>
      </w:r>
      <w:r>
        <w:rPr>
          <w:rFonts w:hint="eastAsia" w:ascii="仿宋_GB2312" w:eastAsia="仿宋_GB2312"/>
          <w:color w:val="000000"/>
          <w:highlight w:val="yellow"/>
          <w:lang w:val="en-US" w:eastAsia="zh-CN"/>
        </w:rPr>
        <w:t>4</w:t>
      </w:r>
      <w:r>
        <w:rPr>
          <w:rFonts w:hint="eastAsia" w:ascii="仿宋_GB2312" w:eastAsia="仿宋_GB2312"/>
          <w:color w:val="000000"/>
          <w:highlight w:val="yellow"/>
        </w:rPr>
        <w:t>）</w:t>
      </w:r>
      <w:r>
        <w:rPr>
          <w:rFonts w:hint="eastAsia" w:ascii="仿宋_GB2312" w:eastAsia="仿宋_GB2312"/>
          <w:color w:val="000000"/>
        </w:rPr>
        <w:t>投标产品由国家确定的认证机构出具的、处于有效期之内的环境标志产品认证证书（如有）；</w:t>
      </w:r>
    </w:p>
    <w:p w14:paraId="30ED8FCF">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5</w:t>
      </w:r>
      <w:r>
        <w:rPr>
          <w:rFonts w:hint="eastAsia" w:ascii="仿宋_GB2312" w:eastAsia="仿宋_GB2312"/>
          <w:color w:val="000000"/>
          <w:highlight w:val="yellow"/>
        </w:rPr>
        <w:t>）</w:t>
      </w:r>
      <w:r>
        <w:rPr>
          <w:rFonts w:hint="eastAsia" w:ascii="仿宋_GB2312" w:eastAsia="仿宋_GB2312"/>
          <w:color w:val="000000"/>
        </w:rPr>
        <w:t>投标人对本项目的合理化建议和改进措施（如有，格式自拟）；</w:t>
      </w:r>
    </w:p>
    <w:p w14:paraId="5F9C5421">
      <w:pPr>
        <w:pStyle w:val="287"/>
        <w:spacing w:before="0" w:beforeAutospacing="0" w:after="0" w:afterAutospacing="0" w:line="3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6</w:t>
      </w:r>
      <w:r>
        <w:rPr>
          <w:rFonts w:hint="eastAsia" w:ascii="仿宋_GB2312" w:eastAsia="仿宋_GB2312"/>
          <w:color w:val="000000"/>
          <w:highlight w:val="yellow"/>
        </w:rPr>
        <w:t>）</w:t>
      </w:r>
      <w:r>
        <w:rPr>
          <w:rFonts w:hint="eastAsia" w:ascii="仿宋_GB2312" w:eastAsia="仿宋_GB2312"/>
          <w:color w:val="000000"/>
        </w:rPr>
        <w:t>投标人认为必要提供的声明及文件资料（如有，格式自拟）。</w:t>
      </w:r>
    </w:p>
    <w:bookmarkEnd w:id="55"/>
    <w:bookmarkEnd w:id="56"/>
    <w:bookmarkEnd w:id="57"/>
    <w:p w14:paraId="53501877">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14.投标文件的语言及计量</w:t>
      </w:r>
    </w:p>
    <w:p w14:paraId="42C7698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14.1投标文件以及投标人与采购代理机构就有关投标事宜的所有来往函电，均应以中文汉语书写。除签字、盖章、专用名称等特殊情形外，以中文汉语以外的文字表述的投标文件视同未提供。</w:t>
      </w:r>
    </w:p>
    <w:p w14:paraId="7728CAF1">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14.2投标计量单位，招标文件已有明确规定的，使用招标文件规定的计量单位；招标文件没有规定的，应采用中华人民共和国法定计量单位，否则视同未响应。</w:t>
      </w:r>
    </w:p>
    <w:p w14:paraId="72FE6A65">
      <w:pPr>
        <w:snapToGrid w:val="0"/>
        <w:spacing w:line="400" w:lineRule="exact"/>
        <w:ind w:firstLine="422" w:firstLineChars="175"/>
        <w:jc w:val="left"/>
        <w:rPr>
          <w:rFonts w:ascii="仿宋_GB2312" w:eastAsia="仿宋_GB2312" w:cs="Courier New"/>
          <w:b/>
          <w:sz w:val="24"/>
        </w:rPr>
      </w:pPr>
      <w:bookmarkStart w:id="58" w:name="_Toc254970679"/>
      <w:bookmarkStart w:id="59" w:name="_Toc254970538"/>
      <w:r>
        <w:rPr>
          <w:rFonts w:hint="eastAsia" w:ascii="仿宋_GB2312" w:eastAsia="仿宋_GB2312" w:cs="Courier New"/>
          <w:b/>
          <w:sz w:val="24"/>
        </w:rPr>
        <w:t>15.投标报价</w:t>
      </w:r>
      <w:bookmarkEnd w:id="58"/>
      <w:bookmarkEnd w:id="59"/>
    </w:p>
    <w:p w14:paraId="2544A5C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15.1投标报价应按招标文件中相关附表格式填写。</w:t>
      </w:r>
    </w:p>
    <w:p w14:paraId="28A8B9B0">
      <w:pPr>
        <w:snapToGrid w:val="0"/>
        <w:spacing w:line="360" w:lineRule="exact"/>
        <w:ind w:right="-330" w:rightChars="-157" w:firstLine="420"/>
        <w:jc w:val="left"/>
        <w:rPr>
          <w:rFonts w:ascii="仿宋_GB2312" w:eastAsia="仿宋_GB2312" w:cs="Courier New"/>
          <w:sz w:val="24"/>
        </w:rPr>
      </w:pPr>
      <w:bookmarkStart w:id="60" w:name="_Hlk93681408"/>
      <w:r>
        <w:rPr>
          <w:rFonts w:hint="eastAsia" w:ascii="仿宋_GB2312" w:eastAsia="仿宋_GB2312" w:cs="Courier New"/>
          <w:sz w:val="24"/>
        </w:rPr>
        <w:t>15.2投标报价是履行合同的最终价格，应包括货物及货物运抵指定交付地点的所有成本、各种费用的总和。</w:t>
      </w:r>
    </w:p>
    <w:bookmarkEnd w:id="60"/>
    <w:p w14:paraId="71A1EC3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15.3投标文件只允许有一个总报价，有选择的或有条件的报价将不予接受。</w:t>
      </w:r>
    </w:p>
    <w:p w14:paraId="6BF08865">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16.投标文件的有效期</w:t>
      </w:r>
    </w:p>
    <w:p w14:paraId="05AD79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16.1 投标截止日期后不得少于90天，投标文件应保持有效。有效期不足的投标文件将被拒绝，视为投标无效。</w:t>
      </w:r>
    </w:p>
    <w:p w14:paraId="6B15A333">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16.2在特殊情况下，采购人可与投标人协商延长投标书的有效期，这种要求和答复均以书面形式进行。</w:t>
      </w:r>
    </w:p>
    <w:p w14:paraId="3822C12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 xml:space="preserve">16.3投标人可拒绝接受延长有效期要求，同意延长有效期的投标人不能修改投标文件其它内容。 </w:t>
      </w:r>
    </w:p>
    <w:p w14:paraId="2857F48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16.4投标人的投标文件在投标有效期内保持有效；如中标，投标文件至合同履行完毕止均应保持有效。</w:t>
      </w:r>
    </w:p>
    <w:p w14:paraId="514C4A83">
      <w:pPr>
        <w:spacing w:line="400" w:lineRule="exact"/>
        <w:ind w:firstLine="472" w:firstLineChars="196"/>
        <w:rPr>
          <w:rFonts w:ascii="仿宋_GB2312" w:eastAsia="仿宋_GB2312" w:cs="Courier New"/>
          <w:b/>
          <w:sz w:val="24"/>
        </w:rPr>
      </w:pPr>
      <w:bookmarkStart w:id="61" w:name="_Toc254970682"/>
      <w:bookmarkStart w:id="62" w:name="_Toc254970541"/>
      <w:r>
        <w:rPr>
          <w:rFonts w:hint="eastAsia" w:ascii="仿宋_GB2312" w:eastAsia="仿宋_GB2312" w:cs="Courier New"/>
          <w:b/>
          <w:sz w:val="24"/>
        </w:rPr>
        <w:t>17.投标保证金</w:t>
      </w:r>
      <w:bookmarkEnd w:id="61"/>
      <w:bookmarkEnd w:id="62"/>
    </w:p>
    <w:p w14:paraId="76D36644">
      <w:pPr>
        <w:snapToGrid w:val="0"/>
        <w:spacing w:line="400" w:lineRule="exact"/>
        <w:ind w:firstLine="420"/>
        <w:jc w:val="left"/>
        <w:rPr>
          <w:rFonts w:ascii="仿宋_GB2312" w:eastAsia="仿宋_GB2312" w:cs="Courier New"/>
          <w:sz w:val="24"/>
        </w:rPr>
      </w:pPr>
      <w:bookmarkStart w:id="63" w:name="_Toc254970683"/>
      <w:bookmarkStart w:id="64" w:name="_Toc254970542"/>
      <w:r>
        <w:rPr>
          <w:rFonts w:hint="eastAsia" w:ascii="仿宋_GB2312" w:eastAsia="仿宋_GB2312" w:cs="Courier New"/>
          <w:sz w:val="24"/>
        </w:rPr>
        <w:t>17.1本项目无需提交投标保证金。</w:t>
      </w:r>
    </w:p>
    <w:p w14:paraId="27074760">
      <w:pPr>
        <w:snapToGrid w:val="0"/>
        <w:spacing w:line="400" w:lineRule="exact"/>
        <w:ind w:firstLine="422" w:firstLineChars="175"/>
        <w:jc w:val="left"/>
        <w:rPr>
          <w:rFonts w:ascii="仿宋_GB2312" w:eastAsia="仿宋_GB2312" w:cs="Courier New"/>
          <w:b/>
          <w:sz w:val="24"/>
        </w:rPr>
      </w:pPr>
      <w:r>
        <w:rPr>
          <w:rFonts w:hint="eastAsia" w:ascii="仿宋_GB2312" w:eastAsia="仿宋_GB2312" w:cs="Courier New"/>
          <w:b/>
          <w:sz w:val="24"/>
        </w:rPr>
        <w:t>18.电子投标文件的</w:t>
      </w:r>
      <w:bookmarkEnd w:id="63"/>
      <w:bookmarkEnd w:id="64"/>
      <w:r>
        <w:rPr>
          <w:rFonts w:hint="eastAsia" w:ascii="仿宋_GB2312" w:eastAsia="仿宋_GB2312" w:cs="Courier New"/>
          <w:b/>
          <w:sz w:val="24"/>
        </w:rPr>
        <w:t>编制、加密要求</w:t>
      </w:r>
    </w:p>
    <w:p w14:paraId="5D49ED56">
      <w:pPr>
        <w:spacing w:line="360" w:lineRule="auto"/>
        <w:ind w:firstLine="480" w:firstLineChars="200"/>
        <w:rPr>
          <w:rFonts w:ascii="仿宋_GB2312" w:eastAsia="仿宋_GB2312"/>
          <w:sz w:val="24"/>
        </w:rPr>
      </w:pPr>
      <w:r>
        <w:rPr>
          <w:rFonts w:hint="eastAsia" w:ascii="仿宋_GB2312" w:eastAsia="仿宋_GB2312" w:cs="Courier New"/>
          <w:sz w:val="24"/>
        </w:rPr>
        <w:t>18.1投标人应按本招标文件规定的格式</w:t>
      </w:r>
      <w:r>
        <w:rPr>
          <w:rFonts w:hint="eastAsia" w:ascii="仿宋_GB2312" w:eastAsia="仿宋_GB2312"/>
          <w:sz w:val="24"/>
        </w:rPr>
        <w:t>、顺序和广西政府采购云平台“政府采购项目电子交易管理操作指南-供应商”的有关要求编制电子投标文件并进行关联定位，以便评标委员会在评审时，点击评审项可直接定位到该评审项内容；如电子投标文件因内容不完整、投标人</w:t>
      </w:r>
      <w:r>
        <w:rPr>
          <w:rFonts w:hint="eastAsia" w:ascii="仿宋_GB2312" w:hAnsi="宋体" w:eastAsia="仿宋_GB2312"/>
          <w:sz w:val="24"/>
        </w:rPr>
        <w:t>未设置或设置关联点错误导致</w:t>
      </w:r>
      <w:r>
        <w:rPr>
          <w:rFonts w:hint="eastAsia" w:ascii="仿宋_GB2312" w:eastAsia="仿宋_GB2312"/>
          <w:sz w:val="24"/>
        </w:rPr>
        <w:t>电子</w:t>
      </w:r>
      <w:r>
        <w:rPr>
          <w:rFonts w:hint="eastAsia" w:ascii="仿宋_GB2312" w:hAnsi="宋体" w:eastAsia="仿宋_GB2312"/>
          <w:sz w:val="24"/>
        </w:rPr>
        <w:t>投标文件被误读、漏读或者查找不到相关内容，</w:t>
      </w:r>
      <w:r>
        <w:rPr>
          <w:rFonts w:hint="eastAsia" w:ascii="仿宋_GB2312" w:eastAsia="仿宋_GB2312"/>
          <w:sz w:val="24"/>
        </w:rPr>
        <w:t>导致评标委员会在评审时做出对投标人不利的评审，所引起的后果由投标人自行承担。</w:t>
      </w:r>
    </w:p>
    <w:p w14:paraId="7822F6AC">
      <w:pPr>
        <w:spacing w:line="360" w:lineRule="auto"/>
        <w:ind w:firstLine="482" w:firstLineChars="200"/>
        <w:rPr>
          <w:rFonts w:ascii="仿宋_GB2312" w:eastAsia="仿宋_GB2312"/>
          <w:b/>
          <w:bCs/>
          <w:sz w:val="24"/>
        </w:rPr>
      </w:pPr>
      <w:r>
        <w:rPr>
          <w:rFonts w:hint="eastAsia" w:ascii="仿宋_GB2312" w:eastAsia="仿宋_GB2312"/>
          <w:b/>
          <w:bCs/>
          <w:sz w:val="24"/>
        </w:rPr>
        <w:t>18.2公开招标文件中规定须由投标人在规定处盖章的，投标人应加盖CA电子签章，否则视为投标无效。</w:t>
      </w:r>
    </w:p>
    <w:p w14:paraId="705E1D0B">
      <w:pPr>
        <w:spacing w:line="360" w:lineRule="auto"/>
        <w:ind w:firstLine="482" w:firstLineChars="200"/>
        <w:rPr>
          <w:rFonts w:ascii="仿宋_GB2312" w:eastAsia="仿宋_GB2312"/>
          <w:b/>
          <w:sz w:val="24"/>
        </w:rPr>
      </w:pPr>
      <w:r>
        <w:rPr>
          <w:rFonts w:hint="eastAsia" w:ascii="仿宋_GB2312" w:eastAsia="仿宋_GB2312"/>
          <w:b/>
          <w:bCs/>
          <w:sz w:val="24"/>
        </w:rPr>
        <w:t>18.3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542B95EA">
      <w:pPr>
        <w:spacing w:line="360" w:lineRule="auto"/>
        <w:ind w:firstLine="480" w:firstLineChars="200"/>
        <w:rPr>
          <w:rFonts w:ascii="仿宋_GB2312" w:eastAsia="仿宋_GB2312"/>
          <w:sz w:val="24"/>
        </w:rPr>
      </w:pPr>
      <w:r>
        <w:rPr>
          <w:rFonts w:hint="eastAsia" w:ascii="仿宋_GB2312" w:eastAsia="仿宋_GB2312"/>
          <w:sz w:val="24"/>
        </w:rPr>
        <w:t>18.4电子投标文件不得涂改，若有修改错漏处，须加盖投标人CA电子签章或者法定代表人或授权委托代理人签字。</w:t>
      </w:r>
      <w:bookmarkStart w:id="65" w:name="_Hlk93676509"/>
      <w:r>
        <w:rPr>
          <w:rFonts w:hint="eastAsia" w:ascii="仿宋_GB2312" w:eastAsia="仿宋_GB2312"/>
          <w:sz w:val="24"/>
        </w:rPr>
        <w:t>扫描不清晰或乱码或表达不清所引起的后果由投标人负责。</w:t>
      </w:r>
      <w:bookmarkEnd w:id="65"/>
    </w:p>
    <w:p w14:paraId="7019FA28">
      <w:pPr>
        <w:spacing w:line="360" w:lineRule="auto"/>
        <w:ind w:firstLine="480" w:firstLineChars="200"/>
        <w:rPr>
          <w:rFonts w:hint="eastAsia" w:ascii="仿宋_GB2312" w:hAnsi="宋体" w:eastAsia="仿宋_GB2312"/>
          <w:sz w:val="24"/>
        </w:rPr>
      </w:pPr>
      <w:r>
        <w:rPr>
          <w:rFonts w:hint="eastAsia" w:ascii="仿宋_GB2312" w:hAnsi="宋体" w:eastAsia="仿宋_GB2312"/>
          <w:sz w:val="24"/>
        </w:rPr>
        <w:t>18.5</w:t>
      </w:r>
      <w:r>
        <w:rPr>
          <w:rFonts w:hint="eastAsia" w:ascii="仿宋_GB2312" w:eastAsia="仿宋_GB2312"/>
          <w:sz w:val="24"/>
        </w:rPr>
        <w:t>电子</w:t>
      </w:r>
      <w:r>
        <w:rPr>
          <w:rFonts w:hint="eastAsia" w:ascii="仿宋_GB2312" w:hAnsi="宋体" w:eastAsia="仿宋_GB2312"/>
          <w:sz w:val="24"/>
        </w:rPr>
        <w:t>投标文件所提供的相关材料的尺寸和清晰度应该能够在电脑上被阅读、识别和判断。</w:t>
      </w:r>
    </w:p>
    <w:p w14:paraId="2F9EC81E">
      <w:pPr>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18.6</w:t>
      </w:r>
      <w:r>
        <w:rPr>
          <w:rFonts w:hint="eastAsia" w:ascii="仿宋_GB2312" w:eastAsia="仿宋_GB2312"/>
          <w:sz w:val="24"/>
        </w:rPr>
        <w:t>电子</w:t>
      </w:r>
      <w:r>
        <w:rPr>
          <w:rFonts w:hint="eastAsia" w:ascii="仿宋_GB2312" w:hAnsi="宋体" w:eastAsia="仿宋_GB2312"/>
          <w:sz w:val="24"/>
        </w:rPr>
        <w:t>投标文件内容无法阅读、识别和判断的，视为未提供。</w:t>
      </w:r>
    </w:p>
    <w:p w14:paraId="796FFCD7">
      <w:pPr>
        <w:snapToGrid w:val="0"/>
        <w:spacing w:line="440" w:lineRule="exact"/>
        <w:ind w:firstLine="480" w:firstLineChars="200"/>
        <w:jc w:val="left"/>
        <w:rPr>
          <w:rFonts w:hint="eastAsia" w:ascii="仿宋_GB2312" w:hAnsi="宋体" w:eastAsia="仿宋_GB2312"/>
          <w:sz w:val="24"/>
        </w:rPr>
      </w:pPr>
      <w:r>
        <w:rPr>
          <w:rFonts w:hint="eastAsia" w:ascii="仿宋_GB2312" w:hAnsi="宋体" w:eastAsia="仿宋_GB2312"/>
          <w:sz w:val="24"/>
        </w:rPr>
        <w:t>18.7</w:t>
      </w:r>
      <w:r>
        <w:rPr>
          <w:rFonts w:hint="eastAsia" w:ascii="仿宋_GB2312" w:eastAsia="仿宋_GB2312"/>
          <w:sz w:val="24"/>
        </w:rPr>
        <w:t>电子</w:t>
      </w:r>
      <w:r>
        <w:rPr>
          <w:rFonts w:hint="eastAsia" w:ascii="仿宋_GB2312" w:hAnsi="宋体" w:eastAsia="仿宋_GB2312"/>
          <w:sz w:val="24"/>
        </w:rPr>
        <w:t>投标文件的容量大小须符合广西政府采购云平台客户端规定。</w:t>
      </w:r>
    </w:p>
    <w:p w14:paraId="5843AB0E">
      <w:pPr>
        <w:snapToGrid w:val="0"/>
        <w:spacing w:line="44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18.8电子投标文件的加密要求</w:t>
      </w:r>
    </w:p>
    <w:p w14:paraId="3706281B">
      <w:pPr>
        <w:snapToGrid w:val="0"/>
        <w:spacing w:line="420" w:lineRule="exact"/>
        <w:ind w:firstLine="480" w:firstLineChars="200"/>
        <w:jc w:val="left"/>
        <w:rPr>
          <w:rFonts w:hint="eastAsia" w:ascii="仿宋_GB2312" w:hAnsi="宋体" w:eastAsia="仿宋_GB2312"/>
          <w:sz w:val="24"/>
        </w:rPr>
      </w:pPr>
      <w:r>
        <w:rPr>
          <w:rFonts w:hint="eastAsia" w:ascii="仿宋_GB2312" w:eastAsia="仿宋_GB2312"/>
          <w:sz w:val="24"/>
        </w:rPr>
        <w:t>电子</w:t>
      </w:r>
      <w:r>
        <w:rPr>
          <w:rFonts w:hint="eastAsia" w:ascii="仿宋_GB2312" w:hAnsi="宋体" w:eastAsia="仿宋_GB2312"/>
          <w:sz w:val="24"/>
        </w:rPr>
        <w:t>投标文件应按广西政府采购云平台客户端软件有关规定加密，否则广西政府采购云平台将拒收</w:t>
      </w:r>
      <w:r>
        <w:rPr>
          <w:rFonts w:hint="eastAsia" w:ascii="仿宋_GB2312" w:eastAsia="仿宋_GB2312" w:cs="Courier New"/>
          <w:sz w:val="24"/>
        </w:rPr>
        <w:t>，由此造成的风险由投标人承担。</w:t>
      </w:r>
    </w:p>
    <w:p w14:paraId="023D5C7E">
      <w:pPr>
        <w:snapToGrid w:val="0"/>
        <w:spacing w:line="400" w:lineRule="exact"/>
        <w:ind w:firstLine="422" w:firstLineChars="175"/>
        <w:jc w:val="left"/>
        <w:rPr>
          <w:rFonts w:ascii="仿宋_GB2312" w:eastAsia="仿宋_GB2312"/>
          <w:b/>
          <w:sz w:val="24"/>
        </w:rPr>
      </w:pPr>
      <w:r>
        <w:rPr>
          <w:rFonts w:hint="eastAsia" w:ascii="仿宋_GB2312" w:eastAsia="仿宋_GB2312" w:cs="Courier New"/>
          <w:b/>
          <w:sz w:val="24"/>
        </w:rPr>
        <w:t>19.电子投标文件的提交、修改、撤回和解密</w:t>
      </w:r>
    </w:p>
    <w:p w14:paraId="07120899">
      <w:pPr>
        <w:tabs>
          <w:tab w:val="left" w:pos="3870"/>
          <w:tab w:val="left" w:pos="4085"/>
        </w:tabs>
        <w:snapToGrid w:val="0"/>
        <w:spacing w:line="420" w:lineRule="exact"/>
        <w:ind w:firstLine="480" w:firstLineChars="200"/>
        <w:jc w:val="left"/>
        <w:rPr>
          <w:rFonts w:hint="eastAsia" w:ascii="仿宋_GB2312" w:hAnsi="宋体" w:eastAsia="仿宋_GB2312"/>
          <w:sz w:val="24"/>
        </w:rPr>
      </w:pPr>
      <w:bookmarkStart w:id="66" w:name="_Toc254970684"/>
      <w:bookmarkStart w:id="67" w:name="_Toc254970543"/>
      <w:r>
        <w:rPr>
          <w:rFonts w:hint="eastAsia" w:ascii="仿宋_GB2312" w:hAnsi="宋体" w:eastAsia="仿宋_GB2312"/>
          <w:sz w:val="24"/>
        </w:rPr>
        <w:t>19.1本项目实行“网上投标、电子评标”，投标人应于提交投标文件截止时间前在广西政府采购云平台上提交已经加密的电子投标文件。</w:t>
      </w:r>
    </w:p>
    <w:p w14:paraId="59E0794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19.2未按规定上传的电子投标文件将被广西政府采购云平台拒收，由此造成电子投标文件解密失败或被误投的风险由投标人自行承担。</w:t>
      </w:r>
    </w:p>
    <w:p w14:paraId="13986868">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19.3 投标人应当在提交截止时间前完成电子投标文件的提交，提交截止时间前可以补充、修改或者撤回电子投标文件。补充或者修改电子投标文件的，应当先行撤回原文件，补充、修改、加密后重新传输提交。提交截止时间前未完成传输的，视为撤回电子投标文件。提交截止时间后上传的文件，将被广西政府采购云平台拒收。</w:t>
      </w:r>
    </w:p>
    <w:p w14:paraId="58EA1201">
      <w:pPr>
        <w:tabs>
          <w:tab w:val="left" w:pos="3870"/>
          <w:tab w:val="left" w:pos="4085"/>
        </w:tabs>
        <w:snapToGrid w:val="0"/>
        <w:spacing w:line="420" w:lineRule="exact"/>
        <w:ind w:firstLine="482" w:firstLineChars="200"/>
        <w:jc w:val="left"/>
        <w:rPr>
          <w:rFonts w:hint="eastAsia" w:ascii="仿宋_GB2312" w:hAnsi="宋体" w:eastAsia="仿宋_GB2312"/>
          <w:sz w:val="24"/>
        </w:rPr>
      </w:pPr>
      <w:r>
        <w:rPr>
          <w:rFonts w:hint="eastAsia" w:ascii="仿宋_GB2312" w:hAnsi="宋体" w:eastAsia="仿宋_GB2312"/>
          <w:b/>
          <w:bCs/>
          <w:sz w:val="24"/>
        </w:rPr>
        <w:t>19.4</w:t>
      </w:r>
      <w:r>
        <w:rPr>
          <w:rFonts w:hint="eastAsia" w:ascii="仿宋_GB2312" w:eastAsia="仿宋_GB2312"/>
          <w:b/>
          <w:bCs/>
          <w:sz w:val="24"/>
        </w:rPr>
        <w:t>电子投标文件成功提交后，投标人可自行打印投标文件接收回执。</w:t>
      </w:r>
    </w:p>
    <w:p w14:paraId="26C1A15B">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19.5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w:t>
      </w:r>
    </w:p>
    <w:p w14:paraId="6D57F699">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非广西政府采购云平台技术原因造成的投标人超过解密时限未完成解密的，或投标文件无法解密或解密失败，视为投标人放弃投标，投标无效。</w:t>
      </w:r>
    </w:p>
    <w:p w14:paraId="629C43EA">
      <w:pPr>
        <w:snapToGrid w:val="0"/>
        <w:spacing w:line="400" w:lineRule="exact"/>
        <w:ind w:firstLine="354" w:firstLineChars="147"/>
        <w:jc w:val="left"/>
        <w:rPr>
          <w:rFonts w:ascii="仿宋_GB2312" w:eastAsia="仿宋_GB2312"/>
          <w:b/>
          <w:sz w:val="24"/>
        </w:rPr>
      </w:pPr>
      <w:r>
        <w:rPr>
          <w:rFonts w:hint="eastAsia" w:ascii="仿宋_GB2312" w:eastAsia="仿宋_GB2312" w:cs="Courier New"/>
          <w:b/>
          <w:sz w:val="24"/>
        </w:rPr>
        <w:t>20.投标无效的情形</w:t>
      </w:r>
      <w:bookmarkEnd w:id="66"/>
      <w:bookmarkEnd w:id="67"/>
    </w:p>
    <w:p w14:paraId="1FE65D6C">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20.1实质上没有响应招标文件要求和条件的投标将被视为无效投标。投标人不得通过修正或撤销不合要求的偏离或保留从而使其投标成为实质上响应的投标，除资格证明文件外经评标委员会认定属于28.澄清问题的形式规定情形的，应当允许其在评标结束之前通过广西政府采购云平台进行澄清、说明或者补正，澄清、说明或者补正投标文件必须以书面形式进行。若投标人截止时间前未澄清、说明或者补正的，或澄清、说明或者补正后仍不符合招标文件要求的，评标委员会有权认定其投标无效。</w:t>
      </w:r>
    </w:p>
    <w:p w14:paraId="639AC3E9">
      <w:pPr>
        <w:snapToGrid w:val="0"/>
        <w:spacing w:line="400" w:lineRule="exact"/>
        <w:ind w:firstLine="472" w:firstLineChars="196"/>
        <w:rPr>
          <w:rFonts w:ascii="仿宋_GB2312" w:eastAsia="仿宋_GB2312"/>
          <w:b/>
          <w:bCs/>
          <w:sz w:val="24"/>
        </w:rPr>
      </w:pPr>
      <w:r>
        <w:rPr>
          <w:rFonts w:hint="eastAsia" w:ascii="仿宋_GB2312" w:eastAsia="仿宋_GB2312"/>
          <w:b/>
          <w:sz w:val="24"/>
        </w:rPr>
        <w:t>20.1.1投标人存在下列情况之一的，投标无效：</w:t>
      </w:r>
    </w:p>
    <w:p w14:paraId="435AAD0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（1）投标文件未按招标文件要求签署、盖章的；</w:t>
      </w:r>
    </w:p>
    <w:p w14:paraId="08AC577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（2）不具备招标文件中规定的资格要求的；</w:t>
      </w:r>
    </w:p>
    <w:p w14:paraId="56A3F7A6">
      <w:pPr>
        <w:snapToGrid w:val="0"/>
        <w:spacing w:line="400" w:lineRule="exact"/>
        <w:ind w:firstLine="420"/>
        <w:jc w:val="left"/>
        <w:rPr>
          <w:rFonts w:ascii="仿宋_GB2312" w:eastAsia="仿宋_GB2312" w:cs="Courier New"/>
          <w:sz w:val="24"/>
        </w:rPr>
      </w:pPr>
      <w:bookmarkStart w:id="68" w:name="_Hlk93676577"/>
      <w:r>
        <w:rPr>
          <w:rFonts w:hint="eastAsia" w:ascii="仿宋_GB2312" w:eastAsia="仿宋_GB2312" w:cs="Courier New"/>
          <w:sz w:val="24"/>
        </w:rPr>
        <w:t>（3）报价超过招标文件中规定的预算金额或者最高限价的；</w:t>
      </w:r>
    </w:p>
    <w:bookmarkEnd w:id="68"/>
    <w:p w14:paraId="6B60747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（4）投标文件含有采购人不能接受的附加条件的；</w:t>
      </w:r>
    </w:p>
    <w:p w14:paraId="6E60FF46">
      <w:pPr>
        <w:snapToGrid w:val="0"/>
        <w:spacing w:line="400" w:lineRule="exact"/>
        <w:ind w:firstLine="420"/>
        <w:jc w:val="left"/>
        <w:rPr>
          <w:rFonts w:ascii="仿宋_GB2312" w:eastAsia="仿宋_GB2312" w:cs="Courier New"/>
          <w:b/>
          <w:bCs/>
          <w:sz w:val="24"/>
        </w:rPr>
      </w:pPr>
      <w:r>
        <w:rPr>
          <w:rFonts w:hint="eastAsia" w:ascii="仿宋_GB2312" w:eastAsia="仿宋_GB2312" w:cs="Courier New"/>
          <w:b/>
          <w:bCs/>
          <w:sz w:val="24"/>
        </w:rPr>
        <w:t>（5）投标人在线制作电子投标文件时填写的报价金额与解密后“电子加密投标文件”中《开标一览表》填写的金额不一致并拒绝按公开招标文件要求接受调整的；</w:t>
      </w:r>
    </w:p>
    <w:p w14:paraId="7BAA0D6B">
      <w:pPr>
        <w:snapToGrid w:val="0"/>
        <w:spacing w:line="360" w:lineRule="exact"/>
        <w:ind w:right="-330" w:rightChars="-157" w:firstLine="420"/>
        <w:jc w:val="left"/>
        <w:rPr>
          <w:rFonts w:ascii="仿宋_GB2312" w:eastAsia="仿宋_GB2312" w:cs="Courier New"/>
          <w:sz w:val="24"/>
        </w:rPr>
      </w:pPr>
      <w:r>
        <w:rPr>
          <w:rFonts w:hint="eastAsia" w:ascii="仿宋_GB2312" w:eastAsia="仿宋_GB2312" w:cs="Courier New"/>
          <w:sz w:val="24"/>
        </w:rPr>
        <w:t>（6）法律、法规和招标文件规定的其他无效情形。</w:t>
      </w:r>
    </w:p>
    <w:p w14:paraId="45D1C3DF">
      <w:pPr>
        <w:snapToGrid w:val="0"/>
        <w:spacing w:line="350" w:lineRule="exact"/>
        <w:ind w:right="-330" w:rightChars="-157" w:firstLine="472" w:firstLineChars="196"/>
        <w:rPr>
          <w:rFonts w:ascii="仿宋_GB2312" w:eastAsia="仿宋_GB2312"/>
          <w:b/>
          <w:sz w:val="24"/>
        </w:rPr>
      </w:pPr>
      <w:r>
        <w:rPr>
          <w:rFonts w:hint="eastAsia" w:ascii="仿宋_GB2312" w:eastAsia="仿宋_GB2312"/>
          <w:b/>
          <w:sz w:val="24"/>
        </w:rPr>
        <w:t>20.1.2在资格性审查时，如发现下列情形之一的，投标文件将被视为无效：</w:t>
      </w:r>
    </w:p>
    <w:p w14:paraId="7E1A568C">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（1）资格证明文件不全的，或者不符合招标文件标明的资格要求的；</w:t>
      </w:r>
    </w:p>
    <w:p w14:paraId="436C19B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（2）无法定代表人或其授权委托代理人签字，或未提供法定代表人授权委托书或者填写项目不齐全的；</w:t>
      </w:r>
    </w:p>
    <w:p w14:paraId="3BE9E64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（3）委托代理人与法定代表人授权委托书中的代理人不符的。</w:t>
      </w:r>
    </w:p>
    <w:p w14:paraId="1733B1B9">
      <w:pPr>
        <w:snapToGrid w:val="0"/>
        <w:spacing w:line="340" w:lineRule="exact"/>
        <w:ind w:right="-330" w:rightChars="-157" w:firstLine="472" w:firstLineChars="196"/>
        <w:rPr>
          <w:rFonts w:ascii="仿宋_GB2312" w:eastAsia="仿宋_GB2312"/>
          <w:b/>
          <w:bCs/>
          <w:kern w:val="0"/>
          <w:sz w:val="24"/>
        </w:rPr>
      </w:pPr>
      <w:r>
        <w:rPr>
          <w:rFonts w:hint="eastAsia" w:ascii="仿宋_GB2312" w:eastAsia="仿宋_GB2312"/>
          <w:b/>
          <w:bCs/>
          <w:kern w:val="0"/>
          <w:sz w:val="24"/>
        </w:rPr>
        <w:t>20.1.3在符合性评审时，如发现下列情形之一的，投标文件将被视为无效：</w:t>
      </w:r>
    </w:p>
    <w:p w14:paraId="5ECBC360">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（1）投标有效期、服务期限、付款方式等商务条款不能满足招标文件要求的；</w:t>
      </w:r>
    </w:p>
    <w:p w14:paraId="252B422E">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（2）投标人就采购需求中标记 “★”符号的实质性响应内容发生负偏离一项以上的；投标人就采购需求中没有标记 “★”符号的技术参数要求响应内容发生负偏离</w:t>
      </w:r>
      <w:r>
        <w:rPr>
          <w:rFonts w:hint="eastAsia" w:ascii="仿宋_GB2312" w:eastAsia="仿宋_GB2312"/>
          <w:sz w:val="24"/>
          <w:lang w:eastAsia="zh-CN"/>
        </w:rPr>
        <w:t>五</w:t>
      </w:r>
      <w:r>
        <w:rPr>
          <w:rFonts w:ascii="仿宋_GB2312" w:eastAsia="仿宋_GB2312"/>
          <w:sz w:val="24"/>
        </w:rPr>
        <w:t>项以上的；</w:t>
      </w:r>
    </w:p>
    <w:p w14:paraId="38F3C7E2">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（3）投标技术方案不明确，存在一个或一个以上备选（替代）投标方案的；</w:t>
      </w:r>
    </w:p>
    <w:p w14:paraId="79B5CB4F">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（4）未采用人民币报价或者未按照招标文件标明的币种报价的；</w:t>
      </w:r>
    </w:p>
    <w:p w14:paraId="19402545">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（5）报价超出最高限价，或者超出采购预算金额的；</w:t>
      </w:r>
    </w:p>
    <w:p w14:paraId="67203782">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（6）投标报价具有选择性，或者开标价格与投标文件承诺的优惠（折扣）价格不一致的；</w:t>
      </w:r>
    </w:p>
    <w:p w14:paraId="31B481F9">
      <w:pPr>
        <w:tabs>
          <w:tab w:val="left" w:pos="3870"/>
          <w:tab w:val="left" w:pos="4085"/>
        </w:tabs>
        <w:snapToGrid w:val="0"/>
        <w:spacing w:line="360" w:lineRule="exact"/>
        <w:ind w:right="-330" w:rightChars="-157" w:firstLine="480" w:firstLineChars="200"/>
        <w:jc w:val="left"/>
        <w:rPr>
          <w:rFonts w:hint="eastAsia" w:ascii="仿宋_GB2312" w:hAnsi="宋体" w:eastAsia="仿宋_GB2312" w:cs="Courier New"/>
          <w:sz w:val="24"/>
        </w:rPr>
      </w:pPr>
      <w:r>
        <w:rPr>
          <w:rFonts w:ascii="仿宋_GB2312" w:eastAsia="仿宋_GB2312"/>
          <w:sz w:val="24"/>
        </w:rPr>
        <w:t>（7）评标委员会认为投标人的报价明显低于其他通过符合性审查投标人的报价，有可能影响产品质量或者不能诚信履约的，应当通过广西政府采购云平台发起询标函，要求其在评标现场合理的时间内通过广西政府采购云平台提供书面说明，必要时提交相关证明材料；投标人不能证明其报价合理性的，评标委员会应当将其作为无效投标处理。</w:t>
      </w:r>
    </w:p>
    <w:p w14:paraId="7323D63F">
      <w:pPr>
        <w:snapToGrid w:val="0"/>
        <w:spacing w:line="400" w:lineRule="exact"/>
        <w:ind w:firstLine="472" w:firstLineChars="196"/>
        <w:rPr>
          <w:rFonts w:ascii="仿宋_GB2312" w:eastAsia="仿宋_GB2312"/>
          <w:b/>
          <w:sz w:val="24"/>
        </w:rPr>
      </w:pPr>
      <w:r>
        <w:rPr>
          <w:rFonts w:hint="eastAsia" w:ascii="仿宋_GB2312" w:eastAsia="仿宋_GB2312"/>
          <w:b/>
          <w:sz w:val="24"/>
        </w:rPr>
        <w:t>20.1.4在评审时有下列情形之一的视为投标人相互串通投标，投标文件将被视为无效：</w:t>
      </w:r>
    </w:p>
    <w:p w14:paraId="40DF165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（1）不同投标人的投标文件由同一单位或者个人编制；或不同投标人报名（获取文件）的IP地址一致的；</w:t>
      </w:r>
    </w:p>
    <w:p w14:paraId="4969C1C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（2）不同投标人委托同一单位或者个人办理投标事宜；</w:t>
      </w:r>
    </w:p>
    <w:p w14:paraId="793BE0E2">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（3）不同的投标人的投标文件载明的项目管理成员或者联系人员为同一个人；</w:t>
      </w:r>
    </w:p>
    <w:p w14:paraId="092F2608">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（4）不同投标人的投标文件异常一致或投标报价呈规律性差异；</w:t>
      </w:r>
    </w:p>
    <w:p w14:paraId="70D2B1F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（5）不同投标人的投标文件相互混装。</w:t>
      </w:r>
    </w:p>
    <w:p w14:paraId="5E02E969">
      <w:pPr>
        <w:snapToGrid w:val="0"/>
        <w:spacing w:line="400" w:lineRule="exact"/>
        <w:ind w:firstLine="472" w:firstLineChars="196"/>
        <w:rPr>
          <w:rFonts w:ascii="仿宋_GB2312" w:eastAsia="仿宋_GB2312"/>
          <w:b/>
          <w:sz w:val="24"/>
        </w:rPr>
      </w:pPr>
      <w:r>
        <w:rPr>
          <w:rFonts w:hint="eastAsia" w:ascii="仿宋_GB2312" w:eastAsia="仿宋_GB2312"/>
          <w:b/>
          <w:sz w:val="24"/>
        </w:rPr>
        <w:t>20.1.5被拒绝的投标文件为无效。</w:t>
      </w:r>
    </w:p>
    <w:p w14:paraId="30C14B78">
      <w:pPr>
        <w:spacing w:line="460" w:lineRule="exact"/>
        <w:ind w:firstLine="482" w:firstLineChars="200"/>
        <w:rPr>
          <w:rFonts w:ascii="仿宋_GB2312" w:eastAsia="仿宋_GB2312"/>
          <w:b/>
          <w:sz w:val="24"/>
        </w:rPr>
      </w:pPr>
      <w:r>
        <w:rPr>
          <w:rFonts w:hint="eastAsia" w:ascii="仿宋_GB2312" w:eastAsia="仿宋_GB2312"/>
          <w:b/>
          <w:sz w:val="24"/>
        </w:rPr>
        <w:t>20.2特别说明</w:t>
      </w:r>
    </w:p>
    <w:p w14:paraId="02790AC5">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20.2.1广西政府采购云平台如对电子化开评标程序有调整的，按调整后的程序操作。</w:t>
      </w:r>
    </w:p>
    <w:p w14:paraId="789EE8AD">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20.2.2评审在严格保密的情况下进行，任何一方不得透露与评审有关的其他投标人的技术资料、价格和其他信息。</w:t>
      </w:r>
    </w:p>
    <w:p w14:paraId="5C8A06B0">
      <w:pPr>
        <w:spacing w:line="460" w:lineRule="exact"/>
        <w:ind w:firstLine="482" w:firstLineChars="200"/>
        <w:rPr>
          <w:rFonts w:ascii="仿宋_GB2312" w:eastAsia="仿宋_GB2312"/>
          <w:b/>
          <w:bCs/>
          <w:sz w:val="24"/>
        </w:rPr>
      </w:pPr>
      <w:r>
        <w:rPr>
          <w:rFonts w:hint="eastAsia" w:ascii="仿宋_GB2312" w:eastAsia="仿宋_GB2312"/>
          <w:b/>
          <w:bCs/>
          <w:sz w:val="24"/>
        </w:rPr>
        <w:t>20.3可中止电子交易活动的情形</w:t>
      </w:r>
    </w:p>
    <w:p w14:paraId="362F77E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采购过程中出现以下情形，导致广西政府采购云平台无法正常运行，或者无法保证电子交易的公平、公正和安全时，采购代理机构可中止电子交易活动：</w:t>
      </w:r>
    </w:p>
    <w:p w14:paraId="56172A2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20.3.1广西政府采购云平台发生故障而无法登录访问的；</w:t>
      </w:r>
    </w:p>
    <w:p w14:paraId="51B959E9">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20.3.2广西政府采购云平台应用或数据库出现错误，不能进行正常操作的；</w:t>
      </w:r>
    </w:p>
    <w:p w14:paraId="4EBB128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20.3.3广西政府采购云平台发现严重安全漏洞，有潜在泄密危险的；</w:t>
      </w:r>
    </w:p>
    <w:p w14:paraId="79C227B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20.3.4病毒发作导致不能进行正常操作的；</w:t>
      </w:r>
    </w:p>
    <w:p w14:paraId="287BA367">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20.3.5其他无法保证电子交易的公平、公正和安全的情况。</w:t>
      </w:r>
    </w:p>
    <w:p w14:paraId="2A38782B">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出现前款规定情形，不影响采购公平、公正性的，采购代理机构可以待上述情形消除后继续组织电子交易活动，也可以决定某些环节以纸质形式进行；影响或可能影响采购公平、公正性的，应当重新采购。</w:t>
      </w:r>
    </w:p>
    <w:p w14:paraId="5366C39D">
      <w:pPr>
        <w:snapToGrid w:val="0"/>
        <w:spacing w:line="400" w:lineRule="exact"/>
        <w:ind w:firstLine="472" w:firstLineChars="196"/>
        <w:rPr>
          <w:rFonts w:ascii="仿宋_GB2312" w:eastAsia="仿宋_GB2312" w:cs="Courier New"/>
          <w:b/>
          <w:sz w:val="24"/>
        </w:rPr>
      </w:pPr>
      <w:r>
        <w:rPr>
          <w:rFonts w:hint="eastAsia" w:ascii="仿宋_GB2312" w:eastAsia="仿宋_GB2312" w:cs="Courier New"/>
          <w:b/>
          <w:sz w:val="24"/>
        </w:rPr>
        <w:t>四、开标</w:t>
      </w:r>
    </w:p>
    <w:p w14:paraId="286B4E81">
      <w:pPr>
        <w:pStyle w:val="26"/>
        <w:snapToGrid w:val="0"/>
        <w:spacing w:line="40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21.开标准备</w:t>
      </w:r>
    </w:p>
    <w:p w14:paraId="37AF76FE">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21.1采购代理机构按公开招标文件规定的时间、地点通过“广西政府采购云平台”组织开标、开启解密电子投标文件，所有投标人均应当准时在线出席开标会。投标人因未在线参加开标而导致电子投标文件无法按时解密等一切后果由投标人自行承担。</w:t>
      </w:r>
    </w:p>
    <w:p w14:paraId="6174B6BA">
      <w:pPr>
        <w:pStyle w:val="26"/>
        <w:snapToGrid w:val="0"/>
        <w:spacing w:line="400" w:lineRule="exact"/>
        <w:ind w:firstLine="482" w:firstLineChars="200"/>
        <w:rPr>
          <w:rFonts w:hint="eastAsia" w:ascii="仿宋_GB2312" w:hAnsi="宋体" w:eastAsia="仿宋_GB2312"/>
          <w:b/>
          <w:sz w:val="24"/>
          <w:szCs w:val="24"/>
        </w:rPr>
      </w:pPr>
      <w:r>
        <w:rPr>
          <w:rFonts w:hint="eastAsia" w:ascii="仿宋_GB2312" w:hAnsi="宋体" w:eastAsia="仿宋_GB2312"/>
          <w:b/>
          <w:sz w:val="24"/>
          <w:szCs w:val="24"/>
        </w:rPr>
        <w:t>22.开标程序</w:t>
      </w:r>
    </w:p>
    <w:p w14:paraId="5592F03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22.1开标会由采购代理机构主持；</w:t>
      </w:r>
    </w:p>
    <w:p w14:paraId="01161E04">
      <w:pPr>
        <w:snapToGrid w:val="0"/>
        <w:spacing w:line="400" w:lineRule="exact"/>
        <w:ind w:firstLine="420"/>
        <w:jc w:val="left"/>
        <w:rPr>
          <w:rFonts w:hint="eastAsia" w:ascii="仿宋_GB2312" w:hAnsi="宋体" w:eastAsia="仿宋_GB2312"/>
          <w:sz w:val="24"/>
        </w:rPr>
      </w:pPr>
      <w:r>
        <w:rPr>
          <w:rFonts w:hint="eastAsia" w:ascii="仿宋_GB2312" w:eastAsia="仿宋_GB2312" w:cs="Courier New"/>
          <w:sz w:val="24"/>
        </w:rPr>
        <w:t>22.2</w:t>
      </w:r>
      <w:r>
        <w:rPr>
          <w:rFonts w:hint="eastAsia" w:ascii="仿宋_GB2312" w:hAnsi="宋体" w:eastAsia="仿宋_GB2312"/>
          <w:sz w:val="24"/>
        </w:rPr>
        <w:t>截标后，广西政府采购云平台电子交易平台自动提取所有投标人的电子投标文件，采购代理机构向各投标人发出解密通知，投标人须在采购代理机构开启解密标书后30分钟内对上传广西政府采购云平台的投标文件进行解密。非广西政府采购云平台技术原因造成的投标人超过解密时限未完成解密的，或投标文件无法解密或解密失败，视为投标人放弃投标，投标无效。</w:t>
      </w:r>
    </w:p>
    <w:p w14:paraId="488A1D20">
      <w:pPr>
        <w:tabs>
          <w:tab w:val="left" w:pos="3870"/>
          <w:tab w:val="left" w:pos="4085"/>
        </w:tabs>
        <w:snapToGrid w:val="0"/>
        <w:spacing w:line="420" w:lineRule="exact"/>
        <w:ind w:firstLine="480" w:firstLineChars="200"/>
        <w:jc w:val="left"/>
        <w:rPr>
          <w:rFonts w:hint="eastAsia" w:ascii="仿宋_GB2312" w:hAnsi="宋体" w:eastAsia="仿宋_GB2312"/>
          <w:sz w:val="24"/>
        </w:rPr>
      </w:pPr>
      <w:r>
        <w:rPr>
          <w:rFonts w:hint="eastAsia" w:ascii="仿宋_GB2312" w:hAnsi="宋体" w:eastAsia="仿宋_GB2312"/>
          <w:sz w:val="24"/>
        </w:rPr>
        <w:t>22.3电子投标文件解密结束，开启报价要求文件。投标人在线制作投标文件时填写的报价金额与解密后“电子加密投标文件”中《开标一览表》填写的金额不一致的，以解密后“电子加密投标文件”中《开标一览表》填写的金额为准，投标人拒绝接受此调整的，按无效投标处理。</w:t>
      </w:r>
    </w:p>
    <w:p w14:paraId="758C2BC4">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22.4公开报价；</w:t>
      </w:r>
    </w:p>
    <w:p w14:paraId="1D77ED06">
      <w:pPr>
        <w:snapToGrid w:val="0"/>
        <w:spacing w:line="400" w:lineRule="exact"/>
        <w:ind w:firstLine="420"/>
        <w:jc w:val="left"/>
        <w:rPr>
          <w:rFonts w:ascii="仿宋_GB2312" w:eastAsia="仿宋_GB2312" w:cs="Courier New"/>
          <w:sz w:val="24"/>
        </w:rPr>
      </w:pPr>
      <w:r>
        <w:rPr>
          <w:rFonts w:hint="eastAsia" w:ascii="仿宋_GB2312" w:eastAsia="仿宋_GB2312" w:cs="Courier New"/>
          <w:sz w:val="24"/>
        </w:rPr>
        <w:t>22.5报价确认：采购代理机构开启签字时段，投标人应及时通过CA证书对报价记录表进行确认。未在规定时间内确认的，视同认可开标结果；</w:t>
      </w:r>
    </w:p>
    <w:p w14:paraId="1CCCCB89">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22.6开标会结束。</w:t>
      </w:r>
    </w:p>
    <w:p w14:paraId="77A8FDC4">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五、资格性审查</w:t>
      </w:r>
    </w:p>
    <w:p w14:paraId="291C2E7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23.采购人应当依法对投标人的资格进行审查。</w:t>
      </w:r>
    </w:p>
    <w:p w14:paraId="392FFC4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24.合格投标人不足三家的，不得评标。</w:t>
      </w:r>
    </w:p>
    <w:p w14:paraId="00EDF03C">
      <w:pPr>
        <w:pStyle w:val="26"/>
        <w:snapToGrid w:val="0"/>
        <w:spacing w:line="370" w:lineRule="exact"/>
        <w:ind w:firstLine="472" w:firstLineChars="196"/>
        <w:rPr>
          <w:rFonts w:hint="eastAsia" w:ascii="仿宋_GB2312" w:hAnsi="宋体" w:eastAsia="仿宋_GB2312"/>
          <w:b/>
          <w:sz w:val="24"/>
          <w:szCs w:val="24"/>
        </w:rPr>
      </w:pPr>
      <w:bookmarkStart w:id="69" w:name="_Toc254970686"/>
      <w:bookmarkStart w:id="70" w:name="_Toc254970545"/>
      <w:r>
        <w:rPr>
          <w:rFonts w:hint="eastAsia" w:ascii="仿宋_GB2312" w:hAnsi="宋体" w:eastAsia="仿宋_GB2312"/>
          <w:b/>
          <w:sz w:val="24"/>
          <w:szCs w:val="24"/>
        </w:rPr>
        <w:t>六、评标</w:t>
      </w:r>
      <w:bookmarkEnd w:id="69"/>
      <w:bookmarkEnd w:id="70"/>
    </w:p>
    <w:p w14:paraId="4325E95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25.组建评标委员会</w:t>
      </w:r>
    </w:p>
    <w:p w14:paraId="20767E2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25.1本项目评标委员会由采购人代表和评审专家组成。</w:t>
      </w:r>
    </w:p>
    <w:p w14:paraId="7CD1D27D">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26.评标的方式</w:t>
      </w:r>
    </w:p>
    <w:p w14:paraId="1884F415">
      <w:pPr>
        <w:snapToGrid w:val="0"/>
        <w:spacing w:line="370" w:lineRule="exact"/>
        <w:ind w:firstLine="420"/>
        <w:jc w:val="left"/>
        <w:rPr>
          <w:rFonts w:ascii="仿宋_GB2312" w:eastAsia="仿宋_GB2312"/>
          <w:sz w:val="24"/>
        </w:rPr>
      </w:pPr>
      <w:r>
        <w:rPr>
          <w:rFonts w:hint="eastAsia" w:ascii="仿宋_GB2312" w:eastAsia="仿宋_GB2312" w:cs="Courier New"/>
          <w:sz w:val="24"/>
        </w:rPr>
        <w:t>26.1本项目采用不公开方式评标，评标的依据为招标文件和投标文件。</w:t>
      </w:r>
    </w:p>
    <w:p w14:paraId="3F94880B">
      <w:pPr>
        <w:pStyle w:val="26"/>
        <w:snapToGrid w:val="0"/>
        <w:spacing w:line="370" w:lineRule="exact"/>
        <w:ind w:left="720" w:leftChars="228" w:hanging="241" w:hangingChars="100"/>
        <w:rPr>
          <w:rFonts w:hint="eastAsia" w:ascii="仿宋_GB2312" w:hAnsi="宋体" w:eastAsia="仿宋_GB2312"/>
          <w:b/>
          <w:sz w:val="24"/>
          <w:szCs w:val="24"/>
        </w:rPr>
      </w:pPr>
      <w:r>
        <w:rPr>
          <w:rFonts w:hint="eastAsia" w:ascii="仿宋_GB2312" w:hAnsi="宋体" w:eastAsia="仿宋_GB2312"/>
          <w:b/>
          <w:sz w:val="24"/>
          <w:szCs w:val="24"/>
        </w:rPr>
        <w:t>27.</w:t>
      </w:r>
      <w:r>
        <w:rPr>
          <w:rFonts w:hint="eastAsia" w:ascii="仿宋_GB2312" w:hAnsi="宋体" w:eastAsia="仿宋_GB2312"/>
          <w:b/>
          <w:bCs/>
          <w:sz w:val="24"/>
          <w:szCs w:val="24"/>
        </w:rPr>
        <w:t>评标程序</w:t>
      </w:r>
    </w:p>
    <w:p w14:paraId="4033F399">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27.1符合性审查</w:t>
      </w:r>
    </w:p>
    <w:p w14:paraId="24151A1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（1）评标委员会审查、评价投标文件是否符合招标文件的商务、技术等实质性要求。</w:t>
      </w:r>
    </w:p>
    <w:p w14:paraId="589782BB">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（2）评标委员会将根据投标人的投标文件进行审查、核对，如有疑问，评标委员会将通过广西政府采购云平台，以询标函的方式要求投标人在线对相关问题进行澄清或者说明。</w:t>
      </w:r>
    </w:p>
    <w:p w14:paraId="477F229D">
      <w:pPr>
        <w:snapToGrid w:val="0"/>
        <w:spacing w:line="370" w:lineRule="exact"/>
        <w:ind w:firstLine="472" w:firstLineChars="196"/>
        <w:rPr>
          <w:rFonts w:ascii="仿宋_GB2312" w:eastAsia="仿宋_GB2312"/>
          <w:b/>
          <w:bCs/>
          <w:kern w:val="0"/>
          <w:sz w:val="24"/>
        </w:rPr>
      </w:pPr>
      <w:r>
        <w:rPr>
          <w:rFonts w:hint="eastAsia" w:ascii="仿宋_GB2312" w:eastAsia="仿宋_GB2312"/>
          <w:b/>
          <w:bCs/>
          <w:kern w:val="0"/>
          <w:sz w:val="24"/>
        </w:rPr>
        <w:t>27.2投标文件的比较和评价</w:t>
      </w:r>
    </w:p>
    <w:p w14:paraId="735FC357">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（1）各投标人的技术得分为所有评委的有效评分的算术平均数。</w:t>
      </w:r>
    </w:p>
    <w:p w14:paraId="3BD5C66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（2）评标委员会完成评标后，评委对各部分得分汇总，计算出本项目最终得分等。评标委员会按评标标准推荐中标候选人同时起草评标报告。</w:t>
      </w:r>
    </w:p>
    <w:p w14:paraId="132A6479">
      <w:pPr>
        <w:snapToGrid w:val="0"/>
        <w:spacing w:line="370" w:lineRule="exact"/>
        <w:ind w:firstLine="482" w:firstLineChars="200"/>
        <w:rPr>
          <w:rFonts w:ascii="仿宋_GB2312" w:eastAsia="仿宋_GB2312"/>
          <w:b/>
          <w:sz w:val="24"/>
        </w:rPr>
      </w:pPr>
      <w:r>
        <w:rPr>
          <w:rFonts w:hint="eastAsia" w:ascii="仿宋_GB2312" w:eastAsia="仿宋_GB2312"/>
          <w:b/>
          <w:sz w:val="24"/>
        </w:rPr>
        <w:t>28.澄清问题的形式</w:t>
      </w:r>
    </w:p>
    <w:p w14:paraId="5C5D28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28.1对于投标文件中含义不明确、同类问题表述不一致或者有明显文字和计算错误的内容，评标委员会应当通过广西政府采购云平台发起电子询标函，以书面形式要求投标人在规定的时间内作出必要的澄清、说明或者补正。</w:t>
      </w:r>
    </w:p>
    <w:p w14:paraId="7CF17A28">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28.2投标人应当在规定时间内通过广西政府采购云平台进行澄清、说明或者补正，并加盖投标人CA电子签章。投标人的澄清、说明或者补正不得超出投标文件的范围或者改变投标文件的实质性内容。</w:t>
      </w:r>
    </w:p>
    <w:p w14:paraId="575D8AC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28.3投标人有以下情形之一的，评标委员会有权视该投标文件无效:</w:t>
      </w:r>
    </w:p>
    <w:p w14:paraId="3AA2B55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（1）截止时间前未澄清、说明或者补正，或澄清、说明或者补正超过规定时间的:</w:t>
      </w:r>
    </w:p>
    <w:p w14:paraId="0F1470ED">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（2）澄清、说明或者补正超出投标文件范围或改变了投标文件的实质性内容的；</w:t>
      </w:r>
    </w:p>
    <w:p w14:paraId="56E84F0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（3）澄清、说明或者补正后投标文件仍不符合招标文件要求的。</w:t>
      </w:r>
    </w:p>
    <w:p w14:paraId="292BF0F2">
      <w:pPr>
        <w:snapToGrid w:val="0"/>
        <w:spacing w:line="370" w:lineRule="exact"/>
        <w:ind w:firstLine="482" w:firstLineChars="200"/>
        <w:rPr>
          <w:rFonts w:ascii="仿宋_GB2312" w:eastAsia="仿宋_GB2312"/>
          <w:b/>
          <w:sz w:val="24"/>
        </w:rPr>
      </w:pPr>
      <w:r>
        <w:rPr>
          <w:rFonts w:hint="eastAsia" w:ascii="仿宋_GB2312" w:eastAsia="仿宋_GB2312"/>
          <w:b/>
          <w:sz w:val="24"/>
        </w:rPr>
        <w:t>29.错误修正</w:t>
      </w:r>
    </w:p>
    <w:p w14:paraId="15C73900">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29.1投标文件报价出现前后不一致的，除招标文件另有规定外，按照下列规定修正：</w:t>
      </w:r>
    </w:p>
    <w:p w14:paraId="16E27A9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（1）投标文件中开标一览表（报价表）内容与投标文件中相应内容不一致的，以开标一览表（报价表）为准；</w:t>
      </w:r>
    </w:p>
    <w:p w14:paraId="098682B3">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（2）大写金额和小写金额不一致的，以大写金额为准；</w:t>
      </w:r>
    </w:p>
    <w:p w14:paraId="0850C035">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（3）单价金额小数点或者百分比有明显错位的，以开标一览表的总价为准，并修改单价；</w:t>
      </w:r>
    </w:p>
    <w:p w14:paraId="1CEA670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（4）总价金额与按单价汇总金额不一致的，以单价金额计算结果为准。</w:t>
      </w:r>
    </w:p>
    <w:p w14:paraId="67804798">
      <w:pPr>
        <w:snapToGrid w:val="0"/>
        <w:spacing w:line="370" w:lineRule="exact"/>
        <w:ind w:firstLine="420"/>
        <w:jc w:val="left"/>
        <w:rPr>
          <w:rFonts w:ascii="仿宋_GB2312" w:eastAsia="仿宋_GB2312" w:cs="Courier New"/>
          <w:b/>
          <w:sz w:val="24"/>
        </w:rPr>
      </w:pPr>
      <w:r>
        <w:rPr>
          <w:rFonts w:hint="eastAsia" w:ascii="仿宋_GB2312" w:eastAsia="仿宋_GB2312" w:cs="Courier New"/>
          <w:b/>
          <w:sz w:val="24"/>
        </w:rPr>
        <w:t>同时出现两种以上不一致的，按照前款规定的顺序修正。评标委员会通过广西政府采购云平台发起询标函，投标人在规定时间内通过广西政府采购云平台确认，投标人的确认应当加盖投标人CA电子签章。修正后的报价按照87号令第五十一条第二款的规定经投标人确认后产生约束力，投标人不确认的，其投标无效。</w:t>
      </w:r>
    </w:p>
    <w:p w14:paraId="3F47854F">
      <w:pPr>
        <w:pStyle w:val="26"/>
        <w:tabs>
          <w:tab w:val="left" w:pos="630"/>
        </w:tabs>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30.评标原则和评标方法</w:t>
      </w:r>
    </w:p>
    <w:p w14:paraId="35D201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30.1评标原则。评标委员会必须公平、公正、客观，不带任何倾向性和启发性；不得向外界透露任何与评标有关的内容；任何单位和个人不得干扰、影响评标的正常进行；评标委员会及有关工作人员不得私下与投标人接触。</w:t>
      </w:r>
    </w:p>
    <w:p w14:paraId="5491DCC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30.2本项目评标方法是综合评分法，具体评标内容及评标标准等详见第四章：评标方法及评标标准。</w:t>
      </w:r>
    </w:p>
    <w:p w14:paraId="7AD0A439">
      <w:pPr>
        <w:pStyle w:val="26"/>
        <w:snapToGrid w:val="0"/>
        <w:spacing w:line="370" w:lineRule="exact"/>
        <w:ind w:firstLine="472" w:firstLineChars="196"/>
        <w:rPr>
          <w:rFonts w:hint="eastAsia" w:ascii="仿宋_GB2312" w:hAnsi="宋体" w:eastAsia="仿宋_GB2312"/>
          <w:b/>
          <w:sz w:val="24"/>
          <w:szCs w:val="24"/>
        </w:rPr>
      </w:pPr>
      <w:r>
        <w:rPr>
          <w:rFonts w:hint="eastAsia" w:ascii="仿宋_GB2312" w:hAnsi="宋体" w:eastAsia="仿宋_GB2312"/>
          <w:b/>
          <w:sz w:val="24"/>
          <w:szCs w:val="24"/>
        </w:rPr>
        <w:t>31.评标过程的监控</w:t>
      </w:r>
    </w:p>
    <w:p w14:paraId="3139134C">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31.1本项目评标过程实行全程录音、录像监控（或政府采购监督管理部门工作人员进行现场监督），投标人在评标过程中所进行的试图影响评标结果的不公正活动，可能导致其投标被拒绝。</w:t>
      </w:r>
    </w:p>
    <w:p w14:paraId="75A6165C">
      <w:pPr>
        <w:pStyle w:val="26"/>
        <w:snapToGrid w:val="0"/>
        <w:spacing w:line="370" w:lineRule="exact"/>
        <w:ind w:firstLine="482" w:firstLineChars="200"/>
        <w:rPr>
          <w:rFonts w:hint="eastAsia" w:ascii="仿宋_GB2312" w:hAnsi="宋体" w:eastAsia="仿宋_GB2312"/>
          <w:sz w:val="24"/>
          <w:szCs w:val="24"/>
        </w:rPr>
      </w:pPr>
      <w:r>
        <w:rPr>
          <w:rFonts w:hint="eastAsia" w:ascii="仿宋_GB2312" w:hAnsi="宋体" w:eastAsia="仿宋_GB2312"/>
          <w:b/>
          <w:sz w:val="24"/>
          <w:szCs w:val="24"/>
        </w:rPr>
        <w:t>七、评标结果</w:t>
      </w:r>
    </w:p>
    <w:p w14:paraId="7FB4B9C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32.采购人或者采购代理机构核对评标结果。</w:t>
      </w:r>
    </w:p>
    <w:p w14:paraId="53474EDF">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33.采购人或者采购代理机构在公告中标结果的同时，对未通过资格审查的投标人，应当告知其未通过的原因；采用综合评分法评审的，还应当告知未中标人本人的评审得分与排序。</w:t>
      </w:r>
    </w:p>
    <w:p w14:paraId="71A9A38A">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34.采购人或者采购代理机构在评标结束后2个工作日内将评标报告送采购人，采购人在收到评标报告之日起5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3F3DFD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35.采购人或采购代理机构应当自中标人确定之日起2个工作日内，在中国政府采购网、广西壮族自治区政府采购网、柳州市政府采购网发布中标公告。在发布中标公告的同时，向中标人发出中标通知书。</w:t>
      </w:r>
    </w:p>
    <w:p w14:paraId="0DE00F8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36.在中标通知书发出前，采购人或采购代理机构应当对中标人信用进行查询，并按照信用信息使用规则处理。</w:t>
      </w:r>
    </w:p>
    <w:p w14:paraId="67BFA91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37.投标人对中标公告有异议的，应当在中标公告</w:t>
      </w:r>
      <w:r>
        <w:rPr>
          <w:rFonts w:hint="eastAsia" w:ascii="仿宋_GB2312" w:hAnsi="宋体" w:eastAsia="仿宋_GB2312"/>
          <w:bCs/>
          <w:sz w:val="24"/>
        </w:rPr>
        <w:t>期限届满</w:t>
      </w:r>
      <w:r>
        <w:rPr>
          <w:rFonts w:hint="eastAsia" w:ascii="仿宋_GB2312" w:eastAsia="仿宋_GB2312" w:cs="Courier New"/>
          <w:sz w:val="24"/>
        </w:rPr>
        <w:t>之日起七个工作日内，以书面形式向采购人或采购代理机构提出质疑，并及时索要书面回执。</w:t>
      </w:r>
    </w:p>
    <w:p w14:paraId="3EC7DB42">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38.采购人或采购代理机构（采购代理机构应当按照有关规定就采购人委托授权范围内的事项）在收到投标人的书面质疑后七个工作日内作出答复，但答复的内容不得涉及商业秘密。</w:t>
      </w:r>
    </w:p>
    <w:p w14:paraId="14335A61">
      <w:pPr>
        <w:pStyle w:val="26"/>
        <w:snapToGrid w:val="0"/>
        <w:spacing w:line="370" w:lineRule="exact"/>
        <w:ind w:firstLine="472" w:firstLineChars="196"/>
        <w:rPr>
          <w:rFonts w:hint="eastAsia" w:ascii="仿宋_GB2312" w:hAnsi="宋体" w:eastAsia="仿宋_GB2312"/>
          <w:b/>
          <w:sz w:val="24"/>
          <w:szCs w:val="24"/>
        </w:rPr>
      </w:pPr>
      <w:bookmarkStart w:id="71" w:name="_Toc254970547"/>
      <w:bookmarkStart w:id="72" w:name="_Toc254970688"/>
      <w:r>
        <w:rPr>
          <w:rFonts w:hint="eastAsia" w:ascii="仿宋_GB2312" w:hAnsi="宋体" w:eastAsia="仿宋_GB2312"/>
          <w:b/>
          <w:sz w:val="24"/>
          <w:szCs w:val="24"/>
        </w:rPr>
        <w:t>八、</w:t>
      </w:r>
      <w:bookmarkEnd w:id="71"/>
      <w:bookmarkEnd w:id="72"/>
      <w:r>
        <w:rPr>
          <w:rFonts w:hint="eastAsia" w:ascii="仿宋_GB2312" w:hAnsi="宋体" w:eastAsia="仿宋_GB2312"/>
          <w:b/>
          <w:sz w:val="24"/>
          <w:szCs w:val="24"/>
        </w:rPr>
        <w:t>签订合同</w:t>
      </w:r>
    </w:p>
    <w:p w14:paraId="111F0831">
      <w:pPr>
        <w:pStyle w:val="26"/>
        <w:snapToGrid w:val="0"/>
        <w:spacing w:line="370" w:lineRule="exact"/>
        <w:ind w:firstLine="472" w:firstLineChars="196"/>
        <w:rPr>
          <w:rFonts w:hint="eastAsia" w:ascii="仿宋_GB2312" w:hAnsi="宋体" w:eastAsia="仿宋_GB2312"/>
          <w:b/>
          <w:bCs/>
          <w:sz w:val="24"/>
          <w:szCs w:val="24"/>
        </w:rPr>
      </w:pPr>
      <w:r>
        <w:rPr>
          <w:rFonts w:hint="eastAsia" w:ascii="仿宋_GB2312" w:hAnsi="宋体" w:eastAsia="仿宋_GB2312"/>
          <w:b/>
          <w:sz w:val="24"/>
          <w:szCs w:val="24"/>
        </w:rPr>
        <w:t>39.合同授予标准</w:t>
      </w:r>
    </w:p>
    <w:p w14:paraId="6E8A082E">
      <w:pPr>
        <w:snapToGrid w:val="0"/>
        <w:spacing w:line="370" w:lineRule="exact"/>
        <w:ind w:firstLine="420"/>
        <w:jc w:val="left"/>
        <w:rPr>
          <w:rFonts w:ascii="仿宋_GB2312" w:eastAsia="仿宋_GB2312" w:cs="Courier New"/>
          <w:sz w:val="24"/>
        </w:rPr>
      </w:pPr>
      <w:r>
        <w:rPr>
          <w:rFonts w:hint="eastAsia" w:ascii="仿宋_GB2312" w:eastAsia="仿宋_GB2312" w:cs="Courier New"/>
          <w:sz w:val="24"/>
        </w:rPr>
        <w:t>39.1合同将授予被确定实质上响应招标文件要求，具备履行合同能力，综合评分排名第一的投标人。</w:t>
      </w:r>
    </w:p>
    <w:p w14:paraId="4068B862">
      <w:pPr>
        <w:snapToGrid w:val="0"/>
        <w:spacing w:line="370" w:lineRule="exact"/>
        <w:ind w:firstLine="420"/>
        <w:jc w:val="left"/>
        <w:rPr>
          <w:rFonts w:ascii="仿宋_GB2312" w:eastAsia="仿宋_GB2312" w:cs="Courier New"/>
          <w:b/>
          <w:bCs/>
          <w:sz w:val="24"/>
        </w:rPr>
      </w:pPr>
      <w:r>
        <w:rPr>
          <w:rFonts w:hint="eastAsia" w:ascii="仿宋_GB2312" w:eastAsia="仿宋_GB2312" w:cs="Courier New"/>
          <w:b/>
          <w:bCs/>
          <w:sz w:val="24"/>
        </w:rPr>
        <w:t>40.签订合同</w:t>
      </w:r>
    </w:p>
    <w:p w14:paraId="0C766231">
      <w:pPr>
        <w:snapToGrid w:val="0"/>
        <w:spacing w:line="370" w:lineRule="exact"/>
        <w:ind w:firstLine="420"/>
        <w:jc w:val="left"/>
        <w:rPr>
          <w:rFonts w:ascii="仿宋_GB2312" w:eastAsia="仿宋_GB2312" w:cs="Courier New"/>
          <w:sz w:val="24"/>
        </w:rPr>
      </w:pPr>
      <w:bookmarkStart w:id="73" w:name="_Hlk93676812"/>
      <w:r>
        <w:rPr>
          <w:rFonts w:hint="eastAsia" w:ascii="仿宋_GB2312" w:eastAsia="仿宋_GB2312" w:cs="Courier New"/>
          <w:sz w:val="24"/>
        </w:rPr>
        <w:t>40.1中标人接到中标通知书后，应按有关规定与采购人签订合同。</w:t>
      </w:r>
    </w:p>
    <w:bookmarkEnd w:id="73"/>
    <w:p w14:paraId="433C6DD4">
      <w:pPr>
        <w:snapToGrid w:val="0"/>
        <w:spacing w:line="360" w:lineRule="exact"/>
        <w:ind w:right="-470" w:rightChars="-224" w:firstLine="420"/>
        <w:jc w:val="left"/>
        <w:rPr>
          <w:rFonts w:ascii="仿宋_GB2312" w:eastAsia="仿宋_GB2312" w:cs="Courier New"/>
          <w:sz w:val="24"/>
        </w:rPr>
        <w:sectPr>
          <w:pgSz w:w="11906" w:h="16838"/>
          <w:pgMar w:top="1440" w:right="1440" w:bottom="1440" w:left="1440" w:header="851" w:footer="992" w:gutter="0"/>
          <w:cols w:space="720" w:num="1"/>
          <w:docGrid w:linePitch="312" w:charSpace="0"/>
        </w:sectPr>
      </w:pPr>
      <w:r>
        <w:rPr>
          <w:rFonts w:hint="eastAsia" w:ascii="仿宋_GB2312" w:eastAsia="仿宋_GB2312" w:cs="Courier New"/>
          <w:sz w:val="24"/>
        </w:rPr>
        <w:t>40.2中标人因不可抗力或者自身原因不能履行采购合同的，采购人或采购代理机构应将该情况报政府采购监督管理部门，从合格的中标候选人中另行确定中标人或重新开展政府采购活动。</w:t>
      </w:r>
      <w:bookmarkStart w:id="74" w:name="_Toc254970689"/>
      <w:bookmarkStart w:id="75" w:name="_Toc254970548"/>
      <w:bookmarkStart w:id="76" w:name="_Toc497578452"/>
    </w:p>
    <w:p w14:paraId="6E564F2F"/>
    <w:p w14:paraId="6B8952AB"/>
    <w:p w14:paraId="32C3DDE6"/>
    <w:p w14:paraId="5B5358DD"/>
    <w:p w14:paraId="2784FD03"/>
    <w:p w14:paraId="33EB370E"/>
    <w:p w14:paraId="61ABDB31"/>
    <w:p w14:paraId="1904CF1B"/>
    <w:p w14:paraId="6889EC4A"/>
    <w:p w14:paraId="0E3AB68A"/>
    <w:p w14:paraId="7D7995EF"/>
    <w:p w14:paraId="3C79EECE"/>
    <w:p w14:paraId="2CCB2DC7"/>
    <w:p w14:paraId="09A7F613"/>
    <w:p w14:paraId="0B97F505"/>
    <w:p w14:paraId="2B171A6C"/>
    <w:p w14:paraId="7106812A"/>
    <w:p w14:paraId="5BC7D2F7">
      <w:pPr>
        <w:pStyle w:val="3"/>
        <w:jc w:val="center"/>
        <w:rPr>
          <w:sz w:val="30"/>
          <w:szCs w:val="30"/>
        </w:rPr>
      </w:pPr>
      <w:bookmarkStart w:id="77" w:name="_Toc27328"/>
      <w:r>
        <w:rPr>
          <w:rFonts w:hint="eastAsia"/>
          <w:sz w:val="30"/>
          <w:szCs w:val="30"/>
        </w:rPr>
        <w:t xml:space="preserve">第四章 </w:t>
      </w:r>
      <w:bookmarkEnd w:id="74"/>
      <w:bookmarkEnd w:id="75"/>
      <w:r>
        <w:rPr>
          <w:rFonts w:hint="eastAsia"/>
          <w:sz w:val="30"/>
          <w:szCs w:val="30"/>
        </w:rPr>
        <w:t>评标方法及评标标准</w:t>
      </w:r>
      <w:bookmarkEnd w:id="76"/>
      <w:bookmarkEnd w:id="77"/>
      <w:r>
        <w:tab/>
      </w:r>
    </w:p>
    <w:p w14:paraId="66DBA0F3">
      <w:pPr>
        <w:tabs>
          <w:tab w:val="left" w:pos="3055"/>
        </w:tabs>
        <w:jc w:val="center"/>
        <w:rPr>
          <w:b/>
          <w:sz w:val="30"/>
          <w:szCs w:val="30"/>
        </w:rPr>
      </w:pPr>
      <w:r>
        <w:br w:type="page"/>
      </w:r>
      <w:r>
        <w:rPr>
          <w:rFonts w:hint="eastAsia" w:ascii="宋体" w:hAnsi="宋体" w:cs="Courier New"/>
          <w:b/>
          <w:bCs/>
          <w:color w:val="000000"/>
          <w:sz w:val="32"/>
          <w:szCs w:val="32"/>
        </w:rPr>
        <w:t>评标方法及评标标准</w:t>
      </w:r>
    </w:p>
    <w:p w14:paraId="383ACDD2">
      <w:pPr>
        <w:spacing w:line="390" w:lineRule="exact"/>
        <w:ind w:right="-168" w:rightChars="-80" w:firstLine="482" w:firstLineChars="200"/>
        <w:rPr>
          <w:rFonts w:ascii="仿宋_GB2312" w:eastAsia="仿宋_GB2312"/>
          <w:b/>
          <w:bCs/>
          <w:sz w:val="24"/>
        </w:rPr>
      </w:pPr>
      <w:r>
        <w:rPr>
          <w:rFonts w:hint="eastAsia" w:ascii="仿宋_GB2312" w:eastAsia="仿宋_GB2312"/>
          <w:b/>
          <w:bCs/>
          <w:sz w:val="24"/>
        </w:rPr>
        <w:t>一、评标原则</w:t>
      </w:r>
    </w:p>
    <w:p w14:paraId="42F6B001">
      <w:pPr>
        <w:spacing w:line="390" w:lineRule="exact"/>
        <w:ind w:right="-168" w:rightChars="-80"/>
        <w:rPr>
          <w:rFonts w:ascii="仿宋_GB2312" w:eastAsia="仿宋_GB2312"/>
          <w:sz w:val="24"/>
        </w:rPr>
      </w:pPr>
      <w:r>
        <w:rPr>
          <w:rFonts w:hint="eastAsia" w:ascii="仿宋_GB2312" w:eastAsia="仿宋_GB2312"/>
          <w:sz w:val="24"/>
        </w:rPr>
        <w:t xml:space="preserve">    （一）评委构成：本招标采购项目的评委分别由依法组成的评审专家、采购人代表共五人或以上单数构成，其中专家人数不少于评标委员会成员总数的三分之二。</w:t>
      </w:r>
    </w:p>
    <w:p w14:paraId="0CCAF17B">
      <w:pPr>
        <w:spacing w:line="390" w:lineRule="exact"/>
        <w:ind w:right="-168" w:rightChars="-80" w:firstLine="435"/>
        <w:rPr>
          <w:rFonts w:ascii="仿宋_GB2312" w:eastAsia="仿宋_GB2312"/>
          <w:b/>
          <w:sz w:val="24"/>
        </w:rPr>
      </w:pPr>
      <w:r>
        <w:rPr>
          <w:rFonts w:hint="eastAsia" w:ascii="仿宋_GB2312" w:eastAsia="仿宋_GB2312"/>
          <w:b/>
          <w:sz w:val="24"/>
        </w:rPr>
        <w:t>（二）评标依据：评委将以招投标文件为评标依据</w:t>
      </w:r>
      <w:bookmarkStart w:id="78" w:name="_Hlk93676870"/>
      <w:r>
        <w:rPr>
          <w:rFonts w:hint="eastAsia" w:ascii="仿宋_GB2312" w:eastAsia="仿宋_GB2312"/>
          <w:b/>
          <w:sz w:val="24"/>
        </w:rPr>
        <w:t>，对投标人的价格、技术、信誉、业绩等</w:t>
      </w:r>
      <w:bookmarkEnd w:id="78"/>
      <w:r>
        <w:rPr>
          <w:rFonts w:hint="eastAsia" w:ascii="仿宋_GB2312" w:eastAsia="仿宋_GB2312"/>
          <w:b/>
          <w:sz w:val="24"/>
        </w:rPr>
        <w:t>方面按百分制打分。</w:t>
      </w:r>
    </w:p>
    <w:p w14:paraId="609EAA5D">
      <w:pPr>
        <w:spacing w:line="390" w:lineRule="exact"/>
        <w:ind w:right="-168" w:rightChars="-80" w:firstLine="435"/>
        <w:rPr>
          <w:rFonts w:ascii="仿宋_GB2312" w:eastAsia="仿宋_GB2312"/>
          <w:sz w:val="24"/>
        </w:rPr>
      </w:pPr>
      <w:r>
        <w:rPr>
          <w:rFonts w:hint="eastAsia" w:ascii="仿宋_GB2312" w:eastAsia="仿宋_GB2312"/>
          <w:sz w:val="24"/>
        </w:rPr>
        <w:t>（三）评标方式：以封闭方式进行。</w:t>
      </w:r>
    </w:p>
    <w:p w14:paraId="5ED144FB">
      <w:pPr>
        <w:spacing w:line="390" w:lineRule="exact"/>
        <w:ind w:right="-168" w:rightChars="-80" w:firstLine="435"/>
        <w:rPr>
          <w:rFonts w:ascii="仿宋_GB2312" w:eastAsia="仿宋_GB2312"/>
          <w:sz w:val="24"/>
        </w:rPr>
      </w:pPr>
      <w:r>
        <w:rPr>
          <w:rFonts w:hint="eastAsia" w:ascii="仿宋_GB2312" w:eastAsia="仿宋_GB2312"/>
          <w:sz w:val="24"/>
        </w:rPr>
        <w:t>（四）在政府采购评审中出现下列情形之一的，评标委员会应当启动异常低价投标审查程序：</w:t>
      </w:r>
    </w:p>
    <w:p w14:paraId="1D504194">
      <w:pPr>
        <w:spacing w:line="390" w:lineRule="exact"/>
        <w:ind w:right="-168" w:rightChars="-80" w:firstLine="435"/>
        <w:rPr>
          <w:rFonts w:ascii="仿宋_GB2312" w:eastAsia="仿宋_GB2312"/>
          <w:sz w:val="24"/>
        </w:rPr>
      </w:pPr>
      <w:r>
        <w:rPr>
          <w:rFonts w:hint="eastAsia" w:ascii="仿宋_GB2312" w:eastAsia="仿宋_GB2312"/>
          <w:sz w:val="24"/>
        </w:rPr>
        <w:t>1.投标报价低于全部通过符合性审查投标人投标报价平均值50%的，即投标报价&lt;全部通过符合性审查投标人投标报价平均值×50%；</w:t>
      </w:r>
    </w:p>
    <w:p w14:paraId="2AF08FED">
      <w:pPr>
        <w:spacing w:line="390" w:lineRule="exact"/>
        <w:ind w:right="-168" w:rightChars="-80" w:firstLine="435"/>
        <w:rPr>
          <w:rFonts w:ascii="仿宋_GB2312" w:eastAsia="仿宋_GB2312"/>
          <w:sz w:val="24"/>
        </w:rPr>
      </w:pPr>
      <w:r>
        <w:rPr>
          <w:rFonts w:hint="eastAsia" w:ascii="仿宋_GB2312" w:eastAsia="仿宋_GB2312"/>
          <w:sz w:val="24"/>
        </w:rPr>
        <w:t>2.投标报价低于通过符合性审查的次低报价投标人投标报价50%的，即投标报价&lt;通过符合性审查的次低报价投标人投标报价×50%；</w:t>
      </w:r>
    </w:p>
    <w:p w14:paraId="69CE43AC">
      <w:pPr>
        <w:spacing w:line="390" w:lineRule="exact"/>
        <w:ind w:right="-168" w:rightChars="-80" w:firstLine="435"/>
        <w:rPr>
          <w:rFonts w:ascii="仿宋_GB2312" w:eastAsia="仿宋_GB2312"/>
          <w:sz w:val="24"/>
        </w:rPr>
      </w:pPr>
      <w:r>
        <w:rPr>
          <w:rFonts w:hint="eastAsia" w:ascii="仿宋_GB2312" w:eastAsia="仿宋_GB2312"/>
          <w:sz w:val="24"/>
        </w:rPr>
        <w:t>3.投标报价低于采购项目最高限价45%的，即投标报价&lt;采购项目最高限价×45%；</w:t>
      </w:r>
    </w:p>
    <w:p w14:paraId="29070FC0">
      <w:pPr>
        <w:spacing w:line="390" w:lineRule="exact"/>
        <w:ind w:right="-168" w:rightChars="-80" w:firstLine="435"/>
        <w:rPr>
          <w:rFonts w:ascii="仿宋_GB2312" w:eastAsia="仿宋_GB2312"/>
          <w:sz w:val="24"/>
        </w:rPr>
      </w:pPr>
      <w:r>
        <w:rPr>
          <w:rFonts w:hint="eastAsia" w:ascii="仿宋_GB2312" w:eastAsia="仿宋_GB2312"/>
          <w:sz w:val="24"/>
        </w:rPr>
        <w:t>4.评标委员会基于专业判断，认为投标人报价过低，有可能影响产品质量或者不能诚信履约的其他情形。</w:t>
      </w:r>
    </w:p>
    <w:p w14:paraId="0EF412AB">
      <w:pPr>
        <w:spacing w:line="390" w:lineRule="exact"/>
        <w:ind w:right="-168" w:rightChars="-80" w:firstLine="435"/>
        <w:rPr>
          <w:rFonts w:ascii="仿宋_GB2312" w:eastAsia="仿宋_GB2312"/>
          <w:sz w:val="24"/>
        </w:rPr>
      </w:pPr>
      <w:r>
        <w:rPr>
          <w:rFonts w:hint="eastAsia" w:ascii="仿宋_GB2312" w:eastAsia="仿宋_GB2312"/>
          <w:sz w:val="24"/>
        </w:rPr>
        <w:t>评标委员会启动异常低价投标审查后，属于前述第1项至第4项情形的，应当要求相关投标人在评审现场合理的时间内对投标价格作出解释，提供项目具体成本测算等与报价合理性相关的书面说明及必要的证明材料，包括但不限于原材料成本、人工成本、制造费用等，给予相关投标人的合理时间一般不少于30分钟。其中，属于第3项情形，投标人已随投标文件一并提交相关书面说明及必要的证明材料的，在评审现场可不再重复提交。</w:t>
      </w:r>
    </w:p>
    <w:p w14:paraId="41FA91D8">
      <w:pPr>
        <w:spacing w:line="390" w:lineRule="exact"/>
        <w:ind w:right="-168" w:rightChars="-80" w:firstLine="435"/>
        <w:rPr>
          <w:rFonts w:ascii="仿宋_GB2312" w:eastAsia="仿宋_GB2312"/>
          <w:sz w:val="24"/>
        </w:rPr>
      </w:pPr>
      <w:r>
        <w:rPr>
          <w:rFonts w:hint="eastAsia" w:ascii="仿宋_GB2312" w:eastAsia="仿宋_GB2312"/>
          <w:sz w:val="24"/>
        </w:rPr>
        <w:t xml:space="preserve">投标人不能提供书面说明、证明材料，或者提供的书面说明、证明材料不能证明其报价合理性的，评标委员会应当将其作为无效投标处理。 </w:t>
      </w:r>
    </w:p>
    <w:p w14:paraId="44B9E010">
      <w:pPr>
        <w:spacing w:line="390" w:lineRule="exact"/>
        <w:ind w:right="-168" w:rightChars="-80" w:firstLine="435"/>
        <w:rPr>
          <w:rFonts w:ascii="仿宋_GB2312" w:eastAsia="仿宋_GB2312"/>
          <w:b/>
          <w:bCs/>
          <w:sz w:val="24"/>
        </w:rPr>
      </w:pPr>
      <w:r>
        <w:rPr>
          <w:rFonts w:hint="eastAsia" w:ascii="仿宋_GB2312" w:eastAsia="仿宋_GB2312"/>
          <w:b/>
          <w:bCs/>
          <w:sz w:val="24"/>
        </w:rPr>
        <w:t>二、评标方法</w:t>
      </w:r>
      <w:r>
        <w:rPr>
          <w:rFonts w:ascii="仿宋_GB2312" w:eastAsia="仿宋_GB2312"/>
          <w:b/>
          <w:bCs/>
          <w:sz w:val="24"/>
        </w:rPr>
        <w:tab/>
      </w:r>
    </w:p>
    <w:p w14:paraId="29D5A26D">
      <w:pPr>
        <w:spacing w:line="390" w:lineRule="exact"/>
        <w:ind w:right="-168" w:rightChars="-80" w:firstLine="435"/>
        <w:rPr>
          <w:rFonts w:ascii="仿宋_GB2312" w:eastAsia="仿宋_GB2312"/>
          <w:sz w:val="24"/>
        </w:rPr>
      </w:pPr>
      <w:r>
        <w:rPr>
          <w:rFonts w:hint="eastAsia" w:ascii="仿宋_GB2312" w:eastAsia="仿宋_GB2312"/>
          <w:sz w:val="24"/>
        </w:rPr>
        <w:t>（一）对进入详评的，采用百分制综合评分法。</w:t>
      </w:r>
    </w:p>
    <w:p w14:paraId="41186EF9">
      <w:pPr>
        <w:spacing w:line="400" w:lineRule="atLeast"/>
        <w:ind w:firstLine="480" w:firstLineChars="200"/>
        <w:jc w:val="left"/>
        <w:rPr>
          <w:rFonts w:hint="eastAsia" w:ascii="仿宋_GB2312" w:hAnsi="宋体" w:eastAsia="仿宋_GB2312"/>
          <w:color w:val="000000"/>
          <w:sz w:val="24"/>
        </w:rPr>
      </w:pPr>
      <w:r>
        <w:rPr>
          <w:rFonts w:hint="eastAsia" w:ascii="仿宋_GB2312" w:eastAsia="仿宋_GB2312"/>
          <w:sz w:val="24"/>
        </w:rPr>
        <w:t>（二）计分办法（分值计算保留小数点后两位，第三位四舍五入）</w:t>
      </w:r>
      <w:r>
        <w:rPr>
          <w:rFonts w:hint="eastAsia" w:ascii="仿宋_GB2312" w:hAnsi="宋体" w:eastAsia="仿宋_GB2312"/>
          <w:color w:val="000000"/>
          <w:sz w:val="24"/>
        </w:rPr>
        <w:t>：</w:t>
      </w:r>
    </w:p>
    <w:tbl>
      <w:tblPr>
        <w:tblStyle w:val="297"/>
        <w:tblpPr w:leftFromText="180" w:rightFromText="180" w:vertAnchor="text" w:horzAnchor="page" w:tblpX="1268" w:tblpY="378"/>
        <w:tblOverlap w:val="never"/>
        <w:tblW w:w="97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984"/>
        <w:gridCol w:w="6156"/>
        <w:gridCol w:w="696"/>
        <w:gridCol w:w="991"/>
      </w:tblGrid>
      <w:tr w14:paraId="2343E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9703" w:type="dxa"/>
            <w:gridSpan w:val="5"/>
            <w:shd w:val="clear" w:color="auto" w:fill="D7D7D7"/>
            <w:vAlign w:val="center"/>
          </w:tcPr>
          <w:p w14:paraId="0148210B">
            <w:pPr>
              <w:tabs>
                <w:tab w:val="left" w:pos="239"/>
                <w:tab w:val="center" w:pos="4804"/>
              </w:tabs>
              <w:jc w:val="left"/>
              <w:rPr>
                <w:rFonts w:hint="eastAsia" w:ascii="仿宋_GB2312" w:hAnsi="仿宋_GB2312" w:eastAsia="仿宋_GB2312" w:cs="仿宋_GB2312"/>
                <w:b/>
                <w:szCs w:val="21"/>
              </w:rPr>
            </w:pPr>
            <w:r>
              <w:rPr>
                <w:rFonts w:hint="eastAsia" w:ascii="仿宋_GB2312" w:hAnsi="仿宋_GB2312" w:eastAsia="仿宋_GB2312" w:cs="仿宋_GB2312"/>
                <w:b/>
                <w:szCs w:val="21"/>
              </w:rPr>
              <w:tab/>
            </w:r>
            <w:r>
              <w:rPr>
                <w:rFonts w:hint="eastAsia" w:ascii="仿宋_GB2312" w:hAnsi="仿宋_GB2312" w:eastAsia="仿宋_GB2312" w:cs="仿宋_GB2312"/>
                <w:b/>
                <w:szCs w:val="21"/>
              </w:rPr>
              <w:tab/>
            </w:r>
            <w:r>
              <w:rPr>
                <w:rFonts w:hint="eastAsia" w:ascii="仿宋_GB2312" w:hAnsi="仿宋_GB2312" w:eastAsia="仿宋_GB2312" w:cs="仿宋_GB2312"/>
                <w:b/>
                <w:sz w:val="28"/>
                <w:szCs w:val="28"/>
              </w:rPr>
              <w:t>客观分</w:t>
            </w:r>
          </w:p>
        </w:tc>
      </w:tr>
      <w:tr w14:paraId="747E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Align w:val="center"/>
          </w:tcPr>
          <w:p w14:paraId="7EC3DEED">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评分项</w:t>
            </w:r>
          </w:p>
        </w:tc>
        <w:tc>
          <w:tcPr>
            <w:tcW w:w="984" w:type="dxa"/>
            <w:vAlign w:val="center"/>
          </w:tcPr>
          <w:p w14:paraId="233B7C27">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评审因素</w:t>
            </w:r>
          </w:p>
        </w:tc>
        <w:tc>
          <w:tcPr>
            <w:tcW w:w="6156" w:type="dxa"/>
            <w:vAlign w:val="center"/>
          </w:tcPr>
          <w:p w14:paraId="49A9D6CA">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评分标准说明</w:t>
            </w:r>
          </w:p>
        </w:tc>
        <w:tc>
          <w:tcPr>
            <w:tcW w:w="696" w:type="dxa"/>
            <w:vAlign w:val="center"/>
          </w:tcPr>
          <w:p w14:paraId="5A8C0F13">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分值</w:t>
            </w:r>
          </w:p>
        </w:tc>
        <w:tc>
          <w:tcPr>
            <w:tcW w:w="991" w:type="dxa"/>
            <w:vAlign w:val="center"/>
          </w:tcPr>
          <w:p w14:paraId="3733D09F">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对应的投标文件格式</w:t>
            </w:r>
          </w:p>
        </w:tc>
      </w:tr>
      <w:tr w14:paraId="05424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6" w:hRule="atLeast"/>
        </w:trPr>
        <w:tc>
          <w:tcPr>
            <w:tcW w:w="876" w:type="dxa"/>
            <w:vAlign w:val="center"/>
          </w:tcPr>
          <w:p w14:paraId="687AC72F">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价格分</w:t>
            </w:r>
          </w:p>
        </w:tc>
        <w:tc>
          <w:tcPr>
            <w:tcW w:w="984" w:type="dxa"/>
            <w:vAlign w:val="center"/>
          </w:tcPr>
          <w:p w14:paraId="585FC066">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价格</w:t>
            </w:r>
          </w:p>
        </w:tc>
        <w:tc>
          <w:tcPr>
            <w:tcW w:w="6156" w:type="dxa"/>
            <w:vAlign w:val="center"/>
          </w:tcPr>
          <w:p w14:paraId="69B2704E">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1.满足招标文件要求且投标价格最低的投标报价为评标基准价，其投标人的报价分为最高分30分；</w:t>
            </w:r>
          </w:p>
          <w:p w14:paraId="5F533C7B">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2.其他投标人的报价得分按以下公式计算：</w:t>
            </w:r>
          </w:p>
          <w:p w14:paraId="34EC7D14">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报价得分=（评标基准价／某投标人投标报价）×30分；</w:t>
            </w:r>
          </w:p>
          <w:p w14:paraId="08EF6F15">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3.小型、微型企业价格折扣率：</w:t>
            </w:r>
          </w:p>
          <w:p w14:paraId="6D4360C6">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符合《政府采购促进中小企业发展管理办法》（财库〔2020〕46号）规定条件且出具该办法规定的《中小企业声明函》的小型和微型企业参与报价，对其报价给予20%的扣除。监狱企业、残疾人福利性企业视同小微型企业，不重复享受政策。</w:t>
            </w:r>
          </w:p>
          <w:p w14:paraId="7F90247D">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4.本国产品价格折扣：</w:t>
            </w:r>
          </w:p>
          <w:p w14:paraId="3EF0E2CB">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1）政府采购活动中既有本国产品又有非本国产品参与竞争的，依法对本国产品给予价格评审优惠，对本国产品的报价给予20%的价格扣除，用扣除后的价格参与评审。仅有本国产品参与竞争的，不执行本国产品价格扣除政策。</w:t>
            </w:r>
          </w:p>
          <w:p w14:paraId="0A32E5F4">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（2）当采购项目中含有多种产品，投标人为该采购项目提供的符合本国产品标准的产品成本之和应占该投标人提供的全部产品成本之和的比例达到80%以上，方可依法享受本国产品价格扣除。</w:t>
            </w:r>
          </w:p>
          <w:p w14:paraId="2F81A130">
            <w:pPr>
              <w:spacing w:line="440" w:lineRule="exact"/>
              <w:ind w:firstLine="420" w:firstLineChars="200"/>
              <w:jc w:val="lef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3）投标人提供的产品同时满足《国务院办公厅关于在政府采购中实施本国产品标准及相关政策的通知》（国办发〔2025〕34号）和《政府采购促进中小企业发展管理办法》（财库〔2020〕46号）有关规定的，在原报价基础上叠加享受本国产品价格扣除和小微企业产品价格扣除政策。</w:t>
            </w:r>
          </w:p>
          <w:p w14:paraId="3C4677ED">
            <w:pPr>
              <w:spacing w:line="440" w:lineRule="exact"/>
              <w:ind w:firstLine="420" w:firstLineChars="200"/>
              <w:jc w:val="left"/>
            </w:pPr>
            <w:r>
              <w:rPr>
                <w:rFonts w:hint="eastAsia" w:ascii="仿宋_GB2312" w:hAnsi="仿宋_GB2312" w:eastAsia="仿宋_GB2312" w:cs="仿宋_GB2312"/>
                <w:color w:val="000000" w:themeColor="text1"/>
                <w:szCs w:val="21"/>
                <w14:textFill>
                  <w14:solidFill>
                    <w14:schemeClr w14:val="tx1"/>
                  </w14:solidFill>
                </w14:textFill>
              </w:rPr>
              <w:t>5.政策性扣除计算方法：评标价=投标人投标报价×（1-小微企业政策扣除比例-本国产品政策扣除比例），除上述政策性扣除情况外，评标价=投标人投标报价。</w:t>
            </w:r>
          </w:p>
        </w:tc>
        <w:tc>
          <w:tcPr>
            <w:tcW w:w="696" w:type="dxa"/>
            <w:vAlign w:val="center"/>
          </w:tcPr>
          <w:p w14:paraId="6263F794">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30</w:t>
            </w:r>
          </w:p>
        </w:tc>
        <w:tc>
          <w:tcPr>
            <w:tcW w:w="991" w:type="dxa"/>
            <w:vAlign w:val="center"/>
          </w:tcPr>
          <w:p w14:paraId="34DFDFF6">
            <w:pPr>
              <w:jc w:val="center"/>
              <w:rPr>
                <w:rFonts w:hint="eastAsia" w:ascii="仿宋_GB2312" w:hAnsi="仿宋_GB2312" w:eastAsia="仿宋_GB2312" w:cs="仿宋_GB2312"/>
                <w:b/>
                <w:bCs/>
                <w:color w:val="000000" w:themeColor="text1"/>
                <w:szCs w:val="21"/>
                <w14:textFill>
                  <w14:solidFill>
                    <w14:schemeClr w14:val="tx1"/>
                  </w14:solidFill>
                </w14:textFill>
              </w:rPr>
            </w:pPr>
          </w:p>
        </w:tc>
      </w:tr>
      <w:tr w14:paraId="7B9D3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45EB1238">
            <w:pPr>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信誉分</w:t>
            </w:r>
          </w:p>
        </w:tc>
        <w:tc>
          <w:tcPr>
            <w:tcW w:w="984" w:type="dxa"/>
            <w:vAlign w:val="center"/>
          </w:tcPr>
          <w:p w14:paraId="08E0D84C">
            <w:pPr>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体系认证</w:t>
            </w:r>
          </w:p>
        </w:tc>
        <w:tc>
          <w:tcPr>
            <w:tcW w:w="6156" w:type="dxa"/>
            <w:vAlign w:val="center"/>
          </w:tcPr>
          <w:p w14:paraId="5A2782CB">
            <w:pPr>
              <w:spacing w:line="400" w:lineRule="exact"/>
              <w:ind w:firstLine="420" w:firstLineChars="200"/>
              <w:rPr>
                <w:rFonts w:hint="eastAsia" w:ascii="仿宋_GB2312" w:hAnsi="仿宋_GB2312" w:eastAsia="仿宋_GB2312" w:cs="仿宋_GB2312"/>
                <w:color w:val="000000" w:themeColor="text1"/>
                <w:lang w:bidi="ar"/>
                <w14:textFill>
                  <w14:solidFill>
                    <w14:schemeClr w14:val="tx1"/>
                  </w14:solidFill>
                </w14:textFill>
              </w:rPr>
            </w:pPr>
            <w:r>
              <w:rPr>
                <w:rFonts w:hint="eastAsia" w:ascii="仿宋_GB2312" w:hAnsi="仿宋_GB2312" w:eastAsia="仿宋_GB2312" w:cs="仿宋_GB2312"/>
                <w:color w:val="000000" w:themeColor="text1"/>
                <w:lang w:bidi="ar"/>
                <w14:textFill>
                  <w14:solidFill>
                    <w14:schemeClr w14:val="tx1"/>
                  </w14:solidFill>
                </w14:textFill>
              </w:rPr>
              <w:t>1.投标人或投标核心产品生产厂商具备有效的质量管理体系认证证书得 1 分，满分 1 分。</w:t>
            </w:r>
          </w:p>
          <w:p w14:paraId="2DD89624">
            <w:pPr>
              <w:spacing w:line="400" w:lineRule="exact"/>
              <w:ind w:firstLine="420" w:firstLineChars="200"/>
              <w:rPr>
                <w:rFonts w:hint="eastAsia" w:ascii="仿宋_GB2312" w:hAnsi="仿宋_GB2312" w:eastAsia="仿宋_GB2312" w:cs="仿宋_GB2312"/>
                <w:color w:val="000000" w:themeColor="text1"/>
                <w:lang w:bidi="ar"/>
                <w14:textFill>
                  <w14:solidFill>
                    <w14:schemeClr w14:val="tx1"/>
                  </w14:solidFill>
                </w14:textFill>
              </w:rPr>
            </w:pPr>
            <w:r>
              <w:rPr>
                <w:rFonts w:hint="eastAsia" w:ascii="仿宋_GB2312" w:hAnsi="仿宋_GB2312" w:eastAsia="仿宋_GB2312" w:cs="仿宋_GB2312"/>
                <w:color w:val="000000" w:themeColor="text1"/>
                <w:lang w:bidi="ar"/>
                <w14:textFill>
                  <w14:solidFill>
                    <w14:schemeClr w14:val="tx1"/>
                  </w14:solidFill>
                </w14:textFill>
              </w:rPr>
              <w:t>2.投标人或投标核心产品生产厂商具备有效的职业健康安全管理体系认证证书得 1 分，满分 1 分；</w:t>
            </w:r>
          </w:p>
          <w:p w14:paraId="69151E93">
            <w:pPr>
              <w:spacing w:line="400" w:lineRule="exact"/>
              <w:ind w:firstLine="420" w:firstLineChars="200"/>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lang w:bidi="ar"/>
                <w14:textFill>
                  <w14:solidFill>
                    <w14:schemeClr w14:val="tx1"/>
                  </w14:solidFill>
                </w14:textFill>
              </w:rPr>
              <w:t>3.投标人或投标核心产品生产厂商具备有效的环境管理体系认证证书得 1 分，满分 1 分</w:t>
            </w:r>
            <w:r>
              <w:rPr>
                <w:rFonts w:hint="eastAsia" w:ascii="仿宋_GB2312" w:hAnsi="仿宋_GB2312" w:eastAsia="仿宋_GB2312" w:cs="仿宋_GB2312"/>
                <w:color w:val="000000" w:themeColor="text1"/>
                <w:szCs w:val="21"/>
                <w14:textFill>
                  <w14:solidFill>
                    <w14:schemeClr w14:val="tx1"/>
                  </w14:solidFill>
                </w14:textFill>
              </w:rPr>
              <w:t>。</w:t>
            </w:r>
          </w:p>
          <w:p w14:paraId="63BE57F4">
            <w:pPr>
              <w:spacing w:line="400" w:lineRule="exact"/>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 xml:space="preserve">    </w:t>
            </w:r>
            <w:r>
              <w:rPr>
                <w:rFonts w:hint="eastAsia" w:ascii="仿宋_GB2312" w:hAnsi="仿宋_GB2312" w:eastAsia="仿宋_GB2312" w:cs="仿宋_GB2312"/>
                <w:b/>
                <w:color w:val="000000" w:themeColor="text1"/>
                <w:szCs w:val="21"/>
                <w14:textFill>
                  <w14:solidFill>
                    <w14:schemeClr w14:val="tx1"/>
                  </w14:solidFill>
                </w14:textFill>
              </w:rPr>
              <w:t>注：投标人提供证书材料须加盖投标人CA电子签章，否则不予计分。</w:t>
            </w:r>
          </w:p>
        </w:tc>
        <w:tc>
          <w:tcPr>
            <w:tcW w:w="696" w:type="dxa"/>
            <w:vAlign w:val="center"/>
          </w:tcPr>
          <w:p w14:paraId="069150DE">
            <w:pPr>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3</w:t>
            </w:r>
          </w:p>
        </w:tc>
        <w:tc>
          <w:tcPr>
            <w:tcW w:w="991" w:type="dxa"/>
            <w:vAlign w:val="center"/>
          </w:tcPr>
          <w:p w14:paraId="03F06AB5">
            <w:pPr>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相关认证证书材料</w:t>
            </w:r>
          </w:p>
        </w:tc>
      </w:tr>
      <w:tr w14:paraId="1D378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vAlign w:val="center"/>
          </w:tcPr>
          <w:p w14:paraId="55BE21FE">
            <w:pPr>
              <w:spacing w:line="36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技术参数分</w:t>
            </w:r>
          </w:p>
        </w:tc>
        <w:tc>
          <w:tcPr>
            <w:tcW w:w="984" w:type="dxa"/>
            <w:vAlign w:val="center"/>
          </w:tcPr>
          <w:p w14:paraId="5230FA5F">
            <w:pPr>
              <w:spacing w:line="36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重要技术参数</w:t>
            </w:r>
          </w:p>
        </w:tc>
        <w:tc>
          <w:tcPr>
            <w:tcW w:w="6156" w:type="dxa"/>
            <w:vAlign w:val="center"/>
          </w:tcPr>
          <w:p w14:paraId="066C9F35">
            <w:pPr>
              <w:spacing w:line="440" w:lineRule="exact"/>
              <w:ind w:firstLine="420" w:firstLineChars="200"/>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所投产品标记“◆”带</w:t>
            </w:r>
            <w:r>
              <w:rPr>
                <w:rFonts w:hint="eastAsia" w:ascii="仿宋_GB2312" w:hAnsi="仿宋_GB2312" w:eastAsia="仿宋_GB2312" w:cs="仿宋_GB2312"/>
                <w:color w:val="000000" w:themeColor="text1"/>
                <w:lang w:val="en-US" w:eastAsia="zh-CN"/>
                <w14:textFill>
                  <w14:solidFill>
                    <w14:schemeClr w14:val="tx1"/>
                  </w14:solidFill>
                </w14:textFill>
              </w:rPr>
              <w:t>波浪</w:t>
            </w:r>
            <w:r>
              <w:rPr>
                <w:rFonts w:hint="eastAsia" w:ascii="仿宋_GB2312" w:hAnsi="仿宋_GB2312" w:eastAsia="仿宋_GB2312" w:cs="仿宋_GB2312"/>
                <w:color w:val="000000" w:themeColor="text1"/>
                <w14:textFill>
                  <w14:solidFill>
                    <w14:schemeClr w14:val="tx1"/>
                  </w14:solidFill>
                </w14:textFill>
              </w:rPr>
              <w:t>线“</w:t>
            </w:r>
            <w:r>
              <w:rPr>
                <w:rFonts w:hint="eastAsia" w:ascii="仿宋_GB2312" w:hAnsi="仿宋_GB2312" w:eastAsia="仿宋_GB2312" w:cs="仿宋_GB2312"/>
                <w:color w:val="000000" w:themeColor="text1"/>
                <w:u w:val="wave"/>
                <w14:textFill>
                  <w14:solidFill>
                    <w14:schemeClr w14:val="tx1"/>
                  </w14:solidFill>
                </w14:textFill>
              </w:rPr>
              <w:t xml:space="preserve">     </w:t>
            </w:r>
            <w:r>
              <w:rPr>
                <w:rFonts w:hint="eastAsia" w:ascii="仿宋_GB2312" w:hAnsi="仿宋_GB2312" w:eastAsia="仿宋_GB2312" w:cs="仿宋_GB2312"/>
                <w:color w:val="000000" w:themeColor="text1"/>
                <w14:textFill>
                  <w14:solidFill>
                    <w14:schemeClr w14:val="tx1"/>
                  </w14:solidFill>
                </w14:textFill>
              </w:rPr>
              <w:t>”的的技术参数内容优于采购需求的，每有一项得</w:t>
            </w:r>
            <w:r>
              <w:rPr>
                <w:rFonts w:hint="eastAsia" w:ascii="仿宋_GB2312" w:hAnsi="仿宋_GB2312" w:eastAsia="仿宋_GB2312" w:cs="仿宋_GB2312"/>
                <w:color w:val="000000" w:themeColor="text1"/>
                <w:highlight w:val="yellow"/>
                <w:lang w:val="en-US" w:eastAsia="zh-CN"/>
                <w14:textFill>
                  <w14:solidFill>
                    <w14:schemeClr w14:val="tx1"/>
                  </w14:solidFill>
                </w14:textFill>
              </w:rPr>
              <w:t>2</w:t>
            </w:r>
            <w:r>
              <w:rPr>
                <w:rFonts w:hint="eastAsia" w:ascii="仿宋_GB2312" w:hAnsi="仿宋_GB2312" w:eastAsia="仿宋_GB2312" w:cs="仿宋_GB2312"/>
                <w:color w:val="000000" w:themeColor="text1"/>
                <w:highlight w:val="yellow"/>
                <w14:textFill>
                  <w14:solidFill>
                    <w14:schemeClr w14:val="tx1"/>
                  </w14:solidFill>
                </w14:textFill>
              </w:rPr>
              <w:t>分</w:t>
            </w:r>
            <w:r>
              <w:rPr>
                <w:rFonts w:hint="eastAsia" w:ascii="仿宋_GB2312" w:hAnsi="仿宋_GB2312" w:eastAsia="仿宋_GB2312" w:cs="仿宋_GB2312"/>
                <w:color w:val="000000" w:themeColor="text1"/>
                <w14:textFill>
                  <w14:solidFill>
                    <w14:schemeClr w14:val="tx1"/>
                  </w14:solidFill>
                </w14:textFill>
              </w:rPr>
              <w:t>，满分</w:t>
            </w:r>
            <w:r>
              <w:rPr>
                <w:rFonts w:hint="eastAsia" w:ascii="仿宋_GB2312" w:hAnsi="仿宋_GB2312" w:eastAsia="仿宋_GB2312" w:cs="仿宋_GB2312"/>
                <w:color w:val="000000" w:themeColor="text1"/>
                <w:highlight w:val="yellow"/>
                <w:lang w:val="en-US" w:eastAsia="zh-CN"/>
                <w14:textFill>
                  <w14:solidFill>
                    <w14:schemeClr w14:val="tx1"/>
                  </w14:solidFill>
                </w14:textFill>
              </w:rPr>
              <w:t>18</w:t>
            </w:r>
            <w:r>
              <w:rPr>
                <w:rFonts w:hint="eastAsia" w:ascii="仿宋_GB2312" w:hAnsi="仿宋_GB2312" w:eastAsia="仿宋_GB2312" w:cs="仿宋_GB2312"/>
                <w:color w:val="000000" w:themeColor="text1"/>
                <w:highlight w:val="yellow"/>
                <w14:textFill>
                  <w14:solidFill>
                    <w14:schemeClr w14:val="tx1"/>
                  </w14:solidFill>
                </w14:textFill>
              </w:rPr>
              <w:t>分</w:t>
            </w:r>
            <w:r>
              <w:rPr>
                <w:rFonts w:hint="eastAsia" w:ascii="仿宋_GB2312" w:hAnsi="仿宋_GB2312" w:eastAsia="仿宋_GB2312" w:cs="仿宋_GB2312"/>
              </w:rPr>
              <w:t>（如一项</w:t>
            </w:r>
            <w:r>
              <w:rPr>
                <w:rFonts w:hint="eastAsia" w:ascii="仿宋_GB2312" w:hAnsi="仿宋_GB2312" w:eastAsia="仿宋_GB2312" w:cs="仿宋_GB2312"/>
                <w:lang w:val="en-US" w:eastAsia="zh-CN"/>
              </w:rPr>
              <w:t>中</w:t>
            </w:r>
            <w:r>
              <w:rPr>
                <w:rFonts w:hint="eastAsia" w:ascii="仿宋_GB2312" w:hAnsi="仿宋_GB2312" w:eastAsia="仿宋_GB2312" w:cs="仿宋_GB2312"/>
              </w:rPr>
              <w:t>带</w:t>
            </w:r>
            <w:r>
              <w:rPr>
                <w:rFonts w:hint="eastAsia" w:ascii="仿宋_GB2312" w:hAnsi="仿宋_GB2312" w:eastAsia="仿宋_GB2312" w:cs="仿宋_GB2312"/>
                <w:color w:val="000000" w:themeColor="text1"/>
                <w:lang w:val="en-US" w:eastAsia="zh-CN"/>
                <w14:textFill>
                  <w14:solidFill>
                    <w14:schemeClr w14:val="tx1"/>
                  </w14:solidFill>
                </w14:textFill>
              </w:rPr>
              <w:t>波</w:t>
            </w:r>
            <w:r>
              <w:rPr>
                <w:rFonts w:hint="eastAsia" w:ascii="仿宋_GB2312" w:hAnsi="仿宋_GB2312" w:eastAsia="仿宋_GB2312" w:cs="仿宋_GB2312"/>
              </w:rPr>
              <w:t>线“</w:t>
            </w:r>
            <w:r>
              <w:rPr>
                <w:rFonts w:hint="eastAsia" w:ascii="仿宋_GB2312" w:hAnsi="仿宋_GB2312" w:eastAsia="仿宋_GB2312" w:cs="仿宋_GB2312"/>
                <w:u w:val="wave"/>
              </w:rPr>
              <w:t xml:space="preserve">     </w:t>
            </w:r>
            <w:r>
              <w:rPr>
                <w:rFonts w:hint="eastAsia" w:ascii="仿宋_GB2312" w:hAnsi="仿宋_GB2312" w:eastAsia="仿宋_GB2312" w:cs="仿宋_GB2312"/>
              </w:rPr>
              <w:t>”里有多个数值，优于所有数值即可加分）</w:t>
            </w:r>
            <w:r>
              <w:rPr>
                <w:rFonts w:hint="eastAsia" w:ascii="仿宋_GB2312" w:hAnsi="仿宋_GB2312" w:eastAsia="仿宋_GB2312" w:cs="仿宋_GB2312"/>
                <w:color w:val="000000" w:themeColor="text1"/>
                <w14:textFill>
                  <w14:solidFill>
                    <w14:schemeClr w14:val="tx1"/>
                  </w14:solidFill>
                </w14:textFill>
              </w:rPr>
              <w:t>。</w:t>
            </w:r>
          </w:p>
          <w:p w14:paraId="32382BC3">
            <w:pPr>
              <w:spacing w:line="440" w:lineRule="exact"/>
              <w:ind w:firstLine="42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注：</w:t>
            </w:r>
            <w:r>
              <w:rPr>
                <w:rFonts w:hint="eastAsia" w:ascii="仿宋_GB2312" w:hAnsi="仿宋_GB2312" w:eastAsia="仿宋_GB2312" w:cs="仿宋_GB2312"/>
                <w:b/>
                <w:bCs/>
                <w:color w:val="000000" w:themeColor="text1"/>
                <w:szCs w:val="21"/>
                <w14:textFill>
                  <w14:solidFill>
                    <w14:schemeClr w14:val="tx1"/>
                  </w14:solidFill>
                </w14:textFill>
              </w:rPr>
              <w:t>标记“◆”的技术参数为一项，优于</w:t>
            </w:r>
            <w:r>
              <w:rPr>
                <w:rFonts w:hint="eastAsia" w:ascii="仿宋_GB2312" w:hAnsi="仿宋_GB2312" w:eastAsia="仿宋_GB2312" w:cs="仿宋_GB2312"/>
                <w:b/>
                <w:bCs/>
                <w:color w:val="000000" w:themeColor="text1"/>
                <w14:textFill>
                  <w14:solidFill>
                    <w14:schemeClr w14:val="tx1"/>
                  </w14:solidFill>
                </w14:textFill>
              </w:rPr>
              <w:t>带波浪线“</w:t>
            </w:r>
            <w:r>
              <w:rPr>
                <w:rFonts w:hint="eastAsia" w:ascii="仿宋_GB2312" w:hAnsi="仿宋_GB2312" w:eastAsia="仿宋_GB2312" w:cs="仿宋_GB2312"/>
                <w:color w:val="000000" w:themeColor="text1"/>
                <w:u w:val="wave"/>
                <w14:textFill>
                  <w14:solidFill>
                    <w14:schemeClr w14:val="tx1"/>
                  </w14:solidFill>
                </w14:textFill>
              </w:rPr>
              <w:t xml:space="preserve">     </w:t>
            </w:r>
            <w:r>
              <w:rPr>
                <w:rFonts w:hint="eastAsia" w:ascii="仿宋_GB2312" w:hAnsi="仿宋_GB2312" w:eastAsia="仿宋_GB2312" w:cs="仿宋_GB2312"/>
                <w:b/>
                <w:bCs/>
                <w:color w:val="000000" w:themeColor="text1"/>
                <w14:textFill>
                  <w14:solidFill>
                    <w14:schemeClr w14:val="tx1"/>
                  </w14:solidFill>
                </w14:textFill>
              </w:rPr>
              <w:t>”的所有</w:t>
            </w:r>
            <w:r>
              <w:rPr>
                <w:rFonts w:hint="eastAsia" w:ascii="仿宋_GB2312" w:hAnsi="仿宋_GB2312" w:eastAsia="仿宋_GB2312" w:cs="仿宋_GB2312"/>
                <w:b/>
                <w:bCs/>
                <w:color w:val="000000" w:themeColor="text1"/>
                <w:szCs w:val="21"/>
                <w14:textFill>
                  <w14:solidFill>
                    <w14:schemeClr w14:val="tx1"/>
                  </w14:solidFill>
                </w14:textFill>
              </w:rPr>
              <w:t>数值即可加分。</w:t>
            </w:r>
          </w:p>
          <w:p w14:paraId="6B47ADCC">
            <w:pPr>
              <w:spacing w:line="440" w:lineRule="exact"/>
              <w:ind w:firstLine="42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1.参数条款中有≥XX的技术参数，投标人响应的参数仅等于XX的为无偏离，&gt;XX正偏离（优于）。</w:t>
            </w:r>
          </w:p>
          <w:p w14:paraId="2BF79149">
            <w:pPr>
              <w:spacing w:line="440" w:lineRule="exact"/>
              <w:ind w:firstLine="42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2.参数条款中有≤XX的技术参数，投标人响应的参数仅等于XX的为无偏离，＜XX为正偏离（优于）。</w:t>
            </w:r>
          </w:p>
          <w:p w14:paraId="3527F515">
            <w:pPr>
              <w:spacing w:line="440" w:lineRule="exact"/>
              <w:ind w:firstLine="422" w:firstLineChars="200"/>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highlight w:val="yellow"/>
                <w14:textFill>
                  <w14:solidFill>
                    <w14:schemeClr w14:val="tx1"/>
                  </w14:solidFill>
                </w14:textFill>
              </w:rPr>
              <w:t>3.标记“◆”带“</w:t>
            </w:r>
            <w:r>
              <w:rPr>
                <w:rFonts w:hint="eastAsia" w:ascii="仿宋_GB2312" w:hAnsi="仿宋_GB2312" w:eastAsia="仿宋_GB2312" w:cs="仿宋_GB2312"/>
                <w:color w:val="000000" w:themeColor="text1"/>
                <w:highlight w:val="yellow"/>
                <w:u w:val="wave"/>
                <w14:textFill>
                  <w14:solidFill>
                    <w14:schemeClr w14:val="tx1"/>
                  </w14:solidFill>
                </w14:textFill>
              </w:rPr>
              <w:t xml:space="preserve">     </w:t>
            </w:r>
            <w:r>
              <w:rPr>
                <w:rFonts w:hint="eastAsia" w:ascii="仿宋_GB2312" w:hAnsi="仿宋_GB2312" w:eastAsia="仿宋_GB2312" w:cs="仿宋_GB2312"/>
                <w:b/>
                <w:bCs/>
                <w:color w:val="000000" w:themeColor="text1"/>
                <w:highlight w:val="yellow"/>
                <w14:textFill>
                  <w14:solidFill>
                    <w14:schemeClr w14:val="tx1"/>
                  </w14:solidFill>
                </w14:textFill>
              </w:rPr>
              <w:t>”参数中内容优于采购需求的，投标人提供</w:t>
            </w:r>
            <w:r>
              <w:rPr>
                <w:rFonts w:hint="eastAsia" w:ascii="仿宋_GB2312" w:eastAsia="仿宋_GB2312"/>
                <w:b/>
                <w:bCs/>
                <w:color w:val="000000"/>
                <w:highlight w:val="yellow"/>
                <w:lang w:eastAsia="zh-CN"/>
              </w:rPr>
              <w:t>证明材料，</w:t>
            </w:r>
            <w:r>
              <w:rPr>
                <w:rFonts w:hint="eastAsia" w:ascii="仿宋_GB2312" w:hAnsi="仿宋_GB2312" w:eastAsia="仿宋_GB2312" w:cs="仿宋_GB2312"/>
                <w:b/>
                <w:bCs/>
                <w:color w:val="000000" w:themeColor="text1"/>
                <w:highlight w:val="yellow"/>
                <w14:textFill>
                  <w14:solidFill>
                    <w14:schemeClr w14:val="tx1"/>
                  </w14:solidFill>
                </w14:textFill>
              </w:rPr>
              <w:t>证明材料可以是检测（检验）报告、彩页、官网或功能截图等任意一种）并加盖投标人CA电子签章，所提供的证明材料应体现标记“◆”带“</w:t>
            </w:r>
            <w:r>
              <w:rPr>
                <w:rFonts w:hint="eastAsia" w:ascii="仿宋_GB2312" w:hAnsi="仿宋_GB2312" w:eastAsia="仿宋_GB2312" w:cs="仿宋_GB2312"/>
                <w:color w:val="000000" w:themeColor="text1"/>
                <w:highlight w:val="yellow"/>
                <w:u w:val="wave"/>
                <w14:textFill>
                  <w14:solidFill>
                    <w14:schemeClr w14:val="tx1"/>
                  </w14:solidFill>
                </w14:textFill>
              </w:rPr>
              <w:t xml:space="preserve">     </w:t>
            </w:r>
            <w:r>
              <w:rPr>
                <w:rFonts w:hint="eastAsia" w:ascii="仿宋_GB2312" w:hAnsi="仿宋_GB2312" w:eastAsia="仿宋_GB2312" w:cs="仿宋_GB2312"/>
                <w:b/>
                <w:bCs/>
                <w:color w:val="000000" w:themeColor="text1"/>
                <w:highlight w:val="yellow"/>
                <w14:textFill>
                  <w14:solidFill>
                    <w14:schemeClr w14:val="tx1"/>
                  </w14:solidFill>
                </w14:textFill>
              </w:rPr>
              <w:t>”技术参数中优于部分的内容，如未提供证明材料，或提供的证明材料内容无优于的，对应项不予计分。</w:t>
            </w:r>
          </w:p>
        </w:tc>
        <w:tc>
          <w:tcPr>
            <w:tcW w:w="696" w:type="dxa"/>
            <w:vAlign w:val="center"/>
          </w:tcPr>
          <w:p w14:paraId="11C18A4C">
            <w:pPr>
              <w:spacing w:line="360" w:lineRule="exact"/>
              <w:jc w:val="center"/>
              <w:rPr>
                <w:rFonts w:hint="default" w:ascii="仿宋_GB2312" w:hAnsi="仿宋_GB2312" w:eastAsia="宋体"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18</w:t>
            </w:r>
          </w:p>
        </w:tc>
        <w:tc>
          <w:tcPr>
            <w:tcW w:w="991" w:type="dxa"/>
            <w:vAlign w:val="center"/>
          </w:tcPr>
          <w:p w14:paraId="4472BA49">
            <w:pPr>
              <w:spacing w:line="360" w:lineRule="exact"/>
              <w:jc w:val="center"/>
              <w:rPr>
                <w:rFonts w:hint="default" w:ascii="仿宋_GB2312" w:hAnsi="仿宋_GB2312" w:eastAsia="仿宋_GB2312" w:cs="仿宋_GB2312"/>
                <w:color w:val="000000" w:themeColor="text1"/>
                <w:szCs w:val="21"/>
                <w:lang w:val="en-US" w:eastAsia="zh-CN"/>
                <w14:textFill>
                  <w14:solidFill>
                    <w14:schemeClr w14:val="tx1"/>
                  </w14:solidFill>
                </w14:textFill>
              </w:rPr>
            </w:pPr>
            <w:r>
              <w:rPr>
                <w:rFonts w:hint="eastAsia" w:ascii="仿宋_GB2312" w:hAnsi="仿宋_GB2312" w:eastAsia="仿宋_GB2312" w:cs="仿宋_GB2312"/>
                <w:color w:val="000000" w:themeColor="text1"/>
                <w14:textFill>
                  <w14:solidFill>
                    <w14:schemeClr w14:val="tx1"/>
                  </w14:solidFill>
                </w14:textFill>
              </w:rPr>
              <w:t>技术响应表</w:t>
            </w:r>
            <w:r>
              <w:rPr>
                <w:rFonts w:hint="eastAsia" w:ascii="仿宋_GB2312" w:hAnsi="仿宋_GB2312" w:eastAsia="仿宋_GB2312" w:cs="仿宋_GB2312"/>
                <w:color w:val="000000" w:themeColor="text1"/>
                <w:lang w:val="en-US" w:eastAsia="zh-CN"/>
                <w14:textFill>
                  <w14:solidFill>
                    <w14:schemeClr w14:val="tx1"/>
                  </w14:solidFill>
                </w14:textFill>
              </w:rPr>
              <w:t>及相关证明材料</w:t>
            </w:r>
          </w:p>
        </w:tc>
      </w:tr>
      <w:tr w14:paraId="1CC278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76" w:type="dxa"/>
            <w:vAlign w:val="center"/>
          </w:tcPr>
          <w:p w14:paraId="57A56753">
            <w:pPr>
              <w:spacing w:line="44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政策功能分</w:t>
            </w:r>
          </w:p>
        </w:tc>
        <w:tc>
          <w:tcPr>
            <w:tcW w:w="984" w:type="dxa"/>
            <w:vAlign w:val="center"/>
          </w:tcPr>
          <w:p w14:paraId="00037D9B">
            <w:pPr>
              <w:widowControl/>
              <w:spacing w:line="44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政策功能</w:t>
            </w:r>
          </w:p>
        </w:tc>
        <w:tc>
          <w:tcPr>
            <w:tcW w:w="6156" w:type="dxa"/>
            <w:vAlign w:val="center"/>
          </w:tcPr>
          <w:p w14:paraId="0DB25614">
            <w:pPr>
              <w:spacing w:line="440" w:lineRule="exact"/>
              <w:ind w:firstLine="420" w:firstLineChars="200"/>
              <w:rPr>
                <w:rFonts w:hint="eastAsia" w:ascii="仿宋_GB2312" w:hAnsi="仿宋_GB2312" w:eastAsia="仿宋_GB2312" w:cs="仿宋_GB2312"/>
              </w:rPr>
            </w:pPr>
            <w:r>
              <w:rPr>
                <w:rFonts w:hint="eastAsia" w:ascii="仿宋_GB2312" w:hAnsi="仿宋_GB2312" w:eastAsia="仿宋_GB2312" w:cs="仿宋_GB2312"/>
                <w:color w:val="auto"/>
                <w:highlight w:val="none"/>
                <w:lang w:val="en-US" w:eastAsia="zh-CN"/>
              </w:rPr>
              <w:t>1.若采购货物属于财政部 发展改革委《关于印发节能产品政府采购品目清单的通知》中节能产品政府采购品目清单范围的(适用于非强制采购节能产品)，提供投标产品由国家确定的认证机构出具的、处于有效期之内的节能产品认证证书材料并加盖投标人CA 电子签章，每有一项产品得1分，满分1分；</w:t>
            </w:r>
          </w:p>
          <w:p w14:paraId="39A1C7E3">
            <w:pPr>
              <w:spacing w:line="440" w:lineRule="exact"/>
              <w:ind w:firstLine="420" w:firstLineChars="200"/>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lang w:val="en-US" w:eastAsia="zh-CN"/>
              </w:rPr>
              <w:t>2.</w:t>
            </w:r>
            <w:r>
              <w:rPr>
                <w:rFonts w:hint="eastAsia" w:ascii="仿宋_GB2312" w:hAnsi="仿宋_GB2312" w:eastAsia="仿宋_GB2312" w:cs="仿宋_GB2312"/>
              </w:rPr>
              <w:t>若采购货物属于财政部 生态环境部《关于印发环境标志产品政府采购品目清单的通知》中环境标志产品政府采购品目清单范围的，提供投标产品由国家确定的认证机构出具的、处于有效期之内的环境标志产品认证证书材料并加盖投标人CA电子签章，每有一项产品得</w:t>
            </w:r>
            <w:r>
              <w:rPr>
                <w:rFonts w:hint="eastAsia" w:ascii="仿宋_GB2312" w:hAnsi="仿宋_GB2312" w:eastAsia="仿宋_GB2312" w:cs="仿宋_GB2312"/>
                <w:lang w:val="en-US" w:eastAsia="zh-CN"/>
              </w:rPr>
              <w:t>1</w:t>
            </w:r>
            <w:r>
              <w:rPr>
                <w:rFonts w:hint="eastAsia" w:ascii="仿宋_GB2312" w:hAnsi="仿宋_GB2312" w:eastAsia="仿宋_GB2312" w:cs="仿宋_GB2312"/>
              </w:rPr>
              <w:t>分，满分</w:t>
            </w:r>
            <w:r>
              <w:rPr>
                <w:rFonts w:hint="eastAsia" w:ascii="仿宋_GB2312" w:hAnsi="仿宋_GB2312" w:eastAsia="仿宋_GB2312" w:cs="仿宋_GB2312"/>
                <w:lang w:val="en-US" w:eastAsia="zh-CN"/>
              </w:rPr>
              <w:t>1</w:t>
            </w:r>
            <w:r>
              <w:rPr>
                <w:rFonts w:hint="eastAsia" w:ascii="仿宋_GB2312" w:hAnsi="仿宋_GB2312" w:eastAsia="仿宋_GB2312" w:cs="仿宋_GB2312"/>
              </w:rPr>
              <w:t>分。</w:t>
            </w:r>
          </w:p>
        </w:tc>
        <w:tc>
          <w:tcPr>
            <w:tcW w:w="696" w:type="dxa"/>
            <w:vAlign w:val="center"/>
          </w:tcPr>
          <w:p w14:paraId="51C9164E">
            <w:pPr>
              <w:spacing w:line="44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2</w:t>
            </w:r>
          </w:p>
        </w:tc>
        <w:tc>
          <w:tcPr>
            <w:tcW w:w="991" w:type="dxa"/>
            <w:vAlign w:val="center"/>
          </w:tcPr>
          <w:p w14:paraId="735EBB31">
            <w:pPr>
              <w:spacing w:line="44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相关证明材料</w:t>
            </w:r>
          </w:p>
        </w:tc>
      </w:tr>
      <w:tr w14:paraId="3F9B84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016" w:type="dxa"/>
            <w:gridSpan w:val="3"/>
            <w:vAlign w:val="center"/>
          </w:tcPr>
          <w:p w14:paraId="3CDE0544">
            <w:pPr>
              <w:pStyle w:val="298"/>
              <w:tabs>
                <w:tab w:val="left" w:pos="312"/>
              </w:tabs>
              <w:spacing w:line="440" w:lineRule="exact"/>
              <w:jc w:val="center"/>
              <w:rPr>
                <w:rFonts w:hint="eastAsia" w:ascii="仿宋_GB2312" w:hAnsi="仿宋_GB2312" w:eastAsia="仿宋_GB2312" w:cs="仿宋_GB2312"/>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客观分总分</w:t>
            </w:r>
          </w:p>
        </w:tc>
        <w:tc>
          <w:tcPr>
            <w:tcW w:w="696" w:type="dxa"/>
            <w:vAlign w:val="center"/>
          </w:tcPr>
          <w:p w14:paraId="42F590B9">
            <w:pPr>
              <w:spacing w:line="440" w:lineRule="exact"/>
              <w:jc w:val="center"/>
              <w:rPr>
                <w:rFonts w:hint="default" w:ascii="仿宋_GB2312" w:hAnsi="仿宋_GB2312" w:eastAsia="仿宋_GB2312"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53</w:t>
            </w:r>
          </w:p>
        </w:tc>
        <w:tc>
          <w:tcPr>
            <w:tcW w:w="991" w:type="dxa"/>
            <w:vAlign w:val="center"/>
          </w:tcPr>
          <w:p w14:paraId="3EDA3DA6">
            <w:pPr>
              <w:spacing w:line="440" w:lineRule="exact"/>
              <w:jc w:val="center"/>
              <w:rPr>
                <w:rFonts w:hint="eastAsia" w:ascii="仿宋_GB2312" w:hAnsi="仿宋_GB2312" w:eastAsia="仿宋_GB2312" w:cs="仿宋_GB2312"/>
                <w:color w:val="000000" w:themeColor="text1"/>
                <w:szCs w:val="21"/>
                <w14:textFill>
                  <w14:solidFill>
                    <w14:schemeClr w14:val="tx1"/>
                  </w14:solidFill>
                </w14:textFill>
              </w:rPr>
            </w:pPr>
          </w:p>
        </w:tc>
      </w:tr>
    </w:tbl>
    <w:p w14:paraId="180B5D35"/>
    <w:tbl>
      <w:tblPr>
        <w:tblStyle w:val="300"/>
        <w:tblpPr w:leftFromText="180" w:rightFromText="180" w:vertAnchor="text" w:horzAnchor="page" w:tblpX="836" w:tblpY="1"/>
        <w:tblOverlap w:val="never"/>
        <w:tblW w:w="101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5"/>
        <w:gridCol w:w="1110"/>
        <w:gridCol w:w="5925"/>
        <w:gridCol w:w="960"/>
        <w:gridCol w:w="1260"/>
      </w:tblGrid>
      <w:tr w14:paraId="12047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10140" w:type="dxa"/>
            <w:gridSpan w:val="5"/>
            <w:shd w:val="clear" w:color="auto" w:fill="D7D7D7"/>
            <w:vAlign w:val="center"/>
          </w:tcPr>
          <w:p w14:paraId="6D81F0E8">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主观分</w:t>
            </w:r>
          </w:p>
        </w:tc>
      </w:tr>
      <w:tr w14:paraId="12693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85" w:type="dxa"/>
            <w:vAlign w:val="center"/>
          </w:tcPr>
          <w:p w14:paraId="16E01E84">
            <w:pPr>
              <w:spacing w:line="36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评分项</w:t>
            </w:r>
          </w:p>
        </w:tc>
        <w:tc>
          <w:tcPr>
            <w:tcW w:w="1110" w:type="dxa"/>
            <w:vAlign w:val="center"/>
          </w:tcPr>
          <w:p w14:paraId="3247019D">
            <w:pPr>
              <w:spacing w:line="36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评审因素</w:t>
            </w:r>
          </w:p>
        </w:tc>
        <w:tc>
          <w:tcPr>
            <w:tcW w:w="5925" w:type="dxa"/>
            <w:vAlign w:val="center"/>
          </w:tcPr>
          <w:p w14:paraId="2F842D2B">
            <w:pPr>
              <w:spacing w:line="34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评分标准说明</w:t>
            </w:r>
          </w:p>
        </w:tc>
        <w:tc>
          <w:tcPr>
            <w:tcW w:w="960" w:type="dxa"/>
            <w:vAlign w:val="center"/>
          </w:tcPr>
          <w:p w14:paraId="45D20D3B">
            <w:pPr>
              <w:spacing w:line="36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分值</w:t>
            </w:r>
          </w:p>
        </w:tc>
        <w:tc>
          <w:tcPr>
            <w:tcW w:w="1260" w:type="dxa"/>
            <w:vAlign w:val="center"/>
          </w:tcPr>
          <w:p w14:paraId="3C5806BF">
            <w:pPr>
              <w:spacing w:line="360" w:lineRule="exact"/>
              <w:jc w:val="center"/>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color w:val="000000" w:themeColor="text1"/>
                <w:szCs w:val="21"/>
                <w14:textFill>
                  <w14:solidFill>
                    <w14:schemeClr w14:val="tx1"/>
                  </w14:solidFill>
                </w14:textFill>
              </w:rPr>
              <w:t>对应的投标文件格式</w:t>
            </w:r>
          </w:p>
        </w:tc>
      </w:tr>
      <w:tr w14:paraId="63D53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885" w:type="dxa"/>
            <w:vAlign w:val="center"/>
          </w:tcPr>
          <w:p w14:paraId="3EB343A3">
            <w:pPr>
              <w:spacing w:line="360" w:lineRule="exact"/>
              <w:jc w:val="center"/>
              <w:rPr>
                <w:rFonts w:hint="eastAsia" w:ascii="仿宋_GB2312" w:hAnsi="仿宋_GB2312" w:eastAsia="仿宋_GB2312" w:cs="仿宋_GB2312"/>
                <w:b/>
                <w:color w:val="000000" w:themeColor="text1"/>
                <w:szCs w:val="21"/>
                <w:highlight w:val="yellow"/>
                <w14:textFill>
                  <w14:solidFill>
                    <w14:schemeClr w14:val="tx1"/>
                  </w14:solidFill>
                </w14:textFill>
              </w:rPr>
            </w:pPr>
            <w:r>
              <w:rPr>
                <w:rFonts w:hint="eastAsia" w:ascii="仿宋_GB2312" w:hAnsi="仿宋_GB2312" w:eastAsia="仿宋_GB2312" w:cs="仿宋_GB2312"/>
                <w:b/>
                <w:color w:val="000000" w:themeColor="text1"/>
                <w:szCs w:val="21"/>
                <w:highlight w:val="yellow"/>
                <w14:textFill>
                  <w14:solidFill>
                    <w14:schemeClr w14:val="tx1"/>
                  </w14:solidFill>
                </w14:textFill>
              </w:rPr>
              <w:t>软件系统方案分</w:t>
            </w:r>
          </w:p>
        </w:tc>
        <w:tc>
          <w:tcPr>
            <w:tcW w:w="1110" w:type="dxa"/>
            <w:vAlign w:val="center"/>
          </w:tcPr>
          <w:p w14:paraId="2615C513">
            <w:pPr>
              <w:spacing w:line="360" w:lineRule="exact"/>
              <w:jc w:val="center"/>
              <w:rPr>
                <w:rFonts w:hint="eastAsia" w:ascii="仿宋_GB2312" w:hAnsi="仿宋_GB2312" w:eastAsia="仿宋_GB2312" w:cs="仿宋_GB2312"/>
                <w:b/>
                <w:color w:val="000000" w:themeColor="text1"/>
                <w:szCs w:val="21"/>
                <w:highlight w:val="yellow"/>
                <w14:textFill>
                  <w14:solidFill>
                    <w14:schemeClr w14:val="tx1"/>
                  </w14:solidFill>
                </w14:textFill>
              </w:rPr>
            </w:pPr>
            <w:r>
              <w:rPr>
                <w:rFonts w:hint="eastAsia" w:ascii="仿宋_GB2312" w:hAnsi="仿宋_GB2312" w:eastAsia="仿宋_GB2312" w:cs="仿宋_GB2312"/>
                <w:b/>
                <w:color w:val="000000" w:themeColor="text1"/>
                <w:szCs w:val="21"/>
                <w:highlight w:val="yellow"/>
                <w14:textFill>
                  <w14:solidFill>
                    <w14:schemeClr w14:val="tx1"/>
                  </w14:solidFill>
                </w14:textFill>
              </w:rPr>
              <w:t>软件系统实施方案</w:t>
            </w:r>
          </w:p>
        </w:tc>
        <w:tc>
          <w:tcPr>
            <w:tcW w:w="5925" w:type="dxa"/>
            <w:vAlign w:val="center"/>
          </w:tcPr>
          <w:p w14:paraId="59442FDA">
            <w:pPr>
              <w:spacing w:line="340" w:lineRule="exact"/>
              <w:ind w:firstLine="458" w:firstLineChars="200"/>
              <w:jc w:val="both"/>
              <w:rPr>
                <w:rFonts w:hint="eastAsia" w:ascii="仿宋_GB2312" w:hAnsi="仿宋_GB2312" w:eastAsia="仿宋_GB2312" w:cs="仿宋_GB2312"/>
                <w:b w:val="0"/>
                <w:spacing w:val="9"/>
                <w:szCs w:val="21"/>
                <w:highlight w:val="yellow"/>
              </w:rPr>
            </w:pPr>
            <w:r>
              <w:rPr>
                <w:rFonts w:hint="eastAsia" w:ascii="仿宋_GB2312" w:hAnsi="仿宋_GB2312" w:eastAsia="仿宋_GB2312" w:cs="仿宋_GB2312"/>
                <w:b/>
                <w:bCs/>
                <w:spacing w:val="9"/>
                <w:szCs w:val="21"/>
                <w:highlight w:val="yellow"/>
              </w:rPr>
              <w:t>一档（</w:t>
            </w:r>
            <w:r>
              <w:rPr>
                <w:rFonts w:hint="eastAsia" w:ascii="仿宋_GB2312" w:hAnsi="仿宋_GB2312" w:eastAsia="仿宋_GB2312" w:cs="仿宋_GB2312"/>
                <w:b/>
                <w:bCs/>
                <w:spacing w:val="9"/>
                <w:szCs w:val="21"/>
                <w:highlight w:val="yellow"/>
                <w:lang w:val="en-US" w:eastAsia="zh-CN"/>
              </w:rPr>
              <w:t>8</w:t>
            </w:r>
            <w:r>
              <w:rPr>
                <w:rFonts w:hint="eastAsia" w:ascii="仿宋_GB2312" w:hAnsi="仿宋_GB2312" w:eastAsia="仿宋_GB2312" w:cs="仿宋_GB2312"/>
                <w:b/>
                <w:bCs/>
                <w:spacing w:val="9"/>
                <w:szCs w:val="21"/>
                <w:highlight w:val="yellow"/>
              </w:rPr>
              <w:t xml:space="preserve"> 分）：</w:t>
            </w:r>
            <w:r>
              <w:rPr>
                <w:rFonts w:hint="eastAsia" w:ascii="仿宋_GB2312" w:hAnsi="仿宋_GB2312" w:eastAsia="仿宋_GB2312" w:cs="仿宋_GB2312"/>
                <w:b w:val="0"/>
                <w:spacing w:val="9"/>
                <w:szCs w:val="21"/>
                <w:highlight w:val="yellow"/>
              </w:rPr>
              <w:t>完整针对 AI 英语听说教学系统、校园数字化集成底座、教师数字画像分析系统全部业务模块开展方案设计，软件功能完全贴合本项目教学、校园数字化管理采购需求；清晰说明系统各模块之间数据互通逻辑、对外对接接口方案；细化业务落地流程、数据流转机制、角色权限配置；提出2项及以上贴合本项目实际、可落地的软件功能优化设计，对教学及校园管理业务提升具备实际价值。</w:t>
            </w:r>
          </w:p>
          <w:p w14:paraId="7F0F55EE">
            <w:pPr>
              <w:spacing w:line="340" w:lineRule="exact"/>
              <w:ind w:firstLine="458" w:firstLineChars="200"/>
              <w:jc w:val="both"/>
              <w:rPr>
                <w:rFonts w:hint="eastAsia" w:ascii="仿宋_GB2312" w:hAnsi="仿宋_GB2312" w:eastAsia="仿宋_GB2312" w:cs="仿宋_GB2312"/>
                <w:b w:val="0"/>
                <w:spacing w:val="9"/>
                <w:szCs w:val="21"/>
                <w:highlight w:val="yellow"/>
              </w:rPr>
            </w:pPr>
            <w:r>
              <w:rPr>
                <w:rFonts w:hint="eastAsia" w:ascii="仿宋_GB2312" w:hAnsi="仿宋_GB2312" w:eastAsia="仿宋_GB2312" w:cs="仿宋_GB2312"/>
                <w:b/>
                <w:bCs/>
                <w:spacing w:val="9"/>
                <w:szCs w:val="21"/>
                <w:highlight w:val="yellow"/>
              </w:rPr>
              <w:t>二档（</w:t>
            </w:r>
            <w:r>
              <w:rPr>
                <w:rFonts w:hint="eastAsia" w:ascii="仿宋_GB2312" w:hAnsi="仿宋_GB2312" w:eastAsia="仿宋_GB2312" w:cs="仿宋_GB2312"/>
                <w:b/>
                <w:bCs/>
                <w:spacing w:val="9"/>
                <w:szCs w:val="21"/>
                <w:highlight w:val="yellow"/>
                <w:lang w:val="en-US" w:eastAsia="zh-CN"/>
              </w:rPr>
              <w:t>5</w:t>
            </w:r>
            <w:r>
              <w:rPr>
                <w:rFonts w:hint="eastAsia" w:ascii="仿宋_GB2312" w:hAnsi="仿宋_GB2312" w:eastAsia="仿宋_GB2312" w:cs="仿宋_GB2312"/>
                <w:b/>
                <w:bCs/>
                <w:spacing w:val="9"/>
                <w:szCs w:val="21"/>
                <w:highlight w:val="yellow"/>
              </w:rPr>
              <w:t xml:space="preserve"> 分）</w:t>
            </w:r>
            <w:r>
              <w:rPr>
                <w:rFonts w:hint="eastAsia" w:ascii="仿宋_GB2312" w:hAnsi="仿宋_GB2312" w:eastAsia="仿宋_GB2312" w:cs="仿宋_GB2312"/>
                <w:b w:val="0"/>
                <w:spacing w:val="9"/>
                <w:szCs w:val="21"/>
                <w:highlight w:val="yellow"/>
              </w:rPr>
              <w:t>：完整响应AI英语听说教学系统、校园数字化集成底座、教师数字画像分析系统核心业务功能，满足项目基础业务使用要求；具备基础的数据交互、接口对接说明，业务场景设计基本完整，无重大功能缺项，无针对性软件优化设计。</w:t>
            </w:r>
          </w:p>
          <w:p w14:paraId="56A6D7B9">
            <w:pPr>
              <w:spacing w:line="340" w:lineRule="exact"/>
              <w:ind w:firstLine="458" w:firstLineChars="200"/>
              <w:jc w:val="both"/>
              <w:rPr>
                <w:rFonts w:hint="eastAsia" w:ascii="仿宋_GB2312" w:hAnsi="仿宋_GB2312" w:eastAsia="仿宋_GB2312" w:cs="仿宋_GB2312"/>
                <w:b w:val="0"/>
                <w:spacing w:val="9"/>
                <w:szCs w:val="21"/>
                <w:highlight w:val="yellow"/>
              </w:rPr>
            </w:pPr>
            <w:r>
              <w:rPr>
                <w:rFonts w:hint="eastAsia" w:ascii="仿宋_GB2312" w:hAnsi="仿宋_GB2312" w:eastAsia="仿宋_GB2312" w:cs="仿宋_GB2312"/>
                <w:b/>
                <w:bCs/>
                <w:spacing w:val="9"/>
                <w:szCs w:val="21"/>
                <w:highlight w:val="yellow"/>
              </w:rPr>
              <w:t>三档（</w:t>
            </w:r>
            <w:r>
              <w:rPr>
                <w:rFonts w:hint="eastAsia" w:ascii="仿宋_GB2312" w:hAnsi="仿宋_GB2312" w:eastAsia="仿宋_GB2312" w:cs="仿宋_GB2312"/>
                <w:b/>
                <w:bCs/>
                <w:spacing w:val="9"/>
                <w:szCs w:val="21"/>
                <w:highlight w:val="yellow"/>
                <w:lang w:val="en-US" w:eastAsia="zh-CN"/>
              </w:rPr>
              <w:t>3</w:t>
            </w:r>
            <w:r>
              <w:rPr>
                <w:rFonts w:hint="eastAsia" w:ascii="仿宋_GB2312" w:hAnsi="仿宋_GB2312" w:eastAsia="仿宋_GB2312" w:cs="仿宋_GB2312"/>
                <w:b/>
                <w:bCs/>
                <w:spacing w:val="9"/>
                <w:szCs w:val="21"/>
                <w:highlight w:val="yellow"/>
              </w:rPr>
              <w:t xml:space="preserve"> 分）：</w:t>
            </w:r>
            <w:r>
              <w:rPr>
                <w:rFonts w:hint="eastAsia" w:ascii="仿宋_GB2312" w:hAnsi="仿宋_GB2312" w:eastAsia="仿宋_GB2312" w:cs="仿宋_GB2312"/>
                <w:b w:val="0"/>
                <w:spacing w:val="9"/>
                <w:szCs w:val="21"/>
                <w:highlight w:val="yellow"/>
              </w:rPr>
              <w:t>仅简单罗列 AI 英语听说教学系统、校园数字化集成底座、教师数字画像分析系统基础功能介绍，关键业务模块、数据互通、接口对接内容存在缺失，仅可满足最低限度使用需求。</w:t>
            </w:r>
          </w:p>
          <w:p w14:paraId="324E89C4">
            <w:pPr>
              <w:spacing w:line="340" w:lineRule="exact"/>
              <w:ind w:firstLine="458" w:firstLineChars="200"/>
              <w:jc w:val="both"/>
              <w:rPr>
                <w:rFonts w:hint="eastAsia" w:ascii="仿宋_GB2312" w:hAnsi="仿宋_GB2312" w:eastAsia="仿宋_GB2312" w:cs="仿宋_GB2312"/>
                <w:b/>
                <w:bCs/>
                <w:spacing w:val="9"/>
                <w:szCs w:val="21"/>
                <w:highlight w:val="yellow"/>
              </w:rPr>
            </w:pPr>
            <w:r>
              <w:rPr>
                <w:rFonts w:hint="eastAsia" w:ascii="仿宋_GB2312" w:hAnsi="仿宋_GB2312" w:eastAsia="仿宋_GB2312" w:cs="仿宋_GB2312"/>
                <w:b/>
                <w:bCs/>
                <w:spacing w:val="9"/>
                <w:szCs w:val="21"/>
                <w:highlight w:val="yellow"/>
              </w:rPr>
              <w:t xml:space="preserve">注：1.该方案内容可以包括：（1）AI 英语听说教学系统、校园数字化集成底座、教师数字画像分析系统功能适配；（2）模块业务落地设计；（3）数据互通、接口对接方案；（4）权限、业务流程设计；（5）软件优化提升建议。 </w:t>
            </w:r>
          </w:p>
          <w:p w14:paraId="5C94DB75">
            <w:pPr>
              <w:spacing w:line="340" w:lineRule="exact"/>
              <w:ind w:firstLine="458" w:firstLineChars="200"/>
              <w:jc w:val="both"/>
              <w:rPr>
                <w:rFonts w:hint="eastAsia" w:ascii="仿宋_GB2312" w:hAnsi="仿宋_GB2312" w:eastAsia="仿宋_GB2312" w:cs="仿宋_GB2312"/>
                <w:b/>
                <w:color w:val="000000" w:themeColor="text1"/>
                <w:szCs w:val="21"/>
                <w:highlight w:val="yellow"/>
                <w14:textFill>
                  <w14:solidFill>
                    <w14:schemeClr w14:val="tx1"/>
                  </w14:solidFill>
                </w14:textFill>
              </w:rPr>
            </w:pPr>
            <w:r>
              <w:rPr>
                <w:rFonts w:hint="eastAsia" w:ascii="仿宋_GB2312" w:hAnsi="仿宋_GB2312" w:eastAsia="仿宋_GB2312" w:cs="仿宋_GB2312"/>
                <w:b/>
                <w:bCs/>
                <w:spacing w:val="9"/>
                <w:szCs w:val="21"/>
                <w:highlight w:val="yellow"/>
              </w:rPr>
              <w:t>2.未提供本软件系统方案或提供的内容与本项目无关的得 0 分。</w:t>
            </w:r>
          </w:p>
        </w:tc>
        <w:tc>
          <w:tcPr>
            <w:tcW w:w="960" w:type="dxa"/>
            <w:vAlign w:val="center"/>
          </w:tcPr>
          <w:p w14:paraId="66235401">
            <w:pPr>
              <w:spacing w:line="360" w:lineRule="exact"/>
              <w:jc w:val="center"/>
              <w:rPr>
                <w:rFonts w:hint="eastAsia" w:ascii="仿宋_GB2312" w:hAnsi="仿宋_GB2312" w:eastAsia="仿宋_GB2312" w:cs="仿宋_GB2312"/>
                <w:b/>
                <w:color w:val="000000" w:themeColor="text1"/>
                <w:szCs w:val="21"/>
                <w:highlight w:val="yellow"/>
                <w:lang w:val="en-US" w:eastAsia="zh-CN"/>
                <w14:textFill>
                  <w14:solidFill>
                    <w14:schemeClr w14:val="tx1"/>
                  </w14:solidFill>
                </w14:textFill>
              </w:rPr>
            </w:pPr>
            <w:r>
              <w:rPr>
                <w:rFonts w:hint="eastAsia" w:ascii="仿宋_GB2312" w:hAnsi="仿宋_GB2312" w:eastAsia="仿宋_GB2312" w:cs="仿宋_GB2312"/>
                <w:b/>
                <w:color w:val="000000" w:themeColor="text1"/>
                <w:szCs w:val="21"/>
                <w:highlight w:val="yellow"/>
                <w:lang w:val="en-US" w:eastAsia="zh-CN"/>
                <w14:textFill>
                  <w14:solidFill>
                    <w14:schemeClr w14:val="tx1"/>
                  </w14:solidFill>
                </w14:textFill>
              </w:rPr>
              <w:t>8</w:t>
            </w:r>
          </w:p>
        </w:tc>
        <w:tc>
          <w:tcPr>
            <w:tcW w:w="1260" w:type="dxa"/>
            <w:vAlign w:val="center"/>
          </w:tcPr>
          <w:p w14:paraId="3728074A">
            <w:pPr>
              <w:spacing w:line="360" w:lineRule="exact"/>
              <w:jc w:val="center"/>
              <w:rPr>
                <w:rFonts w:hint="eastAsia" w:ascii="仿宋_GB2312" w:hAnsi="仿宋_GB2312" w:eastAsia="仿宋_GB2312" w:cs="仿宋_GB2312"/>
                <w:b/>
                <w:color w:val="000000" w:themeColor="text1"/>
                <w:szCs w:val="21"/>
                <w:highlight w:val="yellow"/>
                <w14:textFill>
                  <w14:solidFill>
                    <w14:schemeClr w14:val="tx1"/>
                  </w14:solidFill>
                </w14:textFill>
              </w:rPr>
            </w:pPr>
            <w:r>
              <w:rPr>
                <w:rFonts w:hint="eastAsia" w:ascii="仿宋_GB2312" w:hAnsi="仿宋_GB2312" w:eastAsia="仿宋_GB2312" w:cs="仿宋_GB2312"/>
                <w:b w:val="0"/>
                <w:bCs/>
                <w:color w:val="000000" w:themeColor="text1"/>
                <w:szCs w:val="21"/>
                <w:highlight w:val="yellow"/>
                <w14:textFill>
                  <w14:solidFill>
                    <w14:schemeClr w14:val="tx1"/>
                  </w14:solidFill>
                </w14:textFill>
              </w:rPr>
              <w:t>软件系统实施方案</w:t>
            </w:r>
          </w:p>
        </w:tc>
      </w:tr>
      <w:tr w14:paraId="68EAE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Merge w:val="restart"/>
            <w:vAlign w:val="center"/>
          </w:tcPr>
          <w:p w14:paraId="56A4FAF1">
            <w:pPr>
              <w:spacing w:line="36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项目实施方案分</w:t>
            </w:r>
          </w:p>
        </w:tc>
        <w:tc>
          <w:tcPr>
            <w:tcW w:w="1110" w:type="dxa"/>
            <w:vAlign w:val="center"/>
          </w:tcPr>
          <w:p w14:paraId="5698DF8B">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项目实施方案</w:t>
            </w:r>
          </w:p>
        </w:tc>
        <w:tc>
          <w:tcPr>
            <w:tcW w:w="5925" w:type="dxa"/>
            <w:vAlign w:val="center"/>
          </w:tcPr>
          <w:p w14:paraId="4F37650B">
            <w:pPr>
              <w:pStyle w:val="234"/>
              <w:spacing w:before="144" w:line="369" w:lineRule="auto"/>
              <w:ind w:right="25" w:firstLine="422"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z w:val="21"/>
                <w:szCs w:val="21"/>
                <w:lang w:eastAsia="zh-CN"/>
              </w:rPr>
              <w:t>一档</w:t>
            </w:r>
            <w:r>
              <w:rPr>
                <w:rFonts w:hint="eastAsia" w:ascii="仿宋_GB2312" w:hAnsi="仿宋_GB2312" w:eastAsia="仿宋_GB2312" w:cs="仿宋_GB2312"/>
                <w:b/>
                <w:bCs/>
                <w:sz w:val="21"/>
                <w:szCs w:val="21"/>
                <w:highlight w:val="yellow"/>
                <w:lang w:eastAsia="zh-CN"/>
              </w:rPr>
              <w:t>（</w:t>
            </w:r>
            <w:r>
              <w:rPr>
                <w:rFonts w:hint="eastAsia" w:ascii="仿宋_GB2312" w:hAnsi="仿宋_GB2312" w:eastAsia="仿宋_GB2312" w:cs="仿宋_GB2312"/>
                <w:b/>
                <w:bCs/>
                <w:spacing w:val="9"/>
                <w:sz w:val="21"/>
                <w:szCs w:val="21"/>
                <w:highlight w:val="yellow"/>
                <w:lang w:val="en-US" w:eastAsia="zh-CN"/>
              </w:rPr>
              <w:t>10</w:t>
            </w:r>
            <w:r>
              <w:rPr>
                <w:rFonts w:hint="eastAsia" w:ascii="仿宋_GB2312" w:hAnsi="仿宋_GB2312" w:eastAsia="仿宋_GB2312" w:cs="仿宋_GB2312"/>
                <w:b/>
                <w:bCs/>
                <w:spacing w:val="9"/>
                <w:sz w:val="21"/>
                <w:szCs w:val="21"/>
                <w:highlight w:val="yellow"/>
              </w:rPr>
              <w:t>分</w:t>
            </w:r>
            <w:r>
              <w:rPr>
                <w:rFonts w:hint="eastAsia" w:ascii="仿宋_GB2312" w:hAnsi="仿宋_GB2312" w:eastAsia="仿宋_GB2312" w:cs="仿宋_GB2312"/>
                <w:b/>
                <w:bCs/>
                <w:spacing w:val="-33"/>
                <w:sz w:val="21"/>
                <w:szCs w:val="21"/>
                <w:highlight w:val="yellow"/>
                <w:lang w:eastAsia="zh-CN"/>
              </w:rPr>
              <w:t>）</w:t>
            </w:r>
            <w:r>
              <w:rPr>
                <w:rFonts w:hint="eastAsia" w:ascii="仿宋_GB2312" w:hAnsi="仿宋_GB2312" w:eastAsia="仿宋_GB2312" w:cs="仿宋_GB2312"/>
                <w:b/>
                <w:bCs/>
                <w:spacing w:val="-33"/>
                <w:sz w:val="21"/>
                <w:szCs w:val="21"/>
                <w:lang w:eastAsia="zh-CN"/>
              </w:rPr>
              <w:t>：</w:t>
            </w:r>
            <w:r>
              <w:rPr>
                <w:rFonts w:hint="eastAsia" w:ascii="仿宋_GB2312" w:hAnsi="仿宋_GB2312" w:eastAsia="仿宋_GB2312" w:cs="仿宋_GB2312"/>
                <w:sz w:val="21"/>
                <w:szCs w:val="21"/>
                <w:lang w:eastAsia="zh-CN"/>
              </w:rPr>
              <w:t>方案完全贴合本项目采购需求，内容详</w:t>
            </w:r>
            <w:r>
              <w:rPr>
                <w:rFonts w:hint="eastAsia" w:ascii="仿宋_GB2312" w:hAnsi="仿宋_GB2312" w:eastAsia="仿宋_GB2312" w:cs="仿宋_GB2312"/>
                <w:spacing w:val="-1"/>
                <w:sz w:val="21"/>
                <w:szCs w:val="21"/>
                <w:lang w:eastAsia="zh-CN"/>
              </w:rPr>
              <w:t>实、</w:t>
            </w:r>
            <w:r>
              <w:rPr>
                <w:rFonts w:hint="eastAsia" w:ascii="仿宋_GB2312" w:hAnsi="仿宋_GB2312" w:eastAsia="仿宋_GB2312" w:cs="仿宋_GB2312"/>
                <w:spacing w:val="9"/>
                <w:sz w:val="21"/>
                <w:szCs w:val="21"/>
                <w:lang w:eastAsia="zh-CN"/>
              </w:rPr>
              <w:t>逻辑严谨、落地性极强。完整细化项目全套</w:t>
            </w:r>
            <w:r>
              <w:rPr>
                <w:rFonts w:hint="eastAsia" w:ascii="仿宋_GB2312" w:hAnsi="仿宋_GB2312" w:eastAsia="仿宋_GB2312" w:cs="仿宋_GB2312"/>
                <w:spacing w:val="8"/>
                <w:sz w:val="21"/>
                <w:szCs w:val="21"/>
                <w:lang w:eastAsia="zh-CN"/>
              </w:rPr>
              <w:t>实施流程，各环节衔接紧密、考虑周全；配置专职项目管理人员≥</w:t>
            </w:r>
            <w:r>
              <w:rPr>
                <w:rFonts w:hint="eastAsia" w:ascii="仿宋_GB2312" w:hAnsi="仿宋_GB2312" w:eastAsia="仿宋_GB2312" w:cs="仿宋_GB2312"/>
                <w:spacing w:val="-57"/>
                <w:sz w:val="21"/>
                <w:szCs w:val="21"/>
                <w:lang w:eastAsia="zh-CN"/>
              </w:rPr>
              <w:t xml:space="preserve"> </w:t>
            </w:r>
            <w:r>
              <w:rPr>
                <w:rFonts w:hint="eastAsia" w:ascii="仿宋_GB2312" w:hAnsi="仿宋_GB2312" w:eastAsia="仿宋_GB2312" w:cs="仿宋_GB2312"/>
                <w:spacing w:val="8"/>
                <w:sz w:val="21"/>
                <w:szCs w:val="21"/>
                <w:lang w:eastAsia="zh-CN"/>
              </w:rPr>
              <w:t>3</w:t>
            </w:r>
            <w:r>
              <w:rPr>
                <w:rFonts w:hint="eastAsia" w:ascii="仿宋_GB2312" w:hAnsi="仿宋_GB2312" w:eastAsia="仿宋_GB2312" w:cs="仿宋_GB2312"/>
                <w:spacing w:val="-34"/>
                <w:sz w:val="21"/>
                <w:szCs w:val="21"/>
                <w:lang w:eastAsia="zh-CN"/>
              </w:rPr>
              <w:t xml:space="preserve"> </w:t>
            </w:r>
            <w:r>
              <w:rPr>
                <w:rFonts w:hint="eastAsia" w:ascii="仿宋_GB2312" w:hAnsi="仿宋_GB2312" w:eastAsia="仿宋_GB2312" w:cs="仿宋_GB2312"/>
                <w:spacing w:val="8"/>
                <w:sz w:val="21"/>
                <w:szCs w:val="21"/>
                <w:lang w:eastAsia="zh-CN"/>
              </w:rPr>
              <w:t>人，组织机</w:t>
            </w:r>
            <w:r>
              <w:rPr>
                <w:rFonts w:hint="eastAsia" w:ascii="仿宋_GB2312" w:hAnsi="仿宋_GB2312" w:eastAsia="仿宋_GB2312" w:cs="仿宋_GB2312"/>
                <w:spacing w:val="7"/>
                <w:sz w:val="21"/>
                <w:szCs w:val="21"/>
                <w:lang w:eastAsia="zh-CN"/>
              </w:rPr>
              <w:t>构架构清晰、</w:t>
            </w:r>
            <w:r>
              <w:rPr>
                <w:rFonts w:hint="eastAsia" w:ascii="仿宋_GB2312" w:hAnsi="仿宋_GB2312" w:eastAsia="仿宋_GB2312" w:cs="仿宋_GB2312"/>
                <w:spacing w:val="-57"/>
                <w:sz w:val="21"/>
                <w:szCs w:val="21"/>
                <w:lang w:eastAsia="zh-CN"/>
              </w:rPr>
              <w:t xml:space="preserve"> </w:t>
            </w:r>
            <w:r>
              <w:rPr>
                <w:rFonts w:hint="eastAsia" w:ascii="仿宋_GB2312" w:hAnsi="仿宋_GB2312" w:eastAsia="仿宋_GB2312" w:cs="仿宋_GB2312"/>
                <w:spacing w:val="7"/>
                <w:sz w:val="21"/>
                <w:szCs w:val="21"/>
                <w:lang w:eastAsia="zh-CN"/>
              </w:rPr>
              <w:t>岗位职责全覆盖、分工精准到人；可精准预判设</w:t>
            </w:r>
            <w:r>
              <w:rPr>
                <w:rFonts w:hint="eastAsia" w:ascii="仿宋_GB2312" w:hAnsi="仿宋_GB2312" w:eastAsia="仿宋_GB2312" w:cs="仿宋_GB2312"/>
                <w:spacing w:val="9"/>
                <w:sz w:val="21"/>
                <w:szCs w:val="21"/>
                <w:lang w:eastAsia="zh-CN"/>
              </w:rPr>
              <w:t>备安装、系统试运行、正式运行全流程各类</w:t>
            </w:r>
            <w:r>
              <w:rPr>
                <w:rFonts w:hint="eastAsia" w:ascii="仿宋_GB2312" w:hAnsi="仿宋_GB2312" w:eastAsia="仿宋_GB2312" w:cs="仿宋_GB2312"/>
                <w:spacing w:val="8"/>
                <w:sz w:val="21"/>
                <w:szCs w:val="21"/>
                <w:lang w:eastAsia="zh-CN"/>
              </w:rPr>
              <w:t>风险，针对各类风险分别制定专属应对预案、问题处置方案，预案可落地、可执</w:t>
            </w:r>
            <w:r>
              <w:rPr>
                <w:rFonts w:hint="eastAsia" w:ascii="仿宋_GB2312" w:hAnsi="仿宋_GB2312" w:eastAsia="仿宋_GB2312" w:cs="仿宋_GB2312"/>
                <w:spacing w:val="9"/>
                <w:sz w:val="21"/>
                <w:szCs w:val="21"/>
                <w:lang w:eastAsia="zh-CN"/>
              </w:rPr>
              <w:t>行；项目管控体系完善，进度、质量、安全</w:t>
            </w:r>
            <w:r>
              <w:rPr>
                <w:rFonts w:hint="eastAsia" w:ascii="仿宋_GB2312" w:hAnsi="仿宋_GB2312" w:eastAsia="仿宋_GB2312" w:cs="仿宋_GB2312"/>
                <w:spacing w:val="8"/>
                <w:sz w:val="21"/>
                <w:szCs w:val="21"/>
                <w:lang w:eastAsia="zh-CN"/>
              </w:rPr>
              <w:t>、资料管控措施齐</w:t>
            </w:r>
            <w:r>
              <w:rPr>
                <w:rFonts w:hint="eastAsia" w:ascii="仿宋_GB2312" w:hAnsi="仿宋_GB2312" w:eastAsia="仿宋_GB2312" w:cs="仿宋_GB2312"/>
                <w:spacing w:val="7"/>
                <w:sz w:val="21"/>
                <w:szCs w:val="21"/>
                <w:lang w:eastAsia="zh-CN"/>
              </w:rPr>
              <w:t>全；同时结合项目实际提出</w:t>
            </w:r>
            <w:r>
              <w:rPr>
                <w:rFonts w:hint="eastAsia" w:ascii="仿宋_GB2312" w:hAnsi="仿宋_GB2312" w:eastAsia="仿宋_GB2312" w:cs="仿宋_GB2312"/>
                <w:spacing w:val="-24"/>
                <w:sz w:val="21"/>
                <w:szCs w:val="21"/>
                <w:lang w:eastAsia="zh-CN"/>
              </w:rPr>
              <w:t xml:space="preserve"> </w:t>
            </w:r>
            <w:r>
              <w:rPr>
                <w:rFonts w:hint="eastAsia" w:ascii="仿宋_GB2312" w:hAnsi="仿宋_GB2312" w:eastAsia="仿宋_GB2312" w:cs="仿宋_GB2312"/>
                <w:spacing w:val="7"/>
                <w:sz w:val="21"/>
                <w:szCs w:val="21"/>
                <w:lang w:eastAsia="zh-CN"/>
              </w:rPr>
              <w:t>1</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spacing w:val="7"/>
                <w:sz w:val="21"/>
                <w:szCs w:val="21"/>
                <w:lang w:eastAsia="zh-CN"/>
              </w:rPr>
              <w:t>项及以上针对性强、可落</w:t>
            </w:r>
            <w:r>
              <w:rPr>
                <w:rFonts w:hint="eastAsia" w:ascii="仿宋_GB2312" w:hAnsi="仿宋_GB2312" w:eastAsia="仿宋_GB2312" w:cs="仿宋_GB2312"/>
                <w:spacing w:val="6"/>
                <w:sz w:val="21"/>
                <w:szCs w:val="21"/>
                <w:lang w:eastAsia="zh-CN"/>
              </w:rPr>
              <w:t>地的建</w:t>
            </w:r>
            <w:r>
              <w:rPr>
                <w:rFonts w:hint="eastAsia" w:ascii="仿宋_GB2312" w:hAnsi="仿宋_GB2312" w:eastAsia="仿宋_GB2312" w:cs="仿宋_GB2312"/>
                <w:spacing w:val="9"/>
                <w:sz w:val="21"/>
                <w:szCs w:val="21"/>
                <w:lang w:eastAsia="zh-CN"/>
              </w:rPr>
              <w:t>设性优化方案，能有效提升项目落地质量与运行效果。</w:t>
            </w:r>
          </w:p>
          <w:p w14:paraId="7ED4FF35">
            <w:pPr>
              <w:pStyle w:val="234"/>
              <w:spacing w:line="369" w:lineRule="auto"/>
              <w:ind w:right="85"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二档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9"/>
                <w:sz w:val="21"/>
                <w:szCs w:val="21"/>
                <w:highlight w:val="yellow"/>
                <w:lang w:val="en-US" w:eastAsia="zh-CN"/>
              </w:rPr>
              <w:t>7</w:t>
            </w:r>
            <w:r>
              <w:rPr>
                <w:rFonts w:hint="eastAsia" w:ascii="仿宋_GB2312" w:hAnsi="仿宋_GB2312" w:eastAsia="仿宋_GB2312" w:cs="仿宋_GB2312"/>
                <w:b/>
                <w:bCs/>
                <w:spacing w:val="9"/>
                <w:sz w:val="21"/>
                <w:szCs w:val="21"/>
                <w:highlight w:val="yellow"/>
              </w:rPr>
              <w:t>分</w:t>
            </w:r>
            <w:r>
              <w:rPr>
                <w:rFonts w:hint="eastAsia" w:ascii="仿宋_GB2312" w:hAnsi="仿宋_GB2312" w:eastAsia="仿宋_GB2312" w:cs="仿宋_GB2312"/>
                <w:b/>
                <w:bCs/>
                <w:spacing w:val="19"/>
                <w:sz w:val="21"/>
                <w:szCs w:val="21"/>
                <w:highlight w:val="yellow"/>
                <w:lang w:eastAsia="zh-CN"/>
              </w:rPr>
              <w:t>）</w:t>
            </w:r>
            <w:r>
              <w:rPr>
                <w:rFonts w:hint="eastAsia" w:ascii="仿宋_GB2312" w:hAnsi="仿宋_GB2312" w:eastAsia="仿宋_GB2312" w:cs="仿宋_GB2312"/>
                <w:b/>
                <w:bCs/>
                <w:spacing w:val="19"/>
                <w:sz w:val="21"/>
                <w:szCs w:val="21"/>
                <w:lang w:eastAsia="zh-CN"/>
              </w:rPr>
              <w:t>：</w:t>
            </w:r>
            <w:r>
              <w:rPr>
                <w:rFonts w:hint="eastAsia" w:ascii="仿宋_GB2312" w:hAnsi="仿宋_GB2312" w:eastAsia="仿宋_GB2312" w:cs="仿宋_GB2312"/>
                <w:spacing w:val="6"/>
                <w:sz w:val="21"/>
                <w:szCs w:val="21"/>
                <w:lang w:eastAsia="zh-CN"/>
              </w:rPr>
              <w:t>方案内容完整，充分理解项目采购核心需</w:t>
            </w:r>
            <w:r>
              <w:rPr>
                <w:rFonts w:hint="eastAsia" w:ascii="仿宋_GB2312" w:hAnsi="仿宋_GB2312" w:eastAsia="仿宋_GB2312" w:cs="仿宋_GB2312"/>
                <w:spacing w:val="8"/>
                <w:sz w:val="21"/>
                <w:szCs w:val="21"/>
                <w:lang w:eastAsia="zh-CN"/>
              </w:rPr>
              <w:t>求，设备安装调试、系统运行保障、项目服务等核心技术措施</w:t>
            </w:r>
            <w:r>
              <w:rPr>
                <w:rFonts w:hint="eastAsia" w:ascii="仿宋_GB2312" w:hAnsi="仿宋_GB2312" w:eastAsia="仿宋_GB2312" w:cs="仿宋_GB2312"/>
                <w:spacing w:val="9"/>
                <w:sz w:val="21"/>
                <w:szCs w:val="21"/>
                <w:lang w:eastAsia="zh-CN"/>
              </w:rPr>
              <w:t>完善，具备较强实操性。配置专职项目管理人员≥2</w:t>
            </w:r>
            <w:r>
              <w:rPr>
                <w:rFonts w:hint="eastAsia" w:ascii="仿宋_GB2312" w:hAnsi="仿宋_GB2312" w:eastAsia="仿宋_GB2312" w:cs="仿宋_GB2312"/>
                <w:spacing w:val="-22"/>
                <w:sz w:val="21"/>
                <w:szCs w:val="21"/>
                <w:lang w:eastAsia="zh-CN"/>
              </w:rPr>
              <w:t xml:space="preserve"> </w:t>
            </w:r>
            <w:r>
              <w:rPr>
                <w:rFonts w:hint="eastAsia" w:ascii="仿宋_GB2312" w:hAnsi="仿宋_GB2312" w:eastAsia="仿宋_GB2312" w:cs="仿宋_GB2312"/>
                <w:spacing w:val="9"/>
                <w:sz w:val="21"/>
                <w:szCs w:val="21"/>
                <w:lang w:eastAsia="zh-CN"/>
              </w:rPr>
              <w:t>人，</w:t>
            </w:r>
            <w:r>
              <w:rPr>
                <w:rFonts w:hint="eastAsia" w:ascii="仿宋_GB2312" w:hAnsi="仿宋_GB2312" w:eastAsia="仿宋_GB2312" w:cs="仿宋_GB2312"/>
                <w:spacing w:val="8"/>
                <w:sz w:val="21"/>
                <w:szCs w:val="21"/>
                <w:lang w:eastAsia="zh-CN"/>
              </w:rPr>
              <w:t>组织机构及岗位职责规划合理、覆盖主要工作环节，无岗位缺失；具备基础的风险识别与应对、项目管控措施，实施流程规范合理，能够全面满足项目实施各项需求，但无专项优化建议或优化建议可行性一般。</w:t>
            </w:r>
          </w:p>
          <w:p w14:paraId="7B356022">
            <w:pPr>
              <w:pStyle w:val="234"/>
              <w:spacing w:before="2" w:line="369" w:lineRule="auto"/>
              <w:ind w:right="29" w:firstLine="42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1"/>
                <w:sz w:val="21"/>
                <w:szCs w:val="21"/>
                <w:lang w:eastAsia="zh-CN"/>
              </w:rPr>
              <w:t>三档</w:t>
            </w:r>
            <w:r>
              <w:rPr>
                <w:rFonts w:hint="eastAsia" w:ascii="仿宋_GB2312" w:hAnsi="仿宋_GB2312" w:eastAsia="仿宋_GB2312" w:cs="仿宋_GB2312"/>
                <w:b/>
                <w:bCs/>
                <w:spacing w:val="1"/>
                <w:sz w:val="21"/>
                <w:szCs w:val="21"/>
                <w:highlight w:val="yellow"/>
                <w:lang w:eastAsia="zh-CN"/>
              </w:rPr>
              <w:t>（</w:t>
            </w:r>
            <w:r>
              <w:rPr>
                <w:rFonts w:hint="eastAsia" w:ascii="仿宋_GB2312" w:hAnsi="仿宋_GB2312" w:eastAsia="仿宋_GB2312" w:cs="仿宋_GB2312"/>
                <w:b/>
                <w:bCs/>
                <w:spacing w:val="9"/>
                <w:sz w:val="21"/>
                <w:szCs w:val="21"/>
                <w:highlight w:val="yellow"/>
                <w:lang w:val="en-US" w:eastAsia="zh-CN"/>
              </w:rPr>
              <w:t>4</w:t>
            </w:r>
            <w:r>
              <w:rPr>
                <w:rFonts w:hint="eastAsia" w:ascii="仿宋_GB2312" w:hAnsi="仿宋_GB2312" w:eastAsia="仿宋_GB2312" w:cs="仿宋_GB2312"/>
                <w:b/>
                <w:bCs/>
                <w:spacing w:val="9"/>
                <w:sz w:val="21"/>
                <w:szCs w:val="21"/>
                <w:highlight w:val="yellow"/>
              </w:rPr>
              <w:t>分</w:t>
            </w:r>
            <w:r>
              <w:rPr>
                <w:rFonts w:hint="eastAsia" w:ascii="仿宋_GB2312" w:hAnsi="仿宋_GB2312" w:eastAsia="仿宋_GB2312" w:cs="仿宋_GB2312"/>
                <w:b/>
                <w:bCs/>
                <w:sz w:val="21"/>
                <w:szCs w:val="21"/>
                <w:highlight w:val="yellow"/>
                <w:lang w:eastAsia="zh-CN"/>
              </w:rPr>
              <w:t>）</w:t>
            </w:r>
            <w:r>
              <w:rPr>
                <w:rFonts w:hint="eastAsia" w:ascii="仿宋_GB2312" w:hAnsi="仿宋_GB2312" w:eastAsia="仿宋_GB2312" w:cs="仿宋_GB2312"/>
                <w:b/>
                <w:bCs/>
                <w:sz w:val="21"/>
                <w:szCs w:val="21"/>
                <w:lang w:eastAsia="zh-CN"/>
              </w:rPr>
              <w:t>：</w:t>
            </w:r>
            <w:r>
              <w:rPr>
                <w:rFonts w:hint="eastAsia" w:ascii="仿宋_GB2312" w:hAnsi="仿宋_GB2312" w:eastAsia="仿宋_GB2312" w:cs="仿宋_GB2312"/>
                <w:spacing w:val="1"/>
                <w:sz w:val="21"/>
                <w:szCs w:val="21"/>
                <w:lang w:eastAsia="zh-CN"/>
              </w:rPr>
              <w:t>方案内容简单笼统，仅覆盖基础采购需求。</w:t>
            </w:r>
            <w:r>
              <w:rPr>
                <w:rFonts w:hint="eastAsia" w:ascii="仿宋_GB2312" w:hAnsi="仿宋_GB2312" w:eastAsia="仿宋_GB2312" w:cs="仿宋_GB2312"/>
                <w:spacing w:val="3"/>
                <w:sz w:val="21"/>
                <w:szCs w:val="21"/>
                <w:lang w:eastAsia="zh-CN"/>
              </w:rPr>
              <w:t>配置专职项目管理人员≥</w:t>
            </w:r>
            <w:r>
              <w:rPr>
                <w:rFonts w:hint="eastAsia" w:ascii="仿宋_GB2312" w:hAnsi="仿宋_GB2312" w:eastAsia="仿宋_GB2312" w:cs="仿宋_GB2312"/>
                <w:spacing w:val="-72"/>
                <w:sz w:val="21"/>
                <w:szCs w:val="21"/>
                <w:lang w:eastAsia="zh-CN"/>
              </w:rPr>
              <w:t xml:space="preserve"> </w:t>
            </w:r>
            <w:r>
              <w:rPr>
                <w:rFonts w:hint="eastAsia" w:ascii="仿宋_GB2312" w:hAnsi="仿宋_GB2312" w:eastAsia="仿宋_GB2312" w:cs="仿宋_GB2312"/>
                <w:spacing w:val="3"/>
                <w:sz w:val="21"/>
                <w:szCs w:val="21"/>
                <w:lang w:eastAsia="zh-CN"/>
              </w:rPr>
              <w:t>1</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spacing w:val="3"/>
                <w:sz w:val="21"/>
                <w:szCs w:val="21"/>
                <w:lang w:eastAsia="zh-CN"/>
              </w:rPr>
              <w:t>人，组织机构、岗位职责描述简略，人员配置无明确规划；设备安装调试、系统运行实施流程简化、</w:t>
            </w:r>
            <w:r>
              <w:rPr>
                <w:rFonts w:hint="eastAsia" w:ascii="仿宋_GB2312" w:hAnsi="仿宋_GB2312" w:eastAsia="仿宋_GB2312" w:cs="仿宋_GB2312"/>
                <w:spacing w:val="8"/>
                <w:sz w:val="21"/>
                <w:szCs w:val="21"/>
                <w:lang w:eastAsia="zh-CN"/>
              </w:rPr>
              <w:t>关键环节缺失；风险识别、应对措施、项目管理内容单薄，仅能满足项目最基础实施要求。</w:t>
            </w:r>
          </w:p>
          <w:p w14:paraId="60D9F12C">
            <w:pPr>
              <w:pStyle w:val="234"/>
              <w:widowControl/>
              <w:spacing w:before="1" w:line="360" w:lineRule="auto"/>
              <w:ind w:firstLine="438" w:firstLineChars="200"/>
              <w:jc w:val="left"/>
              <w:rPr>
                <w:rFonts w:hint="eastAsia" w:ascii="仿宋_GB2312" w:hAnsi="仿宋_GB2312" w:eastAsia="仿宋_GB2312" w:cs="仿宋_GB2312"/>
                <w:spacing w:val="4"/>
                <w:sz w:val="21"/>
                <w:szCs w:val="21"/>
                <w:lang w:eastAsia="zh-CN"/>
              </w:rPr>
            </w:pPr>
            <w:r>
              <w:rPr>
                <w:rFonts w:hint="eastAsia" w:ascii="仿宋_GB2312" w:hAnsi="仿宋_GB2312" w:eastAsia="仿宋_GB2312" w:cs="仿宋_GB2312"/>
                <w:b/>
                <w:bCs/>
                <w:spacing w:val="4"/>
                <w:sz w:val="21"/>
                <w:szCs w:val="21"/>
                <w:lang w:eastAsia="zh-CN"/>
              </w:rPr>
              <w:t>四档</w:t>
            </w:r>
            <w:r>
              <w:rPr>
                <w:rFonts w:hint="eastAsia" w:ascii="仿宋_GB2312" w:hAnsi="仿宋_GB2312" w:eastAsia="仿宋_GB2312" w:cs="仿宋_GB2312"/>
                <w:b/>
                <w:bCs/>
                <w:spacing w:val="4"/>
                <w:sz w:val="21"/>
                <w:szCs w:val="21"/>
                <w:highlight w:val="yellow"/>
                <w:lang w:eastAsia="zh-CN"/>
              </w:rPr>
              <w:t>（</w:t>
            </w:r>
            <w:r>
              <w:rPr>
                <w:rFonts w:hint="eastAsia" w:ascii="仿宋_GB2312" w:hAnsi="仿宋_GB2312" w:eastAsia="仿宋_GB2312" w:cs="仿宋_GB2312"/>
                <w:b/>
                <w:bCs/>
                <w:spacing w:val="-50"/>
                <w:sz w:val="21"/>
                <w:szCs w:val="21"/>
                <w:highlight w:val="yellow"/>
                <w:lang w:eastAsia="zh-CN"/>
              </w:rPr>
              <w:t xml:space="preserve"> </w:t>
            </w:r>
            <w:r>
              <w:rPr>
                <w:rFonts w:hint="eastAsia" w:ascii="仿宋_GB2312" w:hAnsi="仿宋_GB2312" w:eastAsia="仿宋_GB2312" w:cs="仿宋_GB2312"/>
                <w:b/>
                <w:bCs/>
                <w:spacing w:val="4"/>
                <w:sz w:val="21"/>
                <w:szCs w:val="21"/>
                <w:highlight w:val="yellow"/>
                <w:lang w:val="en-US" w:eastAsia="zh-CN"/>
              </w:rPr>
              <w:t>2</w:t>
            </w:r>
            <w:r>
              <w:rPr>
                <w:rFonts w:hint="eastAsia" w:ascii="仿宋_GB2312" w:hAnsi="仿宋_GB2312" w:eastAsia="仿宋_GB2312" w:cs="仿宋_GB2312"/>
                <w:spacing w:val="-36"/>
                <w:sz w:val="21"/>
                <w:szCs w:val="21"/>
                <w:highlight w:val="yellow"/>
                <w:lang w:eastAsia="zh-CN"/>
              </w:rPr>
              <w:t xml:space="preserve"> </w:t>
            </w:r>
            <w:r>
              <w:rPr>
                <w:rFonts w:hint="eastAsia" w:ascii="仿宋_GB2312" w:hAnsi="仿宋_GB2312" w:eastAsia="仿宋_GB2312" w:cs="仿宋_GB2312"/>
                <w:b/>
                <w:bCs/>
                <w:spacing w:val="4"/>
                <w:sz w:val="21"/>
                <w:szCs w:val="21"/>
                <w:highlight w:val="yellow"/>
                <w:lang w:eastAsia="zh-CN"/>
              </w:rPr>
              <w:t>分</w:t>
            </w:r>
            <w:r>
              <w:rPr>
                <w:rFonts w:hint="eastAsia" w:ascii="仿宋_GB2312" w:hAnsi="仿宋_GB2312" w:eastAsia="仿宋_GB2312" w:cs="仿宋_GB2312"/>
                <w:b/>
                <w:bCs/>
                <w:spacing w:val="15"/>
                <w:sz w:val="21"/>
                <w:szCs w:val="21"/>
                <w:highlight w:val="yellow"/>
                <w:lang w:eastAsia="zh-CN"/>
              </w:rPr>
              <w:t>）</w:t>
            </w:r>
            <w:r>
              <w:rPr>
                <w:rFonts w:hint="eastAsia" w:ascii="仿宋_GB2312" w:hAnsi="仿宋_GB2312" w:eastAsia="仿宋_GB2312" w:cs="仿宋_GB2312"/>
                <w:b/>
                <w:bCs/>
                <w:spacing w:val="15"/>
                <w:sz w:val="21"/>
                <w:szCs w:val="21"/>
                <w:lang w:eastAsia="zh-CN"/>
              </w:rPr>
              <w:t>：</w:t>
            </w:r>
            <w:r>
              <w:rPr>
                <w:rFonts w:hint="eastAsia" w:ascii="仿宋_GB2312" w:hAnsi="仿宋_GB2312" w:eastAsia="仿宋_GB2312" w:cs="仿宋_GB2312"/>
                <w:spacing w:val="4"/>
                <w:sz w:val="21"/>
                <w:szCs w:val="21"/>
                <w:lang w:eastAsia="zh-CN"/>
              </w:rPr>
              <w:t>项目实施方案简单，能保障项目实施。</w:t>
            </w:r>
          </w:p>
          <w:p w14:paraId="6C2A5773">
            <w:pPr>
              <w:spacing w:line="360" w:lineRule="auto"/>
              <w:ind w:firstLine="442" w:firstLineChars="200"/>
              <w:rPr>
                <w:rFonts w:hint="eastAsia" w:ascii="仿宋_GB2312" w:hAnsi="仿宋_GB2312" w:eastAsia="仿宋_GB2312" w:cs="仿宋_GB2312"/>
                <w:b/>
                <w:bCs/>
                <w:spacing w:val="-3"/>
                <w:szCs w:val="21"/>
              </w:rPr>
            </w:pPr>
            <w:r>
              <w:rPr>
                <w:rFonts w:hint="eastAsia" w:ascii="仿宋_GB2312" w:hAnsi="仿宋_GB2312" w:eastAsia="仿宋_GB2312" w:cs="仿宋_GB2312"/>
                <w:b/>
                <w:bCs/>
                <w:spacing w:val="5"/>
                <w:szCs w:val="21"/>
              </w:rPr>
              <w:t>注：1.该方案内容可以包括</w:t>
            </w:r>
            <w:r>
              <w:rPr>
                <w:rFonts w:hint="eastAsia" w:ascii="仿宋_GB2312" w:hAnsi="仿宋_GB2312" w:eastAsia="仿宋_GB2312" w:cs="仿宋_GB2312"/>
                <w:b/>
                <w:bCs/>
                <w:spacing w:val="-12"/>
                <w:szCs w:val="21"/>
              </w:rPr>
              <w:t>：（</w:t>
            </w:r>
            <w:r>
              <w:rPr>
                <w:rFonts w:hint="eastAsia" w:ascii="仿宋_GB2312" w:hAnsi="仿宋_GB2312" w:eastAsia="仿宋_GB2312" w:cs="仿宋_GB2312"/>
                <w:spacing w:val="-44"/>
                <w:szCs w:val="21"/>
              </w:rPr>
              <w:t xml:space="preserve"> </w:t>
            </w:r>
            <w:r>
              <w:rPr>
                <w:rFonts w:hint="eastAsia" w:ascii="仿宋_GB2312" w:hAnsi="仿宋_GB2312" w:eastAsia="仿宋_GB2312" w:cs="仿宋_GB2312"/>
                <w:b/>
                <w:bCs/>
                <w:spacing w:val="5"/>
                <w:szCs w:val="21"/>
              </w:rPr>
              <w:t>1）人员配置</w:t>
            </w:r>
            <w:r>
              <w:rPr>
                <w:rFonts w:hint="eastAsia" w:ascii="仿宋_GB2312" w:hAnsi="仿宋_GB2312" w:eastAsia="仿宋_GB2312" w:cs="仿宋_GB2312"/>
                <w:b/>
                <w:bCs/>
                <w:spacing w:val="-12"/>
                <w:szCs w:val="21"/>
              </w:rPr>
              <w:t>；（</w:t>
            </w:r>
            <w:r>
              <w:rPr>
                <w:rFonts w:hint="eastAsia" w:ascii="仿宋_GB2312" w:hAnsi="仿宋_GB2312" w:eastAsia="仿宋_GB2312" w:cs="仿宋_GB2312"/>
                <w:spacing w:val="-53"/>
                <w:szCs w:val="21"/>
              </w:rPr>
              <w:t xml:space="preserve"> </w:t>
            </w:r>
            <w:r>
              <w:rPr>
                <w:rFonts w:hint="eastAsia" w:ascii="仿宋_GB2312" w:hAnsi="仿宋_GB2312" w:eastAsia="仿宋_GB2312" w:cs="仿宋_GB2312"/>
                <w:b/>
                <w:bCs/>
                <w:spacing w:val="5"/>
                <w:szCs w:val="21"/>
              </w:rPr>
              <w:t>2）组织</w:t>
            </w:r>
            <w:r>
              <w:rPr>
                <w:rFonts w:hint="eastAsia" w:ascii="仿宋_GB2312" w:hAnsi="仿宋_GB2312" w:eastAsia="仿宋_GB2312" w:cs="仿宋_GB2312"/>
                <w:b/>
                <w:bCs/>
                <w:spacing w:val="4"/>
                <w:szCs w:val="21"/>
              </w:rPr>
              <w:t>机构架构职责分工</w:t>
            </w:r>
            <w:r>
              <w:rPr>
                <w:rFonts w:hint="eastAsia" w:ascii="仿宋_GB2312" w:hAnsi="仿宋_GB2312" w:eastAsia="仿宋_GB2312" w:cs="仿宋_GB2312"/>
                <w:b/>
                <w:bCs/>
                <w:spacing w:val="-3"/>
                <w:szCs w:val="21"/>
              </w:rPr>
              <w:t>；（</w:t>
            </w:r>
            <w:r>
              <w:rPr>
                <w:rFonts w:hint="eastAsia" w:ascii="仿宋_GB2312" w:hAnsi="仿宋_GB2312" w:eastAsia="仿宋_GB2312" w:cs="仿宋_GB2312"/>
                <w:spacing w:val="-42"/>
                <w:szCs w:val="21"/>
              </w:rPr>
              <w:t xml:space="preserve"> </w:t>
            </w:r>
            <w:r>
              <w:rPr>
                <w:rFonts w:hint="eastAsia" w:ascii="仿宋_GB2312" w:hAnsi="仿宋_GB2312" w:eastAsia="仿宋_GB2312" w:cs="仿宋_GB2312"/>
                <w:b/>
                <w:bCs/>
                <w:spacing w:val="4"/>
                <w:szCs w:val="21"/>
              </w:rPr>
              <w:t>3）项目管控体系</w:t>
            </w:r>
            <w:r>
              <w:rPr>
                <w:rFonts w:hint="eastAsia" w:ascii="仿宋_GB2312" w:hAnsi="仿宋_GB2312" w:eastAsia="仿宋_GB2312" w:cs="仿宋_GB2312"/>
                <w:b/>
                <w:bCs/>
                <w:spacing w:val="-3"/>
                <w:szCs w:val="21"/>
              </w:rPr>
              <w:t>；（</w:t>
            </w:r>
            <w:r>
              <w:rPr>
                <w:rFonts w:hint="eastAsia" w:ascii="仿宋_GB2312" w:hAnsi="仿宋_GB2312" w:eastAsia="仿宋_GB2312" w:cs="仿宋_GB2312"/>
                <w:spacing w:val="-53"/>
                <w:szCs w:val="21"/>
              </w:rPr>
              <w:t xml:space="preserve"> </w:t>
            </w:r>
            <w:r>
              <w:rPr>
                <w:rFonts w:hint="eastAsia" w:ascii="仿宋_GB2312" w:hAnsi="仿宋_GB2312" w:eastAsia="仿宋_GB2312" w:cs="仿宋_GB2312"/>
                <w:b/>
                <w:bCs/>
                <w:spacing w:val="4"/>
                <w:szCs w:val="21"/>
              </w:rPr>
              <w:t>4）建设性优化；</w:t>
            </w:r>
            <w:r>
              <w:rPr>
                <w:rFonts w:hint="eastAsia" w:ascii="仿宋_GB2312" w:hAnsi="仿宋_GB2312" w:eastAsia="仿宋_GB2312" w:cs="仿宋_GB2312"/>
                <w:b/>
                <w:bCs/>
                <w:spacing w:val="5"/>
                <w:szCs w:val="21"/>
              </w:rPr>
              <w:t>（</w:t>
            </w:r>
            <w:r>
              <w:rPr>
                <w:rFonts w:hint="eastAsia" w:ascii="仿宋_GB2312" w:hAnsi="仿宋_GB2312" w:eastAsia="仿宋_GB2312" w:cs="仿宋_GB2312"/>
                <w:spacing w:val="-50"/>
                <w:szCs w:val="21"/>
              </w:rPr>
              <w:t xml:space="preserve"> </w:t>
            </w:r>
            <w:r>
              <w:rPr>
                <w:rFonts w:hint="eastAsia" w:ascii="仿宋_GB2312" w:hAnsi="仿宋_GB2312" w:eastAsia="仿宋_GB2312" w:cs="仿宋_GB2312"/>
                <w:b/>
                <w:bCs/>
                <w:spacing w:val="5"/>
                <w:szCs w:val="21"/>
              </w:rPr>
              <w:t>5）设备的安装和系统运行质量保证措施</w:t>
            </w:r>
            <w:r>
              <w:rPr>
                <w:rFonts w:hint="eastAsia" w:ascii="仿宋_GB2312" w:hAnsi="仿宋_GB2312" w:eastAsia="仿宋_GB2312" w:cs="仿宋_GB2312"/>
                <w:b/>
                <w:bCs/>
                <w:spacing w:val="-16"/>
                <w:szCs w:val="21"/>
              </w:rPr>
              <w:t>；（</w:t>
            </w:r>
            <w:r>
              <w:rPr>
                <w:rFonts w:hint="eastAsia" w:ascii="仿宋_GB2312" w:hAnsi="仿宋_GB2312" w:eastAsia="仿宋_GB2312" w:cs="仿宋_GB2312"/>
                <w:spacing w:val="-51"/>
                <w:szCs w:val="21"/>
              </w:rPr>
              <w:t xml:space="preserve"> </w:t>
            </w:r>
            <w:r>
              <w:rPr>
                <w:rFonts w:hint="eastAsia" w:ascii="仿宋_GB2312" w:hAnsi="仿宋_GB2312" w:eastAsia="仿宋_GB2312" w:cs="仿宋_GB2312"/>
                <w:b/>
                <w:bCs/>
                <w:spacing w:val="5"/>
                <w:szCs w:val="21"/>
              </w:rPr>
              <w:t>6）风险应对措</w:t>
            </w:r>
            <w:r>
              <w:rPr>
                <w:rFonts w:hint="eastAsia" w:ascii="仿宋_GB2312" w:hAnsi="仿宋_GB2312" w:eastAsia="仿宋_GB2312" w:cs="仿宋_GB2312"/>
                <w:b/>
                <w:bCs/>
                <w:spacing w:val="-3"/>
                <w:szCs w:val="21"/>
              </w:rPr>
              <w:t>施。</w:t>
            </w:r>
          </w:p>
          <w:p w14:paraId="4B346020">
            <w:pPr>
              <w:spacing w:line="360" w:lineRule="auto"/>
              <w:ind w:firstLine="442" w:firstLineChars="200"/>
              <w:rPr>
                <w:rFonts w:hint="eastAsia" w:ascii="仿宋_GB2312" w:hAnsi="仿宋_GB2312" w:eastAsia="仿宋_GB2312" w:cs="仿宋_GB2312"/>
                <w:b/>
                <w:color w:val="000000" w:themeColor="text1"/>
                <w:szCs w:val="21"/>
                <w14:textFill>
                  <w14:solidFill>
                    <w14:schemeClr w14:val="tx1"/>
                  </w14:solidFill>
                </w14:textFill>
              </w:rPr>
            </w:pPr>
            <w:r>
              <w:rPr>
                <w:rFonts w:hint="eastAsia" w:ascii="仿宋_GB2312" w:hAnsi="仿宋_GB2312" w:eastAsia="仿宋_GB2312" w:cs="仿宋_GB2312"/>
                <w:b/>
                <w:spacing w:val="5"/>
                <w:szCs w:val="21"/>
              </w:rPr>
              <w:t>2.未提供方案或提供的内容与本项目无关的得</w:t>
            </w:r>
            <w:r>
              <w:rPr>
                <w:rFonts w:hint="eastAsia" w:ascii="仿宋_GB2312" w:hAnsi="仿宋_GB2312" w:eastAsia="仿宋_GB2312" w:cs="仿宋_GB2312"/>
                <w:spacing w:val="-15"/>
                <w:szCs w:val="21"/>
              </w:rPr>
              <w:t xml:space="preserve"> </w:t>
            </w:r>
            <w:r>
              <w:rPr>
                <w:rFonts w:hint="eastAsia" w:ascii="仿宋_GB2312" w:hAnsi="仿宋_GB2312" w:eastAsia="仿宋_GB2312" w:cs="仿宋_GB2312"/>
                <w:b/>
                <w:spacing w:val="5"/>
                <w:szCs w:val="21"/>
              </w:rPr>
              <w:t>0</w:t>
            </w:r>
            <w:r>
              <w:rPr>
                <w:rFonts w:hint="eastAsia" w:ascii="仿宋_GB2312" w:hAnsi="仿宋_GB2312" w:eastAsia="仿宋_GB2312" w:cs="仿宋_GB2312"/>
                <w:spacing w:val="-36"/>
                <w:szCs w:val="21"/>
              </w:rPr>
              <w:t xml:space="preserve"> </w:t>
            </w:r>
            <w:r>
              <w:rPr>
                <w:rFonts w:hint="eastAsia" w:ascii="仿宋_GB2312" w:hAnsi="仿宋_GB2312" w:eastAsia="仿宋_GB2312" w:cs="仿宋_GB2312"/>
                <w:b/>
                <w:spacing w:val="5"/>
                <w:szCs w:val="21"/>
              </w:rPr>
              <w:t>分。</w:t>
            </w:r>
          </w:p>
        </w:tc>
        <w:tc>
          <w:tcPr>
            <w:tcW w:w="960" w:type="dxa"/>
            <w:vAlign w:val="center"/>
          </w:tcPr>
          <w:p w14:paraId="50D58860">
            <w:pPr>
              <w:spacing w:line="360" w:lineRule="exact"/>
              <w:jc w:val="center"/>
              <w:rPr>
                <w:rFonts w:hint="default" w:ascii="仿宋_GB2312" w:hAnsi="仿宋_GB2312" w:eastAsia="仿宋_GB2312"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10</w:t>
            </w:r>
          </w:p>
        </w:tc>
        <w:tc>
          <w:tcPr>
            <w:tcW w:w="1260" w:type="dxa"/>
            <w:vAlign w:val="center"/>
          </w:tcPr>
          <w:p w14:paraId="236C646F">
            <w:pPr>
              <w:spacing w:line="36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项目实施方案</w:t>
            </w:r>
          </w:p>
        </w:tc>
      </w:tr>
      <w:tr w14:paraId="2F07F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5" w:type="dxa"/>
            <w:vMerge w:val="continue"/>
            <w:vAlign w:val="center"/>
          </w:tcPr>
          <w:p w14:paraId="5E573F7E">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p>
        </w:tc>
        <w:tc>
          <w:tcPr>
            <w:tcW w:w="1110" w:type="dxa"/>
            <w:vAlign w:val="center"/>
          </w:tcPr>
          <w:p w14:paraId="08B92FBC">
            <w:pPr>
              <w:widowControl/>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安装进度计划和工期保证</w:t>
            </w:r>
          </w:p>
        </w:tc>
        <w:tc>
          <w:tcPr>
            <w:tcW w:w="5925" w:type="dxa"/>
            <w:vAlign w:val="center"/>
          </w:tcPr>
          <w:p w14:paraId="6E397F45">
            <w:pPr>
              <w:pStyle w:val="234"/>
              <w:spacing w:before="175" w:line="406" w:lineRule="auto"/>
              <w:ind w:right="52"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一档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spacing w:val="-50"/>
                <w:sz w:val="21"/>
                <w:szCs w:val="21"/>
                <w:highlight w:val="yellow"/>
                <w:lang w:eastAsia="zh-CN"/>
              </w:rPr>
              <w:t xml:space="preserve"> </w:t>
            </w:r>
            <w:r>
              <w:rPr>
                <w:rFonts w:hint="eastAsia" w:ascii="仿宋_GB2312" w:hAnsi="仿宋_GB2312" w:eastAsia="仿宋_GB2312" w:cs="仿宋_GB2312"/>
                <w:b/>
                <w:bCs/>
                <w:spacing w:val="6"/>
                <w:sz w:val="21"/>
                <w:szCs w:val="21"/>
                <w:highlight w:val="yellow"/>
                <w:lang w:val="en-US" w:eastAsia="zh-CN"/>
              </w:rPr>
              <w:t>10</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2"/>
                <w:sz w:val="21"/>
                <w:szCs w:val="21"/>
                <w:highlight w:val="yellow"/>
                <w:lang w:eastAsia="zh-CN"/>
              </w:rPr>
              <w:t>）</w:t>
            </w:r>
            <w:r>
              <w:rPr>
                <w:rFonts w:hint="eastAsia" w:ascii="仿宋_GB2312" w:hAnsi="仿宋_GB2312" w:eastAsia="仿宋_GB2312" w:cs="仿宋_GB2312"/>
                <w:b/>
                <w:bCs/>
                <w:spacing w:val="-2"/>
                <w:sz w:val="21"/>
                <w:szCs w:val="21"/>
                <w:lang w:eastAsia="zh-CN"/>
              </w:rPr>
              <w:t>：</w:t>
            </w:r>
            <w:r>
              <w:rPr>
                <w:rFonts w:hint="eastAsia" w:ascii="仿宋_GB2312" w:hAnsi="仿宋_GB2312" w:eastAsia="仿宋_GB2312" w:cs="仿宋_GB2312"/>
                <w:spacing w:val="6"/>
                <w:sz w:val="21"/>
                <w:szCs w:val="21"/>
                <w:lang w:eastAsia="zh-CN"/>
              </w:rPr>
              <w:t>实施进度规划科学紧凑、贴合项目现</w:t>
            </w:r>
            <w:r>
              <w:rPr>
                <w:rFonts w:hint="eastAsia" w:ascii="仿宋_GB2312" w:hAnsi="仿宋_GB2312" w:eastAsia="仿宋_GB2312" w:cs="仿宋_GB2312"/>
                <w:spacing w:val="5"/>
                <w:sz w:val="21"/>
                <w:szCs w:val="21"/>
                <w:lang w:eastAsia="zh-CN"/>
              </w:rPr>
              <w:t>场实</w:t>
            </w:r>
            <w:r>
              <w:rPr>
                <w:rFonts w:hint="eastAsia" w:ascii="仿宋_GB2312" w:hAnsi="仿宋_GB2312" w:eastAsia="仿宋_GB2312" w:cs="仿宋_GB2312"/>
                <w:spacing w:val="8"/>
                <w:sz w:val="21"/>
                <w:szCs w:val="21"/>
                <w:lang w:eastAsia="zh-CN"/>
              </w:rPr>
              <w:t>际，细化划分≥4</w:t>
            </w:r>
            <w:r>
              <w:rPr>
                <w:rFonts w:hint="eastAsia" w:ascii="仿宋_GB2312" w:hAnsi="仿宋_GB2312" w:eastAsia="仿宋_GB2312" w:cs="仿宋_GB2312"/>
                <w:spacing w:val="-18"/>
                <w:sz w:val="21"/>
                <w:szCs w:val="21"/>
                <w:lang w:eastAsia="zh-CN"/>
              </w:rPr>
              <w:t xml:space="preserve"> </w:t>
            </w:r>
            <w:r>
              <w:rPr>
                <w:rFonts w:hint="eastAsia" w:ascii="仿宋_GB2312" w:hAnsi="仿宋_GB2312" w:eastAsia="仿宋_GB2312" w:cs="仿宋_GB2312"/>
                <w:spacing w:val="8"/>
                <w:sz w:val="21"/>
                <w:szCs w:val="21"/>
                <w:lang w:eastAsia="zh-CN"/>
              </w:rPr>
              <w:t>个关键实施节点</w:t>
            </w:r>
            <w:r>
              <w:rPr>
                <w:rFonts w:hint="eastAsia" w:ascii="仿宋_GB2312" w:hAnsi="仿宋_GB2312" w:eastAsia="仿宋_GB2312" w:cs="仿宋_GB2312"/>
                <w:spacing w:val="-1"/>
                <w:sz w:val="21"/>
                <w:szCs w:val="21"/>
                <w:lang w:eastAsia="zh-CN"/>
              </w:rPr>
              <w:t>，</w:t>
            </w:r>
            <w:r>
              <w:rPr>
                <w:rFonts w:hint="eastAsia" w:ascii="仿宋_GB2312" w:hAnsi="仿宋_GB2312" w:eastAsia="仿宋_GB2312" w:cs="仿宋_GB2312"/>
                <w:spacing w:val="6"/>
                <w:sz w:val="21"/>
                <w:szCs w:val="21"/>
                <w:lang w:eastAsia="zh-CN"/>
              </w:rPr>
              <w:t>各</w:t>
            </w:r>
            <w:r>
              <w:rPr>
                <w:rFonts w:hint="eastAsia" w:ascii="仿宋_GB2312" w:hAnsi="仿宋_GB2312" w:eastAsia="仿宋_GB2312" w:cs="仿宋_GB2312"/>
                <w:spacing w:val="8"/>
                <w:sz w:val="21"/>
                <w:szCs w:val="21"/>
                <w:lang w:eastAsia="zh-CN"/>
              </w:rPr>
              <w:t>节点工期分配合理、衔接连贯、无空档期，整体工期优于采购</w:t>
            </w:r>
            <w:r>
              <w:rPr>
                <w:rFonts w:hint="eastAsia" w:ascii="仿宋_GB2312" w:hAnsi="仿宋_GB2312" w:eastAsia="仿宋_GB2312" w:cs="仿宋_GB2312"/>
                <w:spacing w:val="3"/>
                <w:sz w:val="21"/>
                <w:szCs w:val="21"/>
                <w:lang w:eastAsia="zh-CN"/>
              </w:rPr>
              <w:t>要求。关键工作实施步骤、操作要点、管控细节描述全面详实，</w:t>
            </w:r>
            <w:r>
              <w:rPr>
                <w:rFonts w:hint="eastAsia" w:ascii="仿宋_GB2312" w:hAnsi="仿宋_GB2312" w:eastAsia="仿宋_GB2312" w:cs="仿宋_GB2312"/>
                <w:spacing w:val="7"/>
                <w:sz w:val="21"/>
                <w:szCs w:val="21"/>
                <w:lang w:eastAsia="zh-CN"/>
              </w:rPr>
              <w:t>实施方案先进合理、落地性极强；配套</w:t>
            </w:r>
            <w:r>
              <w:rPr>
                <w:rFonts w:hint="eastAsia" w:ascii="仿宋_GB2312" w:hAnsi="仿宋_GB2312" w:eastAsia="仿宋_GB2312" w:cs="仿宋_GB2312"/>
                <w:spacing w:val="-22"/>
                <w:sz w:val="21"/>
                <w:szCs w:val="21"/>
                <w:lang w:eastAsia="zh-CN"/>
              </w:rPr>
              <w:t xml:space="preserve"> </w:t>
            </w:r>
            <w:r>
              <w:rPr>
                <w:rFonts w:hint="eastAsia" w:ascii="仿宋_GB2312" w:hAnsi="仿宋_GB2312" w:eastAsia="仿宋_GB2312" w:cs="仿宋_GB2312"/>
                <w:spacing w:val="7"/>
                <w:sz w:val="21"/>
                <w:szCs w:val="21"/>
                <w:lang w:eastAsia="zh-CN"/>
              </w:rPr>
              <w:t>3</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spacing w:val="7"/>
                <w:sz w:val="21"/>
                <w:szCs w:val="21"/>
                <w:lang w:eastAsia="zh-CN"/>
              </w:rPr>
              <w:t>项及以上专项工期保</w:t>
            </w:r>
            <w:r>
              <w:rPr>
                <w:rFonts w:hint="eastAsia" w:ascii="仿宋_GB2312" w:hAnsi="仿宋_GB2312" w:eastAsia="仿宋_GB2312" w:cs="仿宋_GB2312"/>
                <w:spacing w:val="8"/>
                <w:sz w:val="21"/>
                <w:szCs w:val="21"/>
                <w:lang w:eastAsia="zh-CN"/>
              </w:rPr>
              <w:t>障措施（人员、设备、物料、应急、管控等维度</w:t>
            </w:r>
            <w:r>
              <w:rPr>
                <w:rFonts w:hint="eastAsia" w:ascii="仿宋_GB2312" w:hAnsi="仿宋_GB2312" w:eastAsia="仿宋_GB2312" w:cs="仿宋_GB2312"/>
                <w:spacing w:val="15"/>
                <w:sz w:val="21"/>
                <w:szCs w:val="21"/>
                <w:lang w:eastAsia="zh-CN"/>
              </w:rPr>
              <w:t>），</w:t>
            </w:r>
            <w:r>
              <w:rPr>
                <w:rFonts w:hint="eastAsia" w:ascii="仿宋_GB2312" w:hAnsi="仿宋_GB2312" w:eastAsia="仿宋_GB2312" w:cs="仿宋_GB2312"/>
                <w:spacing w:val="8"/>
                <w:sz w:val="21"/>
                <w:szCs w:val="21"/>
                <w:lang w:eastAsia="zh-CN"/>
              </w:rPr>
              <w:t>措施针对性、可行性极高，可有效保障项目按期甚至提前完工，对采购人项目落地、投入使用具备实质性助力。</w:t>
            </w:r>
          </w:p>
          <w:p w14:paraId="0F2EDAD9">
            <w:pPr>
              <w:pStyle w:val="234"/>
              <w:spacing w:before="1" w:line="406" w:lineRule="auto"/>
              <w:ind w:right="98"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二档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7</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20"/>
                <w:sz w:val="21"/>
                <w:szCs w:val="21"/>
                <w:lang w:eastAsia="zh-CN"/>
              </w:rPr>
              <w:t>：</w:t>
            </w:r>
            <w:r>
              <w:rPr>
                <w:rFonts w:hint="eastAsia" w:ascii="仿宋_GB2312" w:hAnsi="仿宋_GB2312" w:eastAsia="仿宋_GB2312" w:cs="仿宋_GB2312"/>
                <w:spacing w:val="6"/>
                <w:sz w:val="21"/>
                <w:szCs w:val="21"/>
                <w:lang w:eastAsia="zh-CN"/>
              </w:rPr>
              <w:t>实施进度计划贴合项目需求，关键节点划</w:t>
            </w:r>
            <w:r>
              <w:rPr>
                <w:rFonts w:hint="eastAsia" w:ascii="仿宋_GB2312" w:hAnsi="仿宋_GB2312" w:eastAsia="仿宋_GB2312" w:cs="仿宋_GB2312"/>
                <w:spacing w:val="8"/>
                <w:sz w:val="21"/>
                <w:szCs w:val="21"/>
                <w:lang w:eastAsia="zh-CN"/>
              </w:rPr>
              <w:t>分清晰，工期规划符合采购要求。实施步骤、工作要点描述较为详细，方案整体合理；具备针对性的工期保障措施，覆盖主要工期风险点，能够有效规避常规工期延误问题，保障项目如</w:t>
            </w:r>
            <w:r>
              <w:rPr>
                <w:rFonts w:hint="eastAsia" w:ascii="仿宋_GB2312" w:hAnsi="仿宋_GB2312" w:eastAsia="仿宋_GB2312" w:cs="仿宋_GB2312"/>
                <w:spacing w:val="4"/>
                <w:sz w:val="21"/>
                <w:szCs w:val="21"/>
                <w:lang w:eastAsia="zh-CN"/>
              </w:rPr>
              <w:t>期完工。</w:t>
            </w:r>
          </w:p>
          <w:p w14:paraId="179F391D">
            <w:pPr>
              <w:pStyle w:val="234"/>
              <w:spacing w:before="2" w:line="395" w:lineRule="auto"/>
              <w:ind w:right="98"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三档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4</w:t>
            </w:r>
            <w:r>
              <w:rPr>
                <w:rFonts w:hint="eastAsia" w:ascii="仿宋_GB2312" w:hAnsi="仿宋_GB2312" w:eastAsia="仿宋_GB2312" w:cs="仿宋_GB2312"/>
                <w:b/>
                <w:bCs/>
                <w:spacing w:val="6"/>
                <w:sz w:val="21"/>
                <w:szCs w:val="21"/>
                <w:highlight w:val="yellow"/>
                <w:lang w:eastAsia="zh-CN"/>
              </w:rPr>
              <w:t xml:space="preserve"> 分</w:t>
            </w:r>
            <w:r>
              <w:rPr>
                <w:rFonts w:hint="eastAsia" w:ascii="仿宋_GB2312" w:hAnsi="仿宋_GB2312" w:eastAsia="仿宋_GB2312" w:cs="仿宋_GB2312"/>
                <w:b/>
                <w:bCs/>
                <w:spacing w:val="6"/>
                <w:sz w:val="21"/>
                <w:szCs w:val="21"/>
                <w:lang w:eastAsia="zh-CN"/>
              </w:rPr>
              <w:t>）</w:t>
            </w:r>
            <w:r>
              <w:rPr>
                <w:rFonts w:hint="eastAsia" w:ascii="仿宋_GB2312" w:hAnsi="仿宋_GB2312" w:eastAsia="仿宋_GB2312" w:cs="仿宋_GB2312"/>
                <w:b/>
                <w:bCs/>
                <w:spacing w:val="15"/>
                <w:sz w:val="21"/>
                <w:szCs w:val="21"/>
                <w:lang w:eastAsia="zh-CN"/>
              </w:rPr>
              <w:t>：</w:t>
            </w:r>
            <w:r>
              <w:rPr>
                <w:rFonts w:hint="eastAsia" w:ascii="仿宋_GB2312" w:hAnsi="仿宋_GB2312" w:eastAsia="仿宋_GB2312" w:cs="仿宋_GB2312"/>
                <w:spacing w:val="6"/>
                <w:sz w:val="21"/>
                <w:szCs w:val="21"/>
                <w:lang w:eastAsia="zh-CN"/>
              </w:rPr>
              <w:t>仅提供基础进度规划，满足最低采购工期</w:t>
            </w:r>
            <w:r>
              <w:rPr>
                <w:rFonts w:hint="eastAsia" w:ascii="仿宋_GB2312" w:hAnsi="仿宋_GB2312" w:eastAsia="仿宋_GB2312" w:cs="仿宋_GB2312"/>
                <w:spacing w:val="7"/>
                <w:sz w:val="21"/>
                <w:szCs w:val="21"/>
                <w:lang w:eastAsia="zh-CN"/>
              </w:rPr>
              <w:t>要求，节点划分简略、无细化管控；工期保证措施单</w:t>
            </w:r>
            <w:r>
              <w:rPr>
                <w:rFonts w:hint="eastAsia" w:ascii="仿宋_GB2312" w:hAnsi="仿宋_GB2312" w:eastAsia="仿宋_GB2312" w:cs="仿宋_GB2312"/>
                <w:spacing w:val="6"/>
                <w:sz w:val="21"/>
                <w:szCs w:val="21"/>
                <w:lang w:eastAsia="zh-CN"/>
              </w:rPr>
              <w:t>一、</w:t>
            </w:r>
            <w:r>
              <w:rPr>
                <w:rFonts w:hint="eastAsia" w:ascii="仿宋_GB2312" w:hAnsi="仿宋_GB2312" w:eastAsia="仿宋_GB2312" w:cs="仿宋_GB2312"/>
                <w:spacing w:val="-59"/>
                <w:sz w:val="21"/>
                <w:szCs w:val="21"/>
                <w:lang w:eastAsia="zh-CN"/>
              </w:rPr>
              <w:t xml:space="preserve"> </w:t>
            </w:r>
            <w:r>
              <w:rPr>
                <w:rFonts w:hint="eastAsia" w:ascii="仿宋_GB2312" w:hAnsi="仿宋_GB2312" w:eastAsia="仿宋_GB2312" w:cs="仿宋_GB2312"/>
                <w:spacing w:val="6"/>
                <w:sz w:val="21"/>
                <w:szCs w:val="21"/>
                <w:lang w:eastAsia="zh-CN"/>
              </w:rPr>
              <w:t>内容</w:t>
            </w:r>
            <w:r>
              <w:rPr>
                <w:rFonts w:hint="eastAsia" w:ascii="仿宋_GB2312" w:hAnsi="仿宋_GB2312" w:eastAsia="仿宋_GB2312" w:cs="仿宋_GB2312"/>
                <w:spacing w:val="8"/>
                <w:sz w:val="21"/>
                <w:szCs w:val="21"/>
                <w:lang w:eastAsia="zh-CN"/>
              </w:rPr>
              <w:t>笼统，仅具备基础可行性，无专项管控手段。</w:t>
            </w:r>
          </w:p>
          <w:p w14:paraId="19074DFD">
            <w:pPr>
              <w:pStyle w:val="234"/>
              <w:spacing w:line="360" w:lineRule="auto"/>
              <w:ind w:firstLine="438"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4"/>
                <w:sz w:val="21"/>
                <w:szCs w:val="21"/>
                <w:lang w:eastAsia="zh-CN"/>
              </w:rPr>
              <w:t>注：1.该方案内容不限于包括</w:t>
            </w:r>
            <w:r>
              <w:rPr>
                <w:rFonts w:hint="eastAsia" w:ascii="仿宋_GB2312" w:hAnsi="仿宋_GB2312" w:eastAsia="仿宋_GB2312" w:cs="仿宋_GB2312"/>
                <w:b/>
                <w:bCs/>
                <w:spacing w:val="-18"/>
                <w:sz w:val="21"/>
                <w:szCs w:val="21"/>
                <w:lang w:eastAsia="zh-CN"/>
              </w:rPr>
              <w:t>：（</w:t>
            </w:r>
            <w:r>
              <w:rPr>
                <w:rFonts w:hint="eastAsia" w:ascii="仿宋_GB2312" w:hAnsi="仿宋_GB2312" w:eastAsia="仿宋_GB2312" w:cs="仿宋_GB2312"/>
                <w:spacing w:val="-44"/>
                <w:sz w:val="21"/>
                <w:szCs w:val="21"/>
                <w:lang w:eastAsia="zh-CN"/>
              </w:rPr>
              <w:t xml:space="preserve"> </w:t>
            </w:r>
            <w:r>
              <w:rPr>
                <w:rFonts w:hint="eastAsia" w:ascii="仿宋_GB2312" w:hAnsi="仿宋_GB2312" w:eastAsia="仿宋_GB2312" w:cs="仿宋_GB2312"/>
                <w:b/>
                <w:bCs/>
                <w:spacing w:val="4"/>
                <w:sz w:val="21"/>
                <w:szCs w:val="21"/>
                <w:lang w:eastAsia="zh-CN"/>
              </w:rPr>
              <w:t>1）安装调试进度</w:t>
            </w:r>
            <w:r>
              <w:rPr>
                <w:rFonts w:hint="eastAsia" w:ascii="仿宋_GB2312" w:hAnsi="仿宋_GB2312" w:eastAsia="仿宋_GB2312" w:cs="仿宋_GB2312"/>
                <w:b/>
                <w:bCs/>
                <w:spacing w:val="3"/>
                <w:sz w:val="21"/>
                <w:szCs w:val="21"/>
                <w:lang w:eastAsia="zh-CN"/>
              </w:rPr>
              <w:t>计划；（</w:t>
            </w:r>
            <w:r>
              <w:rPr>
                <w:rFonts w:hint="eastAsia" w:ascii="仿宋_GB2312" w:hAnsi="仿宋_GB2312" w:eastAsia="仿宋_GB2312" w:cs="仿宋_GB2312"/>
                <w:spacing w:val="-55"/>
                <w:sz w:val="21"/>
                <w:szCs w:val="21"/>
                <w:lang w:eastAsia="zh-CN"/>
              </w:rPr>
              <w:t xml:space="preserve"> </w:t>
            </w:r>
            <w:r>
              <w:rPr>
                <w:rFonts w:hint="eastAsia" w:ascii="仿宋_GB2312" w:hAnsi="仿宋_GB2312" w:eastAsia="仿宋_GB2312" w:cs="仿宋_GB2312"/>
                <w:b/>
                <w:bCs/>
                <w:spacing w:val="3"/>
                <w:sz w:val="21"/>
                <w:szCs w:val="21"/>
                <w:lang w:eastAsia="zh-CN"/>
              </w:rPr>
              <w:t>2）工期保证措施</w:t>
            </w:r>
            <w:r>
              <w:rPr>
                <w:rFonts w:hint="eastAsia" w:ascii="仿宋_GB2312" w:hAnsi="仿宋_GB2312" w:eastAsia="仿宋_GB2312" w:cs="仿宋_GB2312"/>
                <w:b/>
                <w:bCs/>
                <w:spacing w:val="2"/>
                <w:sz w:val="21"/>
                <w:szCs w:val="21"/>
                <w:lang w:eastAsia="zh-CN"/>
              </w:rPr>
              <w:t>；（</w:t>
            </w:r>
            <w:r>
              <w:rPr>
                <w:rFonts w:hint="eastAsia" w:ascii="仿宋_GB2312" w:hAnsi="仿宋_GB2312" w:eastAsia="仿宋_GB2312" w:cs="仿宋_GB2312"/>
                <w:spacing w:val="-47"/>
                <w:sz w:val="21"/>
                <w:szCs w:val="21"/>
                <w:lang w:eastAsia="zh-CN"/>
              </w:rPr>
              <w:t xml:space="preserve"> </w:t>
            </w:r>
            <w:r>
              <w:rPr>
                <w:rFonts w:hint="eastAsia" w:ascii="仿宋_GB2312" w:hAnsi="仿宋_GB2312" w:eastAsia="仿宋_GB2312" w:cs="仿宋_GB2312"/>
                <w:b/>
                <w:bCs/>
                <w:spacing w:val="3"/>
                <w:sz w:val="21"/>
                <w:szCs w:val="21"/>
                <w:lang w:eastAsia="zh-CN"/>
              </w:rPr>
              <w:t>3）工期风险点管控等。</w:t>
            </w:r>
          </w:p>
          <w:p w14:paraId="59719189">
            <w:pPr>
              <w:spacing w:line="360" w:lineRule="auto"/>
              <w:ind w:firstLine="442" w:firstLineChars="200"/>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spacing w:val="5"/>
                <w:szCs w:val="21"/>
              </w:rPr>
              <w:t>2.未提供方案或提供的内容与本项目无关的得</w:t>
            </w:r>
            <w:r>
              <w:rPr>
                <w:rFonts w:hint="eastAsia" w:ascii="仿宋_GB2312" w:hAnsi="仿宋_GB2312" w:eastAsia="仿宋_GB2312" w:cs="仿宋_GB2312"/>
                <w:spacing w:val="-15"/>
                <w:szCs w:val="21"/>
              </w:rPr>
              <w:t xml:space="preserve"> </w:t>
            </w:r>
            <w:r>
              <w:rPr>
                <w:rFonts w:hint="eastAsia" w:ascii="仿宋_GB2312" w:hAnsi="仿宋_GB2312" w:eastAsia="仿宋_GB2312" w:cs="仿宋_GB2312"/>
                <w:b/>
                <w:spacing w:val="5"/>
                <w:szCs w:val="21"/>
              </w:rPr>
              <w:t>0</w:t>
            </w:r>
            <w:r>
              <w:rPr>
                <w:rFonts w:hint="eastAsia" w:ascii="仿宋_GB2312" w:hAnsi="仿宋_GB2312" w:eastAsia="仿宋_GB2312" w:cs="仿宋_GB2312"/>
                <w:spacing w:val="-36"/>
                <w:szCs w:val="21"/>
              </w:rPr>
              <w:t xml:space="preserve"> </w:t>
            </w:r>
            <w:r>
              <w:rPr>
                <w:rFonts w:hint="eastAsia" w:ascii="仿宋_GB2312" w:hAnsi="仿宋_GB2312" w:eastAsia="仿宋_GB2312" w:cs="仿宋_GB2312"/>
                <w:b/>
                <w:spacing w:val="5"/>
                <w:szCs w:val="21"/>
              </w:rPr>
              <w:t>分。</w:t>
            </w:r>
          </w:p>
        </w:tc>
        <w:tc>
          <w:tcPr>
            <w:tcW w:w="960" w:type="dxa"/>
            <w:vAlign w:val="center"/>
          </w:tcPr>
          <w:p w14:paraId="1F057D15">
            <w:pPr>
              <w:spacing w:line="360" w:lineRule="exact"/>
              <w:jc w:val="center"/>
              <w:rPr>
                <w:rFonts w:hint="default" w:ascii="仿宋_GB2312" w:hAnsi="仿宋_GB2312" w:eastAsia="仿宋_GB2312"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10</w:t>
            </w:r>
          </w:p>
        </w:tc>
        <w:tc>
          <w:tcPr>
            <w:tcW w:w="1260" w:type="dxa"/>
            <w:vAlign w:val="center"/>
          </w:tcPr>
          <w:p w14:paraId="4FC25A2D">
            <w:pPr>
              <w:spacing w:line="36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安装进度计划和工期保证</w:t>
            </w:r>
          </w:p>
        </w:tc>
      </w:tr>
      <w:tr w14:paraId="18C99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trPr>
        <w:tc>
          <w:tcPr>
            <w:tcW w:w="885" w:type="dxa"/>
            <w:vMerge w:val="restart"/>
            <w:vAlign w:val="center"/>
          </w:tcPr>
          <w:p w14:paraId="65612FFB">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售后服务方案分</w:t>
            </w:r>
          </w:p>
        </w:tc>
        <w:tc>
          <w:tcPr>
            <w:tcW w:w="1110" w:type="dxa"/>
            <w:vAlign w:val="center"/>
          </w:tcPr>
          <w:p w14:paraId="0E18D093">
            <w:pPr>
              <w:widowControl/>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技术培训方案</w:t>
            </w:r>
          </w:p>
        </w:tc>
        <w:tc>
          <w:tcPr>
            <w:tcW w:w="5925" w:type="dxa"/>
            <w:vAlign w:val="center"/>
          </w:tcPr>
          <w:p w14:paraId="2028528C">
            <w:pPr>
              <w:pStyle w:val="234"/>
              <w:spacing w:before="168" w:line="397" w:lineRule="auto"/>
              <w:ind w:right="96"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一档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9</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21"/>
                <w:sz w:val="21"/>
                <w:szCs w:val="21"/>
                <w:lang w:eastAsia="zh-CN"/>
              </w:rPr>
              <w:t>：</w:t>
            </w:r>
            <w:r>
              <w:rPr>
                <w:rFonts w:hint="eastAsia" w:ascii="仿宋_GB2312" w:hAnsi="仿宋_GB2312" w:eastAsia="仿宋_GB2312" w:cs="仿宋_GB2312"/>
                <w:spacing w:val="6"/>
                <w:sz w:val="21"/>
                <w:szCs w:val="21"/>
                <w:lang w:eastAsia="zh-CN"/>
              </w:rPr>
              <w:t>技术培训方案完善详尽、针对性极强，完全匹</w:t>
            </w:r>
            <w:r>
              <w:rPr>
                <w:rFonts w:hint="eastAsia" w:ascii="仿宋_GB2312" w:hAnsi="仿宋_GB2312" w:eastAsia="仿宋_GB2312" w:cs="仿宋_GB2312"/>
                <w:spacing w:val="12"/>
                <w:sz w:val="21"/>
                <w:szCs w:val="21"/>
                <w:lang w:eastAsia="zh-CN"/>
              </w:rPr>
              <w:t>配采购人岗位操作、运维管理需求。承诺采用现场实操+理论</w:t>
            </w:r>
            <w:r>
              <w:rPr>
                <w:rFonts w:hint="eastAsia" w:ascii="仿宋_GB2312" w:hAnsi="仿宋_GB2312" w:eastAsia="仿宋_GB2312" w:cs="仿宋_GB2312"/>
                <w:spacing w:val="7"/>
                <w:sz w:val="21"/>
                <w:szCs w:val="21"/>
                <w:lang w:eastAsia="zh-CN"/>
              </w:rPr>
              <w:t>授课双模式培训，配备具备</w:t>
            </w:r>
            <w:r>
              <w:rPr>
                <w:rFonts w:hint="eastAsia" w:ascii="仿宋_GB2312" w:hAnsi="仿宋_GB2312" w:eastAsia="仿宋_GB2312" w:cs="仿宋_GB2312"/>
                <w:spacing w:val="-25"/>
                <w:sz w:val="21"/>
                <w:szCs w:val="21"/>
                <w:lang w:eastAsia="zh-CN"/>
              </w:rPr>
              <w:t xml:space="preserve"> </w:t>
            </w:r>
            <w:r>
              <w:rPr>
                <w:rFonts w:hint="eastAsia" w:ascii="仿宋_GB2312" w:hAnsi="仿宋_GB2312" w:eastAsia="仿宋_GB2312" w:cs="仿宋_GB2312"/>
                <w:spacing w:val="7"/>
                <w:sz w:val="21"/>
                <w:szCs w:val="21"/>
                <w:lang w:eastAsia="zh-CN"/>
              </w:rPr>
              <w:t>2</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spacing w:val="7"/>
                <w:sz w:val="21"/>
                <w:szCs w:val="21"/>
                <w:lang w:eastAsia="zh-CN"/>
              </w:rPr>
              <w:t>年及以上项目培训经验的讲师≥</w:t>
            </w:r>
            <w:r>
              <w:rPr>
                <w:rFonts w:hint="eastAsia" w:ascii="仿宋_GB2312" w:hAnsi="仿宋_GB2312" w:eastAsia="仿宋_GB2312" w:cs="仿宋_GB2312"/>
                <w:spacing w:val="10"/>
                <w:sz w:val="21"/>
                <w:szCs w:val="21"/>
                <w:lang w:eastAsia="zh-CN"/>
              </w:rPr>
              <w:t>1</w:t>
            </w:r>
            <w:r>
              <w:rPr>
                <w:rFonts w:hint="eastAsia" w:ascii="仿宋_GB2312" w:hAnsi="仿宋_GB2312" w:eastAsia="仿宋_GB2312" w:cs="仿宋_GB2312"/>
                <w:spacing w:val="-40"/>
                <w:sz w:val="21"/>
                <w:szCs w:val="21"/>
                <w:lang w:eastAsia="zh-CN"/>
              </w:rPr>
              <w:t xml:space="preserve"> </w:t>
            </w:r>
            <w:r>
              <w:rPr>
                <w:rFonts w:hint="eastAsia" w:ascii="仿宋_GB2312" w:hAnsi="仿宋_GB2312" w:eastAsia="仿宋_GB2312" w:cs="仿宋_GB2312"/>
                <w:spacing w:val="10"/>
                <w:sz w:val="21"/>
                <w:szCs w:val="21"/>
                <w:lang w:eastAsia="zh-CN"/>
              </w:rPr>
              <w:t>名，师资专业性、实操能力过硬；课程体系完整，覆盖设备</w:t>
            </w:r>
            <w:r>
              <w:rPr>
                <w:rFonts w:hint="eastAsia" w:ascii="仿宋_GB2312" w:hAnsi="仿宋_GB2312" w:eastAsia="仿宋_GB2312" w:cs="仿宋_GB2312"/>
                <w:spacing w:val="7"/>
                <w:sz w:val="21"/>
                <w:szCs w:val="21"/>
                <w:lang w:eastAsia="zh-CN"/>
              </w:rPr>
              <w:t>操作、系统运维、故障排查、</w:t>
            </w:r>
            <w:r>
              <w:rPr>
                <w:rFonts w:hint="eastAsia" w:ascii="仿宋_GB2312" w:hAnsi="仿宋_GB2312" w:eastAsia="仿宋_GB2312" w:cs="仿宋_GB2312"/>
                <w:spacing w:val="-46"/>
                <w:sz w:val="21"/>
                <w:szCs w:val="21"/>
                <w:lang w:eastAsia="zh-CN"/>
              </w:rPr>
              <w:t xml:space="preserve"> </w:t>
            </w:r>
            <w:r>
              <w:rPr>
                <w:rFonts w:hint="eastAsia" w:ascii="仿宋_GB2312" w:hAnsi="仿宋_GB2312" w:eastAsia="仿宋_GB2312" w:cs="仿宋_GB2312"/>
                <w:spacing w:val="7"/>
                <w:sz w:val="21"/>
                <w:szCs w:val="21"/>
                <w:lang w:eastAsia="zh-CN"/>
              </w:rPr>
              <w:t>日常管理等核</w:t>
            </w:r>
            <w:r>
              <w:rPr>
                <w:rFonts w:hint="eastAsia" w:ascii="仿宋_GB2312" w:hAnsi="仿宋_GB2312" w:eastAsia="仿宋_GB2312" w:cs="仿宋_GB2312"/>
                <w:spacing w:val="6"/>
                <w:sz w:val="21"/>
                <w:szCs w:val="21"/>
                <w:lang w:eastAsia="zh-CN"/>
              </w:rPr>
              <w:t>心内容，课程安排</w:t>
            </w:r>
            <w:r>
              <w:rPr>
                <w:rFonts w:hint="eastAsia" w:ascii="仿宋_GB2312" w:hAnsi="仿宋_GB2312" w:eastAsia="仿宋_GB2312" w:cs="仿宋_GB2312"/>
                <w:spacing w:val="1"/>
                <w:sz w:val="21"/>
                <w:szCs w:val="21"/>
                <w:lang w:eastAsia="zh-CN"/>
              </w:rPr>
              <w:t>科学循序渐进；</w:t>
            </w:r>
            <w:r>
              <w:rPr>
                <w:rFonts w:hint="eastAsia" w:ascii="仿宋_GB2312" w:hAnsi="仿宋_GB2312" w:eastAsia="仿宋_GB2312" w:cs="仿宋_GB2312"/>
                <w:spacing w:val="8"/>
                <w:sz w:val="21"/>
                <w:szCs w:val="21"/>
                <w:lang w:eastAsia="zh-CN"/>
              </w:rPr>
              <w:t>培训课时≥</w:t>
            </w:r>
            <w:r>
              <w:rPr>
                <w:rFonts w:hint="eastAsia" w:ascii="仿宋_GB2312" w:hAnsi="仿宋_GB2312" w:eastAsia="仿宋_GB2312" w:cs="仿宋_GB2312"/>
                <w:spacing w:val="-77"/>
                <w:sz w:val="21"/>
                <w:szCs w:val="21"/>
                <w:lang w:eastAsia="zh-CN"/>
              </w:rPr>
              <w:t xml:space="preserve"> </w:t>
            </w:r>
            <w:r>
              <w:rPr>
                <w:rFonts w:hint="eastAsia" w:ascii="仿宋_GB2312" w:hAnsi="仿宋_GB2312" w:eastAsia="仿宋_GB2312" w:cs="仿宋_GB2312"/>
                <w:spacing w:val="8"/>
                <w:sz w:val="21"/>
                <w:szCs w:val="21"/>
                <w:lang w:eastAsia="zh-CN"/>
              </w:rPr>
              <w:t>5</w:t>
            </w:r>
            <w:r>
              <w:rPr>
                <w:rFonts w:hint="eastAsia" w:ascii="仿宋_GB2312" w:hAnsi="仿宋_GB2312" w:eastAsia="仿宋_GB2312" w:cs="仿宋_GB2312"/>
                <w:spacing w:val="-35"/>
                <w:sz w:val="21"/>
                <w:szCs w:val="21"/>
                <w:lang w:eastAsia="zh-CN"/>
              </w:rPr>
              <w:t xml:space="preserve"> </w:t>
            </w:r>
            <w:r>
              <w:rPr>
                <w:rFonts w:hint="eastAsia" w:ascii="仿宋_GB2312" w:hAnsi="仿宋_GB2312" w:eastAsia="仿宋_GB2312" w:cs="仿宋_GB2312"/>
                <w:spacing w:val="8"/>
                <w:sz w:val="21"/>
                <w:szCs w:val="21"/>
                <w:lang w:eastAsia="zh-CN"/>
              </w:rPr>
              <w:t>课时，课时充足、培训节奏合理，同时配套课后答疑、实操考核、培训资料交付等闭环培训机制，可全面保障培训效果。</w:t>
            </w:r>
          </w:p>
          <w:p w14:paraId="5049DBCD">
            <w:pPr>
              <w:pStyle w:val="234"/>
              <w:spacing w:line="397" w:lineRule="auto"/>
              <w:ind w:right="98"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二档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5</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19"/>
                <w:sz w:val="21"/>
                <w:szCs w:val="21"/>
                <w:lang w:eastAsia="zh-CN"/>
              </w:rPr>
              <w:t>：</w:t>
            </w:r>
            <w:r>
              <w:rPr>
                <w:rFonts w:hint="eastAsia" w:ascii="仿宋_GB2312" w:hAnsi="仿宋_GB2312" w:eastAsia="仿宋_GB2312" w:cs="仿宋_GB2312"/>
                <w:spacing w:val="4"/>
                <w:sz w:val="21"/>
                <w:szCs w:val="21"/>
                <w:lang w:eastAsia="zh-CN"/>
              </w:rPr>
              <w:t>培训方案内容具体、架构完整，</w:t>
            </w:r>
            <w:r>
              <w:rPr>
                <w:rFonts w:hint="eastAsia" w:ascii="仿宋_GB2312" w:hAnsi="仿宋_GB2312" w:eastAsia="仿宋_GB2312" w:cs="仿宋_GB2312"/>
                <w:spacing w:val="-60"/>
                <w:sz w:val="21"/>
                <w:szCs w:val="21"/>
                <w:lang w:eastAsia="zh-CN"/>
              </w:rPr>
              <w:t xml:space="preserve"> </w:t>
            </w:r>
            <w:r>
              <w:rPr>
                <w:rFonts w:hint="eastAsia" w:ascii="仿宋_GB2312" w:hAnsi="仿宋_GB2312" w:eastAsia="仿宋_GB2312" w:cs="仿宋_GB2312"/>
                <w:spacing w:val="4"/>
                <w:sz w:val="21"/>
                <w:szCs w:val="21"/>
                <w:lang w:eastAsia="zh-CN"/>
              </w:rPr>
              <w:t>明确包含</w:t>
            </w:r>
            <w:r>
              <w:rPr>
                <w:rFonts w:hint="eastAsia" w:ascii="仿宋_GB2312" w:hAnsi="仿宋_GB2312" w:eastAsia="仿宋_GB2312" w:cs="仿宋_GB2312"/>
                <w:spacing w:val="8"/>
                <w:sz w:val="21"/>
                <w:szCs w:val="21"/>
                <w:lang w:eastAsia="zh-CN"/>
              </w:rPr>
              <w:t>课程安排、师资配置、培训对象、培训核心内容等模块，培训方式贴合项目需求，能够较好满足采购人人员操作、运维学习</w:t>
            </w:r>
            <w:r>
              <w:rPr>
                <w:rFonts w:hint="eastAsia" w:ascii="仿宋_GB2312" w:hAnsi="仿宋_GB2312" w:eastAsia="仿宋_GB2312" w:cs="仿宋_GB2312"/>
                <w:spacing w:val="9"/>
                <w:sz w:val="21"/>
                <w:szCs w:val="21"/>
                <w:lang w:eastAsia="zh-CN"/>
              </w:rPr>
              <w:t>需求，培训流程规范，具备完整的培训闭环。</w:t>
            </w:r>
          </w:p>
          <w:p w14:paraId="0F9BC105">
            <w:pPr>
              <w:pStyle w:val="234"/>
              <w:spacing w:before="2" w:line="389" w:lineRule="auto"/>
              <w:ind w:right="98"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三档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3</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15"/>
                <w:sz w:val="21"/>
                <w:szCs w:val="21"/>
                <w:lang w:eastAsia="zh-CN"/>
              </w:rPr>
              <w:t>：</w:t>
            </w:r>
            <w:r>
              <w:rPr>
                <w:rFonts w:hint="eastAsia" w:ascii="仿宋_GB2312" w:hAnsi="仿宋_GB2312" w:eastAsia="仿宋_GB2312" w:cs="仿宋_GB2312"/>
                <w:spacing w:val="4"/>
                <w:sz w:val="21"/>
                <w:szCs w:val="21"/>
                <w:lang w:eastAsia="zh-CN"/>
              </w:rPr>
              <w:t>仅提供基础培训框架，</w:t>
            </w:r>
            <w:r>
              <w:rPr>
                <w:rFonts w:hint="eastAsia" w:ascii="仿宋_GB2312" w:hAnsi="仿宋_GB2312" w:eastAsia="仿宋_GB2312" w:cs="仿宋_GB2312"/>
                <w:spacing w:val="-50"/>
                <w:sz w:val="21"/>
                <w:szCs w:val="21"/>
                <w:lang w:eastAsia="zh-CN"/>
              </w:rPr>
              <w:t xml:space="preserve"> </w:t>
            </w:r>
            <w:r>
              <w:rPr>
                <w:rFonts w:hint="eastAsia" w:ascii="仿宋_GB2312" w:hAnsi="仿宋_GB2312" w:eastAsia="仿宋_GB2312" w:cs="仿宋_GB2312"/>
                <w:spacing w:val="4"/>
                <w:sz w:val="21"/>
                <w:szCs w:val="21"/>
                <w:lang w:eastAsia="zh-CN"/>
              </w:rPr>
              <w:t>内容简单笼统</w:t>
            </w:r>
            <w:r>
              <w:rPr>
                <w:rFonts w:hint="eastAsia" w:ascii="仿宋_GB2312" w:hAnsi="仿宋_GB2312" w:eastAsia="仿宋_GB2312" w:cs="仿宋_GB2312"/>
                <w:spacing w:val="3"/>
                <w:sz w:val="21"/>
                <w:szCs w:val="21"/>
                <w:lang w:eastAsia="zh-CN"/>
              </w:rPr>
              <w:t>，无</w:t>
            </w:r>
            <w:r>
              <w:rPr>
                <w:rFonts w:hint="eastAsia" w:ascii="仿宋_GB2312" w:hAnsi="仿宋_GB2312" w:eastAsia="仿宋_GB2312" w:cs="仿宋_GB2312"/>
                <w:spacing w:val="8"/>
                <w:sz w:val="21"/>
                <w:szCs w:val="21"/>
                <w:lang w:eastAsia="zh-CN"/>
              </w:rPr>
              <w:t>明确课时、课程细则、师资规划，仅能满足最基础的入门培训</w:t>
            </w:r>
            <w:r>
              <w:rPr>
                <w:rFonts w:hint="eastAsia" w:ascii="仿宋_GB2312" w:hAnsi="仿宋_GB2312" w:eastAsia="仿宋_GB2312" w:cs="仿宋_GB2312"/>
                <w:spacing w:val="-1"/>
                <w:sz w:val="21"/>
                <w:szCs w:val="21"/>
                <w:lang w:eastAsia="zh-CN"/>
              </w:rPr>
              <w:t>需求。</w:t>
            </w:r>
          </w:p>
          <w:p w14:paraId="4194EF88">
            <w:pPr>
              <w:pStyle w:val="234"/>
              <w:spacing w:before="1" w:line="368" w:lineRule="auto"/>
              <w:ind w:right="84" w:firstLine="442" w:firstLineChars="200"/>
              <w:rPr>
                <w:rFonts w:hint="eastAsia" w:ascii="仿宋_GB2312" w:hAnsi="仿宋_GB2312" w:eastAsia="仿宋_GB2312" w:cs="仿宋_GB2312"/>
                <w:b/>
                <w:bCs/>
                <w:spacing w:val="-1"/>
                <w:sz w:val="21"/>
                <w:szCs w:val="21"/>
                <w:lang w:eastAsia="zh-CN"/>
              </w:rPr>
            </w:pPr>
            <w:r>
              <w:rPr>
                <w:rFonts w:hint="eastAsia" w:ascii="仿宋_GB2312" w:hAnsi="仿宋_GB2312" w:eastAsia="仿宋_GB2312" w:cs="仿宋_GB2312"/>
                <w:b/>
                <w:bCs/>
                <w:spacing w:val="5"/>
                <w:sz w:val="21"/>
                <w:szCs w:val="21"/>
                <w:lang w:eastAsia="zh-CN"/>
              </w:rPr>
              <w:t>注：1.该方案内容可以包括</w:t>
            </w:r>
            <w:r>
              <w:rPr>
                <w:rFonts w:hint="eastAsia" w:ascii="仿宋_GB2312" w:hAnsi="仿宋_GB2312" w:eastAsia="仿宋_GB2312" w:cs="仿宋_GB2312"/>
                <w:b/>
                <w:bCs/>
                <w:spacing w:val="-12"/>
                <w:sz w:val="21"/>
                <w:szCs w:val="21"/>
                <w:lang w:eastAsia="zh-CN"/>
              </w:rPr>
              <w:t>：（</w:t>
            </w:r>
            <w:r>
              <w:rPr>
                <w:rFonts w:hint="eastAsia" w:ascii="仿宋_GB2312" w:hAnsi="仿宋_GB2312" w:eastAsia="仿宋_GB2312" w:cs="仿宋_GB2312"/>
                <w:spacing w:val="-44"/>
                <w:sz w:val="21"/>
                <w:szCs w:val="21"/>
                <w:lang w:eastAsia="zh-CN"/>
              </w:rPr>
              <w:t xml:space="preserve"> </w:t>
            </w:r>
            <w:r>
              <w:rPr>
                <w:rFonts w:hint="eastAsia" w:ascii="仿宋_GB2312" w:hAnsi="仿宋_GB2312" w:eastAsia="仿宋_GB2312" w:cs="仿宋_GB2312"/>
                <w:b/>
                <w:bCs/>
                <w:spacing w:val="5"/>
                <w:sz w:val="21"/>
                <w:szCs w:val="21"/>
                <w:lang w:eastAsia="zh-CN"/>
              </w:rPr>
              <w:t>1）课程安排</w:t>
            </w:r>
            <w:r>
              <w:rPr>
                <w:rFonts w:hint="eastAsia" w:ascii="仿宋_GB2312" w:hAnsi="仿宋_GB2312" w:eastAsia="仿宋_GB2312" w:cs="仿宋_GB2312"/>
                <w:b/>
                <w:bCs/>
                <w:spacing w:val="-12"/>
                <w:sz w:val="21"/>
                <w:szCs w:val="21"/>
                <w:lang w:eastAsia="zh-CN"/>
              </w:rPr>
              <w:t>；（</w:t>
            </w:r>
            <w:r>
              <w:rPr>
                <w:rFonts w:hint="eastAsia" w:ascii="仿宋_GB2312" w:hAnsi="仿宋_GB2312" w:eastAsia="仿宋_GB2312" w:cs="仿宋_GB2312"/>
                <w:spacing w:val="-53"/>
                <w:sz w:val="21"/>
                <w:szCs w:val="21"/>
                <w:lang w:eastAsia="zh-CN"/>
              </w:rPr>
              <w:t xml:space="preserve"> </w:t>
            </w:r>
            <w:r>
              <w:rPr>
                <w:rFonts w:hint="eastAsia" w:ascii="仿宋_GB2312" w:hAnsi="仿宋_GB2312" w:eastAsia="仿宋_GB2312" w:cs="仿宋_GB2312"/>
                <w:b/>
                <w:bCs/>
                <w:spacing w:val="5"/>
                <w:sz w:val="21"/>
                <w:szCs w:val="21"/>
                <w:lang w:eastAsia="zh-CN"/>
              </w:rPr>
              <w:t>2）授课</w:t>
            </w:r>
            <w:r>
              <w:rPr>
                <w:rFonts w:hint="eastAsia" w:ascii="仿宋_GB2312" w:hAnsi="仿宋_GB2312" w:eastAsia="仿宋_GB2312" w:cs="仿宋_GB2312"/>
                <w:b/>
                <w:bCs/>
                <w:spacing w:val="-1"/>
                <w:sz w:val="21"/>
                <w:szCs w:val="21"/>
                <w:lang w:eastAsia="zh-CN"/>
              </w:rPr>
              <w:t>模式</w:t>
            </w:r>
            <w:r>
              <w:rPr>
                <w:rFonts w:hint="eastAsia" w:ascii="仿宋_GB2312" w:hAnsi="仿宋_GB2312" w:eastAsia="仿宋_GB2312" w:cs="仿宋_GB2312"/>
                <w:b/>
                <w:bCs/>
                <w:spacing w:val="-2"/>
                <w:sz w:val="21"/>
                <w:szCs w:val="21"/>
                <w:lang w:eastAsia="zh-CN"/>
              </w:rPr>
              <w:t>；（</w:t>
            </w:r>
            <w:r>
              <w:rPr>
                <w:rFonts w:hint="eastAsia" w:ascii="仿宋_GB2312" w:hAnsi="仿宋_GB2312" w:eastAsia="仿宋_GB2312" w:cs="仿宋_GB2312"/>
                <w:spacing w:val="-46"/>
                <w:sz w:val="21"/>
                <w:szCs w:val="21"/>
                <w:lang w:eastAsia="zh-CN"/>
              </w:rPr>
              <w:t xml:space="preserve"> </w:t>
            </w:r>
            <w:r>
              <w:rPr>
                <w:rFonts w:hint="eastAsia" w:ascii="仿宋_GB2312" w:hAnsi="仿宋_GB2312" w:eastAsia="仿宋_GB2312" w:cs="仿宋_GB2312"/>
                <w:b/>
                <w:bCs/>
                <w:spacing w:val="-1"/>
                <w:sz w:val="21"/>
                <w:szCs w:val="21"/>
                <w:lang w:eastAsia="zh-CN"/>
              </w:rPr>
              <w:t>3</w:t>
            </w:r>
            <w:r>
              <w:rPr>
                <w:rFonts w:hint="eastAsia" w:ascii="仿宋_GB2312" w:hAnsi="仿宋_GB2312" w:eastAsia="仿宋_GB2312" w:cs="仿宋_GB2312"/>
                <w:spacing w:val="-42"/>
                <w:sz w:val="21"/>
                <w:szCs w:val="21"/>
                <w:lang w:eastAsia="zh-CN"/>
              </w:rPr>
              <w:t xml:space="preserve"> </w:t>
            </w:r>
            <w:r>
              <w:rPr>
                <w:rFonts w:hint="eastAsia" w:ascii="仿宋_GB2312" w:hAnsi="仿宋_GB2312" w:eastAsia="仿宋_GB2312" w:cs="仿宋_GB2312"/>
                <w:b/>
                <w:bCs/>
                <w:spacing w:val="-1"/>
                <w:sz w:val="21"/>
                <w:szCs w:val="21"/>
                <w:lang w:eastAsia="zh-CN"/>
              </w:rPr>
              <w:t>）师资配置等内容。</w:t>
            </w:r>
          </w:p>
          <w:p w14:paraId="17599D39">
            <w:pPr>
              <w:pStyle w:val="234"/>
              <w:spacing w:before="1" w:line="368" w:lineRule="auto"/>
              <w:ind w:right="84" w:firstLine="442" w:firstLineChars="200"/>
              <w:rPr>
                <w:rFonts w:hint="eastAsia" w:ascii="仿宋_GB2312" w:hAnsi="仿宋_GB2312" w:eastAsia="仿宋_GB2312" w:cs="仿宋_GB2312"/>
                <w:b/>
                <w:bCs/>
                <w:color w:val="000000" w:themeColor="text1"/>
                <w:sz w:val="21"/>
                <w:szCs w:val="21"/>
                <w:lang w:eastAsia="zh-CN"/>
                <w14:textFill>
                  <w14:solidFill>
                    <w14:schemeClr w14:val="tx1"/>
                  </w14:solidFill>
                </w14:textFill>
              </w:rPr>
            </w:pPr>
            <w:r>
              <w:rPr>
                <w:rFonts w:hint="eastAsia" w:ascii="仿宋_GB2312" w:hAnsi="仿宋_GB2312" w:eastAsia="仿宋_GB2312" w:cs="仿宋_GB2312"/>
                <w:b/>
                <w:bCs/>
                <w:spacing w:val="5"/>
                <w:sz w:val="21"/>
                <w:szCs w:val="21"/>
                <w:lang w:eastAsia="zh-CN"/>
              </w:rPr>
              <w:t>2.未提供方案或提供的内容与本项目无关的得</w:t>
            </w:r>
            <w:r>
              <w:rPr>
                <w:rFonts w:hint="eastAsia" w:ascii="仿宋_GB2312" w:hAnsi="仿宋_GB2312" w:eastAsia="仿宋_GB2312" w:cs="仿宋_GB2312"/>
                <w:spacing w:val="-15"/>
                <w:sz w:val="21"/>
                <w:szCs w:val="21"/>
                <w:lang w:eastAsia="zh-CN"/>
              </w:rPr>
              <w:t xml:space="preserve"> </w:t>
            </w:r>
            <w:r>
              <w:rPr>
                <w:rFonts w:hint="eastAsia" w:ascii="仿宋_GB2312" w:hAnsi="仿宋_GB2312" w:eastAsia="仿宋_GB2312" w:cs="仿宋_GB2312"/>
                <w:b/>
                <w:bCs/>
                <w:spacing w:val="5"/>
                <w:sz w:val="21"/>
                <w:szCs w:val="21"/>
                <w:lang w:eastAsia="zh-CN"/>
              </w:rPr>
              <w:t>0</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b/>
                <w:bCs/>
                <w:spacing w:val="5"/>
                <w:sz w:val="21"/>
                <w:szCs w:val="21"/>
                <w:lang w:eastAsia="zh-CN"/>
              </w:rPr>
              <w:t>分。</w:t>
            </w:r>
          </w:p>
        </w:tc>
        <w:tc>
          <w:tcPr>
            <w:tcW w:w="960" w:type="dxa"/>
            <w:vAlign w:val="center"/>
          </w:tcPr>
          <w:p w14:paraId="0D4395EB">
            <w:pPr>
              <w:spacing w:line="360" w:lineRule="exact"/>
              <w:jc w:val="center"/>
              <w:rPr>
                <w:rFonts w:hint="eastAsia" w:ascii="仿宋_GB2312" w:hAnsi="仿宋_GB2312" w:eastAsia="仿宋_GB2312" w:cs="仿宋_GB2312"/>
                <w:b/>
                <w:bCs/>
                <w:color w:val="000000" w:themeColor="text1"/>
                <w:szCs w:val="21"/>
                <w:lang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9</w:t>
            </w:r>
          </w:p>
        </w:tc>
        <w:tc>
          <w:tcPr>
            <w:tcW w:w="1260" w:type="dxa"/>
            <w:vAlign w:val="center"/>
          </w:tcPr>
          <w:p w14:paraId="07F1D259">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技术培训方案</w:t>
            </w:r>
          </w:p>
        </w:tc>
      </w:tr>
      <w:tr w14:paraId="2CC0B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885" w:type="dxa"/>
            <w:vMerge w:val="continue"/>
            <w:vAlign w:val="center"/>
          </w:tcPr>
          <w:p w14:paraId="24829504">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p>
        </w:tc>
        <w:tc>
          <w:tcPr>
            <w:tcW w:w="1110" w:type="dxa"/>
            <w:vAlign w:val="center"/>
          </w:tcPr>
          <w:p w14:paraId="52F395E0">
            <w:pPr>
              <w:widowControl/>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r>
              <w:rPr>
                <w:rFonts w:hint="eastAsia" w:ascii="仿宋_GB2312" w:hAnsi="仿宋_GB2312" w:eastAsia="仿宋_GB2312" w:cs="仿宋_GB2312"/>
                <w:b/>
                <w:bCs/>
                <w:color w:val="000000" w:themeColor="text1"/>
                <w:szCs w:val="21"/>
                <w14:textFill>
                  <w14:solidFill>
                    <w14:schemeClr w14:val="tx1"/>
                  </w14:solidFill>
                </w14:textFill>
              </w:rPr>
              <w:t>售后服务方案</w:t>
            </w:r>
          </w:p>
        </w:tc>
        <w:tc>
          <w:tcPr>
            <w:tcW w:w="5925" w:type="dxa"/>
            <w:vAlign w:val="center"/>
          </w:tcPr>
          <w:p w14:paraId="03E80764">
            <w:pPr>
              <w:pStyle w:val="234"/>
              <w:spacing w:before="167" w:line="397" w:lineRule="auto"/>
              <w:ind w:right="33" w:firstLine="446" w:firstLineChars="200"/>
              <w:rPr>
                <w:rFonts w:hint="eastAsia" w:ascii="仿宋_GB2312" w:hAnsi="仿宋_GB2312" w:eastAsia="仿宋_GB2312" w:cs="仿宋_GB2312"/>
                <w:sz w:val="21"/>
                <w:szCs w:val="21"/>
                <w:lang w:eastAsia="zh-CN"/>
              </w:rPr>
            </w:pPr>
            <w:r>
              <w:rPr>
                <w:rFonts w:hint="eastAsia" w:ascii="仿宋_GB2312" w:hAnsi="仿宋_GB2312" w:eastAsia="仿宋_GB2312" w:cs="仿宋_GB2312"/>
                <w:b/>
                <w:bCs/>
                <w:spacing w:val="6"/>
                <w:sz w:val="21"/>
                <w:szCs w:val="21"/>
                <w:lang w:eastAsia="zh-CN"/>
              </w:rPr>
              <w:t>一档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spacing w:val="-50"/>
                <w:sz w:val="21"/>
                <w:szCs w:val="21"/>
                <w:highlight w:val="yellow"/>
                <w:lang w:eastAsia="zh-CN"/>
              </w:rPr>
              <w:t xml:space="preserve"> </w:t>
            </w:r>
            <w:r>
              <w:rPr>
                <w:rFonts w:hint="eastAsia" w:ascii="仿宋_GB2312" w:hAnsi="仿宋_GB2312" w:eastAsia="仿宋_GB2312" w:cs="仿宋_GB2312"/>
                <w:b/>
                <w:bCs/>
                <w:spacing w:val="6"/>
                <w:sz w:val="21"/>
                <w:szCs w:val="21"/>
                <w:highlight w:val="yellow"/>
                <w:lang w:val="en-US" w:eastAsia="zh-CN"/>
              </w:rPr>
              <w:t>10</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3"/>
                <w:sz w:val="21"/>
                <w:szCs w:val="21"/>
                <w:highlight w:val="yellow"/>
                <w:lang w:eastAsia="zh-CN"/>
              </w:rPr>
              <w:t>）</w:t>
            </w:r>
            <w:r>
              <w:rPr>
                <w:rFonts w:hint="eastAsia" w:ascii="仿宋_GB2312" w:hAnsi="仿宋_GB2312" w:eastAsia="仿宋_GB2312" w:cs="仿宋_GB2312"/>
                <w:b/>
                <w:bCs/>
                <w:spacing w:val="-3"/>
                <w:sz w:val="21"/>
                <w:szCs w:val="21"/>
                <w:lang w:eastAsia="zh-CN"/>
              </w:rPr>
              <w:t>：</w:t>
            </w:r>
            <w:r>
              <w:rPr>
                <w:rFonts w:hint="eastAsia" w:ascii="仿宋_GB2312" w:hAnsi="仿宋_GB2312" w:eastAsia="仿宋_GB2312" w:cs="仿宋_GB2312"/>
                <w:spacing w:val="6"/>
                <w:sz w:val="21"/>
                <w:szCs w:val="21"/>
                <w:lang w:eastAsia="zh-CN"/>
              </w:rPr>
              <w:t>售后服务方案及服务承诺全面详实、逻辑</w:t>
            </w:r>
            <w:r>
              <w:rPr>
                <w:rFonts w:hint="eastAsia" w:ascii="仿宋_GB2312" w:hAnsi="仿宋_GB2312" w:eastAsia="仿宋_GB2312" w:cs="仿宋_GB2312"/>
                <w:spacing w:val="10"/>
                <w:sz w:val="21"/>
                <w:szCs w:val="21"/>
                <w:lang w:eastAsia="zh-CN"/>
              </w:rPr>
              <w:t>清晰，可操作性极强。建立全周期售后保障体系，技术人员≥2</w:t>
            </w:r>
            <w:r>
              <w:rPr>
                <w:rFonts w:hint="eastAsia" w:ascii="仿宋_GB2312" w:hAnsi="仿宋_GB2312" w:eastAsia="仿宋_GB2312" w:cs="仿宋_GB2312"/>
                <w:spacing w:val="-42"/>
                <w:sz w:val="21"/>
                <w:szCs w:val="21"/>
                <w:lang w:eastAsia="zh-CN"/>
              </w:rPr>
              <w:t xml:space="preserve"> </w:t>
            </w:r>
            <w:r>
              <w:rPr>
                <w:rFonts w:hint="eastAsia" w:ascii="仿宋_GB2312" w:hAnsi="仿宋_GB2312" w:eastAsia="仿宋_GB2312" w:cs="仿宋_GB2312"/>
                <w:spacing w:val="10"/>
                <w:sz w:val="21"/>
                <w:szCs w:val="21"/>
                <w:lang w:eastAsia="zh-CN"/>
              </w:rPr>
              <w:t>名，售后团队配置充足；故障处置流</w:t>
            </w:r>
            <w:r>
              <w:rPr>
                <w:rFonts w:hint="eastAsia" w:ascii="仿宋_GB2312" w:hAnsi="仿宋_GB2312" w:eastAsia="仿宋_GB2312" w:cs="仿宋_GB2312"/>
                <w:spacing w:val="9"/>
                <w:sz w:val="21"/>
                <w:szCs w:val="21"/>
                <w:lang w:eastAsia="zh-CN"/>
              </w:rPr>
              <w:t>程、报修响</w:t>
            </w:r>
            <w:r>
              <w:rPr>
                <w:rFonts w:hint="eastAsia" w:ascii="仿宋_GB2312" w:hAnsi="仿宋_GB2312" w:eastAsia="仿宋_GB2312" w:cs="仿宋_GB2312"/>
                <w:spacing w:val="10"/>
                <w:sz w:val="21"/>
                <w:szCs w:val="21"/>
                <w:lang w:eastAsia="zh-CN"/>
              </w:rPr>
              <w:t>应、现场排查、修复交付全流程标准化，</w:t>
            </w:r>
            <w:r>
              <w:rPr>
                <w:rFonts w:hint="eastAsia" w:ascii="仿宋_GB2312" w:hAnsi="仿宋_GB2312" w:eastAsia="仿宋_GB2312" w:cs="仿宋_GB2312"/>
                <w:spacing w:val="-48"/>
                <w:sz w:val="21"/>
                <w:szCs w:val="21"/>
                <w:lang w:eastAsia="zh-CN"/>
              </w:rPr>
              <w:t xml:space="preserve"> </w:t>
            </w:r>
            <w:r>
              <w:rPr>
                <w:rFonts w:hint="eastAsia" w:ascii="仿宋_GB2312" w:hAnsi="仿宋_GB2312" w:eastAsia="仿宋_GB2312" w:cs="仿宋_GB2312"/>
                <w:spacing w:val="10"/>
                <w:sz w:val="21"/>
                <w:szCs w:val="21"/>
                <w:lang w:eastAsia="zh-CN"/>
              </w:rPr>
              <w:t>紧急故障响应</w:t>
            </w:r>
            <w:r>
              <w:rPr>
                <w:rFonts w:hint="eastAsia" w:ascii="仿宋_GB2312" w:hAnsi="仿宋_GB2312" w:eastAsia="仿宋_GB2312" w:cs="仿宋_GB2312"/>
                <w:spacing w:val="-35"/>
                <w:sz w:val="21"/>
                <w:szCs w:val="21"/>
                <w:lang w:eastAsia="zh-CN"/>
              </w:rPr>
              <w:t xml:space="preserve"> </w:t>
            </w:r>
            <w:r>
              <w:rPr>
                <w:rFonts w:hint="eastAsia" w:ascii="仿宋_GB2312" w:hAnsi="仿宋_GB2312" w:eastAsia="仿宋_GB2312" w:cs="仿宋_GB2312"/>
                <w:spacing w:val="10"/>
                <w:sz w:val="21"/>
                <w:szCs w:val="21"/>
                <w:lang w:eastAsia="zh-CN"/>
              </w:rPr>
              <w:t>≤</w:t>
            </w:r>
            <w:r>
              <w:rPr>
                <w:rFonts w:hint="eastAsia" w:ascii="仿宋_GB2312" w:hAnsi="仿宋_GB2312" w:eastAsia="仿宋_GB2312" w:cs="仿宋_GB2312"/>
                <w:spacing w:val="-66"/>
                <w:sz w:val="21"/>
                <w:szCs w:val="21"/>
                <w:lang w:eastAsia="zh-CN"/>
              </w:rPr>
              <w:t xml:space="preserve"> </w:t>
            </w:r>
            <w:r>
              <w:rPr>
                <w:rFonts w:hint="eastAsia" w:ascii="仿宋_GB2312" w:hAnsi="仿宋_GB2312" w:eastAsia="仿宋_GB2312" w:cs="仿宋_GB2312"/>
                <w:spacing w:val="10"/>
                <w:sz w:val="21"/>
                <w:szCs w:val="21"/>
                <w:lang w:eastAsia="zh-CN"/>
              </w:rPr>
              <w:t>30</w:t>
            </w:r>
            <w:r>
              <w:rPr>
                <w:rFonts w:hint="eastAsia" w:ascii="仿宋_GB2312" w:hAnsi="仿宋_GB2312" w:eastAsia="仿宋_GB2312" w:cs="仿宋_GB2312"/>
                <w:spacing w:val="4"/>
                <w:sz w:val="21"/>
                <w:szCs w:val="21"/>
                <w:lang w:eastAsia="zh-CN"/>
              </w:rPr>
              <w:t>分钟、现场处置≤2</w:t>
            </w:r>
            <w:r>
              <w:rPr>
                <w:rFonts w:hint="eastAsia" w:ascii="仿宋_GB2312" w:hAnsi="仿宋_GB2312" w:eastAsia="仿宋_GB2312" w:cs="仿宋_GB2312"/>
                <w:spacing w:val="-31"/>
                <w:sz w:val="21"/>
                <w:szCs w:val="21"/>
                <w:lang w:eastAsia="zh-CN"/>
              </w:rPr>
              <w:t xml:space="preserve"> </w:t>
            </w:r>
            <w:r>
              <w:rPr>
                <w:rFonts w:hint="eastAsia" w:ascii="仿宋_GB2312" w:hAnsi="仿宋_GB2312" w:eastAsia="仿宋_GB2312" w:cs="仿宋_GB2312"/>
                <w:spacing w:val="4"/>
                <w:sz w:val="21"/>
                <w:szCs w:val="21"/>
                <w:lang w:eastAsia="zh-CN"/>
              </w:rPr>
              <w:t>小时；完善保修期内免费维保、故障抢修、</w:t>
            </w:r>
            <w:r>
              <w:rPr>
                <w:rFonts w:hint="eastAsia" w:ascii="仿宋_GB2312" w:hAnsi="仿宋_GB2312" w:eastAsia="仿宋_GB2312" w:cs="仿宋_GB2312"/>
                <w:spacing w:val="7"/>
                <w:sz w:val="21"/>
                <w:szCs w:val="21"/>
                <w:lang w:eastAsia="zh-CN"/>
              </w:rPr>
              <w:t>定期巡检服务，每季度不少于</w:t>
            </w:r>
            <w:r>
              <w:rPr>
                <w:rFonts w:hint="eastAsia" w:ascii="仿宋_GB2312" w:hAnsi="仿宋_GB2312" w:eastAsia="仿宋_GB2312" w:cs="仿宋_GB2312"/>
                <w:spacing w:val="-21"/>
                <w:sz w:val="21"/>
                <w:szCs w:val="21"/>
                <w:lang w:eastAsia="zh-CN"/>
              </w:rPr>
              <w:t xml:space="preserve"> </w:t>
            </w:r>
            <w:r>
              <w:rPr>
                <w:rFonts w:hint="eastAsia" w:ascii="仿宋_GB2312" w:hAnsi="仿宋_GB2312" w:eastAsia="仿宋_GB2312" w:cs="仿宋_GB2312"/>
                <w:spacing w:val="7"/>
                <w:sz w:val="21"/>
                <w:szCs w:val="21"/>
                <w:lang w:eastAsia="zh-CN"/>
              </w:rPr>
              <w:t>1</w:t>
            </w:r>
            <w:r>
              <w:rPr>
                <w:rFonts w:hint="eastAsia" w:ascii="仿宋_GB2312" w:hAnsi="仿宋_GB2312" w:eastAsia="仿宋_GB2312" w:cs="仿宋_GB2312"/>
                <w:spacing w:val="-34"/>
                <w:sz w:val="21"/>
                <w:szCs w:val="21"/>
                <w:lang w:eastAsia="zh-CN"/>
              </w:rPr>
              <w:t xml:space="preserve"> </w:t>
            </w:r>
            <w:r>
              <w:rPr>
                <w:rFonts w:hint="eastAsia" w:ascii="仿宋_GB2312" w:hAnsi="仿宋_GB2312" w:eastAsia="仿宋_GB2312" w:cs="仿宋_GB2312"/>
                <w:spacing w:val="7"/>
                <w:sz w:val="21"/>
                <w:szCs w:val="21"/>
                <w:lang w:eastAsia="zh-CN"/>
              </w:rPr>
              <w:t>次上门回访运维；具备完善的</w:t>
            </w:r>
            <w:r>
              <w:rPr>
                <w:rFonts w:hint="eastAsia" w:ascii="仿宋_GB2312" w:hAnsi="仿宋_GB2312" w:eastAsia="仿宋_GB2312" w:cs="仿宋_GB2312"/>
                <w:spacing w:val="8"/>
                <w:sz w:val="21"/>
                <w:szCs w:val="21"/>
                <w:lang w:eastAsia="zh-CN"/>
              </w:rPr>
              <w:t>零配件储备体系，常用备件库存充足、供货时效有保障；保修期外维修服务标准、收费标准、服务流程公开透明；配套完善的售后故障应急预案、突发问题处置机制，且投标人或产品厂商具备规范的售后管理制度、完善的售后资源体系，服务保障</w:t>
            </w:r>
            <w:r>
              <w:rPr>
                <w:rFonts w:hint="eastAsia" w:ascii="仿宋_GB2312" w:hAnsi="仿宋_GB2312" w:eastAsia="仿宋_GB2312" w:cs="仿宋_GB2312"/>
                <w:spacing w:val="7"/>
                <w:sz w:val="21"/>
                <w:szCs w:val="21"/>
                <w:lang w:eastAsia="zh-CN"/>
              </w:rPr>
              <w:t>能力优于采购需求。</w:t>
            </w:r>
          </w:p>
          <w:p w14:paraId="41D93A21">
            <w:pPr>
              <w:pStyle w:val="234"/>
              <w:spacing w:before="1" w:line="396" w:lineRule="auto"/>
              <w:ind w:right="98" w:firstLine="446" w:firstLineChars="200"/>
              <w:rPr>
                <w:rFonts w:hint="eastAsia" w:ascii="仿宋_GB2312" w:hAnsi="仿宋_GB2312" w:eastAsia="仿宋_GB2312" w:cs="仿宋_GB2312"/>
                <w:spacing w:val="6"/>
                <w:sz w:val="21"/>
                <w:szCs w:val="21"/>
                <w:lang w:eastAsia="zh-CN"/>
              </w:rPr>
            </w:pPr>
            <w:r>
              <w:rPr>
                <w:rFonts w:hint="eastAsia" w:ascii="仿宋_GB2312" w:hAnsi="仿宋_GB2312" w:eastAsia="仿宋_GB2312" w:cs="仿宋_GB2312"/>
                <w:b/>
                <w:bCs/>
                <w:spacing w:val="6"/>
                <w:sz w:val="21"/>
                <w:szCs w:val="21"/>
                <w:lang w:eastAsia="zh-CN"/>
              </w:rPr>
              <w:t>二档</w:t>
            </w:r>
            <w:r>
              <w:rPr>
                <w:rFonts w:hint="eastAsia" w:ascii="仿宋_GB2312" w:hAnsi="仿宋_GB2312" w:eastAsia="仿宋_GB2312" w:cs="仿宋_GB2312"/>
                <w:b/>
                <w:bCs/>
                <w:spacing w:val="6"/>
                <w:sz w:val="21"/>
                <w:szCs w:val="21"/>
                <w:highlight w:val="yellow"/>
                <w:lang w:eastAsia="zh-CN"/>
              </w:rPr>
              <w:t>（</w:t>
            </w:r>
            <w:r>
              <w:rPr>
                <w:rFonts w:hint="eastAsia" w:ascii="仿宋_GB2312" w:hAnsi="仿宋_GB2312" w:eastAsia="仿宋_GB2312" w:cs="仿宋_GB2312"/>
                <w:b/>
                <w:bCs/>
                <w:spacing w:val="6"/>
                <w:sz w:val="21"/>
                <w:szCs w:val="21"/>
                <w:highlight w:val="yellow"/>
                <w:lang w:val="en-US" w:eastAsia="zh-CN"/>
              </w:rPr>
              <w:t>7</w:t>
            </w:r>
            <w:r>
              <w:rPr>
                <w:rFonts w:hint="eastAsia" w:ascii="仿宋_GB2312" w:hAnsi="仿宋_GB2312" w:eastAsia="仿宋_GB2312" w:cs="仿宋_GB2312"/>
                <w:b/>
                <w:bCs/>
                <w:spacing w:val="6"/>
                <w:sz w:val="21"/>
                <w:szCs w:val="21"/>
                <w:highlight w:val="yellow"/>
                <w:lang w:eastAsia="zh-CN"/>
              </w:rPr>
              <w:t>分）</w:t>
            </w:r>
            <w:r>
              <w:rPr>
                <w:rFonts w:hint="eastAsia" w:ascii="仿宋_GB2312" w:hAnsi="仿宋_GB2312" w:eastAsia="仿宋_GB2312" w:cs="仿宋_GB2312"/>
                <w:b/>
                <w:bCs/>
                <w:spacing w:val="19"/>
                <w:sz w:val="21"/>
                <w:szCs w:val="21"/>
                <w:lang w:eastAsia="zh-CN"/>
              </w:rPr>
              <w:t>：</w:t>
            </w:r>
            <w:r>
              <w:rPr>
                <w:rFonts w:hint="eastAsia" w:ascii="仿宋_GB2312" w:hAnsi="仿宋_GB2312" w:eastAsia="仿宋_GB2312" w:cs="仿宋_GB2312"/>
                <w:spacing w:val="6"/>
                <w:sz w:val="21"/>
                <w:szCs w:val="21"/>
                <w:lang w:eastAsia="zh-CN"/>
              </w:rPr>
              <w:t>售后服务方案完整规范，全面满足采购售</w:t>
            </w:r>
            <w:r>
              <w:rPr>
                <w:rFonts w:hint="eastAsia" w:ascii="仿宋_GB2312" w:hAnsi="仿宋_GB2312" w:eastAsia="仿宋_GB2312" w:cs="仿宋_GB2312"/>
                <w:spacing w:val="8"/>
                <w:sz w:val="21"/>
                <w:szCs w:val="21"/>
                <w:lang w:eastAsia="zh-CN"/>
              </w:rPr>
              <w:t>后要求，核心售后指标（响应时效、维保服务等）优于采购基础需求。具备专项售后技术支持、基础故障应急方案、备件保障及回访机制，方案针对性、可行性较强，可有效保障项目后</w:t>
            </w:r>
            <w:r>
              <w:rPr>
                <w:rFonts w:hint="eastAsia" w:ascii="仿宋_GB2312" w:hAnsi="仿宋_GB2312" w:eastAsia="仿宋_GB2312" w:cs="仿宋_GB2312"/>
                <w:spacing w:val="6"/>
                <w:sz w:val="21"/>
                <w:szCs w:val="21"/>
                <w:lang w:eastAsia="zh-CN"/>
              </w:rPr>
              <w:t>期稳定运行。</w:t>
            </w:r>
          </w:p>
          <w:p w14:paraId="06FD5A3F">
            <w:pPr>
              <w:pStyle w:val="234"/>
              <w:spacing w:before="1" w:line="396" w:lineRule="auto"/>
              <w:ind w:right="98" w:firstLine="442" w:firstLineChars="200"/>
              <w:rPr>
                <w:rFonts w:hint="eastAsia" w:ascii="仿宋_GB2312" w:hAnsi="仿宋_GB2312" w:eastAsia="仿宋_GB2312" w:cs="仿宋_GB2312"/>
                <w:spacing w:val="8"/>
                <w:sz w:val="21"/>
                <w:szCs w:val="21"/>
                <w:lang w:eastAsia="zh-CN"/>
              </w:rPr>
            </w:pPr>
            <w:r>
              <w:rPr>
                <w:rFonts w:hint="eastAsia" w:ascii="仿宋_GB2312" w:hAnsi="仿宋_GB2312" w:eastAsia="仿宋_GB2312" w:cs="仿宋_GB2312"/>
                <w:b/>
                <w:bCs/>
                <w:spacing w:val="5"/>
                <w:sz w:val="21"/>
                <w:szCs w:val="21"/>
                <w:lang w:eastAsia="zh-CN"/>
              </w:rPr>
              <w:t>三档</w:t>
            </w:r>
            <w:r>
              <w:rPr>
                <w:rFonts w:hint="eastAsia" w:ascii="仿宋_GB2312" w:hAnsi="仿宋_GB2312" w:eastAsia="仿宋_GB2312" w:cs="仿宋_GB2312"/>
                <w:b/>
                <w:bCs/>
                <w:spacing w:val="5"/>
                <w:sz w:val="21"/>
                <w:szCs w:val="21"/>
                <w:highlight w:val="yellow"/>
                <w:lang w:eastAsia="zh-CN"/>
              </w:rPr>
              <w:t>（</w:t>
            </w:r>
            <w:r>
              <w:rPr>
                <w:rFonts w:hint="eastAsia" w:ascii="仿宋_GB2312" w:hAnsi="仿宋_GB2312" w:eastAsia="仿宋_GB2312" w:cs="仿宋_GB2312"/>
                <w:b/>
                <w:bCs/>
                <w:spacing w:val="5"/>
                <w:sz w:val="21"/>
                <w:szCs w:val="21"/>
                <w:highlight w:val="yellow"/>
                <w:lang w:val="en-US" w:eastAsia="zh-CN"/>
              </w:rPr>
              <w:t>4</w:t>
            </w:r>
            <w:r>
              <w:rPr>
                <w:rFonts w:hint="eastAsia" w:ascii="仿宋_GB2312" w:hAnsi="仿宋_GB2312" w:eastAsia="仿宋_GB2312" w:cs="仿宋_GB2312"/>
                <w:b/>
                <w:bCs/>
                <w:spacing w:val="5"/>
                <w:sz w:val="21"/>
                <w:szCs w:val="21"/>
                <w:highlight w:val="yellow"/>
                <w:lang w:eastAsia="zh-CN"/>
              </w:rPr>
              <w:t>分）</w:t>
            </w:r>
            <w:r>
              <w:rPr>
                <w:rFonts w:hint="eastAsia" w:ascii="仿宋_GB2312" w:hAnsi="仿宋_GB2312" w:eastAsia="仿宋_GB2312" w:cs="仿宋_GB2312"/>
                <w:b/>
                <w:bCs/>
                <w:spacing w:val="19"/>
                <w:sz w:val="21"/>
                <w:szCs w:val="21"/>
                <w:lang w:eastAsia="zh-CN"/>
              </w:rPr>
              <w:t>：</w:t>
            </w:r>
            <w:r>
              <w:rPr>
                <w:rFonts w:hint="eastAsia" w:ascii="仿宋_GB2312" w:hAnsi="仿宋_GB2312" w:eastAsia="仿宋_GB2312" w:cs="仿宋_GB2312"/>
                <w:spacing w:val="5"/>
                <w:sz w:val="21"/>
                <w:szCs w:val="21"/>
                <w:lang w:eastAsia="zh-CN"/>
              </w:rPr>
              <w:t>售后服务方案内容简略，仅覆盖基础采购</w:t>
            </w:r>
            <w:r>
              <w:rPr>
                <w:rFonts w:hint="eastAsia" w:ascii="仿宋_GB2312" w:hAnsi="仿宋_GB2312" w:eastAsia="仿宋_GB2312" w:cs="仿宋_GB2312"/>
                <w:spacing w:val="8"/>
                <w:sz w:val="21"/>
                <w:szCs w:val="21"/>
                <w:lang w:eastAsia="zh-CN"/>
              </w:rPr>
              <w:t>售后需求，响应机制、维保措施、回访计划、备件保障等内容</w:t>
            </w:r>
            <w:r>
              <w:rPr>
                <w:rFonts w:hint="eastAsia" w:ascii="仿宋_GB2312" w:hAnsi="仿宋_GB2312" w:eastAsia="仿宋_GB2312" w:cs="仿宋_GB2312"/>
                <w:spacing w:val="9"/>
                <w:sz w:val="21"/>
                <w:szCs w:val="21"/>
                <w:lang w:eastAsia="zh-CN"/>
              </w:rPr>
              <w:t>笼统，针对性、落地可行性一般，无细化量化</w:t>
            </w:r>
            <w:r>
              <w:rPr>
                <w:rFonts w:hint="eastAsia" w:ascii="仿宋_GB2312" w:hAnsi="仿宋_GB2312" w:eastAsia="仿宋_GB2312" w:cs="仿宋_GB2312"/>
                <w:spacing w:val="8"/>
                <w:sz w:val="21"/>
                <w:szCs w:val="21"/>
                <w:lang w:eastAsia="zh-CN"/>
              </w:rPr>
              <w:t>服务标准。</w:t>
            </w:r>
          </w:p>
          <w:p w14:paraId="04EE6D9A">
            <w:pPr>
              <w:pStyle w:val="234"/>
              <w:spacing w:before="1" w:line="396" w:lineRule="auto"/>
              <w:ind w:right="98" w:firstLine="450" w:firstLineChars="200"/>
              <w:rPr>
                <w:rFonts w:hint="eastAsia" w:ascii="仿宋_GB2312" w:hAnsi="仿宋_GB2312" w:eastAsia="仿宋_GB2312" w:cs="仿宋_GB2312"/>
                <w:b/>
                <w:bCs/>
                <w:spacing w:val="3"/>
                <w:sz w:val="21"/>
                <w:szCs w:val="21"/>
                <w:lang w:eastAsia="zh-CN"/>
              </w:rPr>
            </w:pPr>
            <w:r>
              <w:rPr>
                <w:rFonts w:hint="eastAsia" w:ascii="仿宋_GB2312" w:hAnsi="仿宋_GB2312" w:eastAsia="仿宋_GB2312" w:cs="仿宋_GB2312"/>
                <w:b/>
                <w:bCs/>
                <w:spacing w:val="7"/>
                <w:sz w:val="21"/>
                <w:szCs w:val="21"/>
                <w:lang w:eastAsia="zh-CN"/>
              </w:rPr>
              <w:t>注：</w:t>
            </w:r>
            <w:r>
              <w:rPr>
                <w:rFonts w:hint="eastAsia" w:ascii="仿宋_GB2312" w:hAnsi="仿宋_GB2312" w:eastAsia="仿宋_GB2312" w:cs="仿宋_GB2312"/>
                <w:spacing w:val="-59"/>
                <w:sz w:val="21"/>
                <w:szCs w:val="21"/>
                <w:lang w:eastAsia="zh-CN"/>
              </w:rPr>
              <w:t xml:space="preserve"> </w:t>
            </w:r>
            <w:r>
              <w:rPr>
                <w:rFonts w:hint="eastAsia" w:ascii="仿宋_GB2312" w:hAnsi="仿宋_GB2312" w:eastAsia="仿宋_GB2312" w:cs="仿宋_GB2312"/>
                <w:b/>
                <w:bCs/>
                <w:spacing w:val="7"/>
                <w:sz w:val="21"/>
                <w:szCs w:val="21"/>
                <w:lang w:eastAsia="zh-CN"/>
              </w:rPr>
              <w:t>1.该方案内容可以包括</w:t>
            </w:r>
            <w:r>
              <w:rPr>
                <w:rFonts w:hint="eastAsia" w:ascii="仿宋_GB2312" w:hAnsi="仿宋_GB2312" w:eastAsia="仿宋_GB2312" w:cs="仿宋_GB2312"/>
                <w:b/>
                <w:bCs/>
                <w:spacing w:val="-17"/>
                <w:sz w:val="21"/>
                <w:szCs w:val="21"/>
                <w:lang w:eastAsia="zh-CN"/>
              </w:rPr>
              <w:t>：（</w:t>
            </w:r>
            <w:r>
              <w:rPr>
                <w:rFonts w:hint="eastAsia" w:ascii="仿宋_GB2312" w:hAnsi="仿宋_GB2312" w:eastAsia="仿宋_GB2312" w:cs="仿宋_GB2312"/>
                <w:spacing w:val="-16"/>
                <w:sz w:val="21"/>
                <w:szCs w:val="21"/>
                <w:lang w:eastAsia="zh-CN"/>
              </w:rPr>
              <w:t xml:space="preserve"> </w:t>
            </w:r>
            <w:r>
              <w:rPr>
                <w:rFonts w:hint="eastAsia" w:ascii="仿宋_GB2312" w:hAnsi="仿宋_GB2312" w:eastAsia="仿宋_GB2312" w:cs="仿宋_GB2312"/>
                <w:b/>
                <w:bCs/>
                <w:spacing w:val="7"/>
                <w:sz w:val="21"/>
                <w:szCs w:val="21"/>
                <w:lang w:eastAsia="zh-CN"/>
              </w:rPr>
              <w:t>1）定期回访维护方案；</w:t>
            </w:r>
            <w:r>
              <w:rPr>
                <w:rFonts w:hint="eastAsia" w:ascii="仿宋_GB2312" w:hAnsi="仿宋_GB2312" w:eastAsia="仿宋_GB2312" w:cs="仿宋_GB2312"/>
                <w:b/>
                <w:bCs/>
                <w:spacing w:val="6"/>
                <w:sz w:val="21"/>
                <w:szCs w:val="21"/>
                <w:lang w:eastAsia="zh-CN"/>
              </w:rPr>
              <w:t>（</w:t>
            </w:r>
            <w:r>
              <w:rPr>
                <w:rFonts w:hint="eastAsia" w:ascii="仿宋_GB2312" w:hAnsi="仿宋_GB2312" w:eastAsia="仿宋_GB2312" w:cs="仿宋_GB2312"/>
                <w:spacing w:val="-52"/>
                <w:sz w:val="21"/>
                <w:szCs w:val="21"/>
                <w:lang w:eastAsia="zh-CN"/>
              </w:rPr>
              <w:t xml:space="preserve"> </w:t>
            </w:r>
            <w:r>
              <w:rPr>
                <w:rFonts w:hint="eastAsia" w:ascii="仿宋_GB2312" w:hAnsi="仿宋_GB2312" w:eastAsia="仿宋_GB2312" w:cs="仿宋_GB2312"/>
                <w:b/>
                <w:bCs/>
                <w:spacing w:val="6"/>
                <w:sz w:val="21"/>
                <w:szCs w:val="21"/>
                <w:lang w:eastAsia="zh-CN"/>
              </w:rPr>
              <w:t>2）售后服务技术支持（包括售后服务机</w:t>
            </w:r>
            <w:r>
              <w:rPr>
                <w:rFonts w:hint="eastAsia" w:ascii="仿宋_GB2312" w:hAnsi="仿宋_GB2312" w:eastAsia="仿宋_GB2312" w:cs="仿宋_GB2312"/>
                <w:b/>
                <w:bCs/>
                <w:spacing w:val="5"/>
                <w:sz w:val="21"/>
                <w:szCs w:val="21"/>
                <w:lang w:eastAsia="zh-CN"/>
              </w:rPr>
              <w:t>构、技术人员等</w:t>
            </w:r>
            <w:r>
              <w:rPr>
                <w:rFonts w:hint="eastAsia" w:ascii="仿宋_GB2312" w:hAnsi="仿宋_GB2312" w:eastAsia="仿宋_GB2312" w:cs="仿宋_GB2312"/>
                <w:b/>
                <w:bCs/>
                <w:spacing w:val="-27"/>
                <w:sz w:val="21"/>
                <w:szCs w:val="21"/>
                <w:lang w:eastAsia="zh-CN"/>
              </w:rPr>
              <w:t>）；</w:t>
            </w:r>
            <w:r>
              <w:rPr>
                <w:rFonts w:hint="eastAsia" w:ascii="仿宋_GB2312" w:hAnsi="仿宋_GB2312" w:eastAsia="仿宋_GB2312" w:cs="仿宋_GB2312"/>
                <w:b/>
                <w:bCs/>
                <w:spacing w:val="4"/>
                <w:sz w:val="21"/>
                <w:szCs w:val="21"/>
                <w:lang w:eastAsia="zh-CN"/>
              </w:rPr>
              <w:t>（</w:t>
            </w:r>
            <w:r>
              <w:rPr>
                <w:rFonts w:hint="eastAsia" w:ascii="仿宋_GB2312" w:hAnsi="仿宋_GB2312" w:eastAsia="仿宋_GB2312" w:cs="仿宋_GB2312"/>
                <w:spacing w:val="-40"/>
                <w:sz w:val="21"/>
                <w:szCs w:val="21"/>
                <w:lang w:eastAsia="zh-CN"/>
              </w:rPr>
              <w:t xml:space="preserve"> </w:t>
            </w:r>
            <w:r>
              <w:rPr>
                <w:rFonts w:hint="eastAsia" w:ascii="仿宋_GB2312" w:hAnsi="仿宋_GB2312" w:eastAsia="仿宋_GB2312" w:cs="仿宋_GB2312"/>
                <w:b/>
                <w:bCs/>
                <w:spacing w:val="4"/>
                <w:sz w:val="21"/>
                <w:szCs w:val="21"/>
                <w:lang w:eastAsia="zh-CN"/>
              </w:rPr>
              <w:t>3</w:t>
            </w:r>
            <w:r>
              <w:rPr>
                <w:rFonts w:hint="eastAsia" w:ascii="仿宋_GB2312" w:hAnsi="仿宋_GB2312" w:eastAsia="仿宋_GB2312" w:cs="仿宋_GB2312"/>
                <w:spacing w:val="-39"/>
                <w:sz w:val="21"/>
                <w:szCs w:val="21"/>
                <w:lang w:eastAsia="zh-CN"/>
              </w:rPr>
              <w:t xml:space="preserve"> </w:t>
            </w:r>
            <w:r>
              <w:rPr>
                <w:rFonts w:hint="eastAsia" w:ascii="仿宋_GB2312" w:hAnsi="仿宋_GB2312" w:eastAsia="仿宋_GB2312" w:cs="仿宋_GB2312"/>
                <w:b/>
                <w:bCs/>
                <w:spacing w:val="4"/>
                <w:sz w:val="21"/>
                <w:szCs w:val="21"/>
                <w:lang w:eastAsia="zh-CN"/>
              </w:rPr>
              <w:t>）维修应急预案</w:t>
            </w:r>
            <w:r>
              <w:rPr>
                <w:rFonts w:hint="eastAsia" w:ascii="仿宋_GB2312" w:hAnsi="仿宋_GB2312" w:eastAsia="仿宋_GB2312" w:cs="仿宋_GB2312"/>
                <w:b/>
                <w:bCs/>
                <w:spacing w:val="-18"/>
                <w:sz w:val="21"/>
                <w:szCs w:val="21"/>
                <w:lang w:eastAsia="zh-CN"/>
              </w:rPr>
              <w:t>；（</w:t>
            </w:r>
            <w:r>
              <w:rPr>
                <w:rFonts w:hint="eastAsia" w:ascii="仿宋_GB2312" w:hAnsi="仿宋_GB2312" w:eastAsia="仿宋_GB2312" w:cs="仿宋_GB2312"/>
                <w:spacing w:val="-22"/>
                <w:sz w:val="21"/>
                <w:szCs w:val="21"/>
                <w:lang w:eastAsia="zh-CN"/>
              </w:rPr>
              <w:t xml:space="preserve"> </w:t>
            </w:r>
            <w:r>
              <w:rPr>
                <w:rFonts w:hint="eastAsia" w:ascii="仿宋_GB2312" w:hAnsi="仿宋_GB2312" w:eastAsia="仿宋_GB2312" w:cs="仿宋_GB2312"/>
                <w:b/>
                <w:bCs/>
                <w:spacing w:val="4"/>
                <w:sz w:val="21"/>
                <w:szCs w:val="21"/>
                <w:lang w:eastAsia="zh-CN"/>
              </w:rPr>
              <w:t>4）零配件储备供应</w:t>
            </w:r>
            <w:r>
              <w:rPr>
                <w:rFonts w:hint="eastAsia" w:ascii="仿宋_GB2312" w:hAnsi="仿宋_GB2312" w:eastAsia="仿宋_GB2312" w:cs="仿宋_GB2312"/>
                <w:b/>
                <w:bCs/>
                <w:spacing w:val="-18"/>
                <w:sz w:val="21"/>
                <w:szCs w:val="21"/>
                <w:lang w:eastAsia="zh-CN"/>
              </w:rPr>
              <w:t>；（</w:t>
            </w:r>
            <w:r>
              <w:rPr>
                <w:rFonts w:hint="eastAsia" w:ascii="仿宋_GB2312" w:hAnsi="仿宋_GB2312" w:eastAsia="仿宋_GB2312" w:cs="仿宋_GB2312"/>
                <w:spacing w:val="-19"/>
                <w:sz w:val="21"/>
                <w:szCs w:val="21"/>
                <w:lang w:eastAsia="zh-CN"/>
              </w:rPr>
              <w:t xml:space="preserve"> </w:t>
            </w:r>
            <w:r>
              <w:rPr>
                <w:rFonts w:hint="eastAsia" w:ascii="仿宋_GB2312" w:hAnsi="仿宋_GB2312" w:eastAsia="仿宋_GB2312" w:cs="仿宋_GB2312"/>
                <w:b/>
                <w:bCs/>
                <w:spacing w:val="4"/>
                <w:sz w:val="21"/>
                <w:szCs w:val="21"/>
                <w:lang w:eastAsia="zh-CN"/>
              </w:rPr>
              <w:t>5</w:t>
            </w:r>
            <w:r>
              <w:rPr>
                <w:rFonts w:hint="eastAsia" w:ascii="仿宋_GB2312" w:hAnsi="仿宋_GB2312" w:eastAsia="仿宋_GB2312" w:cs="仿宋_GB2312"/>
                <w:b/>
                <w:bCs/>
                <w:spacing w:val="3"/>
                <w:sz w:val="21"/>
                <w:szCs w:val="21"/>
                <w:lang w:eastAsia="zh-CN"/>
              </w:rPr>
              <w:t>）保修期外维修方案。</w:t>
            </w:r>
          </w:p>
          <w:p w14:paraId="126E5A76">
            <w:pPr>
              <w:pStyle w:val="234"/>
              <w:spacing w:before="1" w:line="396" w:lineRule="auto"/>
              <w:ind w:right="98" w:firstLine="442" w:firstLineChars="200"/>
              <w:rPr>
                <w:rFonts w:hint="eastAsia" w:ascii="仿宋_GB2312" w:hAnsi="仿宋_GB2312" w:eastAsia="仿宋_GB2312" w:cs="仿宋_GB2312"/>
                <w:color w:val="000000" w:themeColor="text1"/>
                <w:sz w:val="21"/>
                <w:szCs w:val="21"/>
                <w:lang w:eastAsia="zh-CN"/>
                <w14:textFill>
                  <w14:solidFill>
                    <w14:schemeClr w14:val="tx1"/>
                  </w14:solidFill>
                </w14:textFill>
              </w:rPr>
            </w:pPr>
            <w:r>
              <w:rPr>
                <w:rFonts w:hint="eastAsia" w:ascii="仿宋_GB2312" w:hAnsi="仿宋_GB2312" w:eastAsia="仿宋_GB2312" w:cs="仿宋_GB2312"/>
                <w:b/>
                <w:bCs/>
                <w:spacing w:val="5"/>
                <w:sz w:val="21"/>
                <w:szCs w:val="21"/>
                <w:lang w:eastAsia="zh-CN"/>
              </w:rPr>
              <w:t>2.未提供方案或提供的内容与本项目无关的得</w:t>
            </w:r>
            <w:r>
              <w:rPr>
                <w:rFonts w:hint="eastAsia" w:ascii="仿宋_GB2312" w:hAnsi="仿宋_GB2312" w:eastAsia="仿宋_GB2312" w:cs="仿宋_GB2312"/>
                <w:spacing w:val="-15"/>
                <w:sz w:val="21"/>
                <w:szCs w:val="21"/>
                <w:lang w:eastAsia="zh-CN"/>
              </w:rPr>
              <w:t xml:space="preserve"> </w:t>
            </w:r>
            <w:r>
              <w:rPr>
                <w:rFonts w:hint="eastAsia" w:ascii="仿宋_GB2312" w:hAnsi="仿宋_GB2312" w:eastAsia="仿宋_GB2312" w:cs="仿宋_GB2312"/>
                <w:b/>
                <w:bCs/>
                <w:spacing w:val="5"/>
                <w:sz w:val="21"/>
                <w:szCs w:val="21"/>
                <w:lang w:eastAsia="zh-CN"/>
              </w:rPr>
              <w:t>0</w:t>
            </w:r>
            <w:r>
              <w:rPr>
                <w:rFonts w:hint="eastAsia" w:ascii="仿宋_GB2312" w:hAnsi="仿宋_GB2312" w:eastAsia="仿宋_GB2312" w:cs="仿宋_GB2312"/>
                <w:spacing w:val="-36"/>
                <w:sz w:val="21"/>
                <w:szCs w:val="21"/>
                <w:lang w:eastAsia="zh-CN"/>
              </w:rPr>
              <w:t xml:space="preserve"> </w:t>
            </w:r>
            <w:r>
              <w:rPr>
                <w:rFonts w:hint="eastAsia" w:ascii="仿宋_GB2312" w:hAnsi="仿宋_GB2312" w:eastAsia="仿宋_GB2312" w:cs="仿宋_GB2312"/>
                <w:b/>
                <w:bCs/>
                <w:spacing w:val="5"/>
                <w:sz w:val="21"/>
                <w:szCs w:val="21"/>
                <w:lang w:eastAsia="zh-CN"/>
              </w:rPr>
              <w:t>分。</w:t>
            </w:r>
          </w:p>
        </w:tc>
        <w:tc>
          <w:tcPr>
            <w:tcW w:w="960" w:type="dxa"/>
            <w:vAlign w:val="center"/>
          </w:tcPr>
          <w:p w14:paraId="5B916DDC">
            <w:pPr>
              <w:spacing w:line="360" w:lineRule="exact"/>
              <w:jc w:val="center"/>
              <w:rPr>
                <w:rFonts w:hint="default" w:ascii="仿宋_GB2312" w:hAnsi="仿宋_GB2312" w:eastAsia="仿宋_GB2312"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10</w:t>
            </w:r>
          </w:p>
        </w:tc>
        <w:tc>
          <w:tcPr>
            <w:tcW w:w="1260" w:type="dxa"/>
            <w:vAlign w:val="center"/>
          </w:tcPr>
          <w:p w14:paraId="1115E179">
            <w:pPr>
              <w:spacing w:line="360" w:lineRule="exact"/>
              <w:jc w:val="center"/>
              <w:rPr>
                <w:rFonts w:hint="eastAsia" w:ascii="仿宋_GB2312" w:hAnsi="仿宋_GB2312" w:eastAsia="仿宋_GB2312" w:cs="仿宋_GB2312"/>
                <w:b/>
                <w:bCs/>
                <w:color w:val="000000" w:themeColor="text1"/>
                <w:szCs w:val="21"/>
                <w14:textFill>
                  <w14:solidFill>
                    <w14:schemeClr w14:val="tx1"/>
                  </w14:solidFill>
                </w14:textFill>
              </w:rPr>
            </w:pPr>
            <w:r>
              <w:rPr>
                <w:rFonts w:hint="eastAsia" w:ascii="仿宋_GB2312" w:hAnsi="仿宋_GB2312" w:eastAsia="仿宋_GB2312" w:cs="仿宋_GB2312"/>
                <w:color w:val="000000" w:themeColor="text1"/>
                <w:szCs w:val="21"/>
                <w14:textFill>
                  <w14:solidFill>
                    <w14:schemeClr w14:val="tx1"/>
                  </w14:solidFill>
                </w14:textFill>
              </w:rPr>
              <w:t>售后服务方案</w:t>
            </w:r>
          </w:p>
        </w:tc>
      </w:tr>
      <w:tr w14:paraId="7893D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7920" w:type="dxa"/>
            <w:gridSpan w:val="3"/>
            <w:vAlign w:val="center"/>
          </w:tcPr>
          <w:p w14:paraId="7E1C3BC7">
            <w:pPr>
              <w:pStyle w:val="304"/>
              <w:spacing w:line="400" w:lineRule="exact"/>
              <w:ind w:firstLine="422" w:firstLineChars="200"/>
              <w:jc w:val="center"/>
              <w:rPr>
                <w:rFonts w:hint="eastAsia" w:ascii="仿宋_GB2312" w:hAnsi="仿宋_GB2312" w:eastAsia="仿宋_GB2312" w:cs="仿宋_GB2312"/>
                <w:b/>
                <w:bCs/>
                <w:color w:val="000000" w:themeColor="text1"/>
                <w14:textFill>
                  <w14:solidFill>
                    <w14:schemeClr w14:val="tx1"/>
                  </w14:solidFill>
                </w14:textFill>
              </w:rPr>
            </w:pPr>
            <w:r>
              <w:rPr>
                <w:rFonts w:hint="eastAsia" w:ascii="仿宋_GB2312" w:hAnsi="仿宋_GB2312" w:eastAsia="仿宋_GB2312" w:cs="仿宋_GB2312"/>
                <w:b/>
                <w:bCs/>
                <w:color w:val="000000" w:themeColor="text1"/>
                <w14:textFill>
                  <w14:solidFill>
                    <w14:schemeClr w14:val="tx1"/>
                  </w14:solidFill>
                </w14:textFill>
              </w:rPr>
              <w:t>主观分总分</w:t>
            </w:r>
          </w:p>
        </w:tc>
        <w:tc>
          <w:tcPr>
            <w:tcW w:w="960" w:type="dxa"/>
            <w:vAlign w:val="center"/>
          </w:tcPr>
          <w:p w14:paraId="125D1341">
            <w:pPr>
              <w:spacing w:line="360" w:lineRule="exact"/>
              <w:jc w:val="center"/>
              <w:rPr>
                <w:rFonts w:hint="default" w:ascii="仿宋_GB2312" w:hAnsi="仿宋_GB2312" w:eastAsia="仿宋_GB2312" w:cs="仿宋_GB2312"/>
                <w:b/>
                <w:bCs/>
                <w:color w:val="000000" w:themeColor="text1"/>
                <w:szCs w:val="21"/>
                <w:lang w:val="en-US" w:eastAsia="zh-CN"/>
                <w14:textFill>
                  <w14:solidFill>
                    <w14:schemeClr w14:val="tx1"/>
                  </w14:solidFill>
                </w14:textFill>
              </w:rPr>
            </w:pPr>
            <w:r>
              <w:rPr>
                <w:rFonts w:hint="eastAsia" w:ascii="仿宋_GB2312" w:hAnsi="仿宋_GB2312" w:eastAsia="仿宋_GB2312" w:cs="仿宋_GB2312"/>
                <w:b/>
                <w:bCs/>
                <w:color w:val="000000" w:themeColor="text1"/>
                <w:szCs w:val="21"/>
                <w:highlight w:val="yellow"/>
                <w:lang w:val="en-US" w:eastAsia="zh-CN"/>
                <w14:textFill>
                  <w14:solidFill>
                    <w14:schemeClr w14:val="tx1"/>
                  </w14:solidFill>
                </w14:textFill>
              </w:rPr>
              <w:t>47</w:t>
            </w:r>
          </w:p>
        </w:tc>
        <w:tc>
          <w:tcPr>
            <w:tcW w:w="1260" w:type="dxa"/>
            <w:vAlign w:val="center"/>
          </w:tcPr>
          <w:p w14:paraId="56AB9AD0">
            <w:pPr>
              <w:spacing w:line="360" w:lineRule="exact"/>
              <w:jc w:val="center"/>
              <w:rPr>
                <w:rFonts w:hint="eastAsia" w:ascii="仿宋_GB2312" w:hAnsi="仿宋_GB2312" w:eastAsia="仿宋_GB2312" w:cs="仿宋_GB2312"/>
                <w:color w:val="000000" w:themeColor="text1"/>
                <w:szCs w:val="21"/>
                <w14:textFill>
                  <w14:solidFill>
                    <w14:schemeClr w14:val="tx1"/>
                  </w14:solidFill>
                </w14:textFill>
              </w:rPr>
            </w:pPr>
          </w:p>
        </w:tc>
      </w:tr>
    </w:tbl>
    <w:p w14:paraId="22A8DA46">
      <w:pPr>
        <w:pStyle w:val="289"/>
        <w:jc w:val="left"/>
        <w:rPr>
          <w:sz w:val="22"/>
          <w:szCs w:val="22"/>
        </w:rPr>
      </w:pPr>
    </w:p>
    <w:p w14:paraId="28D40326">
      <w:pPr>
        <w:spacing w:line="390" w:lineRule="exact"/>
        <w:ind w:right="-168" w:rightChars="-80" w:firstLine="236" w:firstLineChars="98"/>
        <w:rPr>
          <w:rFonts w:ascii="仿宋_GB2312" w:eastAsia="仿宋_GB2312"/>
          <w:b/>
          <w:sz w:val="24"/>
        </w:rPr>
      </w:pPr>
      <w:r>
        <w:rPr>
          <w:rFonts w:hint="eastAsia" w:ascii="仿宋_GB2312" w:eastAsia="仿宋_GB2312"/>
          <w:b/>
          <w:sz w:val="24"/>
        </w:rPr>
        <w:t>（三）总得分=客观分+主观分</w:t>
      </w:r>
    </w:p>
    <w:p w14:paraId="688986FE">
      <w:pPr>
        <w:adjustRightInd w:val="0"/>
        <w:spacing w:line="400" w:lineRule="exact"/>
        <w:ind w:firstLine="482" w:firstLineChars="200"/>
        <w:jc w:val="left"/>
        <w:textAlignment w:val="baseline"/>
        <w:rPr>
          <w:rFonts w:hint="eastAsia" w:ascii="仿宋_GB2312" w:hAnsi="宋体" w:eastAsia="仿宋_GB2312"/>
          <w:b/>
          <w:kern w:val="0"/>
          <w:sz w:val="24"/>
        </w:rPr>
      </w:pPr>
      <w:bookmarkStart w:id="79" w:name="gxebd_pack_1_EvalFactorScoreEnd"/>
      <w:bookmarkEnd w:id="79"/>
      <w:r>
        <w:rPr>
          <w:rFonts w:hint="eastAsia" w:ascii="仿宋_GB2312" w:hAnsi="宋体" w:eastAsia="仿宋_GB2312"/>
          <w:b/>
          <w:kern w:val="0"/>
          <w:sz w:val="24"/>
        </w:rPr>
        <w:t>三、中标标准及中标候选人推荐原则</w:t>
      </w:r>
    </w:p>
    <w:p w14:paraId="4ECF2C5E">
      <w:pPr>
        <w:adjustRightInd w:val="0"/>
        <w:spacing w:line="400" w:lineRule="exact"/>
        <w:ind w:firstLine="482" w:firstLineChars="200"/>
        <w:jc w:val="left"/>
        <w:textAlignment w:val="baseline"/>
        <w:rPr>
          <w:rFonts w:hint="eastAsia" w:ascii="仿宋_GB2312" w:hAnsi="宋体" w:eastAsia="仿宋_GB2312"/>
          <w:b/>
          <w:kern w:val="0"/>
          <w:sz w:val="24"/>
        </w:rPr>
      </w:pPr>
      <w:r>
        <w:rPr>
          <w:rFonts w:hint="eastAsia" w:ascii="仿宋_GB2312" w:hAnsi="宋体" w:eastAsia="仿宋_GB2312"/>
          <w:b/>
          <w:kern w:val="0"/>
          <w:sz w:val="24"/>
        </w:rPr>
        <w:t>评标委员会将根据综合得分由高到低排列次序（得分相同时，以投标报价由低到高顺序排列；得分相同且投标报价相同的，按技术指标优劣顺序排列）并推荐综合得分前三名为中标候选人。采购人应当确定评审委员会推荐排名第一的中标候选人为中标人。</w:t>
      </w:r>
      <w:bookmarkStart w:id="80" w:name="_Hlk93676949"/>
      <w:r>
        <w:rPr>
          <w:rFonts w:hint="eastAsia" w:ascii="仿宋_GB2312" w:hAnsi="宋体" w:eastAsia="仿宋_GB2312"/>
          <w:b/>
          <w:kern w:val="0"/>
          <w:sz w:val="24"/>
        </w:rPr>
        <w:t>排名第一的中标候选人放弃中标、因不可抗力提出不能履行合同，</w:t>
      </w:r>
      <w:bookmarkEnd w:id="80"/>
      <w:r>
        <w:rPr>
          <w:rFonts w:hint="eastAsia" w:ascii="仿宋_GB2312" w:hAnsi="宋体" w:eastAsia="仿宋_GB2312"/>
          <w:b/>
          <w:kern w:val="0"/>
          <w:sz w:val="24"/>
        </w:rPr>
        <w:t>采购人或采购代理机构应将该情况报政府采购监督管理部门，从合格的中标候选人中另行确定中标人或重新开展政府采购活动。</w:t>
      </w:r>
    </w:p>
    <w:p w14:paraId="7B15E5C9">
      <w:pPr>
        <w:adjustRightInd w:val="0"/>
        <w:spacing w:line="400" w:lineRule="exact"/>
        <w:ind w:firstLine="482" w:firstLineChars="200"/>
        <w:jc w:val="left"/>
        <w:textAlignment w:val="baseline"/>
        <w:rPr>
          <w:rFonts w:hint="eastAsia" w:ascii="仿宋_GB2312" w:hAnsi="宋体" w:eastAsia="仿宋_GB2312"/>
          <w:b/>
          <w:bCs/>
          <w:sz w:val="24"/>
        </w:rPr>
      </w:pPr>
      <w:r>
        <w:rPr>
          <w:rFonts w:hint="eastAsia" w:ascii="仿宋_GB2312" w:hAnsi="宋体" w:eastAsia="仿宋_GB2312"/>
          <w:b/>
          <w:kern w:val="0"/>
          <w:sz w:val="24"/>
        </w:rPr>
        <w:t>在中标通知书发出前，采购人或采购代理机构应当对中标人信用进行查询，并按照信用信息使用规则处理。当中标人属于信用信息使用规则中应被拒绝参与政府采购活动的情形时，采购人或采购代理机构应将该情况报政府采购监督管理部门，从合格的中标候选人中另行确定中标人或重新开展政府采购活动</w:t>
      </w:r>
      <w:r>
        <w:rPr>
          <w:rFonts w:hint="eastAsia" w:ascii="仿宋_GB2312" w:hAnsi="宋体" w:eastAsia="仿宋_GB2312"/>
          <w:b/>
          <w:bCs/>
          <w:sz w:val="24"/>
        </w:rPr>
        <w:t>。</w:t>
      </w:r>
    </w:p>
    <w:p w14:paraId="2803761C">
      <w:pPr>
        <w:widowControl/>
        <w:jc w:val="left"/>
        <w:rPr>
          <w:rFonts w:hint="eastAsia" w:ascii="仿宋_GB2312" w:hAnsi="宋体" w:eastAsia="仿宋_GB2312"/>
          <w:b/>
          <w:bCs/>
          <w:sz w:val="24"/>
        </w:rPr>
      </w:pPr>
    </w:p>
    <w:p w14:paraId="7A646CE3">
      <w:pPr>
        <w:spacing w:before="342" w:line="400" w:lineRule="exact"/>
        <w:rPr>
          <w:rFonts w:hint="eastAsia" w:ascii="仿宋_GB2312" w:hAnsi="仿宋_GB2312" w:eastAsia="仿宋_GB2312" w:cs="仿宋_GB2312"/>
          <w:spacing w:val="-2"/>
          <w:sz w:val="28"/>
          <w:szCs w:val="28"/>
        </w:rPr>
      </w:pPr>
      <w:r>
        <w:rPr>
          <w:rFonts w:hint="eastAsia" w:ascii="仿宋_GB2312" w:hAnsi="仿宋_GB2312" w:eastAsia="仿宋_GB2312" w:cs="仿宋_GB2312"/>
          <w:spacing w:val="-2"/>
          <w:sz w:val="28"/>
          <w:szCs w:val="28"/>
        </w:rPr>
        <w:t>附件一：</w:t>
      </w:r>
    </w:p>
    <w:p w14:paraId="79B24649">
      <w:pPr>
        <w:spacing w:before="342" w:line="175" w:lineRule="auto"/>
        <w:jc w:val="center"/>
        <w:rPr>
          <w:rFonts w:hint="eastAsia" w:ascii="微软雅黑" w:hAnsi="微软雅黑" w:eastAsia="微软雅黑" w:cs="微软雅黑"/>
          <w:sz w:val="40"/>
          <w:szCs w:val="40"/>
        </w:rPr>
      </w:pPr>
      <w:r>
        <w:rPr>
          <w:rFonts w:ascii="微软雅黑" w:hAnsi="微软雅黑" w:eastAsia="微软雅黑" w:cs="微软雅黑"/>
          <w:spacing w:val="-2"/>
          <w:sz w:val="40"/>
          <w:szCs w:val="40"/>
        </w:rPr>
        <w:t>节能产品政府采购品目清单</w:t>
      </w:r>
    </w:p>
    <w:p w14:paraId="473F483E">
      <w:pPr>
        <w:spacing w:line="151" w:lineRule="exact"/>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149D00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578" w:type="dxa"/>
          </w:tcPr>
          <w:p w14:paraId="61C357C0">
            <w:pPr>
              <w:pStyle w:val="234"/>
              <w:spacing w:before="129" w:line="249" w:lineRule="auto"/>
              <w:ind w:left="72" w:right="66" w:firstLine="18"/>
              <w:rPr>
                <w:rFonts w:hint="eastAsia"/>
                <w:sz w:val="22"/>
                <w:szCs w:val="22"/>
              </w:rPr>
            </w:pPr>
            <w:r>
              <w:rPr>
                <w:b/>
                <w:bCs/>
                <w:spacing w:val="-15"/>
                <w:sz w:val="22"/>
                <w:szCs w:val="22"/>
              </w:rPr>
              <w:t>品目</w:t>
            </w:r>
            <w:r>
              <w:rPr>
                <w:sz w:val="22"/>
                <w:szCs w:val="22"/>
              </w:rPr>
              <w:t xml:space="preserve"> </w:t>
            </w:r>
            <w:r>
              <w:rPr>
                <w:b/>
                <w:bCs/>
                <w:spacing w:val="-6"/>
                <w:sz w:val="22"/>
                <w:szCs w:val="22"/>
              </w:rPr>
              <w:t>序号</w:t>
            </w:r>
          </w:p>
        </w:tc>
        <w:tc>
          <w:tcPr>
            <w:tcW w:w="4879" w:type="dxa"/>
            <w:gridSpan w:val="3"/>
          </w:tcPr>
          <w:p w14:paraId="1E0A49CD">
            <w:pPr>
              <w:pStyle w:val="234"/>
              <w:spacing w:before="285" w:line="223" w:lineRule="auto"/>
              <w:ind w:left="2226"/>
              <w:rPr>
                <w:rFonts w:hint="eastAsia"/>
                <w:sz w:val="22"/>
                <w:szCs w:val="22"/>
              </w:rPr>
            </w:pPr>
            <w:r>
              <w:rPr>
                <w:b/>
                <w:bCs/>
                <w:spacing w:val="-5"/>
                <w:sz w:val="22"/>
                <w:szCs w:val="22"/>
              </w:rPr>
              <w:t>名称</w:t>
            </w:r>
          </w:p>
        </w:tc>
        <w:tc>
          <w:tcPr>
            <w:tcW w:w="2969" w:type="dxa"/>
          </w:tcPr>
          <w:p w14:paraId="0BBE0A47">
            <w:pPr>
              <w:pStyle w:val="234"/>
              <w:spacing w:before="285" w:line="220" w:lineRule="auto"/>
              <w:ind w:left="939"/>
              <w:rPr>
                <w:rFonts w:hint="eastAsia"/>
                <w:sz w:val="22"/>
                <w:szCs w:val="22"/>
              </w:rPr>
            </w:pPr>
            <w:r>
              <w:rPr>
                <w:b/>
                <w:bCs/>
                <w:spacing w:val="-4"/>
                <w:sz w:val="22"/>
                <w:szCs w:val="22"/>
              </w:rPr>
              <w:t>依据的标准</w:t>
            </w:r>
          </w:p>
        </w:tc>
      </w:tr>
      <w:tr w14:paraId="4D7EBB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2" w:hRule="atLeast"/>
          <w:jc w:val="center"/>
        </w:trPr>
        <w:tc>
          <w:tcPr>
            <w:tcW w:w="578" w:type="dxa"/>
            <w:vMerge w:val="restart"/>
            <w:tcBorders>
              <w:bottom w:val="nil"/>
            </w:tcBorders>
          </w:tcPr>
          <w:p w14:paraId="661EF1B5">
            <w:pPr>
              <w:spacing w:line="254" w:lineRule="auto"/>
              <w:rPr>
                <w:rFonts w:ascii="Arial"/>
              </w:rPr>
            </w:pPr>
          </w:p>
          <w:p w14:paraId="4C2BACE2">
            <w:pPr>
              <w:spacing w:line="254" w:lineRule="auto"/>
              <w:rPr>
                <w:rFonts w:ascii="Arial"/>
              </w:rPr>
            </w:pPr>
          </w:p>
          <w:p w14:paraId="429424CE">
            <w:pPr>
              <w:spacing w:line="254" w:lineRule="auto"/>
              <w:rPr>
                <w:rFonts w:ascii="Arial"/>
              </w:rPr>
            </w:pPr>
          </w:p>
          <w:p w14:paraId="4854D059">
            <w:pPr>
              <w:spacing w:line="255" w:lineRule="auto"/>
              <w:rPr>
                <w:rFonts w:ascii="Arial"/>
              </w:rPr>
            </w:pPr>
          </w:p>
          <w:p w14:paraId="78C9B42E">
            <w:pPr>
              <w:pStyle w:val="234"/>
              <w:spacing w:before="62" w:line="190" w:lineRule="auto"/>
              <w:ind w:left="257"/>
              <w:rPr>
                <w:rFonts w:hint="eastAsia"/>
              </w:rPr>
            </w:pPr>
            <w:r>
              <w:t>1</w:t>
            </w:r>
          </w:p>
        </w:tc>
        <w:tc>
          <w:tcPr>
            <w:tcW w:w="1166" w:type="dxa"/>
            <w:vMerge w:val="restart"/>
            <w:tcBorders>
              <w:bottom w:val="nil"/>
            </w:tcBorders>
          </w:tcPr>
          <w:p w14:paraId="6D123E59">
            <w:pPr>
              <w:spacing w:line="277" w:lineRule="auto"/>
              <w:rPr>
                <w:rFonts w:ascii="Arial"/>
              </w:rPr>
            </w:pPr>
          </w:p>
          <w:p w14:paraId="6FEEBD10">
            <w:pPr>
              <w:spacing w:line="277" w:lineRule="auto"/>
              <w:rPr>
                <w:rFonts w:ascii="Arial"/>
              </w:rPr>
            </w:pPr>
          </w:p>
          <w:p w14:paraId="34D7FBD6">
            <w:pPr>
              <w:spacing w:line="278" w:lineRule="auto"/>
              <w:rPr>
                <w:rFonts w:ascii="Arial"/>
              </w:rPr>
            </w:pPr>
          </w:p>
          <w:p w14:paraId="5CE4FF4E">
            <w:pPr>
              <w:pStyle w:val="234"/>
              <w:spacing w:before="61" w:line="288" w:lineRule="auto"/>
              <w:ind w:left="14" w:right="8" w:hanging="5"/>
              <w:rPr>
                <w:rFonts w:hint="eastAsia"/>
              </w:rPr>
            </w:pPr>
            <w:r>
              <w:rPr>
                <w:spacing w:val="5"/>
              </w:rPr>
              <w:t>A020101</w:t>
            </w:r>
            <w:r>
              <w:rPr>
                <w:spacing w:val="-43"/>
              </w:rPr>
              <w:t xml:space="preserve"> </w:t>
            </w:r>
            <w:r>
              <w:rPr>
                <w:spacing w:val="5"/>
              </w:rPr>
              <w:t>计算</w:t>
            </w:r>
            <w:r>
              <w:t xml:space="preserve"> </w:t>
            </w:r>
            <w:r>
              <w:rPr>
                <w:spacing w:val="6"/>
              </w:rPr>
              <w:t>机设备</w:t>
            </w:r>
          </w:p>
        </w:tc>
        <w:tc>
          <w:tcPr>
            <w:tcW w:w="1799" w:type="dxa"/>
          </w:tcPr>
          <w:p w14:paraId="582346E0">
            <w:pPr>
              <w:pStyle w:val="234"/>
              <w:spacing w:before="155" w:line="288" w:lineRule="auto"/>
              <w:ind w:left="17" w:right="10" w:firstLine="1"/>
              <w:rPr>
                <w:rFonts w:hint="eastAsia"/>
              </w:rPr>
            </w:pPr>
            <w:r>
              <w:rPr>
                <w:spacing w:val="3"/>
              </w:rPr>
              <w:t>★A02010104 台式计</w:t>
            </w:r>
            <w:r>
              <w:rPr>
                <w:spacing w:val="12"/>
              </w:rPr>
              <w:t xml:space="preserve"> </w:t>
            </w:r>
            <w:r>
              <w:rPr>
                <w:spacing w:val="4"/>
              </w:rPr>
              <w:t>算机</w:t>
            </w:r>
          </w:p>
        </w:tc>
        <w:tc>
          <w:tcPr>
            <w:tcW w:w="1914" w:type="dxa"/>
          </w:tcPr>
          <w:p w14:paraId="5C62DCA9">
            <w:pPr>
              <w:rPr>
                <w:rFonts w:ascii="Arial"/>
              </w:rPr>
            </w:pPr>
          </w:p>
        </w:tc>
        <w:tc>
          <w:tcPr>
            <w:tcW w:w="2969" w:type="dxa"/>
          </w:tcPr>
          <w:p w14:paraId="57B81EB4">
            <w:pPr>
              <w:pStyle w:val="234"/>
              <w:spacing w:before="155"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7D4C12B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22" w:hRule="atLeast"/>
          <w:jc w:val="center"/>
        </w:trPr>
        <w:tc>
          <w:tcPr>
            <w:tcW w:w="578" w:type="dxa"/>
            <w:vMerge w:val="continue"/>
            <w:tcBorders>
              <w:top w:val="nil"/>
              <w:bottom w:val="nil"/>
            </w:tcBorders>
          </w:tcPr>
          <w:p w14:paraId="11D9DB01">
            <w:pPr>
              <w:rPr>
                <w:rFonts w:ascii="Arial"/>
              </w:rPr>
            </w:pPr>
          </w:p>
        </w:tc>
        <w:tc>
          <w:tcPr>
            <w:tcW w:w="1166" w:type="dxa"/>
            <w:vMerge w:val="continue"/>
            <w:tcBorders>
              <w:top w:val="nil"/>
              <w:bottom w:val="nil"/>
            </w:tcBorders>
          </w:tcPr>
          <w:p w14:paraId="6DB37892">
            <w:pPr>
              <w:rPr>
                <w:rFonts w:ascii="Arial"/>
              </w:rPr>
            </w:pPr>
          </w:p>
        </w:tc>
        <w:tc>
          <w:tcPr>
            <w:tcW w:w="1799" w:type="dxa"/>
          </w:tcPr>
          <w:p w14:paraId="1925769F">
            <w:pPr>
              <w:pStyle w:val="234"/>
              <w:spacing w:before="110" w:line="288" w:lineRule="auto"/>
              <w:ind w:left="15" w:right="10" w:firstLine="3"/>
              <w:rPr>
                <w:rFonts w:hint="eastAsia"/>
              </w:rPr>
            </w:pPr>
            <w:r>
              <w:rPr>
                <w:spacing w:val="3"/>
              </w:rPr>
              <w:t>★A02010105 便携式</w:t>
            </w:r>
            <w:r>
              <w:rPr>
                <w:spacing w:val="12"/>
              </w:rPr>
              <w:t xml:space="preserve"> </w:t>
            </w:r>
            <w:r>
              <w:rPr>
                <w:spacing w:val="6"/>
              </w:rPr>
              <w:t>计算机</w:t>
            </w:r>
          </w:p>
        </w:tc>
        <w:tc>
          <w:tcPr>
            <w:tcW w:w="1914" w:type="dxa"/>
          </w:tcPr>
          <w:p w14:paraId="4D4475B9">
            <w:pPr>
              <w:rPr>
                <w:rFonts w:ascii="Arial"/>
              </w:rPr>
            </w:pPr>
          </w:p>
        </w:tc>
        <w:tc>
          <w:tcPr>
            <w:tcW w:w="2969" w:type="dxa"/>
          </w:tcPr>
          <w:p w14:paraId="56650A61">
            <w:pPr>
              <w:pStyle w:val="234"/>
              <w:spacing w:before="111"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4084634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7" w:hRule="atLeast"/>
          <w:jc w:val="center"/>
        </w:trPr>
        <w:tc>
          <w:tcPr>
            <w:tcW w:w="578" w:type="dxa"/>
            <w:vMerge w:val="continue"/>
            <w:tcBorders>
              <w:top w:val="nil"/>
            </w:tcBorders>
          </w:tcPr>
          <w:p w14:paraId="6A76CA66">
            <w:pPr>
              <w:rPr>
                <w:rFonts w:ascii="Arial"/>
              </w:rPr>
            </w:pPr>
          </w:p>
        </w:tc>
        <w:tc>
          <w:tcPr>
            <w:tcW w:w="1166" w:type="dxa"/>
            <w:vMerge w:val="continue"/>
            <w:tcBorders>
              <w:top w:val="nil"/>
            </w:tcBorders>
          </w:tcPr>
          <w:p w14:paraId="6A3F95AD">
            <w:pPr>
              <w:rPr>
                <w:rFonts w:ascii="Arial"/>
              </w:rPr>
            </w:pPr>
          </w:p>
        </w:tc>
        <w:tc>
          <w:tcPr>
            <w:tcW w:w="1799" w:type="dxa"/>
          </w:tcPr>
          <w:p w14:paraId="245DF9E5">
            <w:pPr>
              <w:pStyle w:val="234"/>
              <w:spacing w:before="130" w:line="288" w:lineRule="auto"/>
              <w:ind w:left="15" w:right="10" w:firstLine="3"/>
              <w:rPr>
                <w:rFonts w:hint="eastAsia"/>
                <w:lang w:eastAsia="zh-CN"/>
              </w:rPr>
            </w:pPr>
            <w:r>
              <w:rPr>
                <w:spacing w:val="3"/>
                <w:lang w:eastAsia="zh-CN"/>
              </w:rPr>
              <w:t>★A02010107 平板式</w:t>
            </w:r>
            <w:r>
              <w:rPr>
                <w:spacing w:val="12"/>
                <w:lang w:eastAsia="zh-CN"/>
              </w:rPr>
              <w:t xml:space="preserve"> </w:t>
            </w:r>
            <w:r>
              <w:rPr>
                <w:spacing w:val="8"/>
                <w:lang w:eastAsia="zh-CN"/>
              </w:rPr>
              <w:t>微型计算机</w:t>
            </w:r>
          </w:p>
        </w:tc>
        <w:tc>
          <w:tcPr>
            <w:tcW w:w="1914" w:type="dxa"/>
          </w:tcPr>
          <w:p w14:paraId="44489D2F">
            <w:pPr>
              <w:rPr>
                <w:rFonts w:ascii="Arial"/>
              </w:rPr>
            </w:pPr>
          </w:p>
        </w:tc>
        <w:tc>
          <w:tcPr>
            <w:tcW w:w="2969" w:type="dxa"/>
          </w:tcPr>
          <w:p w14:paraId="30C2E97E">
            <w:pPr>
              <w:pStyle w:val="234"/>
              <w:spacing w:before="130" w:line="288" w:lineRule="auto"/>
              <w:ind w:left="19" w:right="11" w:firstLine="3"/>
              <w:rPr>
                <w:rFonts w:hint="eastAsia"/>
                <w:lang w:eastAsia="zh-CN"/>
              </w:rPr>
            </w:pPr>
            <w:r>
              <w:rPr>
                <w:spacing w:val="19"/>
                <w:lang w:eastAsia="zh-CN"/>
              </w:rPr>
              <w:t>《微型计算机能效限定值及能效</w:t>
            </w:r>
            <w:r>
              <w:rPr>
                <w:spacing w:val="2"/>
                <w:lang w:eastAsia="zh-CN"/>
              </w:rPr>
              <w:t xml:space="preserve"> </w:t>
            </w:r>
            <w:r>
              <w:rPr>
                <w:spacing w:val="6"/>
                <w:lang w:eastAsia="zh-CN"/>
              </w:rPr>
              <w:t>等级》（</w:t>
            </w:r>
            <w:r>
              <w:rPr>
                <w:lang w:eastAsia="zh-CN"/>
              </w:rPr>
              <w:t>GB</w:t>
            </w:r>
            <w:r>
              <w:rPr>
                <w:spacing w:val="6"/>
                <w:lang w:eastAsia="zh-CN"/>
              </w:rPr>
              <w:t xml:space="preserve"> 28380）</w:t>
            </w:r>
          </w:p>
        </w:tc>
      </w:tr>
      <w:tr w14:paraId="6E7082A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vMerge w:val="restart"/>
            <w:tcBorders>
              <w:bottom w:val="nil"/>
            </w:tcBorders>
          </w:tcPr>
          <w:p w14:paraId="31E2B40D">
            <w:pPr>
              <w:spacing w:line="255" w:lineRule="auto"/>
              <w:rPr>
                <w:rFonts w:ascii="Arial"/>
              </w:rPr>
            </w:pPr>
          </w:p>
          <w:p w14:paraId="61223535">
            <w:pPr>
              <w:spacing w:line="255" w:lineRule="auto"/>
              <w:rPr>
                <w:rFonts w:ascii="Arial"/>
              </w:rPr>
            </w:pPr>
          </w:p>
          <w:p w14:paraId="78600DF7">
            <w:pPr>
              <w:spacing w:line="255" w:lineRule="auto"/>
              <w:rPr>
                <w:rFonts w:ascii="Arial"/>
              </w:rPr>
            </w:pPr>
          </w:p>
          <w:p w14:paraId="1804A329">
            <w:pPr>
              <w:spacing w:line="255" w:lineRule="auto"/>
              <w:rPr>
                <w:rFonts w:ascii="Arial"/>
              </w:rPr>
            </w:pPr>
          </w:p>
          <w:p w14:paraId="04F41B10">
            <w:pPr>
              <w:spacing w:line="255" w:lineRule="auto"/>
              <w:rPr>
                <w:rFonts w:ascii="Arial"/>
              </w:rPr>
            </w:pPr>
          </w:p>
          <w:p w14:paraId="23BEED03">
            <w:pPr>
              <w:spacing w:line="255" w:lineRule="auto"/>
              <w:rPr>
                <w:rFonts w:ascii="Arial"/>
              </w:rPr>
            </w:pPr>
          </w:p>
          <w:p w14:paraId="6E974868">
            <w:pPr>
              <w:spacing w:line="256" w:lineRule="auto"/>
              <w:rPr>
                <w:rFonts w:ascii="Arial"/>
              </w:rPr>
            </w:pPr>
          </w:p>
          <w:p w14:paraId="3CC1A016">
            <w:pPr>
              <w:spacing w:line="256" w:lineRule="auto"/>
              <w:rPr>
                <w:rFonts w:ascii="Arial"/>
              </w:rPr>
            </w:pPr>
          </w:p>
          <w:p w14:paraId="6B2751D1">
            <w:pPr>
              <w:pStyle w:val="234"/>
              <w:spacing w:before="62" w:line="189" w:lineRule="auto"/>
              <w:ind w:left="245"/>
              <w:rPr>
                <w:rFonts w:hint="eastAsia"/>
              </w:rPr>
            </w:pPr>
            <w:r>
              <w:t>2</w:t>
            </w:r>
          </w:p>
        </w:tc>
        <w:tc>
          <w:tcPr>
            <w:tcW w:w="1166" w:type="dxa"/>
            <w:vMerge w:val="restart"/>
            <w:tcBorders>
              <w:bottom w:val="nil"/>
            </w:tcBorders>
          </w:tcPr>
          <w:p w14:paraId="5E7AB95B">
            <w:pPr>
              <w:spacing w:line="265" w:lineRule="auto"/>
              <w:rPr>
                <w:rFonts w:ascii="Arial"/>
              </w:rPr>
            </w:pPr>
          </w:p>
          <w:p w14:paraId="2525D0C5">
            <w:pPr>
              <w:spacing w:line="265" w:lineRule="auto"/>
              <w:rPr>
                <w:rFonts w:ascii="Arial"/>
              </w:rPr>
            </w:pPr>
          </w:p>
          <w:p w14:paraId="36C6E0F2">
            <w:pPr>
              <w:spacing w:line="265" w:lineRule="auto"/>
              <w:rPr>
                <w:rFonts w:ascii="Arial"/>
              </w:rPr>
            </w:pPr>
          </w:p>
          <w:p w14:paraId="06B0736B">
            <w:pPr>
              <w:spacing w:line="265" w:lineRule="auto"/>
              <w:rPr>
                <w:rFonts w:ascii="Arial"/>
              </w:rPr>
            </w:pPr>
          </w:p>
          <w:p w14:paraId="3A4878A2">
            <w:pPr>
              <w:spacing w:line="265" w:lineRule="auto"/>
              <w:rPr>
                <w:rFonts w:ascii="Arial"/>
              </w:rPr>
            </w:pPr>
          </w:p>
          <w:p w14:paraId="0948B180">
            <w:pPr>
              <w:spacing w:line="265" w:lineRule="auto"/>
              <w:rPr>
                <w:rFonts w:ascii="Arial"/>
              </w:rPr>
            </w:pPr>
          </w:p>
          <w:p w14:paraId="44CE3C63">
            <w:pPr>
              <w:spacing w:line="266" w:lineRule="auto"/>
              <w:rPr>
                <w:rFonts w:ascii="Arial"/>
              </w:rPr>
            </w:pPr>
          </w:p>
          <w:p w14:paraId="36EF8758">
            <w:pPr>
              <w:pStyle w:val="234"/>
              <w:spacing w:before="62" w:line="288" w:lineRule="auto"/>
              <w:ind w:left="14" w:right="8" w:hanging="5"/>
              <w:rPr>
                <w:rFonts w:hint="eastAsia"/>
              </w:rPr>
            </w:pPr>
            <w:r>
              <w:rPr>
                <w:spacing w:val="5"/>
              </w:rPr>
              <w:t>A020106</w:t>
            </w:r>
            <w:r>
              <w:rPr>
                <w:spacing w:val="-43"/>
              </w:rPr>
              <w:t xml:space="preserve"> </w:t>
            </w:r>
            <w:r>
              <w:rPr>
                <w:spacing w:val="5"/>
              </w:rPr>
              <w:t>输入</w:t>
            </w:r>
            <w:r>
              <w:t xml:space="preserve"> </w:t>
            </w:r>
            <w:r>
              <w:rPr>
                <w:spacing w:val="7"/>
              </w:rPr>
              <w:t>输出设备</w:t>
            </w:r>
          </w:p>
        </w:tc>
        <w:tc>
          <w:tcPr>
            <w:tcW w:w="1799" w:type="dxa"/>
            <w:vMerge w:val="restart"/>
            <w:tcBorders>
              <w:bottom w:val="nil"/>
            </w:tcBorders>
          </w:tcPr>
          <w:p w14:paraId="1E280B98">
            <w:pPr>
              <w:spacing w:line="316" w:lineRule="auto"/>
              <w:rPr>
                <w:rFonts w:ascii="Arial"/>
              </w:rPr>
            </w:pPr>
          </w:p>
          <w:p w14:paraId="01518AC8">
            <w:pPr>
              <w:spacing w:line="316" w:lineRule="auto"/>
              <w:rPr>
                <w:rFonts w:ascii="Arial"/>
              </w:rPr>
            </w:pPr>
          </w:p>
          <w:p w14:paraId="3045D5DA">
            <w:pPr>
              <w:spacing w:line="317" w:lineRule="auto"/>
              <w:rPr>
                <w:rFonts w:ascii="Arial"/>
              </w:rPr>
            </w:pPr>
          </w:p>
          <w:p w14:paraId="0229D2B5">
            <w:pPr>
              <w:pStyle w:val="234"/>
              <w:spacing w:before="62" w:line="229" w:lineRule="auto"/>
              <w:ind w:left="9"/>
              <w:rPr>
                <w:rFonts w:hint="eastAsia"/>
              </w:rPr>
            </w:pPr>
            <w:r>
              <w:rPr>
                <w:spacing w:val="5"/>
              </w:rPr>
              <w:t>A02010601</w:t>
            </w:r>
            <w:r>
              <w:rPr>
                <w:spacing w:val="-28"/>
              </w:rPr>
              <w:t xml:space="preserve"> </w:t>
            </w:r>
            <w:r>
              <w:rPr>
                <w:spacing w:val="5"/>
              </w:rPr>
              <w:t>打印设备</w:t>
            </w:r>
          </w:p>
        </w:tc>
        <w:tc>
          <w:tcPr>
            <w:tcW w:w="1914" w:type="dxa"/>
          </w:tcPr>
          <w:p w14:paraId="198525D0">
            <w:pPr>
              <w:pStyle w:val="234"/>
              <w:spacing w:before="119" w:line="288" w:lineRule="auto"/>
              <w:ind w:left="31" w:right="8" w:hanging="21"/>
              <w:rPr>
                <w:rFonts w:hint="eastAsia"/>
              </w:rPr>
            </w:pPr>
            <w:r>
              <w:rPr>
                <w:spacing w:val="3"/>
              </w:rPr>
              <w:t>A0201060101</w:t>
            </w:r>
            <w:r>
              <w:rPr>
                <w:spacing w:val="50"/>
              </w:rPr>
              <w:t xml:space="preserve"> </w:t>
            </w:r>
            <w:r>
              <w:rPr>
                <w:spacing w:val="3"/>
              </w:rPr>
              <w:t>喷</w:t>
            </w:r>
            <w:r>
              <w:rPr>
                <w:spacing w:val="-51"/>
              </w:rPr>
              <w:t xml:space="preserve"> </w:t>
            </w:r>
            <w:r>
              <w:rPr>
                <w:spacing w:val="3"/>
              </w:rPr>
              <w:t>墨</w:t>
            </w:r>
            <w:r>
              <w:rPr>
                <w:spacing w:val="-53"/>
              </w:rPr>
              <w:t xml:space="preserve"> </w:t>
            </w:r>
            <w:r>
              <w:rPr>
                <w:spacing w:val="3"/>
              </w:rPr>
              <w:t>打</w:t>
            </w:r>
            <w:r>
              <w:t xml:space="preserve"> </w:t>
            </w:r>
            <w:r>
              <w:rPr>
                <w:spacing w:val="-2"/>
              </w:rPr>
              <w:t>印机</w:t>
            </w:r>
          </w:p>
        </w:tc>
        <w:tc>
          <w:tcPr>
            <w:tcW w:w="2969" w:type="dxa"/>
          </w:tcPr>
          <w:p w14:paraId="2408534D">
            <w:pPr>
              <w:pStyle w:val="234"/>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1FFAE1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578" w:type="dxa"/>
            <w:vMerge w:val="continue"/>
            <w:tcBorders>
              <w:top w:val="nil"/>
              <w:bottom w:val="nil"/>
            </w:tcBorders>
          </w:tcPr>
          <w:p w14:paraId="6D523D44">
            <w:pPr>
              <w:rPr>
                <w:rFonts w:ascii="Arial"/>
              </w:rPr>
            </w:pPr>
          </w:p>
        </w:tc>
        <w:tc>
          <w:tcPr>
            <w:tcW w:w="1166" w:type="dxa"/>
            <w:vMerge w:val="continue"/>
            <w:tcBorders>
              <w:top w:val="nil"/>
              <w:bottom w:val="nil"/>
            </w:tcBorders>
          </w:tcPr>
          <w:p w14:paraId="07053917">
            <w:pPr>
              <w:rPr>
                <w:rFonts w:ascii="Arial"/>
              </w:rPr>
            </w:pPr>
          </w:p>
        </w:tc>
        <w:tc>
          <w:tcPr>
            <w:tcW w:w="1799" w:type="dxa"/>
            <w:vMerge w:val="continue"/>
            <w:tcBorders>
              <w:top w:val="nil"/>
              <w:bottom w:val="nil"/>
            </w:tcBorders>
          </w:tcPr>
          <w:p w14:paraId="6E6BE3AC">
            <w:pPr>
              <w:rPr>
                <w:rFonts w:ascii="Arial"/>
              </w:rPr>
            </w:pPr>
          </w:p>
        </w:tc>
        <w:tc>
          <w:tcPr>
            <w:tcW w:w="1914" w:type="dxa"/>
          </w:tcPr>
          <w:p w14:paraId="3C0A1FCA">
            <w:pPr>
              <w:pStyle w:val="234"/>
              <w:spacing w:before="119" w:line="288" w:lineRule="auto"/>
              <w:ind w:left="19" w:right="8"/>
              <w:rPr>
                <w:rFonts w:hint="eastAsia"/>
              </w:rPr>
            </w:pPr>
            <w:r>
              <w:rPr>
                <w:spacing w:val="3"/>
              </w:rPr>
              <w:t>★</w:t>
            </w:r>
            <w:r>
              <w:rPr>
                <w:spacing w:val="-50"/>
              </w:rPr>
              <w:t xml:space="preserve"> </w:t>
            </w:r>
            <w:r>
              <w:rPr>
                <w:spacing w:val="3"/>
              </w:rPr>
              <w:t>A0201060102</w:t>
            </w:r>
            <w:r>
              <w:rPr>
                <w:spacing w:val="41"/>
              </w:rPr>
              <w:t xml:space="preserve"> </w:t>
            </w:r>
            <w:r>
              <w:rPr>
                <w:spacing w:val="3"/>
              </w:rPr>
              <w:t>激</w:t>
            </w:r>
            <w:r>
              <w:rPr>
                <w:spacing w:val="-54"/>
              </w:rPr>
              <w:t xml:space="preserve"> </w:t>
            </w:r>
            <w:r>
              <w:rPr>
                <w:spacing w:val="3"/>
              </w:rPr>
              <w:t>光</w:t>
            </w:r>
            <w:r>
              <w:t xml:space="preserve"> </w:t>
            </w:r>
            <w:r>
              <w:rPr>
                <w:spacing w:val="5"/>
              </w:rPr>
              <w:t>打印机</w:t>
            </w:r>
          </w:p>
        </w:tc>
        <w:tc>
          <w:tcPr>
            <w:tcW w:w="2969" w:type="dxa"/>
          </w:tcPr>
          <w:p w14:paraId="6B726E35">
            <w:pPr>
              <w:pStyle w:val="234"/>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239976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7" w:hRule="atLeast"/>
          <w:jc w:val="center"/>
        </w:trPr>
        <w:tc>
          <w:tcPr>
            <w:tcW w:w="578" w:type="dxa"/>
            <w:vMerge w:val="continue"/>
            <w:tcBorders>
              <w:top w:val="nil"/>
              <w:bottom w:val="nil"/>
            </w:tcBorders>
          </w:tcPr>
          <w:p w14:paraId="76B0EF48">
            <w:pPr>
              <w:rPr>
                <w:rFonts w:ascii="Arial"/>
              </w:rPr>
            </w:pPr>
          </w:p>
        </w:tc>
        <w:tc>
          <w:tcPr>
            <w:tcW w:w="1166" w:type="dxa"/>
            <w:vMerge w:val="continue"/>
            <w:tcBorders>
              <w:top w:val="nil"/>
              <w:bottom w:val="nil"/>
            </w:tcBorders>
          </w:tcPr>
          <w:p w14:paraId="7CD88EE5">
            <w:pPr>
              <w:rPr>
                <w:rFonts w:ascii="Arial"/>
              </w:rPr>
            </w:pPr>
          </w:p>
        </w:tc>
        <w:tc>
          <w:tcPr>
            <w:tcW w:w="1799" w:type="dxa"/>
            <w:vMerge w:val="continue"/>
            <w:tcBorders>
              <w:top w:val="nil"/>
            </w:tcBorders>
          </w:tcPr>
          <w:p w14:paraId="1AEEDD35">
            <w:pPr>
              <w:rPr>
                <w:rFonts w:ascii="Arial"/>
              </w:rPr>
            </w:pPr>
          </w:p>
        </w:tc>
        <w:tc>
          <w:tcPr>
            <w:tcW w:w="1914" w:type="dxa"/>
          </w:tcPr>
          <w:p w14:paraId="58A8F106">
            <w:pPr>
              <w:pStyle w:val="234"/>
              <w:spacing w:before="119" w:line="288" w:lineRule="auto"/>
              <w:ind w:left="19" w:right="8"/>
              <w:rPr>
                <w:rFonts w:hint="eastAsia"/>
              </w:rPr>
            </w:pPr>
            <w:r>
              <w:rPr>
                <w:spacing w:val="3"/>
              </w:rPr>
              <w:t>★</w:t>
            </w:r>
            <w:r>
              <w:rPr>
                <w:spacing w:val="-54"/>
              </w:rPr>
              <w:t xml:space="preserve"> </w:t>
            </w:r>
            <w:r>
              <w:rPr>
                <w:spacing w:val="3"/>
              </w:rPr>
              <w:t>A0201060104</w:t>
            </w:r>
            <w:r>
              <w:rPr>
                <w:spacing w:val="43"/>
              </w:rPr>
              <w:t xml:space="preserve"> </w:t>
            </w:r>
            <w:r>
              <w:rPr>
                <w:spacing w:val="3"/>
              </w:rPr>
              <w:t>针</w:t>
            </w:r>
            <w:r>
              <w:rPr>
                <w:spacing w:val="-52"/>
              </w:rPr>
              <w:t xml:space="preserve"> </w:t>
            </w:r>
            <w:r>
              <w:rPr>
                <w:spacing w:val="3"/>
              </w:rPr>
              <w:t>式</w:t>
            </w:r>
            <w:r>
              <w:t xml:space="preserve"> </w:t>
            </w:r>
            <w:r>
              <w:rPr>
                <w:spacing w:val="5"/>
              </w:rPr>
              <w:t>打印机</w:t>
            </w:r>
          </w:p>
        </w:tc>
        <w:tc>
          <w:tcPr>
            <w:tcW w:w="2969" w:type="dxa"/>
          </w:tcPr>
          <w:p w14:paraId="64336AEA">
            <w:pPr>
              <w:pStyle w:val="234"/>
              <w:spacing w:before="120"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33D8A5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8" w:hRule="atLeast"/>
          <w:jc w:val="center"/>
        </w:trPr>
        <w:tc>
          <w:tcPr>
            <w:tcW w:w="578" w:type="dxa"/>
            <w:vMerge w:val="continue"/>
            <w:tcBorders>
              <w:top w:val="nil"/>
              <w:bottom w:val="nil"/>
            </w:tcBorders>
          </w:tcPr>
          <w:p w14:paraId="5172C12C">
            <w:pPr>
              <w:rPr>
                <w:rFonts w:ascii="Arial"/>
              </w:rPr>
            </w:pPr>
          </w:p>
        </w:tc>
        <w:tc>
          <w:tcPr>
            <w:tcW w:w="1166" w:type="dxa"/>
            <w:vMerge w:val="continue"/>
            <w:tcBorders>
              <w:top w:val="nil"/>
              <w:bottom w:val="nil"/>
            </w:tcBorders>
          </w:tcPr>
          <w:p w14:paraId="3A69A59A">
            <w:pPr>
              <w:rPr>
                <w:rFonts w:ascii="Arial"/>
              </w:rPr>
            </w:pPr>
          </w:p>
        </w:tc>
        <w:tc>
          <w:tcPr>
            <w:tcW w:w="1799" w:type="dxa"/>
          </w:tcPr>
          <w:p w14:paraId="0202DF03">
            <w:pPr>
              <w:pStyle w:val="234"/>
              <w:spacing w:before="292" w:line="230" w:lineRule="auto"/>
              <w:ind w:left="9"/>
              <w:rPr>
                <w:rFonts w:hint="eastAsia"/>
              </w:rPr>
            </w:pPr>
            <w:r>
              <w:rPr>
                <w:spacing w:val="5"/>
              </w:rPr>
              <w:t>A02010604</w:t>
            </w:r>
            <w:r>
              <w:rPr>
                <w:spacing w:val="-28"/>
              </w:rPr>
              <w:t xml:space="preserve"> </w:t>
            </w:r>
            <w:r>
              <w:rPr>
                <w:spacing w:val="5"/>
              </w:rPr>
              <w:t>显示设备</w:t>
            </w:r>
          </w:p>
        </w:tc>
        <w:tc>
          <w:tcPr>
            <w:tcW w:w="1914" w:type="dxa"/>
          </w:tcPr>
          <w:p w14:paraId="4332364E">
            <w:pPr>
              <w:pStyle w:val="234"/>
              <w:spacing w:before="136" w:line="289" w:lineRule="auto"/>
              <w:ind w:left="20" w:right="8" w:hanging="1"/>
              <w:rPr>
                <w:rFonts w:hint="eastAsia"/>
              </w:rPr>
            </w:pPr>
            <w:r>
              <w:rPr>
                <w:spacing w:val="2"/>
              </w:rPr>
              <w:t>★</w:t>
            </w:r>
            <w:r>
              <w:rPr>
                <w:spacing w:val="-54"/>
              </w:rPr>
              <w:t xml:space="preserve"> </w:t>
            </w:r>
            <w:r>
              <w:rPr>
                <w:spacing w:val="2"/>
              </w:rPr>
              <w:t>A0201060401</w:t>
            </w:r>
            <w:r>
              <w:rPr>
                <w:spacing w:val="44"/>
              </w:rPr>
              <w:t xml:space="preserve"> </w:t>
            </w:r>
            <w:r>
              <w:rPr>
                <w:spacing w:val="2"/>
              </w:rPr>
              <w:t>液</w:t>
            </w:r>
            <w:r>
              <w:rPr>
                <w:spacing w:val="-39"/>
              </w:rPr>
              <w:t xml:space="preserve"> </w:t>
            </w:r>
            <w:r>
              <w:rPr>
                <w:spacing w:val="2"/>
              </w:rPr>
              <w:t>晶</w:t>
            </w:r>
            <w:r>
              <w:t xml:space="preserve"> </w:t>
            </w:r>
            <w:r>
              <w:rPr>
                <w:spacing w:val="5"/>
              </w:rPr>
              <w:t>显示器</w:t>
            </w:r>
          </w:p>
        </w:tc>
        <w:tc>
          <w:tcPr>
            <w:tcW w:w="2969" w:type="dxa"/>
          </w:tcPr>
          <w:p w14:paraId="785A1B5D">
            <w:pPr>
              <w:pStyle w:val="234"/>
              <w:spacing w:before="136" w:line="288" w:lineRule="auto"/>
              <w:ind w:left="22" w:right="11"/>
              <w:rPr>
                <w:rFonts w:hint="eastAsia"/>
                <w:lang w:eastAsia="zh-CN"/>
              </w:rPr>
            </w:pPr>
            <w:r>
              <w:rPr>
                <w:spacing w:val="19"/>
                <w:lang w:eastAsia="zh-CN"/>
              </w:rPr>
              <w:t>《计算机显示器能效限定值及能</w:t>
            </w:r>
            <w:r>
              <w:rPr>
                <w:spacing w:val="2"/>
                <w:lang w:eastAsia="zh-CN"/>
              </w:rPr>
              <w:t xml:space="preserve"> </w:t>
            </w:r>
            <w:r>
              <w:rPr>
                <w:spacing w:val="6"/>
                <w:lang w:eastAsia="zh-CN"/>
              </w:rPr>
              <w:t>效等级》（</w:t>
            </w:r>
            <w:r>
              <w:rPr>
                <w:lang w:eastAsia="zh-CN"/>
              </w:rPr>
              <w:t>GB</w:t>
            </w:r>
            <w:r>
              <w:rPr>
                <w:spacing w:val="6"/>
                <w:lang w:eastAsia="zh-CN"/>
              </w:rPr>
              <w:t xml:space="preserve"> 21520）</w:t>
            </w:r>
          </w:p>
        </w:tc>
      </w:tr>
      <w:tr w14:paraId="557C09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56" w:hRule="atLeast"/>
          <w:jc w:val="center"/>
        </w:trPr>
        <w:tc>
          <w:tcPr>
            <w:tcW w:w="578" w:type="dxa"/>
            <w:vMerge w:val="continue"/>
            <w:tcBorders>
              <w:top w:val="nil"/>
            </w:tcBorders>
          </w:tcPr>
          <w:p w14:paraId="19440E5A">
            <w:pPr>
              <w:rPr>
                <w:rFonts w:ascii="Arial"/>
              </w:rPr>
            </w:pPr>
          </w:p>
        </w:tc>
        <w:tc>
          <w:tcPr>
            <w:tcW w:w="1166" w:type="dxa"/>
            <w:vMerge w:val="continue"/>
            <w:tcBorders>
              <w:top w:val="nil"/>
            </w:tcBorders>
          </w:tcPr>
          <w:p w14:paraId="62E755FB">
            <w:pPr>
              <w:rPr>
                <w:rFonts w:ascii="Arial"/>
              </w:rPr>
            </w:pPr>
          </w:p>
        </w:tc>
        <w:tc>
          <w:tcPr>
            <w:tcW w:w="1799" w:type="dxa"/>
          </w:tcPr>
          <w:p w14:paraId="5FDA5C5E">
            <w:pPr>
              <w:spacing w:line="365" w:lineRule="auto"/>
              <w:rPr>
                <w:rFonts w:ascii="Arial"/>
              </w:rPr>
            </w:pPr>
          </w:p>
          <w:p w14:paraId="57166859">
            <w:pPr>
              <w:pStyle w:val="234"/>
              <w:spacing w:before="62" w:line="288" w:lineRule="auto"/>
              <w:ind w:left="14" w:right="10" w:hanging="5"/>
              <w:rPr>
                <w:rFonts w:hint="eastAsia"/>
              </w:rPr>
            </w:pPr>
            <w:r>
              <w:rPr>
                <w:spacing w:val="4"/>
              </w:rPr>
              <w:t>A02010609 图形图像</w:t>
            </w:r>
            <w:r>
              <w:rPr>
                <w:spacing w:val="7"/>
              </w:rPr>
              <w:t xml:space="preserve"> 输入设备</w:t>
            </w:r>
          </w:p>
        </w:tc>
        <w:tc>
          <w:tcPr>
            <w:tcW w:w="1914" w:type="dxa"/>
          </w:tcPr>
          <w:p w14:paraId="11AE153F">
            <w:pPr>
              <w:spacing w:line="260" w:lineRule="auto"/>
              <w:rPr>
                <w:rFonts w:ascii="Arial"/>
              </w:rPr>
            </w:pPr>
          </w:p>
          <w:p w14:paraId="5E71CF7A">
            <w:pPr>
              <w:spacing w:line="260" w:lineRule="auto"/>
              <w:rPr>
                <w:rFonts w:ascii="Arial"/>
              </w:rPr>
            </w:pPr>
          </w:p>
          <w:p w14:paraId="4F3160FF">
            <w:pPr>
              <w:pStyle w:val="234"/>
              <w:spacing w:before="61" w:line="229" w:lineRule="auto"/>
              <w:ind w:left="10"/>
              <w:rPr>
                <w:rFonts w:hint="eastAsia"/>
              </w:rPr>
            </w:pPr>
            <w:r>
              <w:rPr>
                <w:spacing w:val="5"/>
              </w:rPr>
              <w:t>A0201060901</w:t>
            </w:r>
            <w:r>
              <w:rPr>
                <w:spacing w:val="-34"/>
              </w:rPr>
              <w:t xml:space="preserve"> </w:t>
            </w:r>
            <w:r>
              <w:rPr>
                <w:spacing w:val="5"/>
              </w:rPr>
              <w:t>扫描仪</w:t>
            </w:r>
          </w:p>
        </w:tc>
        <w:tc>
          <w:tcPr>
            <w:tcW w:w="2969" w:type="dxa"/>
          </w:tcPr>
          <w:p w14:paraId="34630322">
            <w:pPr>
              <w:pStyle w:val="234"/>
              <w:spacing w:before="114" w:line="296" w:lineRule="auto"/>
              <w:ind w:left="22" w:hanging="3"/>
              <w:rPr>
                <w:rFonts w:hint="eastAsia"/>
                <w:lang w:eastAsia="zh-CN"/>
              </w:rPr>
            </w:pPr>
            <w:r>
              <w:rPr>
                <w:lang w:eastAsia="zh-CN"/>
              </w:rPr>
              <w:t>参照《复印机、打印机和传真机能</w:t>
            </w:r>
            <w:r>
              <w:rPr>
                <w:spacing w:val="3"/>
                <w:lang w:eastAsia="zh-CN"/>
              </w:rPr>
              <w:t xml:space="preserve">  </w:t>
            </w:r>
            <w:r>
              <w:rPr>
                <w:spacing w:val="-4"/>
                <w:lang w:eastAsia="zh-CN"/>
              </w:rPr>
              <w:t>效限定值及能效等级》（GB</w:t>
            </w:r>
            <w:r>
              <w:rPr>
                <w:spacing w:val="-24"/>
                <w:lang w:eastAsia="zh-CN"/>
              </w:rPr>
              <w:t xml:space="preserve"> </w:t>
            </w:r>
            <w:r>
              <w:rPr>
                <w:spacing w:val="-4"/>
                <w:lang w:eastAsia="zh-CN"/>
              </w:rPr>
              <w:t>21521）</w:t>
            </w:r>
            <w:r>
              <w:rPr>
                <w:lang w:eastAsia="zh-CN"/>
              </w:rPr>
              <w:t xml:space="preserve"> </w:t>
            </w:r>
            <w:r>
              <w:rPr>
                <w:spacing w:val="4"/>
                <w:lang w:eastAsia="zh-CN"/>
              </w:rPr>
              <w:t>中打印速度为</w:t>
            </w:r>
            <w:r>
              <w:rPr>
                <w:spacing w:val="38"/>
                <w:lang w:eastAsia="zh-CN"/>
              </w:rPr>
              <w:t xml:space="preserve"> </w:t>
            </w:r>
            <w:r>
              <w:rPr>
                <w:spacing w:val="4"/>
                <w:lang w:eastAsia="zh-CN"/>
              </w:rPr>
              <w:t>15 页/分的针式打</w:t>
            </w:r>
            <w:r>
              <w:rPr>
                <w:lang w:eastAsia="zh-CN"/>
              </w:rPr>
              <w:t xml:space="preserve">  </w:t>
            </w:r>
            <w:r>
              <w:rPr>
                <w:spacing w:val="2"/>
                <w:lang w:eastAsia="zh-CN"/>
              </w:rPr>
              <w:t>印机相关要求</w:t>
            </w:r>
          </w:p>
        </w:tc>
      </w:tr>
      <w:tr w14:paraId="7782BF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79" w:hRule="atLeast"/>
          <w:jc w:val="center"/>
        </w:trPr>
        <w:tc>
          <w:tcPr>
            <w:tcW w:w="578" w:type="dxa"/>
          </w:tcPr>
          <w:p w14:paraId="12906D71">
            <w:pPr>
              <w:pStyle w:val="234"/>
              <w:spacing w:before="277" w:line="189" w:lineRule="auto"/>
              <w:ind w:left="246"/>
              <w:rPr>
                <w:rFonts w:hint="eastAsia"/>
              </w:rPr>
            </w:pPr>
            <w:r>
              <w:t>3</w:t>
            </w:r>
          </w:p>
        </w:tc>
        <w:tc>
          <w:tcPr>
            <w:tcW w:w="1166" w:type="dxa"/>
          </w:tcPr>
          <w:p w14:paraId="49C34079">
            <w:pPr>
              <w:pStyle w:val="234"/>
              <w:spacing w:before="90" w:line="281" w:lineRule="auto"/>
              <w:ind w:left="15" w:right="8" w:hanging="6"/>
              <w:rPr>
                <w:rFonts w:hint="eastAsia"/>
              </w:rPr>
            </w:pPr>
            <w:r>
              <w:rPr>
                <w:spacing w:val="4"/>
              </w:rPr>
              <w:t>A020202</w:t>
            </w:r>
            <w:r>
              <w:rPr>
                <w:spacing w:val="-34"/>
              </w:rPr>
              <w:t xml:space="preserve"> </w:t>
            </w:r>
            <w:r>
              <w:rPr>
                <w:spacing w:val="4"/>
              </w:rPr>
              <w:t>投影</w:t>
            </w:r>
            <w:r>
              <w:t xml:space="preserve"> 仪</w:t>
            </w:r>
          </w:p>
        </w:tc>
        <w:tc>
          <w:tcPr>
            <w:tcW w:w="1799" w:type="dxa"/>
          </w:tcPr>
          <w:p w14:paraId="628D332D">
            <w:pPr>
              <w:rPr>
                <w:rFonts w:ascii="Arial"/>
              </w:rPr>
            </w:pPr>
          </w:p>
        </w:tc>
        <w:tc>
          <w:tcPr>
            <w:tcW w:w="1914" w:type="dxa"/>
          </w:tcPr>
          <w:p w14:paraId="5DF141A7">
            <w:pPr>
              <w:rPr>
                <w:rFonts w:ascii="Arial"/>
              </w:rPr>
            </w:pPr>
          </w:p>
        </w:tc>
        <w:tc>
          <w:tcPr>
            <w:tcW w:w="2969" w:type="dxa"/>
          </w:tcPr>
          <w:p w14:paraId="0B708A9F">
            <w:pPr>
              <w:pStyle w:val="234"/>
              <w:spacing w:before="90" w:line="281" w:lineRule="auto"/>
              <w:ind w:left="27" w:hanging="4"/>
              <w:rPr>
                <w:rFonts w:hint="eastAsia"/>
                <w:lang w:eastAsia="zh-CN"/>
              </w:rPr>
            </w:pPr>
            <w:r>
              <w:rPr>
                <w:spacing w:val="6"/>
                <w:lang w:eastAsia="zh-CN"/>
              </w:rPr>
              <w:t>《投影机能效限定值及能效等级》</w:t>
            </w:r>
            <w:r>
              <w:rPr>
                <w:lang w:eastAsia="zh-CN"/>
              </w:rPr>
              <w:t xml:space="preserve"> （GB</w:t>
            </w:r>
            <w:r>
              <w:rPr>
                <w:spacing w:val="22"/>
                <w:lang w:eastAsia="zh-CN"/>
              </w:rPr>
              <w:t xml:space="preserve"> </w:t>
            </w:r>
            <w:r>
              <w:rPr>
                <w:lang w:eastAsia="zh-CN"/>
              </w:rPr>
              <w:t>32028）</w:t>
            </w:r>
          </w:p>
        </w:tc>
      </w:tr>
      <w:tr w14:paraId="180351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65" w:hRule="atLeast"/>
          <w:jc w:val="center"/>
        </w:trPr>
        <w:tc>
          <w:tcPr>
            <w:tcW w:w="578" w:type="dxa"/>
          </w:tcPr>
          <w:p w14:paraId="6DF074CF">
            <w:pPr>
              <w:spacing w:line="257" w:lineRule="auto"/>
              <w:rPr>
                <w:rFonts w:ascii="Arial"/>
              </w:rPr>
            </w:pPr>
          </w:p>
          <w:p w14:paraId="3CBE12A0">
            <w:pPr>
              <w:pStyle w:val="234"/>
              <w:spacing w:before="62" w:line="189" w:lineRule="auto"/>
              <w:ind w:left="242"/>
              <w:rPr>
                <w:rFonts w:hint="eastAsia"/>
              </w:rPr>
            </w:pPr>
            <w:r>
              <w:t>4</w:t>
            </w:r>
          </w:p>
        </w:tc>
        <w:tc>
          <w:tcPr>
            <w:tcW w:w="1166" w:type="dxa"/>
          </w:tcPr>
          <w:p w14:paraId="62DD4D7A">
            <w:pPr>
              <w:pStyle w:val="234"/>
              <w:spacing w:before="133" w:line="288" w:lineRule="auto"/>
              <w:ind w:left="22" w:right="8" w:hanging="13"/>
              <w:rPr>
                <w:rFonts w:hint="eastAsia"/>
              </w:rPr>
            </w:pPr>
            <w:r>
              <w:rPr>
                <w:spacing w:val="4"/>
              </w:rPr>
              <w:t>A020204</w:t>
            </w:r>
            <w:r>
              <w:rPr>
                <w:spacing w:val="-34"/>
              </w:rPr>
              <w:t xml:space="preserve"> </w:t>
            </w:r>
            <w:r>
              <w:rPr>
                <w:spacing w:val="4"/>
              </w:rPr>
              <w:t>多功</w:t>
            </w:r>
            <w:r>
              <w:t xml:space="preserve"> </w:t>
            </w:r>
            <w:r>
              <w:rPr>
                <w:spacing w:val="5"/>
              </w:rPr>
              <w:t>能一体机</w:t>
            </w:r>
          </w:p>
        </w:tc>
        <w:tc>
          <w:tcPr>
            <w:tcW w:w="1799" w:type="dxa"/>
          </w:tcPr>
          <w:p w14:paraId="5EF23ADA">
            <w:pPr>
              <w:rPr>
                <w:rFonts w:ascii="Arial"/>
              </w:rPr>
            </w:pPr>
          </w:p>
        </w:tc>
        <w:tc>
          <w:tcPr>
            <w:tcW w:w="1914" w:type="dxa"/>
          </w:tcPr>
          <w:p w14:paraId="0DC8AEDD">
            <w:pPr>
              <w:rPr>
                <w:rFonts w:ascii="Arial"/>
              </w:rPr>
            </w:pPr>
          </w:p>
        </w:tc>
        <w:tc>
          <w:tcPr>
            <w:tcW w:w="2969" w:type="dxa"/>
          </w:tcPr>
          <w:p w14:paraId="66E91CD0">
            <w:pPr>
              <w:pStyle w:val="234"/>
              <w:spacing w:before="133" w:line="288" w:lineRule="auto"/>
              <w:ind w:left="22" w:right="13"/>
              <w:rPr>
                <w:rFonts w:hint="eastAsia"/>
                <w:lang w:eastAsia="zh-CN"/>
              </w:rPr>
            </w:pPr>
            <w:r>
              <w:rPr>
                <w:spacing w:val="5"/>
                <w:lang w:eastAsia="zh-CN"/>
              </w:rPr>
              <w:t>《复印机、打印机和传真机能效限</w:t>
            </w:r>
            <w:r>
              <w:rPr>
                <w:lang w:eastAsia="zh-CN"/>
              </w:rPr>
              <w:t xml:space="preserve"> </w:t>
            </w:r>
            <w:r>
              <w:rPr>
                <w:spacing w:val="7"/>
                <w:lang w:eastAsia="zh-CN"/>
              </w:rPr>
              <w:t>定值及能效等级》（</w:t>
            </w:r>
            <w:r>
              <w:rPr>
                <w:lang w:eastAsia="zh-CN"/>
              </w:rPr>
              <w:t>GB</w:t>
            </w:r>
            <w:r>
              <w:rPr>
                <w:spacing w:val="7"/>
                <w:lang w:eastAsia="zh-CN"/>
              </w:rPr>
              <w:t xml:space="preserve"> 21521）</w:t>
            </w:r>
          </w:p>
        </w:tc>
      </w:tr>
      <w:tr w14:paraId="3527CCC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41" w:hRule="atLeast"/>
          <w:jc w:val="center"/>
        </w:trPr>
        <w:tc>
          <w:tcPr>
            <w:tcW w:w="578" w:type="dxa"/>
          </w:tcPr>
          <w:p w14:paraId="524DD741">
            <w:pPr>
              <w:pStyle w:val="234"/>
              <w:spacing w:before="260" w:line="188" w:lineRule="auto"/>
              <w:ind w:left="246"/>
              <w:rPr>
                <w:rFonts w:hint="eastAsia"/>
              </w:rPr>
            </w:pPr>
            <w:r>
              <w:t>5</w:t>
            </w:r>
          </w:p>
        </w:tc>
        <w:tc>
          <w:tcPr>
            <w:tcW w:w="1166" w:type="dxa"/>
          </w:tcPr>
          <w:p w14:paraId="0F47C364">
            <w:pPr>
              <w:pStyle w:val="234"/>
              <w:spacing w:before="227" w:line="229" w:lineRule="auto"/>
              <w:ind w:left="9"/>
              <w:rPr>
                <w:rFonts w:hint="eastAsia"/>
              </w:rPr>
            </w:pPr>
            <w:r>
              <w:rPr>
                <w:spacing w:val="4"/>
              </w:rPr>
              <w:t>A020519</w:t>
            </w:r>
            <w:r>
              <w:rPr>
                <w:spacing w:val="-32"/>
              </w:rPr>
              <w:t xml:space="preserve"> </w:t>
            </w:r>
            <w:r>
              <w:rPr>
                <w:spacing w:val="4"/>
              </w:rPr>
              <w:t>泵</w:t>
            </w:r>
          </w:p>
        </w:tc>
        <w:tc>
          <w:tcPr>
            <w:tcW w:w="1799" w:type="dxa"/>
          </w:tcPr>
          <w:p w14:paraId="4F1F8096">
            <w:pPr>
              <w:pStyle w:val="234"/>
              <w:spacing w:before="227" w:line="229" w:lineRule="auto"/>
              <w:ind w:left="9"/>
              <w:rPr>
                <w:rFonts w:hint="eastAsia"/>
              </w:rPr>
            </w:pPr>
            <w:r>
              <w:rPr>
                <w:spacing w:val="5"/>
              </w:rPr>
              <w:t>A02051901</w:t>
            </w:r>
            <w:r>
              <w:rPr>
                <w:spacing w:val="-33"/>
              </w:rPr>
              <w:t xml:space="preserve"> </w:t>
            </w:r>
            <w:r>
              <w:rPr>
                <w:spacing w:val="5"/>
              </w:rPr>
              <w:t>离心泵</w:t>
            </w:r>
          </w:p>
        </w:tc>
        <w:tc>
          <w:tcPr>
            <w:tcW w:w="1914" w:type="dxa"/>
          </w:tcPr>
          <w:p w14:paraId="0694C93F">
            <w:pPr>
              <w:rPr>
                <w:rFonts w:ascii="Arial"/>
              </w:rPr>
            </w:pPr>
          </w:p>
        </w:tc>
        <w:tc>
          <w:tcPr>
            <w:tcW w:w="2969" w:type="dxa"/>
          </w:tcPr>
          <w:p w14:paraId="14F925B2">
            <w:pPr>
              <w:pStyle w:val="234"/>
              <w:spacing w:before="71" w:line="272" w:lineRule="auto"/>
              <w:ind w:left="17" w:right="11" w:firstLine="6"/>
              <w:rPr>
                <w:rFonts w:hint="eastAsia"/>
                <w:lang w:eastAsia="zh-CN"/>
              </w:rPr>
            </w:pPr>
            <w:r>
              <w:rPr>
                <w:spacing w:val="19"/>
                <w:lang w:eastAsia="zh-CN"/>
              </w:rPr>
              <w:t>《清水离心泵能效限定值及节能</w:t>
            </w:r>
            <w:r>
              <w:rPr>
                <w:spacing w:val="2"/>
                <w:lang w:eastAsia="zh-CN"/>
              </w:rPr>
              <w:t xml:space="preserve"> </w:t>
            </w:r>
            <w:r>
              <w:rPr>
                <w:spacing w:val="4"/>
                <w:lang w:eastAsia="zh-CN"/>
              </w:rPr>
              <w:t>评价值》（</w:t>
            </w:r>
            <w:r>
              <w:rPr>
                <w:lang w:eastAsia="zh-CN"/>
              </w:rPr>
              <w:t>GB</w:t>
            </w:r>
            <w:r>
              <w:rPr>
                <w:spacing w:val="39"/>
                <w:lang w:eastAsia="zh-CN"/>
              </w:rPr>
              <w:t xml:space="preserve"> </w:t>
            </w:r>
            <w:r>
              <w:rPr>
                <w:spacing w:val="4"/>
                <w:lang w:eastAsia="zh-CN"/>
              </w:rPr>
              <w:t>19762）</w:t>
            </w:r>
          </w:p>
        </w:tc>
      </w:tr>
      <w:tr w14:paraId="02E76D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317" w:hRule="atLeast"/>
          <w:jc w:val="center"/>
        </w:trPr>
        <w:tc>
          <w:tcPr>
            <w:tcW w:w="578" w:type="dxa"/>
            <w:vMerge w:val="restart"/>
            <w:tcBorders>
              <w:bottom w:val="nil"/>
            </w:tcBorders>
          </w:tcPr>
          <w:p w14:paraId="52E86B40">
            <w:pPr>
              <w:spacing w:line="300" w:lineRule="auto"/>
              <w:rPr>
                <w:rFonts w:ascii="Arial"/>
              </w:rPr>
            </w:pPr>
          </w:p>
          <w:p w14:paraId="3967587B">
            <w:pPr>
              <w:spacing w:line="300" w:lineRule="auto"/>
              <w:rPr>
                <w:rFonts w:ascii="Arial"/>
              </w:rPr>
            </w:pPr>
          </w:p>
          <w:p w14:paraId="4CBA458B">
            <w:pPr>
              <w:spacing w:line="301" w:lineRule="auto"/>
              <w:rPr>
                <w:rFonts w:ascii="Arial"/>
              </w:rPr>
            </w:pPr>
          </w:p>
          <w:p w14:paraId="210ABDB0">
            <w:pPr>
              <w:pStyle w:val="234"/>
              <w:spacing w:before="62" w:line="189" w:lineRule="auto"/>
              <w:ind w:left="244"/>
              <w:rPr>
                <w:rFonts w:hint="eastAsia"/>
              </w:rPr>
            </w:pPr>
            <w:r>
              <w:t>6</w:t>
            </w:r>
          </w:p>
        </w:tc>
        <w:tc>
          <w:tcPr>
            <w:tcW w:w="1166" w:type="dxa"/>
            <w:vMerge w:val="restart"/>
            <w:tcBorders>
              <w:bottom w:val="nil"/>
            </w:tcBorders>
          </w:tcPr>
          <w:p w14:paraId="341BDAC3">
            <w:pPr>
              <w:spacing w:line="357" w:lineRule="auto"/>
              <w:rPr>
                <w:rFonts w:ascii="Arial"/>
              </w:rPr>
            </w:pPr>
          </w:p>
          <w:p w14:paraId="2BA42BCE">
            <w:pPr>
              <w:spacing w:line="358" w:lineRule="auto"/>
              <w:rPr>
                <w:rFonts w:ascii="Arial"/>
              </w:rPr>
            </w:pPr>
          </w:p>
          <w:p w14:paraId="543143D1">
            <w:pPr>
              <w:pStyle w:val="234"/>
              <w:spacing w:before="61" w:line="289" w:lineRule="auto"/>
              <w:ind w:left="21" w:right="8" w:hanging="12"/>
              <w:rPr>
                <w:rFonts w:hint="eastAsia"/>
              </w:rPr>
            </w:pPr>
            <w:r>
              <w:rPr>
                <w:spacing w:val="5"/>
              </w:rPr>
              <w:t>A020523</w:t>
            </w:r>
            <w:r>
              <w:rPr>
                <w:spacing w:val="-43"/>
              </w:rPr>
              <w:t xml:space="preserve"> </w:t>
            </w:r>
            <w:r>
              <w:rPr>
                <w:spacing w:val="5"/>
              </w:rPr>
              <w:t>制冷</w:t>
            </w:r>
            <w:r>
              <w:t xml:space="preserve"> </w:t>
            </w:r>
            <w:r>
              <w:rPr>
                <w:spacing w:val="5"/>
              </w:rPr>
              <w:t>空调设备</w:t>
            </w:r>
          </w:p>
        </w:tc>
        <w:tc>
          <w:tcPr>
            <w:tcW w:w="1799" w:type="dxa"/>
            <w:vMerge w:val="restart"/>
            <w:tcBorders>
              <w:bottom w:val="nil"/>
            </w:tcBorders>
          </w:tcPr>
          <w:p w14:paraId="01039BCC">
            <w:pPr>
              <w:spacing w:line="357" w:lineRule="auto"/>
              <w:rPr>
                <w:rFonts w:ascii="Arial"/>
              </w:rPr>
            </w:pPr>
          </w:p>
          <w:p w14:paraId="027C7FAF">
            <w:pPr>
              <w:spacing w:line="357" w:lineRule="auto"/>
              <w:rPr>
                <w:rFonts w:ascii="Arial"/>
              </w:rPr>
            </w:pPr>
          </w:p>
          <w:p w14:paraId="7D3B143E">
            <w:pPr>
              <w:pStyle w:val="234"/>
              <w:spacing w:before="62" w:line="288" w:lineRule="auto"/>
              <w:ind w:left="15" w:right="10" w:firstLine="3"/>
              <w:rPr>
                <w:rFonts w:hint="eastAsia"/>
              </w:rPr>
            </w:pPr>
            <w:r>
              <w:rPr>
                <w:spacing w:val="3"/>
              </w:rPr>
              <w:t>★A02052301 制冷压</w:t>
            </w:r>
            <w:r>
              <w:rPr>
                <w:spacing w:val="12"/>
              </w:rPr>
              <w:t xml:space="preserve"> </w:t>
            </w:r>
            <w:r>
              <w:rPr>
                <w:spacing w:val="5"/>
              </w:rPr>
              <w:t>缩机</w:t>
            </w:r>
          </w:p>
        </w:tc>
        <w:tc>
          <w:tcPr>
            <w:tcW w:w="1914" w:type="dxa"/>
          </w:tcPr>
          <w:p w14:paraId="5E8498A6">
            <w:pPr>
              <w:spacing w:line="250" w:lineRule="auto"/>
              <w:rPr>
                <w:rFonts w:ascii="Arial"/>
              </w:rPr>
            </w:pPr>
          </w:p>
          <w:p w14:paraId="1FE10F38">
            <w:pPr>
              <w:spacing w:line="251" w:lineRule="auto"/>
              <w:rPr>
                <w:rFonts w:ascii="Arial"/>
              </w:rPr>
            </w:pPr>
          </w:p>
          <w:p w14:paraId="181194F0">
            <w:pPr>
              <w:pStyle w:val="234"/>
              <w:spacing w:before="61" w:line="228" w:lineRule="auto"/>
              <w:ind w:left="18"/>
              <w:rPr>
                <w:rFonts w:hint="eastAsia"/>
              </w:rPr>
            </w:pPr>
            <w:r>
              <w:rPr>
                <w:spacing w:val="6"/>
              </w:rPr>
              <w:t>冷水机组</w:t>
            </w:r>
          </w:p>
        </w:tc>
        <w:tc>
          <w:tcPr>
            <w:tcW w:w="2969" w:type="dxa"/>
          </w:tcPr>
          <w:p w14:paraId="758B7A80">
            <w:pPr>
              <w:pStyle w:val="234"/>
              <w:spacing w:before="96" w:line="294" w:lineRule="auto"/>
              <w:ind w:left="17" w:right="11" w:firstLine="5"/>
              <w:rPr>
                <w:rFonts w:hint="eastAsia"/>
                <w:lang w:eastAsia="zh-CN"/>
              </w:rPr>
            </w:pPr>
            <w:r>
              <w:rPr>
                <w:spacing w:val="19"/>
                <w:lang w:eastAsia="zh-CN"/>
              </w:rPr>
              <w:t>《冷水机组能效限定值及能效等</w:t>
            </w:r>
            <w:r>
              <w:rPr>
                <w:spacing w:val="2"/>
                <w:lang w:eastAsia="zh-CN"/>
              </w:rPr>
              <w:t xml:space="preserve"> </w:t>
            </w:r>
            <w:r>
              <w:rPr>
                <w:spacing w:val="6"/>
                <w:lang w:eastAsia="zh-CN"/>
              </w:rPr>
              <w:t>级》（</w:t>
            </w:r>
            <w:r>
              <w:rPr>
                <w:lang w:eastAsia="zh-CN"/>
              </w:rPr>
              <w:t>GB</w:t>
            </w:r>
            <w:r>
              <w:rPr>
                <w:spacing w:val="-21"/>
                <w:lang w:eastAsia="zh-CN"/>
              </w:rPr>
              <w:t xml:space="preserve"> </w:t>
            </w:r>
            <w:r>
              <w:rPr>
                <w:spacing w:val="6"/>
                <w:lang w:eastAsia="zh-CN"/>
              </w:rPr>
              <w:t>19577</w:t>
            </w:r>
            <w:r>
              <w:rPr>
                <w:spacing w:val="9"/>
                <w:lang w:eastAsia="zh-CN"/>
              </w:rPr>
              <w:t>），</w:t>
            </w:r>
            <w:r>
              <w:rPr>
                <w:spacing w:val="6"/>
                <w:lang w:eastAsia="zh-CN"/>
              </w:rPr>
              <w:t>《低环境温度</w:t>
            </w:r>
            <w:r>
              <w:rPr>
                <w:lang w:eastAsia="zh-CN"/>
              </w:rPr>
              <w:t xml:space="preserve"> </w:t>
            </w:r>
            <w:r>
              <w:rPr>
                <w:spacing w:val="5"/>
                <w:lang w:eastAsia="zh-CN"/>
              </w:rPr>
              <w:t>空气源热泵（冷水）机组能效限定</w:t>
            </w:r>
            <w:r>
              <w:rPr>
                <w:spacing w:val="6"/>
                <w:lang w:eastAsia="zh-CN"/>
              </w:rPr>
              <w:t xml:space="preserve"> </w:t>
            </w:r>
            <w:r>
              <w:rPr>
                <w:spacing w:val="7"/>
                <w:lang w:eastAsia="zh-CN"/>
              </w:rPr>
              <w:t>值及能效等级》（</w:t>
            </w:r>
            <w:r>
              <w:rPr>
                <w:lang w:eastAsia="zh-CN"/>
              </w:rPr>
              <w:t>GB</w:t>
            </w:r>
            <w:r>
              <w:rPr>
                <w:spacing w:val="7"/>
                <w:lang w:eastAsia="zh-CN"/>
              </w:rPr>
              <w:t xml:space="preserve"> 37480）</w:t>
            </w:r>
          </w:p>
        </w:tc>
      </w:tr>
      <w:tr w14:paraId="5FD5A6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4" w:hRule="atLeast"/>
          <w:jc w:val="center"/>
        </w:trPr>
        <w:tc>
          <w:tcPr>
            <w:tcW w:w="578" w:type="dxa"/>
            <w:vMerge w:val="continue"/>
            <w:tcBorders>
              <w:top w:val="nil"/>
            </w:tcBorders>
          </w:tcPr>
          <w:p w14:paraId="034D4D14">
            <w:pPr>
              <w:rPr>
                <w:rFonts w:ascii="Arial"/>
              </w:rPr>
            </w:pPr>
          </w:p>
        </w:tc>
        <w:tc>
          <w:tcPr>
            <w:tcW w:w="1166" w:type="dxa"/>
            <w:vMerge w:val="continue"/>
            <w:tcBorders>
              <w:top w:val="nil"/>
            </w:tcBorders>
          </w:tcPr>
          <w:p w14:paraId="4792B4F6">
            <w:pPr>
              <w:rPr>
                <w:rFonts w:ascii="Arial"/>
              </w:rPr>
            </w:pPr>
          </w:p>
        </w:tc>
        <w:tc>
          <w:tcPr>
            <w:tcW w:w="1799" w:type="dxa"/>
            <w:vMerge w:val="continue"/>
            <w:tcBorders>
              <w:top w:val="nil"/>
            </w:tcBorders>
          </w:tcPr>
          <w:p w14:paraId="623510C9">
            <w:pPr>
              <w:rPr>
                <w:rFonts w:ascii="Arial"/>
              </w:rPr>
            </w:pPr>
          </w:p>
        </w:tc>
        <w:tc>
          <w:tcPr>
            <w:tcW w:w="1914" w:type="dxa"/>
          </w:tcPr>
          <w:p w14:paraId="28D1D5E6">
            <w:pPr>
              <w:pStyle w:val="234"/>
              <w:spacing w:before="275" w:line="228" w:lineRule="auto"/>
              <w:ind w:left="19"/>
              <w:rPr>
                <w:rFonts w:hint="eastAsia"/>
              </w:rPr>
            </w:pPr>
            <w:r>
              <w:rPr>
                <w:spacing w:val="7"/>
              </w:rPr>
              <w:t>水源热泵机组</w:t>
            </w:r>
          </w:p>
        </w:tc>
        <w:tc>
          <w:tcPr>
            <w:tcW w:w="2969" w:type="dxa"/>
          </w:tcPr>
          <w:p w14:paraId="15079B18">
            <w:pPr>
              <w:pStyle w:val="234"/>
              <w:spacing w:before="120" w:line="288" w:lineRule="auto"/>
              <w:ind w:left="17" w:right="13" w:firstLine="6"/>
              <w:rPr>
                <w:rFonts w:hint="eastAsia"/>
                <w:lang w:eastAsia="zh-CN"/>
              </w:rPr>
            </w:pPr>
            <w:r>
              <w:rPr>
                <w:spacing w:val="5"/>
                <w:lang w:eastAsia="zh-CN"/>
              </w:rPr>
              <w:t>《水（地）源热泵机组能效限定值</w:t>
            </w:r>
            <w:r>
              <w:rPr>
                <w:lang w:eastAsia="zh-CN"/>
              </w:rPr>
              <w:t xml:space="preserve"> </w:t>
            </w:r>
            <w:r>
              <w:rPr>
                <w:spacing w:val="7"/>
                <w:lang w:eastAsia="zh-CN"/>
              </w:rPr>
              <w:t>及能效等级》（</w:t>
            </w:r>
            <w:r>
              <w:rPr>
                <w:lang w:eastAsia="zh-CN"/>
              </w:rPr>
              <w:t>GB</w:t>
            </w:r>
            <w:r>
              <w:rPr>
                <w:spacing w:val="7"/>
                <w:lang w:eastAsia="zh-CN"/>
              </w:rPr>
              <w:t xml:space="preserve"> 30721）</w:t>
            </w:r>
          </w:p>
        </w:tc>
      </w:tr>
    </w:tbl>
    <w:p w14:paraId="22648B2E">
      <w:pPr>
        <w:rPr>
          <w:rFonts w:ascii="Arial"/>
        </w:rPr>
      </w:pPr>
    </w:p>
    <w:p w14:paraId="132A06AA">
      <w:pPr>
        <w:rPr>
          <w:rFonts w:ascii="Arial" w:hAnsi="Arial" w:eastAsia="Arial" w:cs="Arial"/>
          <w:szCs w:val="21"/>
        </w:rPr>
        <w:sectPr>
          <w:pgSz w:w="11906" w:h="16838"/>
          <w:pgMar w:top="1431" w:right="1691" w:bottom="0" w:left="1783" w:header="850" w:footer="0" w:gutter="0"/>
          <w:cols w:space="720" w:num="1"/>
        </w:sectPr>
      </w:pPr>
    </w:p>
    <w:p w14:paraId="4E1DF266">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5150D4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3" w:hRule="atLeast"/>
          <w:jc w:val="center"/>
        </w:trPr>
        <w:tc>
          <w:tcPr>
            <w:tcW w:w="578" w:type="dxa"/>
            <w:vMerge w:val="restart"/>
            <w:tcBorders>
              <w:bottom w:val="nil"/>
            </w:tcBorders>
          </w:tcPr>
          <w:p w14:paraId="6DE9009A">
            <w:pPr>
              <w:rPr>
                <w:rFonts w:ascii="Arial"/>
              </w:rPr>
            </w:pPr>
          </w:p>
        </w:tc>
        <w:tc>
          <w:tcPr>
            <w:tcW w:w="1166" w:type="dxa"/>
            <w:vMerge w:val="restart"/>
            <w:tcBorders>
              <w:bottom w:val="nil"/>
            </w:tcBorders>
          </w:tcPr>
          <w:p w14:paraId="1EC91413">
            <w:pPr>
              <w:rPr>
                <w:rFonts w:ascii="Arial"/>
              </w:rPr>
            </w:pPr>
          </w:p>
        </w:tc>
        <w:tc>
          <w:tcPr>
            <w:tcW w:w="1799" w:type="dxa"/>
          </w:tcPr>
          <w:p w14:paraId="2313E7C2">
            <w:pPr>
              <w:rPr>
                <w:rFonts w:ascii="Arial"/>
              </w:rPr>
            </w:pPr>
          </w:p>
        </w:tc>
        <w:tc>
          <w:tcPr>
            <w:tcW w:w="1914" w:type="dxa"/>
          </w:tcPr>
          <w:p w14:paraId="4DAEC28F">
            <w:pPr>
              <w:pStyle w:val="234"/>
              <w:spacing w:before="159" w:line="294" w:lineRule="auto"/>
              <w:ind w:left="19" w:right="11" w:firstLine="1"/>
              <w:rPr>
                <w:rFonts w:hint="eastAsia"/>
                <w:lang w:eastAsia="zh-CN"/>
              </w:rPr>
            </w:pPr>
            <w:r>
              <w:rPr>
                <w:spacing w:val="18"/>
                <w:lang w:eastAsia="zh-CN"/>
              </w:rPr>
              <w:t>溴化锂吸收式冷水机</w:t>
            </w:r>
            <w:r>
              <w:rPr>
                <w:spacing w:val="4"/>
                <w:lang w:eastAsia="zh-CN"/>
              </w:rPr>
              <w:t xml:space="preserve"> </w:t>
            </w:r>
            <w:r>
              <w:rPr>
                <w:lang w:eastAsia="zh-CN"/>
              </w:rPr>
              <w:t>组</w:t>
            </w:r>
          </w:p>
        </w:tc>
        <w:tc>
          <w:tcPr>
            <w:tcW w:w="2969" w:type="dxa"/>
          </w:tcPr>
          <w:p w14:paraId="446AD3EC">
            <w:pPr>
              <w:pStyle w:val="234"/>
              <w:spacing w:before="160" w:line="288" w:lineRule="auto"/>
              <w:ind w:left="22" w:right="11"/>
              <w:rPr>
                <w:rFonts w:hint="eastAsia"/>
                <w:lang w:eastAsia="zh-CN"/>
              </w:rPr>
            </w:pPr>
            <w:r>
              <w:rPr>
                <w:spacing w:val="19"/>
                <w:lang w:eastAsia="zh-CN"/>
              </w:rPr>
              <w:t>《溴化锂吸收式冷水机组能效限</w:t>
            </w:r>
            <w:r>
              <w:rPr>
                <w:spacing w:val="2"/>
                <w:lang w:eastAsia="zh-CN"/>
              </w:rPr>
              <w:t xml:space="preserve"> </w:t>
            </w:r>
            <w:r>
              <w:rPr>
                <w:spacing w:val="7"/>
                <w:lang w:eastAsia="zh-CN"/>
              </w:rPr>
              <w:t>定值及能效等级》（</w:t>
            </w:r>
            <w:r>
              <w:rPr>
                <w:lang w:eastAsia="zh-CN"/>
              </w:rPr>
              <w:t>GB</w:t>
            </w:r>
            <w:r>
              <w:rPr>
                <w:spacing w:val="7"/>
                <w:lang w:eastAsia="zh-CN"/>
              </w:rPr>
              <w:t xml:space="preserve"> 29540）</w:t>
            </w:r>
          </w:p>
        </w:tc>
      </w:tr>
      <w:tr w14:paraId="46D9A8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24FEF005">
            <w:pPr>
              <w:rPr>
                <w:rFonts w:ascii="Arial"/>
              </w:rPr>
            </w:pPr>
          </w:p>
        </w:tc>
        <w:tc>
          <w:tcPr>
            <w:tcW w:w="1166" w:type="dxa"/>
            <w:vMerge w:val="continue"/>
            <w:tcBorders>
              <w:top w:val="nil"/>
              <w:bottom w:val="nil"/>
            </w:tcBorders>
          </w:tcPr>
          <w:p w14:paraId="634AA59D">
            <w:pPr>
              <w:rPr>
                <w:rFonts w:ascii="Arial"/>
              </w:rPr>
            </w:pPr>
          </w:p>
        </w:tc>
        <w:tc>
          <w:tcPr>
            <w:tcW w:w="1799" w:type="dxa"/>
            <w:vMerge w:val="restart"/>
            <w:tcBorders>
              <w:bottom w:val="nil"/>
            </w:tcBorders>
          </w:tcPr>
          <w:p w14:paraId="41C061E9">
            <w:pPr>
              <w:spacing w:line="265" w:lineRule="auto"/>
              <w:rPr>
                <w:rFonts w:ascii="Arial"/>
              </w:rPr>
            </w:pPr>
          </w:p>
          <w:p w14:paraId="0C78F460">
            <w:pPr>
              <w:spacing w:line="265" w:lineRule="auto"/>
              <w:rPr>
                <w:rFonts w:ascii="Arial"/>
              </w:rPr>
            </w:pPr>
          </w:p>
          <w:p w14:paraId="1743BA5B">
            <w:pPr>
              <w:spacing w:line="265" w:lineRule="auto"/>
              <w:rPr>
                <w:rFonts w:ascii="Arial"/>
              </w:rPr>
            </w:pPr>
          </w:p>
          <w:p w14:paraId="1C50E05F">
            <w:pPr>
              <w:pStyle w:val="234"/>
              <w:spacing w:before="62" w:line="294" w:lineRule="auto"/>
              <w:ind w:left="17" w:right="10"/>
              <w:rPr>
                <w:rFonts w:hint="eastAsia"/>
              </w:rPr>
            </w:pPr>
            <w:r>
              <w:rPr>
                <w:spacing w:val="3"/>
              </w:rPr>
              <w:t>★A02052305 空调机</w:t>
            </w:r>
            <w:r>
              <w:rPr>
                <w:spacing w:val="12"/>
              </w:rPr>
              <w:t xml:space="preserve"> </w:t>
            </w:r>
            <w:r>
              <w:t>组</w:t>
            </w:r>
          </w:p>
        </w:tc>
        <w:tc>
          <w:tcPr>
            <w:tcW w:w="1914" w:type="dxa"/>
          </w:tcPr>
          <w:p w14:paraId="65BC4F89">
            <w:pPr>
              <w:pStyle w:val="234"/>
              <w:spacing w:before="65" w:line="284" w:lineRule="auto"/>
              <w:ind w:left="15" w:right="11" w:firstLine="10"/>
              <w:rPr>
                <w:rFonts w:hint="eastAsia"/>
                <w:lang w:eastAsia="zh-CN"/>
              </w:rPr>
            </w:pPr>
            <w:r>
              <w:rPr>
                <w:spacing w:val="15"/>
                <w:lang w:eastAsia="zh-CN"/>
              </w:rPr>
              <w:t>多联式空调（热泵）</w:t>
            </w:r>
            <w:r>
              <w:rPr>
                <w:spacing w:val="7"/>
                <w:lang w:eastAsia="zh-CN"/>
              </w:rPr>
              <w:t xml:space="preserve"> </w:t>
            </w:r>
            <w:r>
              <w:rPr>
                <w:spacing w:val="-8"/>
                <w:lang w:eastAsia="zh-CN"/>
              </w:rPr>
              <w:t>机</w:t>
            </w:r>
            <w:r>
              <w:rPr>
                <w:spacing w:val="34"/>
                <w:lang w:eastAsia="zh-CN"/>
              </w:rPr>
              <w:t xml:space="preserve">  </w:t>
            </w:r>
            <w:r>
              <w:rPr>
                <w:spacing w:val="-8"/>
                <w:lang w:eastAsia="zh-CN"/>
              </w:rPr>
              <w:t>组</w:t>
            </w:r>
            <w:r>
              <w:rPr>
                <w:spacing w:val="2"/>
                <w:lang w:eastAsia="zh-CN"/>
              </w:rPr>
              <w:t xml:space="preserve">   </w:t>
            </w:r>
            <w:r>
              <w:rPr>
                <w:spacing w:val="-8"/>
                <w:lang w:eastAsia="zh-CN"/>
              </w:rPr>
              <w:t>(</w:t>
            </w:r>
            <w:r>
              <w:rPr>
                <w:spacing w:val="33"/>
                <w:lang w:eastAsia="zh-CN"/>
              </w:rPr>
              <w:t xml:space="preserve">  </w:t>
            </w:r>
            <w:r>
              <w:rPr>
                <w:spacing w:val="-8"/>
                <w:lang w:eastAsia="zh-CN"/>
              </w:rPr>
              <w:t>制</w:t>
            </w:r>
            <w:r>
              <w:rPr>
                <w:spacing w:val="35"/>
                <w:lang w:eastAsia="zh-CN"/>
              </w:rPr>
              <w:t xml:space="preserve">  </w:t>
            </w:r>
            <w:r>
              <w:rPr>
                <w:spacing w:val="-8"/>
                <w:lang w:eastAsia="zh-CN"/>
              </w:rPr>
              <w:t>冷</w:t>
            </w:r>
            <w:r>
              <w:rPr>
                <w:lang w:eastAsia="zh-CN"/>
              </w:rPr>
              <w:t xml:space="preserve"> </w:t>
            </w:r>
            <w:r>
              <w:rPr>
                <w:spacing w:val="5"/>
                <w:lang w:eastAsia="zh-CN"/>
              </w:rPr>
              <w:t>量&gt;14000W)</w:t>
            </w:r>
          </w:p>
        </w:tc>
        <w:tc>
          <w:tcPr>
            <w:tcW w:w="2969" w:type="dxa"/>
          </w:tcPr>
          <w:p w14:paraId="04442F5D">
            <w:pPr>
              <w:pStyle w:val="234"/>
              <w:spacing w:before="223" w:line="288" w:lineRule="auto"/>
              <w:ind w:left="22"/>
              <w:rPr>
                <w:rFonts w:hint="eastAsia"/>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7E1D19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6" w:hRule="atLeast"/>
          <w:jc w:val="center"/>
        </w:trPr>
        <w:tc>
          <w:tcPr>
            <w:tcW w:w="578" w:type="dxa"/>
            <w:vMerge w:val="continue"/>
            <w:tcBorders>
              <w:top w:val="nil"/>
              <w:bottom w:val="nil"/>
            </w:tcBorders>
          </w:tcPr>
          <w:p w14:paraId="27159254">
            <w:pPr>
              <w:rPr>
                <w:rFonts w:ascii="Arial"/>
              </w:rPr>
            </w:pPr>
          </w:p>
        </w:tc>
        <w:tc>
          <w:tcPr>
            <w:tcW w:w="1166" w:type="dxa"/>
            <w:vMerge w:val="continue"/>
            <w:tcBorders>
              <w:top w:val="nil"/>
              <w:bottom w:val="nil"/>
            </w:tcBorders>
          </w:tcPr>
          <w:p w14:paraId="019B5B0A">
            <w:pPr>
              <w:rPr>
                <w:rFonts w:ascii="Arial"/>
              </w:rPr>
            </w:pPr>
          </w:p>
        </w:tc>
        <w:tc>
          <w:tcPr>
            <w:tcW w:w="1799" w:type="dxa"/>
            <w:vMerge w:val="continue"/>
            <w:tcBorders>
              <w:top w:val="nil"/>
            </w:tcBorders>
          </w:tcPr>
          <w:p w14:paraId="40003CCA">
            <w:pPr>
              <w:rPr>
                <w:rFonts w:ascii="Arial"/>
              </w:rPr>
            </w:pPr>
          </w:p>
        </w:tc>
        <w:tc>
          <w:tcPr>
            <w:tcW w:w="1914" w:type="dxa"/>
          </w:tcPr>
          <w:p w14:paraId="6428E706">
            <w:pPr>
              <w:spacing w:line="319" w:lineRule="auto"/>
              <w:rPr>
                <w:rFonts w:ascii="Arial"/>
              </w:rPr>
            </w:pPr>
          </w:p>
          <w:p w14:paraId="1033CE17">
            <w:pPr>
              <w:pStyle w:val="234"/>
              <w:spacing w:before="61" w:line="289" w:lineRule="auto"/>
              <w:ind w:left="51" w:right="11" w:hanging="33"/>
              <w:rPr>
                <w:rFonts w:hint="eastAsia"/>
                <w:lang w:eastAsia="zh-CN"/>
              </w:rPr>
            </w:pPr>
            <w:r>
              <w:rPr>
                <w:spacing w:val="44"/>
                <w:lang w:eastAsia="zh-CN"/>
              </w:rPr>
              <w:t>单元式空气调节机</w:t>
            </w:r>
            <w:r>
              <w:rPr>
                <w:spacing w:val="6"/>
                <w:lang w:eastAsia="zh-CN"/>
              </w:rPr>
              <w:t xml:space="preserve"> </w:t>
            </w:r>
            <w:r>
              <w:rPr>
                <w:spacing w:val="2"/>
                <w:lang w:eastAsia="zh-CN"/>
              </w:rPr>
              <w:t>(制冷量&gt;14000W)</w:t>
            </w:r>
          </w:p>
        </w:tc>
        <w:tc>
          <w:tcPr>
            <w:tcW w:w="2969" w:type="dxa"/>
          </w:tcPr>
          <w:p w14:paraId="2E75F3F7">
            <w:pPr>
              <w:pStyle w:val="234"/>
              <w:spacing w:before="72" w:line="290" w:lineRule="auto"/>
              <w:ind w:left="16" w:right="11" w:firstLine="6"/>
              <w:rPr>
                <w:rFonts w:hint="eastAsia"/>
                <w:lang w:eastAsia="zh-CN"/>
              </w:rPr>
            </w:pPr>
            <w:r>
              <w:rPr>
                <w:spacing w:val="19"/>
                <w:lang w:eastAsia="zh-CN"/>
              </w:rPr>
              <w:t>《单元式空气调节机能效限定值</w:t>
            </w:r>
            <w:r>
              <w:rPr>
                <w:spacing w:val="2"/>
                <w:lang w:eastAsia="zh-CN"/>
              </w:rPr>
              <w:t xml:space="preserve"> </w:t>
            </w:r>
            <w:r>
              <w:rPr>
                <w:spacing w:val="6"/>
                <w:lang w:eastAsia="zh-CN"/>
              </w:rPr>
              <w:t>及能效等级》（</w:t>
            </w:r>
            <w:r>
              <w:rPr>
                <w:lang w:eastAsia="zh-CN"/>
              </w:rPr>
              <w:t>GB</w:t>
            </w:r>
            <w:r>
              <w:rPr>
                <w:spacing w:val="-13"/>
                <w:lang w:eastAsia="zh-CN"/>
              </w:rPr>
              <w:t xml:space="preserve"> </w:t>
            </w:r>
            <w:r>
              <w:rPr>
                <w:spacing w:val="6"/>
                <w:lang w:eastAsia="zh-CN"/>
              </w:rPr>
              <w:t>19576）《风管</w:t>
            </w:r>
            <w:r>
              <w:rPr>
                <w:lang w:eastAsia="zh-CN"/>
              </w:rPr>
              <w:t xml:space="preserve"> </w:t>
            </w:r>
            <w:r>
              <w:rPr>
                <w:spacing w:val="19"/>
                <w:lang w:eastAsia="zh-CN"/>
              </w:rPr>
              <w:t>送风式空调机组能效限定值及能</w:t>
            </w:r>
            <w:r>
              <w:rPr>
                <w:spacing w:val="9"/>
                <w:lang w:eastAsia="zh-CN"/>
              </w:rPr>
              <w:t xml:space="preserve"> </w:t>
            </w:r>
            <w:r>
              <w:rPr>
                <w:spacing w:val="7"/>
                <w:lang w:eastAsia="zh-CN"/>
              </w:rPr>
              <w:t>效等级》（</w:t>
            </w:r>
            <w:r>
              <w:rPr>
                <w:lang w:eastAsia="zh-CN"/>
              </w:rPr>
              <w:t>GB</w:t>
            </w:r>
            <w:r>
              <w:rPr>
                <w:spacing w:val="7"/>
                <w:lang w:eastAsia="zh-CN"/>
              </w:rPr>
              <w:t xml:space="preserve"> 37479）</w:t>
            </w:r>
          </w:p>
        </w:tc>
      </w:tr>
      <w:tr w14:paraId="5066A3F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578" w:type="dxa"/>
            <w:vMerge w:val="continue"/>
            <w:tcBorders>
              <w:top w:val="nil"/>
              <w:bottom w:val="nil"/>
            </w:tcBorders>
          </w:tcPr>
          <w:p w14:paraId="3D6D1998">
            <w:pPr>
              <w:rPr>
                <w:rFonts w:ascii="Arial"/>
              </w:rPr>
            </w:pPr>
          </w:p>
        </w:tc>
        <w:tc>
          <w:tcPr>
            <w:tcW w:w="1166" w:type="dxa"/>
            <w:vMerge w:val="continue"/>
            <w:tcBorders>
              <w:top w:val="nil"/>
              <w:bottom w:val="nil"/>
            </w:tcBorders>
          </w:tcPr>
          <w:p w14:paraId="1D7BA979">
            <w:pPr>
              <w:rPr>
                <w:rFonts w:ascii="Arial"/>
              </w:rPr>
            </w:pPr>
          </w:p>
        </w:tc>
        <w:tc>
          <w:tcPr>
            <w:tcW w:w="1799" w:type="dxa"/>
          </w:tcPr>
          <w:p w14:paraId="2C2144D9">
            <w:pPr>
              <w:pStyle w:val="234"/>
              <w:spacing w:before="145" w:line="287" w:lineRule="auto"/>
              <w:ind w:left="17" w:right="10" w:firstLine="1"/>
              <w:rPr>
                <w:rFonts w:hint="eastAsia"/>
                <w:lang w:eastAsia="zh-CN"/>
              </w:rPr>
            </w:pPr>
            <w:r>
              <w:rPr>
                <w:spacing w:val="3"/>
                <w:lang w:eastAsia="zh-CN"/>
              </w:rPr>
              <w:t>★A02052309 专用制</w:t>
            </w:r>
            <w:r>
              <w:rPr>
                <w:spacing w:val="12"/>
                <w:lang w:eastAsia="zh-CN"/>
              </w:rPr>
              <w:t xml:space="preserve"> </w:t>
            </w:r>
            <w:r>
              <w:rPr>
                <w:spacing w:val="8"/>
                <w:lang w:eastAsia="zh-CN"/>
              </w:rPr>
              <w:t>冷、空调设备</w:t>
            </w:r>
          </w:p>
        </w:tc>
        <w:tc>
          <w:tcPr>
            <w:tcW w:w="1914" w:type="dxa"/>
          </w:tcPr>
          <w:p w14:paraId="135B1406">
            <w:pPr>
              <w:pStyle w:val="234"/>
              <w:spacing w:before="300" w:line="228" w:lineRule="auto"/>
              <w:ind w:left="15"/>
              <w:rPr>
                <w:rFonts w:hint="eastAsia"/>
              </w:rPr>
            </w:pPr>
            <w:r>
              <w:rPr>
                <w:spacing w:val="7"/>
              </w:rPr>
              <w:t>机房空调</w:t>
            </w:r>
          </w:p>
        </w:tc>
        <w:tc>
          <w:tcPr>
            <w:tcW w:w="2969" w:type="dxa"/>
          </w:tcPr>
          <w:p w14:paraId="281BDFD5">
            <w:pPr>
              <w:pStyle w:val="234"/>
              <w:spacing w:before="146" w:line="286" w:lineRule="auto"/>
              <w:ind w:left="17" w:right="11" w:firstLine="6"/>
              <w:rPr>
                <w:rFonts w:hint="eastAsia"/>
                <w:lang w:eastAsia="zh-CN"/>
              </w:rPr>
            </w:pPr>
            <w:r>
              <w:rPr>
                <w:spacing w:val="19"/>
                <w:lang w:eastAsia="zh-CN"/>
              </w:rPr>
              <w:t>《单元式空气调节机能效限定值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19576）</w:t>
            </w:r>
          </w:p>
        </w:tc>
      </w:tr>
      <w:tr w14:paraId="1CD2CD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96" w:hRule="atLeast"/>
          <w:jc w:val="center"/>
        </w:trPr>
        <w:tc>
          <w:tcPr>
            <w:tcW w:w="578" w:type="dxa"/>
            <w:vMerge w:val="continue"/>
            <w:tcBorders>
              <w:top w:val="nil"/>
            </w:tcBorders>
          </w:tcPr>
          <w:p w14:paraId="0CAC9C9D">
            <w:pPr>
              <w:rPr>
                <w:rFonts w:ascii="Arial"/>
              </w:rPr>
            </w:pPr>
          </w:p>
        </w:tc>
        <w:tc>
          <w:tcPr>
            <w:tcW w:w="1166" w:type="dxa"/>
            <w:vMerge w:val="continue"/>
            <w:tcBorders>
              <w:top w:val="nil"/>
            </w:tcBorders>
          </w:tcPr>
          <w:p w14:paraId="5500E5C3">
            <w:pPr>
              <w:rPr>
                <w:rFonts w:ascii="Arial"/>
              </w:rPr>
            </w:pPr>
          </w:p>
        </w:tc>
        <w:tc>
          <w:tcPr>
            <w:tcW w:w="1799" w:type="dxa"/>
          </w:tcPr>
          <w:p w14:paraId="1E7B428F">
            <w:pPr>
              <w:spacing w:line="265" w:lineRule="auto"/>
              <w:rPr>
                <w:rFonts w:ascii="Arial"/>
              </w:rPr>
            </w:pPr>
          </w:p>
          <w:p w14:paraId="79B51DD2">
            <w:pPr>
              <w:spacing w:line="265" w:lineRule="auto"/>
              <w:rPr>
                <w:rFonts w:ascii="Arial"/>
              </w:rPr>
            </w:pPr>
          </w:p>
          <w:p w14:paraId="3445F222">
            <w:pPr>
              <w:pStyle w:val="234"/>
              <w:spacing w:before="62" w:line="289" w:lineRule="auto"/>
              <w:ind w:left="21" w:right="10" w:hanging="12"/>
              <w:rPr>
                <w:rFonts w:hint="eastAsia"/>
              </w:rPr>
            </w:pPr>
            <w:r>
              <w:rPr>
                <w:spacing w:val="4"/>
              </w:rPr>
              <w:t>A02052399 其他制冷</w:t>
            </w:r>
            <w:r>
              <w:rPr>
                <w:spacing w:val="7"/>
              </w:rPr>
              <w:t xml:space="preserve"> </w:t>
            </w:r>
            <w:r>
              <w:rPr>
                <w:spacing w:val="5"/>
              </w:rPr>
              <w:t>空调设备</w:t>
            </w:r>
          </w:p>
        </w:tc>
        <w:tc>
          <w:tcPr>
            <w:tcW w:w="1914" w:type="dxa"/>
          </w:tcPr>
          <w:p w14:paraId="7A66CB1B">
            <w:pPr>
              <w:spacing w:line="343" w:lineRule="auto"/>
              <w:rPr>
                <w:rFonts w:ascii="Arial"/>
              </w:rPr>
            </w:pPr>
          </w:p>
          <w:p w14:paraId="548AB2F5">
            <w:pPr>
              <w:spacing w:line="343" w:lineRule="auto"/>
              <w:rPr>
                <w:rFonts w:ascii="Arial"/>
              </w:rPr>
            </w:pPr>
          </w:p>
          <w:p w14:paraId="68004D6C">
            <w:pPr>
              <w:pStyle w:val="234"/>
              <w:spacing w:before="62" w:line="231" w:lineRule="auto"/>
              <w:ind w:left="18"/>
              <w:rPr>
                <w:rFonts w:hint="eastAsia"/>
              </w:rPr>
            </w:pPr>
            <w:r>
              <w:rPr>
                <w:spacing w:val="6"/>
              </w:rPr>
              <w:t>冷却塔</w:t>
            </w:r>
          </w:p>
        </w:tc>
        <w:tc>
          <w:tcPr>
            <w:tcW w:w="2969" w:type="dxa"/>
          </w:tcPr>
          <w:p w14:paraId="6EA72211">
            <w:pPr>
              <w:pStyle w:val="234"/>
              <w:spacing w:before="284" w:line="296" w:lineRule="auto"/>
              <w:ind w:left="23"/>
              <w:rPr>
                <w:rFonts w:hint="eastAsia"/>
                <w:lang w:eastAsia="zh-CN"/>
              </w:rPr>
            </w:pPr>
            <w:r>
              <w:rPr>
                <w:spacing w:val="2"/>
                <w:lang w:eastAsia="zh-CN"/>
              </w:rPr>
              <w:t>《机械通风冷却塔 第 1 部分：中</w:t>
            </w:r>
            <w:r>
              <w:rPr>
                <w:spacing w:val="3"/>
                <w:lang w:eastAsia="zh-CN"/>
              </w:rPr>
              <w:t xml:space="preserve"> </w:t>
            </w:r>
            <w:r>
              <w:rPr>
                <w:spacing w:val="-6"/>
                <w:lang w:eastAsia="zh-CN"/>
              </w:rPr>
              <w:t>小型开式冷却塔》（GB</w:t>
            </w:r>
            <w:r>
              <w:rPr>
                <w:spacing w:val="-36"/>
                <w:lang w:eastAsia="zh-CN"/>
              </w:rPr>
              <w:t xml:space="preserve"> </w:t>
            </w:r>
            <w:r>
              <w:rPr>
                <w:spacing w:val="-6"/>
                <w:lang w:eastAsia="zh-CN"/>
              </w:rPr>
              <w:t>/T</w:t>
            </w:r>
            <w:r>
              <w:rPr>
                <w:spacing w:val="-31"/>
                <w:lang w:eastAsia="zh-CN"/>
              </w:rPr>
              <w:t xml:space="preserve"> </w:t>
            </w:r>
            <w:r>
              <w:rPr>
                <w:spacing w:val="-6"/>
                <w:lang w:eastAsia="zh-CN"/>
              </w:rPr>
              <w:t>7190.1</w:t>
            </w:r>
            <w:r>
              <w:rPr>
                <w:spacing w:val="-49"/>
                <w:w w:val="97"/>
                <w:lang w:eastAsia="zh-CN"/>
              </w:rPr>
              <w:t>）；</w:t>
            </w:r>
            <w:r>
              <w:rPr>
                <w:lang w:eastAsia="zh-CN"/>
              </w:rPr>
              <w:t xml:space="preserve"> </w:t>
            </w:r>
            <w:r>
              <w:rPr>
                <w:spacing w:val="2"/>
                <w:lang w:eastAsia="zh-CN"/>
              </w:rPr>
              <w:t>《机械通风冷却塔 第 2 部分：大</w:t>
            </w:r>
            <w:r>
              <w:rPr>
                <w:spacing w:val="3"/>
                <w:lang w:eastAsia="zh-CN"/>
              </w:rPr>
              <w:t xml:space="preserve"> </w:t>
            </w:r>
            <w:r>
              <w:rPr>
                <w:spacing w:val="4"/>
                <w:lang w:eastAsia="zh-CN"/>
              </w:rPr>
              <w:t>型开式冷却塔》（</w:t>
            </w:r>
            <w:r>
              <w:rPr>
                <w:lang w:eastAsia="zh-CN"/>
              </w:rPr>
              <w:t>GB</w:t>
            </w:r>
            <w:r>
              <w:rPr>
                <w:spacing w:val="4"/>
                <w:lang w:eastAsia="zh-CN"/>
              </w:rPr>
              <w:t xml:space="preserve"> /T 7190.2）</w:t>
            </w:r>
          </w:p>
        </w:tc>
      </w:tr>
      <w:tr w14:paraId="1279061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tcPr>
          <w:p w14:paraId="5E1CD42E">
            <w:pPr>
              <w:spacing w:line="242" w:lineRule="auto"/>
              <w:rPr>
                <w:rFonts w:ascii="Arial"/>
              </w:rPr>
            </w:pPr>
          </w:p>
          <w:p w14:paraId="1304C46D">
            <w:pPr>
              <w:pStyle w:val="234"/>
              <w:spacing w:before="62" w:line="188" w:lineRule="auto"/>
              <w:ind w:left="247"/>
              <w:rPr>
                <w:rFonts w:hint="eastAsia"/>
              </w:rPr>
            </w:pPr>
            <w:r>
              <w:t>7</w:t>
            </w:r>
          </w:p>
        </w:tc>
        <w:tc>
          <w:tcPr>
            <w:tcW w:w="1166" w:type="dxa"/>
          </w:tcPr>
          <w:p w14:paraId="38F049A9">
            <w:pPr>
              <w:pStyle w:val="234"/>
              <w:spacing w:before="273" w:line="228" w:lineRule="auto"/>
              <w:ind w:left="9"/>
              <w:rPr>
                <w:rFonts w:hint="eastAsia"/>
              </w:rPr>
            </w:pPr>
            <w:r>
              <w:rPr>
                <w:spacing w:val="3"/>
              </w:rPr>
              <w:t>A020601</w:t>
            </w:r>
            <w:r>
              <w:rPr>
                <w:spacing w:val="-19"/>
              </w:rPr>
              <w:t xml:space="preserve"> </w:t>
            </w:r>
            <w:r>
              <w:rPr>
                <w:spacing w:val="3"/>
              </w:rPr>
              <w:t>电机</w:t>
            </w:r>
          </w:p>
        </w:tc>
        <w:tc>
          <w:tcPr>
            <w:tcW w:w="1799" w:type="dxa"/>
          </w:tcPr>
          <w:p w14:paraId="7546BDD8">
            <w:pPr>
              <w:rPr>
                <w:rFonts w:ascii="Arial"/>
              </w:rPr>
            </w:pPr>
          </w:p>
        </w:tc>
        <w:tc>
          <w:tcPr>
            <w:tcW w:w="1914" w:type="dxa"/>
          </w:tcPr>
          <w:p w14:paraId="35EE056D">
            <w:pPr>
              <w:rPr>
                <w:rFonts w:ascii="Arial"/>
              </w:rPr>
            </w:pPr>
          </w:p>
        </w:tc>
        <w:tc>
          <w:tcPr>
            <w:tcW w:w="2969" w:type="dxa"/>
          </w:tcPr>
          <w:p w14:paraId="0752E71D">
            <w:pPr>
              <w:pStyle w:val="234"/>
              <w:spacing w:before="117" w:line="288" w:lineRule="auto"/>
              <w:ind w:left="22" w:right="11"/>
              <w:rPr>
                <w:rFonts w:hint="eastAsia"/>
                <w:lang w:eastAsia="zh-CN"/>
              </w:rPr>
            </w:pPr>
            <w:r>
              <w:rPr>
                <w:spacing w:val="19"/>
                <w:lang w:eastAsia="zh-CN"/>
              </w:rPr>
              <w:t>《中小型三相异步电动机能效限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18613）</w:t>
            </w:r>
          </w:p>
        </w:tc>
      </w:tr>
      <w:tr w14:paraId="1E2F769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3" w:hRule="atLeast"/>
          <w:jc w:val="center"/>
        </w:trPr>
        <w:tc>
          <w:tcPr>
            <w:tcW w:w="578" w:type="dxa"/>
          </w:tcPr>
          <w:p w14:paraId="47EAC5C4">
            <w:pPr>
              <w:pStyle w:val="234"/>
              <w:spacing w:before="283" w:line="189" w:lineRule="auto"/>
              <w:ind w:left="243"/>
              <w:rPr>
                <w:rFonts w:hint="eastAsia"/>
              </w:rPr>
            </w:pPr>
            <w:r>
              <w:t>8</w:t>
            </w:r>
          </w:p>
        </w:tc>
        <w:tc>
          <w:tcPr>
            <w:tcW w:w="1166" w:type="dxa"/>
          </w:tcPr>
          <w:p w14:paraId="14B1D941">
            <w:pPr>
              <w:pStyle w:val="234"/>
              <w:spacing w:before="96" w:line="285" w:lineRule="auto"/>
              <w:ind w:left="15" w:right="8" w:hanging="6"/>
              <w:rPr>
                <w:rFonts w:hint="eastAsia"/>
              </w:rPr>
            </w:pPr>
            <w:r>
              <w:rPr>
                <w:spacing w:val="5"/>
              </w:rPr>
              <w:t>A020602</w:t>
            </w:r>
            <w:r>
              <w:rPr>
                <w:spacing w:val="-43"/>
              </w:rPr>
              <w:t xml:space="preserve"> </w:t>
            </w:r>
            <w:r>
              <w:rPr>
                <w:spacing w:val="5"/>
              </w:rPr>
              <w:t>变压</w:t>
            </w:r>
            <w:r>
              <w:t xml:space="preserve"> </w:t>
            </w:r>
            <w:r>
              <w:rPr>
                <w:spacing w:val="1"/>
              </w:rPr>
              <w:t>器</w:t>
            </w:r>
          </w:p>
        </w:tc>
        <w:tc>
          <w:tcPr>
            <w:tcW w:w="1799" w:type="dxa"/>
          </w:tcPr>
          <w:p w14:paraId="05E85F6B">
            <w:pPr>
              <w:pStyle w:val="234"/>
              <w:spacing w:before="252" w:line="230" w:lineRule="auto"/>
              <w:ind w:left="15"/>
              <w:rPr>
                <w:rFonts w:hint="eastAsia"/>
              </w:rPr>
            </w:pPr>
            <w:r>
              <w:rPr>
                <w:spacing w:val="8"/>
              </w:rPr>
              <w:t>配电变压器</w:t>
            </w:r>
          </w:p>
        </w:tc>
        <w:tc>
          <w:tcPr>
            <w:tcW w:w="1914" w:type="dxa"/>
          </w:tcPr>
          <w:p w14:paraId="3EA14651">
            <w:pPr>
              <w:rPr>
                <w:rFonts w:ascii="Arial"/>
              </w:rPr>
            </w:pPr>
          </w:p>
        </w:tc>
        <w:tc>
          <w:tcPr>
            <w:tcW w:w="2969" w:type="dxa"/>
          </w:tcPr>
          <w:p w14:paraId="4C135EFA">
            <w:pPr>
              <w:pStyle w:val="234"/>
              <w:spacing w:before="96" w:line="285" w:lineRule="auto"/>
              <w:ind w:left="25" w:right="11" w:hanging="2"/>
              <w:rPr>
                <w:rFonts w:hint="eastAsia"/>
                <w:lang w:eastAsia="zh-CN"/>
              </w:rPr>
            </w:pPr>
            <w:r>
              <w:rPr>
                <w:spacing w:val="19"/>
                <w:lang w:eastAsia="zh-CN"/>
              </w:rPr>
              <w:t>《三相配电变压器能效限定值及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20052）</w:t>
            </w:r>
          </w:p>
        </w:tc>
      </w:tr>
      <w:tr w14:paraId="1C0ACE3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5" w:hRule="atLeast"/>
          <w:jc w:val="center"/>
        </w:trPr>
        <w:tc>
          <w:tcPr>
            <w:tcW w:w="578" w:type="dxa"/>
          </w:tcPr>
          <w:p w14:paraId="1DE52333">
            <w:pPr>
              <w:spacing w:line="316" w:lineRule="auto"/>
              <w:rPr>
                <w:rFonts w:ascii="Arial"/>
              </w:rPr>
            </w:pPr>
          </w:p>
          <w:p w14:paraId="7A8412AC">
            <w:pPr>
              <w:pStyle w:val="234"/>
              <w:spacing w:before="61" w:line="189" w:lineRule="auto"/>
              <w:ind w:left="243"/>
              <w:rPr>
                <w:rFonts w:hint="eastAsia"/>
              </w:rPr>
            </w:pPr>
            <w:r>
              <w:t>9</w:t>
            </w:r>
          </w:p>
        </w:tc>
        <w:tc>
          <w:tcPr>
            <w:tcW w:w="1166" w:type="dxa"/>
          </w:tcPr>
          <w:p w14:paraId="37CD44B3">
            <w:pPr>
              <w:pStyle w:val="234"/>
              <w:spacing w:before="192" w:line="290" w:lineRule="auto"/>
              <w:ind w:left="16" w:right="8" w:firstLine="2"/>
              <w:rPr>
                <w:rFonts w:hint="eastAsia"/>
              </w:rPr>
            </w:pPr>
            <w:r>
              <w:rPr>
                <w:spacing w:val="4"/>
              </w:rPr>
              <w:t>★A020609</w:t>
            </w:r>
            <w:r>
              <w:rPr>
                <w:spacing w:val="-43"/>
              </w:rPr>
              <w:t xml:space="preserve"> </w:t>
            </w:r>
            <w:r>
              <w:rPr>
                <w:spacing w:val="4"/>
              </w:rPr>
              <w:t>镇</w:t>
            </w:r>
            <w:r>
              <w:t xml:space="preserve"> </w:t>
            </w:r>
            <w:r>
              <w:rPr>
                <w:spacing w:val="4"/>
              </w:rPr>
              <w:t>流器</w:t>
            </w:r>
          </w:p>
        </w:tc>
        <w:tc>
          <w:tcPr>
            <w:tcW w:w="1799" w:type="dxa"/>
          </w:tcPr>
          <w:p w14:paraId="58D15660">
            <w:pPr>
              <w:spacing w:line="284" w:lineRule="auto"/>
              <w:rPr>
                <w:rFonts w:ascii="Arial"/>
              </w:rPr>
            </w:pPr>
          </w:p>
          <w:p w14:paraId="71EB886C">
            <w:pPr>
              <w:pStyle w:val="234"/>
              <w:spacing w:before="62" w:line="229" w:lineRule="auto"/>
              <w:ind w:left="19"/>
              <w:rPr>
                <w:rFonts w:hint="eastAsia"/>
              </w:rPr>
            </w:pPr>
            <w:r>
              <w:rPr>
                <w:spacing w:val="8"/>
              </w:rPr>
              <w:t>管型荧光灯镇流器</w:t>
            </w:r>
          </w:p>
        </w:tc>
        <w:tc>
          <w:tcPr>
            <w:tcW w:w="1914" w:type="dxa"/>
          </w:tcPr>
          <w:p w14:paraId="73DD987C">
            <w:pPr>
              <w:rPr>
                <w:rFonts w:ascii="Arial"/>
              </w:rPr>
            </w:pPr>
          </w:p>
        </w:tc>
        <w:tc>
          <w:tcPr>
            <w:tcW w:w="2969" w:type="dxa"/>
          </w:tcPr>
          <w:p w14:paraId="172FB3A0">
            <w:pPr>
              <w:pStyle w:val="234"/>
              <w:spacing w:before="192" w:line="288" w:lineRule="auto"/>
              <w:ind w:left="17" w:right="11" w:firstLine="6"/>
              <w:rPr>
                <w:rFonts w:hint="eastAsia"/>
                <w:lang w:eastAsia="zh-CN"/>
              </w:rPr>
            </w:pPr>
            <w:r>
              <w:rPr>
                <w:spacing w:val="19"/>
                <w:lang w:eastAsia="zh-CN"/>
              </w:rPr>
              <w:t>《管形荧光灯镇流器能效限定值</w:t>
            </w:r>
            <w:r>
              <w:rPr>
                <w:spacing w:val="2"/>
                <w:lang w:eastAsia="zh-CN"/>
              </w:rPr>
              <w:t xml:space="preserve"> </w:t>
            </w:r>
            <w:r>
              <w:rPr>
                <w:spacing w:val="5"/>
                <w:lang w:eastAsia="zh-CN"/>
              </w:rPr>
              <w:t>及能效等级》（</w:t>
            </w:r>
            <w:r>
              <w:rPr>
                <w:lang w:eastAsia="zh-CN"/>
              </w:rPr>
              <w:t>GB</w:t>
            </w:r>
            <w:r>
              <w:rPr>
                <w:spacing w:val="39"/>
                <w:lang w:eastAsia="zh-CN"/>
              </w:rPr>
              <w:t xml:space="preserve"> </w:t>
            </w:r>
            <w:r>
              <w:rPr>
                <w:spacing w:val="5"/>
                <w:lang w:eastAsia="zh-CN"/>
              </w:rPr>
              <w:t>17896）</w:t>
            </w:r>
          </w:p>
        </w:tc>
      </w:tr>
      <w:tr w14:paraId="7FE93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9" w:hRule="atLeast"/>
          <w:jc w:val="center"/>
        </w:trPr>
        <w:tc>
          <w:tcPr>
            <w:tcW w:w="578" w:type="dxa"/>
            <w:vMerge w:val="restart"/>
            <w:tcBorders>
              <w:bottom w:val="nil"/>
            </w:tcBorders>
          </w:tcPr>
          <w:p w14:paraId="65965D63">
            <w:pPr>
              <w:spacing w:line="261" w:lineRule="auto"/>
              <w:rPr>
                <w:rFonts w:ascii="Arial"/>
              </w:rPr>
            </w:pPr>
          </w:p>
          <w:p w14:paraId="54898265">
            <w:pPr>
              <w:spacing w:line="261" w:lineRule="auto"/>
              <w:rPr>
                <w:rFonts w:ascii="Arial"/>
              </w:rPr>
            </w:pPr>
          </w:p>
          <w:p w14:paraId="3A5C37F4">
            <w:pPr>
              <w:spacing w:line="261" w:lineRule="auto"/>
              <w:rPr>
                <w:rFonts w:ascii="Arial"/>
              </w:rPr>
            </w:pPr>
          </w:p>
          <w:p w14:paraId="7EDB6E9E">
            <w:pPr>
              <w:spacing w:line="261" w:lineRule="auto"/>
              <w:rPr>
                <w:rFonts w:ascii="Arial"/>
              </w:rPr>
            </w:pPr>
          </w:p>
          <w:p w14:paraId="432FA194">
            <w:pPr>
              <w:spacing w:line="261" w:lineRule="auto"/>
              <w:rPr>
                <w:rFonts w:ascii="Arial"/>
              </w:rPr>
            </w:pPr>
          </w:p>
          <w:p w14:paraId="1556801D">
            <w:pPr>
              <w:spacing w:line="261" w:lineRule="auto"/>
              <w:rPr>
                <w:rFonts w:ascii="Arial"/>
              </w:rPr>
            </w:pPr>
          </w:p>
          <w:p w14:paraId="327D87BE">
            <w:pPr>
              <w:spacing w:line="262" w:lineRule="auto"/>
              <w:rPr>
                <w:rFonts w:ascii="Arial"/>
              </w:rPr>
            </w:pPr>
          </w:p>
          <w:p w14:paraId="14CD4823">
            <w:pPr>
              <w:spacing w:line="262" w:lineRule="auto"/>
              <w:rPr>
                <w:rFonts w:ascii="Arial"/>
              </w:rPr>
            </w:pPr>
          </w:p>
          <w:p w14:paraId="22551E77">
            <w:pPr>
              <w:spacing w:line="262" w:lineRule="auto"/>
              <w:rPr>
                <w:rFonts w:ascii="Arial"/>
              </w:rPr>
            </w:pPr>
          </w:p>
          <w:p w14:paraId="367E741A">
            <w:pPr>
              <w:spacing w:line="262" w:lineRule="auto"/>
              <w:rPr>
                <w:rFonts w:ascii="Arial"/>
              </w:rPr>
            </w:pPr>
          </w:p>
          <w:p w14:paraId="2C38DE1E">
            <w:pPr>
              <w:pStyle w:val="234"/>
              <w:spacing w:before="62" w:line="190" w:lineRule="auto"/>
              <w:ind w:left="209"/>
              <w:rPr>
                <w:rFonts w:hint="eastAsia"/>
              </w:rPr>
            </w:pPr>
            <w:r>
              <w:rPr>
                <w:spacing w:val="-7"/>
              </w:rPr>
              <w:t>10</w:t>
            </w:r>
          </w:p>
        </w:tc>
        <w:tc>
          <w:tcPr>
            <w:tcW w:w="1166" w:type="dxa"/>
            <w:vMerge w:val="restart"/>
            <w:tcBorders>
              <w:bottom w:val="nil"/>
            </w:tcBorders>
          </w:tcPr>
          <w:p w14:paraId="1CADE21E">
            <w:pPr>
              <w:spacing w:line="242" w:lineRule="auto"/>
              <w:rPr>
                <w:rFonts w:ascii="Arial"/>
              </w:rPr>
            </w:pPr>
          </w:p>
          <w:p w14:paraId="55C85BBC">
            <w:pPr>
              <w:spacing w:line="243" w:lineRule="auto"/>
              <w:rPr>
                <w:rFonts w:ascii="Arial"/>
              </w:rPr>
            </w:pPr>
          </w:p>
          <w:p w14:paraId="0274160A">
            <w:pPr>
              <w:spacing w:line="243" w:lineRule="auto"/>
              <w:rPr>
                <w:rFonts w:ascii="Arial"/>
              </w:rPr>
            </w:pPr>
          </w:p>
          <w:p w14:paraId="3A7E2FD6">
            <w:pPr>
              <w:spacing w:line="243" w:lineRule="auto"/>
              <w:rPr>
                <w:rFonts w:ascii="Arial"/>
              </w:rPr>
            </w:pPr>
          </w:p>
          <w:p w14:paraId="15FDF30C">
            <w:pPr>
              <w:spacing w:line="243" w:lineRule="auto"/>
              <w:rPr>
                <w:rFonts w:ascii="Arial"/>
              </w:rPr>
            </w:pPr>
          </w:p>
          <w:p w14:paraId="4A61D6B8">
            <w:pPr>
              <w:spacing w:line="243" w:lineRule="auto"/>
              <w:rPr>
                <w:rFonts w:ascii="Arial"/>
              </w:rPr>
            </w:pPr>
          </w:p>
          <w:p w14:paraId="26773600">
            <w:pPr>
              <w:spacing w:line="243" w:lineRule="auto"/>
              <w:rPr>
                <w:rFonts w:ascii="Arial"/>
              </w:rPr>
            </w:pPr>
          </w:p>
          <w:p w14:paraId="465F59B8">
            <w:pPr>
              <w:spacing w:line="243" w:lineRule="auto"/>
              <w:rPr>
                <w:rFonts w:ascii="Arial"/>
              </w:rPr>
            </w:pPr>
          </w:p>
          <w:p w14:paraId="5301B8C4">
            <w:pPr>
              <w:spacing w:line="243" w:lineRule="auto"/>
              <w:rPr>
                <w:rFonts w:ascii="Arial"/>
              </w:rPr>
            </w:pPr>
          </w:p>
          <w:p w14:paraId="041A17A4">
            <w:pPr>
              <w:spacing w:line="243" w:lineRule="auto"/>
              <w:rPr>
                <w:rFonts w:ascii="Arial"/>
              </w:rPr>
            </w:pPr>
          </w:p>
          <w:p w14:paraId="78099949">
            <w:pPr>
              <w:pStyle w:val="234"/>
              <w:spacing w:before="62" w:line="289" w:lineRule="auto"/>
              <w:ind w:left="16" w:right="8" w:hanging="7"/>
              <w:rPr>
                <w:rFonts w:hint="eastAsia"/>
              </w:rPr>
            </w:pPr>
            <w:r>
              <w:rPr>
                <w:spacing w:val="4"/>
              </w:rPr>
              <w:t>A020618</w:t>
            </w:r>
            <w:r>
              <w:rPr>
                <w:spacing w:val="-34"/>
              </w:rPr>
              <w:t xml:space="preserve"> </w:t>
            </w:r>
            <w:r>
              <w:rPr>
                <w:spacing w:val="4"/>
              </w:rPr>
              <w:t>生活</w:t>
            </w:r>
            <w:r>
              <w:t xml:space="preserve"> </w:t>
            </w:r>
            <w:r>
              <w:rPr>
                <w:spacing w:val="6"/>
              </w:rPr>
              <w:t>用电器</w:t>
            </w:r>
          </w:p>
        </w:tc>
        <w:tc>
          <w:tcPr>
            <w:tcW w:w="1799" w:type="dxa"/>
          </w:tcPr>
          <w:p w14:paraId="234A73E4">
            <w:pPr>
              <w:pStyle w:val="234"/>
              <w:spacing w:before="276" w:line="230" w:lineRule="auto"/>
              <w:ind w:left="9"/>
              <w:rPr>
                <w:rFonts w:hint="eastAsia"/>
              </w:rPr>
            </w:pPr>
            <w:r>
              <w:rPr>
                <w:spacing w:val="3"/>
              </w:rPr>
              <w:t>A0206180101</w:t>
            </w:r>
            <w:r>
              <w:rPr>
                <w:spacing w:val="-4"/>
              </w:rPr>
              <w:t xml:space="preserve"> </w:t>
            </w:r>
            <w:r>
              <w:rPr>
                <w:spacing w:val="3"/>
              </w:rPr>
              <w:t>电冰箱</w:t>
            </w:r>
          </w:p>
        </w:tc>
        <w:tc>
          <w:tcPr>
            <w:tcW w:w="1914" w:type="dxa"/>
          </w:tcPr>
          <w:p w14:paraId="7A4CBABB">
            <w:pPr>
              <w:rPr>
                <w:rFonts w:ascii="Arial"/>
              </w:rPr>
            </w:pPr>
          </w:p>
        </w:tc>
        <w:tc>
          <w:tcPr>
            <w:tcW w:w="2969" w:type="dxa"/>
          </w:tcPr>
          <w:p w14:paraId="6CA48E05">
            <w:pPr>
              <w:pStyle w:val="234"/>
              <w:spacing w:before="121" w:line="288" w:lineRule="auto"/>
              <w:ind w:left="22" w:right="11"/>
              <w:rPr>
                <w:rFonts w:hint="eastAsia"/>
                <w:lang w:eastAsia="zh-CN"/>
              </w:rPr>
            </w:pPr>
            <w:r>
              <w:rPr>
                <w:spacing w:val="19"/>
                <w:lang w:eastAsia="zh-CN"/>
              </w:rPr>
              <w:t>《家用电冰箱耗电量限定值及能</w:t>
            </w:r>
            <w:r>
              <w:rPr>
                <w:spacing w:val="2"/>
                <w:lang w:eastAsia="zh-CN"/>
              </w:rPr>
              <w:t xml:space="preserve"> </w:t>
            </w:r>
            <w:r>
              <w:rPr>
                <w:spacing w:val="4"/>
                <w:lang w:eastAsia="zh-CN"/>
              </w:rPr>
              <w:t>效等级》（</w:t>
            </w:r>
            <w:r>
              <w:rPr>
                <w:lang w:eastAsia="zh-CN"/>
              </w:rPr>
              <w:t>GB</w:t>
            </w:r>
            <w:r>
              <w:rPr>
                <w:spacing w:val="20"/>
                <w:lang w:eastAsia="zh-CN"/>
              </w:rPr>
              <w:t xml:space="preserve">  </w:t>
            </w:r>
            <w:r>
              <w:rPr>
                <w:spacing w:val="4"/>
                <w:lang w:eastAsia="zh-CN"/>
              </w:rPr>
              <w:t>12021.2）</w:t>
            </w:r>
          </w:p>
        </w:tc>
      </w:tr>
      <w:tr w14:paraId="50100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88" w:hRule="atLeast"/>
          <w:jc w:val="center"/>
        </w:trPr>
        <w:tc>
          <w:tcPr>
            <w:tcW w:w="578" w:type="dxa"/>
            <w:vMerge w:val="continue"/>
            <w:tcBorders>
              <w:top w:val="nil"/>
              <w:bottom w:val="nil"/>
            </w:tcBorders>
          </w:tcPr>
          <w:p w14:paraId="315D0031">
            <w:pPr>
              <w:rPr>
                <w:rFonts w:ascii="Arial"/>
              </w:rPr>
            </w:pPr>
          </w:p>
        </w:tc>
        <w:tc>
          <w:tcPr>
            <w:tcW w:w="1166" w:type="dxa"/>
            <w:vMerge w:val="continue"/>
            <w:tcBorders>
              <w:top w:val="nil"/>
              <w:bottom w:val="nil"/>
            </w:tcBorders>
          </w:tcPr>
          <w:p w14:paraId="57DD20DB">
            <w:pPr>
              <w:rPr>
                <w:rFonts w:ascii="Arial"/>
              </w:rPr>
            </w:pPr>
          </w:p>
        </w:tc>
        <w:tc>
          <w:tcPr>
            <w:tcW w:w="1799" w:type="dxa"/>
            <w:vMerge w:val="restart"/>
            <w:tcBorders>
              <w:bottom w:val="nil"/>
            </w:tcBorders>
          </w:tcPr>
          <w:p w14:paraId="59424F38">
            <w:pPr>
              <w:spacing w:line="247" w:lineRule="auto"/>
              <w:rPr>
                <w:rFonts w:ascii="Arial"/>
              </w:rPr>
            </w:pPr>
          </w:p>
          <w:p w14:paraId="5FE5F321">
            <w:pPr>
              <w:spacing w:line="247" w:lineRule="auto"/>
              <w:rPr>
                <w:rFonts w:ascii="Arial"/>
              </w:rPr>
            </w:pPr>
          </w:p>
          <w:p w14:paraId="13AD2663">
            <w:pPr>
              <w:spacing w:line="248" w:lineRule="auto"/>
              <w:rPr>
                <w:rFonts w:ascii="Arial"/>
              </w:rPr>
            </w:pPr>
          </w:p>
          <w:p w14:paraId="74A65EEE">
            <w:pPr>
              <w:spacing w:line="248" w:lineRule="auto"/>
              <w:rPr>
                <w:rFonts w:ascii="Arial"/>
              </w:rPr>
            </w:pPr>
          </w:p>
          <w:p w14:paraId="2D94CECB">
            <w:pPr>
              <w:spacing w:line="248" w:lineRule="auto"/>
              <w:rPr>
                <w:rFonts w:ascii="Arial"/>
              </w:rPr>
            </w:pPr>
          </w:p>
          <w:p w14:paraId="40CDFED0">
            <w:pPr>
              <w:spacing w:line="248" w:lineRule="auto"/>
              <w:rPr>
                <w:rFonts w:ascii="Arial"/>
              </w:rPr>
            </w:pPr>
          </w:p>
          <w:p w14:paraId="39B54CD3">
            <w:pPr>
              <w:spacing w:line="248" w:lineRule="auto"/>
              <w:rPr>
                <w:rFonts w:ascii="Arial"/>
              </w:rPr>
            </w:pPr>
          </w:p>
          <w:p w14:paraId="7B511DA1">
            <w:pPr>
              <w:pStyle w:val="234"/>
              <w:spacing w:before="62" w:line="288" w:lineRule="auto"/>
              <w:ind w:left="14" w:right="10" w:firstLine="3"/>
              <w:rPr>
                <w:rFonts w:hint="eastAsia"/>
              </w:rPr>
            </w:pPr>
            <w:r>
              <w:rPr>
                <w:spacing w:val="3"/>
              </w:rPr>
              <w:t>★A0206180203 空调</w:t>
            </w:r>
            <w:r>
              <w:rPr>
                <w:spacing w:val="9"/>
              </w:rPr>
              <w:t xml:space="preserve"> </w:t>
            </w:r>
            <w:r>
              <w:rPr>
                <w:spacing w:val="2"/>
              </w:rPr>
              <w:t>机</w:t>
            </w:r>
          </w:p>
        </w:tc>
        <w:tc>
          <w:tcPr>
            <w:tcW w:w="1914" w:type="dxa"/>
          </w:tcPr>
          <w:p w14:paraId="71EAA7AA">
            <w:pPr>
              <w:spacing w:line="261" w:lineRule="auto"/>
              <w:rPr>
                <w:rFonts w:ascii="Arial"/>
              </w:rPr>
            </w:pPr>
          </w:p>
          <w:p w14:paraId="522F2077">
            <w:pPr>
              <w:spacing w:line="261" w:lineRule="auto"/>
              <w:rPr>
                <w:rFonts w:ascii="Arial"/>
              </w:rPr>
            </w:pPr>
          </w:p>
          <w:p w14:paraId="74FD4ADF">
            <w:pPr>
              <w:spacing w:line="261" w:lineRule="auto"/>
              <w:rPr>
                <w:rFonts w:ascii="Arial"/>
              </w:rPr>
            </w:pPr>
          </w:p>
          <w:p w14:paraId="342E3E74">
            <w:pPr>
              <w:pStyle w:val="234"/>
              <w:spacing w:before="62" w:line="230" w:lineRule="auto"/>
              <w:ind w:left="17"/>
              <w:rPr>
                <w:rFonts w:hint="eastAsia"/>
              </w:rPr>
            </w:pPr>
            <w:r>
              <w:rPr>
                <w:spacing w:val="8"/>
              </w:rPr>
              <w:t>房间空气调节器</w:t>
            </w:r>
          </w:p>
        </w:tc>
        <w:tc>
          <w:tcPr>
            <w:tcW w:w="2969" w:type="dxa"/>
          </w:tcPr>
          <w:p w14:paraId="6D1EC247">
            <w:pPr>
              <w:pStyle w:val="234"/>
              <w:spacing w:before="68" w:line="293" w:lineRule="auto"/>
              <w:ind w:left="17" w:firstLine="5"/>
              <w:rPr>
                <w:rFonts w:hint="eastAsia"/>
                <w:lang w:eastAsia="zh-CN"/>
              </w:rPr>
            </w:pPr>
            <w:r>
              <w:rPr>
                <w:spacing w:val="14"/>
                <w:lang w:eastAsia="zh-CN"/>
              </w:rPr>
              <w:t>《转速可控型房间空气调节器能</w:t>
            </w:r>
            <w:r>
              <w:rPr>
                <w:lang w:eastAsia="zh-CN"/>
              </w:rPr>
              <w:t xml:space="preserve">  </w:t>
            </w:r>
            <w:r>
              <w:rPr>
                <w:spacing w:val="-9"/>
                <w:lang w:eastAsia="zh-CN"/>
              </w:rPr>
              <w:t>效</w:t>
            </w:r>
            <w:r>
              <w:rPr>
                <w:spacing w:val="-19"/>
                <w:lang w:eastAsia="zh-CN"/>
              </w:rPr>
              <w:t xml:space="preserve"> </w:t>
            </w:r>
            <w:r>
              <w:rPr>
                <w:spacing w:val="-9"/>
                <w:lang w:eastAsia="zh-CN"/>
              </w:rPr>
              <w:t>限</w:t>
            </w:r>
            <w:r>
              <w:rPr>
                <w:spacing w:val="-33"/>
                <w:lang w:eastAsia="zh-CN"/>
              </w:rPr>
              <w:t xml:space="preserve"> </w:t>
            </w:r>
            <w:r>
              <w:rPr>
                <w:spacing w:val="-9"/>
                <w:lang w:eastAsia="zh-CN"/>
              </w:rPr>
              <w:t>定</w:t>
            </w:r>
            <w:r>
              <w:rPr>
                <w:spacing w:val="-38"/>
                <w:lang w:eastAsia="zh-CN"/>
              </w:rPr>
              <w:t xml:space="preserve"> </w:t>
            </w:r>
            <w:r>
              <w:rPr>
                <w:spacing w:val="-9"/>
                <w:lang w:eastAsia="zh-CN"/>
              </w:rPr>
              <w:t>值</w:t>
            </w:r>
            <w:r>
              <w:rPr>
                <w:spacing w:val="-39"/>
                <w:lang w:eastAsia="zh-CN"/>
              </w:rPr>
              <w:t xml:space="preserve"> </w:t>
            </w:r>
            <w:r>
              <w:rPr>
                <w:spacing w:val="-9"/>
                <w:lang w:eastAsia="zh-CN"/>
              </w:rPr>
              <w:t>及</w:t>
            </w:r>
            <w:r>
              <w:rPr>
                <w:spacing w:val="-31"/>
                <w:lang w:eastAsia="zh-CN"/>
              </w:rPr>
              <w:t xml:space="preserve"> </w:t>
            </w:r>
            <w:r>
              <w:rPr>
                <w:spacing w:val="-9"/>
                <w:lang w:eastAsia="zh-CN"/>
              </w:rPr>
              <w:t>能</w:t>
            </w:r>
            <w:r>
              <w:rPr>
                <w:spacing w:val="-34"/>
                <w:lang w:eastAsia="zh-CN"/>
              </w:rPr>
              <w:t xml:space="preserve"> </w:t>
            </w:r>
            <w:r>
              <w:rPr>
                <w:spacing w:val="-9"/>
                <w:lang w:eastAsia="zh-CN"/>
              </w:rPr>
              <w:t>效</w:t>
            </w:r>
            <w:r>
              <w:rPr>
                <w:spacing w:val="-36"/>
                <w:lang w:eastAsia="zh-CN"/>
              </w:rPr>
              <w:t xml:space="preserve"> </w:t>
            </w:r>
            <w:r>
              <w:rPr>
                <w:spacing w:val="-9"/>
                <w:lang w:eastAsia="zh-CN"/>
              </w:rPr>
              <w:t>等</w:t>
            </w:r>
            <w:r>
              <w:rPr>
                <w:spacing w:val="-36"/>
                <w:lang w:eastAsia="zh-CN"/>
              </w:rPr>
              <w:t xml:space="preserve"> </w:t>
            </w:r>
            <w:r>
              <w:rPr>
                <w:spacing w:val="-9"/>
                <w:lang w:eastAsia="zh-CN"/>
              </w:rPr>
              <w:t>级</w:t>
            </w:r>
            <w:r>
              <w:rPr>
                <w:spacing w:val="-29"/>
                <w:lang w:eastAsia="zh-CN"/>
              </w:rPr>
              <w:t xml:space="preserve"> </w:t>
            </w:r>
            <w:r>
              <w:rPr>
                <w:spacing w:val="-9"/>
                <w:lang w:eastAsia="zh-CN"/>
              </w:rPr>
              <w:t>》</w:t>
            </w:r>
            <w:r>
              <w:rPr>
                <w:spacing w:val="-41"/>
                <w:lang w:eastAsia="zh-CN"/>
              </w:rPr>
              <w:t xml:space="preserve"> </w:t>
            </w:r>
            <w:r>
              <w:rPr>
                <w:spacing w:val="-9"/>
                <w:lang w:eastAsia="zh-CN"/>
              </w:rPr>
              <w:t>（ GB</w:t>
            </w:r>
            <w:r>
              <w:rPr>
                <w:lang w:eastAsia="zh-CN"/>
              </w:rPr>
              <w:t xml:space="preserve">  21455-2013</w:t>
            </w:r>
            <w:r>
              <w:rPr>
                <w:spacing w:val="12"/>
                <w:lang w:eastAsia="zh-CN"/>
              </w:rPr>
              <w:t>），</w:t>
            </w:r>
            <w:r>
              <w:rPr>
                <w:lang w:eastAsia="zh-CN"/>
              </w:rPr>
              <w:t>待 2019</w:t>
            </w:r>
            <w:r>
              <w:rPr>
                <w:spacing w:val="-15"/>
                <w:lang w:eastAsia="zh-CN"/>
              </w:rPr>
              <w:t xml:space="preserve"> </w:t>
            </w:r>
            <w:r>
              <w:rPr>
                <w:lang w:eastAsia="zh-CN"/>
              </w:rPr>
              <w:t>年修订发  布后，按《房间空气调节器能效限</w:t>
            </w:r>
            <w:r>
              <w:rPr>
                <w:spacing w:val="4"/>
                <w:lang w:eastAsia="zh-CN"/>
              </w:rPr>
              <w:t xml:space="preserve">  </w:t>
            </w:r>
            <w:r>
              <w:rPr>
                <w:spacing w:val="-5"/>
                <w:lang w:eastAsia="zh-CN"/>
              </w:rPr>
              <w:t>定值及能效等级》（GB21455-2019）</w:t>
            </w:r>
            <w:r>
              <w:rPr>
                <w:spacing w:val="15"/>
                <w:lang w:eastAsia="zh-CN"/>
              </w:rPr>
              <w:t xml:space="preserve"> </w:t>
            </w:r>
            <w:r>
              <w:rPr>
                <w:lang w:eastAsia="zh-CN"/>
              </w:rPr>
              <w:t>实施。</w:t>
            </w:r>
          </w:p>
        </w:tc>
      </w:tr>
      <w:tr w14:paraId="38DDC5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128FD1AA">
            <w:pPr>
              <w:rPr>
                <w:rFonts w:ascii="Arial"/>
              </w:rPr>
            </w:pPr>
          </w:p>
        </w:tc>
        <w:tc>
          <w:tcPr>
            <w:tcW w:w="1166" w:type="dxa"/>
            <w:vMerge w:val="continue"/>
            <w:tcBorders>
              <w:top w:val="nil"/>
              <w:bottom w:val="nil"/>
            </w:tcBorders>
          </w:tcPr>
          <w:p w14:paraId="326B1E0E">
            <w:pPr>
              <w:rPr>
                <w:rFonts w:ascii="Arial"/>
              </w:rPr>
            </w:pPr>
          </w:p>
        </w:tc>
        <w:tc>
          <w:tcPr>
            <w:tcW w:w="1799" w:type="dxa"/>
            <w:vMerge w:val="continue"/>
            <w:tcBorders>
              <w:top w:val="nil"/>
              <w:bottom w:val="nil"/>
            </w:tcBorders>
          </w:tcPr>
          <w:p w14:paraId="526CDADF">
            <w:pPr>
              <w:rPr>
                <w:rFonts w:ascii="Arial"/>
              </w:rPr>
            </w:pPr>
          </w:p>
        </w:tc>
        <w:tc>
          <w:tcPr>
            <w:tcW w:w="1914" w:type="dxa"/>
          </w:tcPr>
          <w:p w14:paraId="35158A68">
            <w:pPr>
              <w:pStyle w:val="234"/>
              <w:spacing w:before="71" w:line="282" w:lineRule="auto"/>
              <w:ind w:left="15" w:right="11" w:firstLine="10"/>
              <w:rPr>
                <w:rFonts w:hint="eastAsia"/>
                <w:lang w:eastAsia="zh-CN"/>
              </w:rPr>
            </w:pPr>
            <w:r>
              <w:rPr>
                <w:spacing w:val="15"/>
                <w:lang w:eastAsia="zh-CN"/>
              </w:rPr>
              <w:t>多联式空调（热泵）</w:t>
            </w:r>
            <w:r>
              <w:rPr>
                <w:spacing w:val="7"/>
                <w:lang w:eastAsia="zh-CN"/>
              </w:rPr>
              <w:t xml:space="preserve"> </w:t>
            </w:r>
            <w:r>
              <w:rPr>
                <w:spacing w:val="-4"/>
                <w:lang w:eastAsia="zh-CN"/>
              </w:rPr>
              <w:t>机 组 （</w:t>
            </w:r>
            <w:r>
              <w:rPr>
                <w:spacing w:val="28"/>
                <w:lang w:eastAsia="zh-CN"/>
              </w:rPr>
              <w:t xml:space="preserve"> </w:t>
            </w:r>
            <w:r>
              <w:rPr>
                <w:spacing w:val="-4"/>
                <w:lang w:eastAsia="zh-CN"/>
              </w:rPr>
              <w:t>制 冷 量 ≤</w:t>
            </w:r>
            <w:r>
              <w:rPr>
                <w:lang w:eastAsia="zh-CN"/>
              </w:rPr>
              <w:t xml:space="preserve"> </w:t>
            </w:r>
            <w:r>
              <w:rPr>
                <w:spacing w:val="3"/>
                <w:lang w:eastAsia="zh-CN"/>
              </w:rPr>
              <w:t>14000W）</w:t>
            </w:r>
          </w:p>
        </w:tc>
        <w:tc>
          <w:tcPr>
            <w:tcW w:w="2969" w:type="dxa"/>
          </w:tcPr>
          <w:p w14:paraId="166B991E">
            <w:pPr>
              <w:pStyle w:val="234"/>
              <w:spacing w:before="227" w:line="288" w:lineRule="auto"/>
              <w:ind w:left="22"/>
              <w:rPr>
                <w:rFonts w:hint="eastAsia"/>
                <w:lang w:eastAsia="zh-CN"/>
              </w:rPr>
            </w:pPr>
            <w:r>
              <w:rPr>
                <w:lang w:eastAsia="zh-CN"/>
              </w:rPr>
              <w:t>《多联式空调（热泵）机组能效限</w:t>
            </w:r>
            <w:r>
              <w:rPr>
                <w:spacing w:val="2"/>
                <w:lang w:eastAsia="zh-CN"/>
              </w:rPr>
              <w:t xml:space="preserve">  </w:t>
            </w:r>
            <w:r>
              <w:rPr>
                <w:spacing w:val="-4"/>
                <w:lang w:eastAsia="zh-CN"/>
              </w:rPr>
              <w:t>定值及能源效率等级》（GB</w:t>
            </w:r>
            <w:r>
              <w:rPr>
                <w:spacing w:val="-24"/>
                <w:lang w:eastAsia="zh-CN"/>
              </w:rPr>
              <w:t xml:space="preserve"> </w:t>
            </w:r>
            <w:r>
              <w:rPr>
                <w:spacing w:val="-4"/>
                <w:lang w:eastAsia="zh-CN"/>
              </w:rPr>
              <w:t>21454）</w:t>
            </w:r>
          </w:p>
        </w:tc>
      </w:tr>
      <w:tr w14:paraId="302045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64" w:hRule="atLeast"/>
          <w:jc w:val="center"/>
        </w:trPr>
        <w:tc>
          <w:tcPr>
            <w:tcW w:w="578" w:type="dxa"/>
            <w:vMerge w:val="continue"/>
            <w:tcBorders>
              <w:top w:val="nil"/>
              <w:bottom w:val="nil"/>
            </w:tcBorders>
          </w:tcPr>
          <w:p w14:paraId="2EEEA2C8">
            <w:pPr>
              <w:rPr>
                <w:rFonts w:ascii="Arial"/>
              </w:rPr>
            </w:pPr>
          </w:p>
        </w:tc>
        <w:tc>
          <w:tcPr>
            <w:tcW w:w="1166" w:type="dxa"/>
            <w:vMerge w:val="continue"/>
            <w:tcBorders>
              <w:top w:val="nil"/>
              <w:bottom w:val="nil"/>
            </w:tcBorders>
          </w:tcPr>
          <w:p w14:paraId="13E79FFC">
            <w:pPr>
              <w:rPr>
                <w:rFonts w:ascii="Arial"/>
              </w:rPr>
            </w:pPr>
          </w:p>
        </w:tc>
        <w:tc>
          <w:tcPr>
            <w:tcW w:w="1799" w:type="dxa"/>
            <w:vMerge w:val="continue"/>
            <w:tcBorders>
              <w:top w:val="nil"/>
            </w:tcBorders>
          </w:tcPr>
          <w:p w14:paraId="37F14B68">
            <w:pPr>
              <w:rPr>
                <w:rFonts w:ascii="Arial"/>
              </w:rPr>
            </w:pPr>
          </w:p>
        </w:tc>
        <w:tc>
          <w:tcPr>
            <w:tcW w:w="1914" w:type="dxa"/>
          </w:tcPr>
          <w:p w14:paraId="3EE6ABD9">
            <w:pPr>
              <w:spacing w:line="318" w:lineRule="auto"/>
              <w:rPr>
                <w:rFonts w:ascii="Arial"/>
              </w:rPr>
            </w:pPr>
          </w:p>
          <w:p w14:paraId="325B8038">
            <w:pPr>
              <w:pStyle w:val="234"/>
              <w:spacing w:before="62" w:line="289" w:lineRule="auto"/>
              <w:ind w:left="51" w:right="11" w:hanging="33"/>
              <w:rPr>
                <w:rFonts w:hint="eastAsia"/>
                <w:lang w:eastAsia="zh-CN"/>
              </w:rPr>
            </w:pPr>
            <w:r>
              <w:rPr>
                <w:spacing w:val="44"/>
                <w:lang w:eastAsia="zh-CN"/>
              </w:rPr>
              <w:t>单元式空气调节机</w:t>
            </w:r>
            <w:r>
              <w:rPr>
                <w:spacing w:val="6"/>
                <w:lang w:eastAsia="zh-CN"/>
              </w:rPr>
              <w:t xml:space="preserve"> </w:t>
            </w:r>
            <w:r>
              <w:rPr>
                <w:spacing w:val="3"/>
                <w:lang w:eastAsia="zh-CN"/>
              </w:rPr>
              <w:t>(制冷量≤14000W)</w:t>
            </w:r>
          </w:p>
        </w:tc>
        <w:tc>
          <w:tcPr>
            <w:tcW w:w="2969" w:type="dxa"/>
          </w:tcPr>
          <w:p w14:paraId="7B52BCC1">
            <w:pPr>
              <w:pStyle w:val="234"/>
              <w:spacing w:before="72" w:line="287" w:lineRule="auto"/>
              <w:ind w:left="17" w:right="11" w:firstLine="6"/>
              <w:rPr>
                <w:rFonts w:hint="eastAsia"/>
                <w:lang w:eastAsia="zh-CN"/>
              </w:rPr>
            </w:pPr>
            <w:r>
              <w:rPr>
                <w:spacing w:val="19"/>
                <w:lang w:eastAsia="zh-CN"/>
              </w:rPr>
              <w:t>《单元式空气调节机能效限定值</w:t>
            </w:r>
            <w:r>
              <w:rPr>
                <w:spacing w:val="2"/>
                <w:lang w:eastAsia="zh-CN"/>
              </w:rPr>
              <w:t xml:space="preserve"> </w:t>
            </w:r>
            <w:r>
              <w:rPr>
                <w:spacing w:val="-5"/>
                <w:lang w:eastAsia="zh-CN"/>
              </w:rPr>
              <w:t>及能源效率等级》（GB</w:t>
            </w:r>
            <w:r>
              <w:rPr>
                <w:spacing w:val="-13"/>
                <w:lang w:eastAsia="zh-CN"/>
              </w:rPr>
              <w:t xml:space="preserve"> </w:t>
            </w:r>
            <w:r>
              <w:rPr>
                <w:spacing w:val="-5"/>
                <w:lang w:eastAsia="zh-CN"/>
              </w:rPr>
              <w:t>19576）《风</w:t>
            </w:r>
            <w:r>
              <w:rPr>
                <w:lang w:eastAsia="zh-CN"/>
              </w:rPr>
              <w:t xml:space="preserve"> </w:t>
            </w:r>
            <w:r>
              <w:rPr>
                <w:spacing w:val="19"/>
                <w:lang w:eastAsia="zh-CN"/>
              </w:rPr>
              <w:t>管送风式空调机组能效限定值及</w:t>
            </w:r>
            <w:r>
              <w:rPr>
                <w:spacing w:val="8"/>
                <w:lang w:eastAsia="zh-CN"/>
              </w:rPr>
              <w:t xml:space="preserve"> </w:t>
            </w:r>
            <w:r>
              <w:rPr>
                <w:spacing w:val="7"/>
                <w:lang w:eastAsia="zh-CN"/>
              </w:rPr>
              <w:t>能效等级》（</w:t>
            </w:r>
            <w:r>
              <w:rPr>
                <w:lang w:eastAsia="zh-CN"/>
              </w:rPr>
              <w:t>GB</w:t>
            </w:r>
            <w:r>
              <w:rPr>
                <w:spacing w:val="7"/>
                <w:lang w:eastAsia="zh-CN"/>
              </w:rPr>
              <w:t xml:space="preserve"> 37479）</w:t>
            </w:r>
          </w:p>
        </w:tc>
      </w:tr>
      <w:tr w14:paraId="5526B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53" w:hRule="atLeast"/>
          <w:jc w:val="center"/>
        </w:trPr>
        <w:tc>
          <w:tcPr>
            <w:tcW w:w="578" w:type="dxa"/>
            <w:vMerge w:val="continue"/>
            <w:tcBorders>
              <w:top w:val="nil"/>
            </w:tcBorders>
          </w:tcPr>
          <w:p w14:paraId="610BB6ED">
            <w:pPr>
              <w:rPr>
                <w:rFonts w:ascii="Arial"/>
              </w:rPr>
            </w:pPr>
          </w:p>
        </w:tc>
        <w:tc>
          <w:tcPr>
            <w:tcW w:w="1166" w:type="dxa"/>
            <w:vMerge w:val="continue"/>
            <w:tcBorders>
              <w:top w:val="nil"/>
            </w:tcBorders>
          </w:tcPr>
          <w:p w14:paraId="1975968A">
            <w:pPr>
              <w:rPr>
                <w:rFonts w:ascii="Arial"/>
              </w:rPr>
            </w:pPr>
          </w:p>
        </w:tc>
        <w:tc>
          <w:tcPr>
            <w:tcW w:w="1799" w:type="dxa"/>
          </w:tcPr>
          <w:p w14:paraId="4F1CE9F3">
            <w:pPr>
              <w:pStyle w:val="234"/>
              <w:spacing w:before="230" w:line="228" w:lineRule="auto"/>
              <w:ind w:left="9"/>
              <w:rPr>
                <w:rFonts w:hint="eastAsia"/>
              </w:rPr>
            </w:pPr>
            <w:r>
              <w:rPr>
                <w:spacing w:val="5"/>
              </w:rPr>
              <w:t>A0206180301</w:t>
            </w:r>
            <w:r>
              <w:rPr>
                <w:spacing w:val="-33"/>
              </w:rPr>
              <w:t xml:space="preserve"> </w:t>
            </w:r>
            <w:r>
              <w:rPr>
                <w:spacing w:val="5"/>
              </w:rPr>
              <w:t>洗衣机</w:t>
            </w:r>
          </w:p>
        </w:tc>
        <w:tc>
          <w:tcPr>
            <w:tcW w:w="1914" w:type="dxa"/>
          </w:tcPr>
          <w:p w14:paraId="2347E380">
            <w:pPr>
              <w:rPr>
                <w:rFonts w:ascii="Arial"/>
              </w:rPr>
            </w:pPr>
          </w:p>
        </w:tc>
        <w:tc>
          <w:tcPr>
            <w:tcW w:w="2969" w:type="dxa"/>
          </w:tcPr>
          <w:p w14:paraId="17EF5F46">
            <w:pPr>
              <w:pStyle w:val="234"/>
              <w:spacing w:before="74" w:line="276" w:lineRule="auto"/>
              <w:ind w:left="19" w:right="11" w:firstLine="3"/>
              <w:rPr>
                <w:rFonts w:hint="eastAsia"/>
                <w:lang w:eastAsia="zh-CN"/>
              </w:rPr>
            </w:pPr>
            <w:r>
              <w:rPr>
                <w:spacing w:val="19"/>
                <w:lang w:eastAsia="zh-CN"/>
              </w:rPr>
              <w:t>《电动洗衣机能效水效限定值及</w:t>
            </w:r>
            <w:r>
              <w:rPr>
                <w:spacing w:val="2"/>
                <w:lang w:eastAsia="zh-CN"/>
              </w:rPr>
              <w:t xml:space="preserve"> </w:t>
            </w:r>
            <w:r>
              <w:rPr>
                <w:spacing w:val="4"/>
                <w:lang w:eastAsia="zh-CN"/>
              </w:rPr>
              <w:t>等级》（</w:t>
            </w:r>
            <w:r>
              <w:rPr>
                <w:lang w:eastAsia="zh-CN"/>
              </w:rPr>
              <w:t>GB</w:t>
            </w:r>
            <w:r>
              <w:rPr>
                <w:spacing w:val="33"/>
                <w:lang w:eastAsia="zh-CN"/>
              </w:rPr>
              <w:t xml:space="preserve"> </w:t>
            </w:r>
            <w:r>
              <w:rPr>
                <w:spacing w:val="4"/>
                <w:lang w:eastAsia="zh-CN"/>
              </w:rPr>
              <w:t>12021.4）</w:t>
            </w:r>
          </w:p>
        </w:tc>
      </w:tr>
    </w:tbl>
    <w:p w14:paraId="4912B9FA">
      <w:pPr>
        <w:rPr>
          <w:rFonts w:ascii="Arial"/>
        </w:rPr>
      </w:pPr>
    </w:p>
    <w:p w14:paraId="35502A9B">
      <w:pPr>
        <w:rPr>
          <w:rFonts w:ascii="Arial" w:hAnsi="Arial" w:eastAsia="Arial" w:cs="Arial"/>
          <w:szCs w:val="21"/>
        </w:rPr>
        <w:sectPr>
          <w:pgSz w:w="11906" w:h="16838"/>
          <w:pgMar w:top="1431" w:right="1691" w:bottom="0" w:left="1783" w:header="907" w:footer="0" w:gutter="0"/>
          <w:cols w:space="720" w:num="1"/>
        </w:sectPr>
      </w:pPr>
    </w:p>
    <w:p w14:paraId="308F33CC">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7ED4B9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41" w:hRule="atLeast"/>
          <w:jc w:val="center"/>
        </w:trPr>
        <w:tc>
          <w:tcPr>
            <w:tcW w:w="578" w:type="dxa"/>
            <w:vMerge w:val="restart"/>
            <w:tcBorders>
              <w:bottom w:val="nil"/>
            </w:tcBorders>
          </w:tcPr>
          <w:p w14:paraId="00C2E0AC">
            <w:pPr>
              <w:rPr>
                <w:rFonts w:ascii="Arial"/>
              </w:rPr>
            </w:pPr>
          </w:p>
        </w:tc>
        <w:tc>
          <w:tcPr>
            <w:tcW w:w="1166" w:type="dxa"/>
            <w:vMerge w:val="restart"/>
            <w:tcBorders>
              <w:bottom w:val="nil"/>
            </w:tcBorders>
          </w:tcPr>
          <w:p w14:paraId="4F31C581">
            <w:pPr>
              <w:rPr>
                <w:rFonts w:ascii="Arial"/>
              </w:rPr>
            </w:pPr>
          </w:p>
        </w:tc>
        <w:tc>
          <w:tcPr>
            <w:tcW w:w="1799" w:type="dxa"/>
            <w:vMerge w:val="restart"/>
            <w:tcBorders>
              <w:bottom w:val="nil"/>
            </w:tcBorders>
          </w:tcPr>
          <w:p w14:paraId="4372C759">
            <w:pPr>
              <w:spacing w:line="244" w:lineRule="auto"/>
              <w:rPr>
                <w:rFonts w:ascii="Arial"/>
              </w:rPr>
            </w:pPr>
          </w:p>
          <w:p w14:paraId="25566C56">
            <w:pPr>
              <w:spacing w:line="244" w:lineRule="auto"/>
              <w:rPr>
                <w:rFonts w:ascii="Arial"/>
              </w:rPr>
            </w:pPr>
          </w:p>
          <w:p w14:paraId="7F86F242">
            <w:pPr>
              <w:spacing w:line="244" w:lineRule="auto"/>
              <w:rPr>
                <w:rFonts w:ascii="Arial"/>
              </w:rPr>
            </w:pPr>
          </w:p>
          <w:p w14:paraId="7708D811">
            <w:pPr>
              <w:spacing w:line="244" w:lineRule="auto"/>
              <w:rPr>
                <w:rFonts w:ascii="Arial"/>
              </w:rPr>
            </w:pPr>
          </w:p>
          <w:p w14:paraId="2955FB63">
            <w:pPr>
              <w:spacing w:line="245" w:lineRule="auto"/>
              <w:rPr>
                <w:rFonts w:ascii="Arial"/>
              </w:rPr>
            </w:pPr>
          </w:p>
          <w:p w14:paraId="6299DE81">
            <w:pPr>
              <w:spacing w:line="245" w:lineRule="auto"/>
              <w:rPr>
                <w:rFonts w:ascii="Arial"/>
              </w:rPr>
            </w:pPr>
          </w:p>
          <w:p w14:paraId="43F9D706">
            <w:pPr>
              <w:pStyle w:val="234"/>
              <w:spacing w:before="62" w:line="229" w:lineRule="auto"/>
              <w:ind w:left="9"/>
              <w:rPr>
                <w:rFonts w:hint="eastAsia"/>
              </w:rPr>
            </w:pPr>
            <w:r>
              <w:rPr>
                <w:spacing w:val="5"/>
              </w:rPr>
              <w:t>A02061808</w:t>
            </w:r>
            <w:r>
              <w:rPr>
                <w:spacing w:val="-32"/>
              </w:rPr>
              <w:t xml:space="preserve"> </w:t>
            </w:r>
            <w:r>
              <w:rPr>
                <w:spacing w:val="5"/>
              </w:rPr>
              <w:t>热水器</w:t>
            </w:r>
          </w:p>
        </w:tc>
        <w:tc>
          <w:tcPr>
            <w:tcW w:w="1914" w:type="dxa"/>
          </w:tcPr>
          <w:p w14:paraId="62BAEB0D">
            <w:pPr>
              <w:pStyle w:val="234"/>
              <w:spacing w:before="275" w:line="229" w:lineRule="auto"/>
              <w:ind w:left="19"/>
              <w:rPr>
                <w:rFonts w:hint="eastAsia"/>
              </w:rPr>
            </w:pPr>
            <w:r>
              <w:rPr>
                <w:spacing w:val="7"/>
              </w:rPr>
              <w:t>★电热水器</w:t>
            </w:r>
          </w:p>
        </w:tc>
        <w:tc>
          <w:tcPr>
            <w:tcW w:w="2969" w:type="dxa"/>
          </w:tcPr>
          <w:p w14:paraId="37D844D0">
            <w:pPr>
              <w:pStyle w:val="234"/>
              <w:spacing w:before="119" w:line="288" w:lineRule="auto"/>
              <w:ind w:left="25" w:right="11" w:hanging="2"/>
              <w:rPr>
                <w:rFonts w:hint="eastAsia"/>
                <w:lang w:eastAsia="zh-CN"/>
              </w:rPr>
            </w:pPr>
            <w:r>
              <w:rPr>
                <w:spacing w:val="19"/>
                <w:lang w:eastAsia="zh-CN"/>
              </w:rPr>
              <w:t>《储水式电热水器能效限定值及</w:t>
            </w:r>
            <w:r>
              <w:rPr>
                <w:spacing w:val="2"/>
                <w:lang w:eastAsia="zh-CN"/>
              </w:rPr>
              <w:t xml:space="preserve"> </w:t>
            </w:r>
            <w:r>
              <w:rPr>
                <w:spacing w:val="6"/>
                <w:lang w:eastAsia="zh-CN"/>
              </w:rPr>
              <w:t>能效等级》（</w:t>
            </w:r>
            <w:r>
              <w:rPr>
                <w:lang w:eastAsia="zh-CN"/>
              </w:rPr>
              <w:t>GB</w:t>
            </w:r>
            <w:r>
              <w:rPr>
                <w:spacing w:val="6"/>
                <w:lang w:eastAsia="zh-CN"/>
              </w:rPr>
              <w:t xml:space="preserve">  21519）</w:t>
            </w:r>
          </w:p>
        </w:tc>
      </w:tr>
      <w:tr w14:paraId="29E6B1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52" w:hRule="atLeast"/>
          <w:jc w:val="center"/>
        </w:trPr>
        <w:tc>
          <w:tcPr>
            <w:tcW w:w="578" w:type="dxa"/>
            <w:vMerge w:val="continue"/>
            <w:tcBorders>
              <w:top w:val="nil"/>
              <w:bottom w:val="nil"/>
            </w:tcBorders>
          </w:tcPr>
          <w:p w14:paraId="41D97617">
            <w:pPr>
              <w:rPr>
                <w:rFonts w:ascii="Arial"/>
              </w:rPr>
            </w:pPr>
          </w:p>
        </w:tc>
        <w:tc>
          <w:tcPr>
            <w:tcW w:w="1166" w:type="dxa"/>
            <w:vMerge w:val="continue"/>
            <w:tcBorders>
              <w:top w:val="nil"/>
              <w:bottom w:val="nil"/>
            </w:tcBorders>
          </w:tcPr>
          <w:p w14:paraId="4E9429E5">
            <w:pPr>
              <w:rPr>
                <w:rFonts w:ascii="Arial"/>
              </w:rPr>
            </w:pPr>
          </w:p>
        </w:tc>
        <w:tc>
          <w:tcPr>
            <w:tcW w:w="1799" w:type="dxa"/>
            <w:vMerge w:val="continue"/>
            <w:tcBorders>
              <w:top w:val="nil"/>
              <w:bottom w:val="nil"/>
            </w:tcBorders>
          </w:tcPr>
          <w:p w14:paraId="2518125B">
            <w:pPr>
              <w:rPr>
                <w:rFonts w:ascii="Arial"/>
              </w:rPr>
            </w:pPr>
          </w:p>
        </w:tc>
        <w:tc>
          <w:tcPr>
            <w:tcW w:w="1914" w:type="dxa"/>
          </w:tcPr>
          <w:p w14:paraId="2784F092">
            <w:pPr>
              <w:spacing w:line="315" w:lineRule="auto"/>
              <w:rPr>
                <w:rFonts w:ascii="Arial"/>
              </w:rPr>
            </w:pPr>
          </w:p>
          <w:p w14:paraId="320DDDC4">
            <w:pPr>
              <w:pStyle w:val="234"/>
              <w:spacing w:before="61" w:line="229" w:lineRule="auto"/>
              <w:ind w:left="15"/>
              <w:rPr>
                <w:rFonts w:hint="eastAsia"/>
              </w:rPr>
            </w:pPr>
            <w:r>
              <w:rPr>
                <w:spacing w:val="8"/>
              </w:rPr>
              <w:t>燃气热水器</w:t>
            </w:r>
          </w:p>
        </w:tc>
        <w:tc>
          <w:tcPr>
            <w:tcW w:w="2969" w:type="dxa"/>
          </w:tcPr>
          <w:p w14:paraId="5901820A">
            <w:pPr>
              <w:pStyle w:val="234"/>
              <w:spacing w:before="68" w:line="283" w:lineRule="auto"/>
              <w:ind w:left="25" w:hanging="2"/>
              <w:rPr>
                <w:rFonts w:hint="eastAsia"/>
                <w:lang w:eastAsia="zh-CN"/>
              </w:rPr>
            </w:pPr>
            <w:r>
              <w:rPr>
                <w:spacing w:val="17"/>
                <w:lang w:eastAsia="zh-CN"/>
              </w:rPr>
              <w:t>《家用燃气快速热水器和燃气采</w:t>
            </w:r>
            <w:r>
              <w:rPr>
                <w:lang w:eastAsia="zh-CN"/>
              </w:rPr>
              <w:t xml:space="preserve"> </w:t>
            </w:r>
            <w:r>
              <w:rPr>
                <w:spacing w:val="5"/>
                <w:lang w:eastAsia="zh-CN"/>
              </w:rPr>
              <w:t>暖热水炉能效限定值及能效等级》</w:t>
            </w:r>
            <w:r>
              <w:rPr>
                <w:spacing w:val="12"/>
                <w:lang w:eastAsia="zh-CN"/>
              </w:rPr>
              <w:t xml:space="preserve"> </w:t>
            </w:r>
            <w:r>
              <w:rPr>
                <w:spacing w:val="1"/>
                <w:lang w:eastAsia="zh-CN"/>
              </w:rPr>
              <w:t>（</w:t>
            </w:r>
            <w:r>
              <w:rPr>
                <w:lang w:eastAsia="zh-CN"/>
              </w:rPr>
              <w:t>GB</w:t>
            </w:r>
            <w:r>
              <w:rPr>
                <w:spacing w:val="18"/>
                <w:lang w:eastAsia="zh-CN"/>
              </w:rPr>
              <w:t xml:space="preserve"> </w:t>
            </w:r>
            <w:r>
              <w:rPr>
                <w:spacing w:val="1"/>
                <w:lang w:eastAsia="zh-CN"/>
              </w:rPr>
              <w:t>20665）</w:t>
            </w:r>
          </w:p>
        </w:tc>
      </w:tr>
      <w:tr w14:paraId="3BD625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jc w:val="center"/>
        </w:trPr>
        <w:tc>
          <w:tcPr>
            <w:tcW w:w="578" w:type="dxa"/>
            <w:vMerge w:val="continue"/>
            <w:tcBorders>
              <w:top w:val="nil"/>
              <w:bottom w:val="nil"/>
            </w:tcBorders>
          </w:tcPr>
          <w:p w14:paraId="123AC683">
            <w:pPr>
              <w:rPr>
                <w:rFonts w:ascii="Arial"/>
              </w:rPr>
            </w:pPr>
          </w:p>
        </w:tc>
        <w:tc>
          <w:tcPr>
            <w:tcW w:w="1166" w:type="dxa"/>
            <w:vMerge w:val="continue"/>
            <w:tcBorders>
              <w:top w:val="nil"/>
              <w:bottom w:val="nil"/>
            </w:tcBorders>
          </w:tcPr>
          <w:p w14:paraId="73DE5DD0">
            <w:pPr>
              <w:rPr>
                <w:rFonts w:ascii="Arial"/>
              </w:rPr>
            </w:pPr>
          </w:p>
        </w:tc>
        <w:tc>
          <w:tcPr>
            <w:tcW w:w="1799" w:type="dxa"/>
            <w:vMerge w:val="continue"/>
            <w:tcBorders>
              <w:top w:val="nil"/>
              <w:bottom w:val="nil"/>
            </w:tcBorders>
          </w:tcPr>
          <w:p w14:paraId="34C1E6AE">
            <w:pPr>
              <w:rPr>
                <w:rFonts w:ascii="Arial"/>
              </w:rPr>
            </w:pPr>
          </w:p>
        </w:tc>
        <w:tc>
          <w:tcPr>
            <w:tcW w:w="1914" w:type="dxa"/>
          </w:tcPr>
          <w:p w14:paraId="0DBB6D44">
            <w:pPr>
              <w:spacing w:line="248" w:lineRule="auto"/>
              <w:rPr>
                <w:rFonts w:ascii="Arial"/>
              </w:rPr>
            </w:pPr>
          </w:p>
          <w:p w14:paraId="6A5B8B30">
            <w:pPr>
              <w:pStyle w:val="234"/>
              <w:spacing w:before="62" w:line="229" w:lineRule="auto"/>
              <w:ind w:left="20"/>
              <w:rPr>
                <w:rFonts w:hint="eastAsia"/>
              </w:rPr>
            </w:pPr>
            <w:r>
              <w:rPr>
                <w:spacing w:val="7"/>
              </w:rPr>
              <w:t>热泵热水器</w:t>
            </w:r>
          </w:p>
        </w:tc>
        <w:tc>
          <w:tcPr>
            <w:tcW w:w="2969" w:type="dxa"/>
          </w:tcPr>
          <w:p w14:paraId="54F7A733">
            <w:pPr>
              <w:pStyle w:val="234"/>
              <w:spacing w:before="156" w:line="288" w:lineRule="auto"/>
              <w:ind w:left="25" w:right="13" w:hanging="2"/>
              <w:rPr>
                <w:rFonts w:hint="eastAsia"/>
                <w:lang w:eastAsia="zh-CN"/>
              </w:rPr>
            </w:pPr>
            <w:r>
              <w:rPr>
                <w:spacing w:val="5"/>
                <w:lang w:eastAsia="zh-CN"/>
              </w:rPr>
              <w:t>《热泵热水机（器）能效限定值及</w:t>
            </w:r>
            <w:r>
              <w:rPr>
                <w:spacing w:val="1"/>
                <w:lang w:eastAsia="zh-CN"/>
              </w:rPr>
              <w:t xml:space="preserve"> </w:t>
            </w:r>
            <w:r>
              <w:rPr>
                <w:spacing w:val="6"/>
                <w:lang w:eastAsia="zh-CN"/>
              </w:rPr>
              <w:t>能效等级》（</w:t>
            </w:r>
            <w:r>
              <w:rPr>
                <w:lang w:eastAsia="zh-CN"/>
              </w:rPr>
              <w:t>GB</w:t>
            </w:r>
            <w:r>
              <w:rPr>
                <w:spacing w:val="6"/>
                <w:lang w:eastAsia="zh-CN"/>
              </w:rPr>
              <w:t xml:space="preserve"> 29541）</w:t>
            </w:r>
          </w:p>
        </w:tc>
      </w:tr>
      <w:tr w14:paraId="660D2A9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36" w:hRule="atLeast"/>
          <w:jc w:val="center"/>
        </w:trPr>
        <w:tc>
          <w:tcPr>
            <w:tcW w:w="578" w:type="dxa"/>
            <w:vMerge w:val="continue"/>
            <w:tcBorders>
              <w:top w:val="nil"/>
            </w:tcBorders>
          </w:tcPr>
          <w:p w14:paraId="216B336B">
            <w:pPr>
              <w:rPr>
                <w:rFonts w:ascii="Arial"/>
              </w:rPr>
            </w:pPr>
          </w:p>
        </w:tc>
        <w:tc>
          <w:tcPr>
            <w:tcW w:w="1166" w:type="dxa"/>
            <w:vMerge w:val="continue"/>
            <w:tcBorders>
              <w:top w:val="nil"/>
            </w:tcBorders>
          </w:tcPr>
          <w:p w14:paraId="28A05542">
            <w:pPr>
              <w:rPr>
                <w:rFonts w:ascii="Arial"/>
              </w:rPr>
            </w:pPr>
          </w:p>
        </w:tc>
        <w:tc>
          <w:tcPr>
            <w:tcW w:w="1799" w:type="dxa"/>
            <w:vMerge w:val="continue"/>
            <w:tcBorders>
              <w:top w:val="nil"/>
            </w:tcBorders>
          </w:tcPr>
          <w:p w14:paraId="29F38019">
            <w:pPr>
              <w:rPr>
                <w:rFonts w:ascii="Arial"/>
              </w:rPr>
            </w:pPr>
          </w:p>
        </w:tc>
        <w:tc>
          <w:tcPr>
            <w:tcW w:w="1914" w:type="dxa"/>
          </w:tcPr>
          <w:p w14:paraId="7D85FE9E">
            <w:pPr>
              <w:pStyle w:val="234"/>
              <w:spacing w:before="271" w:line="229" w:lineRule="auto"/>
              <w:ind w:left="16"/>
              <w:rPr>
                <w:rFonts w:hint="eastAsia"/>
              </w:rPr>
            </w:pPr>
            <w:r>
              <w:rPr>
                <w:spacing w:val="8"/>
              </w:rPr>
              <w:t>太阳能热水系统</w:t>
            </w:r>
          </w:p>
        </w:tc>
        <w:tc>
          <w:tcPr>
            <w:tcW w:w="2969" w:type="dxa"/>
          </w:tcPr>
          <w:p w14:paraId="1885F4CD">
            <w:pPr>
              <w:pStyle w:val="234"/>
              <w:spacing w:before="116" w:line="288" w:lineRule="auto"/>
              <w:ind w:left="17" w:right="11" w:firstLine="5"/>
              <w:rPr>
                <w:rFonts w:hint="eastAsia"/>
                <w:lang w:eastAsia="zh-CN"/>
              </w:rPr>
            </w:pPr>
            <w:r>
              <w:rPr>
                <w:spacing w:val="19"/>
                <w:lang w:eastAsia="zh-CN"/>
              </w:rPr>
              <w:t>《家用太阳能热水系统能效限定</w:t>
            </w:r>
            <w:r>
              <w:rPr>
                <w:spacing w:val="2"/>
                <w:lang w:eastAsia="zh-CN"/>
              </w:rPr>
              <w:t xml:space="preserve"> </w:t>
            </w:r>
            <w:r>
              <w:rPr>
                <w:spacing w:val="7"/>
                <w:lang w:eastAsia="zh-CN"/>
              </w:rPr>
              <w:t>值及能效等级》（</w:t>
            </w:r>
            <w:r>
              <w:rPr>
                <w:lang w:eastAsia="zh-CN"/>
              </w:rPr>
              <w:t>GB</w:t>
            </w:r>
            <w:r>
              <w:rPr>
                <w:spacing w:val="7"/>
                <w:lang w:eastAsia="zh-CN"/>
              </w:rPr>
              <w:t xml:space="preserve"> 26969）</w:t>
            </w:r>
          </w:p>
        </w:tc>
      </w:tr>
      <w:tr w14:paraId="30B770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7" w:hRule="atLeast"/>
          <w:jc w:val="center"/>
        </w:trPr>
        <w:tc>
          <w:tcPr>
            <w:tcW w:w="578" w:type="dxa"/>
            <w:vMerge w:val="restart"/>
            <w:tcBorders>
              <w:bottom w:val="nil"/>
            </w:tcBorders>
          </w:tcPr>
          <w:p w14:paraId="222900E9">
            <w:pPr>
              <w:spacing w:line="274" w:lineRule="auto"/>
              <w:rPr>
                <w:rFonts w:ascii="Arial"/>
              </w:rPr>
            </w:pPr>
          </w:p>
          <w:p w14:paraId="1A14BABF">
            <w:pPr>
              <w:spacing w:line="274" w:lineRule="auto"/>
              <w:rPr>
                <w:rFonts w:ascii="Arial"/>
              </w:rPr>
            </w:pPr>
          </w:p>
          <w:p w14:paraId="284CEB88">
            <w:pPr>
              <w:spacing w:line="274" w:lineRule="auto"/>
              <w:rPr>
                <w:rFonts w:ascii="Arial"/>
              </w:rPr>
            </w:pPr>
          </w:p>
          <w:p w14:paraId="29F49873">
            <w:pPr>
              <w:spacing w:line="274" w:lineRule="auto"/>
              <w:rPr>
                <w:rFonts w:ascii="Arial"/>
              </w:rPr>
            </w:pPr>
          </w:p>
          <w:p w14:paraId="278937AA">
            <w:pPr>
              <w:spacing w:line="274" w:lineRule="auto"/>
              <w:rPr>
                <w:rFonts w:ascii="Arial"/>
              </w:rPr>
            </w:pPr>
          </w:p>
          <w:p w14:paraId="56293DF6">
            <w:pPr>
              <w:spacing w:line="274" w:lineRule="auto"/>
              <w:rPr>
                <w:rFonts w:ascii="Arial"/>
              </w:rPr>
            </w:pPr>
          </w:p>
          <w:p w14:paraId="073AF1F8">
            <w:pPr>
              <w:pStyle w:val="234"/>
              <w:spacing w:before="62" w:line="190" w:lineRule="auto"/>
              <w:ind w:left="209"/>
              <w:rPr>
                <w:rFonts w:hint="eastAsia"/>
              </w:rPr>
            </w:pPr>
            <w:r>
              <w:rPr>
                <w:spacing w:val="-7"/>
              </w:rPr>
              <w:t>11</w:t>
            </w:r>
          </w:p>
        </w:tc>
        <w:tc>
          <w:tcPr>
            <w:tcW w:w="1166" w:type="dxa"/>
            <w:vMerge w:val="restart"/>
            <w:tcBorders>
              <w:bottom w:val="nil"/>
            </w:tcBorders>
          </w:tcPr>
          <w:p w14:paraId="7B616446">
            <w:pPr>
              <w:spacing w:line="243" w:lineRule="auto"/>
              <w:rPr>
                <w:rFonts w:ascii="Arial"/>
              </w:rPr>
            </w:pPr>
          </w:p>
          <w:p w14:paraId="6250BF93">
            <w:pPr>
              <w:spacing w:line="243" w:lineRule="auto"/>
              <w:rPr>
                <w:rFonts w:ascii="Arial"/>
              </w:rPr>
            </w:pPr>
          </w:p>
          <w:p w14:paraId="4ED244D7">
            <w:pPr>
              <w:spacing w:line="243" w:lineRule="auto"/>
              <w:rPr>
                <w:rFonts w:ascii="Arial"/>
              </w:rPr>
            </w:pPr>
          </w:p>
          <w:p w14:paraId="73A7CF28">
            <w:pPr>
              <w:spacing w:line="243" w:lineRule="auto"/>
              <w:rPr>
                <w:rFonts w:ascii="Arial"/>
              </w:rPr>
            </w:pPr>
          </w:p>
          <w:p w14:paraId="07C336AF">
            <w:pPr>
              <w:spacing w:line="243" w:lineRule="auto"/>
              <w:rPr>
                <w:rFonts w:ascii="Arial"/>
              </w:rPr>
            </w:pPr>
          </w:p>
          <w:p w14:paraId="67158282">
            <w:pPr>
              <w:spacing w:line="243" w:lineRule="auto"/>
              <w:rPr>
                <w:rFonts w:ascii="Arial"/>
              </w:rPr>
            </w:pPr>
          </w:p>
          <w:p w14:paraId="3F3C9223">
            <w:pPr>
              <w:pStyle w:val="234"/>
              <w:spacing w:before="62" w:line="289" w:lineRule="auto"/>
              <w:ind w:left="18" w:right="8" w:hanging="9"/>
              <w:rPr>
                <w:rFonts w:hint="eastAsia"/>
              </w:rPr>
            </w:pPr>
            <w:r>
              <w:rPr>
                <w:spacing w:val="5"/>
              </w:rPr>
              <w:t>A020619</w:t>
            </w:r>
            <w:r>
              <w:rPr>
                <w:spacing w:val="-43"/>
              </w:rPr>
              <w:t xml:space="preserve"> </w:t>
            </w:r>
            <w:r>
              <w:rPr>
                <w:spacing w:val="5"/>
              </w:rPr>
              <w:t>照明</w:t>
            </w:r>
            <w:r>
              <w:t xml:space="preserve"> </w:t>
            </w:r>
            <w:r>
              <w:rPr>
                <w:spacing w:val="3"/>
              </w:rPr>
              <w:t>设备</w:t>
            </w:r>
          </w:p>
        </w:tc>
        <w:tc>
          <w:tcPr>
            <w:tcW w:w="1799" w:type="dxa"/>
          </w:tcPr>
          <w:p w14:paraId="11BF2B8C">
            <w:pPr>
              <w:pStyle w:val="234"/>
              <w:spacing w:before="198" w:line="288" w:lineRule="auto"/>
              <w:ind w:left="20" w:right="12" w:hanging="2"/>
              <w:rPr>
                <w:rFonts w:hint="eastAsia"/>
                <w:lang w:eastAsia="zh-CN"/>
              </w:rPr>
            </w:pPr>
            <w:r>
              <w:rPr>
                <w:spacing w:val="19"/>
                <w:lang w:eastAsia="zh-CN"/>
              </w:rPr>
              <w:t>★</w:t>
            </w:r>
            <w:r>
              <w:rPr>
                <w:spacing w:val="-59"/>
                <w:lang w:eastAsia="zh-CN"/>
              </w:rPr>
              <w:t xml:space="preserve"> </w:t>
            </w:r>
            <w:r>
              <w:rPr>
                <w:spacing w:val="19"/>
                <w:lang w:eastAsia="zh-CN"/>
              </w:rPr>
              <w:t>普通照</w:t>
            </w:r>
            <w:r>
              <w:rPr>
                <w:spacing w:val="-42"/>
                <w:lang w:eastAsia="zh-CN"/>
              </w:rPr>
              <w:t xml:space="preserve"> </w:t>
            </w:r>
            <w:r>
              <w:rPr>
                <w:spacing w:val="19"/>
                <w:lang w:eastAsia="zh-CN"/>
              </w:rPr>
              <w:t>明用双端</w:t>
            </w:r>
            <w:r>
              <w:rPr>
                <w:lang w:eastAsia="zh-CN"/>
              </w:rPr>
              <w:t xml:space="preserve"> </w:t>
            </w:r>
            <w:r>
              <w:rPr>
                <w:spacing w:val="4"/>
                <w:lang w:eastAsia="zh-CN"/>
              </w:rPr>
              <w:t>荧光灯</w:t>
            </w:r>
          </w:p>
        </w:tc>
        <w:tc>
          <w:tcPr>
            <w:tcW w:w="1914" w:type="dxa"/>
          </w:tcPr>
          <w:p w14:paraId="6DF663BC">
            <w:pPr>
              <w:rPr>
                <w:rFonts w:ascii="Arial"/>
              </w:rPr>
            </w:pPr>
          </w:p>
        </w:tc>
        <w:tc>
          <w:tcPr>
            <w:tcW w:w="2969" w:type="dxa"/>
          </w:tcPr>
          <w:p w14:paraId="205D273F">
            <w:pPr>
              <w:pStyle w:val="234"/>
              <w:spacing w:before="198" w:line="288" w:lineRule="auto"/>
              <w:ind w:left="22" w:right="11"/>
              <w:rPr>
                <w:rFonts w:hint="eastAsia"/>
                <w:lang w:eastAsia="zh-CN"/>
              </w:rPr>
            </w:pPr>
            <w:r>
              <w:rPr>
                <w:spacing w:val="19"/>
                <w:lang w:eastAsia="zh-CN"/>
              </w:rPr>
              <w:t>《普通照明用双端荧光灯能效限</w:t>
            </w:r>
            <w:r>
              <w:rPr>
                <w:spacing w:val="2"/>
                <w:lang w:eastAsia="zh-CN"/>
              </w:rPr>
              <w:t xml:space="preserve"> </w:t>
            </w:r>
            <w:r>
              <w:rPr>
                <w:spacing w:val="5"/>
                <w:lang w:eastAsia="zh-CN"/>
              </w:rPr>
              <w:t>定值及能效等级》（</w:t>
            </w:r>
            <w:r>
              <w:rPr>
                <w:lang w:eastAsia="zh-CN"/>
              </w:rPr>
              <w:t>GB</w:t>
            </w:r>
            <w:r>
              <w:rPr>
                <w:spacing w:val="42"/>
                <w:lang w:eastAsia="zh-CN"/>
              </w:rPr>
              <w:t xml:space="preserve"> </w:t>
            </w:r>
            <w:r>
              <w:rPr>
                <w:spacing w:val="5"/>
                <w:lang w:eastAsia="zh-CN"/>
              </w:rPr>
              <w:t>19043）</w:t>
            </w:r>
          </w:p>
        </w:tc>
      </w:tr>
      <w:tr w14:paraId="23AD1D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6" w:hRule="atLeast"/>
          <w:jc w:val="center"/>
        </w:trPr>
        <w:tc>
          <w:tcPr>
            <w:tcW w:w="578" w:type="dxa"/>
            <w:vMerge w:val="continue"/>
            <w:tcBorders>
              <w:top w:val="nil"/>
              <w:bottom w:val="nil"/>
            </w:tcBorders>
          </w:tcPr>
          <w:p w14:paraId="086E7AC8">
            <w:pPr>
              <w:rPr>
                <w:rFonts w:ascii="Arial"/>
              </w:rPr>
            </w:pPr>
          </w:p>
        </w:tc>
        <w:tc>
          <w:tcPr>
            <w:tcW w:w="1166" w:type="dxa"/>
            <w:vMerge w:val="continue"/>
            <w:tcBorders>
              <w:top w:val="nil"/>
              <w:bottom w:val="nil"/>
            </w:tcBorders>
          </w:tcPr>
          <w:p w14:paraId="11690122">
            <w:pPr>
              <w:rPr>
                <w:rFonts w:ascii="Arial"/>
              </w:rPr>
            </w:pPr>
          </w:p>
        </w:tc>
        <w:tc>
          <w:tcPr>
            <w:tcW w:w="1799" w:type="dxa"/>
          </w:tcPr>
          <w:p w14:paraId="045D2ADB">
            <w:pPr>
              <w:pStyle w:val="234"/>
              <w:spacing w:before="158" w:line="288" w:lineRule="auto"/>
              <w:ind w:left="14" w:right="7" w:hanging="1"/>
              <w:rPr>
                <w:rFonts w:hint="eastAsia"/>
              </w:rPr>
            </w:pPr>
            <w:r>
              <w:t>LED</w:t>
            </w:r>
            <w:r>
              <w:rPr>
                <w:spacing w:val="23"/>
              </w:rPr>
              <w:t xml:space="preserve"> </w:t>
            </w:r>
            <w:r>
              <w:rPr>
                <w:spacing w:val="19"/>
              </w:rPr>
              <w:t>道路/隧道照明</w:t>
            </w:r>
            <w:r>
              <w:t xml:space="preserve"> </w:t>
            </w:r>
            <w:r>
              <w:rPr>
                <w:spacing w:val="5"/>
              </w:rPr>
              <w:t>产品</w:t>
            </w:r>
          </w:p>
        </w:tc>
        <w:tc>
          <w:tcPr>
            <w:tcW w:w="1914" w:type="dxa"/>
          </w:tcPr>
          <w:p w14:paraId="0541BB33">
            <w:pPr>
              <w:rPr>
                <w:rFonts w:ascii="Arial"/>
              </w:rPr>
            </w:pPr>
          </w:p>
        </w:tc>
        <w:tc>
          <w:tcPr>
            <w:tcW w:w="2969" w:type="dxa"/>
          </w:tcPr>
          <w:p w14:paraId="45B74A60">
            <w:pPr>
              <w:pStyle w:val="234"/>
              <w:spacing w:before="158" w:line="288" w:lineRule="auto"/>
              <w:ind w:left="22"/>
              <w:rPr>
                <w:rFonts w:hint="eastAsia"/>
              </w:rPr>
            </w:pPr>
            <w:r>
              <w:rPr>
                <w:spacing w:val="7"/>
              </w:rPr>
              <w:t xml:space="preserve">《道路和隧道照明用 </w:t>
            </w:r>
            <w:r>
              <w:t>LED</w:t>
            </w:r>
            <w:r>
              <w:rPr>
                <w:spacing w:val="7"/>
              </w:rPr>
              <w:t xml:space="preserve"> 灯具能</w:t>
            </w:r>
            <w:r>
              <w:t xml:space="preserve">  </w:t>
            </w:r>
            <w:r>
              <w:rPr>
                <w:spacing w:val="-4"/>
              </w:rPr>
              <w:t>效限定值及能效等级》（GB</w:t>
            </w:r>
            <w:r>
              <w:rPr>
                <w:spacing w:val="-24"/>
              </w:rPr>
              <w:t xml:space="preserve"> </w:t>
            </w:r>
            <w:r>
              <w:rPr>
                <w:spacing w:val="-4"/>
              </w:rPr>
              <w:t>37478）</w:t>
            </w:r>
          </w:p>
        </w:tc>
      </w:tr>
      <w:tr w14:paraId="6F2B12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9" w:hRule="atLeast"/>
          <w:jc w:val="center"/>
        </w:trPr>
        <w:tc>
          <w:tcPr>
            <w:tcW w:w="578" w:type="dxa"/>
            <w:vMerge w:val="continue"/>
            <w:tcBorders>
              <w:top w:val="nil"/>
              <w:bottom w:val="nil"/>
            </w:tcBorders>
          </w:tcPr>
          <w:p w14:paraId="4346A6BD">
            <w:pPr>
              <w:rPr>
                <w:rFonts w:ascii="Arial"/>
              </w:rPr>
            </w:pPr>
          </w:p>
        </w:tc>
        <w:tc>
          <w:tcPr>
            <w:tcW w:w="1166" w:type="dxa"/>
            <w:vMerge w:val="continue"/>
            <w:tcBorders>
              <w:top w:val="nil"/>
              <w:bottom w:val="nil"/>
            </w:tcBorders>
          </w:tcPr>
          <w:p w14:paraId="08777FBF">
            <w:pPr>
              <w:rPr>
                <w:rFonts w:ascii="Arial"/>
              </w:rPr>
            </w:pPr>
          </w:p>
        </w:tc>
        <w:tc>
          <w:tcPr>
            <w:tcW w:w="1799" w:type="dxa"/>
          </w:tcPr>
          <w:p w14:paraId="6B6C891E">
            <w:pPr>
              <w:rPr>
                <w:rFonts w:ascii="Arial"/>
              </w:rPr>
            </w:pPr>
          </w:p>
          <w:p w14:paraId="3DD52FB9">
            <w:pPr>
              <w:pStyle w:val="234"/>
              <w:spacing w:before="62" w:line="229" w:lineRule="auto"/>
              <w:ind w:left="13"/>
              <w:rPr>
                <w:rFonts w:hint="eastAsia"/>
              </w:rPr>
            </w:pPr>
            <w:r>
              <w:t>LED</w:t>
            </w:r>
            <w:r>
              <w:rPr>
                <w:spacing w:val="-32"/>
              </w:rPr>
              <w:t xml:space="preserve"> </w:t>
            </w:r>
            <w:r>
              <w:rPr>
                <w:spacing w:val="8"/>
              </w:rPr>
              <w:t>筒灯</w:t>
            </w:r>
          </w:p>
        </w:tc>
        <w:tc>
          <w:tcPr>
            <w:tcW w:w="1914" w:type="dxa"/>
          </w:tcPr>
          <w:p w14:paraId="36948E5F">
            <w:pPr>
              <w:rPr>
                <w:rFonts w:ascii="Arial"/>
              </w:rPr>
            </w:pPr>
          </w:p>
        </w:tc>
        <w:tc>
          <w:tcPr>
            <w:tcW w:w="2969" w:type="dxa"/>
          </w:tcPr>
          <w:p w14:paraId="7C2694E5">
            <w:pPr>
              <w:pStyle w:val="234"/>
              <w:spacing w:before="148" w:line="288" w:lineRule="auto"/>
              <w:ind w:left="17" w:right="13" w:firstLine="5"/>
              <w:rPr>
                <w:rFonts w:hint="eastAsia"/>
              </w:rPr>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1828C42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6" w:hRule="atLeast"/>
          <w:jc w:val="center"/>
        </w:trPr>
        <w:tc>
          <w:tcPr>
            <w:tcW w:w="578" w:type="dxa"/>
            <w:vMerge w:val="continue"/>
            <w:tcBorders>
              <w:top w:val="nil"/>
            </w:tcBorders>
          </w:tcPr>
          <w:p w14:paraId="627ED9D5">
            <w:pPr>
              <w:rPr>
                <w:rFonts w:ascii="Arial"/>
              </w:rPr>
            </w:pPr>
          </w:p>
        </w:tc>
        <w:tc>
          <w:tcPr>
            <w:tcW w:w="1166" w:type="dxa"/>
            <w:vMerge w:val="continue"/>
            <w:tcBorders>
              <w:top w:val="nil"/>
            </w:tcBorders>
          </w:tcPr>
          <w:p w14:paraId="3777B9D7">
            <w:pPr>
              <w:rPr>
                <w:rFonts w:ascii="Arial"/>
              </w:rPr>
            </w:pPr>
          </w:p>
        </w:tc>
        <w:tc>
          <w:tcPr>
            <w:tcW w:w="1799" w:type="dxa"/>
          </w:tcPr>
          <w:p w14:paraId="07213172">
            <w:pPr>
              <w:pStyle w:val="234"/>
              <w:spacing w:before="265" w:line="288" w:lineRule="auto"/>
              <w:ind w:left="47" w:right="12" w:hanging="33"/>
              <w:rPr>
                <w:rFonts w:hint="eastAsia"/>
              </w:rPr>
            </w:pPr>
            <w:r>
              <w:rPr>
                <w:spacing w:val="30"/>
              </w:rPr>
              <w:t>普通照明用非定向</w:t>
            </w:r>
            <w:r>
              <w:rPr>
                <w:spacing w:val="5"/>
              </w:rPr>
              <w:t xml:space="preserve"> </w:t>
            </w:r>
            <w:r>
              <w:rPr>
                <w:spacing w:val="-1"/>
              </w:rPr>
              <w:t>自镇流</w:t>
            </w:r>
            <w:r>
              <w:rPr>
                <w:spacing w:val="-33"/>
              </w:rPr>
              <w:t xml:space="preserve"> </w:t>
            </w:r>
            <w:r>
              <w:rPr>
                <w:spacing w:val="-1"/>
              </w:rPr>
              <w:t>LED</w:t>
            </w:r>
            <w:r>
              <w:rPr>
                <w:spacing w:val="-37"/>
              </w:rPr>
              <w:t xml:space="preserve"> </w:t>
            </w:r>
            <w:r>
              <w:rPr>
                <w:spacing w:val="-1"/>
              </w:rPr>
              <w:t>灯</w:t>
            </w:r>
          </w:p>
        </w:tc>
        <w:tc>
          <w:tcPr>
            <w:tcW w:w="1914" w:type="dxa"/>
          </w:tcPr>
          <w:p w14:paraId="1F7288B4">
            <w:pPr>
              <w:rPr>
                <w:rFonts w:ascii="Arial"/>
              </w:rPr>
            </w:pPr>
          </w:p>
        </w:tc>
        <w:tc>
          <w:tcPr>
            <w:tcW w:w="2969" w:type="dxa"/>
          </w:tcPr>
          <w:p w14:paraId="07F33444">
            <w:pPr>
              <w:pStyle w:val="234"/>
              <w:spacing w:before="265" w:line="288" w:lineRule="auto"/>
              <w:ind w:left="17" w:right="13" w:firstLine="5"/>
              <w:rPr>
                <w:rFonts w:hint="eastAsia"/>
              </w:rPr>
            </w:pPr>
            <w:r>
              <w:rPr>
                <w:spacing w:val="12"/>
              </w:rPr>
              <w:t xml:space="preserve">《室内照明用 </w:t>
            </w:r>
            <w:r>
              <w:t>LED</w:t>
            </w:r>
            <w:r>
              <w:rPr>
                <w:spacing w:val="12"/>
              </w:rPr>
              <w:t xml:space="preserve"> 产品能效限定</w:t>
            </w:r>
            <w:r>
              <w:rPr>
                <w:spacing w:val="2"/>
              </w:rPr>
              <w:t xml:space="preserve"> </w:t>
            </w:r>
            <w:r>
              <w:rPr>
                <w:spacing w:val="7"/>
              </w:rPr>
              <w:t>值及能效等级》（</w:t>
            </w:r>
            <w:r>
              <w:t>GB</w:t>
            </w:r>
            <w:r>
              <w:rPr>
                <w:spacing w:val="7"/>
              </w:rPr>
              <w:t xml:space="preserve"> 30255）</w:t>
            </w:r>
          </w:p>
        </w:tc>
      </w:tr>
      <w:tr w14:paraId="11612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96" w:hRule="atLeast"/>
          <w:jc w:val="center"/>
        </w:trPr>
        <w:tc>
          <w:tcPr>
            <w:tcW w:w="578" w:type="dxa"/>
          </w:tcPr>
          <w:p w14:paraId="6EF9255D">
            <w:pPr>
              <w:spacing w:line="268" w:lineRule="auto"/>
              <w:rPr>
                <w:rFonts w:ascii="Arial"/>
              </w:rPr>
            </w:pPr>
          </w:p>
          <w:p w14:paraId="671B58E5">
            <w:pPr>
              <w:pStyle w:val="234"/>
              <w:spacing w:before="62" w:line="190" w:lineRule="auto"/>
              <w:ind w:left="209"/>
              <w:rPr>
                <w:rFonts w:hint="eastAsia"/>
              </w:rPr>
            </w:pPr>
            <w:r>
              <w:rPr>
                <w:spacing w:val="-7"/>
              </w:rPr>
              <w:t>12</w:t>
            </w:r>
          </w:p>
        </w:tc>
        <w:tc>
          <w:tcPr>
            <w:tcW w:w="1166" w:type="dxa"/>
          </w:tcPr>
          <w:p w14:paraId="1F2E29A0">
            <w:pPr>
              <w:pStyle w:val="234"/>
              <w:spacing w:before="144" w:line="289" w:lineRule="auto"/>
              <w:ind w:left="14" w:right="8" w:firstLine="3"/>
              <w:rPr>
                <w:rFonts w:hint="eastAsia"/>
              </w:rPr>
            </w:pPr>
            <w:r>
              <w:rPr>
                <w:spacing w:val="1"/>
              </w:rPr>
              <w:t>★A020910</w:t>
            </w:r>
            <w:r>
              <w:rPr>
                <w:spacing w:val="-17"/>
              </w:rPr>
              <w:t xml:space="preserve"> </w:t>
            </w:r>
            <w:r>
              <w:rPr>
                <w:spacing w:val="1"/>
              </w:rPr>
              <w:t>电</w:t>
            </w:r>
            <w:r>
              <w:t xml:space="preserve"> </w:t>
            </w:r>
            <w:r>
              <w:rPr>
                <w:spacing w:val="6"/>
              </w:rPr>
              <w:t>视设备</w:t>
            </w:r>
          </w:p>
        </w:tc>
        <w:tc>
          <w:tcPr>
            <w:tcW w:w="1799" w:type="dxa"/>
          </w:tcPr>
          <w:p w14:paraId="48FFB032">
            <w:pPr>
              <w:pStyle w:val="234"/>
              <w:spacing w:before="145" w:line="288" w:lineRule="auto"/>
              <w:ind w:left="18" w:right="10" w:hanging="9"/>
              <w:rPr>
                <w:rFonts w:hint="eastAsia"/>
                <w:lang w:eastAsia="zh-CN"/>
              </w:rPr>
            </w:pPr>
            <w:r>
              <w:rPr>
                <w:spacing w:val="4"/>
                <w:lang w:eastAsia="zh-CN"/>
              </w:rPr>
              <w:t>A02091001 普通电视</w:t>
            </w:r>
            <w:r>
              <w:rPr>
                <w:spacing w:val="7"/>
                <w:lang w:eastAsia="zh-CN"/>
              </w:rPr>
              <w:t xml:space="preserve"> </w:t>
            </w:r>
            <w:r>
              <w:rPr>
                <w:spacing w:val="6"/>
                <w:lang w:eastAsia="zh-CN"/>
              </w:rPr>
              <w:t>设备（电视机）</w:t>
            </w:r>
          </w:p>
        </w:tc>
        <w:tc>
          <w:tcPr>
            <w:tcW w:w="1914" w:type="dxa"/>
          </w:tcPr>
          <w:p w14:paraId="14175C89">
            <w:pPr>
              <w:rPr>
                <w:rFonts w:ascii="Arial"/>
              </w:rPr>
            </w:pPr>
          </w:p>
        </w:tc>
        <w:tc>
          <w:tcPr>
            <w:tcW w:w="2969" w:type="dxa"/>
          </w:tcPr>
          <w:p w14:paraId="5F45BC99">
            <w:pPr>
              <w:pStyle w:val="234"/>
              <w:spacing w:before="146" w:line="289" w:lineRule="auto"/>
              <w:ind w:left="21" w:right="11" w:firstLine="2"/>
              <w:rPr>
                <w:rFonts w:hint="eastAsia"/>
                <w:lang w:eastAsia="zh-CN"/>
              </w:rPr>
            </w:pPr>
            <w:r>
              <w:rPr>
                <w:spacing w:val="19"/>
                <w:lang w:eastAsia="zh-CN"/>
              </w:rPr>
              <w:t>《平板电视能效限定值及能效等</w:t>
            </w:r>
            <w:r>
              <w:rPr>
                <w:spacing w:val="2"/>
                <w:lang w:eastAsia="zh-CN"/>
              </w:rPr>
              <w:t xml:space="preserve"> </w:t>
            </w:r>
            <w:r>
              <w:rPr>
                <w:spacing w:val="4"/>
                <w:lang w:eastAsia="zh-CN"/>
              </w:rPr>
              <w:t>级》（</w:t>
            </w:r>
            <w:r>
              <w:rPr>
                <w:lang w:eastAsia="zh-CN"/>
              </w:rPr>
              <w:t>GB</w:t>
            </w:r>
            <w:r>
              <w:rPr>
                <w:spacing w:val="23"/>
                <w:lang w:eastAsia="zh-CN"/>
              </w:rPr>
              <w:t xml:space="preserve"> </w:t>
            </w:r>
            <w:r>
              <w:rPr>
                <w:spacing w:val="4"/>
                <w:lang w:eastAsia="zh-CN"/>
              </w:rPr>
              <w:t>24850）</w:t>
            </w:r>
          </w:p>
        </w:tc>
      </w:tr>
      <w:tr w14:paraId="21E34D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36" w:hRule="atLeast"/>
          <w:jc w:val="center"/>
        </w:trPr>
        <w:tc>
          <w:tcPr>
            <w:tcW w:w="578" w:type="dxa"/>
          </w:tcPr>
          <w:p w14:paraId="5763432D">
            <w:pPr>
              <w:spacing w:line="279" w:lineRule="auto"/>
              <w:rPr>
                <w:rFonts w:ascii="Arial"/>
              </w:rPr>
            </w:pPr>
          </w:p>
          <w:p w14:paraId="1615019F">
            <w:pPr>
              <w:spacing w:line="279" w:lineRule="auto"/>
              <w:rPr>
                <w:rFonts w:ascii="Arial"/>
              </w:rPr>
            </w:pPr>
          </w:p>
          <w:p w14:paraId="3EEBF64C">
            <w:pPr>
              <w:spacing w:line="279" w:lineRule="auto"/>
              <w:rPr>
                <w:rFonts w:ascii="Arial"/>
              </w:rPr>
            </w:pPr>
          </w:p>
          <w:p w14:paraId="7D548AA9">
            <w:pPr>
              <w:pStyle w:val="234"/>
              <w:spacing w:before="61" w:line="190" w:lineRule="auto"/>
              <w:ind w:left="209"/>
              <w:rPr>
                <w:rFonts w:hint="eastAsia"/>
              </w:rPr>
            </w:pPr>
            <w:r>
              <w:rPr>
                <w:spacing w:val="-7"/>
              </w:rPr>
              <w:t>13</w:t>
            </w:r>
          </w:p>
        </w:tc>
        <w:tc>
          <w:tcPr>
            <w:tcW w:w="1166" w:type="dxa"/>
          </w:tcPr>
          <w:p w14:paraId="2F58796B">
            <w:pPr>
              <w:spacing w:line="325" w:lineRule="auto"/>
              <w:rPr>
                <w:rFonts w:ascii="Arial"/>
              </w:rPr>
            </w:pPr>
          </w:p>
          <w:p w14:paraId="7036D9CE">
            <w:pPr>
              <w:spacing w:line="326" w:lineRule="auto"/>
              <w:rPr>
                <w:rFonts w:ascii="Arial"/>
              </w:rPr>
            </w:pPr>
          </w:p>
          <w:p w14:paraId="034EAF2C">
            <w:pPr>
              <w:pStyle w:val="234"/>
              <w:spacing w:before="62" w:line="289" w:lineRule="auto"/>
              <w:ind w:left="16" w:right="8" w:firstLine="2"/>
              <w:rPr>
                <w:rFonts w:hint="eastAsia"/>
              </w:rPr>
            </w:pPr>
            <w:r>
              <w:rPr>
                <w:spacing w:val="4"/>
              </w:rPr>
              <w:t>★A020911</w:t>
            </w:r>
            <w:r>
              <w:rPr>
                <w:spacing w:val="-44"/>
              </w:rPr>
              <w:t xml:space="preserve"> </w:t>
            </w:r>
            <w:r>
              <w:rPr>
                <w:spacing w:val="4"/>
              </w:rPr>
              <w:t>视</w:t>
            </w:r>
            <w:r>
              <w:t xml:space="preserve"> </w:t>
            </w:r>
            <w:r>
              <w:rPr>
                <w:spacing w:val="6"/>
              </w:rPr>
              <w:t>频设备</w:t>
            </w:r>
          </w:p>
        </w:tc>
        <w:tc>
          <w:tcPr>
            <w:tcW w:w="1799" w:type="dxa"/>
          </w:tcPr>
          <w:p w14:paraId="7CA2DDDB">
            <w:pPr>
              <w:spacing w:line="325" w:lineRule="auto"/>
              <w:rPr>
                <w:rFonts w:ascii="Arial"/>
              </w:rPr>
            </w:pPr>
          </w:p>
          <w:p w14:paraId="0F262794">
            <w:pPr>
              <w:spacing w:line="326" w:lineRule="auto"/>
              <w:rPr>
                <w:rFonts w:ascii="Arial"/>
              </w:rPr>
            </w:pPr>
          </w:p>
          <w:p w14:paraId="45C91D7A">
            <w:pPr>
              <w:pStyle w:val="234"/>
              <w:spacing w:before="62" w:line="289" w:lineRule="auto"/>
              <w:ind w:left="18" w:right="10" w:hanging="9"/>
              <w:rPr>
                <w:rFonts w:hint="eastAsia"/>
              </w:rPr>
            </w:pPr>
            <w:r>
              <w:rPr>
                <w:spacing w:val="4"/>
              </w:rPr>
              <w:t>A02091107 视频监控</w:t>
            </w:r>
            <w:r>
              <w:rPr>
                <w:spacing w:val="7"/>
              </w:rPr>
              <w:t xml:space="preserve"> </w:t>
            </w:r>
            <w:r>
              <w:rPr>
                <w:spacing w:val="3"/>
              </w:rPr>
              <w:t>设备</w:t>
            </w:r>
          </w:p>
        </w:tc>
        <w:tc>
          <w:tcPr>
            <w:tcW w:w="1914" w:type="dxa"/>
          </w:tcPr>
          <w:p w14:paraId="4F7C9A73">
            <w:pPr>
              <w:spacing w:line="268" w:lineRule="auto"/>
              <w:rPr>
                <w:rFonts w:ascii="Arial"/>
              </w:rPr>
            </w:pPr>
          </w:p>
          <w:p w14:paraId="7A3E1267">
            <w:pPr>
              <w:spacing w:line="269" w:lineRule="auto"/>
              <w:rPr>
                <w:rFonts w:ascii="Arial"/>
              </w:rPr>
            </w:pPr>
          </w:p>
          <w:p w14:paraId="3A54F773">
            <w:pPr>
              <w:spacing w:line="269" w:lineRule="auto"/>
              <w:rPr>
                <w:rFonts w:ascii="Arial"/>
              </w:rPr>
            </w:pPr>
          </w:p>
          <w:p w14:paraId="68A5BE55">
            <w:pPr>
              <w:pStyle w:val="234"/>
              <w:spacing w:before="62" w:line="230" w:lineRule="auto"/>
              <w:ind w:left="17"/>
              <w:rPr>
                <w:rFonts w:hint="eastAsia"/>
              </w:rPr>
            </w:pPr>
            <w:r>
              <w:rPr>
                <w:spacing w:val="6"/>
              </w:rPr>
              <w:t>监视器</w:t>
            </w:r>
          </w:p>
        </w:tc>
        <w:tc>
          <w:tcPr>
            <w:tcW w:w="2969" w:type="dxa"/>
          </w:tcPr>
          <w:p w14:paraId="3983AEA0">
            <w:pPr>
              <w:pStyle w:val="234"/>
              <w:spacing w:before="94" w:line="293" w:lineRule="auto"/>
              <w:ind w:left="17" w:right="11" w:firstLine="23"/>
              <w:rPr>
                <w:rFonts w:hint="eastAsia"/>
                <w:lang w:eastAsia="zh-CN"/>
              </w:rPr>
            </w:pPr>
            <w:r>
              <w:rPr>
                <w:spacing w:val="18"/>
                <w:lang w:eastAsia="zh-CN"/>
              </w:rPr>
              <w:t>以射频信号为主要信号输入的监</w:t>
            </w:r>
            <w:r>
              <w:rPr>
                <w:lang w:eastAsia="zh-CN"/>
              </w:rPr>
              <w:t xml:space="preserve"> </w:t>
            </w:r>
            <w:r>
              <w:rPr>
                <w:spacing w:val="5"/>
                <w:lang w:eastAsia="zh-CN"/>
              </w:rPr>
              <w:t>视器应符合《平板电视能效限定值</w:t>
            </w:r>
            <w:r>
              <w:rPr>
                <w:spacing w:val="7"/>
                <w:lang w:eastAsia="zh-CN"/>
              </w:rPr>
              <w:t xml:space="preserve"> </w:t>
            </w:r>
            <w:r>
              <w:rPr>
                <w:spacing w:val="8"/>
                <w:lang w:eastAsia="zh-CN"/>
              </w:rPr>
              <w:t>及能效等级》（</w:t>
            </w:r>
            <w:r>
              <w:rPr>
                <w:lang w:eastAsia="zh-CN"/>
              </w:rPr>
              <w:t>GB</w:t>
            </w:r>
            <w:r>
              <w:rPr>
                <w:spacing w:val="8"/>
                <w:lang w:eastAsia="zh-CN"/>
              </w:rPr>
              <w:t xml:space="preserve"> 24850</w:t>
            </w:r>
            <w:r>
              <w:rPr>
                <w:lang w:eastAsia="zh-CN"/>
              </w:rPr>
              <w:t>），</w:t>
            </w:r>
          </w:p>
          <w:p w14:paraId="0BCF119C">
            <w:pPr>
              <w:pStyle w:val="234"/>
              <w:spacing w:before="31" w:line="290" w:lineRule="auto"/>
              <w:ind w:left="17" w:right="11" w:firstLine="23"/>
              <w:rPr>
                <w:rFonts w:hint="eastAsia"/>
                <w:lang w:eastAsia="zh-CN"/>
              </w:rPr>
            </w:pPr>
            <w:r>
              <w:rPr>
                <w:spacing w:val="18"/>
                <w:lang w:eastAsia="zh-CN"/>
              </w:rPr>
              <w:t>以数字信号为主要信号输入的监</w:t>
            </w:r>
            <w:r>
              <w:rPr>
                <w:lang w:eastAsia="zh-CN"/>
              </w:rPr>
              <w:t xml:space="preserve"> </w:t>
            </w:r>
            <w:r>
              <w:rPr>
                <w:spacing w:val="5"/>
                <w:lang w:eastAsia="zh-CN"/>
              </w:rPr>
              <w:t>视器应符合《计算机显示器能效限</w:t>
            </w:r>
            <w:r>
              <w:rPr>
                <w:spacing w:val="7"/>
                <w:lang w:eastAsia="zh-CN"/>
              </w:rPr>
              <w:t xml:space="preserve"> 定值及能效等级》（</w:t>
            </w:r>
            <w:r>
              <w:rPr>
                <w:lang w:eastAsia="zh-CN"/>
              </w:rPr>
              <w:t>GB</w:t>
            </w:r>
            <w:r>
              <w:rPr>
                <w:spacing w:val="7"/>
                <w:lang w:eastAsia="zh-CN"/>
              </w:rPr>
              <w:t xml:space="preserve"> 21520）</w:t>
            </w:r>
          </w:p>
        </w:tc>
      </w:tr>
      <w:tr w14:paraId="23D750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82" w:hRule="atLeast"/>
          <w:jc w:val="center"/>
        </w:trPr>
        <w:tc>
          <w:tcPr>
            <w:tcW w:w="578" w:type="dxa"/>
          </w:tcPr>
          <w:p w14:paraId="2815EBA8">
            <w:pPr>
              <w:spacing w:line="265" w:lineRule="auto"/>
              <w:rPr>
                <w:rFonts w:ascii="Arial"/>
              </w:rPr>
            </w:pPr>
          </w:p>
          <w:p w14:paraId="6BFE5A1B">
            <w:pPr>
              <w:pStyle w:val="234"/>
              <w:spacing w:before="62" w:line="190" w:lineRule="auto"/>
              <w:ind w:left="209"/>
              <w:rPr>
                <w:rFonts w:hint="eastAsia"/>
              </w:rPr>
            </w:pPr>
            <w:r>
              <w:rPr>
                <w:spacing w:val="-7"/>
              </w:rPr>
              <w:t>14</w:t>
            </w:r>
          </w:p>
        </w:tc>
        <w:tc>
          <w:tcPr>
            <w:tcW w:w="1166" w:type="dxa"/>
          </w:tcPr>
          <w:p w14:paraId="17D3A1FE">
            <w:pPr>
              <w:pStyle w:val="234"/>
              <w:spacing w:before="141" w:line="288" w:lineRule="auto"/>
              <w:ind w:left="15" w:right="8" w:hanging="6"/>
              <w:rPr>
                <w:rFonts w:hint="eastAsia"/>
              </w:rPr>
            </w:pPr>
            <w:r>
              <w:rPr>
                <w:spacing w:val="5"/>
              </w:rPr>
              <w:t>A031210</w:t>
            </w:r>
            <w:r>
              <w:rPr>
                <w:spacing w:val="-43"/>
              </w:rPr>
              <w:t xml:space="preserve"> </w:t>
            </w:r>
            <w:r>
              <w:rPr>
                <w:spacing w:val="5"/>
              </w:rPr>
              <w:t>饮食</w:t>
            </w:r>
            <w:r>
              <w:t xml:space="preserve"> </w:t>
            </w:r>
            <w:r>
              <w:rPr>
                <w:spacing w:val="7"/>
              </w:rPr>
              <w:t>炊事机械</w:t>
            </w:r>
          </w:p>
        </w:tc>
        <w:tc>
          <w:tcPr>
            <w:tcW w:w="1799" w:type="dxa"/>
          </w:tcPr>
          <w:p w14:paraId="2CFA3B35">
            <w:pPr>
              <w:pStyle w:val="234"/>
              <w:spacing w:before="297" w:line="230" w:lineRule="auto"/>
              <w:ind w:left="19"/>
              <w:rPr>
                <w:rFonts w:hint="eastAsia"/>
              </w:rPr>
            </w:pPr>
            <w:r>
              <w:rPr>
                <w:spacing w:val="7"/>
              </w:rPr>
              <w:t>商用燃气灶具</w:t>
            </w:r>
          </w:p>
        </w:tc>
        <w:tc>
          <w:tcPr>
            <w:tcW w:w="1914" w:type="dxa"/>
          </w:tcPr>
          <w:p w14:paraId="16BE20FF">
            <w:pPr>
              <w:rPr>
                <w:rFonts w:ascii="Arial"/>
              </w:rPr>
            </w:pPr>
          </w:p>
        </w:tc>
        <w:tc>
          <w:tcPr>
            <w:tcW w:w="2969" w:type="dxa"/>
          </w:tcPr>
          <w:p w14:paraId="170487B8">
            <w:pPr>
              <w:pStyle w:val="234"/>
              <w:spacing w:before="142" w:line="288" w:lineRule="auto"/>
              <w:ind w:left="22" w:right="11"/>
              <w:rPr>
                <w:rFonts w:hint="eastAsia"/>
                <w:lang w:eastAsia="zh-CN"/>
              </w:rPr>
            </w:pPr>
            <w:r>
              <w:rPr>
                <w:spacing w:val="19"/>
                <w:lang w:eastAsia="zh-CN"/>
              </w:rPr>
              <w:t>《商用燃气灶具能效限定值及能</w:t>
            </w:r>
            <w:r>
              <w:rPr>
                <w:spacing w:val="2"/>
                <w:lang w:eastAsia="zh-CN"/>
              </w:rPr>
              <w:t xml:space="preserve"> </w:t>
            </w:r>
            <w:r>
              <w:rPr>
                <w:spacing w:val="6"/>
                <w:lang w:eastAsia="zh-CN"/>
              </w:rPr>
              <w:t>效等级》（</w:t>
            </w:r>
            <w:r>
              <w:rPr>
                <w:lang w:eastAsia="zh-CN"/>
              </w:rPr>
              <w:t>GB</w:t>
            </w:r>
            <w:r>
              <w:rPr>
                <w:spacing w:val="6"/>
                <w:lang w:eastAsia="zh-CN"/>
              </w:rPr>
              <w:t xml:space="preserve"> 30531）</w:t>
            </w:r>
          </w:p>
        </w:tc>
      </w:tr>
      <w:tr w14:paraId="28F023B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578" w:type="dxa"/>
            <w:vMerge w:val="restart"/>
            <w:tcBorders>
              <w:bottom w:val="nil"/>
            </w:tcBorders>
          </w:tcPr>
          <w:p w14:paraId="16322A25">
            <w:pPr>
              <w:spacing w:line="298" w:lineRule="auto"/>
              <w:rPr>
                <w:rFonts w:ascii="Arial"/>
              </w:rPr>
            </w:pPr>
          </w:p>
          <w:p w14:paraId="1D878FAE">
            <w:pPr>
              <w:spacing w:line="298" w:lineRule="auto"/>
              <w:rPr>
                <w:rFonts w:ascii="Arial"/>
              </w:rPr>
            </w:pPr>
          </w:p>
          <w:p w14:paraId="749FCF90">
            <w:pPr>
              <w:spacing w:line="298" w:lineRule="auto"/>
              <w:rPr>
                <w:rFonts w:ascii="Arial"/>
              </w:rPr>
            </w:pPr>
          </w:p>
          <w:p w14:paraId="31EAC0D9">
            <w:pPr>
              <w:spacing w:line="299" w:lineRule="auto"/>
              <w:rPr>
                <w:rFonts w:ascii="Arial"/>
              </w:rPr>
            </w:pPr>
          </w:p>
          <w:p w14:paraId="15F5104A">
            <w:pPr>
              <w:pStyle w:val="234"/>
              <w:spacing w:before="62" w:line="190" w:lineRule="auto"/>
              <w:ind w:left="209"/>
              <w:rPr>
                <w:rFonts w:hint="eastAsia"/>
              </w:rPr>
            </w:pPr>
            <w:r>
              <w:rPr>
                <w:spacing w:val="-7"/>
              </w:rPr>
              <w:t>15</w:t>
            </w:r>
          </w:p>
        </w:tc>
        <w:tc>
          <w:tcPr>
            <w:tcW w:w="1166" w:type="dxa"/>
            <w:vMerge w:val="restart"/>
            <w:tcBorders>
              <w:bottom w:val="nil"/>
            </w:tcBorders>
          </w:tcPr>
          <w:p w14:paraId="757E96FC">
            <w:pPr>
              <w:spacing w:line="251" w:lineRule="auto"/>
              <w:rPr>
                <w:rFonts w:ascii="Arial"/>
              </w:rPr>
            </w:pPr>
          </w:p>
          <w:p w14:paraId="147332EB">
            <w:pPr>
              <w:spacing w:line="251" w:lineRule="auto"/>
              <w:rPr>
                <w:rFonts w:ascii="Arial"/>
              </w:rPr>
            </w:pPr>
          </w:p>
          <w:p w14:paraId="22750E1B">
            <w:pPr>
              <w:spacing w:line="252" w:lineRule="auto"/>
              <w:rPr>
                <w:rFonts w:ascii="Arial"/>
              </w:rPr>
            </w:pPr>
          </w:p>
          <w:p w14:paraId="7FAAE624">
            <w:pPr>
              <w:pStyle w:val="234"/>
              <w:spacing w:before="62" w:line="291" w:lineRule="auto"/>
              <w:ind w:left="15" w:right="8" w:firstLine="3"/>
              <w:rPr>
                <w:rFonts w:hint="eastAsia"/>
              </w:rPr>
            </w:pPr>
            <w:r>
              <w:rPr>
                <w:spacing w:val="3"/>
              </w:rPr>
              <w:t>★A060805</w:t>
            </w:r>
            <w:r>
              <w:rPr>
                <w:spacing w:val="-35"/>
              </w:rPr>
              <w:t xml:space="preserve"> </w:t>
            </w:r>
            <w:r>
              <w:rPr>
                <w:spacing w:val="3"/>
              </w:rPr>
              <w:t>便</w:t>
            </w:r>
            <w:r>
              <w:t xml:space="preserve"> </w:t>
            </w:r>
            <w:r>
              <w:rPr>
                <w:spacing w:val="1"/>
              </w:rPr>
              <w:t>器</w:t>
            </w:r>
          </w:p>
        </w:tc>
        <w:tc>
          <w:tcPr>
            <w:tcW w:w="1799" w:type="dxa"/>
          </w:tcPr>
          <w:p w14:paraId="5A4BE617">
            <w:pPr>
              <w:spacing w:line="282" w:lineRule="auto"/>
              <w:rPr>
                <w:rFonts w:ascii="Arial"/>
              </w:rPr>
            </w:pPr>
          </w:p>
          <w:p w14:paraId="2CC6F9AA">
            <w:pPr>
              <w:pStyle w:val="234"/>
              <w:spacing w:before="62" w:line="229" w:lineRule="auto"/>
              <w:ind w:left="16"/>
              <w:rPr>
                <w:rFonts w:hint="eastAsia"/>
              </w:rPr>
            </w:pPr>
            <w:r>
              <w:rPr>
                <w:spacing w:val="6"/>
              </w:rPr>
              <w:t>坐便器</w:t>
            </w:r>
          </w:p>
        </w:tc>
        <w:tc>
          <w:tcPr>
            <w:tcW w:w="1914" w:type="dxa"/>
          </w:tcPr>
          <w:p w14:paraId="6864CB84">
            <w:pPr>
              <w:rPr>
                <w:rFonts w:ascii="Arial"/>
              </w:rPr>
            </w:pPr>
          </w:p>
        </w:tc>
        <w:tc>
          <w:tcPr>
            <w:tcW w:w="2969" w:type="dxa"/>
          </w:tcPr>
          <w:p w14:paraId="7DE08235">
            <w:pPr>
              <w:pStyle w:val="234"/>
              <w:spacing w:before="189" w:line="295" w:lineRule="auto"/>
              <w:ind w:left="27" w:hanging="4"/>
              <w:rPr>
                <w:rFonts w:hint="eastAsia"/>
                <w:lang w:eastAsia="zh-CN"/>
              </w:rPr>
            </w:pPr>
            <w:r>
              <w:rPr>
                <w:spacing w:val="6"/>
                <w:lang w:eastAsia="zh-CN"/>
              </w:rPr>
              <w:t>《坐便器水效限定值及水效等级》</w:t>
            </w:r>
            <w:r>
              <w:rPr>
                <w:lang w:eastAsia="zh-CN"/>
              </w:rPr>
              <w:t xml:space="preserve"> </w:t>
            </w:r>
            <w:r>
              <w:rPr>
                <w:spacing w:val="1"/>
                <w:lang w:eastAsia="zh-CN"/>
              </w:rPr>
              <w:t>（</w:t>
            </w:r>
            <w:r>
              <w:rPr>
                <w:lang w:eastAsia="zh-CN"/>
              </w:rPr>
              <w:t>GB</w:t>
            </w:r>
            <w:r>
              <w:rPr>
                <w:spacing w:val="15"/>
                <w:lang w:eastAsia="zh-CN"/>
              </w:rPr>
              <w:t xml:space="preserve"> </w:t>
            </w:r>
            <w:r>
              <w:rPr>
                <w:spacing w:val="1"/>
                <w:lang w:eastAsia="zh-CN"/>
              </w:rPr>
              <w:t>25502）</w:t>
            </w:r>
          </w:p>
        </w:tc>
      </w:tr>
      <w:tr w14:paraId="173E45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0" w:hRule="atLeast"/>
          <w:jc w:val="center"/>
        </w:trPr>
        <w:tc>
          <w:tcPr>
            <w:tcW w:w="578" w:type="dxa"/>
            <w:vMerge w:val="continue"/>
            <w:tcBorders>
              <w:top w:val="nil"/>
              <w:bottom w:val="nil"/>
            </w:tcBorders>
          </w:tcPr>
          <w:p w14:paraId="1F97E680">
            <w:pPr>
              <w:rPr>
                <w:rFonts w:ascii="Arial"/>
              </w:rPr>
            </w:pPr>
          </w:p>
        </w:tc>
        <w:tc>
          <w:tcPr>
            <w:tcW w:w="1166" w:type="dxa"/>
            <w:vMerge w:val="continue"/>
            <w:tcBorders>
              <w:top w:val="nil"/>
              <w:bottom w:val="nil"/>
            </w:tcBorders>
          </w:tcPr>
          <w:p w14:paraId="21727200">
            <w:pPr>
              <w:rPr>
                <w:rFonts w:ascii="Arial"/>
              </w:rPr>
            </w:pPr>
          </w:p>
        </w:tc>
        <w:tc>
          <w:tcPr>
            <w:tcW w:w="1799" w:type="dxa"/>
          </w:tcPr>
          <w:p w14:paraId="3E8C3800">
            <w:pPr>
              <w:spacing w:line="283" w:lineRule="auto"/>
              <w:rPr>
                <w:rFonts w:ascii="Arial"/>
              </w:rPr>
            </w:pPr>
          </w:p>
          <w:p w14:paraId="244D3536">
            <w:pPr>
              <w:pStyle w:val="234"/>
              <w:spacing w:before="62" w:line="229" w:lineRule="auto"/>
              <w:ind w:left="14"/>
              <w:rPr>
                <w:rFonts w:hint="eastAsia"/>
              </w:rPr>
            </w:pPr>
            <w:r>
              <w:rPr>
                <w:spacing w:val="6"/>
              </w:rPr>
              <w:t>蹲便器</w:t>
            </w:r>
          </w:p>
        </w:tc>
        <w:tc>
          <w:tcPr>
            <w:tcW w:w="1914" w:type="dxa"/>
          </w:tcPr>
          <w:p w14:paraId="40FF30F5">
            <w:pPr>
              <w:rPr>
                <w:rFonts w:ascii="Arial"/>
              </w:rPr>
            </w:pPr>
          </w:p>
        </w:tc>
        <w:tc>
          <w:tcPr>
            <w:tcW w:w="2969" w:type="dxa"/>
          </w:tcPr>
          <w:p w14:paraId="190606C4">
            <w:pPr>
              <w:pStyle w:val="234"/>
              <w:spacing w:before="191" w:line="288" w:lineRule="auto"/>
              <w:ind w:left="22" w:right="11"/>
              <w:rPr>
                <w:rFonts w:hint="eastAsia"/>
                <w:lang w:eastAsia="zh-CN"/>
              </w:rPr>
            </w:pPr>
            <w:r>
              <w:rPr>
                <w:spacing w:val="19"/>
                <w:lang w:eastAsia="zh-CN"/>
              </w:rPr>
              <w:t>《蹲便器用水效率限定值及用水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30717）</w:t>
            </w:r>
          </w:p>
        </w:tc>
      </w:tr>
      <w:tr w14:paraId="334A76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88" w:hRule="atLeast"/>
          <w:jc w:val="center"/>
        </w:trPr>
        <w:tc>
          <w:tcPr>
            <w:tcW w:w="578" w:type="dxa"/>
            <w:vMerge w:val="continue"/>
            <w:tcBorders>
              <w:top w:val="nil"/>
            </w:tcBorders>
          </w:tcPr>
          <w:p w14:paraId="4B0D5BD4">
            <w:pPr>
              <w:rPr>
                <w:rFonts w:ascii="Arial"/>
              </w:rPr>
            </w:pPr>
          </w:p>
        </w:tc>
        <w:tc>
          <w:tcPr>
            <w:tcW w:w="1166" w:type="dxa"/>
            <w:vMerge w:val="continue"/>
            <w:tcBorders>
              <w:top w:val="nil"/>
            </w:tcBorders>
          </w:tcPr>
          <w:p w14:paraId="5A88BFD6">
            <w:pPr>
              <w:rPr>
                <w:rFonts w:ascii="Arial"/>
              </w:rPr>
            </w:pPr>
          </w:p>
        </w:tc>
        <w:tc>
          <w:tcPr>
            <w:tcW w:w="1799" w:type="dxa"/>
          </w:tcPr>
          <w:p w14:paraId="4B345D31">
            <w:pPr>
              <w:spacing w:line="284" w:lineRule="auto"/>
              <w:rPr>
                <w:rFonts w:ascii="Arial"/>
              </w:rPr>
            </w:pPr>
          </w:p>
          <w:p w14:paraId="32E80295">
            <w:pPr>
              <w:pStyle w:val="234"/>
              <w:spacing w:before="61" w:line="229" w:lineRule="auto"/>
              <w:ind w:left="20"/>
              <w:rPr>
                <w:rFonts w:hint="eastAsia"/>
              </w:rPr>
            </w:pPr>
            <w:r>
              <w:rPr>
                <w:spacing w:val="4"/>
              </w:rPr>
              <w:t>小便器</w:t>
            </w:r>
          </w:p>
        </w:tc>
        <w:tc>
          <w:tcPr>
            <w:tcW w:w="1914" w:type="dxa"/>
          </w:tcPr>
          <w:p w14:paraId="09B7E98C">
            <w:pPr>
              <w:rPr>
                <w:rFonts w:ascii="Arial"/>
              </w:rPr>
            </w:pPr>
          </w:p>
        </w:tc>
        <w:tc>
          <w:tcPr>
            <w:tcW w:w="2969" w:type="dxa"/>
          </w:tcPr>
          <w:p w14:paraId="6F87440C">
            <w:pPr>
              <w:pStyle w:val="234"/>
              <w:spacing w:before="191" w:line="288" w:lineRule="auto"/>
              <w:ind w:left="22" w:right="11"/>
              <w:rPr>
                <w:rFonts w:hint="eastAsia"/>
                <w:lang w:eastAsia="zh-CN"/>
              </w:rPr>
            </w:pPr>
            <w:r>
              <w:rPr>
                <w:spacing w:val="19"/>
                <w:lang w:eastAsia="zh-CN"/>
              </w:rPr>
              <w:t>《小便器用水效率限定值及用水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28377）</w:t>
            </w:r>
          </w:p>
        </w:tc>
      </w:tr>
    </w:tbl>
    <w:p w14:paraId="4AA917DA">
      <w:pPr>
        <w:rPr>
          <w:rFonts w:ascii="Arial"/>
        </w:rPr>
      </w:pPr>
    </w:p>
    <w:p w14:paraId="09E52029">
      <w:pPr>
        <w:rPr>
          <w:rFonts w:ascii="Arial" w:hAnsi="Arial" w:eastAsia="Arial" w:cs="Arial"/>
          <w:szCs w:val="21"/>
        </w:rPr>
        <w:sectPr>
          <w:pgSz w:w="11906" w:h="16838"/>
          <w:pgMar w:top="1431" w:right="1691" w:bottom="0" w:left="1783" w:header="0" w:footer="0" w:gutter="0"/>
          <w:cols w:space="720" w:num="1"/>
        </w:sectPr>
      </w:pPr>
    </w:p>
    <w:p w14:paraId="5A78266A">
      <w:pPr>
        <w:spacing w:line="91" w:lineRule="auto"/>
        <w:rPr>
          <w:rFonts w:ascii="Arial"/>
          <w:sz w:val="2"/>
        </w:rPr>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32"/>
        <w:gridCol w:w="1275"/>
        <w:gridCol w:w="1967"/>
        <w:gridCol w:w="2093"/>
        <w:gridCol w:w="3247"/>
      </w:tblGrid>
      <w:tr w14:paraId="1F3E16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jc w:val="center"/>
        </w:trPr>
        <w:tc>
          <w:tcPr>
            <w:tcW w:w="578" w:type="dxa"/>
          </w:tcPr>
          <w:p w14:paraId="4E66931D">
            <w:pPr>
              <w:spacing w:line="342" w:lineRule="auto"/>
              <w:rPr>
                <w:rFonts w:ascii="Arial"/>
              </w:rPr>
            </w:pPr>
          </w:p>
          <w:p w14:paraId="50269ADF">
            <w:pPr>
              <w:pStyle w:val="234"/>
              <w:spacing w:before="62" w:line="190" w:lineRule="auto"/>
              <w:ind w:left="209"/>
              <w:rPr>
                <w:rFonts w:hint="eastAsia"/>
              </w:rPr>
            </w:pPr>
            <w:r>
              <w:rPr>
                <w:spacing w:val="-7"/>
              </w:rPr>
              <w:t>16</w:t>
            </w:r>
          </w:p>
        </w:tc>
        <w:tc>
          <w:tcPr>
            <w:tcW w:w="1166" w:type="dxa"/>
          </w:tcPr>
          <w:p w14:paraId="741046F5">
            <w:pPr>
              <w:pStyle w:val="234"/>
              <w:spacing w:before="220" w:line="288" w:lineRule="auto"/>
              <w:ind w:left="22" w:right="8" w:hanging="4"/>
              <w:rPr>
                <w:rFonts w:hint="eastAsia"/>
              </w:rPr>
            </w:pPr>
            <w:r>
              <w:rPr>
                <w:spacing w:val="3"/>
              </w:rPr>
              <w:t>★A060806</w:t>
            </w:r>
            <w:r>
              <w:rPr>
                <w:spacing w:val="-35"/>
              </w:rPr>
              <w:t xml:space="preserve"> </w:t>
            </w:r>
            <w:r>
              <w:rPr>
                <w:spacing w:val="3"/>
              </w:rPr>
              <w:t>水</w:t>
            </w:r>
            <w:r>
              <w:t xml:space="preserve"> 嘴</w:t>
            </w:r>
          </w:p>
        </w:tc>
        <w:tc>
          <w:tcPr>
            <w:tcW w:w="1799" w:type="dxa"/>
          </w:tcPr>
          <w:p w14:paraId="2F7F1F10">
            <w:pPr>
              <w:rPr>
                <w:rFonts w:ascii="Arial"/>
              </w:rPr>
            </w:pPr>
          </w:p>
        </w:tc>
        <w:tc>
          <w:tcPr>
            <w:tcW w:w="1914" w:type="dxa"/>
          </w:tcPr>
          <w:p w14:paraId="3AD77E9B">
            <w:pPr>
              <w:rPr>
                <w:rFonts w:ascii="Arial"/>
              </w:rPr>
            </w:pPr>
          </w:p>
        </w:tc>
        <w:tc>
          <w:tcPr>
            <w:tcW w:w="2969" w:type="dxa"/>
          </w:tcPr>
          <w:p w14:paraId="7820D952">
            <w:pPr>
              <w:pStyle w:val="234"/>
              <w:spacing w:before="220" w:line="288" w:lineRule="auto"/>
              <w:ind w:left="19" w:right="11" w:firstLine="3"/>
              <w:rPr>
                <w:rFonts w:hint="eastAsia"/>
                <w:lang w:eastAsia="zh-CN"/>
              </w:rPr>
            </w:pPr>
            <w:r>
              <w:rPr>
                <w:spacing w:val="19"/>
                <w:lang w:eastAsia="zh-CN"/>
              </w:rPr>
              <w:t>《水嘴用水效率限定值及用水效</w:t>
            </w:r>
            <w:r>
              <w:rPr>
                <w:spacing w:val="2"/>
                <w:lang w:eastAsia="zh-CN"/>
              </w:rPr>
              <w:t xml:space="preserve"> </w:t>
            </w:r>
            <w:r>
              <w:rPr>
                <w:spacing w:val="6"/>
                <w:lang w:eastAsia="zh-CN"/>
              </w:rPr>
              <w:t>率等级》（</w:t>
            </w:r>
            <w:r>
              <w:rPr>
                <w:lang w:eastAsia="zh-CN"/>
              </w:rPr>
              <w:t>GB</w:t>
            </w:r>
            <w:r>
              <w:rPr>
                <w:spacing w:val="6"/>
                <w:lang w:eastAsia="zh-CN"/>
              </w:rPr>
              <w:t xml:space="preserve"> 25501）</w:t>
            </w:r>
          </w:p>
        </w:tc>
      </w:tr>
      <w:tr w14:paraId="1310E6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55" w:hRule="atLeast"/>
          <w:jc w:val="center"/>
        </w:trPr>
        <w:tc>
          <w:tcPr>
            <w:tcW w:w="578" w:type="dxa"/>
          </w:tcPr>
          <w:p w14:paraId="2C0155FD">
            <w:pPr>
              <w:spacing w:line="299" w:lineRule="auto"/>
              <w:rPr>
                <w:rFonts w:ascii="Arial"/>
              </w:rPr>
            </w:pPr>
          </w:p>
          <w:p w14:paraId="4A4C9BFB">
            <w:pPr>
              <w:pStyle w:val="234"/>
              <w:spacing w:before="62" w:line="190" w:lineRule="auto"/>
              <w:ind w:left="209"/>
              <w:rPr>
                <w:rFonts w:hint="eastAsia"/>
              </w:rPr>
            </w:pPr>
            <w:r>
              <w:rPr>
                <w:spacing w:val="-7"/>
              </w:rPr>
              <w:t>17</w:t>
            </w:r>
          </w:p>
        </w:tc>
        <w:tc>
          <w:tcPr>
            <w:tcW w:w="1166" w:type="dxa"/>
          </w:tcPr>
          <w:p w14:paraId="7808DA8D">
            <w:pPr>
              <w:pStyle w:val="234"/>
              <w:spacing w:before="176" w:line="289" w:lineRule="auto"/>
              <w:ind w:left="15" w:right="8" w:hanging="6"/>
              <w:rPr>
                <w:rFonts w:hint="eastAsia"/>
              </w:rPr>
            </w:pPr>
            <w:r>
              <w:rPr>
                <w:spacing w:val="5"/>
              </w:rPr>
              <w:t>A060807</w:t>
            </w:r>
            <w:r>
              <w:rPr>
                <w:spacing w:val="-43"/>
              </w:rPr>
              <w:t xml:space="preserve"> </w:t>
            </w:r>
            <w:r>
              <w:rPr>
                <w:spacing w:val="5"/>
              </w:rPr>
              <w:t>便器</w:t>
            </w:r>
            <w:r>
              <w:t xml:space="preserve"> </w:t>
            </w:r>
            <w:r>
              <w:rPr>
                <w:spacing w:val="6"/>
              </w:rPr>
              <w:t>冲洗阀</w:t>
            </w:r>
          </w:p>
        </w:tc>
        <w:tc>
          <w:tcPr>
            <w:tcW w:w="1799" w:type="dxa"/>
          </w:tcPr>
          <w:p w14:paraId="06B5426C">
            <w:pPr>
              <w:rPr>
                <w:rFonts w:ascii="Arial"/>
              </w:rPr>
            </w:pPr>
          </w:p>
        </w:tc>
        <w:tc>
          <w:tcPr>
            <w:tcW w:w="1914" w:type="dxa"/>
          </w:tcPr>
          <w:p w14:paraId="72C1CBA0">
            <w:pPr>
              <w:rPr>
                <w:rFonts w:ascii="Arial"/>
              </w:rPr>
            </w:pPr>
          </w:p>
        </w:tc>
        <w:tc>
          <w:tcPr>
            <w:tcW w:w="2969" w:type="dxa"/>
          </w:tcPr>
          <w:p w14:paraId="0FADA147">
            <w:pPr>
              <w:pStyle w:val="234"/>
              <w:spacing w:before="176" w:line="288" w:lineRule="auto"/>
              <w:ind w:left="19" w:right="11" w:firstLine="3"/>
              <w:rPr>
                <w:rFonts w:hint="eastAsia"/>
                <w:lang w:eastAsia="zh-CN"/>
              </w:rPr>
            </w:pPr>
            <w:r>
              <w:rPr>
                <w:spacing w:val="19"/>
                <w:lang w:eastAsia="zh-CN"/>
              </w:rPr>
              <w:t>《便器冲洗阀用水效率限定值及</w:t>
            </w:r>
            <w:r>
              <w:rPr>
                <w:spacing w:val="2"/>
                <w:lang w:eastAsia="zh-CN"/>
              </w:rPr>
              <w:t xml:space="preserve"> </w:t>
            </w:r>
            <w:r>
              <w:rPr>
                <w:spacing w:val="7"/>
                <w:lang w:eastAsia="zh-CN"/>
              </w:rPr>
              <w:t>用水效率等级》（</w:t>
            </w:r>
            <w:r>
              <w:rPr>
                <w:lang w:eastAsia="zh-CN"/>
              </w:rPr>
              <w:t>GB</w:t>
            </w:r>
            <w:r>
              <w:rPr>
                <w:spacing w:val="7"/>
                <w:lang w:eastAsia="zh-CN"/>
              </w:rPr>
              <w:t xml:space="preserve"> 28379）</w:t>
            </w:r>
          </w:p>
        </w:tc>
      </w:tr>
      <w:tr w14:paraId="0282670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0" w:hRule="atLeast"/>
          <w:jc w:val="center"/>
        </w:trPr>
        <w:tc>
          <w:tcPr>
            <w:tcW w:w="578" w:type="dxa"/>
          </w:tcPr>
          <w:p w14:paraId="0A750CAB">
            <w:pPr>
              <w:spacing w:line="320" w:lineRule="auto"/>
              <w:rPr>
                <w:rFonts w:ascii="Arial"/>
              </w:rPr>
            </w:pPr>
          </w:p>
          <w:p w14:paraId="4773BCEF">
            <w:pPr>
              <w:pStyle w:val="234"/>
              <w:spacing w:before="61" w:line="190" w:lineRule="auto"/>
              <w:ind w:left="209"/>
              <w:rPr>
                <w:rFonts w:hint="eastAsia"/>
              </w:rPr>
            </w:pPr>
            <w:r>
              <w:rPr>
                <w:spacing w:val="-7"/>
              </w:rPr>
              <w:t>18</w:t>
            </w:r>
          </w:p>
        </w:tc>
        <w:tc>
          <w:tcPr>
            <w:tcW w:w="1166" w:type="dxa"/>
          </w:tcPr>
          <w:p w14:paraId="3E23FB3C">
            <w:pPr>
              <w:pStyle w:val="234"/>
              <w:spacing w:before="196" w:line="291" w:lineRule="auto"/>
              <w:ind w:left="15" w:right="8" w:hanging="6"/>
              <w:rPr>
                <w:rFonts w:hint="eastAsia"/>
              </w:rPr>
            </w:pPr>
            <w:r>
              <w:rPr>
                <w:spacing w:val="4"/>
              </w:rPr>
              <w:t>A060810</w:t>
            </w:r>
            <w:r>
              <w:rPr>
                <w:spacing w:val="-34"/>
              </w:rPr>
              <w:t xml:space="preserve"> </w:t>
            </w:r>
            <w:r>
              <w:rPr>
                <w:spacing w:val="4"/>
              </w:rPr>
              <w:t>淋浴</w:t>
            </w:r>
            <w:r>
              <w:t xml:space="preserve"> </w:t>
            </w:r>
            <w:r>
              <w:rPr>
                <w:spacing w:val="1"/>
              </w:rPr>
              <w:t>器</w:t>
            </w:r>
          </w:p>
        </w:tc>
        <w:tc>
          <w:tcPr>
            <w:tcW w:w="1799" w:type="dxa"/>
          </w:tcPr>
          <w:p w14:paraId="056A018B">
            <w:pPr>
              <w:rPr>
                <w:rFonts w:ascii="Arial"/>
              </w:rPr>
            </w:pPr>
          </w:p>
        </w:tc>
        <w:tc>
          <w:tcPr>
            <w:tcW w:w="1914" w:type="dxa"/>
          </w:tcPr>
          <w:p w14:paraId="4EC9F5AE">
            <w:pPr>
              <w:rPr>
                <w:rFonts w:ascii="Arial"/>
              </w:rPr>
            </w:pPr>
          </w:p>
        </w:tc>
        <w:tc>
          <w:tcPr>
            <w:tcW w:w="2969" w:type="dxa"/>
          </w:tcPr>
          <w:p w14:paraId="34E2F94A">
            <w:pPr>
              <w:pStyle w:val="234"/>
              <w:spacing w:before="197" w:line="288" w:lineRule="auto"/>
              <w:ind w:left="22" w:right="11"/>
              <w:rPr>
                <w:rFonts w:hint="eastAsia"/>
                <w:lang w:eastAsia="zh-CN"/>
              </w:rPr>
            </w:pPr>
            <w:r>
              <w:rPr>
                <w:spacing w:val="19"/>
                <w:lang w:eastAsia="zh-CN"/>
              </w:rPr>
              <w:t>《淋浴器用水效率限定值及用水</w:t>
            </w:r>
            <w:r>
              <w:rPr>
                <w:spacing w:val="2"/>
                <w:lang w:eastAsia="zh-CN"/>
              </w:rPr>
              <w:t xml:space="preserve"> </w:t>
            </w:r>
            <w:r>
              <w:rPr>
                <w:spacing w:val="6"/>
                <w:lang w:eastAsia="zh-CN"/>
              </w:rPr>
              <w:t>效率等级》（</w:t>
            </w:r>
            <w:r>
              <w:rPr>
                <w:lang w:eastAsia="zh-CN"/>
              </w:rPr>
              <w:t>GB</w:t>
            </w:r>
            <w:r>
              <w:rPr>
                <w:spacing w:val="6"/>
                <w:lang w:eastAsia="zh-CN"/>
              </w:rPr>
              <w:t xml:space="preserve"> 28378）</w:t>
            </w:r>
          </w:p>
        </w:tc>
      </w:tr>
    </w:tbl>
    <w:p w14:paraId="5FB619AE">
      <w:pPr>
        <w:pStyle w:val="19"/>
        <w:spacing w:before="56" w:line="249" w:lineRule="auto"/>
        <w:ind w:left="27" w:hanging="2"/>
        <w:rPr>
          <w:rFonts w:hint="eastAsia" w:ascii="仿宋_GB2312" w:hAnsi="仿宋_GB2312" w:eastAsia="仿宋_GB2312" w:cs="仿宋_GB2312"/>
        </w:rPr>
      </w:pPr>
      <w:r>
        <w:rPr>
          <w:rFonts w:hint="eastAsia" w:ascii="仿宋_GB2312" w:hAnsi="仿宋_GB2312" w:eastAsia="仿宋_GB2312" w:cs="仿宋_GB2312"/>
          <w:spacing w:val="-2"/>
        </w:rPr>
        <w:t>注：1.节能产品认证应依据相关国家标准的最新版</w:t>
      </w:r>
      <w:r>
        <w:rPr>
          <w:rFonts w:hint="eastAsia" w:ascii="仿宋_GB2312" w:hAnsi="仿宋_GB2312" w:eastAsia="仿宋_GB2312" w:cs="仿宋_GB2312"/>
          <w:spacing w:val="-3"/>
        </w:rPr>
        <w:t>本，依据国家标准中二级能效（水效）</w:t>
      </w:r>
      <w:r>
        <w:rPr>
          <w:rFonts w:hint="eastAsia" w:ascii="仿宋_GB2312" w:hAnsi="仿宋_GB2312" w:eastAsia="仿宋_GB2312" w:cs="仿宋_GB2312"/>
        </w:rPr>
        <w:t xml:space="preserve"> </w:t>
      </w:r>
      <w:r>
        <w:rPr>
          <w:rFonts w:hint="eastAsia" w:ascii="仿宋_GB2312" w:hAnsi="仿宋_GB2312" w:eastAsia="仿宋_GB2312" w:cs="仿宋_GB2312"/>
          <w:spacing w:val="-4"/>
        </w:rPr>
        <w:t>指标。</w:t>
      </w:r>
    </w:p>
    <w:p w14:paraId="68040845">
      <w:pPr>
        <w:pStyle w:val="19"/>
        <w:spacing w:before="31" w:line="248" w:lineRule="auto"/>
        <w:ind w:left="25" w:right="97" w:firstLine="444"/>
        <w:rPr>
          <w:rFonts w:hint="eastAsia" w:ascii="仿宋_GB2312" w:hAnsi="仿宋_GB2312" w:eastAsia="仿宋_GB2312" w:cs="仿宋_GB2312"/>
        </w:rPr>
      </w:pPr>
      <w:r>
        <w:rPr>
          <w:rFonts w:hint="eastAsia" w:ascii="仿宋_GB2312" w:hAnsi="仿宋_GB2312" w:eastAsia="仿宋_GB2312" w:cs="仿宋_GB2312"/>
          <w:spacing w:val="1"/>
        </w:rPr>
        <w:t>2.上述产品中认证标准发生变更的，依据原认</w:t>
      </w:r>
      <w:r>
        <w:rPr>
          <w:rFonts w:hint="eastAsia" w:ascii="仿宋_GB2312" w:hAnsi="仿宋_GB2312" w:eastAsia="仿宋_GB2312" w:cs="仿宋_GB2312"/>
        </w:rPr>
        <w:t xml:space="preserve">证标准获得的、仍在有效期内的认证 </w:t>
      </w:r>
      <w:r>
        <w:rPr>
          <w:rFonts w:hint="eastAsia" w:ascii="仿宋_GB2312" w:hAnsi="仿宋_GB2312" w:eastAsia="仿宋_GB2312" w:cs="仿宋_GB2312"/>
          <w:spacing w:val="-8"/>
        </w:rPr>
        <w:t>证书可使用至</w:t>
      </w:r>
      <w:r>
        <w:rPr>
          <w:rFonts w:hint="eastAsia" w:ascii="仿宋_GB2312" w:hAnsi="仿宋_GB2312" w:eastAsia="仿宋_GB2312" w:cs="仿宋_GB2312"/>
          <w:spacing w:val="-37"/>
        </w:rPr>
        <w:t xml:space="preserve"> </w:t>
      </w:r>
      <w:r>
        <w:rPr>
          <w:rFonts w:hint="eastAsia" w:ascii="仿宋_GB2312" w:hAnsi="仿宋_GB2312" w:eastAsia="仿宋_GB2312" w:cs="仿宋_GB2312"/>
          <w:spacing w:val="-8"/>
        </w:rPr>
        <w:t>2019</w:t>
      </w:r>
      <w:r>
        <w:rPr>
          <w:rFonts w:hint="eastAsia" w:ascii="仿宋_GB2312" w:hAnsi="仿宋_GB2312" w:eastAsia="仿宋_GB2312" w:cs="仿宋_GB2312"/>
          <w:spacing w:val="-46"/>
        </w:rPr>
        <w:t xml:space="preserve"> </w:t>
      </w:r>
      <w:r>
        <w:rPr>
          <w:rFonts w:hint="eastAsia" w:ascii="仿宋_GB2312" w:hAnsi="仿宋_GB2312" w:eastAsia="仿宋_GB2312" w:cs="仿宋_GB2312"/>
          <w:spacing w:val="-8"/>
        </w:rPr>
        <w:t>年</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6</w:t>
      </w:r>
      <w:r>
        <w:rPr>
          <w:rFonts w:hint="eastAsia" w:ascii="仿宋_GB2312" w:hAnsi="仿宋_GB2312" w:eastAsia="仿宋_GB2312" w:cs="仿宋_GB2312"/>
          <w:spacing w:val="-44"/>
        </w:rPr>
        <w:t xml:space="preserve"> </w:t>
      </w:r>
      <w:r>
        <w:rPr>
          <w:rFonts w:hint="eastAsia" w:ascii="仿宋_GB2312" w:hAnsi="仿宋_GB2312" w:eastAsia="仿宋_GB2312" w:cs="仿宋_GB2312"/>
          <w:spacing w:val="-8"/>
        </w:rPr>
        <w:t>月</w:t>
      </w:r>
      <w:r>
        <w:rPr>
          <w:rFonts w:hint="eastAsia" w:ascii="仿宋_GB2312" w:hAnsi="仿宋_GB2312" w:eastAsia="仿宋_GB2312" w:cs="仿宋_GB2312"/>
          <w:spacing w:val="-29"/>
        </w:rPr>
        <w:t xml:space="preserve"> </w:t>
      </w:r>
      <w:r>
        <w:rPr>
          <w:rFonts w:hint="eastAsia" w:ascii="仿宋_GB2312" w:hAnsi="仿宋_GB2312" w:eastAsia="仿宋_GB2312" w:cs="仿宋_GB2312"/>
          <w:spacing w:val="-8"/>
        </w:rPr>
        <w:t>1 日。</w:t>
      </w:r>
    </w:p>
    <w:p w14:paraId="7DBE2AA9">
      <w:pPr>
        <w:pStyle w:val="19"/>
        <w:spacing w:before="33" w:line="220" w:lineRule="auto"/>
        <w:ind w:left="471"/>
        <w:rPr>
          <w:rFonts w:hint="eastAsia" w:ascii="仿宋_GB2312" w:hAnsi="仿宋_GB2312" w:eastAsia="仿宋_GB2312" w:cs="仿宋_GB2312"/>
        </w:rPr>
      </w:pPr>
      <w:r>
        <w:rPr>
          <w:rFonts w:hint="eastAsia" w:ascii="仿宋_GB2312" w:hAnsi="仿宋_GB2312" w:eastAsia="仿宋_GB2312" w:cs="仿宋_GB2312"/>
          <w:spacing w:val="-3"/>
        </w:rPr>
        <w:t>3.以“★</w:t>
      </w:r>
      <w:r>
        <w:rPr>
          <w:rFonts w:hint="eastAsia" w:ascii="仿宋_GB2312" w:hAnsi="仿宋_GB2312" w:eastAsia="仿宋_GB2312" w:cs="仿宋_GB2312"/>
          <w:spacing w:val="-68"/>
        </w:rPr>
        <w:t xml:space="preserve"> </w:t>
      </w:r>
      <w:r>
        <w:rPr>
          <w:rFonts w:hint="eastAsia" w:ascii="仿宋_GB2312" w:hAnsi="仿宋_GB2312" w:eastAsia="仿宋_GB2312" w:cs="仿宋_GB2312"/>
          <w:spacing w:val="-3"/>
        </w:rPr>
        <w:t>”标注的为政府强制采购产品。</w:t>
      </w:r>
    </w:p>
    <w:p w14:paraId="03778F4F">
      <w:pPr>
        <w:rPr>
          <w:rFonts w:hint="eastAsia" w:ascii="仿宋_GB2312" w:hAnsi="仿宋_GB2312" w:eastAsia="仿宋_GB2312" w:cs="仿宋_GB2312"/>
          <w:sz w:val="24"/>
        </w:rPr>
      </w:pPr>
      <w:r>
        <w:rPr>
          <w:rFonts w:hint="eastAsia" w:ascii="仿宋_GB2312" w:hAnsi="仿宋_GB2312" w:eastAsia="仿宋_GB2312" w:cs="仿宋_GB2312"/>
          <w:sz w:val="24"/>
        </w:rPr>
        <w:t xml:space="preserve">    4.若表格有变动，按最新政策执行。</w:t>
      </w:r>
    </w:p>
    <w:p w14:paraId="1CC16B32">
      <w:pPr>
        <w:widowControl/>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br w:type="page"/>
      </w:r>
    </w:p>
    <w:p w14:paraId="433A180F">
      <w:pPr>
        <w:rPr>
          <w:rFonts w:hint="eastAsia" w:ascii="仿宋_GB2312" w:hAnsi="仿宋_GB2312" w:eastAsia="仿宋_GB2312" w:cs="仿宋_GB2312"/>
          <w:sz w:val="28"/>
          <w:szCs w:val="28"/>
        </w:rPr>
      </w:pPr>
    </w:p>
    <w:p w14:paraId="26B9C873">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附件二</w:t>
      </w:r>
    </w:p>
    <w:p w14:paraId="404BA4D1">
      <w:pPr>
        <w:spacing w:before="342" w:line="175" w:lineRule="auto"/>
        <w:jc w:val="center"/>
        <w:rPr>
          <w:rFonts w:hint="eastAsia" w:ascii="微软雅黑" w:hAnsi="微软雅黑" w:eastAsia="微软雅黑" w:cs="微软雅黑"/>
          <w:spacing w:val="-2"/>
          <w:sz w:val="40"/>
          <w:szCs w:val="40"/>
        </w:rPr>
      </w:pPr>
      <w:bookmarkStart w:id="81" w:name="_Toc9572"/>
      <w:r>
        <w:rPr>
          <w:rFonts w:ascii="微软雅黑" w:hAnsi="微软雅黑" w:eastAsia="微软雅黑" w:cs="微软雅黑"/>
          <w:spacing w:val="-2"/>
          <w:sz w:val="40"/>
          <w:szCs w:val="40"/>
        </w:rPr>
        <w:t>环境标志产品政府采购品目清单</w:t>
      </w:r>
      <w:bookmarkEnd w:id="81"/>
    </w:p>
    <w:p w14:paraId="30FEB2E1">
      <w:pPr>
        <w:spacing w:before="41"/>
      </w:pPr>
    </w:p>
    <w:tbl>
      <w:tblPr>
        <w:tblStyle w:val="235"/>
        <w:tblW w:w="9214"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10"/>
        <w:gridCol w:w="1343"/>
        <w:gridCol w:w="2324"/>
        <w:gridCol w:w="1956"/>
        <w:gridCol w:w="3081"/>
      </w:tblGrid>
      <w:tr w14:paraId="65E6063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36212A1F">
            <w:pPr>
              <w:pStyle w:val="234"/>
              <w:spacing w:before="71" w:line="283" w:lineRule="auto"/>
              <w:ind w:left="114" w:right="107" w:firstLine="15"/>
              <w:rPr>
                <w:rFonts w:hint="eastAsia"/>
              </w:rPr>
            </w:pPr>
            <w:r>
              <w:rPr>
                <w:b/>
                <w:bCs/>
                <w:spacing w:val="-12"/>
              </w:rPr>
              <w:t>品目</w:t>
            </w:r>
            <w:r>
              <w:t xml:space="preserve"> </w:t>
            </w:r>
            <w:r>
              <w:rPr>
                <w:b/>
                <w:bCs/>
                <w:spacing w:val="-4"/>
              </w:rPr>
              <w:t>序号</w:t>
            </w:r>
          </w:p>
        </w:tc>
        <w:tc>
          <w:tcPr>
            <w:tcW w:w="6462" w:type="dxa"/>
            <w:gridSpan w:val="3"/>
          </w:tcPr>
          <w:p w14:paraId="3159AC92">
            <w:pPr>
              <w:pStyle w:val="234"/>
              <w:spacing w:before="224" w:line="222" w:lineRule="auto"/>
              <w:ind w:left="3054"/>
              <w:rPr>
                <w:rFonts w:hint="eastAsia"/>
              </w:rPr>
            </w:pPr>
            <w:r>
              <w:rPr>
                <w:b/>
                <w:bCs/>
                <w:spacing w:val="-6"/>
              </w:rPr>
              <w:t>名称</w:t>
            </w:r>
          </w:p>
        </w:tc>
        <w:tc>
          <w:tcPr>
            <w:tcW w:w="3543" w:type="dxa"/>
          </w:tcPr>
          <w:p w14:paraId="583E378D">
            <w:pPr>
              <w:pStyle w:val="234"/>
              <w:spacing w:before="224" w:line="219" w:lineRule="auto"/>
              <w:ind w:left="1325"/>
              <w:rPr>
                <w:rFonts w:hint="eastAsia"/>
              </w:rPr>
            </w:pPr>
            <w:r>
              <w:rPr>
                <w:b/>
                <w:bCs/>
                <w:spacing w:val="-4"/>
              </w:rPr>
              <w:t>依据的标准</w:t>
            </w:r>
          </w:p>
        </w:tc>
      </w:tr>
      <w:tr w14:paraId="670731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restart"/>
            <w:tcBorders>
              <w:bottom w:val="nil"/>
            </w:tcBorders>
          </w:tcPr>
          <w:p w14:paraId="448A798D">
            <w:pPr>
              <w:pStyle w:val="234"/>
              <w:spacing w:before="93" w:line="184" w:lineRule="auto"/>
              <w:ind w:left="128"/>
              <w:rPr>
                <w:rFonts w:hint="eastAsia"/>
              </w:rPr>
            </w:pPr>
            <w:r>
              <w:t>1</w:t>
            </w:r>
          </w:p>
        </w:tc>
        <w:tc>
          <w:tcPr>
            <w:tcW w:w="1542" w:type="dxa"/>
            <w:vMerge w:val="restart"/>
            <w:tcBorders>
              <w:bottom w:val="nil"/>
            </w:tcBorders>
          </w:tcPr>
          <w:p w14:paraId="0F65E7D3">
            <w:pPr>
              <w:pStyle w:val="234"/>
              <w:spacing w:before="66" w:line="307" w:lineRule="auto"/>
              <w:ind w:left="110" w:right="108" w:hanging="8"/>
              <w:rPr>
                <w:rFonts w:hint="eastAsia"/>
              </w:rPr>
            </w:pPr>
            <w:r>
              <w:rPr>
                <w:spacing w:val="3"/>
              </w:rPr>
              <w:t>A020101</w:t>
            </w:r>
            <w:r>
              <w:rPr>
                <w:spacing w:val="34"/>
              </w:rPr>
              <w:t xml:space="preserve"> </w:t>
            </w:r>
            <w:r>
              <w:rPr>
                <w:spacing w:val="3"/>
              </w:rPr>
              <w:t>计算机</w:t>
            </w:r>
            <w:r>
              <w:t xml:space="preserve"> </w:t>
            </w:r>
            <w:r>
              <w:rPr>
                <w:spacing w:val="-3"/>
              </w:rPr>
              <w:t>设备</w:t>
            </w:r>
          </w:p>
        </w:tc>
        <w:tc>
          <w:tcPr>
            <w:tcW w:w="2672" w:type="dxa"/>
          </w:tcPr>
          <w:p w14:paraId="537B35B6">
            <w:pPr>
              <w:pStyle w:val="234"/>
              <w:spacing w:before="66" w:line="220" w:lineRule="auto"/>
              <w:ind w:left="103"/>
              <w:rPr>
                <w:rFonts w:hint="eastAsia"/>
              </w:rPr>
            </w:pPr>
            <w:r>
              <w:rPr>
                <w:spacing w:val="-1"/>
              </w:rPr>
              <w:t>A02010103</w:t>
            </w:r>
            <w:r>
              <w:rPr>
                <w:spacing w:val="-32"/>
              </w:rPr>
              <w:t xml:space="preserve"> </w:t>
            </w:r>
            <w:r>
              <w:rPr>
                <w:spacing w:val="-1"/>
              </w:rPr>
              <w:t>服务器</w:t>
            </w:r>
          </w:p>
        </w:tc>
        <w:tc>
          <w:tcPr>
            <w:tcW w:w="2248" w:type="dxa"/>
          </w:tcPr>
          <w:p w14:paraId="38C85977">
            <w:pPr>
              <w:rPr>
                <w:rFonts w:ascii="Arial"/>
              </w:rPr>
            </w:pPr>
          </w:p>
        </w:tc>
        <w:tc>
          <w:tcPr>
            <w:tcW w:w="3543" w:type="dxa"/>
          </w:tcPr>
          <w:p w14:paraId="791CF59B">
            <w:pPr>
              <w:pStyle w:val="234"/>
              <w:spacing w:before="66" w:line="219" w:lineRule="auto"/>
              <w:ind w:left="109"/>
              <w:rPr>
                <w:rFonts w:hint="eastAsia"/>
              </w:rPr>
            </w:pPr>
            <w:r>
              <w:rPr>
                <w:spacing w:val="-2"/>
              </w:rPr>
              <w:t>HJ2507</w:t>
            </w:r>
            <w:r>
              <w:rPr>
                <w:spacing w:val="-20"/>
              </w:rPr>
              <w:t xml:space="preserve"> </w:t>
            </w:r>
            <w:r>
              <w:rPr>
                <w:spacing w:val="-2"/>
              </w:rPr>
              <w:t>网络服务器</w:t>
            </w:r>
          </w:p>
        </w:tc>
      </w:tr>
      <w:tr w14:paraId="5A27F5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19F63430">
            <w:pPr>
              <w:rPr>
                <w:rFonts w:ascii="Arial"/>
              </w:rPr>
            </w:pPr>
          </w:p>
        </w:tc>
        <w:tc>
          <w:tcPr>
            <w:tcW w:w="1542" w:type="dxa"/>
            <w:vMerge w:val="continue"/>
            <w:tcBorders>
              <w:top w:val="nil"/>
              <w:bottom w:val="nil"/>
            </w:tcBorders>
          </w:tcPr>
          <w:p w14:paraId="153CC8B1">
            <w:pPr>
              <w:rPr>
                <w:rFonts w:ascii="Arial"/>
              </w:rPr>
            </w:pPr>
          </w:p>
        </w:tc>
        <w:tc>
          <w:tcPr>
            <w:tcW w:w="2672" w:type="dxa"/>
          </w:tcPr>
          <w:p w14:paraId="57EBEB11">
            <w:pPr>
              <w:pStyle w:val="234"/>
              <w:spacing w:before="65" w:line="219" w:lineRule="auto"/>
              <w:ind w:left="103"/>
              <w:rPr>
                <w:rFonts w:hint="eastAsia"/>
              </w:rPr>
            </w:pPr>
            <w:r>
              <w:rPr>
                <w:spacing w:val="-2"/>
              </w:rPr>
              <w:t>A02010104</w:t>
            </w:r>
            <w:r>
              <w:rPr>
                <w:spacing w:val="-14"/>
              </w:rPr>
              <w:t xml:space="preserve"> </w:t>
            </w:r>
            <w:r>
              <w:rPr>
                <w:spacing w:val="-2"/>
              </w:rPr>
              <w:t>台式计算机</w:t>
            </w:r>
          </w:p>
        </w:tc>
        <w:tc>
          <w:tcPr>
            <w:tcW w:w="2248" w:type="dxa"/>
          </w:tcPr>
          <w:p w14:paraId="10A5D0EE">
            <w:pPr>
              <w:rPr>
                <w:rFonts w:ascii="Arial"/>
              </w:rPr>
            </w:pPr>
          </w:p>
        </w:tc>
        <w:tc>
          <w:tcPr>
            <w:tcW w:w="3543" w:type="dxa"/>
          </w:tcPr>
          <w:p w14:paraId="444D0790">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609DC5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A0704EB">
            <w:pPr>
              <w:rPr>
                <w:rFonts w:ascii="Arial"/>
              </w:rPr>
            </w:pPr>
          </w:p>
        </w:tc>
        <w:tc>
          <w:tcPr>
            <w:tcW w:w="1542" w:type="dxa"/>
            <w:vMerge w:val="continue"/>
            <w:tcBorders>
              <w:top w:val="nil"/>
              <w:bottom w:val="nil"/>
            </w:tcBorders>
          </w:tcPr>
          <w:p w14:paraId="0A5486A3">
            <w:pPr>
              <w:rPr>
                <w:rFonts w:ascii="Arial"/>
              </w:rPr>
            </w:pPr>
          </w:p>
        </w:tc>
        <w:tc>
          <w:tcPr>
            <w:tcW w:w="2672" w:type="dxa"/>
          </w:tcPr>
          <w:p w14:paraId="67BDD7D4">
            <w:pPr>
              <w:pStyle w:val="234"/>
              <w:spacing w:before="64" w:line="219" w:lineRule="auto"/>
              <w:ind w:left="103"/>
              <w:rPr>
                <w:rFonts w:hint="eastAsia"/>
              </w:rPr>
            </w:pPr>
            <w:r>
              <w:rPr>
                <w:spacing w:val="-1"/>
              </w:rPr>
              <w:t>A02010105</w:t>
            </w:r>
            <w:r>
              <w:rPr>
                <w:spacing w:val="-30"/>
              </w:rPr>
              <w:t xml:space="preserve"> </w:t>
            </w:r>
            <w:r>
              <w:rPr>
                <w:spacing w:val="-1"/>
              </w:rPr>
              <w:t>便携式计算机</w:t>
            </w:r>
          </w:p>
        </w:tc>
        <w:tc>
          <w:tcPr>
            <w:tcW w:w="2248" w:type="dxa"/>
          </w:tcPr>
          <w:p w14:paraId="790DDE31">
            <w:pPr>
              <w:rPr>
                <w:rFonts w:ascii="Arial"/>
              </w:rPr>
            </w:pPr>
          </w:p>
        </w:tc>
        <w:tc>
          <w:tcPr>
            <w:tcW w:w="3543" w:type="dxa"/>
          </w:tcPr>
          <w:p w14:paraId="2411F982">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69B48B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1FBCC718">
            <w:pPr>
              <w:rPr>
                <w:rFonts w:ascii="Arial"/>
              </w:rPr>
            </w:pPr>
          </w:p>
        </w:tc>
        <w:tc>
          <w:tcPr>
            <w:tcW w:w="1542" w:type="dxa"/>
            <w:vMerge w:val="continue"/>
            <w:tcBorders>
              <w:top w:val="nil"/>
              <w:bottom w:val="nil"/>
            </w:tcBorders>
          </w:tcPr>
          <w:p w14:paraId="282E9759">
            <w:pPr>
              <w:rPr>
                <w:rFonts w:ascii="Arial"/>
              </w:rPr>
            </w:pPr>
          </w:p>
        </w:tc>
        <w:tc>
          <w:tcPr>
            <w:tcW w:w="2672" w:type="dxa"/>
          </w:tcPr>
          <w:p w14:paraId="1E70EA94">
            <w:pPr>
              <w:pStyle w:val="234"/>
              <w:spacing w:before="64" w:line="219" w:lineRule="auto"/>
              <w:ind w:left="103"/>
              <w:rPr>
                <w:rFonts w:hint="eastAsia"/>
              </w:rPr>
            </w:pPr>
            <w:r>
              <w:rPr>
                <w:spacing w:val="-1"/>
              </w:rPr>
              <w:t>A02010107</w:t>
            </w:r>
            <w:r>
              <w:rPr>
                <w:spacing w:val="-28"/>
              </w:rPr>
              <w:t xml:space="preserve"> </w:t>
            </w:r>
            <w:r>
              <w:rPr>
                <w:spacing w:val="-1"/>
              </w:rPr>
              <w:t>平板式微型计算机</w:t>
            </w:r>
          </w:p>
        </w:tc>
        <w:tc>
          <w:tcPr>
            <w:tcW w:w="2248" w:type="dxa"/>
          </w:tcPr>
          <w:p w14:paraId="6CE400E9">
            <w:pPr>
              <w:rPr>
                <w:rFonts w:ascii="Arial"/>
              </w:rPr>
            </w:pPr>
          </w:p>
        </w:tc>
        <w:tc>
          <w:tcPr>
            <w:tcW w:w="3543" w:type="dxa"/>
          </w:tcPr>
          <w:p w14:paraId="0203DFFD">
            <w:pPr>
              <w:pStyle w:val="234"/>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4C663CF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E54EBDA">
            <w:pPr>
              <w:rPr>
                <w:rFonts w:ascii="Arial"/>
              </w:rPr>
            </w:pPr>
          </w:p>
        </w:tc>
        <w:tc>
          <w:tcPr>
            <w:tcW w:w="1542" w:type="dxa"/>
            <w:vMerge w:val="continue"/>
            <w:tcBorders>
              <w:top w:val="nil"/>
              <w:bottom w:val="nil"/>
            </w:tcBorders>
          </w:tcPr>
          <w:p w14:paraId="2AE8D739">
            <w:pPr>
              <w:rPr>
                <w:rFonts w:ascii="Arial"/>
              </w:rPr>
            </w:pPr>
          </w:p>
        </w:tc>
        <w:tc>
          <w:tcPr>
            <w:tcW w:w="2672" w:type="dxa"/>
          </w:tcPr>
          <w:p w14:paraId="4195750E">
            <w:pPr>
              <w:pStyle w:val="234"/>
              <w:spacing w:before="65" w:line="219" w:lineRule="auto"/>
              <w:ind w:left="103"/>
              <w:rPr>
                <w:rFonts w:hint="eastAsia"/>
              </w:rPr>
            </w:pPr>
            <w:r>
              <w:rPr>
                <w:spacing w:val="-2"/>
              </w:rPr>
              <w:t>A02010108</w:t>
            </w:r>
            <w:r>
              <w:rPr>
                <w:spacing w:val="32"/>
              </w:rPr>
              <w:t xml:space="preserve"> </w:t>
            </w:r>
            <w:r>
              <w:rPr>
                <w:spacing w:val="-2"/>
              </w:rPr>
              <w:t>网络计算机</w:t>
            </w:r>
          </w:p>
        </w:tc>
        <w:tc>
          <w:tcPr>
            <w:tcW w:w="2248" w:type="dxa"/>
          </w:tcPr>
          <w:p w14:paraId="1DB881A4">
            <w:pPr>
              <w:rPr>
                <w:rFonts w:ascii="Arial"/>
              </w:rPr>
            </w:pPr>
          </w:p>
        </w:tc>
        <w:tc>
          <w:tcPr>
            <w:tcW w:w="3543" w:type="dxa"/>
          </w:tcPr>
          <w:p w14:paraId="4A52251A">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BA8E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093CFC57">
            <w:pPr>
              <w:rPr>
                <w:rFonts w:ascii="Arial"/>
              </w:rPr>
            </w:pPr>
          </w:p>
        </w:tc>
        <w:tc>
          <w:tcPr>
            <w:tcW w:w="1542" w:type="dxa"/>
            <w:vMerge w:val="continue"/>
            <w:tcBorders>
              <w:top w:val="nil"/>
              <w:bottom w:val="nil"/>
            </w:tcBorders>
          </w:tcPr>
          <w:p w14:paraId="03A942B7">
            <w:pPr>
              <w:rPr>
                <w:rFonts w:ascii="Arial"/>
              </w:rPr>
            </w:pPr>
          </w:p>
        </w:tc>
        <w:tc>
          <w:tcPr>
            <w:tcW w:w="2672" w:type="dxa"/>
          </w:tcPr>
          <w:p w14:paraId="0F71274C">
            <w:pPr>
              <w:pStyle w:val="234"/>
              <w:spacing w:before="64" w:line="219" w:lineRule="auto"/>
              <w:ind w:left="103"/>
              <w:rPr>
                <w:rFonts w:hint="eastAsia"/>
              </w:rPr>
            </w:pPr>
            <w:r>
              <w:t>A02010109 计算机工作站</w:t>
            </w:r>
          </w:p>
        </w:tc>
        <w:tc>
          <w:tcPr>
            <w:tcW w:w="2248" w:type="dxa"/>
          </w:tcPr>
          <w:p w14:paraId="02FD46A9">
            <w:pPr>
              <w:rPr>
                <w:rFonts w:ascii="Arial"/>
              </w:rPr>
            </w:pPr>
          </w:p>
        </w:tc>
        <w:tc>
          <w:tcPr>
            <w:tcW w:w="3543" w:type="dxa"/>
          </w:tcPr>
          <w:p w14:paraId="498C6FC6">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200BB5F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0A11E968">
            <w:pPr>
              <w:rPr>
                <w:rFonts w:ascii="Arial"/>
              </w:rPr>
            </w:pPr>
          </w:p>
        </w:tc>
        <w:tc>
          <w:tcPr>
            <w:tcW w:w="1542" w:type="dxa"/>
            <w:vMerge w:val="continue"/>
            <w:tcBorders>
              <w:top w:val="nil"/>
            </w:tcBorders>
          </w:tcPr>
          <w:p w14:paraId="6C33E676">
            <w:pPr>
              <w:rPr>
                <w:rFonts w:ascii="Arial"/>
              </w:rPr>
            </w:pPr>
          </w:p>
        </w:tc>
        <w:tc>
          <w:tcPr>
            <w:tcW w:w="2672" w:type="dxa"/>
          </w:tcPr>
          <w:p w14:paraId="1E1D391A">
            <w:pPr>
              <w:pStyle w:val="234"/>
              <w:spacing w:before="64" w:line="219" w:lineRule="auto"/>
              <w:ind w:left="103"/>
              <w:rPr>
                <w:rFonts w:hint="eastAsia"/>
              </w:rPr>
            </w:pPr>
            <w:r>
              <w:rPr>
                <w:spacing w:val="-1"/>
              </w:rPr>
              <w:t>A02010199</w:t>
            </w:r>
            <w:r>
              <w:rPr>
                <w:spacing w:val="-29"/>
              </w:rPr>
              <w:t xml:space="preserve"> </w:t>
            </w:r>
            <w:r>
              <w:rPr>
                <w:spacing w:val="-1"/>
              </w:rPr>
              <w:t>其他计算机设备</w:t>
            </w:r>
          </w:p>
        </w:tc>
        <w:tc>
          <w:tcPr>
            <w:tcW w:w="2248" w:type="dxa"/>
          </w:tcPr>
          <w:p w14:paraId="62245437">
            <w:pPr>
              <w:rPr>
                <w:rFonts w:ascii="Arial"/>
              </w:rPr>
            </w:pPr>
          </w:p>
        </w:tc>
        <w:tc>
          <w:tcPr>
            <w:tcW w:w="3543" w:type="dxa"/>
          </w:tcPr>
          <w:p w14:paraId="26BF9D8B">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5729D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C51723D">
            <w:pPr>
              <w:pStyle w:val="234"/>
              <w:spacing w:before="93" w:line="183" w:lineRule="auto"/>
              <w:ind w:left="116"/>
              <w:rPr>
                <w:rFonts w:hint="eastAsia"/>
              </w:rPr>
            </w:pPr>
            <w:r>
              <w:t>2</w:t>
            </w:r>
          </w:p>
        </w:tc>
        <w:tc>
          <w:tcPr>
            <w:tcW w:w="1542" w:type="dxa"/>
            <w:vMerge w:val="restart"/>
            <w:tcBorders>
              <w:bottom w:val="nil"/>
            </w:tcBorders>
          </w:tcPr>
          <w:p w14:paraId="5B988B5D">
            <w:pPr>
              <w:pStyle w:val="234"/>
              <w:spacing w:before="65" w:line="307" w:lineRule="auto"/>
              <w:ind w:left="123" w:right="108" w:hanging="21"/>
              <w:rPr>
                <w:rFonts w:hint="eastAsia"/>
              </w:rPr>
            </w:pPr>
            <w:r>
              <w:rPr>
                <w:spacing w:val="3"/>
              </w:rPr>
              <w:t>A020106</w:t>
            </w:r>
            <w:r>
              <w:rPr>
                <w:spacing w:val="34"/>
              </w:rPr>
              <w:t xml:space="preserve"> </w:t>
            </w:r>
            <w:r>
              <w:rPr>
                <w:spacing w:val="3"/>
              </w:rPr>
              <w:t>输入输</w:t>
            </w:r>
            <w:r>
              <w:rPr>
                <w:spacing w:val="-5"/>
              </w:rPr>
              <w:t>出设备</w:t>
            </w:r>
          </w:p>
        </w:tc>
        <w:tc>
          <w:tcPr>
            <w:tcW w:w="2672" w:type="dxa"/>
            <w:vMerge w:val="restart"/>
            <w:tcBorders>
              <w:bottom w:val="nil"/>
            </w:tcBorders>
          </w:tcPr>
          <w:p w14:paraId="06275CB5">
            <w:pPr>
              <w:pStyle w:val="234"/>
              <w:spacing w:before="64" w:line="220" w:lineRule="auto"/>
              <w:ind w:left="103"/>
              <w:rPr>
                <w:rFonts w:hint="eastAsia"/>
              </w:rPr>
            </w:pPr>
            <w:r>
              <w:rPr>
                <w:spacing w:val="-1"/>
              </w:rPr>
              <w:t>A02010601</w:t>
            </w:r>
            <w:r>
              <w:rPr>
                <w:spacing w:val="-31"/>
              </w:rPr>
              <w:t xml:space="preserve"> </w:t>
            </w:r>
            <w:r>
              <w:rPr>
                <w:spacing w:val="-1"/>
              </w:rPr>
              <w:t>打印设备</w:t>
            </w:r>
          </w:p>
        </w:tc>
        <w:tc>
          <w:tcPr>
            <w:tcW w:w="2248" w:type="dxa"/>
          </w:tcPr>
          <w:p w14:paraId="2F1C5124">
            <w:pPr>
              <w:pStyle w:val="234"/>
              <w:spacing w:before="65" w:line="219" w:lineRule="auto"/>
              <w:ind w:left="105"/>
              <w:rPr>
                <w:rFonts w:hint="eastAsia"/>
              </w:rPr>
            </w:pPr>
            <w:r>
              <w:t>A0201060101 喷墨打印机</w:t>
            </w:r>
          </w:p>
        </w:tc>
        <w:tc>
          <w:tcPr>
            <w:tcW w:w="3543" w:type="dxa"/>
          </w:tcPr>
          <w:p w14:paraId="6C618D32">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4A06B1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9007037">
            <w:pPr>
              <w:rPr>
                <w:rFonts w:ascii="Arial"/>
              </w:rPr>
            </w:pPr>
          </w:p>
        </w:tc>
        <w:tc>
          <w:tcPr>
            <w:tcW w:w="1542" w:type="dxa"/>
            <w:vMerge w:val="continue"/>
            <w:tcBorders>
              <w:top w:val="nil"/>
              <w:bottom w:val="nil"/>
            </w:tcBorders>
          </w:tcPr>
          <w:p w14:paraId="30DDBC22">
            <w:pPr>
              <w:rPr>
                <w:rFonts w:ascii="Arial"/>
              </w:rPr>
            </w:pPr>
          </w:p>
        </w:tc>
        <w:tc>
          <w:tcPr>
            <w:tcW w:w="2672" w:type="dxa"/>
            <w:vMerge w:val="continue"/>
            <w:tcBorders>
              <w:top w:val="nil"/>
              <w:bottom w:val="nil"/>
            </w:tcBorders>
          </w:tcPr>
          <w:p w14:paraId="45872923">
            <w:pPr>
              <w:rPr>
                <w:rFonts w:ascii="Arial"/>
              </w:rPr>
            </w:pPr>
          </w:p>
        </w:tc>
        <w:tc>
          <w:tcPr>
            <w:tcW w:w="2248" w:type="dxa"/>
          </w:tcPr>
          <w:p w14:paraId="6D41F3D0">
            <w:pPr>
              <w:pStyle w:val="234"/>
              <w:spacing w:before="64" w:line="219" w:lineRule="auto"/>
              <w:ind w:left="105"/>
              <w:rPr>
                <w:rFonts w:hint="eastAsia"/>
              </w:rPr>
            </w:pPr>
            <w:r>
              <w:t>A0201060102 激光打印机</w:t>
            </w:r>
          </w:p>
        </w:tc>
        <w:tc>
          <w:tcPr>
            <w:tcW w:w="3543" w:type="dxa"/>
          </w:tcPr>
          <w:p w14:paraId="16335313">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4EF8A9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7DD76503">
            <w:pPr>
              <w:rPr>
                <w:rFonts w:ascii="Arial"/>
              </w:rPr>
            </w:pPr>
          </w:p>
        </w:tc>
        <w:tc>
          <w:tcPr>
            <w:tcW w:w="1542" w:type="dxa"/>
            <w:vMerge w:val="continue"/>
            <w:tcBorders>
              <w:top w:val="nil"/>
              <w:bottom w:val="nil"/>
            </w:tcBorders>
          </w:tcPr>
          <w:p w14:paraId="4B4B13A8">
            <w:pPr>
              <w:rPr>
                <w:rFonts w:ascii="Arial"/>
              </w:rPr>
            </w:pPr>
          </w:p>
        </w:tc>
        <w:tc>
          <w:tcPr>
            <w:tcW w:w="2672" w:type="dxa"/>
            <w:vMerge w:val="continue"/>
            <w:tcBorders>
              <w:top w:val="nil"/>
              <w:bottom w:val="nil"/>
            </w:tcBorders>
          </w:tcPr>
          <w:p w14:paraId="1A3DFFB5">
            <w:pPr>
              <w:rPr>
                <w:rFonts w:ascii="Arial"/>
              </w:rPr>
            </w:pPr>
          </w:p>
        </w:tc>
        <w:tc>
          <w:tcPr>
            <w:tcW w:w="2248" w:type="dxa"/>
          </w:tcPr>
          <w:p w14:paraId="578776E7">
            <w:pPr>
              <w:pStyle w:val="234"/>
              <w:spacing w:before="64" w:line="219" w:lineRule="auto"/>
              <w:ind w:left="105"/>
              <w:rPr>
                <w:rFonts w:hint="eastAsia"/>
              </w:rPr>
            </w:pPr>
            <w:r>
              <w:t>A0201060103 热式打印机</w:t>
            </w:r>
          </w:p>
        </w:tc>
        <w:tc>
          <w:tcPr>
            <w:tcW w:w="3543" w:type="dxa"/>
          </w:tcPr>
          <w:p w14:paraId="02E965F2">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53A741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34807495">
            <w:pPr>
              <w:rPr>
                <w:rFonts w:ascii="Arial"/>
              </w:rPr>
            </w:pPr>
          </w:p>
        </w:tc>
        <w:tc>
          <w:tcPr>
            <w:tcW w:w="1542" w:type="dxa"/>
            <w:vMerge w:val="continue"/>
            <w:tcBorders>
              <w:top w:val="nil"/>
              <w:bottom w:val="nil"/>
            </w:tcBorders>
          </w:tcPr>
          <w:p w14:paraId="3F053B31">
            <w:pPr>
              <w:rPr>
                <w:rFonts w:ascii="Arial"/>
              </w:rPr>
            </w:pPr>
          </w:p>
        </w:tc>
        <w:tc>
          <w:tcPr>
            <w:tcW w:w="2672" w:type="dxa"/>
            <w:vMerge w:val="continue"/>
            <w:tcBorders>
              <w:top w:val="nil"/>
            </w:tcBorders>
          </w:tcPr>
          <w:p w14:paraId="46BC9015">
            <w:pPr>
              <w:rPr>
                <w:rFonts w:ascii="Arial"/>
              </w:rPr>
            </w:pPr>
          </w:p>
        </w:tc>
        <w:tc>
          <w:tcPr>
            <w:tcW w:w="2248" w:type="dxa"/>
          </w:tcPr>
          <w:p w14:paraId="4AF041D5">
            <w:pPr>
              <w:pStyle w:val="234"/>
              <w:spacing w:before="65" w:line="219" w:lineRule="auto"/>
              <w:ind w:left="105"/>
              <w:rPr>
                <w:rFonts w:hint="eastAsia"/>
              </w:rPr>
            </w:pPr>
            <w:r>
              <w:t>A0201060104 针式打印机</w:t>
            </w:r>
          </w:p>
        </w:tc>
        <w:tc>
          <w:tcPr>
            <w:tcW w:w="3543" w:type="dxa"/>
          </w:tcPr>
          <w:p w14:paraId="7E1A57CD">
            <w:pPr>
              <w:pStyle w:val="234"/>
              <w:spacing w:before="64"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714CE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529B841D">
            <w:pPr>
              <w:rPr>
                <w:rFonts w:ascii="Arial"/>
              </w:rPr>
            </w:pPr>
          </w:p>
        </w:tc>
        <w:tc>
          <w:tcPr>
            <w:tcW w:w="1542" w:type="dxa"/>
            <w:vMerge w:val="continue"/>
            <w:tcBorders>
              <w:top w:val="nil"/>
              <w:bottom w:val="nil"/>
            </w:tcBorders>
          </w:tcPr>
          <w:p w14:paraId="33283A62">
            <w:pPr>
              <w:rPr>
                <w:rFonts w:ascii="Arial"/>
              </w:rPr>
            </w:pPr>
          </w:p>
        </w:tc>
        <w:tc>
          <w:tcPr>
            <w:tcW w:w="2672" w:type="dxa"/>
            <w:vMerge w:val="restart"/>
            <w:tcBorders>
              <w:bottom w:val="nil"/>
            </w:tcBorders>
          </w:tcPr>
          <w:p w14:paraId="29548005">
            <w:pPr>
              <w:pStyle w:val="234"/>
              <w:spacing w:before="64" w:line="222" w:lineRule="auto"/>
              <w:ind w:left="103"/>
              <w:rPr>
                <w:rFonts w:hint="eastAsia"/>
              </w:rPr>
            </w:pPr>
            <w:r>
              <w:t>A02010604 显示设备</w:t>
            </w:r>
          </w:p>
        </w:tc>
        <w:tc>
          <w:tcPr>
            <w:tcW w:w="2248" w:type="dxa"/>
          </w:tcPr>
          <w:p w14:paraId="29BFFF0F">
            <w:pPr>
              <w:pStyle w:val="234"/>
              <w:spacing w:before="64" w:line="221" w:lineRule="auto"/>
              <w:ind w:left="105"/>
              <w:rPr>
                <w:rFonts w:hint="eastAsia"/>
              </w:rPr>
            </w:pPr>
            <w:r>
              <w:t>A0201060401 液晶显示器</w:t>
            </w:r>
          </w:p>
        </w:tc>
        <w:tc>
          <w:tcPr>
            <w:tcW w:w="3543" w:type="dxa"/>
          </w:tcPr>
          <w:p w14:paraId="45A8A19D">
            <w:pPr>
              <w:pStyle w:val="234"/>
              <w:spacing w:before="64"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46B6D4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D9DC3E7">
            <w:pPr>
              <w:rPr>
                <w:rFonts w:ascii="Arial"/>
              </w:rPr>
            </w:pPr>
          </w:p>
        </w:tc>
        <w:tc>
          <w:tcPr>
            <w:tcW w:w="1542" w:type="dxa"/>
            <w:vMerge w:val="continue"/>
            <w:tcBorders>
              <w:top w:val="nil"/>
              <w:bottom w:val="nil"/>
            </w:tcBorders>
          </w:tcPr>
          <w:p w14:paraId="187130F0">
            <w:pPr>
              <w:rPr>
                <w:rFonts w:ascii="Arial"/>
              </w:rPr>
            </w:pPr>
          </w:p>
        </w:tc>
        <w:tc>
          <w:tcPr>
            <w:tcW w:w="2672" w:type="dxa"/>
            <w:vMerge w:val="continue"/>
            <w:tcBorders>
              <w:top w:val="nil"/>
            </w:tcBorders>
          </w:tcPr>
          <w:p w14:paraId="496F2D9F">
            <w:pPr>
              <w:rPr>
                <w:rFonts w:ascii="Arial"/>
              </w:rPr>
            </w:pPr>
          </w:p>
        </w:tc>
        <w:tc>
          <w:tcPr>
            <w:tcW w:w="2248" w:type="dxa"/>
          </w:tcPr>
          <w:p w14:paraId="4935FCB6">
            <w:pPr>
              <w:pStyle w:val="234"/>
              <w:spacing w:before="64" w:line="221" w:lineRule="auto"/>
              <w:ind w:left="105"/>
              <w:rPr>
                <w:rFonts w:hint="eastAsia"/>
              </w:rPr>
            </w:pPr>
            <w:r>
              <w:t>A0201060499 其他显示器</w:t>
            </w:r>
          </w:p>
        </w:tc>
        <w:tc>
          <w:tcPr>
            <w:tcW w:w="3543" w:type="dxa"/>
          </w:tcPr>
          <w:p w14:paraId="372CA4B0">
            <w:pPr>
              <w:pStyle w:val="234"/>
              <w:spacing w:before="63" w:line="219" w:lineRule="auto"/>
              <w:ind w:left="109"/>
              <w:rPr>
                <w:rFonts w:hint="eastAsia"/>
                <w:lang w:eastAsia="zh-CN"/>
              </w:rPr>
            </w:pPr>
            <w:r>
              <w:rPr>
                <w:spacing w:val="-1"/>
                <w:lang w:eastAsia="zh-CN"/>
              </w:rPr>
              <w:t>HJ2536</w:t>
            </w:r>
            <w:r>
              <w:rPr>
                <w:spacing w:val="-28"/>
                <w:lang w:eastAsia="zh-CN"/>
              </w:rPr>
              <w:t xml:space="preserve"> </w:t>
            </w:r>
            <w:r>
              <w:rPr>
                <w:spacing w:val="-1"/>
                <w:lang w:eastAsia="zh-CN"/>
              </w:rPr>
              <w:t>微型计算机、显示器</w:t>
            </w:r>
          </w:p>
        </w:tc>
      </w:tr>
      <w:tr w14:paraId="7386AE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EF851D7">
            <w:pPr>
              <w:rPr>
                <w:rFonts w:ascii="Arial"/>
              </w:rPr>
            </w:pPr>
          </w:p>
        </w:tc>
        <w:tc>
          <w:tcPr>
            <w:tcW w:w="1542" w:type="dxa"/>
            <w:vMerge w:val="continue"/>
            <w:tcBorders>
              <w:top w:val="nil"/>
            </w:tcBorders>
          </w:tcPr>
          <w:p w14:paraId="47689BB8">
            <w:pPr>
              <w:rPr>
                <w:rFonts w:ascii="Arial"/>
              </w:rPr>
            </w:pPr>
          </w:p>
        </w:tc>
        <w:tc>
          <w:tcPr>
            <w:tcW w:w="2672" w:type="dxa"/>
          </w:tcPr>
          <w:p w14:paraId="132AAA01">
            <w:pPr>
              <w:pStyle w:val="234"/>
              <w:spacing w:before="64" w:line="220" w:lineRule="auto"/>
              <w:ind w:left="103"/>
              <w:rPr>
                <w:rFonts w:hint="eastAsia"/>
              </w:rPr>
            </w:pPr>
            <w:r>
              <w:rPr>
                <w:spacing w:val="-2"/>
              </w:rPr>
              <w:t>A02010609</w:t>
            </w:r>
            <w:r>
              <w:rPr>
                <w:spacing w:val="-9"/>
              </w:rPr>
              <w:t xml:space="preserve"> </w:t>
            </w:r>
            <w:r>
              <w:rPr>
                <w:spacing w:val="-2"/>
              </w:rPr>
              <w:t>图形图像输入设备</w:t>
            </w:r>
          </w:p>
        </w:tc>
        <w:tc>
          <w:tcPr>
            <w:tcW w:w="2248" w:type="dxa"/>
          </w:tcPr>
          <w:p w14:paraId="66C898C4">
            <w:pPr>
              <w:pStyle w:val="234"/>
              <w:spacing w:before="64" w:line="220" w:lineRule="auto"/>
              <w:ind w:left="105"/>
              <w:rPr>
                <w:rFonts w:hint="eastAsia"/>
              </w:rPr>
            </w:pPr>
            <w:r>
              <w:t>A0201060901 扫描仪</w:t>
            </w:r>
          </w:p>
        </w:tc>
        <w:tc>
          <w:tcPr>
            <w:tcW w:w="3543" w:type="dxa"/>
          </w:tcPr>
          <w:p w14:paraId="38997E15">
            <w:pPr>
              <w:pStyle w:val="234"/>
              <w:spacing w:before="64" w:line="219" w:lineRule="auto"/>
              <w:ind w:left="109"/>
              <w:rPr>
                <w:rFonts w:hint="eastAsia"/>
              </w:rPr>
            </w:pPr>
            <w:r>
              <w:rPr>
                <w:spacing w:val="-1"/>
              </w:rPr>
              <w:t>HJ2517</w:t>
            </w:r>
            <w:r>
              <w:rPr>
                <w:spacing w:val="-34"/>
              </w:rPr>
              <w:t xml:space="preserve"> </w:t>
            </w:r>
            <w:r>
              <w:rPr>
                <w:spacing w:val="-1"/>
              </w:rPr>
              <w:t>扫描仪</w:t>
            </w:r>
          </w:p>
        </w:tc>
      </w:tr>
      <w:tr w14:paraId="2C31384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10D4667D">
            <w:pPr>
              <w:pStyle w:val="234"/>
              <w:spacing w:before="93" w:line="183" w:lineRule="auto"/>
              <w:ind w:left="118"/>
              <w:rPr>
                <w:rFonts w:hint="eastAsia"/>
              </w:rPr>
            </w:pPr>
            <w:r>
              <w:t>3</w:t>
            </w:r>
          </w:p>
        </w:tc>
        <w:tc>
          <w:tcPr>
            <w:tcW w:w="1542" w:type="dxa"/>
          </w:tcPr>
          <w:p w14:paraId="3F6C8C2C">
            <w:pPr>
              <w:pStyle w:val="234"/>
              <w:spacing w:before="64" w:line="220" w:lineRule="auto"/>
              <w:ind w:left="102"/>
              <w:rPr>
                <w:rFonts w:hint="eastAsia"/>
              </w:rPr>
            </w:pPr>
            <w:r>
              <w:rPr>
                <w:spacing w:val="-1"/>
              </w:rPr>
              <w:t>A020202</w:t>
            </w:r>
            <w:r>
              <w:rPr>
                <w:spacing w:val="-33"/>
              </w:rPr>
              <w:t xml:space="preserve"> </w:t>
            </w:r>
            <w:r>
              <w:rPr>
                <w:spacing w:val="-1"/>
              </w:rPr>
              <w:t>投影仪</w:t>
            </w:r>
          </w:p>
        </w:tc>
        <w:tc>
          <w:tcPr>
            <w:tcW w:w="2672" w:type="dxa"/>
          </w:tcPr>
          <w:p w14:paraId="424A47C1">
            <w:pPr>
              <w:rPr>
                <w:rFonts w:ascii="Arial"/>
              </w:rPr>
            </w:pPr>
          </w:p>
        </w:tc>
        <w:tc>
          <w:tcPr>
            <w:tcW w:w="2248" w:type="dxa"/>
          </w:tcPr>
          <w:p w14:paraId="36AF93CD">
            <w:pPr>
              <w:rPr>
                <w:rFonts w:ascii="Arial"/>
              </w:rPr>
            </w:pPr>
          </w:p>
        </w:tc>
        <w:tc>
          <w:tcPr>
            <w:tcW w:w="3543" w:type="dxa"/>
          </w:tcPr>
          <w:p w14:paraId="08C5ED67">
            <w:pPr>
              <w:pStyle w:val="234"/>
              <w:spacing w:before="64" w:line="219" w:lineRule="auto"/>
              <w:ind w:left="109"/>
              <w:rPr>
                <w:rFonts w:hint="eastAsia"/>
              </w:rPr>
            </w:pPr>
            <w:r>
              <w:rPr>
                <w:spacing w:val="-1"/>
              </w:rPr>
              <w:t>HJ2516</w:t>
            </w:r>
            <w:r>
              <w:rPr>
                <w:spacing w:val="-34"/>
              </w:rPr>
              <w:t xml:space="preserve"> </w:t>
            </w:r>
            <w:r>
              <w:rPr>
                <w:spacing w:val="-1"/>
              </w:rPr>
              <w:t>投影仪</w:t>
            </w:r>
          </w:p>
        </w:tc>
      </w:tr>
      <w:tr w14:paraId="06AD3A6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tcPr>
          <w:p w14:paraId="77499811">
            <w:pPr>
              <w:pStyle w:val="234"/>
              <w:spacing w:before="92" w:line="183" w:lineRule="auto"/>
              <w:ind w:left="114"/>
              <w:rPr>
                <w:rFonts w:hint="eastAsia"/>
              </w:rPr>
            </w:pPr>
            <w:r>
              <w:t>4</w:t>
            </w:r>
          </w:p>
        </w:tc>
        <w:tc>
          <w:tcPr>
            <w:tcW w:w="1542" w:type="dxa"/>
          </w:tcPr>
          <w:p w14:paraId="5D5BC9EC">
            <w:pPr>
              <w:pStyle w:val="234"/>
              <w:spacing w:before="64" w:line="219" w:lineRule="auto"/>
              <w:ind w:left="102"/>
              <w:rPr>
                <w:rFonts w:hint="eastAsia"/>
              </w:rPr>
            </w:pPr>
            <w:r>
              <w:rPr>
                <w:spacing w:val="-1"/>
              </w:rPr>
              <w:t>A020201</w:t>
            </w:r>
            <w:r>
              <w:rPr>
                <w:spacing w:val="-32"/>
              </w:rPr>
              <w:t xml:space="preserve"> </w:t>
            </w:r>
            <w:r>
              <w:rPr>
                <w:spacing w:val="-1"/>
              </w:rPr>
              <w:t>复印机</w:t>
            </w:r>
          </w:p>
        </w:tc>
        <w:tc>
          <w:tcPr>
            <w:tcW w:w="2672" w:type="dxa"/>
          </w:tcPr>
          <w:p w14:paraId="255E456B">
            <w:pPr>
              <w:rPr>
                <w:rFonts w:ascii="Arial"/>
              </w:rPr>
            </w:pPr>
          </w:p>
        </w:tc>
        <w:tc>
          <w:tcPr>
            <w:tcW w:w="2248" w:type="dxa"/>
          </w:tcPr>
          <w:p w14:paraId="2C99D5D1">
            <w:pPr>
              <w:rPr>
                <w:rFonts w:ascii="Arial"/>
              </w:rPr>
            </w:pPr>
          </w:p>
        </w:tc>
        <w:tc>
          <w:tcPr>
            <w:tcW w:w="3543" w:type="dxa"/>
          </w:tcPr>
          <w:p w14:paraId="24AC7264">
            <w:pPr>
              <w:pStyle w:val="234"/>
              <w:spacing w:before="64" w:line="219" w:lineRule="auto"/>
              <w:ind w:left="109"/>
              <w:rPr>
                <w:rFonts w:hint="eastAsia"/>
                <w:lang w:eastAsia="zh-CN"/>
              </w:rPr>
            </w:pPr>
            <w:r>
              <w:rPr>
                <w:lang w:eastAsia="zh-CN"/>
              </w:rPr>
              <w:t>HJ424 数字式复印（包括多功能）设备</w:t>
            </w:r>
          </w:p>
        </w:tc>
      </w:tr>
      <w:tr w14:paraId="2BFA70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3EA62D40">
            <w:pPr>
              <w:pStyle w:val="234"/>
              <w:spacing w:before="94" w:line="182" w:lineRule="auto"/>
              <w:ind w:left="118"/>
              <w:rPr>
                <w:rFonts w:hint="eastAsia"/>
              </w:rPr>
            </w:pPr>
            <w:r>
              <w:t>5</w:t>
            </w:r>
          </w:p>
        </w:tc>
        <w:tc>
          <w:tcPr>
            <w:tcW w:w="1542" w:type="dxa"/>
          </w:tcPr>
          <w:p w14:paraId="0822D40F">
            <w:pPr>
              <w:pStyle w:val="234"/>
              <w:spacing w:before="64" w:line="284" w:lineRule="auto"/>
              <w:ind w:left="110" w:right="108" w:hanging="8"/>
              <w:rPr>
                <w:rFonts w:hint="eastAsia"/>
              </w:rPr>
            </w:pPr>
            <w:r>
              <w:rPr>
                <w:spacing w:val="2"/>
              </w:rPr>
              <w:t>A020204</w:t>
            </w:r>
            <w:r>
              <w:rPr>
                <w:spacing w:val="44"/>
              </w:rPr>
              <w:t xml:space="preserve"> </w:t>
            </w:r>
            <w:r>
              <w:rPr>
                <w:spacing w:val="2"/>
              </w:rPr>
              <w:t>多功能</w:t>
            </w:r>
            <w:r>
              <w:rPr>
                <w:spacing w:val="-4"/>
              </w:rPr>
              <w:t>一体机</w:t>
            </w:r>
          </w:p>
        </w:tc>
        <w:tc>
          <w:tcPr>
            <w:tcW w:w="2672" w:type="dxa"/>
          </w:tcPr>
          <w:p w14:paraId="3B2DF4D4">
            <w:pPr>
              <w:rPr>
                <w:rFonts w:ascii="Arial"/>
              </w:rPr>
            </w:pPr>
          </w:p>
        </w:tc>
        <w:tc>
          <w:tcPr>
            <w:tcW w:w="2248" w:type="dxa"/>
          </w:tcPr>
          <w:p w14:paraId="6D163763">
            <w:pPr>
              <w:rPr>
                <w:rFonts w:ascii="Arial"/>
              </w:rPr>
            </w:pPr>
          </w:p>
        </w:tc>
        <w:tc>
          <w:tcPr>
            <w:tcW w:w="3543" w:type="dxa"/>
          </w:tcPr>
          <w:p w14:paraId="0857D105">
            <w:pPr>
              <w:pStyle w:val="234"/>
              <w:spacing w:before="64" w:line="219" w:lineRule="auto"/>
              <w:ind w:left="109"/>
              <w:rPr>
                <w:rFonts w:hint="eastAsia"/>
                <w:lang w:eastAsia="zh-CN"/>
              </w:rPr>
            </w:pPr>
            <w:r>
              <w:rPr>
                <w:lang w:eastAsia="zh-CN"/>
              </w:rPr>
              <w:t>HJ424 数字式复印（包括多功能）设备</w:t>
            </w:r>
          </w:p>
        </w:tc>
      </w:tr>
      <w:tr w14:paraId="5CB5B4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1BF92BA">
            <w:pPr>
              <w:pStyle w:val="234"/>
              <w:spacing w:before="94" w:line="183" w:lineRule="auto"/>
              <w:ind w:left="116"/>
              <w:rPr>
                <w:rFonts w:hint="eastAsia"/>
              </w:rPr>
            </w:pPr>
            <w:r>
              <w:t>6</w:t>
            </w:r>
          </w:p>
        </w:tc>
        <w:tc>
          <w:tcPr>
            <w:tcW w:w="1542" w:type="dxa"/>
          </w:tcPr>
          <w:p w14:paraId="6D6CB2EC">
            <w:pPr>
              <w:pStyle w:val="234"/>
              <w:spacing w:before="66" w:line="283" w:lineRule="auto"/>
              <w:ind w:left="109" w:right="108" w:hanging="7"/>
              <w:rPr>
                <w:rFonts w:hint="eastAsia"/>
              </w:rPr>
            </w:pPr>
            <w:r>
              <w:rPr>
                <w:spacing w:val="-1"/>
              </w:rPr>
              <w:t>A020210</w:t>
            </w:r>
            <w:r>
              <w:rPr>
                <w:spacing w:val="32"/>
              </w:rPr>
              <w:t xml:space="preserve"> </w:t>
            </w:r>
            <w:r>
              <w:rPr>
                <w:spacing w:val="-1"/>
              </w:rPr>
              <w:t>文</w:t>
            </w:r>
            <w:r>
              <w:rPr>
                <w:spacing w:val="-48"/>
              </w:rPr>
              <w:t xml:space="preserve"> </w:t>
            </w:r>
            <w:r>
              <w:rPr>
                <w:spacing w:val="-1"/>
              </w:rPr>
              <w:t>印设</w:t>
            </w:r>
            <w:r>
              <w:t xml:space="preserve"> 备</w:t>
            </w:r>
          </w:p>
        </w:tc>
        <w:tc>
          <w:tcPr>
            <w:tcW w:w="2672" w:type="dxa"/>
          </w:tcPr>
          <w:p w14:paraId="7E190144">
            <w:pPr>
              <w:pStyle w:val="234"/>
              <w:spacing w:before="65" w:line="219" w:lineRule="auto"/>
              <w:ind w:left="103"/>
              <w:rPr>
                <w:rFonts w:hint="eastAsia"/>
              </w:rPr>
            </w:pPr>
            <w:r>
              <w:t>A02021001 速印机</w:t>
            </w:r>
          </w:p>
        </w:tc>
        <w:tc>
          <w:tcPr>
            <w:tcW w:w="2248" w:type="dxa"/>
          </w:tcPr>
          <w:p w14:paraId="20527F85">
            <w:pPr>
              <w:rPr>
                <w:rFonts w:ascii="Arial"/>
              </w:rPr>
            </w:pPr>
          </w:p>
        </w:tc>
        <w:tc>
          <w:tcPr>
            <w:tcW w:w="3543" w:type="dxa"/>
          </w:tcPr>
          <w:p w14:paraId="17F2E7DD">
            <w:pPr>
              <w:pStyle w:val="234"/>
              <w:spacing w:before="65" w:line="219" w:lineRule="auto"/>
              <w:ind w:left="109"/>
              <w:rPr>
                <w:rFonts w:hint="eastAsia"/>
                <w:lang w:eastAsia="zh-CN"/>
              </w:rPr>
            </w:pPr>
            <w:r>
              <w:rPr>
                <w:spacing w:val="-1"/>
                <w:lang w:eastAsia="zh-CN"/>
              </w:rPr>
              <w:t>HJ472 数字式一体化速印机</w:t>
            </w:r>
          </w:p>
        </w:tc>
      </w:tr>
      <w:tr w14:paraId="5CC2D6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64" w:hRule="atLeast"/>
          <w:jc w:val="center"/>
        </w:trPr>
        <w:tc>
          <w:tcPr>
            <w:tcW w:w="583" w:type="dxa"/>
          </w:tcPr>
          <w:p w14:paraId="41E98417">
            <w:pPr>
              <w:pStyle w:val="234"/>
              <w:spacing w:before="95" w:line="182" w:lineRule="auto"/>
              <w:ind w:left="119"/>
              <w:rPr>
                <w:rFonts w:hint="eastAsia"/>
              </w:rPr>
            </w:pPr>
            <w:r>
              <w:t>7</w:t>
            </w:r>
          </w:p>
        </w:tc>
        <w:tc>
          <w:tcPr>
            <w:tcW w:w="1542" w:type="dxa"/>
          </w:tcPr>
          <w:p w14:paraId="367D4A76">
            <w:pPr>
              <w:pStyle w:val="234"/>
              <w:spacing w:before="67" w:line="301" w:lineRule="auto"/>
              <w:ind w:left="109" w:right="32" w:hanging="7"/>
              <w:rPr>
                <w:rFonts w:hint="eastAsia"/>
                <w:lang w:eastAsia="zh-CN"/>
              </w:rPr>
            </w:pPr>
            <w:r>
              <w:rPr>
                <w:spacing w:val="3"/>
                <w:lang w:eastAsia="zh-CN"/>
              </w:rPr>
              <w:t>A020301</w:t>
            </w:r>
            <w:r>
              <w:rPr>
                <w:spacing w:val="34"/>
                <w:lang w:eastAsia="zh-CN"/>
              </w:rPr>
              <w:t xml:space="preserve"> </w:t>
            </w:r>
            <w:r>
              <w:rPr>
                <w:spacing w:val="3"/>
                <w:lang w:eastAsia="zh-CN"/>
              </w:rPr>
              <w:t>载货汽</w:t>
            </w:r>
            <w:r>
              <w:rPr>
                <w:lang w:eastAsia="zh-CN"/>
              </w:rPr>
              <w:t xml:space="preserve">  </w:t>
            </w:r>
            <w:r>
              <w:rPr>
                <w:spacing w:val="-6"/>
                <w:lang w:eastAsia="zh-CN"/>
              </w:rPr>
              <w:t>车（含自卸汽车）</w:t>
            </w:r>
          </w:p>
        </w:tc>
        <w:tc>
          <w:tcPr>
            <w:tcW w:w="2672" w:type="dxa"/>
          </w:tcPr>
          <w:p w14:paraId="7F9E5E1D">
            <w:pPr>
              <w:rPr>
                <w:rFonts w:ascii="Arial"/>
              </w:rPr>
            </w:pPr>
          </w:p>
        </w:tc>
        <w:tc>
          <w:tcPr>
            <w:tcW w:w="2248" w:type="dxa"/>
          </w:tcPr>
          <w:p w14:paraId="798D8926">
            <w:pPr>
              <w:rPr>
                <w:rFonts w:ascii="Arial"/>
              </w:rPr>
            </w:pPr>
          </w:p>
        </w:tc>
        <w:tc>
          <w:tcPr>
            <w:tcW w:w="3543" w:type="dxa"/>
          </w:tcPr>
          <w:p w14:paraId="45D37881">
            <w:pPr>
              <w:pStyle w:val="234"/>
              <w:spacing w:before="65" w:line="219" w:lineRule="auto"/>
              <w:ind w:left="109"/>
              <w:rPr>
                <w:rFonts w:hint="eastAsia"/>
              </w:rPr>
            </w:pPr>
            <w:r>
              <w:rPr>
                <w:spacing w:val="-1"/>
              </w:rPr>
              <w:t>HJ2532</w:t>
            </w:r>
            <w:r>
              <w:rPr>
                <w:spacing w:val="-35"/>
              </w:rPr>
              <w:t xml:space="preserve"> </w:t>
            </w:r>
            <w:r>
              <w:rPr>
                <w:spacing w:val="-1"/>
              </w:rPr>
              <w:t>轻型汽车</w:t>
            </w:r>
          </w:p>
        </w:tc>
      </w:tr>
      <w:tr w14:paraId="0150D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6" w:hRule="atLeast"/>
          <w:jc w:val="center"/>
        </w:trPr>
        <w:tc>
          <w:tcPr>
            <w:tcW w:w="583" w:type="dxa"/>
            <w:vMerge w:val="restart"/>
            <w:tcBorders>
              <w:bottom w:val="nil"/>
            </w:tcBorders>
          </w:tcPr>
          <w:p w14:paraId="39BA9D21">
            <w:pPr>
              <w:pStyle w:val="234"/>
              <w:spacing w:before="95" w:line="183" w:lineRule="auto"/>
              <w:ind w:left="115"/>
              <w:rPr>
                <w:rFonts w:hint="eastAsia"/>
              </w:rPr>
            </w:pPr>
            <w:r>
              <w:t>8</w:t>
            </w:r>
          </w:p>
        </w:tc>
        <w:tc>
          <w:tcPr>
            <w:tcW w:w="1542" w:type="dxa"/>
            <w:vMerge w:val="restart"/>
            <w:tcBorders>
              <w:bottom w:val="nil"/>
            </w:tcBorders>
          </w:tcPr>
          <w:p w14:paraId="472ACC96">
            <w:pPr>
              <w:pStyle w:val="234"/>
              <w:spacing w:before="65" w:line="307" w:lineRule="auto"/>
              <w:ind w:left="112" w:right="108" w:hanging="10"/>
              <w:rPr>
                <w:rFonts w:hint="eastAsia"/>
              </w:rPr>
            </w:pPr>
            <w:r>
              <w:rPr>
                <w:spacing w:val="3"/>
              </w:rPr>
              <w:t>A020305</w:t>
            </w:r>
            <w:r>
              <w:rPr>
                <w:spacing w:val="34"/>
              </w:rPr>
              <w:t xml:space="preserve"> </w:t>
            </w:r>
            <w:r>
              <w:rPr>
                <w:spacing w:val="3"/>
              </w:rPr>
              <w:t>乘用车</w:t>
            </w:r>
            <w:r>
              <w:rPr>
                <w:spacing w:val="-3"/>
              </w:rPr>
              <w:t>（轿车）</w:t>
            </w:r>
          </w:p>
        </w:tc>
        <w:tc>
          <w:tcPr>
            <w:tcW w:w="2672" w:type="dxa"/>
          </w:tcPr>
          <w:p w14:paraId="4FF768EA">
            <w:pPr>
              <w:pStyle w:val="234"/>
              <w:spacing w:before="66" w:line="220" w:lineRule="auto"/>
              <w:ind w:left="103"/>
              <w:rPr>
                <w:rFonts w:hint="eastAsia"/>
              </w:rPr>
            </w:pPr>
            <w:r>
              <w:t>A02030501 轿车</w:t>
            </w:r>
          </w:p>
        </w:tc>
        <w:tc>
          <w:tcPr>
            <w:tcW w:w="2248" w:type="dxa"/>
          </w:tcPr>
          <w:p w14:paraId="6180AB5A">
            <w:pPr>
              <w:rPr>
                <w:rFonts w:ascii="Arial"/>
              </w:rPr>
            </w:pPr>
          </w:p>
        </w:tc>
        <w:tc>
          <w:tcPr>
            <w:tcW w:w="3543" w:type="dxa"/>
          </w:tcPr>
          <w:p w14:paraId="203A8D70">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014BAA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1475ED91">
            <w:pPr>
              <w:rPr>
                <w:rFonts w:ascii="Arial"/>
              </w:rPr>
            </w:pPr>
          </w:p>
        </w:tc>
        <w:tc>
          <w:tcPr>
            <w:tcW w:w="1542" w:type="dxa"/>
            <w:vMerge w:val="continue"/>
            <w:tcBorders>
              <w:top w:val="nil"/>
            </w:tcBorders>
          </w:tcPr>
          <w:p w14:paraId="0B277FF7">
            <w:pPr>
              <w:rPr>
                <w:rFonts w:ascii="Arial"/>
              </w:rPr>
            </w:pPr>
          </w:p>
        </w:tc>
        <w:tc>
          <w:tcPr>
            <w:tcW w:w="2672" w:type="dxa"/>
          </w:tcPr>
          <w:p w14:paraId="0564CCC3">
            <w:pPr>
              <w:pStyle w:val="234"/>
              <w:spacing w:before="66" w:line="220" w:lineRule="auto"/>
              <w:ind w:left="103"/>
              <w:rPr>
                <w:rFonts w:hint="eastAsia"/>
              </w:rPr>
            </w:pPr>
            <w:r>
              <w:rPr>
                <w:spacing w:val="-1"/>
              </w:rPr>
              <w:t>A02030599</w:t>
            </w:r>
            <w:r>
              <w:rPr>
                <w:spacing w:val="-28"/>
              </w:rPr>
              <w:t xml:space="preserve"> </w:t>
            </w:r>
            <w:r>
              <w:rPr>
                <w:spacing w:val="-1"/>
              </w:rPr>
              <w:t>其他乘用车（轿车）</w:t>
            </w:r>
          </w:p>
        </w:tc>
        <w:tc>
          <w:tcPr>
            <w:tcW w:w="2248" w:type="dxa"/>
          </w:tcPr>
          <w:p w14:paraId="070FFC25">
            <w:pPr>
              <w:rPr>
                <w:rFonts w:ascii="Arial"/>
              </w:rPr>
            </w:pPr>
          </w:p>
        </w:tc>
        <w:tc>
          <w:tcPr>
            <w:tcW w:w="3543" w:type="dxa"/>
          </w:tcPr>
          <w:p w14:paraId="0B48C21E">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4AE0DA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4ECEC43B">
            <w:pPr>
              <w:pStyle w:val="234"/>
              <w:spacing w:before="94" w:line="183" w:lineRule="auto"/>
              <w:ind w:left="115"/>
              <w:rPr>
                <w:rFonts w:hint="eastAsia"/>
              </w:rPr>
            </w:pPr>
            <w:r>
              <w:t>9</w:t>
            </w:r>
          </w:p>
        </w:tc>
        <w:tc>
          <w:tcPr>
            <w:tcW w:w="1542" w:type="dxa"/>
          </w:tcPr>
          <w:p w14:paraId="6D4AFA5D">
            <w:pPr>
              <w:pStyle w:val="234"/>
              <w:spacing w:before="66" w:line="220" w:lineRule="auto"/>
              <w:ind w:left="102"/>
              <w:rPr>
                <w:rFonts w:hint="eastAsia"/>
              </w:rPr>
            </w:pPr>
            <w:r>
              <w:rPr>
                <w:spacing w:val="-1"/>
              </w:rPr>
              <w:t>A020306</w:t>
            </w:r>
            <w:r>
              <w:rPr>
                <w:spacing w:val="-33"/>
              </w:rPr>
              <w:t xml:space="preserve"> </w:t>
            </w:r>
            <w:r>
              <w:rPr>
                <w:spacing w:val="-1"/>
              </w:rPr>
              <w:t>客车</w:t>
            </w:r>
          </w:p>
        </w:tc>
        <w:tc>
          <w:tcPr>
            <w:tcW w:w="2672" w:type="dxa"/>
          </w:tcPr>
          <w:p w14:paraId="7073B732">
            <w:pPr>
              <w:pStyle w:val="234"/>
              <w:spacing w:before="66" w:line="220" w:lineRule="auto"/>
              <w:ind w:left="103"/>
              <w:rPr>
                <w:rFonts w:hint="eastAsia"/>
              </w:rPr>
            </w:pPr>
            <w:r>
              <w:rPr>
                <w:spacing w:val="-1"/>
              </w:rPr>
              <w:t>A02030601</w:t>
            </w:r>
            <w:r>
              <w:rPr>
                <w:spacing w:val="-30"/>
              </w:rPr>
              <w:t xml:space="preserve"> </w:t>
            </w:r>
            <w:r>
              <w:rPr>
                <w:spacing w:val="-1"/>
              </w:rPr>
              <w:t>小型客车</w:t>
            </w:r>
          </w:p>
        </w:tc>
        <w:tc>
          <w:tcPr>
            <w:tcW w:w="2248" w:type="dxa"/>
          </w:tcPr>
          <w:p w14:paraId="2247EB48">
            <w:pPr>
              <w:rPr>
                <w:rFonts w:ascii="Arial"/>
              </w:rPr>
            </w:pPr>
          </w:p>
        </w:tc>
        <w:tc>
          <w:tcPr>
            <w:tcW w:w="3543" w:type="dxa"/>
          </w:tcPr>
          <w:p w14:paraId="3C19F536">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323AD3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2F1C0E35">
            <w:pPr>
              <w:pStyle w:val="234"/>
              <w:spacing w:before="94" w:line="184" w:lineRule="auto"/>
              <w:ind w:left="128"/>
              <w:rPr>
                <w:rFonts w:hint="eastAsia"/>
              </w:rPr>
            </w:pPr>
            <w:r>
              <w:rPr>
                <w:spacing w:val="-10"/>
              </w:rPr>
              <w:t>10</w:t>
            </w:r>
          </w:p>
        </w:tc>
        <w:tc>
          <w:tcPr>
            <w:tcW w:w="1542" w:type="dxa"/>
          </w:tcPr>
          <w:p w14:paraId="6259DD45">
            <w:pPr>
              <w:pStyle w:val="234"/>
              <w:spacing w:before="66" w:line="283" w:lineRule="auto"/>
              <w:ind w:left="106" w:right="108" w:hanging="4"/>
              <w:rPr>
                <w:rFonts w:hint="eastAsia"/>
              </w:rPr>
            </w:pPr>
            <w:r>
              <w:rPr>
                <w:spacing w:val="3"/>
              </w:rPr>
              <w:t>A020307</w:t>
            </w:r>
            <w:r>
              <w:rPr>
                <w:spacing w:val="34"/>
              </w:rPr>
              <w:t xml:space="preserve"> </w:t>
            </w:r>
            <w:r>
              <w:rPr>
                <w:spacing w:val="3"/>
              </w:rPr>
              <w:t>专用车</w:t>
            </w:r>
            <w:r>
              <w:t xml:space="preserve"> 辆</w:t>
            </w:r>
          </w:p>
        </w:tc>
        <w:tc>
          <w:tcPr>
            <w:tcW w:w="2672" w:type="dxa"/>
          </w:tcPr>
          <w:p w14:paraId="2C8A8DFD">
            <w:pPr>
              <w:pStyle w:val="234"/>
              <w:spacing w:before="66" w:line="220" w:lineRule="auto"/>
              <w:ind w:left="103"/>
              <w:rPr>
                <w:rFonts w:hint="eastAsia"/>
              </w:rPr>
            </w:pPr>
            <w:r>
              <w:rPr>
                <w:spacing w:val="-1"/>
              </w:rPr>
              <w:t>A02030799</w:t>
            </w:r>
            <w:r>
              <w:rPr>
                <w:spacing w:val="-30"/>
              </w:rPr>
              <w:t xml:space="preserve"> </w:t>
            </w:r>
            <w:r>
              <w:rPr>
                <w:spacing w:val="-1"/>
              </w:rPr>
              <w:t>其他专用汽车</w:t>
            </w:r>
          </w:p>
        </w:tc>
        <w:tc>
          <w:tcPr>
            <w:tcW w:w="2248" w:type="dxa"/>
          </w:tcPr>
          <w:p w14:paraId="5A75E84B">
            <w:pPr>
              <w:rPr>
                <w:rFonts w:ascii="Arial"/>
              </w:rPr>
            </w:pPr>
          </w:p>
        </w:tc>
        <w:tc>
          <w:tcPr>
            <w:tcW w:w="3543" w:type="dxa"/>
          </w:tcPr>
          <w:p w14:paraId="785D66BA">
            <w:pPr>
              <w:pStyle w:val="234"/>
              <w:spacing w:before="66" w:line="219" w:lineRule="auto"/>
              <w:ind w:left="109"/>
              <w:rPr>
                <w:rFonts w:hint="eastAsia"/>
              </w:rPr>
            </w:pPr>
            <w:r>
              <w:rPr>
                <w:spacing w:val="-1"/>
              </w:rPr>
              <w:t>HJ2532</w:t>
            </w:r>
            <w:r>
              <w:rPr>
                <w:spacing w:val="-35"/>
              </w:rPr>
              <w:t xml:space="preserve"> </w:t>
            </w:r>
            <w:r>
              <w:rPr>
                <w:spacing w:val="-1"/>
              </w:rPr>
              <w:t>轻型汽车</w:t>
            </w:r>
          </w:p>
        </w:tc>
      </w:tr>
      <w:tr w14:paraId="032FAA7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9" w:hRule="atLeast"/>
          <w:jc w:val="center"/>
        </w:trPr>
        <w:tc>
          <w:tcPr>
            <w:tcW w:w="583" w:type="dxa"/>
            <w:vMerge w:val="restart"/>
            <w:tcBorders>
              <w:bottom w:val="nil"/>
            </w:tcBorders>
          </w:tcPr>
          <w:p w14:paraId="15CFA3FF">
            <w:pPr>
              <w:pStyle w:val="234"/>
              <w:spacing w:before="97" w:line="184" w:lineRule="auto"/>
              <w:ind w:left="128"/>
              <w:rPr>
                <w:rFonts w:hint="eastAsia"/>
              </w:rPr>
            </w:pPr>
            <w:r>
              <w:rPr>
                <w:spacing w:val="-10"/>
              </w:rPr>
              <w:t>11</w:t>
            </w:r>
          </w:p>
        </w:tc>
        <w:tc>
          <w:tcPr>
            <w:tcW w:w="1542" w:type="dxa"/>
            <w:vMerge w:val="restart"/>
            <w:tcBorders>
              <w:bottom w:val="nil"/>
            </w:tcBorders>
          </w:tcPr>
          <w:p w14:paraId="59D33BB6">
            <w:pPr>
              <w:pStyle w:val="234"/>
              <w:spacing w:before="70" w:line="307" w:lineRule="auto"/>
              <w:ind w:left="109" w:right="108" w:hanging="7"/>
              <w:rPr>
                <w:rFonts w:hint="eastAsia"/>
              </w:rPr>
            </w:pPr>
            <w:r>
              <w:rPr>
                <w:spacing w:val="3"/>
              </w:rPr>
              <w:t>A020523</w:t>
            </w:r>
            <w:r>
              <w:rPr>
                <w:spacing w:val="34"/>
              </w:rPr>
              <w:t xml:space="preserve"> </w:t>
            </w:r>
            <w:r>
              <w:rPr>
                <w:spacing w:val="3"/>
              </w:rPr>
              <w:t>制冷空</w:t>
            </w:r>
            <w:r>
              <w:rPr>
                <w:spacing w:val="-2"/>
              </w:rPr>
              <w:t>调设备</w:t>
            </w:r>
          </w:p>
        </w:tc>
        <w:tc>
          <w:tcPr>
            <w:tcW w:w="2672" w:type="dxa"/>
          </w:tcPr>
          <w:p w14:paraId="17A6994D">
            <w:pPr>
              <w:pStyle w:val="234"/>
              <w:spacing w:before="70" w:line="219" w:lineRule="auto"/>
              <w:ind w:left="103"/>
              <w:rPr>
                <w:rFonts w:hint="eastAsia"/>
              </w:rPr>
            </w:pPr>
            <w:r>
              <w:t>A02052301 制冷压缩机</w:t>
            </w:r>
          </w:p>
        </w:tc>
        <w:tc>
          <w:tcPr>
            <w:tcW w:w="2248" w:type="dxa"/>
          </w:tcPr>
          <w:p w14:paraId="6D53CCD4">
            <w:pPr>
              <w:rPr>
                <w:rFonts w:ascii="Arial"/>
              </w:rPr>
            </w:pPr>
          </w:p>
        </w:tc>
        <w:tc>
          <w:tcPr>
            <w:tcW w:w="3543" w:type="dxa"/>
          </w:tcPr>
          <w:p w14:paraId="42E5C126">
            <w:pPr>
              <w:pStyle w:val="234"/>
              <w:spacing w:before="69" w:line="219" w:lineRule="auto"/>
              <w:ind w:left="109"/>
              <w:rPr>
                <w:rFonts w:hint="eastAsia"/>
              </w:rPr>
            </w:pPr>
            <w:r>
              <w:rPr>
                <w:spacing w:val="-1"/>
              </w:rPr>
              <w:t>HJ2531</w:t>
            </w:r>
            <w:r>
              <w:rPr>
                <w:spacing w:val="-32"/>
              </w:rPr>
              <w:t xml:space="preserve"> </w:t>
            </w:r>
            <w:r>
              <w:rPr>
                <w:spacing w:val="-1"/>
              </w:rPr>
              <w:t>工商用制冷设备</w:t>
            </w:r>
          </w:p>
        </w:tc>
      </w:tr>
      <w:tr w14:paraId="4CAFC25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bottom w:val="nil"/>
            </w:tcBorders>
          </w:tcPr>
          <w:p w14:paraId="56AA9082">
            <w:pPr>
              <w:rPr>
                <w:rFonts w:ascii="Arial"/>
              </w:rPr>
            </w:pPr>
          </w:p>
        </w:tc>
        <w:tc>
          <w:tcPr>
            <w:tcW w:w="1542" w:type="dxa"/>
            <w:vMerge w:val="continue"/>
            <w:tcBorders>
              <w:top w:val="nil"/>
              <w:bottom w:val="nil"/>
            </w:tcBorders>
          </w:tcPr>
          <w:p w14:paraId="6876B4CD">
            <w:pPr>
              <w:rPr>
                <w:rFonts w:ascii="Arial"/>
              </w:rPr>
            </w:pPr>
          </w:p>
        </w:tc>
        <w:tc>
          <w:tcPr>
            <w:tcW w:w="2672" w:type="dxa"/>
          </w:tcPr>
          <w:p w14:paraId="2D030AB2">
            <w:pPr>
              <w:pStyle w:val="234"/>
              <w:spacing w:before="67" w:line="219" w:lineRule="auto"/>
              <w:ind w:left="103"/>
              <w:rPr>
                <w:rFonts w:hint="eastAsia"/>
              </w:rPr>
            </w:pPr>
            <w:r>
              <w:t>A02052305 空调机组</w:t>
            </w:r>
          </w:p>
        </w:tc>
        <w:tc>
          <w:tcPr>
            <w:tcW w:w="2248" w:type="dxa"/>
          </w:tcPr>
          <w:p w14:paraId="68BE098E">
            <w:pPr>
              <w:rPr>
                <w:rFonts w:ascii="Arial"/>
              </w:rPr>
            </w:pPr>
          </w:p>
        </w:tc>
        <w:tc>
          <w:tcPr>
            <w:tcW w:w="3543" w:type="dxa"/>
          </w:tcPr>
          <w:p w14:paraId="5D8183F2">
            <w:pPr>
              <w:pStyle w:val="234"/>
              <w:spacing w:before="67" w:line="219" w:lineRule="auto"/>
              <w:ind w:left="109"/>
              <w:rPr>
                <w:rFonts w:hint="eastAsia"/>
              </w:rPr>
            </w:pPr>
            <w:r>
              <w:rPr>
                <w:spacing w:val="-1"/>
              </w:rPr>
              <w:t>HJ2531</w:t>
            </w:r>
            <w:r>
              <w:rPr>
                <w:spacing w:val="-32"/>
              </w:rPr>
              <w:t xml:space="preserve"> </w:t>
            </w:r>
            <w:r>
              <w:rPr>
                <w:spacing w:val="-1"/>
              </w:rPr>
              <w:t>工商用制冷设备</w:t>
            </w:r>
          </w:p>
        </w:tc>
      </w:tr>
      <w:tr w14:paraId="25C95B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6" w:hRule="atLeast"/>
          <w:jc w:val="center"/>
        </w:trPr>
        <w:tc>
          <w:tcPr>
            <w:tcW w:w="583" w:type="dxa"/>
            <w:vMerge w:val="continue"/>
            <w:tcBorders>
              <w:top w:val="nil"/>
            </w:tcBorders>
          </w:tcPr>
          <w:p w14:paraId="0DBE6A61">
            <w:pPr>
              <w:rPr>
                <w:rFonts w:ascii="Arial"/>
              </w:rPr>
            </w:pPr>
          </w:p>
        </w:tc>
        <w:tc>
          <w:tcPr>
            <w:tcW w:w="1542" w:type="dxa"/>
            <w:vMerge w:val="continue"/>
            <w:tcBorders>
              <w:top w:val="nil"/>
            </w:tcBorders>
          </w:tcPr>
          <w:p w14:paraId="5D03D39E">
            <w:pPr>
              <w:rPr>
                <w:rFonts w:ascii="Arial"/>
              </w:rPr>
            </w:pPr>
          </w:p>
        </w:tc>
        <w:tc>
          <w:tcPr>
            <w:tcW w:w="2672" w:type="dxa"/>
          </w:tcPr>
          <w:p w14:paraId="76DA4011">
            <w:pPr>
              <w:pStyle w:val="234"/>
              <w:spacing w:before="67" w:line="221" w:lineRule="auto"/>
              <w:ind w:left="103"/>
              <w:rPr>
                <w:rFonts w:hint="eastAsia"/>
                <w:lang w:eastAsia="zh-CN"/>
              </w:rPr>
            </w:pPr>
            <w:r>
              <w:rPr>
                <w:spacing w:val="-2"/>
                <w:lang w:eastAsia="zh-CN"/>
              </w:rPr>
              <w:t>A02052309</w:t>
            </w:r>
            <w:r>
              <w:rPr>
                <w:spacing w:val="-27"/>
                <w:lang w:eastAsia="zh-CN"/>
              </w:rPr>
              <w:t xml:space="preserve"> </w:t>
            </w:r>
            <w:r>
              <w:rPr>
                <w:spacing w:val="-2"/>
                <w:lang w:eastAsia="zh-CN"/>
              </w:rPr>
              <w:t>专用制冷、空调设备</w:t>
            </w:r>
          </w:p>
        </w:tc>
        <w:tc>
          <w:tcPr>
            <w:tcW w:w="2248" w:type="dxa"/>
          </w:tcPr>
          <w:p w14:paraId="2DD8CD0E">
            <w:pPr>
              <w:rPr>
                <w:rFonts w:ascii="Arial"/>
              </w:rPr>
            </w:pPr>
          </w:p>
        </w:tc>
        <w:tc>
          <w:tcPr>
            <w:tcW w:w="3543" w:type="dxa"/>
          </w:tcPr>
          <w:p w14:paraId="713F55BE">
            <w:pPr>
              <w:pStyle w:val="234"/>
              <w:spacing w:before="67" w:line="219" w:lineRule="auto"/>
              <w:ind w:left="109"/>
              <w:rPr>
                <w:rFonts w:hint="eastAsia"/>
              </w:rPr>
            </w:pPr>
            <w:r>
              <w:rPr>
                <w:spacing w:val="-1"/>
              </w:rPr>
              <w:t>HJ2531</w:t>
            </w:r>
            <w:r>
              <w:rPr>
                <w:spacing w:val="-32"/>
              </w:rPr>
              <w:t xml:space="preserve"> </w:t>
            </w:r>
            <w:r>
              <w:rPr>
                <w:spacing w:val="-1"/>
              </w:rPr>
              <w:t>工商用制冷设备</w:t>
            </w:r>
          </w:p>
        </w:tc>
      </w:tr>
      <w:tr w14:paraId="689EBF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8B6D378">
            <w:pPr>
              <w:pStyle w:val="234"/>
              <w:spacing w:before="96" w:line="184" w:lineRule="auto"/>
              <w:ind w:left="128"/>
              <w:rPr>
                <w:rFonts w:hint="eastAsia"/>
              </w:rPr>
            </w:pPr>
            <w:r>
              <w:rPr>
                <w:spacing w:val="-10"/>
              </w:rPr>
              <w:t>12</w:t>
            </w:r>
          </w:p>
        </w:tc>
        <w:tc>
          <w:tcPr>
            <w:tcW w:w="1542" w:type="dxa"/>
            <w:vMerge w:val="restart"/>
            <w:tcBorders>
              <w:bottom w:val="nil"/>
            </w:tcBorders>
          </w:tcPr>
          <w:p w14:paraId="58DB82F3">
            <w:pPr>
              <w:pStyle w:val="234"/>
              <w:spacing w:before="68" w:line="309" w:lineRule="auto"/>
              <w:ind w:left="128" w:right="108" w:hanging="26"/>
              <w:rPr>
                <w:rFonts w:hint="eastAsia"/>
              </w:rPr>
            </w:pPr>
            <w:r>
              <w:rPr>
                <w:spacing w:val="3"/>
              </w:rPr>
              <w:t>A020618</w:t>
            </w:r>
            <w:r>
              <w:rPr>
                <w:spacing w:val="34"/>
              </w:rPr>
              <w:t xml:space="preserve"> </w:t>
            </w:r>
            <w:r>
              <w:rPr>
                <w:spacing w:val="3"/>
              </w:rPr>
              <w:t>生活用</w:t>
            </w:r>
            <w:r>
              <w:rPr>
                <w:spacing w:val="-8"/>
              </w:rPr>
              <w:t>电器</w:t>
            </w:r>
          </w:p>
        </w:tc>
        <w:tc>
          <w:tcPr>
            <w:tcW w:w="2672" w:type="dxa"/>
          </w:tcPr>
          <w:p w14:paraId="783B94BE">
            <w:pPr>
              <w:pStyle w:val="234"/>
              <w:spacing w:before="68" w:line="221" w:lineRule="auto"/>
              <w:ind w:left="103"/>
              <w:rPr>
                <w:rFonts w:hint="eastAsia"/>
              </w:rPr>
            </w:pPr>
            <w:r>
              <w:rPr>
                <w:spacing w:val="-1"/>
              </w:rPr>
              <w:t>A02061802</w:t>
            </w:r>
            <w:r>
              <w:rPr>
                <w:spacing w:val="-29"/>
              </w:rPr>
              <w:t xml:space="preserve"> </w:t>
            </w:r>
            <w:r>
              <w:rPr>
                <w:spacing w:val="-1"/>
              </w:rPr>
              <w:t>空气调节电器</w:t>
            </w:r>
          </w:p>
        </w:tc>
        <w:tc>
          <w:tcPr>
            <w:tcW w:w="2248" w:type="dxa"/>
          </w:tcPr>
          <w:p w14:paraId="20C62F84">
            <w:pPr>
              <w:pStyle w:val="234"/>
              <w:spacing w:before="68" w:line="219" w:lineRule="auto"/>
              <w:ind w:left="105"/>
              <w:rPr>
                <w:rFonts w:hint="eastAsia"/>
              </w:rPr>
            </w:pPr>
            <w:r>
              <w:rPr>
                <w:spacing w:val="-1"/>
              </w:rPr>
              <w:t>A0206180203</w:t>
            </w:r>
            <w:r>
              <w:rPr>
                <w:spacing w:val="-28"/>
              </w:rPr>
              <w:t xml:space="preserve"> </w:t>
            </w:r>
            <w:r>
              <w:rPr>
                <w:spacing w:val="-1"/>
              </w:rPr>
              <w:t>空调机</w:t>
            </w:r>
          </w:p>
        </w:tc>
        <w:tc>
          <w:tcPr>
            <w:tcW w:w="3543" w:type="dxa"/>
          </w:tcPr>
          <w:p w14:paraId="6E19A368">
            <w:pPr>
              <w:pStyle w:val="234"/>
              <w:spacing w:before="68" w:line="219" w:lineRule="auto"/>
              <w:ind w:left="109"/>
              <w:rPr>
                <w:rFonts w:hint="eastAsia"/>
              </w:rPr>
            </w:pPr>
            <w:r>
              <w:rPr>
                <w:spacing w:val="-1"/>
              </w:rPr>
              <w:t>HJ2535</w:t>
            </w:r>
            <w:r>
              <w:rPr>
                <w:spacing w:val="-32"/>
              </w:rPr>
              <w:t xml:space="preserve"> </w:t>
            </w:r>
            <w:r>
              <w:rPr>
                <w:spacing w:val="-1"/>
              </w:rPr>
              <w:t>房间空气调节器</w:t>
            </w:r>
          </w:p>
        </w:tc>
      </w:tr>
      <w:tr w14:paraId="43EE76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0" w:hRule="atLeast"/>
          <w:jc w:val="center"/>
        </w:trPr>
        <w:tc>
          <w:tcPr>
            <w:tcW w:w="583" w:type="dxa"/>
            <w:vMerge w:val="continue"/>
            <w:tcBorders>
              <w:top w:val="nil"/>
            </w:tcBorders>
          </w:tcPr>
          <w:p w14:paraId="2D2268C7">
            <w:pPr>
              <w:rPr>
                <w:rFonts w:ascii="Arial"/>
              </w:rPr>
            </w:pPr>
          </w:p>
        </w:tc>
        <w:tc>
          <w:tcPr>
            <w:tcW w:w="1542" w:type="dxa"/>
            <w:vMerge w:val="continue"/>
            <w:tcBorders>
              <w:top w:val="nil"/>
            </w:tcBorders>
          </w:tcPr>
          <w:p w14:paraId="1C1A6C44">
            <w:pPr>
              <w:rPr>
                <w:rFonts w:ascii="Arial"/>
              </w:rPr>
            </w:pPr>
          </w:p>
        </w:tc>
        <w:tc>
          <w:tcPr>
            <w:tcW w:w="2672" w:type="dxa"/>
          </w:tcPr>
          <w:p w14:paraId="3CB83B9A">
            <w:pPr>
              <w:pStyle w:val="234"/>
              <w:spacing w:before="68" w:line="220" w:lineRule="auto"/>
              <w:ind w:left="103"/>
              <w:rPr>
                <w:rFonts w:hint="eastAsia"/>
              </w:rPr>
            </w:pPr>
            <w:r>
              <w:rPr>
                <w:spacing w:val="-1"/>
              </w:rPr>
              <w:t>A02061808</w:t>
            </w:r>
            <w:r>
              <w:rPr>
                <w:spacing w:val="-31"/>
              </w:rPr>
              <w:t xml:space="preserve"> </w:t>
            </w:r>
            <w:r>
              <w:rPr>
                <w:spacing w:val="-1"/>
              </w:rPr>
              <w:t>热水器</w:t>
            </w:r>
          </w:p>
        </w:tc>
        <w:tc>
          <w:tcPr>
            <w:tcW w:w="2248" w:type="dxa"/>
          </w:tcPr>
          <w:p w14:paraId="02D3670E">
            <w:pPr>
              <w:rPr>
                <w:rFonts w:ascii="Arial"/>
              </w:rPr>
            </w:pPr>
          </w:p>
        </w:tc>
        <w:tc>
          <w:tcPr>
            <w:tcW w:w="3543" w:type="dxa"/>
          </w:tcPr>
          <w:p w14:paraId="03252AFA">
            <w:pPr>
              <w:pStyle w:val="234"/>
              <w:spacing w:before="67" w:line="219" w:lineRule="auto"/>
              <w:ind w:left="109"/>
              <w:rPr>
                <w:rFonts w:hint="eastAsia"/>
              </w:rPr>
            </w:pPr>
            <w:r>
              <w:rPr>
                <w:spacing w:val="-1"/>
              </w:rPr>
              <w:t>HJ/T362</w:t>
            </w:r>
            <w:r>
              <w:rPr>
                <w:spacing w:val="-33"/>
              </w:rPr>
              <w:t xml:space="preserve"> </w:t>
            </w:r>
            <w:r>
              <w:rPr>
                <w:spacing w:val="-1"/>
              </w:rPr>
              <w:t>太阳能集热器</w:t>
            </w:r>
          </w:p>
        </w:tc>
      </w:tr>
      <w:tr w14:paraId="1AB760D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E4D164E">
            <w:pPr>
              <w:pStyle w:val="234"/>
              <w:spacing w:before="95" w:line="184" w:lineRule="auto"/>
              <w:ind w:left="128"/>
              <w:rPr>
                <w:rFonts w:hint="eastAsia"/>
              </w:rPr>
            </w:pPr>
            <w:r>
              <w:rPr>
                <w:spacing w:val="-10"/>
              </w:rPr>
              <w:t>13</w:t>
            </w:r>
          </w:p>
        </w:tc>
        <w:tc>
          <w:tcPr>
            <w:tcW w:w="1542" w:type="dxa"/>
          </w:tcPr>
          <w:p w14:paraId="5E5D79A3">
            <w:pPr>
              <w:pStyle w:val="234"/>
              <w:spacing w:before="69" w:line="284" w:lineRule="auto"/>
              <w:ind w:left="109" w:right="108" w:hanging="7"/>
              <w:rPr>
                <w:rFonts w:hint="eastAsia"/>
              </w:rPr>
            </w:pPr>
            <w:r>
              <w:rPr>
                <w:spacing w:val="-2"/>
              </w:rPr>
              <w:t>A020619</w:t>
            </w:r>
            <w:r>
              <w:rPr>
                <w:spacing w:val="39"/>
              </w:rPr>
              <w:t xml:space="preserve"> </w:t>
            </w:r>
            <w:r>
              <w:rPr>
                <w:spacing w:val="-2"/>
              </w:rPr>
              <w:t>照</w:t>
            </w:r>
            <w:r>
              <w:rPr>
                <w:spacing w:val="-45"/>
              </w:rPr>
              <w:t xml:space="preserve"> </w:t>
            </w:r>
            <w:r>
              <w:rPr>
                <w:spacing w:val="-2"/>
              </w:rPr>
              <w:t>明设</w:t>
            </w:r>
            <w:r>
              <w:t xml:space="preserve"> 备</w:t>
            </w:r>
          </w:p>
        </w:tc>
        <w:tc>
          <w:tcPr>
            <w:tcW w:w="2672" w:type="dxa"/>
          </w:tcPr>
          <w:p w14:paraId="4310511C">
            <w:pPr>
              <w:pStyle w:val="234"/>
              <w:spacing w:before="68" w:line="220" w:lineRule="auto"/>
              <w:ind w:left="103"/>
              <w:rPr>
                <w:rFonts w:hint="eastAsia"/>
              </w:rPr>
            </w:pPr>
            <w:r>
              <w:rPr>
                <w:spacing w:val="-1"/>
              </w:rPr>
              <w:t>A02061908</w:t>
            </w:r>
            <w:r>
              <w:rPr>
                <w:spacing w:val="-29"/>
              </w:rPr>
              <w:t xml:space="preserve"> </w:t>
            </w:r>
            <w:r>
              <w:rPr>
                <w:spacing w:val="-1"/>
              </w:rPr>
              <w:t>室内照明灯具</w:t>
            </w:r>
          </w:p>
        </w:tc>
        <w:tc>
          <w:tcPr>
            <w:tcW w:w="2248" w:type="dxa"/>
          </w:tcPr>
          <w:p w14:paraId="6404726A">
            <w:pPr>
              <w:rPr>
                <w:rFonts w:ascii="Arial"/>
              </w:rPr>
            </w:pPr>
          </w:p>
        </w:tc>
        <w:tc>
          <w:tcPr>
            <w:tcW w:w="3543" w:type="dxa"/>
          </w:tcPr>
          <w:p w14:paraId="19A64525">
            <w:pPr>
              <w:pStyle w:val="234"/>
              <w:spacing w:before="67" w:line="219" w:lineRule="auto"/>
              <w:ind w:left="109"/>
              <w:rPr>
                <w:rFonts w:hint="eastAsia"/>
              </w:rPr>
            </w:pPr>
            <w:r>
              <w:rPr>
                <w:spacing w:val="-1"/>
              </w:rPr>
              <w:t>HJ2518</w:t>
            </w:r>
            <w:r>
              <w:rPr>
                <w:spacing w:val="-35"/>
              </w:rPr>
              <w:t xml:space="preserve"> </w:t>
            </w:r>
            <w:r>
              <w:rPr>
                <w:spacing w:val="-1"/>
              </w:rPr>
              <w:t>照明光源</w:t>
            </w:r>
          </w:p>
        </w:tc>
      </w:tr>
      <w:tr w14:paraId="2A1169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080B5ED2">
            <w:pPr>
              <w:pStyle w:val="234"/>
              <w:spacing w:before="91" w:line="184" w:lineRule="auto"/>
              <w:ind w:left="128"/>
              <w:rPr>
                <w:rFonts w:hint="eastAsia"/>
              </w:rPr>
            </w:pPr>
            <w:r>
              <w:rPr>
                <w:spacing w:val="-10"/>
              </w:rPr>
              <w:t>14</w:t>
            </w:r>
          </w:p>
        </w:tc>
        <w:tc>
          <w:tcPr>
            <w:tcW w:w="1542" w:type="dxa"/>
          </w:tcPr>
          <w:p w14:paraId="374146AD">
            <w:pPr>
              <w:pStyle w:val="234"/>
              <w:spacing w:before="64" w:line="296" w:lineRule="auto"/>
              <w:ind w:left="109" w:right="106" w:hanging="7"/>
              <w:rPr>
                <w:rFonts w:hint="eastAsia"/>
                <w:lang w:eastAsia="zh-CN"/>
              </w:rPr>
            </w:pPr>
            <w:r>
              <w:rPr>
                <w:spacing w:val="3"/>
                <w:lang w:eastAsia="zh-CN"/>
              </w:rPr>
              <w:t>A020810</w:t>
            </w:r>
            <w:r>
              <w:rPr>
                <w:spacing w:val="34"/>
                <w:lang w:eastAsia="zh-CN"/>
              </w:rPr>
              <w:t xml:space="preserve"> </w:t>
            </w:r>
            <w:r>
              <w:rPr>
                <w:spacing w:val="3"/>
                <w:lang w:eastAsia="zh-CN"/>
              </w:rPr>
              <w:t>传真及</w:t>
            </w:r>
            <w:r>
              <w:rPr>
                <w:lang w:eastAsia="zh-CN"/>
              </w:rPr>
              <w:t xml:space="preserve"> </w:t>
            </w:r>
            <w:r>
              <w:rPr>
                <w:spacing w:val="8"/>
                <w:lang w:eastAsia="zh-CN"/>
              </w:rPr>
              <w:t>数据数字通信设</w:t>
            </w:r>
            <w:r>
              <w:rPr>
                <w:spacing w:val="4"/>
                <w:lang w:eastAsia="zh-CN"/>
              </w:rPr>
              <w:t xml:space="preserve"> </w:t>
            </w:r>
            <w:r>
              <w:rPr>
                <w:lang w:eastAsia="zh-CN"/>
              </w:rPr>
              <w:t>备</w:t>
            </w:r>
          </w:p>
        </w:tc>
        <w:tc>
          <w:tcPr>
            <w:tcW w:w="2672" w:type="dxa"/>
          </w:tcPr>
          <w:p w14:paraId="5E413103">
            <w:pPr>
              <w:pStyle w:val="234"/>
              <w:spacing w:before="64" w:line="219" w:lineRule="auto"/>
              <w:ind w:left="103"/>
              <w:rPr>
                <w:rFonts w:hint="eastAsia"/>
              </w:rPr>
            </w:pPr>
            <w:r>
              <w:rPr>
                <w:spacing w:val="-1"/>
              </w:rPr>
              <w:t>A02081001</w:t>
            </w:r>
            <w:r>
              <w:rPr>
                <w:spacing w:val="-30"/>
              </w:rPr>
              <w:t xml:space="preserve"> </w:t>
            </w:r>
            <w:r>
              <w:rPr>
                <w:spacing w:val="-1"/>
              </w:rPr>
              <w:t>传真通信设备</w:t>
            </w:r>
          </w:p>
        </w:tc>
        <w:tc>
          <w:tcPr>
            <w:tcW w:w="2248" w:type="dxa"/>
          </w:tcPr>
          <w:p w14:paraId="06023BF3">
            <w:pPr>
              <w:rPr>
                <w:rFonts w:ascii="Arial"/>
              </w:rPr>
            </w:pPr>
          </w:p>
        </w:tc>
        <w:tc>
          <w:tcPr>
            <w:tcW w:w="3543" w:type="dxa"/>
          </w:tcPr>
          <w:p w14:paraId="1EC2966C">
            <w:pPr>
              <w:pStyle w:val="234"/>
              <w:spacing w:before="63" w:line="219" w:lineRule="auto"/>
              <w:ind w:left="109"/>
              <w:rPr>
                <w:rFonts w:hint="eastAsia"/>
                <w:lang w:eastAsia="zh-CN"/>
              </w:rPr>
            </w:pPr>
            <w:r>
              <w:rPr>
                <w:spacing w:val="-1"/>
                <w:lang w:eastAsia="zh-CN"/>
              </w:rPr>
              <w:t>HJ2512</w:t>
            </w:r>
            <w:r>
              <w:rPr>
                <w:spacing w:val="-29"/>
                <w:lang w:eastAsia="zh-CN"/>
              </w:rPr>
              <w:t xml:space="preserve"> </w:t>
            </w:r>
            <w:r>
              <w:rPr>
                <w:spacing w:val="-1"/>
                <w:lang w:eastAsia="zh-CN"/>
              </w:rPr>
              <w:t>打印机、传真机及多功能一体机</w:t>
            </w:r>
          </w:p>
        </w:tc>
      </w:tr>
      <w:tr w14:paraId="0907BB8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78F9E94D">
            <w:pPr>
              <w:pStyle w:val="234"/>
              <w:spacing w:before="92" w:line="184" w:lineRule="auto"/>
              <w:ind w:left="128"/>
              <w:rPr>
                <w:rFonts w:hint="eastAsia"/>
              </w:rPr>
            </w:pPr>
            <w:r>
              <w:rPr>
                <w:spacing w:val="-10"/>
              </w:rPr>
              <w:t>15</w:t>
            </w:r>
          </w:p>
        </w:tc>
        <w:tc>
          <w:tcPr>
            <w:tcW w:w="1542" w:type="dxa"/>
            <w:vMerge w:val="restart"/>
            <w:tcBorders>
              <w:bottom w:val="nil"/>
            </w:tcBorders>
          </w:tcPr>
          <w:p w14:paraId="26782D87">
            <w:pPr>
              <w:pStyle w:val="234"/>
              <w:spacing w:before="65" w:line="307" w:lineRule="auto"/>
              <w:ind w:left="109" w:right="108" w:hanging="7"/>
              <w:rPr>
                <w:rFonts w:hint="eastAsia"/>
              </w:rPr>
            </w:pPr>
            <w:r>
              <w:rPr>
                <w:spacing w:val="1"/>
              </w:rPr>
              <w:t>A020910</w:t>
            </w:r>
            <w:r>
              <w:rPr>
                <w:spacing w:val="54"/>
              </w:rPr>
              <w:t xml:space="preserve"> </w:t>
            </w:r>
            <w:r>
              <w:rPr>
                <w:spacing w:val="1"/>
              </w:rPr>
              <w:t>电视设</w:t>
            </w:r>
            <w:r>
              <w:t xml:space="preserve"> 备</w:t>
            </w:r>
          </w:p>
        </w:tc>
        <w:tc>
          <w:tcPr>
            <w:tcW w:w="2672" w:type="dxa"/>
          </w:tcPr>
          <w:p w14:paraId="6B7765F0">
            <w:pPr>
              <w:pStyle w:val="234"/>
              <w:spacing w:before="64" w:line="284" w:lineRule="auto"/>
              <w:ind w:left="107" w:right="107" w:hanging="4"/>
              <w:rPr>
                <w:rFonts w:hint="eastAsia"/>
                <w:lang w:eastAsia="zh-CN"/>
              </w:rPr>
            </w:pPr>
            <w:r>
              <w:rPr>
                <w:spacing w:val="-2"/>
                <w:lang w:eastAsia="zh-CN"/>
              </w:rPr>
              <w:t>A02091001</w:t>
            </w:r>
            <w:r>
              <w:rPr>
                <w:spacing w:val="-29"/>
                <w:lang w:eastAsia="zh-CN"/>
              </w:rPr>
              <w:t xml:space="preserve"> </w:t>
            </w:r>
            <w:r>
              <w:rPr>
                <w:spacing w:val="-2"/>
                <w:lang w:eastAsia="zh-CN"/>
              </w:rPr>
              <w:t>普通电视设备（电视</w:t>
            </w:r>
            <w:r>
              <w:rPr>
                <w:lang w:eastAsia="zh-CN"/>
              </w:rPr>
              <w:t xml:space="preserve"> </w:t>
            </w:r>
            <w:r>
              <w:rPr>
                <w:spacing w:val="-4"/>
                <w:lang w:eastAsia="zh-CN"/>
              </w:rPr>
              <w:t>机）</w:t>
            </w:r>
          </w:p>
        </w:tc>
        <w:tc>
          <w:tcPr>
            <w:tcW w:w="2248" w:type="dxa"/>
          </w:tcPr>
          <w:p w14:paraId="5E8E967B">
            <w:pPr>
              <w:rPr>
                <w:rFonts w:ascii="Arial"/>
              </w:rPr>
            </w:pPr>
          </w:p>
        </w:tc>
        <w:tc>
          <w:tcPr>
            <w:tcW w:w="3543" w:type="dxa"/>
          </w:tcPr>
          <w:p w14:paraId="1F2FD4E9">
            <w:pPr>
              <w:pStyle w:val="234"/>
              <w:spacing w:before="64"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2BE6416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08B1C519">
            <w:pPr>
              <w:rPr>
                <w:rFonts w:ascii="Arial"/>
              </w:rPr>
            </w:pPr>
          </w:p>
        </w:tc>
        <w:tc>
          <w:tcPr>
            <w:tcW w:w="1542" w:type="dxa"/>
            <w:vMerge w:val="continue"/>
            <w:tcBorders>
              <w:top w:val="nil"/>
            </w:tcBorders>
          </w:tcPr>
          <w:p w14:paraId="26E2F326">
            <w:pPr>
              <w:rPr>
                <w:rFonts w:ascii="Arial"/>
              </w:rPr>
            </w:pPr>
          </w:p>
        </w:tc>
        <w:tc>
          <w:tcPr>
            <w:tcW w:w="2672" w:type="dxa"/>
          </w:tcPr>
          <w:p w14:paraId="6B96D2F1">
            <w:pPr>
              <w:pStyle w:val="234"/>
              <w:spacing w:before="67" w:line="284" w:lineRule="auto"/>
              <w:ind w:left="111" w:right="107" w:hanging="8"/>
              <w:rPr>
                <w:rFonts w:hint="eastAsia"/>
                <w:lang w:eastAsia="zh-CN"/>
              </w:rPr>
            </w:pPr>
            <w:r>
              <w:rPr>
                <w:spacing w:val="6"/>
                <w:lang w:eastAsia="zh-CN"/>
              </w:rPr>
              <w:t>A02091003 特殊功能应用电视</w:t>
            </w:r>
            <w:r>
              <w:rPr>
                <w:spacing w:val="7"/>
                <w:lang w:eastAsia="zh-CN"/>
              </w:rPr>
              <w:t xml:space="preserve"> </w:t>
            </w:r>
            <w:r>
              <w:rPr>
                <w:spacing w:val="-3"/>
                <w:lang w:eastAsia="zh-CN"/>
              </w:rPr>
              <w:t>设备</w:t>
            </w:r>
          </w:p>
        </w:tc>
        <w:tc>
          <w:tcPr>
            <w:tcW w:w="2248" w:type="dxa"/>
          </w:tcPr>
          <w:p w14:paraId="14275519">
            <w:pPr>
              <w:rPr>
                <w:rFonts w:ascii="Arial"/>
              </w:rPr>
            </w:pPr>
          </w:p>
        </w:tc>
        <w:tc>
          <w:tcPr>
            <w:tcW w:w="3543" w:type="dxa"/>
          </w:tcPr>
          <w:p w14:paraId="43F86923">
            <w:pPr>
              <w:pStyle w:val="234"/>
              <w:spacing w:before="67" w:line="219" w:lineRule="auto"/>
              <w:ind w:left="109"/>
              <w:rPr>
                <w:rFonts w:hint="eastAsia"/>
                <w:lang w:eastAsia="zh-CN"/>
              </w:rPr>
            </w:pPr>
            <w:r>
              <w:rPr>
                <w:spacing w:val="-1"/>
                <w:lang w:eastAsia="zh-CN"/>
              </w:rPr>
              <w:t>HJ2506</w:t>
            </w:r>
            <w:r>
              <w:rPr>
                <w:spacing w:val="-31"/>
                <w:lang w:eastAsia="zh-CN"/>
              </w:rPr>
              <w:t xml:space="preserve"> </w:t>
            </w:r>
            <w:r>
              <w:rPr>
                <w:spacing w:val="-1"/>
                <w:lang w:eastAsia="zh-CN"/>
              </w:rPr>
              <w:t>彩色电视广播接收机</w:t>
            </w:r>
          </w:p>
        </w:tc>
      </w:tr>
      <w:tr w14:paraId="1D811C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restart"/>
            <w:tcBorders>
              <w:bottom w:val="nil"/>
            </w:tcBorders>
          </w:tcPr>
          <w:p w14:paraId="3B66DBAA">
            <w:pPr>
              <w:pStyle w:val="234"/>
              <w:spacing w:before="92" w:line="184" w:lineRule="auto"/>
              <w:ind w:left="128"/>
              <w:rPr>
                <w:rFonts w:hint="eastAsia"/>
              </w:rPr>
            </w:pPr>
            <w:r>
              <w:rPr>
                <w:spacing w:val="-10"/>
              </w:rPr>
              <w:t>16</w:t>
            </w:r>
          </w:p>
        </w:tc>
        <w:tc>
          <w:tcPr>
            <w:tcW w:w="1542" w:type="dxa"/>
            <w:vMerge w:val="restart"/>
            <w:tcBorders>
              <w:bottom w:val="nil"/>
            </w:tcBorders>
          </w:tcPr>
          <w:p w14:paraId="7405CFC9">
            <w:pPr>
              <w:pStyle w:val="234"/>
              <w:spacing w:before="65" w:line="220" w:lineRule="auto"/>
              <w:ind w:left="193"/>
              <w:rPr>
                <w:rFonts w:hint="eastAsia"/>
              </w:rPr>
            </w:pPr>
            <w:r>
              <w:rPr>
                <w:spacing w:val="-1"/>
              </w:rPr>
              <w:t>A0601</w:t>
            </w:r>
            <w:r>
              <w:rPr>
                <w:spacing w:val="-36"/>
              </w:rPr>
              <w:t xml:space="preserve"> </w:t>
            </w:r>
            <w:r>
              <w:rPr>
                <w:spacing w:val="-1"/>
              </w:rPr>
              <w:t>床类</w:t>
            </w:r>
          </w:p>
        </w:tc>
        <w:tc>
          <w:tcPr>
            <w:tcW w:w="2672" w:type="dxa"/>
          </w:tcPr>
          <w:p w14:paraId="1E0159B8">
            <w:pPr>
              <w:pStyle w:val="234"/>
              <w:spacing w:before="65" w:line="220" w:lineRule="auto"/>
              <w:ind w:left="103"/>
              <w:rPr>
                <w:rFonts w:hint="eastAsia"/>
              </w:rPr>
            </w:pPr>
            <w:r>
              <w:rPr>
                <w:spacing w:val="-1"/>
              </w:rPr>
              <w:t>A060101</w:t>
            </w:r>
            <w:r>
              <w:rPr>
                <w:spacing w:val="-34"/>
              </w:rPr>
              <w:t xml:space="preserve"> </w:t>
            </w:r>
            <w:r>
              <w:rPr>
                <w:spacing w:val="-1"/>
              </w:rPr>
              <w:t>钢木床类</w:t>
            </w:r>
          </w:p>
        </w:tc>
        <w:tc>
          <w:tcPr>
            <w:tcW w:w="2248" w:type="dxa"/>
          </w:tcPr>
          <w:p w14:paraId="34DB9986">
            <w:pPr>
              <w:rPr>
                <w:rFonts w:ascii="Arial"/>
              </w:rPr>
            </w:pPr>
          </w:p>
        </w:tc>
        <w:tc>
          <w:tcPr>
            <w:tcW w:w="3543" w:type="dxa"/>
          </w:tcPr>
          <w:p w14:paraId="679D6D90">
            <w:pPr>
              <w:pStyle w:val="234"/>
              <w:spacing w:before="64"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F4D680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4" w:hRule="atLeast"/>
          <w:jc w:val="center"/>
        </w:trPr>
        <w:tc>
          <w:tcPr>
            <w:tcW w:w="583" w:type="dxa"/>
            <w:vMerge w:val="continue"/>
            <w:tcBorders>
              <w:top w:val="nil"/>
              <w:bottom w:val="nil"/>
            </w:tcBorders>
          </w:tcPr>
          <w:p w14:paraId="7D3DCF55">
            <w:pPr>
              <w:rPr>
                <w:rFonts w:ascii="Arial"/>
              </w:rPr>
            </w:pPr>
          </w:p>
        </w:tc>
        <w:tc>
          <w:tcPr>
            <w:tcW w:w="1542" w:type="dxa"/>
            <w:vMerge w:val="continue"/>
            <w:tcBorders>
              <w:top w:val="nil"/>
              <w:bottom w:val="nil"/>
            </w:tcBorders>
          </w:tcPr>
          <w:p w14:paraId="4747E9CA">
            <w:pPr>
              <w:rPr>
                <w:rFonts w:ascii="Arial"/>
              </w:rPr>
            </w:pPr>
          </w:p>
        </w:tc>
        <w:tc>
          <w:tcPr>
            <w:tcW w:w="2672" w:type="dxa"/>
          </w:tcPr>
          <w:p w14:paraId="2CE0B23E">
            <w:pPr>
              <w:pStyle w:val="234"/>
              <w:spacing w:before="65" w:line="220" w:lineRule="auto"/>
              <w:ind w:left="103"/>
              <w:rPr>
                <w:rFonts w:hint="eastAsia"/>
              </w:rPr>
            </w:pPr>
            <w:r>
              <w:rPr>
                <w:spacing w:val="-1"/>
              </w:rPr>
              <w:t>A060104</w:t>
            </w:r>
            <w:r>
              <w:rPr>
                <w:spacing w:val="-33"/>
              </w:rPr>
              <w:t xml:space="preserve"> </w:t>
            </w:r>
            <w:r>
              <w:rPr>
                <w:spacing w:val="-1"/>
              </w:rPr>
              <w:t>木制床类</w:t>
            </w:r>
          </w:p>
        </w:tc>
        <w:tc>
          <w:tcPr>
            <w:tcW w:w="2248" w:type="dxa"/>
          </w:tcPr>
          <w:p w14:paraId="4322AF6B">
            <w:pPr>
              <w:rPr>
                <w:rFonts w:ascii="Arial"/>
              </w:rPr>
            </w:pPr>
          </w:p>
        </w:tc>
        <w:tc>
          <w:tcPr>
            <w:tcW w:w="3543" w:type="dxa"/>
          </w:tcPr>
          <w:p w14:paraId="24B06CDF">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2D6254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779D87AC">
            <w:pPr>
              <w:rPr>
                <w:rFonts w:ascii="Arial"/>
              </w:rPr>
            </w:pPr>
          </w:p>
        </w:tc>
        <w:tc>
          <w:tcPr>
            <w:tcW w:w="1542" w:type="dxa"/>
            <w:vMerge w:val="continue"/>
            <w:tcBorders>
              <w:top w:val="nil"/>
            </w:tcBorders>
          </w:tcPr>
          <w:p w14:paraId="716AC03A">
            <w:pPr>
              <w:rPr>
                <w:rFonts w:ascii="Arial"/>
              </w:rPr>
            </w:pPr>
          </w:p>
        </w:tc>
        <w:tc>
          <w:tcPr>
            <w:tcW w:w="2672" w:type="dxa"/>
          </w:tcPr>
          <w:p w14:paraId="275D5CE5">
            <w:pPr>
              <w:pStyle w:val="234"/>
              <w:spacing w:before="65" w:line="220" w:lineRule="auto"/>
              <w:ind w:left="103"/>
              <w:rPr>
                <w:rFonts w:hint="eastAsia"/>
              </w:rPr>
            </w:pPr>
            <w:r>
              <w:rPr>
                <w:spacing w:val="-1"/>
              </w:rPr>
              <w:t>A060199</w:t>
            </w:r>
            <w:r>
              <w:rPr>
                <w:spacing w:val="-33"/>
              </w:rPr>
              <w:t xml:space="preserve"> </w:t>
            </w:r>
            <w:r>
              <w:rPr>
                <w:spacing w:val="-1"/>
              </w:rPr>
              <w:t>其他床类</w:t>
            </w:r>
          </w:p>
        </w:tc>
        <w:tc>
          <w:tcPr>
            <w:tcW w:w="2248" w:type="dxa"/>
          </w:tcPr>
          <w:p w14:paraId="43C17F5A">
            <w:pPr>
              <w:rPr>
                <w:rFonts w:ascii="Arial"/>
              </w:rPr>
            </w:pPr>
          </w:p>
        </w:tc>
        <w:tc>
          <w:tcPr>
            <w:tcW w:w="3543" w:type="dxa"/>
          </w:tcPr>
          <w:p w14:paraId="713F8871">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1BC324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0586EC2">
            <w:pPr>
              <w:pStyle w:val="234"/>
              <w:spacing w:before="93" w:line="184" w:lineRule="auto"/>
              <w:ind w:left="128"/>
              <w:rPr>
                <w:rFonts w:hint="eastAsia"/>
              </w:rPr>
            </w:pPr>
            <w:r>
              <w:rPr>
                <w:spacing w:val="-10"/>
              </w:rPr>
              <w:t>17</w:t>
            </w:r>
          </w:p>
        </w:tc>
        <w:tc>
          <w:tcPr>
            <w:tcW w:w="1542" w:type="dxa"/>
            <w:vMerge w:val="restart"/>
            <w:tcBorders>
              <w:bottom w:val="nil"/>
            </w:tcBorders>
          </w:tcPr>
          <w:p w14:paraId="4B9DDB7F">
            <w:pPr>
              <w:pStyle w:val="234"/>
              <w:spacing w:before="65" w:line="220" w:lineRule="auto"/>
              <w:ind w:left="102"/>
              <w:rPr>
                <w:rFonts w:hint="eastAsia"/>
              </w:rPr>
            </w:pPr>
            <w:r>
              <w:rPr>
                <w:spacing w:val="-2"/>
              </w:rPr>
              <w:t>A0602</w:t>
            </w:r>
            <w:r>
              <w:rPr>
                <w:spacing w:val="-22"/>
              </w:rPr>
              <w:t xml:space="preserve"> </w:t>
            </w:r>
            <w:r>
              <w:rPr>
                <w:spacing w:val="-2"/>
              </w:rPr>
              <w:t>台、桌类</w:t>
            </w:r>
          </w:p>
        </w:tc>
        <w:tc>
          <w:tcPr>
            <w:tcW w:w="2672" w:type="dxa"/>
          </w:tcPr>
          <w:p w14:paraId="01FA7ADF">
            <w:pPr>
              <w:pStyle w:val="234"/>
              <w:spacing w:before="65" w:line="220" w:lineRule="auto"/>
              <w:ind w:left="103"/>
              <w:rPr>
                <w:rFonts w:hint="eastAsia"/>
              </w:rPr>
            </w:pPr>
            <w:r>
              <w:rPr>
                <w:spacing w:val="-1"/>
              </w:rPr>
              <w:t>A060201</w:t>
            </w:r>
            <w:r>
              <w:rPr>
                <w:spacing w:val="-29"/>
              </w:rPr>
              <w:t xml:space="preserve"> </w:t>
            </w:r>
            <w:r>
              <w:rPr>
                <w:spacing w:val="-1"/>
              </w:rPr>
              <w:t>钢木台、桌类</w:t>
            </w:r>
          </w:p>
        </w:tc>
        <w:tc>
          <w:tcPr>
            <w:tcW w:w="2248" w:type="dxa"/>
          </w:tcPr>
          <w:p w14:paraId="0148676D">
            <w:pPr>
              <w:rPr>
                <w:rFonts w:ascii="Arial"/>
              </w:rPr>
            </w:pPr>
          </w:p>
        </w:tc>
        <w:tc>
          <w:tcPr>
            <w:tcW w:w="3543" w:type="dxa"/>
          </w:tcPr>
          <w:p w14:paraId="51B46CBB">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A6E61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7BE06C55">
            <w:pPr>
              <w:rPr>
                <w:rFonts w:ascii="Arial"/>
              </w:rPr>
            </w:pPr>
          </w:p>
        </w:tc>
        <w:tc>
          <w:tcPr>
            <w:tcW w:w="1542" w:type="dxa"/>
            <w:vMerge w:val="continue"/>
            <w:tcBorders>
              <w:top w:val="nil"/>
              <w:bottom w:val="nil"/>
            </w:tcBorders>
          </w:tcPr>
          <w:p w14:paraId="6BA8E3B9">
            <w:pPr>
              <w:rPr>
                <w:rFonts w:ascii="Arial"/>
              </w:rPr>
            </w:pPr>
          </w:p>
        </w:tc>
        <w:tc>
          <w:tcPr>
            <w:tcW w:w="2672" w:type="dxa"/>
          </w:tcPr>
          <w:p w14:paraId="4935314F">
            <w:pPr>
              <w:pStyle w:val="234"/>
              <w:spacing w:before="65" w:line="220" w:lineRule="auto"/>
              <w:ind w:left="103"/>
              <w:rPr>
                <w:rFonts w:hint="eastAsia"/>
              </w:rPr>
            </w:pPr>
            <w:r>
              <w:rPr>
                <w:spacing w:val="-1"/>
              </w:rPr>
              <w:t>A060205</w:t>
            </w:r>
            <w:r>
              <w:rPr>
                <w:spacing w:val="-29"/>
              </w:rPr>
              <w:t xml:space="preserve"> </w:t>
            </w:r>
            <w:r>
              <w:rPr>
                <w:spacing w:val="-1"/>
              </w:rPr>
              <w:t>木制台、桌类</w:t>
            </w:r>
          </w:p>
        </w:tc>
        <w:tc>
          <w:tcPr>
            <w:tcW w:w="2248" w:type="dxa"/>
          </w:tcPr>
          <w:p w14:paraId="18B17C58">
            <w:pPr>
              <w:rPr>
                <w:rFonts w:ascii="Arial"/>
              </w:rPr>
            </w:pPr>
          </w:p>
        </w:tc>
        <w:tc>
          <w:tcPr>
            <w:tcW w:w="3543" w:type="dxa"/>
          </w:tcPr>
          <w:p w14:paraId="6BFBEADF">
            <w:pPr>
              <w:pStyle w:val="234"/>
              <w:spacing w:before="65"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5290E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37B17C20">
            <w:pPr>
              <w:rPr>
                <w:rFonts w:ascii="Arial"/>
              </w:rPr>
            </w:pPr>
          </w:p>
        </w:tc>
        <w:tc>
          <w:tcPr>
            <w:tcW w:w="1542" w:type="dxa"/>
            <w:vMerge w:val="continue"/>
            <w:tcBorders>
              <w:top w:val="nil"/>
            </w:tcBorders>
          </w:tcPr>
          <w:p w14:paraId="2EF3BC54">
            <w:pPr>
              <w:rPr>
                <w:rFonts w:ascii="Arial"/>
              </w:rPr>
            </w:pPr>
          </w:p>
        </w:tc>
        <w:tc>
          <w:tcPr>
            <w:tcW w:w="2672" w:type="dxa"/>
          </w:tcPr>
          <w:p w14:paraId="578CC126">
            <w:pPr>
              <w:pStyle w:val="234"/>
              <w:spacing w:before="66" w:line="220" w:lineRule="auto"/>
              <w:ind w:left="103"/>
              <w:rPr>
                <w:rFonts w:hint="eastAsia"/>
              </w:rPr>
            </w:pPr>
            <w:r>
              <w:rPr>
                <w:spacing w:val="-1"/>
              </w:rPr>
              <w:t>A060299</w:t>
            </w:r>
            <w:r>
              <w:rPr>
                <w:spacing w:val="-29"/>
              </w:rPr>
              <w:t xml:space="preserve"> </w:t>
            </w:r>
            <w:r>
              <w:rPr>
                <w:spacing w:val="-1"/>
              </w:rPr>
              <w:t>其他台、桌类</w:t>
            </w:r>
          </w:p>
        </w:tc>
        <w:tc>
          <w:tcPr>
            <w:tcW w:w="2248" w:type="dxa"/>
          </w:tcPr>
          <w:p w14:paraId="4DDAB874">
            <w:pPr>
              <w:rPr>
                <w:rFonts w:ascii="Arial"/>
              </w:rPr>
            </w:pPr>
          </w:p>
        </w:tc>
        <w:tc>
          <w:tcPr>
            <w:tcW w:w="3543" w:type="dxa"/>
          </w:tcPr>
          <w:p w14:paraId="5AE31853">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020EDD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2318899C">
            <w:pPr>
              <w:pStyle w:val="234"/>
              <w:spacing w:before="94" w:line="184" w:lineRule="auto"/>
              <w:ind w:left="128"/>
              <w:rPr>
                <w:rFonts w:hint="eastAsia"/>
              </w:rPr>
            </w:pPr>
            <w:r>
              <w:rPr>
                <w:spacing w:val="-10"/>
              </w:rPr>
              <w:t>18</w:t>
            </w:r>
          </w:p>
        </w:tc>
        <w:tc>
          <w:tcPr>
            <w:tcW w:w="1542" w:type="dxa"/>
            <w:vMerge w:val="restart"/>
            <w:tcBorders>
              <w:bottom w:val="nil"/>
            </w:tcBorders>
          </w:tcPr>
          <w:p w14:paraId="7F63E342">
            <w:pPr>
              <w:pStyle w:val="234"/>
              <w:spacing w:before="66" w:line="220" w:lineRule="auto"/>
              <w:ind w:left="102"/>
              <w:rPr>
                <w:rFonts w:hint="eastAsia"/>
              </w:rPr>
            </w:pPr>
            <w:r>
              <w:rPr>
                <w:spacing w:val="-1"/>
              </w:rPr>
              <w:t>A0603</w:t>
            </w:r>
            <w:r>
              <w:rPr>
                <w:spacing w:val="-36"/>
              </w:rPr>
              <w:t xml:space="preserve"> </w:t>
            </w:r>
            <w:r>
              <w:rPr>
                <w:spacing w:val="-1"/>
              </w:rPr>
              <w:t>椅凳类</w:t>
            </w:r>
          </w:p>
        </w:tc>
        <w:tc>
          <w:tcPr>
            <w:tcW w:w="2672" w:type="dxa"/>
          </w:tcPr>
          <w:p w14:paraId="36126705">
            <w:pPr>
              <w:pStyle w:val="234"/>
              <w:spacing w:before="66" w:line="220" w:lineRule="auto"/>
              <w:ind w:left="103"/>
              <w:rPr>
                <w:rFonts w:hint="eastAsia"/>
              </w:rPr>
            </w:pPr>
            <w:r>
              <w:rPr>
                <w:spacing w:val="-1"/>
              </w:rPr>
              <w:t>A060301</w:t>
            </w:r>
            <w:r>
              <w:rPr>
                <w:spacing w:val="-46"/>
              </w:rPr>
              <w:t xml:space="preserve"> </w:t>
            </w:r>
            <w:r>
              <w:rPr>
                <w:spacing w:val="-1"/>
              </w:rPr>
              <w:t>金属骨架为主的椅凳类</w:t>
            </w:r>
          </w:p>
        </w:tc>
        <w:tc>
          <w:tcPr>
            <w:tcW w:w="2248" w:type="dxa"/>
          </w:tcPr>
          <w:p w14:paraId="7B06F105">
            <w:pPr>
              <w:rPr>
                <w:rFonts w:ascii="Arial"/>
              </w:rPr>
            </w:pPr>
          </w:p>
        </w:tc>
        <w:tc>
          <w:tcPr>
            <w:tcW w:w="3543" w:type="dxa"/>
          </w:tcPr>
          <w:p w14:paraId="54595496">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53B71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bottom w:val="nil"/>
            </w:tcBorders>
          </w:tcPr>
          <w:p w14:paraId="0F517DC3">
            <w:pPr>
              <w:rPr>
                <w:rFonts w:ascii="Arial"/>
              </w:rPr>
            </w:pPr>
          </w:p>
        </w:tc>
        <w:tc>
          <w:tcPr>
            <w:tcW w:w="1542" w:type="dxa"/>
            <w:vMerge w:val="continue"/>
            <w:tcBorders>
              <w:top w:val="nil"/>
              <w:bottom w:val="nil"/>
            </w:tcBorders>
          </w:tcPr>
          <w:p w14:paraId="4452492E">
            <w:pPr>
              <w:rPr>
                <w:rFonts w:ascii="Arial"/>
              </w:rPr>
            </w:pPr>
          </w:p>
        </w:tc>
        <w:tc>
          <w:tcPr>
            <w:tcW w:w="2672" w:type="dxa"/>
          </w:tcPr>
          <w:p w14:paraId="23CE420E">
            <w:pPr>
              <w:pStyle w:val="234"/>
              <w:spacing w:before="66" w:line="220" w:lineRule="auto"/>
              <w:ind w:left="103"/>
              <w:rPr>
                <w:rFonts w:hint="eastAsia"/>
              </w:rPr>
            </w:pPr>
            <w:r>
              <w:rPr>
                <w:spacing w:val="-1"/>
              </w:rPr>
              <w:t>A060302</w:t>
            </w:r>
            <w:r>
              <w:rPr>
                <w:spacing w:val="-29"/>
              </w:rPr>
              <w:t xml:space="preserve"> </w:t>
            </w:r>
            <w:r>
              <w:rPr>
                <w:spacing w:val="-1"/>
              </w:rPr>
              <w:t>木骨架为主的椅凳类</w:t>
            </w:r>
          </w:p>
        </w:tc>
        <w:tc>
          <w:tcPr>
            <w:tcW w:w="2248" w:type="dxa"/>
          </w:tcPr>
          <w:p w14:paraId="3AC8CC7B">
            <w:pPr>
              <w:rPr>
                <w:rFonts w:ascii="Arial"/>
              </w:rPr>
            </w:pPr>
          </w:p>
        </w:tc>
        <w:tc>
          <w:tcPr>
            <w:tcW w:w="3543" w:type="dxa"/>
          </w:tcPr>
          <w:p w14:paraId="445969C5">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A940F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44765C6E">
            <w:pPr>
              <w:rPr>
                <w:rFonts w:ascii="Arial"/>
              </w:rPr>
            </w:pPr>
          </w:p>
        </w:tc>
        <w:tc>
          <w:tcPr>
            <w:tcW w:w="1542" w:type="dxa"/>
            <w:vMerge w:val="continue"/>
            <w:tcBorders>
              <w:top w:val="nil"/>
            </w:tcBorders>
          </w:tcPr>
          <w:p w14:paraId="0BC4D06A">
            <w:pPr>
              <w:rPr>
                <w:rFonts w:ascii="Arial"/>
              </w:rPr>
            </w:pPr>
          </w:p>
        </w:tc>
        <w:tc>
          <w:tcPr>
            <w:tcW w:w="2672" w:type="dxa"/>
          </w:tcPr>
          <w:p w14:paraId="187C2DEE">
            <w:pPr>
              <w:pStyle w:val="234"/>
              <w:spacing w:before="67" w:line="220" w:lineRule="auto"/>
              <w:ind w:left="103"/>
              <w:rPr>
                <w:rFonts w:hint="eastAsia"/>
              </w:rPr>
            </w:pPr>
            <w:r>
              <w:rPr>
                <w:spacing w:val="-1"/>
              </w:rPr>
              <w:t>A060399</w:t>
            </w:r>
            <w:r>
              <w:rPr>
                <w:spacing w:val="-33"/>
              </w:rPr>
              <w:t xml:space="preserve"> </w:t>
            </w:r>
            <w:r>
              <w:rPr>
                <w:spacing w:val="-1"/>
              </w:rPr>
              <w:t>其他椅凳类</w:t>
            </w:r>
          </w:p>
        </w:tc>
        <w:tc>
          <w:tcPr>
            <w:tcW w:w="2248" w:type="dxa"/>
          </w:tcPr>
          <w:p w14:paraId="6EFAB882">
            <w:pPr>
              <w:rPr>
                <w:rFonts w:ascii="Arial"/>
              </w:rPr>
            </w:pPr>
          </w:p>
        </w:tc>
        <w:tc>
          <w:tcPr>
            <w:tcW w:w="3543" w:type="dxa"/>
          </w:tcPr>
          <w:p w14:paraId="23854425">
            <w:pPr>
              <w:pStyle w:val="234"/>
              <w:spacing w:before="66"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6838CB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2D13C26B">
            <w:pPr>
              <w:pStyle w:val="234"/>
              <w:spacing w:before="95" w:line="184" w:lineRule="auto"/>
              <w:ind w:left="128"/>
              <w:rPr>
                <w:rFonts w:hint="eastAsia"/>
              </w:rPr>
            </w:pPr>
            <w:r>
              <w:rPr>
                <w:spacing w:val="-10"/>
              </w:rPr>
              <w:t>19</w:t>
            </w:r>
          </w:p>
        </w:tc>
        <w:tc>
          <w:tcPr>
            <w:tcW w:w="1542" w:type="dxa"/>
          </w:tcPr>
          <w:p w14:paraId="6A164D46">
            <w:pPr>
              <w:pStyle w:val="234"/>
              <w:spacing w:before="67" w:line="220" w:lineRule="auto"/>
              <w:ind w:left="102"/>
              <w:rPr>
                <w:rFonts w:hint="eastAsia"/>
              </w:rPr>
            </w:pPr>
            <w:r>
              <w:rPr>
                <w:spacing w:val="-1"/>
              </w:rPr>
              <w:t>A0604</w:t>
            </w:r>
            <w:r>
              <w:rPr>
                <w:spacing w:val="-35"/>
              </w:rPr>
              <w:t xml:space="preserve"> </w:t>
            </w:r>
            <w:r>
              <w:rPr>
                <w:spacing w:val="-1"/>
              </w:rPr>
              <w:t>沙发类</w:t>
            </w:r>
          </w:p>
        </w:tc>
        <w:tc>
          <w:tcPr>
            <w:tcW w:w="2672" w:type="dxa"/>
          </w:tcPr>
          <w:p w14:paraId="749F5E6D">
            <w:pPr>
              <w:pStyle w:val="234"/>
              <w:spacing w:before="67" w:line="220" w:lineRule="auto"/>
              <w:ind w:left="103"/>
              <w:rPr>
                <w:rFonts w:hint="eastAsia"/>
              </w:rPr>
            </w:pPr>
            <w:r>
              <w:rPr>
                <w:spacing w:val="-1"/>
              </w:rPr>
              <w:t>A060499</w:t>
            </w:r>
            <w:r>
              <w:rPr>
                <w:spacing w:val="-33"/>
              </w:rPr>
              <w:t xml:space="preserve"> </w:t>
            </w:r>
            <w:r>
              <w:rPr>
                <w:spacing w:val="-1"/>
              </w:rPr>
              <w:t>其他沙发类</w:t>
            </w:r>
          </w:p>
        </w:tc>
        <w:tc>
          <w:tcPr>
            <w:tcW w:w="2248" w:type="dxa"/>
          </w:tcPr>
          <w:p w14:paraId="20F6804C">
            <w:pPr>
              <w:rPr>
                <w:rFonts w:ascii="Arial"/>
              </w:rPr>
            </w:pPr>
          </w:p>
        </w:tc>
        <w:tc>
          <w:tcPr>
            <w:tcW w:w="3543" w:type="dxa"/>
          </w:tcPr>
          <w:p w14:paraId="2BA4B17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F9E21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65D604A9">
            <w:pPr>
              <w:pStyle w:val="234"/>
              <w:spacing w:before="96" w:line="183" w:lineRule="auto"/>
              <w:ind w:left="116"/>
              <w:rPr>
                <w:rFonts w:hint="eastAsia"/>
              </w:rPr>
            </w:pPr>
            <w:r>
              <w:rPr>
                <w:spacing w:val="-4"/>
              </w:rPr>
              <w:t>20</w:t>
            </w:r>
          </w:p>
        </w:tc>
        <w:tc>
          <w:tcPr>
            <w:tcW w:w="1542" w:type="dxa"/>
            <w:vMerge w:val="restart"/>
            <w:tcBorders>
              <w:bottom w:val="nil"/>
            </w:tcBorders>
          </w:tcPr>
          <w:p w14:paraId="5E7DA667">
            <w:pPr>
              <w:pStyle w:val="234"/>
              <w:spacing w:before="67" w:line="220" w:lineRule="auto"/>
              <w:ind w:left="193"/>
              <w:rPr>
                <w:rFonts w:hint="eastAsia"/>
              </w:rPr>
            </w:pPr>
            <w:r>
              <w:rPr>
                <w:spacing w:val="-1"/>
              </w:rPr>
              <w:t>A0605</w:t>
            </w:r>
            <w:r>
              <w:rPr>
                <w:spacing w:val="-36"/>
              </w:rPr>
              <w:t xml:space="preserve"> </w:t>
            </w:r>
            <w:r>
              <w:rPr>
                <w:spacing w:val="-1"/>
              </w:rPr>
              <w:t>柜类</w:t>
            </w:r>
          </w:p>
        </w:tc>
        <w:tc>
          <w:tcPr>
            <w:tcW w:w="2672" w:type="dxa"/>
          </w:tcPr>
          <w:p w14:paraId="1565A38C">
            <w:pPr>
              <w:pStyle w:val="234"/>
              <w:spacing w:before="67" w:line="220" w:lineRule="auto"/>
              <w:ind w:left="103"/>
              <w:rPr>
                <w:rFonts w:hint="eastAsia"/>
              </w:rPr>
            </w:pPr>
            <w:r>
              <w:rPr>
                <w:spacing w:val="-1"/>
              </w:rPr>
              <w:t>A060501</w:t>
            </w:r>
            <w:r>
              <w:rPr>
                <w:spacing w:val="-33"/>
              </w:rPr>
              <w:t xml:space="preserve"> </w:t>
            </w:r>
            <w:r>
              <w:rPr>
                <w:spacing w:val="-1"/>
              </w:rPr>
              <w:t>木质柜类</w:t>
            </w:r>
          </w:p>
        </w:tc>
        <w:tc>
          <w:tcPr>
            <w:tcW w:w="2248" w:type="dxa"/>
          </w:tcPr>
          <w:p w14:paraId="773FFB70">
            <w:pPr>
              <w:rPr>
                <w:rFonts w:ascii="Arial"/>
              </w:rPr>
            </w:pPr>
          </w:p>
        </w:tc>
        <w:tc>
          <w:tcPr>
            <w:tcW w:w="3543" w:type="dxa"/>
          </w:tcPr>
          <w:p w14:paraId="6C9DDFC3">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C1588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706D320A">
            <w:pPr>
              <w:rPr>
                <w:rFonts w:ascii="Arial"/>
              </w:rPr>
            </w:pPr>
          </w:p>
        </w:tc>
        <w:tc>
          <w:tcPr>
            <w:tcW w:w="1542" w:type="dxa"/>
            <w:vMerge w:val="continue"/>
            <w:tcBorders>
              <w:top w:val="nil"/>
              <w:bottom w:val="nil"/>
            </w:tcBorders>
          </w:tcPr>
          <w:p w14:paraId="28259B9A">
            <w:pPr>
              <w:rPr>
                <w:rFonts w:ascii="Arial"/>
              </w:rPr>
            </w:pPr>
          </w:p>
        </w:tc>
        <w:tc>
          <w:tcPr>
            <w:tcW w:w="2672" w:type="dxa"/>
          </w:tcPr>
          <w:p w14:paraId="45CF2110">
            <w:pPr>
              <w:pStyle w:val="234"/>
              <w:spacing w:before="67" w:line="220" w:lineRule="auto"/>
              <w:ind w:left="103"/>
              <w:rPr>
                <w:rFonts w:hint="eastAsia"/>
              </w:rPr>
            </w:pPr>
            <w:r>
              <w:rPr>
                <w:spacing w:val="-1"/>
              </w:rPr>
              <w:t>A060503</w:t>
            </w:r>
            <w:r>
              <w:rPr>
                <w:spacing w:val="-32"/>
              </w:rPr>
              <w:t xml:space="preserve"> </w:t>
            </w:r>
            <w:r>
              <w:rPr>
                <w:spacing w:val="-1"/>
              </w:rPr>
              <w:t>金属质柜类</w:t>
            </w:r>
          </w:p>
        </w:tc>
        <w:tc>
          <w:tcPr>
            <w:tcW w:w="2248" w:type="dxa"/>
          </w:tcPr>
          <w:p w14:paraId="36342C8B">
            <w:pPr>
              <w:rPr>
                <w:rFonts w:ascii="Arial"/>
              </w:rPr>
            </w:pPr>
          </w:p>
        </w:tc>
        <w:tc>
          <w:tcPr>
            <w:tcW w:w="3543" w:type="dxa"/>
          </w:tcPr>
          <w:p w14:paraId="0A9DA02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711BD2E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41228744">
            <w:pPr>
              <w:rPr>
                <w:rFonts w:ascii="Arial"/>
              </w:rPr>
            </w:pPr>
          </w:p>
        </w:tc>
        <w:tc>
          <w:tcPr>
            <w:tcW w:w="1542" w:type="dxa"/>
            <w:vMerge w:val="continue"/>
            <w:tcBorders>
              <w:top w:val="nil"/>
            </w:tcBorders>
          </w:tcPr>
          <w:p w14:paraId="64AC23B4">
            <w:pPr>
              <w:rPr>
                <w:rFonts w:ascii="Arial"/>
              </w:rPr>
            </w:pPr>
          </w:p>
        </w:tc>
        <w:tc>
          <w:tcPr>
            <w:tcW w:w="2672" w:type="dxa"/>
          </w:tcPr>
          <w:p w14:paraId="3AE28EBA">
            <w:pPr>
              <w:pStyle w:val="234"/>
              <w:spacing w:before="67" w:line="220" w:lineRule="auto"/>
              <w:ind w:left="103"/>
              <w:rPr>
                <w:rFonts w:hint="eastAsia"/>
              </w:rPr>
            </w:pPr>
            <w:r>
              <w:rPr>
                <w:spacing w:val="-1"/>
              </w:rPr>
              <w:t>A060599</w:t>
            </w:r>
            <w:r>
              <w:rPr>
                <w:spacing w:val="-33"/>
              </w:rPr>
              <w:t xml:space="preserve"> </w:t>
            </w:r>
            <w:r>
              <w:rPr>
                <w:spacing w:val="-1"/>
              </w:rPr>
              <w:t>其他柜类</w:t>
            </w:r>
          </w:p>
        </w:tc>
        <w:tc>
          <w:tcPr>
            <w:tcW w:w="2248" w:type="dxa"/>
          </w:tcPr>
          <w:p w14:paraId="208A4359">
            <w:pPr>
              <w:rPr>
                <w:rFonts w:ascii="Arial"/>
              </w:rPr>
            </w:pPr>
          </w:p>
        </w:tc>
        <w:tc>
          <w:tcPr>
            <w:tcW w:w="3543" w:type="dxa"/>
          </w:tcPr>
          <w:p w14:paraId="734675A3">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EBC9F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53776001">
            <w:pPr>
              <w:pStyle w:val="234"/>
              <w:spacing w:before="94" w:line="184" w:lineRule="auto"/>
              <w:ind w:left="116"/>
              <w:rPr>
                <w:rFonts w:hint="eastAsia"/>
              </w:rPr>
            </w:pPr>
            <w:r>
              <w:rPr>
                <w:spacing w:val="-4"/>
              </w:rPr>
              <w:t>21</w:t>
            </w:r>
          </w:p>
        </w:tc>
        <w:tc>
          <w:tcPr>
            <w:tcW w:w="1542" w:type="dxa"/>
            <w:vMerge w:val="restart"/>
            <w:tcBorders>
              <w:bottom w:val="nil"/>
            </w:tcBorders>
          </w:tcPr>
          <w:p w14:paraId="25AAF017">
            <w:pPr>
              <w:pStyle w:val="234"/>
              <w:spacing w:before="67" w:line="220" w:lineRule="auto"/>
              <w:ind w:left="102"/>
              <w:rPr>
                <w:rFonts w:hint="eastAsia"/>
              </w:rPr>
            </w:pPr>
            <w:r>
              <w:rPr>
                <w:spacing w:val="-1"/>
              </w:rPr>
              <w:t>A0606</w:t>
            </w:r>
            <w:r>
              <w:rPr>
                <w:spacing w:val="-35"/>
              </w:rPr>
              <w:t xml:space="preserve"> </w:t>
            </w:r>
            <w:r>
              <w:rPr>
                <w:spacing w:val="-1"/>
              </w:rPr>
              <w:t>架类</w:t>
            </w:r>
          </w:p>
        </w:tc>
        <w:tc>
          <w:tcPr>
            <w:tcW w:w="2672" w:type="dxa"/>
          </w:tcPr>
          <w:p w14:paraId="29C96126">
            <w:pPr>
              <w:pStyle w:val="234"/>
              <w:spacing w:before="67" w:line="220" w:lineRule="auto"/>
              <w:ind w:left="103"/>
              <w:rPr>
                <w:rFonts w:hint="eastAsia"/>
              </w:rPr>
            </w:pPr>
            <w:r>
              <w:rPr>
                <w:spacing w:val="-1"/>
              </w:rPr>
              <w:t>A060601</w:t>
            </w:r>
            <w:r>
              <w:rPr>
                <w:spacing w:val="-33"/>
              </w:rPr>
              <w:t xml:space="preserve"> </w:t>
            </w:r>
            <w:r>
              <w:rPr>
                <w:spacing w:val="-1"/>
              </w:rPr>
              <w:t>木质架类</w:t>
            </w:r>
          </w:p>
        </w:tc>
        <w:tc>
          <w:tcPr>
            <w:tcW w:w="2248" w:type="dxa"/>
          </w:tcPr>
          <w:p w14:paraId="2DA0AA86">
            <w:pPr>
              <w:rPr>
                <w:rFonts w:ascii="Arial"/>
              </w:rPr>
            </w:pPr>
          </w:p>
        </w:tc>
        <w:tc>
          <w:tcPr>
            <w:tcW w:w="3543" w:type="dxa"/>
          </w:tcPr>
          <w:p w14:paraId="07BAA79B">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3F051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453B1D50">
            <w:pPr>
              <w:rPr>
                <w:rFonts w:ascii="Arial"/>
              </w:rPr>
            </w:pPr>
          </w:p>
        </w:tc>
        <w:tc>
          <w:tcPr>
            <w:tcW w:w="1542" w:type="dxa"/>
            <w:vMerge w:val="continue"/>
            <w:tcBorders>
              <w:top w:val="nil"/>
            </w:tcBorders>
          </w:tcPr>
          <w:p w14:paraId="07E04E13">
            <w:pPr>
              <w:rPr>
                <w:rFonts w:ascii="Arial"/>
              </w:rPr>
            </w:pPr>
          </w:p>
        </w:tc>
        <w:tc>
          <w:tcPr>
            <w:tcW w:w="2672" w:type="dxa"/>
          </w:tcPr>
          <w:p w14:paraId="431FD15F">
            <w:pPr>
              <w:pStyle w:val="234"/>
              <w:spacing w:before="67" w:line="220" w:lineRule="auto"/>
              <w:ind w:left="103"/>
              <w:rPr>
                <w:rFonts w:hint="eastAsia"/>
              </w:rPr>
            </w:pPr>
            <w:r>
              <w:rPr>
                <w:spacing w:val="-1"/>
              </w:rPr>
              <w:t>A060602</w:t>
            </w:r>
            <w:r>
              <w:rPr>
                <w:spacing w:val="-32"/>
              </w:rPr>
              <w:t xml:space="preserve"> </w:t>
            </w:r>
            <w:r>
              <w:rPr>
                <w:spacing w:val="-1"/>
              </w:rPr>
              <w:t>金属质架类</w:t>
            </w:r>
          </w:p>
        </w:tc>
        <w:tc>
          <w:tcPr>
            <w:tcW w:w="2248" w:type="dxa"/>
          </w:tcPr>
          <w:p w14:paraId="36AFF245">
            <w:pPr>
              <w:rPr>
                <w:rFonts w:ascii="Arial"/>
              </w:rPr>
            </w:pPr>
          </w:p>
        </w:tc>
        <w:tc>
          <w:tcPr>
            <w:tcW w:w="3543" w:type="dxa"/>
          </w:tcPr>
          <w:p w14:paraId="16EE02DB">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66A76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75722E20">
            <w:pPr>
              <w:pStyle w:val="234"/>
              <w:spacing w:before="96" w:line="183" w:lineRule="auto"/>
              <w:ind w:left="116"/>
              <w:rPr>
                <w:rFonts w:hint="eastAsia"/>
              </w:rPr>
            </w:pPr>
            <w:r>
              <w:rPr>
                <w:spacing w:val="-4"/>
              </w:rPr>
              <w:t>22</w:t>
            </w:r>
          </w:p>
        </w:tc>
        <w:tc>
          <w:tcPr>
            <w:tcW w:w="1542" w:type="dxa"/>
            <w:vMerge w:val="restart"/>
            <w:tcBorders>
              <w:bottom w:val="nil"/>
            </w:tcBorders>
          </w:tcPr>
          <w:p w14:paraId="3860710B">
            <w:pPr>
              <w:pStyle w:val="234"/>
              <w:spacing w:before="67" w:line="220" w:lineRule="auto"/>
              <w:ind w:left="102"/>
              <w:rPr>
                <w:rFonts w:hint="eastAsia"/>
              </w:rPr>
            </w:pPr>
            <w:r>
              <w:rPr>
                <w:spacing w:val="-1"/>
              </w:rPr>
              <w:t>A0607</w:t>
            </w:r>
            <w:r>
              <w:rPr>
                <w:spacing w:val="-35"/>
              </w:rPr>
              <w:t xml:space="preserve"> </w:t>
            </w:r>
            <w:r>
              <w:rPr>
                <w:spacing w:val="-1"/>
              </w:rPr>
              <w:t>屏风类</w:t>
            </w:r>
          </w:p>
        </w:tc>
        <w:tc>
          <w:tcPr>
            <w:tcW w:w="2672" w:type="dxa"/>
          </w:tcPr>
          <w:p w14:paraId="66DD90BB">
            <w:pPr>
              <w:pStyle w:val="234"/>
              <w:spacing w:before="67" w:line="220" w:lineRule="auto"/>
              <w:ind w:left="103"/>
              <w:rPr>
                <w:rFonts w:hint="eastAsia"/>
              </w:rPr>
            </w:pPr>
            <w:r>
              <w:rPr>
                <w:spacing w:val="-1"/>
              </w:rPr>
              <w:t>A060701</w:t>
            </w:r>
            <w:r>
              <w:rPr>
                <w:spacing w:val="-33"/>
              </w:rPr>
              <w:t xml:space="preserve"> </w:t>
            </w:r>
            <w:r>
              <w:rPr>
                <w:spacing w:val="-1"/>
              </w:rPr>
              <w:t>木质屏风类</w:t>
            </w:r>
          </w:p>
        </w:tc>
        <w:tc>
          <w:tcPr>
            <w:tcW w:w="2248" w:type="dxa"/>
          </w:tcPr>
          <w:p w14:paraId="5D0638B0">
            <w:pPr>
              <w:rPr>
                <w:rFonts w:ascii="Arial"/>
              </w:rPr>
            </w:pPr>
          </w:p>
        </w:tc>
        <w:tc>
          <w:tcPr>
            <w:tcW w:w="3543" w:type="dxa"/>
          </w:tcPr>
          <w:p w14:paraId="52B9A13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042B1E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2D4A2299">
            <w:pPr>
              <w:rPr>
                <w:rFonts w:ascii="Arial"/>
              </w:rPr>
            </w:pPr>
          </w:p>
        </w:tc>
        <w:tc>
          <w:tcPr>
            <w:tcW w:w="1542" w:type="dxa"/>
            <w:vMerge w:val="continue"/>
            <w:tcBorders>
              <w:top w:val="nil"/>
            </w:tcBorders>
          </w:tcPr>
          <w:p w14:paraId="101E1643">
            <w:pPr>
              <w:rPr>
                <w:rFonts w:ascii="Arial"/>
              </w:rPr>
            </w:pPr>
          </w:p>
        </w:tc>
        <w:tc>
          <w:tcPr>
            <w:tcW w:w="2672" w:type="dxa"/>
          </w:tcPr>
          <w:p w14:paraId="6D48B12C">
            <w:pPr>
              <w:pStyle w:val="234"/>
              <w:spacing w:before="67" w:line="220" w:lineRule="auto"/>
              <w:ind w:left="103"/>
              <w:rPr>
                <w:rFonts w:hint="eastAsia"/>
              </w:rPr>
            </w:pPr>
            <w:r>
              <w:rPr>
                <w:spacing w:val="-1"/>
              </w:rPr>
              <w:t>A060702</w:t>
            </w:r>
            <w:r>
              <w:rPr>
                <w:spacing w:val="-32"/>
              </w:rPr>
              <w:t xml:space="preserve"> </w:t>
            </w:r>
            <w:r>
              <w:rPr>
                <w:spacing w:val="-1"/>
              </w:rPr>
              <w:t>金属质屏风类</w:t>
            </w:r>
          </w:p>
        </w:tc>
        <w:tc>
          <w:tcPr>
            <w:tcW w:w="2248" w:type="dxa"/>
          </w:tcPr>
          <w:p w14:paraId="18C1E4F7">
            <w:pPr>
              <w:rPr>
                <w:rFonts w:ascii="Arial"/>
              </w:rPr>
            </w:pPr>
          </w:p>
        </w:tc>
        <w:tc>
          <w:tcPr>
            <w:tcW w:w="3543" w:type="dxa"/>
          </w:tcPr>
          <w:p w14:paraId="6179947F">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4DF5B6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69AF44ED">
            <w:pPr>
              <w:pStyle w:val="234"/>
              <w:spacing w:before="95" w:line="183" w:lineRule="auto"/>
              <w:ind w:left="116"/>
              <w:rPr>
                <w:rFonts w:hint="eastAsia"/>
              </w:rPr>
            </w:pPr>
            <w:r>
              <w:rPr>
                <w:spacing w:val="-4"/>
              </w:rPr>
              <w:t>23</w:t>
            </w:r>
          </w:p>
        </w:tc>
        <w:tc>
          <w:tcPr>
            <w:tcW w:w="1542" w:type="dxa"/>
          </w:tcPr>
          <w:p w14:paraId="03F434C8">
            <w:pPr>
              <w:pStyle w:val="234"/>
              <w:spacing w:before="67" w:line="220" w:lineRule="auto"/>
              <w:ind w:left="102"/>
              <w:rPr>
                <w:rFonts w:hint="eastAsia"/>
              </w:rPr>
            </w:pPr>
            <w:r>
              <w:rPr>
                <w:spacing w:val="-1"/>
              </w:rPr>
              <w:t>A060804</w:t>
            </w:r>
            <w:r>
              <w:rPr>
                <w:spacing w:val="-32"/>
              </w:rPr>
              <w:t xml:space="preserve"> </w:t>
            </w:r>
            <w:r>
              <w:rPr>
                <w:spacing w:val="-1"/>
              </w:rPr>
              <w:t>水池</w:t>
            </w:r>
          </w:p>
        </w:tc>
        <w:tc>
          <w:tcPr>
            <w:tcW w:w="2672" w:type="dxa"/>
          </w:tcPr>
          <w:p w14:paraId="4A9999B9">
            <w:pPr>
              <w:rPr>
                <w:rFonts w:ascii="Arial"/>
              </w:rPr>
            </w:pPr>
          </w:p>
        </w:tc>
        <w:tc>
          <w:tcPr>
            <w:tcW w:w="2248" w:type="dxa"/>
          </w:tcPr>
          <w:p w14:paraId="01AB2979">
            <w:pPr>
              <w:rPr>
                <w:rFonts w:ascii="Arial"/>
              </w:rPr>
            </w:pPr>
          </w:p>
        </w:tc>
        <w:tc>
          <w:tcPr>
            <w:tcW w:w="3543" w:type="dxa"/>
          </w:tcPr>
          <w:p w14:paraId="1E62C394">
            <w:pPr>
              <w:pStyle w:val="234"/>
              <w:spacing w:before="66" w:line="219" w:lineRule="auto"/>
              <w:ind w:left="109"/>
              <w:rPr>
                <w:rFonts w:hint="eastAsia"/>
              </w:rPr>
            </w:pPr>
            <w:r>
              <w:rPr>
                <w:spacing w:val="-1"/>
              </w:rPr>
              <w:t>HJ/T296</w:t>
            </w:r>
            <w:r>
              <w:rPr>
                <w:spacing w:val="-34"/>
              </w:rPr>
              <w:t xml:space="preserve"> </w:t>
            </w:r>
            <w:r>
              <w:rPr>
                <w:spacing w:val="-1"/>
              </w:rPr>
              <w:t>卫生陶瓷</w:t>
            </w:r>
          </w:p>
        </w:tc>
      </w:tr>
      <w:tr w14:paraId="699ED6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665C6EB0">
            <w:pPr>
              <w:pStyle w:val="234"/>
              <w:spacing w:before="96" w:line="183" w:lineRule="auto"/>
              <w:ind w:left="116"/>
              <w:rPr>
                <w:rFonts w:hint="eastAsia"/>
              </w:rPr>
            </w:pPr>
            <w:r>
              <w:rPr>
                <w:spacing w:val="-4"/>
              </w:rPr>
              <w:t>24</w:t>
            </w:r>
          </w:p>
        </w:tc>
        <w:tc>
          <w:tcPr>
            <w:tcW w:w="1542" w:type="dxa"/>
          </w:tcPr>
          <w:p w14:paraId="030F48CE">
            <w:pPr>
              <w:pStyle w:val="234"/>
              <w:spacing w:before="67" w:line="220" w:lineRule="auto"/>
              <w:ind w:left="102"/>
              <w:rPr>
                <w:rFonts w:hint="eastAsia"/>
              </w:rPr>
            </w:pPr>
            <w:r>
              <w:rPr>
                <w:spacing w:val="-1"/>
              </w:rPr>
              <w:t>A060805</w:t>
            </w:r>
            <w:r>
              <w:rPr>
                <w:spacing w:val="-33"/>
              </w:rPr>
              <w:t xml:space="preserve"> </w:t>
            </w:r>
            <w:r>
              <w:rPr>
                <w:spacing w:val="-1"/>
              </w:rPr>
              <w:t>便器</w:t>
            </w:r>
          </w:p>
        </w:tc>
        <w:tc>
          <w:tcPr>
            <w:tcW w:w="2672" w:type="dxa"/>
          </w:tcPr>
          <w:p w14:paraId="7C68CBC4">
            <w:pPr>
              <w:rPr>
                <w:rFonts w:ascii="Arial"/>
              </w:rPr>
            </w:pPr>
          </w:p>
        </w:tc>
        <w:tc>
          <w:tcPr>
            <w:tcW w:w="2248" w:type="dxa"/>
          </w:tcPr>
          <w:p w14:paraId="5B5E229A">
            <w:pPr>
              <w:rPr>
                <w:rFonts w:ascii="Arial"/>
              </w:rPr>
            </w:pPr>
          </w:p>
        </w:tc>
        <w:tc>
          <w:tcPr>
            <w:tcW w:w="3543" w:type="dxa"/>
          </w:tcPr>
          <w:p w14:paraId="45625D37">
            <w:pPr>
              <w:pStyle w:val="234"/>
              <w:spacing w:before="67" w:line="219" w:lineRule="auto"/>
              <w:ind w:left="109"/>
              <w:rPr>
                <w:rFonts w:hint="eastAsia"/>
              </w:rPr>
            </w:pPr>
            <w:r>
              <w:rPr>
                <w:spacing w:val="-1"/>
              </w:rPr>
              <w:t>HJ/T296</w:t>
            </w:r>
            <w:r>
              <w:rPr>
                <w:spacing w:val="-34"/>
              </w:rPr>
              <w:t xml:space="preserve"> </w:t>
            </w:r>
            <w:r>
              <w:rPr>
                <w:spacing w:val="-1"/>
              </w:rPr>
              <w:t>卫生陶瓷</w:t>
            </w:r>
          </w:p>
        </w:tc>
      </w:tr>
      <w:tr w14:paraId="502A47F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tcPr>
          <w:p w14:paraId="0D9F9B6C">
            <w:pPr>
              <w:pStyle w:val="234"/>
              <w:spacing w:before="96" w:line="183" w:lineRule="auto"/>
              <w:ind w:left="116"/>
              <w:rPr>
                <w:rFonts w:hint="eastAsia"/>
              </w:rPr>
            </w:pPr>
            <w:r>
              <w:rPr>
                <w:spacing w:val="-4"/>
              </w:rPr>
              <w:t>25</w:t>
            </w:r>
          </w:p>
        </w:tc>
        <w:tc>
          <w:tcPr>
            <w:tcW w:w="1542" w:type="dxa"/>
          </w:tcPr>
          <w:p w14:paraId="3F1A4484">
            <w:pPr>
              <w:pStyle w:val="234"/>
              <w:spacing w:before="67" w:line="220" w:lineRule="auto"/>
              <w:ind w:left="102"/>
              <w:rPr>
                <w:rFonts w:hint="eastAsia"/>
              </w:rPr>
            </w:pPr>
            <w:r>
              <w:rPr>
                <w:spacing w:val="-1"/>
              </w:rPr>
              <w:t>A060806</w:t>
            </w:r>
            <w:r>
              <w:rPr>
                <w:spacing w:val="-32"/>
              </w:rPr>
              <w:t xml:space="preserve"> </w:t>
            </w:r>
            <w:r>
              <w:rPr>
                <w:spacing w:val="-1"/>
              </w:rPr>
              <w:t>水嘴</w:t>
            </w:r>
          </w:p>
        </w:tc>
        <w:tc>
          <w:tcPr>
            <w:tcW w:w="2672" w:type="dxa"/>
          </w:tcPr>
          <w:p w14:paraId="6DC36453">
            <w:pPr>
              <w:rPr>
                <w:rFonts w:ascii="Arial"/>
              </w:rPr>
            </w:pPr>
          </w:p>
        </w:tc>
        <w:tc>
          <w:tcPr>
            <w:tcW w:w="2248" w:type="dxa"/>
          </w:tcPr>
          <w:p w14:paraId="7BECC553">
            <w:pPr>
              <w:rPr>
                <w:rFonts w:ascii="Arial"/>
              </w:rPr>
            </w:pPr>
          </w:p>
        </w:tc>
        <w:tc>
          <w:tcPr>
            <w:tcW w:w="3543" w:type="dxa"/>
          </w:tcPr>
          <w:p w14:paraId="455B070D">
            <w:pPr>
              <w:pStyle w:val="234"/>
              <w:spacing w:before="67" w:line="219" w:lineRule="auto"/>
              <w:ind w:left="109"/>
              <w:rPr>
                <w:rFonts w:hint="eastAsia"/>
              </w:rPr>
            </w:pPr>
            <w:r>
              <w:rPr>
                <w:spacing w:val="-1"/>
              </w:rPr>
              <w:t>HJ/T411</w:t>
            </w:r>
            <w:r>
              <w:rPr>
                <w:spacing w:val="-34"/>
              </w:rPr>
              <w:t xml:space="preserve"> </w:t>
            </w:r>
            <w:r>
              <w:rPr>
                <w:spacing w:val="-1"/>
              </w:rPr>
              <w:t>水嘴</w:t>
            </w:r>
          </w:p>
        </w:tc>
      </w:tr>
      <w:tr w14:paraId="43486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01181BE3">
            <w:pPr>
              <w:pStyle w:val="234"/>
              <w:spacing w:before="95" w:line="183" w:lineRule="auto"/>
              <w:ind w:left="116"/>
              <w:rPr>
                <w:rFonts w:hint="eastAsia"/>
              </w:rPr>
            </w:pPr>
            <w:r>
              <w:rPr>
                <w:spacing w:val="-4"/>
              </w:rPr>
              <w:t>26</w:t>
            </w:r>
          </w:p>
        </w:tc>
        <w:tc>
          <w:tcPr>
            <w:tcW w:w="1542" w:type="dxa"/>
          </w:tcPr>
          <w:p w14:paraId="14F293AE">
            <w:pPr>
              <w:pStyle w:val="234"/>
              <w:spacing w:before="67" w:line="221" w:lineRule="auto"/>
              <w:ind w:left="102"/>
              <w:rPr>
                <w:rFonts w:hint="eastAsia"/>
              </w:rPr>
            </w:pPr>
            <w:r>
              <w:rPr>
                <w:spacing w:val="-1"/>
              </w:rPr>
              <w:t>A0609</w:t>
            </w:r>
            <w:r>
              <w:rPr>
                <w:spacing w:val="-34"/>
              </w:rPr>
              <w:t xml:space="preserve"> </w:t>
            </w:r>
            <w:r>
              <w:rPr>
                <w:spacing w:val="-1"/>
              </w:rPr>
              <w:t>组合家具</w:t>
            </w:r>
          </w:p>
        </w:tc>
        <w:tc>
          <w:tcPr>
            <w:tcW w:w="2672" w:type="dxa"/>
          </w:tcPr>
          <w:p w14:paraId="3918473D">
            <w:pPr>
              <w:rPr>
                <w:rFonts w:ascii="Arial"/>
              </w:rPr>
            </w:pPr>
          </w:p>
        </w:tc>
        <w:tc>
          <w:tcPr>
            <w:tcW w:w="2248" w:type="dxa"/>
          </w:tcPr>
          <w:p w14:paraId="7371CA02">
            <w:pPr>
              <w:rPr>
                <w:rFonts w:ascii="Arial"/>
              </w:rPr>
            </w:pPr>
          </w:p>
        </w:tc>
        <w:tc>
          <w:tcPr>
            <w:tcW w:w="3543" w:type="dxa"/>
          </w:tcPr>
          <w:p w14:paraId="6F5FA4F6">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582FE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4B1D5819">
            <w:pPr>
              <w:pStyle w:val="234"/>
              <w:spacing w:before="96" w:line="183" w:lineRule="auto"/>
              <w:ind w:left="116"/>
              <w:rPr>
                <w:rFonts w:hint="eastAsia"/>
              </w:rPr>
            </w:pPr>
            <w:r>
              <w:rPr>
                <w:spacing w:val="-4"/>
              </w:rPr>
              <w:t>27</w:t>
            </w:r>
          </w:p>
        </w:tc>
        <w:tc>
          <w:tcPr>
            <w:tcW w:w="1542" w:type="dxa"/>
          </w:tcPr>
          <w:p w14:paraId="3FC99EEF">
            <w:pPr>
              <w:pStyle w:val="234"/>
              <w:spacing w:before="68" w:line="282" w:lineRule="auto"/>
              <w:ind w:left="108" w:right="106" w:hanging="6"/>
              <w:rPr>
                <w:rFonts w:hint="eastAsia"/>
              </w:rPr>
            </w:pPr>
            <w:r>
              <w:rPr>
                <w:spacing w:val="4"/>
              </w:rPr>
              <w:t>A0610</w:t>
            </w:r>
            <w:r>
              <w:rPr>
                <w:spacing w:val="31"/>
              </w:rPr>
              <w:t xml:space="preserve"> </w:t>
            </w:r>
            <w:r>
              <w:rPr>
                <w:spacing w:val="4"/>
              </w:rPr>
              <w:t>家用家具</w:t>
            </w:r>
            <w:r>
              <w:rPr>
                <w:spacing w:val="-2"/>
              </w:rPr>
              <w:t>零配件</w:t>
            </w:r>
          </w:p>
        </w:tc>
        <w:tc>
          <w:tcPr>
            <w:tcW w:w="2672" w:type="dxa"/>
          </w:tcPr>
          <w:p w14:paraId="34E30739">
            <w:pPr>
              <w:rPr>
                <w:rFonts w:ascii="Arial"/>
              </w:rPr>
            </w:pPr>
          </w:p>
        </w:tc>
        <w:tc>
          <w:tcPr>
            <w:tcW w:w="2248" w:type="dxa"/>
          </w:tcPr>
          <w:p w14:paraId="0498EBBB">
            <w:pPr>
              <w:rPr>
                <w:rFonts w:ascii="Arial"/>
              </w:rPr>
            </w:pPr>
          </w:p>
        </w:tc>
        <w:tc>
          <w:tcPr>
            <w:tcW w:w="3543" w:type="dxa"/>
          </w:tcPr>
          <w:p w14:paraId="79980620">
            <w:pPr>
              <w:pStyle w:val="234"/>
              <w:spacing w:before="67"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3C94B3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tcPr>
          <w:p w14:paraId="407F4F25">
            <w:pPr>
              <w:pStyle w:val="234"/>
              <w:spacing w:before="99" w:line="183" w:lineRule="auto"/>
              <w:ind w:left="116"/>
              <w:rPr>
                <w:rFonts w:hint="eastAsia"/>
              </w:rPr>
            </w:pPr>
            <w:r>
              <w:rPr>
                <w:spacing w:val="-4"/>
              </w:rPr>
              <w:t>28</w:t>
            </w:r>
          </w:p>
        </w:tc>
        <w:tc>
          <w:tcPr>
            <w:tcW w:w="1542" w:type="dxa"/>
          </w:tcPr>
          <w:p w14:paraId="6F0C0BEA">
            <w:pPr>
              <w:pStyle w:val="234"/>
              <w:spacing w:before="71" w:line="282" w:lineRule="auto"/>
              <w:ind w:left="109" w:right="106" w:hanging="7"/>
              <w:rPr>
                <w:rFonts w:hint="eastAsia"/>
              </w:rPr>
            </w:pPr>
            <w:r>
              <w:rPr>
                <w:spacing w:val="4"/>
              </w:rPr>
              <w:t>A0699</w:t>
            </w:r>
            <w:r>
              <w:rPr>
                <w:spacing w:val="31"/>
              </w:rPr>
              <w:t xml:space="preserve"> </w:t>
            </w:r>
            <w:r>
              <w:rPr>
                <w:spacing w:val="4"/>
              </w:rPr>
              <w:t>其他家具</w:t>
            </w:r>
            <w:r>
              <w:rPr>
                <w:spacing w:val="-3"/>
              </w:rPr>
              <w:t>用具</w:t>
            </w:r>
          </w:p>
        </w:tc>
        <w:tc>
          <w:tcPr>
            <w:tcW w:w="2672" w:type="dxa"/>
          </w:tcPr>
          <w:p w14:paraId="3C32092B">
            <w:pPr>
              <w:rPr>
                <w:rFonts w:ascii="Arial"/>
              </w:rPr>
            </w:pPr>
          </w:p>
        </w:tc>
        <w:tc>
          <w:tcPr>
            <w:tcW w:w="2248" w:type="dxa"/>
          </w:tcPr>
          <w:p w14:paraId="66968585">
            <w:pPr>
              <w:rPr>
                <w:rFonts w:ascii="Arial"/>
              </w:rPr>
            </w:pPr>
          </w:p>
        </w:tc>
        <w:tc>
          <w:tcPr>
            <w:tcW w:w="3543" w:type="dxa"/>
          </w:tcPr>
          <w:p w14:paraId="378D236C">
            <w:pPr>
              <w:pStyle w:val="234"/>
              <w:spacing w:before="70" w:line="219" w:lineRule="auto"/>
              <w:ind w:left="109"/>
              <w:rPr>
                <w:rFonts w:hint="eastAsia"/>
              </w:rPr>
            </w:pPr>
            <w:r>
              <w:rPr>
                <w:spacing w:val="-1"/>
              </w:rPr>
              <w:t>HJ2547</w:t>
            </w:r>
            <w:r>
              <w:rPr>
                <w:spacing w:val="-34"/>
              </w:rPr>
              <w:t xml:space="preserve"> </w:t>
            </w:r>
            <w:r>
              <w:rPr>
                <w:spacing w:val="-1"/>
              </w:rPr>
              <w:t>家具/HJ2540</w:t>
            </w:r>
            <w:r>
              <w:rPr>
                <w:spacing w:val="-37"/>
              </w:rPr>
              <w:t xml:space="preserve"> </w:t>
            </w:r>
            <w:r>
              <w:rPr>
                <w:spacing w:val="-1"/>
              </w:rPr>
              <w:t>木塑制品</w:t>
            </w:r>
          </w:p>
        </w:tc>
      </w:tr>
      <w:tr w14:paraId="1AAA202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2FB6804D">
            <w:pPr>
              <w:pStyle w:val="234"/>
              <w:spacing w:before="96" w:line="183" w:lineRule="auto"/>
              <w:ind w:left="116"/>
              <w:rPr>
                <w:rFonts w:hint="eastAsia"/>
              </w:rPr>
            </w:pPr>
            <w:r>
              <w:rPr>
                <w:spacing w:val="-4"/>
              </w:rPr>
              <w:t>29</w:t>
            </w:r>
          </w:p>
        </w:tc>
        <w:tc>
          <w:tcPr>
            <w:tcW w:w="1542" w:type="dxa"/>
          </w:tcPr>
          <w:p w14:paraId="0764E52A">
            <w:pPr>
              <w:pStyle w:val="234"/>
              <w:spacing w:before="69" w:line="284" w:lineRule="auto"/>
              <w:ind w:left="111" w:right="106" w:hanging="9"/>
              <w:rPr>
                <w:rFonts w:hint="eastAsia"/>
              </w:rPr>
            </w:pPr>
            <w:r>
              <w:rPr>
                <w:spacing w:val="-7"/>
              </w:rPr>
              <w:t>A070101</w:t>
            </w:r>
            <w:r>
              <w:rPr>
                <w:spacing w:val="-36"/>
              </w:rPr>
              <w:t xml:space="preserve"> </w:t>
            </w:r>
            <w:r>
              <w:rPr>
                <w:spacing w:val="-7"/>
              </w:rPr>
              <w:t>棉、化纤</w:t>
            </w:r>
            <w:r>
              <w:t xml:space="preserve"> </w:t>
            </w:r>
            <w:r>
              <w:rPr>
                <w:spacing w:val="-2"/>
              </w:rPr>
              <w:t>纺织及印染原料</w:t>
            </w:r>
          </w:p>
        </w:tc>
        <w:tc>
          <w:tcPr>
            <w:tcW w:w="2672" w:type="dxa"/>
          </w:tcPr>
          <w:p w14:paraId="44B831E8">
            <w:pPr>
              <w:rPr>
                <w:rFonts w:ascii="Arial"/>
              </w:rPr>
            </w:pPr>
          </w:p>
        </w:tc>
        <w:tc>
          <w:tcPr>
            <w:tcW w:w="2248" w:type="dxa"/>
          </w:tcPr>
          <w:p w14:paraId="695F6D37">
            <w:pPr>
              <w:rPr>
                <w:rFonts w:ascii="Arial"/>
              </w:rPr>
            </w:pPr>
          </w:p>
        </w:tc>
        <w:tc>
          <w:tcPr>
            <w:tcW w:w="3543" w:type="dxa"/>
          </w:tcPr>
          <w:p w14:paraId="0CEDD251">
            <w:pPr>
              <w:pStyle w:val="234"/>
              <w:spacing w:before="67" w:line="219" w:lineRule="auto"/>
              <w:ind w:left="109"/>
              <w:rPr>
                <w:rFonts w:hint="eastAsia"/>
              </w:rPr>
            </w:pPr>
            <w:r>
              <w:rPr>
                <w:spacing w:val="-1"/>
              </w:rPr>
              <w:t>HJ2546</w:t>
            </w:r>
            <w:r>
              <w:rPr>
                <w:spacing w:val="-34"/>
              </w:rPr>
              <w:t xml:space="preserve"> </w:t>
            </w:r>
            <w:r>
              <w:rPr>
                <w:spacing w:val="-1"/>
              </w:rPr>
              <w:t>纺织产品</w:t>
            </w:r>
          </w:p>
        </w:tc>
      </w:tr>
      <w:tr w14:paraId="5E5F6D4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5" w:hRule="atLeast"/>
          <w:jc w:val="center"/>
        </w:trPr>
        <w:tc>
          <w:tcPr>
            <w:tcW w:w="583" w:type="dxa"/>
          </w:tcPr>
          <w:p w14:paraId="0BA050E3">
            <w:pPr>
              <w:pStyle w:val="234"/>
              <w:spacing w:before="96" w:line="183" w:lineRule="auto"/>
              <w:ind w:left="118"/>
              <w:rPr>
                <w:rFonts w:hint="eastAsia"/>
              </w:rPr>
            </w:pPr>
            <w:r>
              <w:rPr>
                <w:spacing w:val="-5"/>
              </w:rPr>
              <w:t>30</w:t>
            </w:r>
          </w:p>
        </w:tc>
        <w:tc>
          <w:tcPr>
            <w:tcW w:w="1542" w:type="dxa"/>
          </w:tcPr>
          <w:p w14:paraId="204BCA57">
            <w:pPr>
              <w:pStyle w:val="234"/>
              <w:spacing w:before="69" w:line="296" w:lineRule="auto"/>
              <w:ind w:left="109" w:right="106" w:hanging="7"/>
              <w:rPr>
                <w:rFonts w:hint="eastAsia"/>
              </w:rPr>
            </w:pPr>
            <w:r>
              <w:rPr>
                <w:spacing w:val="-2"/>
              </w:rPr>
              <w:t>A090101</w:t>
            </w:r>
            <w:r>
              <w:rPr>
                <w:spacing w:val="42"/>
              </w:rPr>
              <w:t xml:space="preserve"> </w:t>
            </w:r>
            <w:r>
              <w:rPr>
                <w:spacing w:val="-2"/>
              </w:rPr>
              <w:t>复</w:t>
            </w:r>
            <w:r>
              <w:rPr>
                <w:spacing w:val="-48"/>
              </w:rPr>
              <w:t xml:space="preserve"> </w:t>
            </w:r>
            <w:r>
              <w:rPr>
                <w:spacing w:val="-2"/>
              </w:rPr>
              <w:t>印纸</w:t>
            </w:r>
            <w:r>
              <w:t xml:space="preserve"> </w:t>
            </w:r>
            <w:r>
              <w:rPr>
                <w:spacing w:val="8"/>
              </w:rPr>
              <w:t>（包括再生复印</w:t>
            </w:r>
            <w:r>
              <w:rPr>
                <w:spacing w:val="4"/>
              </w:rPr>
              <w:t xml:space="preserve"> </w:t>
            </w:r>
            <w:r>
              <w:rPr>
                <w:spacing w:val="-5"/>
              </w:rPr>
              <w:t>纸）</w:t>
            </w:r>
          </w:p>
        </w:tc>
        <w:tc>
          <w:tcPr>
            <w:tcW w:w="2672" w:type="dxa"/>
          </w:tcPr>
          <w:p w14:paraId="169E3616">
            <w:pPr>
              <w:rPr>
                <w:rFonts w:ascii="Arial"/>
              </w:rPr>
            </w:pPr>
          </w:p>
        </w:tc>
        <w:tc>
          <w:tcPr>
            <w:tcW w:w="2248" w:type="dxa"/>
          </w:tcPr>
          <w:p w14:paraId="4E8DB299">
            <w:pPr>
              <w:rPr>
                <w:rFonts w:ascii="Arial"/>
              </w:rPr>
            </w:pPr>
          </w:p>
        </w:tc>
        <w:tc>
          <w:tcPr>
            <w:tcW w:w="3543" w:type="dxa"/>
          </w:tcPr>
          <w:p w14:paraId="2D0971CC">
            <w:pPr>
              <w:pStyle w:val="234"/>
              <w:spacing w:before="67" w:line="219" w:lineRule="auto"/>
              <w:ind w:left="109"/>
              <w:rPr>
                <w:rFonts w:hint="eastAsia"/>
              </w:rPr>
            </w:pPr>
            <w:r>
              <w:rPr>
                <w:spacing w:val="-2"/>
              </w:rPr>
              <w:t>HJ410</w:t>
            </w:r>
            <w:r>
              <w:rPr>
                <w:spacing w:val="-27"/>
              </w:rPr>
              <w:t xml:space="preserve"> </w:t>
            </w:r>
            <w:r>
              <w:rPr>
                <w:spacing w:val="-2"/>
              </w:rPr>
              <w:t>文化用纸</w:t>
            </w:r>
          </w:p>
        </w:tc>
      </w:tr>
      <w:tr w14:paraId="6F0530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0" w:hRule="atLeast"/>
          <w:jc w:val="center"/>
        </w:trPr>
        <w:tc>
          <w:tcPr>
            <w:tcW w:w="583" w:type="dxa"/>
          </w:tcPr>
          <w:p w14:paraId="0DEF6821">
            <w:pPr>
              <w:pStyle w:val="234"/>
              <w:spacing w:before="91" w:line="184" w:lineRule="auto"/>
              <w:ind w:left="118"/>
              <w:rPr>
                <w:rFonts w:hint="eastAsia"/>
              </w:rPr>
            </w:pPr>
            <w:r>
              <w:rPr>
                <w:spacing w:val="-5"/>
              </w:rPr>
              <w:t>31</w:t>
            </w:r>
          </w:p>
        </w:tc>
        <w:tc>
          <w:tcPr>
            <w:tcW w:w="1542" w:type="dxa"/>
          </w:tcPr>
          <w:p w14:paraId="347A63B9">
            <w:pPr>
              <w:pStyle w:val="234"/>
              <w:spacing w:before="64" w:line="296" w:lineRule="auto"/>
              <w:ind w:left="109" w:right="106" w:hanging="7"/>
              <w:rPr>
                <w:rFonts w:hint="eastAsia"/>
              </w:rPr>
            </w:pPr>
            <w:r>
              <w:rPr>
                <w:spacing w:val="3"/>
              </w:rPr>
              <w:t>A090201</w:t>
            </w:r>
            <w:r>
              <w:rPr>
                <w:spacing w:val="34"/>
              </w:rPr>
              <w:t xml:space="preserve"> </w:t>
            </w:r>
            <w:r>
              <w:rPr>
                <w:spacing w:val="3"/>
              </w:rPr>
              <w:t>鼓粉盒</w:t>
            </w:r>
            <w:r>
              <w:t xml:space="preserve"> </w:t>
            </w:r>
            <w:r>
              <w:rPr>
                <w:spacing w:val="8"/>
              </w:rPr>
              <w:t>（包括再生鼓粉</w:t>
            </w:r>
            <w:r>
              <w:rPr>
                <w:spacing w:val="4"/>
              </w:rPr>
              <w:t xml:space="preserve"> </w:t>
            </w:r>
            <w:r>
              <w:rPr>
                <w:spacing w:val="-5"/>
              </w:rPr>
              <w:t>盒）</w:t>
            </w:r>
          </w:p>
        </w:tc>
        <w:tc>
          <w:tcPr>
            <w:tcW w:w="2672" w:type="dxa"/>
          </w:tcPr>
          <w:p w14:paraId="565090B7">
            <w:pPr>
              <w:rPr>
                <w:rFonts w:ascii="Arial"/>
              </w:rPr>
            </w:pPr>
          </w:p>
        </w:tc>
        <w:tc>
          <w:tcPr>
            <w:tcW w:w="2248" w:type="dxa"/>
          </w:tcPr>
          <w:p w14:paraId="6BCC9485">
            <w:pPr>
              <w:rPr>
                <w:rFonts w:ascii="Arial"/>
              </w:rPr>
            </w:pPr>
          </w:p>
        </w:tc>
        <w:tc>
          <w:tcPr>
            <w:tcW w:w="3543" w:type="dxa"/>
          </w:tcPr>
          <w:p w14:paraId="226A9C91">
            <w:pPr>
              <w:pStyle w:val="234"/>
              <w:spacing w:before="63" w:line="219" w:lineRule="auto"/>
              <w:ind w:left="109"/>
              <w:rPr>
                <w:rFonts w:hint="eastAsia"/>
              </w:rPr>
            </w:pPr>
            <w:r>
              <w:rPr>
                <w:spacing w:val="-1"/>
              </w:rPr>
              <w:t>HJ/T413</w:t>
            </w:r>
            <w:r>
              <w:rPr>
                <w:spacing w:val="-34"/>
              </w:rPr>
              <w:t xml:space="preserve"> </w:t>
            </w:r>
            <w:r>
              <w:rPr>
                <w:spacing w:val="-1"/>
              </w:rPr>
              <w:t>再生鼓粉盒</w:t>
            </w:r>
          </w:p>
        </w:tc>
      </w:tr>
      <w:tr w14:paraId="43C221E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60" w:hRule="atLeast"/>
          <w:jc w:val="center"/>
        </w:trPr>
        <w:tc>
          <w:tcPr>
            <w:tcW w:w="583" w:type="dxa"/>
            <w:vMerge w:val="restart"/>
            <w:tcBorders>
              <w:bottom w:val="nil"/>
            </w:tcBorders>
          </w:tcPr>
          <w:p w14:paraId="35107614">
            <w:pPr>
              <w:pStyle w:val="234"/>
              <w:spacing w:before="93" w:line="183" w:lineRule="auto"/>
              <w:ind w:left="118"/>
              <w:rPr>
                <w:rFonts w:hint="eastAsia"/>
              </w:rPr>
            </w:pPr>
            <w:r>
              <w:rPr>
                <w:spacing w:val="-5"/>
              </w:rPr>
              <w:t>32</w:t>
            </w:r>
          </w:p>
        </w:tc>
        <w:tc>
          <w:tcPr>
            <w:tcW w:w="1542" w:type="dxa"/>
            <w:vMerge w:val="restart"/>
            <w:tcBorders>
              <w:bottom w:val="nil"/>
            </w:tcBorders>
          </w:tcPr>
          <w:p w14:paraId="538EA8B8">
            <w:pPr>
              <w:pStyle w:val="234"/>
              <w:spacing w:before="64" w:line="219" w:lineRule="auto"/>
              <w:ind w:left="102"/>
              <w:rPr>
                <w:rFonts w:hint="eastAsia"/>
              </w:rPr>
            </w:pPr>
            <w:r>
              <w:rPr>
                <w:spacing w:val="-1"/>
              </w:rPr>
              <w:t>A100203</w:t>
            </w:r>
            <w:r>
              <w:rPr>
                <w:spacing w:val="-33"/>
              </w:rPr>
              <w:t xml:space="preserve"> </w:t>
            </w:r>
            <w:r>
              <w:rPr>
                <w:spacing w:val="-1"/>
              </w:rPr>
              <w:t>人造板</w:t>
            </w:r>
          </w:p>
        </w:tc>
        <w:tc>
          <w:tcPr>
            <w:tcW w:w="2672" w:type="dxa"/>
          </w:tcPr>
          <w:p w14:paraId="22EB7150">
            <w:pPr>
              <w:pStyle w:val="234"/>
              <w:spacing w:before="64" w:line="219" w:lineRule="auto"/>
              <w:ind w:left="103"/>
              <w:rPr>
                <w:rFonts w:hint="eastAsia"/>
              </w:rPr>
            </w:pPr>
            <w:r>
              <w:rPr>
                <w:spacing w:val="-1"/>
              </w:rPr>
              <w:t>A10020301</w:t>
            </w:r>
            <w:r>
              <w:rPr>
                <w:spacing w:val="-32"/>
              </w:rPr>
              <w:t xml:space="preserve"> </w:t>
            </w:r>
            <w:r>
              <w:rPr>
                <w:spacing w:val="-1"/>
              </w:rPr>
              <w:t>胶合板</w:t>
            </w:r>
          </w:p>
        </w:tc>
        <w:tc>
          <w:tcPr>
            <w:tcW w:w="2248" w:type="dxa"/>
          </w:tcPr>
          <w:p w14:paraId="3D66D511">
            <w:pPr>
              <w:rPr>
                <w:rFonts w:ascii="Arial"/>
              </w:rPr>
            </w:pPr>
          </w:p>
        </w:tc>
        <w:tc>
          <w:tcPr>
            <w:tcW w:w="3543" w:type="dxa"/>
          </w:tcPr>
          <w:p w14:paraId="2D08C033">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388044B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099B1EF8">
            <w:pPr>
              <w:rPr>
                <w:rFonts w:ascii="Arial"/>
              </w:rPr>
            </w:pPr>
          </w:p>
        </w:tc>
        <w:tc>
          <w:tcPr>
            <w:tcW w:w="1542" w:type="dxa"/>
            <w:vMerge w:val="continue"/>
            <w:tcBorders>
              <w:top w:val="nil"/>
              <w:bottom w:val="nil"/>
            </w:tcBorders>
          </w:tcPr>
          <w:p w14:paraId="1EFFBC3B">
            <w:pPr>
              <w:rPr>
                <w:rFonts w:ascii="Arial"/>
              </w:rPr>
            </w:pPr>
          </w:p>
        </w:tc>
        <w:tc>
          <w:tcPr>
            <w:tcW w:w="2672" w:type="dxa"/>
          </w:tcPr>
          <w:p w14:paraId="53E4D662">
            <w:pPr>
              <w:pStyle w:val="234"/>
              <w:spacing w:before="65" w:line="219" w:lineRule="auto"/>
              <w:ind w:left="103"/>
              <w:rPr>
                <w:rFonts w:hint="eastAsia"/>
              </w:rPr>
            </w:pPr>
            <w:r>
              <w:rPr>
                <w:spacing w:val="-1"/>
              </w:rPr>
              <w:t>A10020302</w:t>
            </w:r>
            <w:r>
              <w:rPr>
                <w:spacing w:val="-30"/>
              </w:rPr>
              <w:t xml:space="preserve"> </w:t>
            </w:r>
            <w:r>
              <w:rPr>
                <w:spacing w:val="-1"/>
              </w:rPr>
              <w:t>纤维板</w:t>
            </w:r>
          </w:p>
        </w:tc>
        <w:tc>
          <w:tcPr>
            <w:tcW w:w="2248" w:type="dxa"/>
          </w:tcPr>
          <w:p w14:paraId="0D015B3A">
            <w:pPr>
              <w:rPr>
                <w:rFonts w:ascii="Arial"/>
              </w:rPr>
            </w:pPr>
          </w:p>
        </w:tc>
        <w:tc>
          <w:tcPr>
            <w:tcW w:w="3543" w:type="dxa"/>
          </w:tcPr>
          <w:p w14:paraId="08156996">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5536051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BD99E57">
            <w:pPr>
              <w:rPr>
                <w:rFonts w:ascii="Arial"/>
              </w:rPr>
            </w:pPr>
          </w:p>
        </w:tc>
        <w:tc>
          <w:tcPr>
            <w:tcW w:w="1542" w:type="dxa"/>
            <w:vMerge w:val="continue"/>
            <w:tcBorders>
              <w:top w:val="nil"/>
              <w:bottom w:val="nil"/>
            </w:tcBorders>
          </w:tcPr>
          <w:p w14:paraId="569C325E">
            <w:pPr>
              <w:rPr>
                <w:rFonts w:ascii="Arial"/>
              </w:rPr>
            </w:pPr>
          </w:p>
        </w:tc>
        <w:tc>
          <w:tcPr>
            <w:tcW w:w="2672" w:type="dxa"/>
          </w:tcPr>
          <w:p w14:paraId="414513EB">
            <w:pPr>
              <w:pStyle w:val="234"/>
              <w:spacing w:before="65" w:line="219" w:lineRule="auto"/>
              <w:ind w:left="103"/>
              <w:rPr>
                <w:rFonts w:hint="eastAsia"/>
              </w:rPr>
            </w:pPr>
            <w:r>
              <w:rPr>
                <w:spacing w:val="-1"/>
              </w:rPr>
              <w:t>A10020303</w:t>
            </w:r>
            <w:r>
              <w:rPr>
                <w:spacing w:val="-32"/>
              </w:rPr>
              <w:t xml:space="preserve"> </w:t>
            </w:r>
            <w:r>
              <w:rPr>
                <w:spacing w:val="-1"/>
              </w:rPr>
              <w:t>刨花板</w:t>
            </w:r>
          </w:p>
        </w:tc>
        <w:tc>
          <w:tcPr>
            <w:tcW w:w="2248" w:type="dxa"/>
          </w:tcPr>
          <w:p w14:paraId="1219FB0F">
            <w:pPr>
              <w:rPr>
                <w:rFonts w:ascii="Arial"/>
              </w:rPr>
            </w:pPr>
          </w:p>
        </w:tc>
        <w:tc>
          <w:tcPr>
            <w:tcW w:w="3543" w:type="dxa"/>
          </w:tcPr>
          <w:p w14:paraId="09C13C61">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2C5D8A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146F2C5D">
            <w:pPr>
              <w:rPr>
                <w:rFonts w:ascii="Arial"/>
              </w:rPr>
            </w:pPr>
          </w:p>
        </w:tc>
        <w:tc>
          <w:tcPr>
            <w:tcW w:w="1542" w:type="dxa"/>
            <w:vMerge w:val="continue"/>
            <w:tcBorders>
              <w:top w:val="nil"/>
              <w:bottom w:val="nil"/>
            </w:tcBorders>
          </w:tcPr>
          <w:p w14:paraId="0805A4CF">
            <w:pPr>
              <w:rPr>
                <w:rFonts w:ascii="Arial"/>
              </w:rPr>
            </w:pPr>
          </w:p>
        </w:tc>
        <w:tc>
          <w:tcPr>
            <w:tcW w:w="2672" w:type="dxa"/>
          </w:tcPr>
          <w:p w14:paraId="5B905571">
            <w:pPr>
              <w:pStyle w:val="234"/>
              <w:spacing w:before="68" w:line="219" w:lineRule="auto"/>
              <w:ind w:left="103"/>
              <w:rPr>
                <w:rFonts w:hint="eastAsia"/>
              </w:rPr>
            </w:pPr>
            <w:r>
              <w:rPr>
                <w:spacing w:val="-1"/>
              </w:rPr>
              <w:t>A10020304</w:t>
            </w:r>
            <w:r>
              <w:rPr>
                <w:spacing w:val="-31"/>
              </w:rPr>
              <w:t xml:space="preserve"> </w:t>
            </w:r>
            <w:r>
              <w:rPr>
                <w:spacing w:val="-1"/>
              </w:rPr>
              <w:t>细木工板</w:t>
            </w:r>
          </w:p>
        </w:tc>
        <w:tc>
          <w:tcPr>
            <w:tcW w:w="2248" w:type="dxa"/>
          </w:tcPr>
          <w:p w14:paraId="4B2AAB63">
            <w:pPr>
              <w:rPr>
                <w:rFonts w:ascii="Arial"/>
              </w:rPr>
            </w:pPr>
          </w:p>
        </w:tc>
        <w:tc>
          <w:tcPr>
            <w:tcW w:w="3543" w:type="dxa"/>
          </w:tcPr>
          <w:p w14:paraId="3EFDDEEA">
            <w:pPr>
              <w:pStyle w:val="234"/>
              <w:spacing w:before="67" w:line="219" w:lineRule="auto"/>
              <w:ind w:left="109"/>
              <w:rPr>
                <w:rFonts w:hint="eastAsia"/>
              </w:rPr>
            </w:pPr>
            <w:r>
              <w:rPr>
                <w:spacing w:val="-1"/>
              </w:rPr>
              <w:t>HJ571</w:t>
            </w:r>
            <w:r>
              <w:rPr>
                <w:spacing w:val="-34"/>
              </w:rPr>
              <w:t xml:space="preserve"> </w:t>
            </w:r>
            <w:r>
              <w:rPr>
                <w:spacing w:val="-1"/>
              </w:rPr>
              <w:t>人造板及其制品</w:t>
            </w:r>
          </w:p>
        </w:tc>
      </w:tr>
      <w:tr w14:paraId="46BDF0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1B9EF11C">
            <w:pPr>
              <w:rPr>
                <w:rFonts w:ascii="Arial"/>
              </w:rPr>
            </w:pPr>
          </w:p>
        </w:tc>
        <w:tc>
          <w:tcPr>
            <w:tcW w:w="1542" w:type="dxa"/>
            <w:vMerge w:val="continue"/>
            <w:tcBorders>
              <w:top w:val="nil"/>
            </w:tcBorders>
          </w:tcPr>
          <w:p w14:paraId="3B949138">
            <w:pPr>
              <w:rPr>
                <w:rFonts w:ascii="Arial"/>
              </w:rPr>
            </w:pPr>
          </w:p>
        </w:tc>
        <w:tc>
          <w:tcPr>
            <w:tcW w:w="2672" w:type="dxa"/>
          </w:tcPr>
          <w:p w14:paraId="4D93E736">
            <w:pPr>
              <w:pStyle w:val="234"/>
              <w:spacing w:before="65" w:line="219" w:lineRule="auto"/>
              <w:ind w:left="103"/>
              <w:rPr>
                <w:rFonts w:hint="eastAsia"/>
              </w:rPr>
            </w:pPr>
            <w:r>
              <w:rPr>
                <w:spacing w:val="-1"/>
              </w:rPr>
              <w:t>A10020399</w:t>
            </w:r>
            <w:r>
              <w:rPr>
                <w:spacing w:val="-31"/>
              </w:rPr>
              <w:t xml:space="preserve"> </w:t>
            </w:r>
            <w:r>
              <w:rPr>
                <w:spacing w:val="-1"/>
              </w:rPr>
              <w:t>其他人造板</w:t>
            </w:r>
          </w:p>
        </w:tc>
        <w:tc>
          <w:tcPr>
            <w:tcW w:w="2248" w:type="dxa"/>
          </w:tcPr>
          <w:p w14:paraId="3E19E29A">
            <w:pPr>
              <w:rPr>
                <w:rFonts w:ascii="Arial"/>
              </w:rPr>
            </w:pPr>
          </w:p>
        </w:tc>
        <w:tc>
          <w:tcPr>
            <w:tcW w:w="3543" w:type="dxa"/>
          </w:tcPr>
          <w:p w14:paraId="0216FB93">
            <w:pPr>
              <w:pStyle w:val="234"/>
              <w:spacing w:before="64" w:line="219" w:lineRule="auto"/>
              <w:ind w:left="109"/>
              <w:rPr>
                <w:rFonts w:hint="eastAsia"/>
              </w:rPr>
            </w:pPr>
            <w:r>
              <w:rPr>
                <w:spacing w:val="-1"/>
              </w:rPr>
              <w:t>HJ571</w:t>
            </w:r>
            <w:r>
              <w:rPr>
                <w:spacing w:val="-34"/>
              </w:rPr>
              <w:t xml:space="preserve"> </w:t>
            </w:r>
            <w:r>
              <w:rPr>
                <w:spacing w:val="-1"/>
              </w:rPr>
              <w:t>人造板及其制品</w:t>
            </w:r>
          </w:p>
        </w:tc>
      </w:tr>
      <w:tr w14:paraId="5EA203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73" w:hRule="atLeast"/>
          <w:jc w:val="center"/>
        </w:trPr>
        <w:tc>
          <w:tcPr>
            <w:tcW w:w="583" w:type="dxa"/>
            <w:vMerge w:val="restart"/>
            <w:tcBorders>
              <w:bottom w:val="nil"/>
            </w:tcBorders>
          </w:tcPr>
          <w:p w14:paraId="7FCAA283">
            <w:pPr>
              <w:pStyle w:val="234"/>
              <w:spacing w:before="93" w:line="183" w:lineRule="auto"/>
              <w:ind w:left="118"/>
              <w:rPr>
                <w:rFonts w:hint="eastAsia"/>
              </w:rPr>
            </w:pPr>
            <w:r>
              <w:rPr>
                <w:spacing w:val="-5"/>
              </w:rPr>
              <w:t>33</w:t>
            </w:r>
          </w:p>
        </w:tc>
        <w:tc>
          <w:tcPr>
            <w:tcW w:w="1542" w:type="dxa"/>
            <w:vMerge w:val="restart"/>
            <w:tcBorders>
              <w:bottom w:val="nil"/>
            </w:tcBorders>
          </w:tcPr>
          <w:p w14:paraId="1BC9707B">
            <w:pPr>
              <w:pStyle w:val="234"/>
              <w:spacing w:before="65" w:line="305" w:lineRule="auto"/>
              <w:ind w:left="109" w:right="108" w:hanging="7"/>
              <w:rPr>
                <w:rFonts w:hint="eastAsia"/>
              </w:rPr>
            </w:pPr>
            <w:r>
              <w:rPr>
                <w:spacing w:val="3"/>
              </w:rPr>
              <w:t>A100204</w:t>
            </w:r>
            <w:r>
              <w:rPr>
                <w:spacing w:val="34"/>
              </w:rPr>
              <w:t xml:space="preserve"> </w:t>
            </w:r>
            <w:r>
              <w:rPr>
                <w:spacing w:val="3"/>
              </w:rPr>
              <w:t>二次加</w:t>
            </w:r>
            <w:r>
              <w:rPr>
                <w:spacing w:val="-2"/>
              </w:rPr>
              <w:t>工材,相关板材</w:t>
            </w:r>
          </w:p>
        </w:tc>
        <w:tc>
          <w:tcPr>
            <w:tcW w:w="2672" w:type="dxa"/>
          </w:tcPr>
          <w:p w14:paraId="19ECDFF3">
            <w:pPr>
              <w:pStyle w:val="234"/>
              <w:spacing w:before="65" w:line="219" w:lineRule="auto"/>
              <w:ind w:left="103"/>
              <w:rPr>
                <w:rFonts w:hint="eastAsia"/>
              </w:rPr>
            </w:pPr>
            <w:r>
              <w:rPr>
                <w:spacing w:val="-1"/>
              </w:rPr>
              <w:t>A10020404</w:t>
            </w:r>
            <w:r>
              <w:rPr>
                <w:spacing w:val="-28"/>
              </w:rPr>
              <w:t xml:space="preserve"> </w:t>
            </w:r>
            <w:r>
              <w:rPr>
                <w:spacing w:val="-1"/>
              </w:rPr>
              <w:t>人造板表面装饰板</w:t>
            </w:r>
          </w:p>
        </w:tc>
        <w:tc>
          <w:tcPr>
            <w:tcW w:w="2248" w:type="dxa"/>
          </w:tcPr>
          <w:p w14:paraId="2F5828C6">
            <w:pPr>
              <w:rPr>
                <w:rFonts w:ascii="Arial"/>
              </w:rPr>
            </w:pPr>
          </w:p>
        </w:tc>
        <w:tc>
          <w:tcPr>
            <w:tcW w:w="3543" w:type="dxa"/>
          </w:tcPr>
          <w:p w14:paraId="6420EFF2">
            <w:pPr>
              <w:pStyle w:val="234"/>
              <w:spacing w:before="64"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010742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1" w:hRule="atLeast"/>
          <w:jc w:val="center"/>
        </w:trPr>
        <w:tc>
          <w:tcPr>
            <w:tcW w:w="583" w:type="dxa"/>
            <w:vMerge w:val="continue"/>
            <w:tcBorders>
              <w:top w:val="nil"/>
            </w:tcBorders>
          </w:tcPr>
          <w:p w14:paraId="08752D12">
            <w:pPr>
              <w:rPr>
                <w:rFonts w:ascii="Arial"/>
              </w:rPr>
            </w:pPr>
          </w:p>
        </w:tc>
        <w:tc>
          <w:tcPr>
            <w:tcW w:w="1542" w:type="dxa"/>
            <w:vMerge w:val="continue"/>
            <w:tcBorders>
              <w:top w:val="nil"/>
            </w:tcBorders>
          </w:tcPr>
          <w:p w14:paraId="124EB7C0">
            <w:pPr>
              <w:rPr>
                <w:rFonts w:ascii="Arial"/>
              </w:rPr>
            </w:pPr>
          </w:p>
        </w:tc>
        <w:tc>
          <w:tcPr>
            <w:tcW w:w="2672" w:type="dxa"/>
          </w:tcPr>
          <w:p w14:paraId="70EBFAAB">
            <w:pPr>
              <w:pStyle w:val="234"/>
              <w:spacing w:before="67" w:line="284" w:lineRule="auto"/>
              <w:ind w:left="113" w:right="107" w:hanging="10"/>
              <w:rPr>
                <w:rFonts w:hint="eastAsia"/>
              </w:rPr>
            </w:pPr>
            <w:r>
              <w:rPr>
                <w:spacing w:val="5"/>
              </w:rPr>
              <w:t>A10020404</w:t>
            </w:r>
            <w:r>
              <w:rPr>
                <w:spacing w:val="30"/>
              </w:rPr>
              <w:t xml:space="preserve"> </w:t>
            </w:r>
            <w:r>
              <w:rPr>
                <w:spacing w:val="5"/>
              </w:rPr>
              <w:t>人造板表面装饰板</w:t>
            </w:r>
            <w:r>
              <w:t xml:space="preserve"> </w:t>
            </w:r>
            <w:r>
              <w:rPr>
                <w:spacing w:val="-3"/>
              </w:rPr>
              <w:t>（地板）</w:t>
            </w:r>
          </w:p>
        </w:tc>
        <w:tc>
          <w:tcPr>
            <w:tcW w:w="2248" w:type="dxa"/>
          </w:tcPr>
          <w:p w14:paraId="27FC5B9F">
            <w:pPr>
              <w:rPr>
                <w:rFonts w:ascii="Arial"/>
              </w:rPr>
            </w:pPr>
          </w:p>
        </w:tc>
        <w:tc>
          <w:tcPr>
            <w:tcW w:w="3543" w:type="dxa"/>
          </w:tcPr>
          <w:p w14:paraId="1753B303">
            <w:pPr>
              <w:pStyle w:val="234"/>
              <w:spacing w:before="67" w:line="219" w:lineRule="auto"/>
              <w:ind w:left="109"/>
              <w:rPr>
                <w:rFonts w:hint="eastAsia"/>
              </w:rPr>
            </w:pPr>
            <w:r>
              <w:rPr>
                <w:spacing w:val="-1"/>
              </w:rPr>
              <w:t>HJ571</w:t>
            </w:r>
            <w:r>
              <w:rPr>
                <w:spacing w:val="-30"/>
              </w:rPr>
              <w:t xml:space="preserve"> </w:t>
            </w:r>
            <w:r>
              <w:rPr>
                <w:spacing w:val="-1"/>
              </w:rPr>
              <w:t>人造板及其制品/HJ2540</w:t>
            </w:r>
            <w:r>
              <w:rPr>
                <w:spacing w:val="-38"/>
              </w:rPr>
              <w:t xml:space="preserve"> </w:t>
            </w:r>
            <w:r>
              <w:rPr>
                <w:spacing w:val="-1"/>
              </w:rPr>
              <w:t>木塑制品</w:t>
            </w:r>
          </w:p>
        </w:tc>
      </w:tr>
      <w:tr w14:paraId="7B9101F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E8261C9">
            <w:pPr>
              <w:pStyle w:val="234"/>
              <w:spacing w:before="93" w:line="183" w:lineRule="auto"/>
              <w:ind w:left="118"/>
              <w:rPr>
                <w:rFonts w:hint="eastAsia"/>
              </w:rPr>
            </w:pPr>
            <w:r>
              <w:rPr>
                <w:spacing w:val="-5"/>
              </w:rPr>
              <w:t>34</w:t>
            </w:r>
          </w:p>
        </w:tc>
        <w:tc>
          <w:tcPr>
            <w:tcW w:w="1542" w:type="dxa"/>
          </w:tcPr>
          <w:p w14:paraId="3AEE20A8">
            <w:pPr>
              <w:pStyle w:val="234"/>
              <w:spacing w:before="66" w:line="283" w:lineRule="auto"/>
              <w:ind w:left="107" w:right="108" w:hanging="5"/>
              <w:rPr>
                <w:rFonts w:hint="eastAsia"/>
              </w:rPr>
            </w:pPr>
            <w:r>
              <w:rPr>
                <w:spacing w:val="3"/>
              </w:rPr>
              <w:t>A100301</w:t>
            </w:r>
            <w:r>
              <w:rPr>
                <w:spacing w:val="34"/>
              </w:rPr>
              <w:t xml:space="preserve"> </w:t>
            </w:r>
            <w:r>
              <w:rPr>
                <w:spacing w:val="3"/>
              </w:rPr>
              <w:t>水泥熟</w:t>
            </w:r>
            <w:r>
              <w:rPr>
                <w:spacing w:val="-2"/>
              </w:rPr>
              <w:t>料及水泥</w:t>
            </w:r>
          </w:p>
        </w:tc>
        <w:tc>
          <w:tcPr>
            <w:tcW w:w="2672" w:type="dxa"/>
          </w:tcPr>
          <w:p w14:paraId="5C679AB1">
            <w:pPr>
              <w:pStyle w:val="234"/>
              <w:spacing w:before="65" w:line="220" w:lineRule="auto"/>
              <w:ind w:left="103"/>
              <w:rPr>
                <w:rFonts w:hint="eastAsia"/>
              </w:rPr>
            </w:pPr>
            <w:r>
              <w:rPr>
                <w:spacing w:val="-1"/>
              </w:rPr>
              <w:t>A10030102</w:t>
            </w:r>
            <w:r>
              <w:rPr>
                <w:spacing w:val="-31"/>
              </w:rPr>
              <w:t xml:space="preserve"> </w:t>
            </w:r>
            <w:r>
              <w:rPr>
                <w:spacing w:val="-1"/>
              </w:rPr>
              <w:t>水泥</w:t>
            </w:r>
          </w:p>
        </w:tc>
        <w:tc>
          <w:tcPr>
            <w:tcW w:w="2248" w:type="dxa"/>
          </w:tcPr>
          <w:p w14:paraId="0DA66FBD">
            <w:pPr>
              <w:rPr>
                <w:rFonts w:ascii="Arial"/>
              </w:rPr>
            </w:pPr>
          </w:p>
        </w:tc>
        <w:tc>
          <w:tcPr>
            <w:tcW w:w="3543" w:type="dxa"/>
          </w:tcPr>
          <w:p w14:paraId="45196DAB">
            <w:pPr>
              <w:pStyle w:val="234"/>
              <w:spacing w:before="64" w:line="219" w:lineRule="auto"/>
              <w:ind w:left="109"/>
              <w:rPr>
                <w:rFonts w:hint="eastAsia"/>
              </w:rPr>
            </w:pPr>
            <w:r>
              <w:rPr>
                <w:spacing w:val="-1"/>
              </w:rPr>
              <w:t>HJ2519</w:t>
            </w:r>
            <w:r>
              <w:rPr>
                <w:spacing w:val="-34"/>
              </w:rPr>
              <w:t xml:space="preserve"> </w:t>
            </w:r>
            <w:r>
              <w:rPr>
                <w:spacing w:val="-1"/>
              </w:rPr>
              <w:t>水泥</w:t>
            </w:r>
          </w:p>
        </w:tc>
      </w:tr>
      <w:tr w14:paraId="616E36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0504B666">
            <w:pPr>
              <w:pStyle w:val="234"/>
              <w:spacing w:before="94" w:line="183" w:lineRule="auto"/>
              <w:ind w:left="118"/>
              <w:rPr>
                <w:rFonts w:hint="eastAsia"/>
              </w:rPr>
            </w:pPr>
            <w:r>
              <w:rPr>
                <w:spacing w:val="-5"/>
              </w:rPr>
              <w:t>35</w:t>
            </w:r>
          </w:p>
        </w:tc>
        <w:tc>
          <w:tcPr>
            <w:tcW w:w="1542" w:type="dxa"/>
          </w:tcPr>
          <w:p w14:paraId="20D628EB">
            <w:pPr>
              <w:pStyle w:val="234"/>
              <w:spacing w:before="66" w:line="283" w:lineRule="auto"/>
              <w:ind w:left="106" w:right="108" w:hanging="4"/>
              <w:rPr>
                <w:rFonts w:hint="eastAsia"/>
              </w:rPr>
            </w:pPr>
            <w:r>
              <w:rPr>
                <w:spacing w:val="3"/>
              </w:rPr>
              <w:t>A100303</w:t>
            </w:r>
            <w:r>
              <w:rPr>
                <w:spacing w:val="34"/>
              </w:rPr>
              <w:t xml:space="preserve"> </w:t>
            </w:r>
            <w:r>
              <w:rPr>
                <w:spacing w:val="3"/>
              </w:rPr>
              <w:t>水泥混</w:t>
            </w:r>
            <w:r>
              <w:rPr>
                <w:spacing w:val="-2"/>
              </w:rPr>
              <w:t>凝土制品</w:t>
            </w:r>
          </w:p>
        </w:tc>
        <w:tc>
          <w:tcPr>
            <w:tcW w:w="2672" w:type="dxa"/>
          </w:tcPr>
          <w:p w14:paraId="52EC8C3F">
            <w:pPr>
              <w:pStyle w:val="234"/>
              <w:spacing w:before="65" w:line="221" w:lineRule="auto"/>
              <w:ind w:left="103"/>
              <w:rPr>
                <w:rFonts w:hint="eastAsia"/>
              </w:rPr>
            </w:pPr>
            <w:r>
              <w:rPr>
                <w:spacing w:val="-1"/>
              </w:rPr>
              <w:t>A10030301</w:t>
            </w:r>
            <w:r>
              <w:rPr>
                <w:spacing w:val="-30"/>
              </w:rPr>
              <w:t xml:space="preserve"> </w:t>
            </w:r>
            <w:r>
              <w:rPr>
                <w:spacing w:val="-1"/>
              </w:rPr>
              <w:t>商品混凝土</w:t>
            </w:r>
          </w:p>
        </w:tc>
        <w:tc>
          <w:tcPr>
            <w:tcW w:w="2248" w:type="dxa"/>
          </w:tcPr>
          <w:p w14:paraId="57CD34A9">
            <w:pPr>
              <w:rPr>
                <w:rFonts w:ascii="Arial"/>
              </w:rPr>
            </w:pPr>
          </w:p>
        </w:tc>
        <w:tc>
          <w:tcPr>
            <w:tcW w:w="3543" w:type="dxa"/>
          </w:tcPr>
          <w:p w14:paraId="766A272F">
            <w:pPr>
              <w:pStyle w:val="234"/>
              <w:spacing w:before="65" w:line="219" w:lineRule="auto"/>
              <w:ind w:left="109"/>
              <w:rPr>
                <w:rFonts w:hint="eastAsia"/>
              </w:rPr>
            </w:pPr>
            <w:r>
              <w:rPr>
                <w:spacing w:val="-1"/>
              </w:rPr>
              <w:t>HJ/T412</w:t>
            </w:r>
            <w:r>
              <w:rPr>
                <w:spacing w:val="-34"/>
              </w:rPr>
              <w:t xml:space="preserve"> </w:t>
            </w:r>
            <w:r>
              <w:rPr>
                <w:spacing w:val="-1"/>
              </w:rPr>
              <w:t>预拌混凝土</w:t>
            </w:r>
          </w:p>
        </w:tc>
      </w:tr>
      <w:tr w14:paraId="374C48B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5C309305">
            <w:pPr>
              <w:pStyle w:val="234"/>
              <w:spacing w:before="94" w:line="183" w:lineRule="auto"/>
              <w:ind w:left="118"/>
              <w:rPr>
                <w:rFonts w:hint="eastAsia"/>
              </w:rPr>
            </w:pPr>
            <w:r>
              <w:rPr>
                <w:spacing w:val="-5"/>
              </w:rPr>
              <w:t>36</w:t>
            </w:r>
          </w:p>
        </w:tc>
        <w:tc>
          <w:tcPr>
            <w:tcW w:w="1542" w:type="dxa"/>
            <w:vMerge w:val="restart"/>
            <w:tcBorders>
              <w:bottom w:val="nil"/>
            </w:tcBorders>
          </w:tcPr>
          <w:p w14:paraId="4E851D0D">
            <w:pPr>
              <w:pStyle w:val="234"/>
              <w:spacing w:before="65" w:line="307" w:lineRule="auto"/>
              <w:ind w:left="111" w:right="108" w:hanging="9"/>
              <w:rPr>
                <w:rFonts w:hint="eastAsia"/>
              </w:rPr>
            </w:pPr>
            <w:r>
              <w:rPr>
                <w:spacing w:val="3"/>
              </w:rPr>
              <w:t>A100304</w:t>
            </w:r>
            <w:r>
              <w:rPr>
                <w:spacing w:val="35"/>
              </w:rPr>
              <w:t xml:space="preserve"> </w:t>
            </w:r>
            <w:r>
              <w:rPr>
                <w:spacing w:val="3"/>
              </w:rPr>
              <w:t>纤维增</w:t>
            </w:r>
            <w:r>
              <w:rPr>
                <w:spacing w:val="-2"/>
              </w:rPr>
              <w:t>强水泥制品</w:t>
            </w:r>
          </w:p>
        </w:tc>
        <w:tc>
          <w:tcPr>
            <w:tcW w:w="2672" w:type="dxa"/>
          </w:tcPr>
          <w:p w14:paraId="63B86DB0">
            <w:pPr>
              <w:pStyle w:val="234"/>
              <w:spacing w:before="66" w:line="219" w:lineRule="auto"/>
              <w:ind w:left="103"/>
              <w:rPr>
                <w:rFonts w:hint="eastAsia"/>
              </w:rPr>
            </w:pPr>
            <w:r>
              <w:rPr>
                <w:spacing w:val="-1"/>
              </w:rPr>
              <w:t>A10030402</w:t>
            </w:r>
            <w:r>
              <w:rPr>
                <w:spacing w:val="-28"/>
              </w:rPr>
              <w:t xml:space="preserve"> </w:t>
            </w:r>
            <w:r>
              <w:rPr>
                <w:spacing w:val="-1"/>
              </w:rPr>
              <w:t>纤维增强硅酸钙板</w:t>
            </w:r>
          </w:p>
        </w:tc>
        <w:tc>
          <w:tcPr>
            <w:tcW w:w="2248" w:type="dxa"/>
          </w:tcPr>
          <w:p w14:paraId="3554DD58">
            <w:pPr>
              <w:rPr>
                <w:rFonts w:ascii="Arial"/>
              </w:rPr>
            </w:pPr>
          </w:p>
        </w:tc>
        <w:tc>
          <w:tcPr>
            <w:tcW w:w="3543" w:type="dxa"/>
          </w:tcPr>
          <w:p w14:paraId="13BC3BBC">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5594CD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tcBorders>
          </w:tcPr>
          <w:p w14:paraId="048DFE15">
            <w:pPr>
              <w:rPr>
                <w:rFonts w:ascii="Arial"/>
              </w:rPr>
            </w:pPr>
          </w:p>
        </w:tc>
        <w:tc>
          <w:tcPr>
            <w:tcW w:w="1542" w:type="dxa"/>
            <w:vMerge w:val="continue"/>
            <w:tcBorders>
              <w:top w:val="nil"/>
            </w:tcBorders>
          </w:tcPr>
          <w:p w14:paraId="56591331">
            <w:pPr>
              <w:rPr>
                <w:rFonts w:ascii="Arial"/>
              </w:rPr>
            </w:pPr>
          </w:p>
        </w:tc>
        <w:tc>
          <w:tcPr>
            <w:tcW w:w="2672" w:type="dxa"/>
          </w:tcPr>
          <w:p w14:paraId="3242150B">
            <w:pPr>
              <w:pStyle w:val="234"/>
              <w:spacing w:before="66" w:line="220" w:lineRule="auto"/>
              <w:ind w:left="103"/>
              <w:rPr>
                <w:rFonts w:hint="eastAsia"/>
              </w:rPr>
            </w:pPr>
            <w:r>
              <w:rPr>
                <w:spacing w:val="-1"/>
              </w:rPr>
              <w:t>A10030403</w:t>
            </w:r>
            <w:r>
              <w:rPr>
                <w:spacing w:val="-45"/>
              </w:rPr>
              <w:t xml:space="preserve"> </w:t>
            </w:r>
            <w:r>
              <w:rPr>
                <w:spacing w:val="-1"/>
              </w:rPr>
              <w:t>无石棉纤维水泥制品</w:t>
            </w:r>
          </w:p>
        </w:tc>
        <w:tc>
          <w:tcPr>
            <w:tcW w:w="2248" w:type="dxa"/>
          </w:tcPr>
          <w:p w14:paraId="2C2E2376">
            <w:pPr>
              <w:rPr>
                <w:rFonts w:ascii="Arial"/>
              </w:rPr>
            </w:pPr>
          </w:p>
        </w:tc>
        <w:tc>
          <w:tcPr>
            <w:tcW w:w="3543" w:type="dxa"/>
          </w:tcPr>
          <w:p w14:paraId="01131EE4">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41FC1D6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488C06E1">
            <w:pPr>
              <w:pStyle w:val="234"/>
              <w:spacing w:before="95" w:line="183" w:lineRule="auto"/>
              <w:ind w:left="118"/>
              <w:rPr>
                <w:rFonts w:hint="eastAsia"/>
              </w:rPr>
            </w:pPr>
            <w:r>
              <w:rPr>
                <w:spacing w:val="-5"/>
              </w:rPr>
              <w:t>37</w:t>
            </w:r>
          </w:p>
        </w:tc>
        <w:tc>
          <w:tcPr>
            <w:tcW w:w="1542" w:type="dxa"/>
            <w:vMerge w:val="restart"/>
            <w:tcBorders>
              <w:bottom w:val="nil"/>
            </w:tcBorders>
          </w:tcPr>
          <w:p w14:paraId="3EF0B4CA">
            <w:pPr>
              <w:pStyle w:val="234"/>
              <w:spacing w:before="67" w:line="306" w:lineRule="auto"/>
              <w:ind w:left="109" w:right="108" w:hanging="7"/>
              <w:rPr>
                <w:rFonts w:hint="eastAsia"/>
              </w:rPr>
            </w:pPr>
            <w:r>
              <w:rPr>
                <w:spacing w:val="3"/>
              </w:rPr>
              <w:t>A100305</w:t>
            </w:r>
            <w:r>
              <w:rPr>
                <w:spacing w:val="34"/>
              </w:rPr>
              <w:t xml:space="preserve"> </w:t>
            </w:r>
            <w:r>
              <w:rPr>
                <w:spacing w:val="3"/>
              </w:rPr>
              <w:t>轻质建</w:t>
            </w:r>
            <w:r>
              <w:rPr>
                <w:spacing w:val="-2"/>
              </w:rPr>
              <w:t>筑材料及制品</w:t>
            </w:r>
          </w:p>
        </w:tc>
        <w:tc>
          <w:tcPr>
            <w:tcW w:w="2672" w:type="dxa"/>
          </w:tcPr>
          <w:p w14:paraId="33547510">
            <w:pPr>
              <w:pStyle w:val="234"/>
              <w:spacing w:before="67" w:line="219" w:lineRule="auto"/>
              <w:ind w:left="103"/>
              <w:rPr>
                <w:rFonts w:hint="eastAsia"/>
              </w:rPr>
            </w:pPr>
            <w:r>
              <w:rPr>
                <w:spacing w:val="-1"/>
              </w:rPr>
              <w:t>A10030501</w:t>
            </w:r>
            <w:r>
              <w:rPr>
                <w:spacing w:val="-32"/>
              </w:rPr>
              <w:t xml:space="preserve"> </w:t>
            </w:r>
            <w:r>
              <w:rPr>
                <w:spacing w:val="-1"/>
              </w:rPr>
              <w:t>石膏板</w:t>
            </w:r>
          </w:p>
        </w:tc>
        <w:tc>
          <w:tcPr>
            <w:tcW w:w="2248" w:type="dxa"/>
          </w:tcPr>
          <w:p w14:paraId="4A1BABD2">
            <w:pPr>
              <w:rPr>
                <w:rFonts w:ascii="Arial"/>
              </w:rPr>
            </w:pPr>
          </w:p>
        </w:tc>
        <w:tc>
          <w:tcPr>
            <w:tcW w:w="3543" w:type="dxa"/>
          </w:tcPr>
          <w:p w14:paraId="229B7C4B">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74D565A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98" w:hRule="atLeast"/>
          <w:jc w:val="center"/>
        </w:trPr>
        <w:tc>
          <w:tcPr>
            <w:tcW w:w="583" w:type="dxa"/>
            <w:vMerge w:val="continue"/>
            <w:tcBorders>
              <w:top w:val="nil"/>
            </w:tcBorders>
          </w:tcPr>
          <w:p w14:paraId="00005E7F">
            <w:pPr>
              <w:rPr>
                <w:rFonts w:ascii="Arial"/>
              </w:rPr>
            </w:pPr>
          </w:p>
        </w:tc>
        <w:tc>
          <w:tcPr>
            <w:tcW w:w="1542" w:type="dxa"/>
            <w:vMerge w:val="continue"/>
            <w:tcBorders>
              <w:top w:val="nil"/>
            </w:tcBorders>
          </w:tcPr>
          <w:p w14:paraId="2935E775">
            <w:pPr>
              <w:rPr>
                <w:rFonts w:ascii="Arial"/>
              </w:rPr>
            </w:pPr>
          </w:p>
        </w:tc>
        <w:tc>
          <w:tcPr>
            <w:tcW w:w="2672" w:type="dxa"/>
          </w:tcPr>
          <w:p w14:paraId="13FD4BA0">
            <w:pPr>
              <w:pStyle w:val="234"/>
              <w:spacing w:before="66" w:line="219" w:lineRule="auto"/>
              <w:ind w:left="103"/>
              <w:rPr>
                <w:rFonts w:hint="eastAsia"/>
              </w:rPr>
            </w:pPr>
            <w:r>
              <w:rPr>
                <w:spacing w:val="-1"/>
              </w:rPr>
              <w:t>A10030503</w:t>
            </w:r>
            <w:r>
              <w:rPr>
                <w:spacing w:val="-30"/>
              </w:rPr>
              <w:t xml:space="preserve"> </w:t>
            </w:r>
            <w:r>
              <w:rPr>
                <w:spacing w:val="-1"/>
              </w:rPr>
              <w:t>轻质隔墙条板</w:t>
            </w:r>
          </w:p>
        </w:tc>
        <w:tc>
          <w:tcPr>
            <w:tcW w:w="2248" w:type="dxa"/>
          </w:tcPr>
          <w:p w14:paraId="774AEB66">
            <w:pPr>
              <w:rPr>
                <w:rFonts w:ascii="Arial"/>
              </w:rPr>
            </w:pPr>
          </w:p>
        </w:tc>
        <w:tc>
          <w:tcPr>
            <w:tcW w:w="3543" w:type="dxa"/>
          </w:tcPr>
          <w:p w14:paraId="1035A3B1">
            <w:pPr>
              <w:pStyle w:val="234"/>
              <w:spacing w:before="66" w:line="219" w:lineRule="auto"/>
              <w:ind w:left="109"/>
              <w:rPr>
                <w:rFonts w:hint="eastAsia"/>
              </w:rPr>
            </w:pPr>
            <w:r>
              <w:rPr>
                <w:spacing w:val="-1"/>
              </w:rPr>
              <w:t>HJ/T223</w:t>
            </w:r>
            <w:r>
              <w:rPr>
                <w:spacing w:val="-33"/>
              </w:rPr>
              <w:t xml:space="preserve"> </w:t>
            </w:r>
            <w:r>
              <w:rPr>
                <w:spacing w:val="-1"/>
              </w:rPr>
              <w:t>轻质墙体板材</w:t>
            </w:r>
          </w:p>
        </w:tc>
      </w:tr>
      <w:tr w14:paraId="6D7F27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restart"/>
            <w:tcBorders>
              <w:bottom w:val="nil"/>
            </w:tcBorders>
          </w:tcPr>
          <w:p w14:paraId="39AAE71B">
            <w:pPr>
              <w:pStyle w:val="234"/>
              <w:spacing w:before="95" w:line="183" w:lineRule="auto"/>
              <w:ind w:left="118"/>
              <w:rPr>
                <w:rFonts w:hint="eastAsia"/>
              </w:rPr>
            </w:pPr>
            <w:r>
              <w:rPr>
                <w:spacing w:val="-5"/>
              </w:rPr>
              <w:t>38</w:t>
            </w:r>
          </w:p>
        </w:tc>
        <w:tc>
          <w:tcPr>
            <w:tcW w:w="1542" w:type="dxa"/>
            <w:vMerge w:val="restart"/>
            <w:tcBorders>
              <w:bottom w:val="nil"/>
            </w:tcBorders>
          </w:tcPr>
          <w:p w14:paraId="6C70CC73">
            <w:pPr>
              <w:pStyle w:val="234"/>
              <w:spacing w:before="66" w:line="307" w:lineRule="auto"/>
              <w:ind w:left="111" w:right="108" w:hanging="9"/>
              <w:rPr>
                <w:rFonts w:hint="eastAsia"/>
              </w:rPr>
            </w:pPr>
            <w:r>
              <w:rPr>
                <w:spacing w:val="-1"/>
              </w:rPr>
              <w:t>A100307</w:t>
            </w:r>
            <w:r>
              <w:rPr>
                <w:spacing w:val="36"/>
              </w:rPr>
              <w:t xml:space="preserve"> </w:t>
            </w:r>
            <w:r>
              <w:rPr>
                <w:spacing w:val="-1"/>
              </w:rPr>
              <w:t>建筑</w:t>
            </w:r>
            <w:r>
              <w:rPr>
                <w:spacing w:val="-52"/>
              </w:rPr>
              <w:t xml:space="preserve"> </w:t>
            </w:r>
            <w:r>
              <w:rPr>
                <w:spacing w:val="-1"/>
              </w:rPr>
              <w:t>陶</w:t>
            </w:r>
            <w:r>
              <w:t xml:space="preserve"> </w:t>
            </w:r>
            <w:r>
              <w:rPr>
                <w:spacing w:val="-3"/>
              </w:rPr>
              <w:t>瓷制品</w:t>
            </w:r>
          </w:p>
        </w:tc>
        <w:tc>
          <w:tcPr>
            <w:tcW w:w="2672" w:type="dxa"/>
          </w:tcPr>
          <w:p w14:paraId="3E604938">
            <w:pPr>
              <w:pStyle w:val="234"/>
              <w:spacing w:before="66" w:line="221" w:lineRule="auto"/>
              <w:ind w:left="103"/>
              <w:rPr>
                <w:rFonts w:hint="eastAsia"/>
              </w:rPr>
            </w:pPr>
            <w:r>
              <w:rPr>
                <w:spacing w:val="-1"/>
              </w:rPr>
              <w:t>A10030701</w:t>
            </w:r>
            <w:r>
              <w:rPr>
                <w:spacing w:val="-30"/>
              </w:rPr>
              <w:t xml:space="preserve"> </w:t>
            </w:r>
            <w:r>
              <w:rPr>
                <w:spacing w:val="-1"/>
              </w:rPr>
              <w:t>瓷质砖</w:t>
            </w:r>
          </w:p>
        </w:tc>
        <w:tc>
          <w:tcPr>
            <w:tcW w:w="2248" w:type="dxa"/>
          </w:tcPr>
          <w:p w14:paraId="0EE5C37C">
            <w:pPr>
              <w:rPr>
                <w:rFonts w:ascii="Arial"/>
              </w:rPr>
            </w:pPr>
          </w:p>
        </w:tc>
        <w:tc>
          <w:tcPr>
            <w:tcW w:w="3543" w:type="dxa"/>
          </w:tcPr>
          <w:p w14:paraId="1F89333B">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1704C4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42150454">
            <w:pPr>
              <w:rPr>
                <w:rFonts w:ascii="Arial"/>
              </w:rPr>
            </w:pPr>
          </w:p>
        </w:tc>
        <w:tc>
          <w:tcPr>
            <w:tcW w:w="1542" w:type="dxa"/>
            <w:vMerge w:val="continue"/>
            <w:tcBorders>
              <w:top w:val="nil"/>
              <w:bottom w:val="nil"/>
            </w:tcBorders>
          </w:tcPr>
          <w:p w14:paraId="3B53EE8C">
            <w:pPr>
              <w:rPr>
                <w:rFonts w:ascii="Arial"/>
              </w:rPr>
            </w:pPr>
          </w:p>
        </w:tc>
        <w:tc>
          <w:tcPr>
            <w:tcW w:w="2672" w:type="dxa"/>
          </w:tcPr>
          <w:p w14:paraId="1DF33725">
            <w:pPr>
              <w:pStyle w:val="234"/>
              <w:spacing w:before="66" w:line="221" w:lineRule="auto"/>
              <w:ind w:left="103"/>
              <w:rPr>
                <w:rFonts w:hint="eastAsia"/>
              </w:rPr>
            </w:pPr>
            <w:r>
              <w:t>A10030704 炻质砖</w:t>
            </w:r>
          </w:p>
        </w:tc>
        <w:tc>
          <w:tcPr>
            <w:tcW w:w="2248" w:type="dxa"/>
          </w:tcPr>
          <w:p w14:paraId="16974875">
            <w:pPr>
              <w:rPr>
                <w:rFonts w:ascii="Arial"/>
              </w:rPr>
            </w:pPr>
          </w:p>
        </w:tc>
        <w:tc>
          <w:tcPr>
            <w:tcW w:w="3543" w:type="dxa"/>
          </w:tcPr>
          <w:p w14:paraId="44C364F4">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4A1D9D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vMerge w:val="continue"/>
            <w:tcBorders>
              <w:top w:val="nil"/>
              <w:bottom w:val="nil"/>
            </w:tcBorders>
          </w:tcPr>
          <w:p w14:paraId="2CE6BC87">
            <w:pPr>
              <w:rPr>
                <w:rFonts w:ascii="Arial"/>
              </w:rPr>
            </w:pPr>
          </w:p>
        </w:tc>
        <w:tc>
          <w:tcPr>
            <w:tcW w:w="1542" w:type="dxa"/>
            <w:vMerge w:val="continue"/>
            <w:tcBorders>
              <w:top w:val="nil"/>
              <w:bottom w:val="nil"/>
            </w:tcBorders>
          </w:tcPr>
          <w:p w14:paraId="2ADB5A24">
            <w:pPr>
              <w:rPr>
                <w:rFonts w:ascii="Arial"/>
              </w:rPr>
            </w:pPr>
          </w:p>
        </w:tc>
        <w:tc>
          <w:tcPr>
            <w:tcW w:w="2672" w:type="dxa"/>
          </w:tcPr>
          <w:p w14:paraId="3C1DDB6A">
            <w:pPr>
              <w:pStyle w:val="234"/>
              <w:spacing w:before="66" w:line="221" w:lineRule="auto"/>
              <w:ind w:left="103"/>
              <w:rPr>
                <w:rFonts w:hint="eastAsia"/>
              </w:rPr>
            </w:pPr>
            <w:r>
              <w:rPr>
                <w:spacing w:val="-2"/>
              </w:rPr>
              <w:t>A10030705</w:t>
            </w:r>
            <w:r>
              <w:rPr>
                <w:spacing w:val="-17"/>
              </w:rPr>
              <w:t xml:space="preserve"> </w:t>
            </w:r>
            <w:r>
              <w:rPr>
                <w:spacing w:val="-2"/>
              </w:rPr>
              <w:t>陶质砖</w:t>
            </w:r>
          </w:p>
        </w:tc>
        <w:tc>
          <w:tcPr>
            <w:tcW w:w="2248" w:type="dxa"/>
          </w:tcPr>
          <w:p w14:paraId="60773E28">
            <w:pPr>
              <w:rPr>
                <w:rFonts w:ascii="Arial"/>
              </w:rPr>
            </w:pPr>
          </w:p>
        </w:tc>
        <w:tc>
          <w:tcPr>
            <w:tcW w:w="3543" w:type="dxa"/>
          </w:tcPr>
          <w:p w14:paraId="59987DC4">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7D0393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6D4318A6">
            <w:pPr>
              <w:rPr>
                <w:rFonts w:ascii="Arial"/>
              </w:rPr>
            </w:pPr>
          </w:p>
        </w:tc>
        <w:tc>
          <w:tcPr>
            <w:tcW w:w="1542" w:type="dxa"/>
            <w:vMerge w:val="continue"/>
            <w:tcBorders>
              <w:top w:val="nil"/>
            </w:tcBorders>
          </w:tcPr>
          <w:p w14:paraId="4215906A">
            <w:pPr>
              <w:rPr>
                <w:rFonts w:ascii="Arial"/>
              </w:rPr>
            </w:pPr>
          </w:p>
        </w:tc>
        <w:tc>
          <w:tcPr>
            <w:tcW w:w="2672" w:type="dxa"/>
          </w:tcPr>
          <w:p w14:paraId="505212F1">
            <w:pPr>
              <w:pStyle w:val="234"/>
              <w:spacing w:before="66" w:line="221" w:lineRule="auto"/>
              <w:ind w:left="103"/>
              <w:rPr>
                <w:rFonts w:hint="eastAsia"/>
              </w:rPr>
            </w:pPr>
            <w:r>
              <w:t>A10030799 其他建筑陶瓷制品</w:t>
            </w:r>
          </w:p>
        </w:tc>
        <w:tc>
          <w:tcPr>
            <w:tcW w:w="2248" w:type="dxa"/>
          </w:tcPr>
          <w:p w14:paraId="77AD789F">
            <w:pPr>
              <w:rPr>
                <w:rFonts w:ascii="Arial"/>
              </w:rPr>
            </w:pPr>
          </w:p>
        </w:tc>
        <w:tc>
          <w:tcPr>
            <w:tcW w:w="3543" w:type="dxa"/>
          </w:tcPr>
          <w:p w14:paraId="54F95A21">
            <w:pPr>
              <w:pStyle w:val="234"/>
              <w:spacing w:before="66" w:line="219" w:lineRule="auto"/>
              <w:ind w:left="109"/>
              <w:rPr>
                <w:rFonts w:hint="eastAsia"/>
              </w:rPr>
            </w:pPr>
            <w:r>
              <w:rPr>
                <w:spacing w:val="-2"/>
              </w:rPr>
              <w:t>HJ/T297</w:t>
            </w:r>
            <w:r>
              <w:rPr>
                <w:spacing w:val="-22"/>
              </w:rPr>
              <w:t xml:space="preserve"> </w:t>
            </w:r>
            <w:r>
              <w:rPr>
                <w:spacing w:val="-2"/>
              </w:rPr>
              <w:t>陶瓷砖</w:t>
            </w:r>
          </w:p>
        </w:tc>
      </w:tr>
      <w:tr w14:paraId="07B93E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0D351AB4">
            <w:pPr>
              <w:pStyle w:val="234"/>
              <w:spacing w:before="95" w:line="183" w:lineRule="auto"/>
              <w:ind w:left="118"/>
              <w:rPr>
                <w:rFonts w:hint="eastAsia"/>
              </w:rPr>
            </w:pPr>
            <w:r>
              <w:rPr>
                <w:spacing w:val="-5"/>
              </w:rPr>
              <w:t>39</w:t>
            </w:r>
          </w:p>
        </w:tc>
        <w:tc>
          <w:tcPr>
            <w:tcW w:w="1542" w:type="dxa"/>
            <w:vMerge w:val="restart"/>
            <w:tcBorders>
              <w:bottom w:val="nil"/>
            </w:tcBorders>
          </w:tcPr>
          <w:p w14:paraId="494E290E">
            <w:pPr>
              <w:pStyle w:val="234"/>
              <w:spacing w:before="66" w:line="306" w:lineRule="auto"/>
              <w:ind w:left="109" w:right="108" w:hanging="7"/>
              <w:rPr>
                <w:rFonts w:hint="eastAsia"/>
              </w:rPr>
            </w:pPr>
            <w:r>
              <w:rPr>
                <w:spacing w:val="-1"/>
              </w:rPr>
              <w:t>A100309</w:t>
            </w:r>
            <w:r>
              <w:rPr>
                <w:spacing w:val="34"/>
                <w:w w:val="101"/>
              </w:rPr>
              <w:t xml:space="preserve"> </w:t>
            </w:r>
            <w:r>
              <w:rPr>
                <w:spacing w:val="-1"/>
              </w:rPr>
              <w:t>建筑</w:t>
            </w:r>
            <w:r>
              <w:rPr>
                <w:spacing w:val="-51"/>
              </w:rPr>
              <w:t xml:space="preserve"> </w:t>
            </w:r>
            <w:r>
              <w:rPr>
                <w:spacing w:val="-1"/>
              </w:rPr>
              <w:t>防</w:t>
            </w:r>
            <w:r>
              <w:t xml:space="preserve"> </w:t>
            </w:r>
            <w:r>
              <w:rPr>
                <w:spacing w:val="-2"/>
              </w:rPr>
              <w:t>水卷材及制品</w:t>
            </w:r>
          </w:p>
        </w:tc>
        <w:tc>
          <w:tcPr>
            <w:tcW w:w="2672" w:type="dxa"/>
          </w:tcPr>
          <w:p w14:paraId="5689EABB">
            <w:pPr>
              <w:pStyle w:val="234"/>
              <w:spacing w:before="66" w:line="283" w:lineRule="auto"/>
              <w:ind w:left="110" w:right="107" w:hanging="7"/>
              <w:rPr>
                <w:rFonts w:hint="eastAsia"/>
              </w:rPr>
            </w:pPr>
            <w:r>
              <w:rPr>
                <w:spacing w:val="-1"/>
              </w:rPr>
              <w:t>A10030901</w:t>
            </w:r>
            <w:r>
              <w:rPr>
                <w:spacing w:val="-47"/>
              </w:rPr>
              <w:t xml:space="preserve"> </w:t>
            </w:r>
            <w:r>
              <w:rPr>
                <w:spacing w:val="-1"/>
              </w:rPr>
              <w:t>沥青和改性沥青防水</w:t>
            </w:r>
            <w:r>
              <w:t xml:space="preserve"> </w:t>
            </w:r>
            <w:r>
              <w:rPr>
                <w:spacing w:val="-3"/>
              </w:rPr>
              <w:t>卷材</w:t>
            </w:r>
          </w:p>
        </w:tc>
        <w:tc>
          <w:tcPr>
            <w:tcW w:w="2248" w:type="dxa"/>
          </w:tcPr>
          <w:p w14:paraId="03FEF050">
            <w:pPr>
              <w:rPr>
                <w:rFonts w:ascii="Arial"/>
              </w:rPr>
            </w:pPr>
          </w:p>
        </w:tc>
        <w:tc>
          <w:tcPr>
            <w:tcW w:w="3543" w:type="dxa"/>
          </w:tcPr>
          <w:p w14:paraId="6655E183">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6E11F6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bottom w:val="nil"/>
            </w:tcBorders>
          </w:tcPr>
          <w:p w14:paraId="68911BCD">
            <w:pPr>
              <w:rPr>
                <w:rFonts w:ascii="Arial"/>
              </w:rPr>
            </w:pPr>
          </w:p>
        </w:tc>
        <w:tc>
          <w:tcPr>
            <w:tcW w:w="1542" w:type="dxa"/>
            <w:vMerge w:val="continue"/>
            <w:tcBorders>
              <w:top w:val="nil"/>
              <w:bottom w:val="nil"/>
            </w:tcBorders>
          </w:tcPr>
          <w:p w14:paraId="21E480EF">
            <w:pPr>
              <w:rPr>
                <w:rFonts w:ascii="Arial"/>
              </w:rPr>
            </w:pPr>
          </w:p>
        </w:tc>
        <w:tc>
          <w:tcPr>
            <w:tcW w:w="2672" w:type="dxa"/>
          </w:tcPr>
          <w:p w14:paraId="56331528">
            <w:pPr>
              <w:pStyle w:val="234"/>
              <w:spacing w:before="67" w:line="219" w:lineRule="auto"/>
              <w:ind w:left="103"/>
              <w:rPr>
                <w:rFonts w:hint="eastAsia"/>
              </w:rPr>
            </w:pPr>
            <w:r>
              <w:rPr>
                <w:spacing w:val="-2"/>
              </w:rPr>
              <w:t>A10030903</w:t>
            </w:r>
            <w:r>
              <w:rPr>
                <w:spacing w:val="36"/>
              </w:rPr>
              <w:t xml:space="preserve"> </w:t>
            </w:r>
            <w:r>
              <w:rPr>
                <w:spacing w:val="-2"/>
              </w:rPr>
              <w:t>自粘防水卷材</w:t>
            </w:r>
          </w:p>
        </w:tc>
        <w:tc>
          <w:tcPr>
            <w:tcW w:w="2248" w:type="dxa"/>
          </w:tcPr>
          <w:p w14:paraId="00BF928D">
            <w:pPr>
              <w:rPr>
                <w:rFonts w:ascii="Arial"/>
              </w:rPr>
            </w:pPr>
          </w:p>
        </w:tc>
        <w:tc>
          <w:tcPr>
            <w:tcW w:w="3543" w:type="dxa"/>
          </w:tcPr>
          <w:p w14:paraId="5065D7BB">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6D91B14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tcBorders>
          </w:tcPr>
          <w:p w14:paraId="4233220D">
            <w:pPr>
              <w:rPr>
                <w:rFonts w:ascii="Arial"/>
              </w:rPr>
            </w:pPr>
          </w:p>
        </w:tc>
        <w:tc>
          <w:tcPr>
            <w:tcW w:w="1542" w:type="dxa"/>
            <w:vMerge w:val="continue"/>
            <w:tcBorders>
              <w:top w:val="nil"/>
            </w:tcBorders>
          </w:tcPr>
          <w:p w14:paraId="3EAE1687">
            <w:pPr>
              <w:rPr>
                <w:rFonts w:ascii="Arial"/>
              </w:rPr>
            </w:pPr>
          </w:p>
        </w:tc>
        <w:tc>
          <w:tcPr>
            <w:tcW w:w="2672" w:type="dxa"/>
          </w:tcPr>
          <w:p w14:paraId="37A30FA9">
            <w:pPr>
              <w:pStyle w:val="234"/>
              <w:spacing w:before="66" w:line="283" w:lineRule="auto"/>
              <w:ind w:left="108" w:right="102" w:hanging="5"/>
              <w:rPr>
                <w:rFonts w:hint="eastAsia"/>
              </w:rPr>
            </w:pPr>
            <w:r>
              <w:rPr>
                <w:spacing w:val="-2"/>
              </w:rPr>
              <w:t>A10030906</w:t>
            </w:r>
            <w:r>
              <w:rPr>
                <w:spacing w:val="-24"/>
              </w:rPr>
              <w:t xml:space="preserve"> </w:t>
            </w:r>
            <w:r>
              <w:rPr>
                <w:spacing w:val="-2"/>
              </w:rPr>
              <w:t>高分子防水卷（片）</w:t>
            </w:r>
            <w:r>
              <w:t xml:space="preserve"> 材</w:t>
            </w:r>
          </w:p>
        </w:tc>
        <w:tc>
          <w:tcPr>
            <w:tcW w:w="2248" w:type="dxa"/>
          </w:tcPr>
          <w:p w14:paraId="059C9F57">
            <w:pPr>
              <w:rPr>
                <w:rFonts w:ascii="Arial"/>
              </w:rPr>
            </w:pPr>
          </w:p>
        </w:tc>
        <w:tc>
          <w:tcPr>
            <w:tcW w:w="3543" w:type="dxa"/>
          </w:tcPr>
          <w:p w14:paraId="64997105">
            <w:pPr>
              <w:pStyle w:val="234"/>
              <w:spacing w:before="66" w:line="219" w:lineRule="auto"/>
              <w:ind w:left="109"/>
              <w:rPr>
                <w:rFonts w:hint="eastAsia"/>
              </w:rPr>
            </w:pPr>
            <w:r>
              <w:rPr>
                <w:spacing w:val="-2"/>
              </w:rPr>
              <w:t>HJ455</w:t>
            </w:r>
            <w:r>
              <w:rPr>
                <w:spacing w:val="-25"/>
              </w:rPr>
              <w:t xml:space="preserve"> </w:t>
            </w:r>
            <w:r>
              <w:rPr>
                <w:spacing w:val="-2"/>
              </w:rPr>
              <w:t>防水卷材</w:t>
            </w:r>
          </w:p>
        </w:tc>
      </w:tr>
      <w:tr w14:paraId="713F64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restart"/>
            <w:tcBorders>
              <w:bottom w:val="nil"/>
            </w:tcBorders>
          </w:tcPr>
          <w:p w14:paraId="094B7A58">
            <w:pPr>
              <w:pStyle w:val="234"/>
              <w:spacing w:before="95" w:line="183" w:lineRule="auto"/>
              <w:ind w:left="114"/>
              <w:rPr>
                <w:rFonts w:hint="eastAsia"/>
              </w:rPr>
            </w:pPr>
            <w:r>
              <w:rPr>
                <w:spacing w:val="-3"/>
              </w:rPr>
              <w:t>40</w:t>
            </w:r>
          </w:p>
        </w:tc>
        <w:tc>
          <w:tcPr>
            <w:tcW w:w="1542" w:type="dxa"/>
            <w:vMerge w:val="restart"/>
            <w:tcBorders>
              <w:bottom w:val="nil"/>
            </w:tcBorders>
          </w:tcPr>
          <w:p w14:paraId="2FA12B41">
            <w:pPr>
              <w:pStyle w:val="234"/>
              <w:spacing w:before="68" w:line="311" w:lineRule="auto"/>
              <w:ind w:left="106" w:right="106" w:hanging="4"/>
              <w:rPr>
                <w:rFonts w:hint="eastAsia"/>
              </w:rPr>
            </w:pPr>
            <w:r>
              <w:rPr>
                <w:spacing w:val="-8"/>
              </w:rPr>
              <w:t>A100310</w:t>
            </w:r>
            <w:r>
              <w:rPr>
                <w:spacing w:val="-25"/>
              </w:rPr>
              <w:t xml:space="preserve"> </w:t>
            </w:r>
            <w:r>
              <w:rPr>
                <w:spacing w:val="-8"/>
              </w:rPr>
              <w:t>隔热、隔</w:t>
            </w:r>
            <w:r>
              <w:t xml:space="preserve"> </w:t>
            </w:r>
            <w:r>
              <w:rPr>
                <w:spacing w:val="9"/>
              </w:rPr>
              <w:t>音人造矿物材料</w:t>
            </w:r>
            <w:r>
              <w:rPr>
                <w:spacing w:val="-2"/>
              </w:rPr>
              <w:t>及其制品</w:t>
            </w:r>
          </w:p>
        </w:tc>
        <w:tc>
          <w:tcPr>
            <w:tcW w:w="2672" w:type="dxa"/>
          </w:tcPr>
          <w:p w14:paraId="550539AC">
            <w:pPr>
              <w:pStyle w:val="234"/>
              <w:spacing w:before="68" w:line="282" w:lineRule="auto"/>
              <w:ind w:left="108" w:right="107" w:hanging="5"/>
              <w:rPr>
                <w:rFonts w:hint="eastAsia"/>
                <w:lang w:eastAsia="zh-CN"/>
              </w:rPr>
            </w:pPr>
            <w:r>
              <w:rPr>
                <w:spacing w:val="6"/>
                <w:lang w:eastAsia="zh-CN"/>
              </w:rPr>
              <w:t>A10031001 矿物绝热和吸声材</w:t>
            </w:r>
            <w:r>
              <w:rPr>
                <w:spacing w:val="7"/>
                <w:lang w:eastAsia="zh-CN"/>
              </w:rPr>
              <w:t xml:space="preserve"> </w:t>
            </w:r>
            <w:r>
              <w:rPr>
                <w:lang w:eastAsia="zh-CN"/>
              </w:rPr>
              <w:t>料</w:t>
            </w:r>
          </w:p>
        </w:tc>
        <w:tc>
          <w:tcPr>
            <w:tcW w:w="2248" w:type="dxa"/>
          </w:tcPr>
          <w:p w14:paraId="44826C40">
            <w:pPr>
              <w:rPr>
                <w:rFonts w:ascii="Arial"/>
              </w:rPr>
            </w:pPr>
          </w:p>
        </w:tc>
        <w:tc>
          <w:tcPr>
            <w:tcW w:w="3543" w:type="dxa"/>
          </w:tcPr>
          <w:p w14:paraId="5A7FBB40">
            <w:pPr>
              <w:pStyle w:val="234"/>
              <w:spacing w:before="67" w:line="219" w:lineRule="auto"/>
              <w:ind w:left="109"/>
              <w:rPr>
                <w:rFonts w:hint="eastAsia"/>
              </w:rPr>
            </w:pPr>
            <w:r>
              <w:rPr>
                <w:spacing w:val="-1"/>
              </w:rPr>
              <w:t>HJ/T223</w:t>
            </w:r>
            <w:r>
              <w:rPr>
                <w:spacing w:val="-33"/>
              </w:rPr>
              <w:t xml:space="preserve"> </w:t>
            </w:r>
            <w:r>
              <w:rPr>
                <w:spacing w:val="-1"/>
              </w:rPr>
              <w:t>轻质墙体板材</w:t>
            </w:r>
          </w:p>
        </w:tc>
      </w:tr>
      <w:tr w14:paraId="5F27D27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8" w:hRule="atLeast"/>
          <w:jc w:val="center"/>
        </w:trPr>
        <w:tc>
          <w:tcPr>
            <w:tcW w:w="583" w:type="dxa"/>
            <w:vMerge w:val="continue"/>
            <w:tcBorders>
              <w:top w:val="nil"/>
            </w:tcBorders>
          </w:tcPr>
          <w:p w14:paraId="28029C45">
            <w:pPr>
              <w:rPr>
                <w:rFonts w:ascii="Arial"/>
              </w:rPr>
            </w:pPr>
          </w:p>
        </w:tc>
        <w:tc>
          <w:tcPr>
            <w:tcW w:w="1542" w:type="dxa"/>
            <w:vMerge w:val="continue"/>
            <w:tcBorders>
              <w:top w:val="nil"/>
            </w:tcBorders>
          </w:tcPr>
          <w:p w14:paraId="0731CB87">
            <w:pPr>
              <w:rPr>
                <w:rFonts w:ascii="Arial"/>
              </w:rPr>
            </w:pPr>
          </w:p>
        </w:tc>
        <w:tc>
          <w:tcPr>
            <w:tcW w:w="2672" w:type="dxa"/>
          </w:tcPr>
          <w:p w14:paraId="1C599FF6">
            <w:pPr>
              <w:pStyle w:val="234"/>
              <w:spacing w:before="68" w:line="219" w:lineRule="auto"/>
              <w:ind w:left="103"/>
              <w:rPr>
                <w:rFonts w:hint="eastAsia"/>
              </w:rPr>
            </w:pPr>
            <w:r>
              <w:rPr>
                <w:spacing w:val="-1"/>
              </w:rPr>
              <w:t>A10031002</w:t>
            </w:r>
            <w:r>
              <w:rPr>
                <w:spacing w:val="-30"/>
              </w:rPr>
              <w:t xml:space="preserve"> </w:t>
            </w:r>
            <w:r>
              <w:rPr>
                <w:spacing w:val="-1"/>
              </w:rPr>
              <w:t>矿物材料制品</w:t>
            </w:r>
          </w:p>
        </w:tc>
        <w:tc>
          <w:tcPr>
            <w:tcW w:w="2248" w:type="dxa"/>
          </w:tcPr>
          <w:p w14:paraId="355A5066">
            <w:pPr>
              <w:rPr>
                <w:rFonts w:ascii="Arial"/>
              </w:rPr>
            </w:pPr>
          </w:p>
        </w:tc>
        <w:tc>
          <w:tcPr>
            <w:tcW w:w="3543" w:type="dxa"/>
          </w:tcPr>
          <w:p w14:paraId="64CB1D16">
            <w:pPr>
              <w:pStyle w:val="234"/>
              <w:spacing w:before="67" w:line="219" w:lineRule="auto"/>
              <w:ind w:left="109"/>
              <w:rPr>
                <w:rFonts w:hint="eastAsia"/>
              </w:rPr>
            </w:pPr>
            <w:r>
              <w:rPr>
                <w:spacing w:val="-1"/>
              </w:rPr>
              <w:t>HJ/T223</w:t>
            </w:r>
            <w:r>
              <w:rPr>
                <w:spacing w:val="-33"/>
              </w:rPr>
              <w:t xml:space="preserve"> </w:t>
            </w:r>
            <w:r>
              <w:rPr>
                <w:spacing w:val="-1"/>
              </w:rPr>
              <w:t>轻质墙体板材</w:t>
            </w:r>
          </w:p>
        </w:tc>
      </w:tr>
      <w:tr w14:paraId="1FFE7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15C3357F">
            <w:pPr>
              <w:pStyle w:val="234"/>
              <w:spacing w:before="95" w:line="184" w:lineRule="auto"/>
              <w:ind w:left="114"/>
              <w:rPr>
                <w:rFonts w:hint="eastAsia"/>
              </w:rPr>
            </w:pPr>
            <w:r>
              <w:rPr>
                <w:spacing w:val="-3"/>
              </w:rPr>
              <w:t>41</w:t>
            </w:r>
          </w:p>
        </w:tc>
        <w:tc>
          <w:tcPr>
            <w:tcW w:w="1542" w:type="dxa"/>
          </w:tcPr>
          <w:p w14:paraId="7CE7F710">
            <w:pPr>
              <w:pStyle w:val="234"/>
              <w:spacing w:before="68" w:line="282" w:lineRule="auto"/>
              <w:ind w:left="109" w:right="108" w:hanging="7"/>
              <w:rPr>
                <w:rFonts w:hint="eastAsia"/>
              </w:rPr>
            </w:pPr>
            <w:r>
              <w:rPr>
                <w:spacing w:val="3"/>
              </w:rPr>
              <w:t>A100601</w:t>
            </w:r>
            <w:r>
              <w:rPr>
                <w:spacing w:val="34"/>
              </w:rPr>
              <w:t xml:space="preserve"> </w:t>
            </w:r>
            <w:r>
              <w:rPr>
                <w:spacing w:val="3"/>
              </w:rPr>
              <w:t>功能性</w:t>
            </w:r>
            <w:r>
              <w:t xml:space="preserve"> </w:t>
            </w:r>
            <w:r>
              <w:rPr>
                <w:spacing w:val="-2"/>
              </w:rPr>
              <w:t>建筑涂料</w:t>
            </w:r>
          </w:p>
        </w:tc>
        <w:tc>
          <w:tcPr>
            <w:tcW w:w="2672" w:type="dxa"/>
          </w:tcPr>
          <w:p w14:paraId="69FE2E46">
            <w:pPr>
              <w:rPr>
                <w:rFonts w:ascii="Arial"/>
              </w:rPr>
            </w:pPr>
          </w:p>
        </w:tc>
        <w:tc>
          <w:tcPr>
            <w:tcW w:w="2248" w:type="dxa"/>
          </w:tcPr>
          <w:p w14:paraId="5742313C">
            <w:pPr>
              <w:rPr>
                <w:rFonts w:ascii="Arial"/>
              </w:rPr>
            </w:pPr>
          </w:p>
        </w:tc>
        <w:tc>
          <w:tcPr>
            <w:tcW w:w="3543" w:type="dxa"/>
          </w:tcPr>
          <w:p w14:paraId="2167A3AA">
            <w:pPr>
              <w:pStyle w:val="234"/>
              <w:spacing w:before="67" w:line="219" w:lineRule="auto"/>
              <w:ind w:left="109"/>
              <w:rPr>
                <w:rFonts w:hint="eastAsia"/>
              </w:rPr>
            </w:pPr>
            <w:r>
              <w:rPr>
                <w:spacing w:val="-1"/>
              </w:rPr>
              <w:t>HJ2537</w:t>
            </w:r>
            <w:r>
              <w:rPr>
                <w:spacing w:val="-34"/>
              </w:rPr>
              <w:t xml:space="preserve"> </w:t>
            </w:r>
            <w:r>
              <w:rPr>
                <w:spacing w:val="-1"/>
              </w:rPr>
              <w:t>水性涂料</w:t>
            </w:r>
          </w:p>
        </w:tc>
      </w:tr>
      <w:tr w14:paraId="334543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7FCAC746">
            <w:pPr>
              <w:pStyle w:val="234"/>
              <w:spacing w:before="97" w:line="183" w:lineRule="auto"/>
              <w:ind w:left="114"/>
              <w:rPr>
                <w:rFonts w:hint="eastAsia"/>
              </w:rPr>
            </w:pPr>
            <w:r>
              <w:rPr>
                <w:spacing w:val="-3"/>
              </w:rPr>
              <w:t>42</w:t>
            </w:r>
          </w:p>
        </w:tc>
        <w:tc>
          <w:tcPr>
            <w:tcW w:w="1542" w:type="dxa"/>
          </w:tcPr>
          <w:p w14:paraId="214BB826">
            <w:pPr>
              <w:pStyle w:val="234"/>
              <w:spacing w:before="69" w:line="284" w:lineRule="auto"/>
              <w:ind w:left="109" w:right="106" w:firstLine="84"/>
              <w:rPr>
                <w:rFonts w:hint="eastAsia"/>
              </w:rPr>
            </w:pPr>
            <w:r>
              <w:rPr>
                <w:spacing w:val="-1"/>
              </w:rPr>
              <w:t>A100399</w:t>
            </w:r>
            <w:r>
              <w:rPr>
                <w:spacing w:val="-15"/>
              </w:rPr>
              <w:t xml:space="preserve"> </w:t>
            </w:r>
            <w:r>
              <w:rPr>
                <w:spacing w:val="-1"/>
              </w:rPr>
              <w:t>其他非</w:t>
            </w:r>
            <w:r>
              <w:t xml:space="preserve"> </w:t>
            </w:r>
            <w:r>
              <w:rPr>
                <w:spacing w:val="-2"/>
              </w:rPr>
              <w:t>金属矿物制品</w:t>
            </w:r>
          </w:p>
        </w:tc>
        <w:tc>
          <w:tcPr>
            <w:tcW w:w="2672" w:type="dxa"/>
          </w:tcPr>
          <w:p w14:paraId="70E45D0C">
            <w:pPr>
              <w:pStyle w:val="234"/>
              <w:spacing w:before="68" w:line="219" w:lineRule="auto"/>
              <w:ind w:left="103"/>
              <w:rPr>
                <w:rFonts w:hint="eastAsia"/>
              </w:rPr>
            </w:pPr>
            <w:r>
              <w:rPr>
                <w:spacing w:val="-1"/>
              </w:rPr>
              <w:t>A10039901</w:t>
            </w:r>
            <w:r>
              <w:rPr>
                <w:spacing w:val="-45"/>
              </w:rPr>
              <w:t xml:space="preserve"> </w:t>
            </w:r>
            <w:r>
              <w:rPr>
                <w:spacing w:val="-1"/>
              </w:rPr>
              <w:t>其他非金属建筑材料</w:t>
            </w:r>
          </w:p>
        </w:tc>
        <w:tc>
          <w:tcPr>
            <w:tcW w:w="2248" w:type="dxa"/>
          </w:tcPr>
          <w:p w14:paraId="03D28DFF">
            <w:pPr>
              <w:rPr>
                <w:rFonts w:ascii="Arial"/>
              </w:rPr>
            </w:pPr>
          </w:p>
        </w:tc>
        <w:tc>
          <w:tcPr>
            <w:tcW w:w="3543" w:type="dxa"/>
          </w:tcPr>
          <w:p w14:paraId="3F9E3432">
            <w:pPr>
              <w:pStyle w:val="234"/>
              <w:spacing w:before="68" w:line="219" w:lineRule="auto"/>
              <w:ind w:left="109"/>
              <w:rPr>
                <w:rFonts w:hint="eastAsia"/>
              </w:rPr>
            </w:pPr>
            <w:r>
              <w:rPr>
                <w:spacing w:val="-2"/>
              </w:rPr>
              <w:t>HJ456</w:t>
            </w:r>
            <w:r>
              <w:rPr>
                <w:spacing w:val="-23"/>
              </w:rPr>
              <w:t xml:space="preserve"> </w:t>
            </w:r>
            <w:r>
              <w:rPr>
                <w:spacing w:val="-2"/>
              </w:rPr>
              <w:t>刚性防水材料</w:t>
            </w:r>
          </w:p>
        </w:tc>
      </w:tr>
      <w:tr w14:paraId="2AA600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vMerge w:val="restart"/>
            <w:tcBorders>
              <w:bottom w:val="nil"/>
            </w:tcBorders>
          </w:tcPr>
          <w:p w14:paraId="0343D6B8">
            <w:pPr>
              <w:pStyle w:val="234"/>
              <w:spacing w:before="96" w:line="183" w:lineRule="auto"/>
              <w:ind w:left="114"/>
              <w:rPr>
                <w:rFonts w:hint="eastAsia"/>
              </w:rPr>
            </w:pPr>
            <w:r>
              <w:rPr>
                <w:spacing w:val="-3"/>
              </w:rPr>
              <w:t>43</w:t>
            </w:r>
          </w:p>
        </w:tc>
        <w:tc>
          <w:tcPr>
            <w:tcW w:w="1542" w:type="dxa"/>
            <w:vMerge w:val="restart"/>
            <w:tcBorders>
              <w:bottom w:val="nil"/>
            </w:tcBorders>
          </w:tcPr>
          <w:p w14:paraId="5C910165">
            <w:pPr>
              <w:pStyle w:val="234"/>
              <w:spacing w:before="68" w:line="307" w:lineRule="auto"/>
              <w:ind w:left="107" w:right="108" w:hanging="5"/>
              <w:rPr>
                <w:rFonts w:hint="eastAsia"/>
              </w:rPr>
            </w:pPr>
            <w:r>
              <w:rPr>
                <w:spacing w:val="3"/>
              </w:rPr>
              <w:t>A100602</w:t>
            </w:r>
            <w:r>
              <w:rPr>
                <w:spacing w:val="34"/>
              </w:rPr>
              <w:t xml:space="preserve"> </w:t>
            </w:r>
            <w:r>
              <w:rPr>
                <w:spacing w:val="3"/>
              </w:rPr>
              <w:t>墙面涂</w:t>
            </w:r>
            <w:r>
              <w:t xml:space="preserve"> 料</w:t>
            </w:r>
          </w:p>
        </w:tc>
        <w:tc>
          <w:tcPr>
            <w:tcW w:w="2672" w:type="dxa"/>
          </w:tcPr>
          <w:p w14:paraId="41EF7482">
            <w:pPr>
              <w:pStyle w:val="234"/>
              <w:spacing w:before="69" w:line="284" w:lineRule="auto"/>
              <w:ind w:left="108" w:right="107" w:hanging="5"/>
              <w:rPr>
                <w:rFonts w:hint="eastAsia"/>
              </w:rPr>
            </w:pPr>
            <w:r>
              <w:rPr>
                <w:spacing w:val="-1"/>
              </w:rPr>
              <w:t>A10060202</w:t>
            </w:r>
            <w:r>
              <w:rPr>
                <w:spacing w:val="-47"/>
              </w:rPr>
              <w:t xml:space="preserve"> </w:t>
            </w:r>
            <w:r>
              <w:rPr>
                <w:spacing w:val="-1"/>
              </w:rPr>
              <w:t>合成树脂乳液内墙涂</w:t>
            </w:r>
            <w:r>
              <w:t xml:space="preserve"> 料</w:t>
            </w:r>
          </w:p>
        </w:tc>
        <w:tc>
          <w:tcPr>
            <w:tcW w:w="2248" w:type="dxa"/>
          </w:tcPr>
          <w:p w14:paraId="1A557087">
            <w:pPr>
              <w:rPr>
                <w:rFonts w:ascii="Arial"/>
              </w:rPr>
            </w:pPr>
          </w:p>
        </w:tc>
        <w:tc>
          <w:tcPr>
            <w:tcW w:w="3543" w:type="dxa"/>
          </w:tcPr>
          <w:p w14:paraId="5ACAA197">
            <w:pPr>
              <w:pStyle w:val="234"/>
              <w:spacing w:before="67" w:line="219" w:lineRule="auto"/>
              <w:ind w:left="109"/>
              <w:rPr>
                <w:rFonts w:hint="eastAsia"/>
              </w:rPr>
            </w:pPr>
            <w:r>
              <w:rPr>
                <w:spacing w:val="-1"/>
              </w:rPr>
              <w:t>HJ2537</w:t>
            </w:r>
            <w:r>
              <w:rPr>
                <w:spacing w:val="-34"/>
              </w:rPr>
              <w:t xml:space="preserve"> </w:t>
            </w:r>
            <w:r>
              <w:rPr>
                <w:spacing w:val="-1"/>
              </w:rPr>
              <w:t>水性涂料</w:t>
            </w:r>
          </w:p>
        </w:tc>
      </w:tr>
      <w:tr w14:paraId="687CEB2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vMerge w:val="continue"/>
            <w:tcBorders>
              <w:top w:val="nil"/>
              <w:bottom w:val="nil"/>
            </w:tcBorders>
          </w:tcPr>
          <w:p w14:paraId="3D7529D1">
            <w:pPr>
              <w:rPr>
                <w:rFonts w:ascii="Arial"/>
              </w:rPr>
            </w:pPr>
          </w:p>
        </w:tc>
        <w:tc>
          <w:tcPr>
            <w:tcW w:w="1542" w:type="dxa"/>
            <w:vMerge w:val="continue"/>
            <w:tcBorders>
              <w:top w:val="nil"/>
              <w:bottom w:val="nil"/>
            </w:tcBorders>
          </w:tcPr>
          <w:p w14:paraId="52D21483">
            <w:pPr>
              <w:rPr>
                <w:rFonts w:ascii="Arial"/>
              </w:rPr>
            </w:pPr>
          </w:p>
        </w:tc>
        <w:tc>
          <w:tcPr>
            <w:tcW w:w="2672" w:type="dxa"/>
          </w:tcPr>
          <w:p w14:paraId="6069BA68">
            <w:pPr>
              <w:pStyle w:val="234"/>
              <w:spacing w:before="64" w:line="284" w:lineRule="auto"/>
              <w:ind w:left="108" w:right="107" w:hanging="5"/>
              <w:rPr>
                <w:rFonts w:hint="eastAsia"/>
              </w:rPr>
            </w:pPr>
            <w:r>
              <w:rPr>
                <w:spacing w:val="-1"/>
              </w:rPr>
              <w:t>A10060203</w:t>
            </w:r>
            <w:r>
              <w:rPr>
                <w:spacing w:val="-47"/>
              </w:rPr>
              <w:t xml:space="preserve"> </w:t>
            </w:r>
            <w:r>
              <w:rPr>
                <w:spacing w:val="-1"/>
              </w:rPr>
              <w:t>合成树脂乳液外墙涂</w:t>
            </w:r>
            <w:r>
              <w:t xml:space="preserve"> 料</w:t>
            </w:r>
          </w:p>
        </w:tc>
        <w:tc>
          <w:tcPr>
            <w:tcW w:w="2248" w:type="dxa"/>
          </w:tcPr>
          <w:p w14:paraId="5321194C">
            <w:pPr>
              <w:rPr>
                <w:rFonts w:ascii="Arial"/>
              </w:rPr>
            </w:pPr>
          </w:p>
        </w:tc>
        <w:tc>
          <w:tcPr>
            <w:tcW w:w="3543" w:type="dxa"/>
          </w:tcPr>
          <w:p w14:paraId="37D45991">
            <w:pPr>
              <w:pStyle w:val="234"/>
              <w:spacing w:before="63" w:line="219" w:lineRule="auto"/>
              <w:ind w:left="109"/>
              <w:rPr>
                <w:rFonts w:hint="eastAsia"/>
              </w:rPr>
            </w:pPr>
            <w:r>
              <w:rPr>
                <w:spacing w:val="-1"/>
              </w:rPr>
              <w:t>HJ2537</w:t>
            </w:r>
            <w:r>
              <w:rPr>
                <w:spacing w:val="-34"/>
              </w:rPr>
              <w:t xml:space="preserve"> </w:t>
            </w:r>
            <w:r>
              <w:rPr>
                <w:spacing w:val="-1"/>
              </w:rPr>
              <w:t>水性涂料</w:t>
            </w:r>
          </w:p>
        </w:tc>
      </w:tr>
      <w:tr w14:paraId="731D99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jc w:val="center"/>
        </w:trPr>
        <w:tc>
          <w:tcPr>
            <w:tcW w:w="583" w:type="dxa"/>
            <w:vMerge w:val="continue"/>
            <w:tcBorders>
              <w:top w:val="nil"/>
            </w:tcBorders>
          </w:tcPr>
          <w:p w14:paraId="1B567BC8">
            <w:pPr>
              <w:rPr>
                <w:rFonts w:ascii="Arial"/>
              </w:rPr>
            </w:pPr>
          </w:p>
        </w:tc>
        <w:tc>
          <w:tcPr>
            <w:tcW w:w="1542" w:type="dxa"/>
            <w:vMerge w:val="continue"/>
            <w:tcBorders>
              <w:top w:val="nil"/>
            </w:tcBorders>
          </w:tcPr>
          <w:p w14:paraId="5FD7731C">
            <w:pPr>
              <w:rPr>
                <w:rFonts w:ascii="Arial"/>
              </w:rPr>
            </w:pPr>
          </w:p>
        </w:tc>
        <w:tc>
          <w:tcPr>
            <w:tcW w:w="2672" w:type="dxa"/>
          </w:tcPr>
          <w:p w14:paraId="6767CFA3">
            <w:pPr>
              <w:pStyle w:val="234"/>
              <w:spacing w:before="64" w:line="221" w:lineRule="auto"/>
              <w:ind w:left="103"/>
              <w:rPr>
                <w:rFonts w:hint="eastAsia"/>
              </w:rPr>
            </w:pPr>
            <w:r>
              <w:rPr>
                <w:spacing w:val="-1"/>
              </w:rPr>
              <w:t>A10060299</w:t>
            </w:r>
            <w:r>
              <w:rPr>
                <w:spacing w:val="-30"/>
              </w:rPr>
              <w:t xml:space="preserve"> </w:t>
            </w:r>
            <w:r>
              <w:rPr>
                <w:spacing w:val="-1"/>
              </w:rPr>
              <w:t>其他墙面涂料</w:t>
            </w:r>
          </w:p>
        </w:tc>
        <w:tc>
          <w:tcPr>
            <w:tcW w:w="2248" w:type="dxa"/>
          </w:tcPr>
          <w:p w14:paraId="14959196">
            <w:pPr>
              <w:rPr>
                <w:rFonts w:ascii="Arial"/>
              </w:rPr>
            </w:pPr>
          </w:p>
        </w:tc>
        <w:tc>
          <w:tcPr>
            <w:tcW w:w="3543" w:type="dxa"/>
          </w:tcPr>
          <w:p w14:paraId="48FED426">
            <w:pPr>
              <w:pStyle w:val="234"/>
              <w:spacing w:before="64" w:line="219" w:lineRule="auto"/>
              <w:ind w:left="109"/>
              <w:rPr>
                <w:rFonts w:hint="eastAsia"/>
              </w:rPr>
            </w:pPr>
            <w:r>
              <w:rPr>
                <w:spacing w:val="-1"/>
              </w:rPr>
              <w:t>HJ2537</w:t>
            </w:r>
            <w:r>
              <w:rPr>
                <w:spacing w:val="-34"/>
              </w:rPr>
              <w:t xml:space="preserve"> </w:t>
            </w:r>
            <w:r>
              <w:rPr>
                <w:spacing w:val="-1"/>
              </w:rPr>
              <w:t>水性涂料</w:t>
            </w:r>
          </w:p>
        </w:tc>
      </w:tr>
      <w:tr w14:paraId="0F19F97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197ED8B">
            <w:pPr>
              <w:pStyle w:val="234"/>
              <w:spacing w:before="93" w:line="183" w:lineRule="auto"/>
              <w:ind w:left="114"/>
              <w:rPr>
                <w:rFonts w:hint="eastAsia"/>
              </w:rPr>
            </w:pPr>
            <w:r>
              <w:rPr>
                <w:spacing w:val="-3"/>
              </w:rPr>
              <w:t>44</w:t>
            </w:r>
          </w:p>
        </w:tc>
        <w:tc>
          <w:tcPr>
            <w:tcW w:w="1542" w:type="dxa"/>
          </w:tcPr>
          <w:p w14:paraId="4C80C024">
            <w:pPr>
              <w:pStyle w:val="234"/>
              <w:spacing w:before="66" w:line="283" w:lineRule="auto"/>
              <w:ind w:left="107" w:right="108" w:hanging="5"/>
              <w:rPr>
                <w:rFonts w:hint="eastAsia"/>
              </w:rPr>
            </w:pPr>
            <w:r>
              <w:rPr>
                <w:spacing w:val="2"/>
              </w:rPr>
              <w:t>A100604</w:t>
            </w:r>
            <w:r>
              <w:rPr>
                <w:spacing w:val="44"/>
              </w:rPr>
              <w:t xml:space="preserve"> </w:t>
            </w:r>
            <w:r>
              <w:rPr>
                <w:spacing w:val="2"/>
              </w:rPr>
              <w:t>防水涂</w:t>
            </w:r>
            <w:r>
              <w:t xml:space="preserve"> 料</w:t>
            </w:r>
          </w:p>
        </w:tc>
        <w:tc>
          <w:tcPr>
            <w:tcW w:w="2672" w:type="dxa"/>
          </w:tcPr>
          <w:p w14:paraId="02580C55">
            <w:pPr>
              <w:pStyle w:val="234"/>
              <w:spacing w:before="65" w:line="220" w:lineRule="auto"/>
              <w:ind w:left="103"/>
              <w:rPr>
                <w:rFonts w:hint="eastAsia"/>
              </w:rPr>
            </w:pPr>
            <w:r>
              <w:rPr>
                <w:spacing w:val="-1"/>
              </w:rPr>
              <w:t>A10060499</w:t>
            </w:r>
            <w:r>
              <w:rPr>
                <w:spacing w:val="-30"/>
              </w:rPr>
              <w:t xml:space="preserve"> </w:t>
            </w:r>
            <w:r>
              <w:rPr>
                <w:spacing w:val="-1"/>
              </w:rPr>
              <w:t>其他防水涂料</w:t>
            </w:r>
          </w:p>
        </w:tc>
        <w:tc>
          <w:tcPr>
            <w:tcW w:w="2248" w:type="dxa"/>
          </w:tcPr>
          <w:p w14:paraId="06DDD7E6">
            <w:pPr>
              <w:rPr>
                <w:rFonts w:ascii="Arial"/>
              </w:rPr>
            </w:pPr>
          </w:p>
        </w:tc>
        <w:tc>
          <w:tcPr>
            <w:tcW w:w="3543" w:type="dxa"/>
          </w:tcPr>
          <w:p w14:paraId="07B03CD2">
            <w:pPr>
              <w:pStyle w:val="234"/>
              <w:spacing w:before="65" w:line="219" w:lineRule="auto"/>
              <w:ind w:left="109"/>
              <w:rPr>
                <w:rFonts w:hint="eastAsia"/>
              </w:rPr>
            </w:pPr>
            <w:r>
              <w:rPr>
                <w:spacing w:val="-1"/>
              </w:rPr>
              <w:t>HJ2537</w:t>
            </w:r>
            <w:r>
              <w:rPr>
                <w:spacing w:val="-34"/>
              </w:rPr>
              <w:t xml:space="preserve"> </w:t>
            </w:r>
            <w:r>
              <w:rPr>
                <w:spacing w:val="-1"/>
              </w:rPr>
              <w:t>水性涂料</w:t>
            </w:r>
          </w:p>
        </w:tc>
      </w:tr>
      <w:tr w14:paraId="4B1A910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7284ACEA">
            <w:pPr>
              <w:pStyle w:val="234"/>
              <w:spacing w:before="94" w:line="183" w:lineRule="auto"/>
              <w:ind w:left="114"/>
              <w:rPr>
                <w:rFonts w:hint="eastAsia"/>
              </w:rPr>
            </w:pPr>
            <w:r>
              <w:rPr>
                <w:spacing w:val="-3"/>
              </w:rPr>
              <w:t>45</w:t>
            </w:r>
          </w:p>
        </w:tc>
        <w:tc>
          <w:tcPr>
            <w:tcW w:w="1542" w:type="dxa"/>
          </w:tcPr>
          <w:p w14:paraId="66EA8005">
            <w:pPr>
              <w:pStyle w:val="234"/>
              <w:spacing w:before="66" w:line="283" w:lineRule="auto"/>
              <w:ind w:left="109" w:right="108" w:hanging="7"/>
              <w:rPr>
                <w:rFonts w:hint="eastAsia"/>
              </w:rPr>
            </w:pPr>
            <w:r>
              <w:rPr>
                <w:spacing w:val="3"/>
              </w:rPr>
              <w:t>A100699</w:t>
            </w:r>
            <w:r>
              <w:rPr>
                <w:spacing w:val="34"/>
              </w:rPr>
              <w:t xml:space="preserve"> </w:t>
            </w:r>
            <w:r>
              <w:rPr>
                <w:spacing w:val="3"/>
              </w:rPr>
              <w:t>其他建</w:t>
            </w:r>
            <w:r>
              <w:rPr>
                <w:spacing w:val="-2"/>
              </w:rPr>
              <w:t>筑涂料</w:t>
            </w:r>
          </w:p>
        </w:tc>
        <w:tc>
          <w:tcPr>
            <w:tcW w:w="2672" w:type="dxa"/>
          </w:tcPr>
          <w:p w14:paraId="4D3E3920">
            <w:pPr>
              <w:rPr>
                <w:rFonts w:ascii="Arial"/>
              </w:rPr>
            </w:pPr>
          </w:p>
        </w:tc>
        <w:tc>
          <w:tcPr>
            <w:tcW w:w="2248" w:type="dxa"/>
          </w:tcPr>
          <w:p w14:paraId="67225D62">
            <w:pPr>
              <w:rPr>
                <w:rFonts w:ascii="Arial"/>
              </w:rPr>
            </w:pPr>
          </w:p>
        </w:tc>
        <w:tc>
          <w:tcPr>
            <w:tcW w:w="3543" w:type="dxa"/>
          </w:tcPr>
          <w:p w14:paraId="2C6573DC">
            <w:pPr>
              <w:pStyle w:val="234"/>
              <w:spacing w:before="65" w:line="219" w:lineRule="auto"/>
              <w:ind w:left="109"/>
              <w:rPr>
                <w:rFonts w:hint="eastAsia"/>
              </w:rPr>
            </w:pPr>
            <w:r>
              <w:rPr>
                <w:spacing w:val="-1"/>
              </w:rPr>
              <w:t>HJ2537</w:t>
            </w:r>
            <w:r>
              <w:rPr>
                <w:spacing w:val="-34"/>
              </w:rPr>
              <w:t xml:space="preserve"> </w:t>
            </w:r>
            <w:r>
              <w:rPr>
                <w:spacing w:val="-1"/>
              </w:rPr>
              <w:t>水性涂料</w:t>
            </w:r>
          </w:p>
        </w:tc>
      </w:tr>
      <w:tr w14:paraId="598013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46" w:hRule="atLeast"/>
          <w:jc w:val="center"/>
        </w:trPr>
        <w:tc>
          <w:tcPr>
            <w:tcW w:w="583" w:type="dxa"/>
          </w:tcPr>
          <w:p w14:paraId="553B2FD5">
            <w:pPr>
              <w:pStyle w:val="234"/>
              <w:spacing w:before="95" w:line="183" w:lineRule="auto"/>
              <w:ind w:left="114"/>
              <w:rPr>
                <w:rFonts w:hint="eastAsia"/>
              </w:rPr>
            </w:pPr>
            <w:r>
              <w:rPr>
                <w:spacing w:val="-3"/>
              </w:rPr>
              <w:t>46</w:t>
            </w:r>
          </w:p>
        </w:tc>
        <w:tc>
          <w:tcPr>
            <w:tcW w:w="1542" w:type="dxa"/>
          </w:tcPr>
          <w:p w14:paraId="5AA6DA3D">
            <w:pPr>
              <w:pStyle w:val="234"/>
              <w:spacing w:before="66" w:line="222" w:lineRule="auto"/>
              <w:ind w:left="102"/>
              <w:rPr>
                <w:rFonts w:hint="eastAsia"/>
              </w:rPr>
            </w:pPr>
            <w:r>
              <w:rPr>
                <w:spacing w:val="-8"/>
              </w:rPr>
              <w:t>A100701</w:t>
            </w:r>
            <w:r>
              <w:rPr>
                <w:spacing w:val="-12"/>
              </w:rPr>
              <w:t xml:space="preserve"> </w:t>
            </w:r>
            <w:r>
              <w:rPr>
                <w:spacing w:val="-8"/>
              </w:rPr>
              <w:t>门、门槛</w:t>
            </w:r>
          </w:p>
        </w:tc>
        <w:tc>
          <w:tcPr>
            <w:tcW w:w="2672" w:type="dxa"/>
          </w:tcPr>
          <w:p w14:paraId="4E0F4A86">
            <w:pPr>
              <w:rPr>
                <w:rFonts w:ascii="Arial"/>
              </w:rPr>
            </w:pPr>
          </w:p>
        </w:tc>
        <w:tc>
          <w:tcPr>
            <w:tcW w:w="2248" w:type="dxa"/>
          </w:tcPr>
          <w:p w14:paraId="3BAAD3E4">
            <w:pPr>
              <w:rPr>
                <w:rFonts w:ascii="Arial"/>
              </w:rPr>
            </w:pPr>
          </w:p>
        </w:tc>
        <w:tc>
          <w:tcPr>
            <w:tcW w:w="3543" w:type="dxa"/>
          </w:tcPr>
          <w:p w14:paraId="238FAA2C">
            <w:pPr>
              <w:pStyle w:val="234"/>
              <w:spacing w:before="66" w:line="219" w:lineRule="auto"/>
              <w:ind w:left="109"/>
              <w:rPr>
                <w:rFonts w:hint="eastAsia"/>
                <w:lang w:eastAsia="zh-CN"/>
              </w:rPr>
            </w:pPr>
            <w:r>
              <w:rPr>
                <w:spacing w:val="-1"/>
                <w:lang w:eastAsia="zh-CN"/>
              </w:rPr>
              <w:t>HJ/T 237</w:t>
            </w:r>
            <w:r>
              <w:rPr>
                <w:spacing w:val="-32"/>
                <w:lang w:eastAsia="zh-CN"/>
              </w:rPr>
              <w:t xml:space="preserve"> </w:t>
            </w:r>
            <w:r>
              <w:rPr>
                <w:spacing w:val="-1"/>
                <w:lang w:eastAsia="zh-CN"/>
              </w:rPr>
              <w:t>塑料门窗/HJ459</w:t>
            </w:r>
            <w:r>
              <w:rPr>
                <w:spacing w:val="-37"/>
                <w:lang w:eastAsia="zh-CN"/>
              </w:rPr>
              <w:t xml:space="preserve"> </w:t>
            </w:r>
            <w:r>
              <w:rPr>
                <w:spacing w:val="-1"/>
                <w:lang w:eastAsia="zh-CN"/>
              </w:rPr>
              <w:t>木</w:t>
            </w:r>
            <w:r>
              <w:rPr>
                <w:spacing w:val="-2"/>
                <w:lang w:eastAsia="zh-CN"/>
              </w:rPr>
              <w:t>质门和钢质门</w:t>
            </w:r>
          </w:p>
        </w:tc>
      </w:tr>
      <w:tr w14:paraId="75F984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5" w:hRule="atLeast"/>
          <w:jc w:val="center"/>
        </w:trPr>
        <w:tc>
          <w:tcPr>
            <w:tcW w:w="583" w:type="dxa"/>
          </w:tcPr>
          <w:p w14:paraId="21744F53">
            <w:pPr>
              <w:pStyle w:val="234"/>
              <w:spacing w:before="95" w:line="183" w:lineRule="auto"/>
              <w:ind w:left="114"/>
              <w:rPr>
                <w:rFonts w:hint="eastAsia"/>
              </w:rPr>
            </w:pPr>
            <w:r>
              <w:rPr>
                <w:spacing w:val="-3"/>
              </w:rPr>
              <w:t>47</w:t>
            </w:r>
          </w:p>
        </w:tc>
        <w:tc>
          <w:tcPr>
            <w:tcW w:w="1542" w:type="dxa"/>
          </w:tcPr>
          <w:p w14:paraId="0613E9E3">
            <w:pPr>
              <w:pStyle w:val="234"/>
              <w:spacing w:before="66" w:line="221" w:lineRule="auto"/>
              <w:ind w:left="102"/>
              <w:rPr>
                <w:rFonts w:hint="eastAsia"/>
              </w:rPr>
            </w:pPr>
            <w:r>
              <w:rPr>
                <w:spacing w:val="-1"/>
              </w:rPr>
              <w:t>A100702</w:t>
            </w:r>
            <w:r>
              <w:rPr>
                <w:spacing w:val="-24"/>
              </w:rPr>
              <w:t xml:space="preserve"> </w:t>
            </w:r>
            <w:r>
              <w:rPr>
                <w:spacing w:val="-1"/>
              </w:rPr>
              <w:t>窗</w:t>
            </w:r>
          </w:p>
        </w:tc>
        <w:tc>
          <w:tcPr>
            <w:tcW w:w="2672" w:type="dxa"/>
          </w:tcPr>
          <w:p w14:paraId="45006EEC">
            <w:pPr>
              <w:rPr>
                <w:rFonts w:ascii="Arial"/>
              </w:rPr>
            </w:pPr>
          </w:p>
        </w:tc>
        <w:tc>
          <w:tcPr>
            <w:tcW w:w="2248" w:type="dxa"/>
          </w:tcPr>
          <w:p w14:paraId="3CAC3C2F">
            <w:pPr>
              <w:rPr>
                <w:rFonts w:ascii="Arial"/>
              </w:rPr>
            </w:pPr>
          </w:p>
        </w:tc>
        <w:tc>
          <w:tcPr>
            <w:tcW w:w="3543" w:type="dxa"/>
          </w:tcPr>
          <w:p w14:paraId="368DB8DB">
            <w:pPr>
              <w:pStyle w:val="234"/>
              <w:spacing w:before="66" w:line="219" w:lineRule="auto"/>
              <w:ind w:left="109"/>
              <w:rPr>
                <w:rFonts w:hint="eastAsia"/>
              </w:rPr>
            </w:pPr>
            <w:r>
              <w:rPr>
                <w:spacing w:val="-1"/>
              </w:rPr>
              <w:t>HJ/T237</w:t>
            </w:r>
            <w:r>
              <w:rPr>
                <w:spacing w:val="-33"/>
              </w:rPr>
              <w:t xml:space="preserve"> </w:t>
            </w:r>
            <w:r>
              <w:rPr>
                <w:spacing w:val="-1"/>
              </w:rPr>
              <w:t>塑料门窗</w:t>
            </w:r>
          </w:p>
        </w:tc>
      </w:tr>
      <w:tr w14:paraId="7F6160E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0" w:hRule="atLeast"/>
          <w:jc w:val="center"/>
        </w:trPr>
        <w:tc>
          <w:tcPr>
            <w:tcW w:w="583" w:type="dxa"/>
          </w:tcPr>
          <w:p w14:paraId="006F0F04">
            <w:pPr>
              <w:pStyle w:val="234"/>
              <w:spacing w:before="98" w:line="183" w:lineRule="auto"/>
              <w:ind w:left="114"/>
              <w:rPr>
                <w:rFonts w:hint="eastAsia"/>
              </w:rPr>
            </w:pPr>
            <w:r>
              <w:rPr>
                <w:spacing w:val="-3"/>
              </w:rPr>
              <w:t>48</w:t>
            </w:r>
          </w:p>
        </w:tc>
        <w:tc>
          <w:tcPr>
            <w:tcW w:w="1542" w:type="dxa"/>
          </w:tcPr>
          <w:p w14:paraId="3F9FB5BD">
            <w:pPr>
              <w:pStyle w:val="234"/>
              <w:spacing w:before="70" w:line="282" w:lineRule="auto"/>
              <w:ind w:left="109" w:right="106" w:hanging="7"/>
              <w:rPr>
                <w:rFonts w:hint="eastAsia"/>
              </w:rPr>
            </w:pPr>
            <w:r>
              <w:rPr>
                <w:spacing w:val="-8"/>
              </w:rPr>
              <w:t>A170108</w:t>
            </w:r>
            <w:r>
              <w:rPr>
                <w:spacing w:val="-25"/>
              </w:rPr>
              <w:t xml:space="preserve"> </w:t>
            </w:r>
            <w:r>
              <w:rPr>
                <w:spacing w:val="-8"/>
              </w:rPr>
              <w:t>涂料（建</w:t>
            </w:r>
            <w:r>
              <w:t xml:space="preserve"> </w:t>
            </w:r>
            <w:r>
              <w:rPr>
                <w:spacing w:val="-2"/>
              </w:rPr>
              <w:t>筑涂料除外）</w:t>
            </w:r>
          </w:p>
        </w:tc>
        <w:tc>
          <w:tcPr>
            <w:tcW w:w="2672" w:type="dxa"/>
          </w:tcPr>
          <w:p w14:paraId="6D0BF0B8">
            <w:pPr>
              <w:rPr>
                <w:rFonts w:ascii="Arial"/>
              </w:rPr>
            </w:pPr>
          </w:p>
        </w:tc>
        <w:tc>
          <w:tcPr>
            <w:tcW w:w="2248" w:type="dxa"/>
          </w:tcPr>
          <w:p w14:paraId="7E1EBF12">
            <w:pPr>
              <w:rPr>
                <w:rFonts w:ascii="Arial"/>
              </w:rPr>
            </w:pPr>
          </w:p>
        </w:tc>
        <w:tc>
          <w:tcPr>
            <w:tcW w:w="3543" w:type="dxa"/>
          </w:tcPr>
          <w:p w14:paraId="7C951C08">
            <w:pPr>
              <w:pStyle w:val="234"/>
              <w:spacing w:before="69" w:line="219" w:lineRule="auto"/>
              <w:ind w:left="109"/>
              <w:rPr>
                <w:rFonts w:hint="eastAsia"/>
              </w:rPr>
            </w:pPr>
            <w:r>
              <w:rPr>
                <w:spacing w:val="-1"/>
              </w:rPr>
              <w:t>HJ2537</w:t>
            </w:r>
            <w:r>
              <w:rPr>
                <w:spacing w:val="-34"/>
              </w:rPr>
              <w:t xml:space="preserve"> </w:t>
            </w:r>
            <w:r>
              <w:rPr>
                <w:spacing w:val="-1"/>
              </w:rPr>
              <w:t>水性涂料</w:t>
            </w:r>
          </w:p>
        </w:tc>
      </w:tr>
      <w:tr w14:paraId="4C212FF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jc w:val="center"/>
        </w:trPr>
        <w:tc>
          <w:tcPr>
            <w:tcW w:w="583" w:type="dxa"/>
          </w:tcPr>
          <w:p w14:paraId="55CF83D0">
            <w:pPr>
              <w:pStyle w:val="234"/>
              <w:spacing w:before="96" w:line="183" w:lineRule="auto"/>
              <w:ind w:left="114"/>
              <w:rPr>
                <w:rFonts w:hint="eastAsia"/>
              </w:rPr>
            </w:pPr>
            <w:r>
              <w:rPr>
                <w:spacing w:val="-3"/>
              </w:rPr>
              <w:t>49</w:t>
            </w:r>
          </w:p>
        </w:tc>
        <w:tc>
          <w:tcPr>
            <w:tcW w:w="1542" w:type="dxa"/>
          </w:tcPr>
          <w:p w14:paraId="1500B32F">
            <w:pPr>
              <w:pStyle w:val="234"/>
              <w:spacing w:before="68" w:line="282" w:lineRule="auto"/>
              <w:ind w:left="109" w:right="108" w:hanging="7"/>
              <w:rPr>
                <w:rFonts w:hint="eastAsia"/>
              </w:rPr>
            </w:pPr>
            <w:r>
              <w:rPr>
                <w:spacing w:val="3"/>
              </w:rPr>
              <w:t>A170112</w:t>
            </w:r>
            <w:r>
              <w:rPr>
                <w:spacing w:val="34"/>
              </w:rPr>
              <w:t xml:space="preserve"> </w:t>
            </w:r>
            <w:r>
              <w:rPr>
                <w:spacing w:val="3"/>
              </w:rPr>
              <w:t>密封用</w:t>
            </w:r>
            <w:r>
              <w:t xml:space="preserve"> </w:t>
            </w:r>
            <w:r>
              <w:rPr>
                <w:spacing w:val="-2"/>
              </w:rPr>
              <w:t>填料及类似品</w:t>
            </w:r>
          </w:p>
        </w:tc>
        <w:tc>
          <w:tcPr>
            <w:tcW w:w="2672" w:type="dxa"/>
          </w:tcPr>
          <w:p w14:paraId="56E6C5C6">
            <w:pPr>
              <w:rPr>
                <w:rFonts w:ascii="Arial"/>
              </w:rPr>
            </w:pPr>
          </w:p>
        </w:tc>
        <w:tc>
          <w:tcPr>
            <w:tcW w:w="2248" w:type="dxa"/>
          </w:tcPr>
          <w:p w14:paraId="6E3E2381">
            <w:pPr>
              <w:rPr>
                <w:rFonts w:ascii="Arial"/>
              </w:rPr>
            </w:pPr>
          </w:p>
        </w:tc>
        <w:tc>
          <w:tcPr>
            <w:tcW w:w="3543" w:type="dxa"/>
          </w:tcPr>
          <w:p w14:paraId="60E4FF40">
            <w:pPr>
              <w:pStyle w:val="234"/>
              <w:spacing w:before="67" w:line="219" w:lineRule="auto"/>
              <w:ind w:left="109"/>
              <w:rPr>
                <w:rFonts w:hint="eastAsia"/>
              </w:rPr>
            </w:pPr>
            <w:r>
              <w:rPr>
                <w:spacing w:val="-1"/>
              </w:rPr>
              <w:t>HJ2541</w:t>
            </w:r>
            <w:r>
              <w:rPr>
                <w:spacing w:val="-35"/>
              </w:rPr>
              <w:t xml:space="preserve"> </w:t>
            </w:r>
            <w:r>
              <w:rPr>
                <w:spacing w:val="-1"/>
              </w:rPr>
              <w:t>胶粘剂</w:t>
            </w:r>
          </w:p>
        </w:tc>
      </w:tr>
      <w:tr w14:paraId="197AE8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3" w:hRule="atLeast"/>
          <w:jc w:val="center"/>
        </w:trPr>
        <w:tc>
          <w:tcPr>
            <w:tcW w:w="583" w:type="dxa"/>
          </w:tcPr>
          <w:p w14:paraId="3039D7EB">
            <w:pPr>
              <w:pStyle w:val="234"/>
              <w:spacing w:before="97" w:line="183" w:lineRule="auto"/>
              <w:ind w:left="118"/>
              <w:rPr>
                <w:rFonts w:hint="eastAsia"/>
              </w:rPr>
            </w:pPr>
            <w:r>
              <w:rPr>
                <w:spacing w:val="-5"/>
              </w:rPr>
              <w:t>50</w:t>
            </w:r>
          </w:p>
        </w:tc>
        <w:tc>
          <w:tcPr>
            <w:tcW w:w="1542" w:type="dxa"/>
          </w:tcPr>
          <w:p w14:paraId="361D2D43">
            <w:pPr>
              <w:pStyle w:val="234"/>
              <w:spacing w:before="69" w:line="284" w:lineRule="auto"/>
              <w:ind w:left="122" w:right="108" w:hanging="20"/>
              <w:rPr>
                <w:rFonts w:hint="eastAsia"/>
              </w:rPr>
            </w:pPr>
            <w:r>
              <w:rPr>
                <w:spacing w:val="3"/>
              </w:rPr>
              <w:t>A180201</w:t>
            </w:r>
            <w:r>
              <w:rPr>
                <w:spacing w:val="34"/>
              </w:rPr>
              <w:t xml:space="preserve"> </w:t>
            </w:r>
            <w:r>
              <w:rPr>
                <w:spacing w:val="3"/>
              </w:rPr>
              <w:t>塑料制</w:t>
            </w:r>
            <w:r>
              <w:t xml:space="preserve"> 品</w:t>
            </w:r>
          </w:p>
        </w:tc>
        <w:tc>
          <w:tcPr>
            <w:tcW w:w="2672" w:type="dxa"/>
          </w:tcPr>
          <w:p w14:paraId="185E237B">
            <w:pPr>
              <w:rPr>
                <w:rFonts w:ascii="Arial"/>
              </w:rPr>
            </w:pPr>
          </w:p>
        </w:tc>
        <w:tc>
          <w:tcPr>
            <w:tcW w:w="2248" w:type="dxa"/>
          </w:tcPr>
          <w:p w14:paraId="6E83EBBD">
            <w:pPr>
              <w:rPr>
                <w:rFonts w:ascii="Arial"/>
              </w:rPr>
            </w:pPr>
          </w:p>
        </w:tc>
        <w:tc>
          <w:tcPr>
            <w:tcW w:w="3543" w:type="dxa"/>
          </w:tcPr>
          <w:p w14:paraId="55F7AB7E">
            <w:pPr>
              <w:pStyle w:val="234"/>
              <w:spacing w:before="69" w:line="284" w:lineRule="auto"/>
              <w:ind w:left="113" w:right="104" w:hanging="4"/>
              <w:rPr>
                <w:rFonts w:hint="eastAsia"/>
              </w:rPr>
            </w:pPr>
            <w:r>
              <w:t>HJ/T226 建筑用塑料管材/HJ/</w:t>
            </w:r>
            <w:r>
              <w:rPr>
                <w:spacing w:val="-1"/>
              </w:rPr>
              <w:t>T231 再生塑</w:t>
            </w:r>
            <w:r>
              <w:t xml:space="preserve"> </w:t>
            </w:r>
            <w:r>
              <w:rPr>
                <w:spacing w:val="-2"/>
              </w:rPr>
              <w:t>料制品</w:t>
            </w:r>
          </w:p>
        </w:tc>
      </w:tr>
    </w:tbl>
    <w:p w14:paraId="1B26F36E">
      <w:pPr>
        <w:spacing w:line="91" w:lineRule="auto"/>
        <w:rPr>
          <w:rFonts w:ascii="Arial"/>
          <w:sz w:val="2"/>
        </w:rPr>
      </w:pPr>
    </w:p>
    <w:p w14:paraId="40558F77">
      <w:pPr>
        <w:rPr>
          <w:rFonts w:hint="eastAsia" w:ascii="仿宋" w:hAnsi="仿宋" w:eastAsia="仿宋" w:cs="仿宋"/>
          <w:spacing w:val="-1"/>
          <w:sz w:val="24"/>
        </w:rPr>
      </w:pPr>
      <w:r>
        <w:rPr>
          <w:rFonts w:ascii="仿宋" w:hAnsi="仿宋" w:eastAsia="仿宋" w:cs="仿宋"/>
          <w:spacing w:val="-1"/>
          <w:sz w:val="24"/>
        </w:rPr>
        <w:t>注：环境标志产品认证应依据相关标准的最新版本</w:t>
      </w:r>
      <w:r>
        <w:rPr>
          <w:rFonts w:hint="eastAsia" w:ascii="仿宋" w:hAnsi="仿宋" w:eastAsia="仿宋" w:cs="仿宋"/>
          <w:spacing w:val="-1"/>
          <w:sz w:val="24"/>
        </w:rPr>
        <w:t>。</w:t>
      </w:r>
    </w:p>
    <w:p w14:paraId="2D7E7260">
      <w:pPr>
        <w:adjustRightInd w:val="0"/>
        <w:spacing w:line="400" w:lineRule="exact"/>
        <w:ind w:firstLine="422" w:firstLineChars="200"/>
        <w:jc w:val="left"/>
        <w:textAlignment w:val="baseline"/>
        <w:rPr>
          <w:rFonts w:hint="eastAsia" w:hAnsi="宋体"/>
          <w:b/>
          <w:bCs/>
        </w:rPr>
      </w:pPr>
    </w:p>
    <w:p w14:paraId="3F592DCB">
      <w:pPr>
        <w:adjustRightInd w:val="0"/>
        <w:spacing w:line="400" w:lineRule="exact"/>
        <w:ind w:firstLine="422" w:firstLineChars="200"/>
        <w:jc w:val="left"/>
        <w:textAlignment w:val="baseline"/>
        <w:rPr>
          <w:rFonts w:hint="eastAsia" w:hAnsi="宋体"/>
          <w:b/>
          <w:bCs/>
        </w:rPr>
        <w:sectPr>
          <w:pgSz w:w="11906" w:h="16838"/>
          <w:pgMar w:top="1440" w:right="566" w:bottom="1440" w:left="851" w:header="851" w:footer="992" w:gutter="0"/>
          <w:cols w:space="720" w:num="1"/>
          <w:docGrid w:linePitch="312" w:charSpace="0"/>
        </w:sectPr>
      </w:pPr>
    </w:p>
    <w:p w14:paraId="2C5EE9AD">
      <w:pPr>
        <w:rPr>
          <w:b/>
          <w:sz w:val="24"/>
        </w:rPr>
      </w:pPr>
    </w:p>
    <w:p w14:paraId="78192693">
      <w:pPr>
        <w:rPr>
          <w:b/>
          <w:sz w:val="24"/>
        </w:rPr>
      </w:pPr>
    </w:p>
    <w:p w14:paraId="5D5613DA">
      <w:pPr>
        <w:rPr>
          <w:b/>
          <w:sz w:val="24"/>
        </w:rPr>
      </w:pPr>
    </w:p>
    <w:p w14:paraId="56254924">
      <w:pPr>
        <w:rPr>
          <w:b/>
          <w:sz w:val="24"/>
        </w:rPr>
      </w:pPr>
    </w:p>
    <w:p w14:paraId="54E75D33">
      <w:pPr>
        <w:rPr>
          <w:b/>
          <w:sz w:val="24"/>
        </w:rPr>
      </w:pPr>
    </w:p>
    <w:p w14:paraId="4E40DE30">
      <w:pPr>
        <w:rPr>
          <w:b/>
          <w:sz w:val="24"/>
        </w:rPr>
      </w:pPr>
    </w:p>
    <w:p w14:paraId="30143F0A">
      <w:pPr>
        <w:rPr>
          <w:b/>
          <w:sz w:val="24"/>
        </w:rPr>
      </w:pPr>
    </w:p>
    <w:p w14:paraId="0F5D2763">
      <w:pPr>
        <w:rPr>
          <w:b/>
          <w:sz w:val="24"/>
        </w:rPr>
      </w:pPr>
    </w:p>
    <w:p w14:paraId="01B29D11">
      <w:pPr>
        <w:rPr>
          <w:b/>
          <w:sz w:val="24"/>
        </w:rPr>
      </w:pPr>
    </w:p>
    <w:p w14:paraId="635F5DAA">
      <w:pPr>
        <w:rPr>
          <w:b/>
          <w:sz w:val="24"/>
        </w:rPr>
      </w:pPr>
    </w:p>
    <w:p w14:paraId="128FE2ED">
      <w:pPr>
        <w:rPr>
          <w:b/>
          <w:sz w:val="24"/>
        </w:rPr>
      </w:pPr>
    </w:p>
    <w:p w14:paraId="5252A83A">
      <w:pPr>
        <w:rPr>
          <w:b/>
          <w:sz w:val="24"/>
        </w:rPr>
      </w:pPr>
    </w:p>
    <w:p w14:paraId="3EBD6CB2">
      <w:pPr>
        <w:rPr>
          <w:b/>
          <w:sz w:val="24"/>
        </w:rPr>
      </w:pPr>
    </w:p>
    <w:p w14:paraId="28FD4186">
      <w:pPr>
        <w:rPr>
          <w:b/>
          <w:sz w:val="24"/>
        </w:rPr>
      </w:pPr>
    </w:p>
    <w:p w14:paraId="68084E99">
      <w:pPr>
        <w:rPr>
          <w:b/>
          <w:sz w:val="24"/>
        </w:rPr>
      </w:pPr>
    </w:p>
    <w:p w14:paraId="1EBB6B86">
      <w:pPr>
        <w:rPr>
          <w:b/>
          <w:sz w:val="24"/>
        </w:rPr>
      </w:pPr>
    </w:p>
    <w:p w14:paraId="7D478378">
      <w:pPr>
        <w:rPr>
          <w:b/>
          <w:sz w:val="24"/>
        </w:rPr>
      </w:pPr>
    </w:p>
    <w:p w14:paraId="75B7E1E3">
      <w:pPr>
        <w:rPr>
          <w:b/>
          <w:sz w:val="24"/>
        </w:rPr>
      </w:pPr>
    </w:p>
    <w:p w14:paraId="3381128B">
      <w:pPr>
        <w:rPr>
          <w:b/>
          <w:sz w:val="24"/>
        </w:rPr>
      </w:pPr>
    </w:p>
    <w:p w14:paraId="12F15BBC">
      <w:pPr>
        <w:rPr>
          <w:b/>
          <w:sz w:val="24"/>
        </w:rPr>
      </w:pPr>
    </w:p>
    <w:p w14:paraId="15B99CFF">
      <w:pPr>
        <w:pStyle w:val="3"/>
        <w:jc w:val="center"/>
        <w:rPr>
          <w:rFonts w:ascii="仿宋_GB2312" w:eastAsia="仿宋_GB2312"/>
          <w:b w:val="0"/>
          <w:bCs w:val="0"/>
          <w:sz w:val="32"/>
          <w:szCs w:val="32"/>
        </w:rPr>
      </w:pPr>
      <w:bookmarkStart w:id="82" w:name="_Toc21458"/>
      <w:bookmarkStart w:id="83" w:name="_Toc497578453"/>
      <w:r>
        <w:rPr>
          <w:rFonts w:hint="eastAsia"/>
          <w:sz w:val="30"/>
          <w:szCs w:val="30"/>
        </w:rPr>
        <w:t>第五章 合同主要条款格式及广西壮族自治区政府采购项目合同验收书格式</w:t>
      </w:r>
      <w:bookmarkEnd w:id="82"/>
      <w:bookmarkEnd w:id="83"/>
    </w:p>
    <w:p w14:paraId="0CC8A075">
      <w:pPr>
        <w:snapToGrid w:val="0"/>
        <w:jc w:val="center"/>
        <w:rPr>
          <w:rFonts w:hint="eastAsia" w:ascii="仿宋_GB2312" w:hAnsi="华文中宋" w:eastAsia="仿宋_GB2312"/>
          <w:bCs/>
          <w:sz w:val="32"/>
          <w:szCs w:val="32"/>
        </w:rPr>
      </w:pPr>
    </w:p>
    <w:p w14:paraId="07C0565D">
      <w:pPr>
        <w:snapToGrid w:val="0"/>
        <w:jc w:val="center"/>
        <w:rPr>
          <w:rFonts w:hint="eastAsia" w:ascii="仿宋_GB2312" w:hAnsi="华文中宋" w:eastAsia="仿宋_GB2312"/>
          <w:bCs/>
          <w:sz w:val="32"/>
          <w:szCs w:val="32"/>
        </w:rPr>
      </w:pPr>
    </w:p>
    <w:p w14:paraId="78BDE78D">
      <w:pPr>
        <w:snapToGrid w:val="0"/>
        <w:jc w:val="center"/>
        <w:rPr>
          <w:rFonts w:hint="eastAsia" w:ascii="仿宋_GB2312" w:hAnsi="华文中宋" w:eastAsia="仿宋_GB2312"/>
          <w:bCs/>
          <w:sz w:val="32"/>
          <w:szCs w:val="32"/>
        </w:rPr>
      </w:pPr>
    </w:p>
    <w:p w14:paraId="28690E26">
      <w:pPr>
        <w:snapToGrid w:val="0"/>
        <w:jc w:val="center"/>
        <w:rPr>
          <w:rFonts w:hint="eastAsia" w:ascii="仿宋_GB2312" w:hAnsi="华文中宋" w:eastAsia="仿宋_GB2312"/>
          <w:bCs/>
          <w:sz w:val="32"/>
          <w:szCs w:val="32"/>
        </w:rPr>
      </w:pPr>
    </w:p>
    <w:p w14:paraId="6150A071">
      <w:pPr>
        <w:snapToGrid w:val="0"/>
        <w:jc w:val="center"/>
        <w:rPr>
          <w:rFonts w:hint="eastAsia" w:ascii="仿宋_GB2312" w:hAnsi="华文中宋" w:eastAsia="仿宋_GB2312"/>
          <w:bCs/>
          <w:sz w:val="32"/>
          <w:szCs w:val="32"/>
        </w:rPr>
      </w:pPr>
    </w:p>
    <w:p w14:paraId="6D280AAE">
      <w:pPr>
        <w:snapToGrid w:val="0"/>
        <w:jc w:val="center"/>
        <w:rPr>
          <w:rFonts w:hint="eastAsia" w:ascii="仿宋_GB2312" w:hAnsi="华文中宋" w:eastAsia="仿宋_GB2312"/>
          <w:bCs/>
          <w:sz w:val="32"/>
          <w:szCs w:val="32"/>
        </w:rPr>
      </w:pPr>
    </w:p>
    <w:p w14:paraId="342EAA2D">
      <w:pPr>
        <w:snapToGrid w:val="0"/>
        <w:jc w:val="center"/>
        <w:rPr>
          <w:rFonts w:hint="eastAsia" w:ascii="仿宋_GB2312" w:hAnsi="华文中宋" w:eastAsia="仿宋_GB2312"/>
          <w:bCs/>
          <w:sz w:val="32"/>
          <w:szCs w:val="32"/>
        </w:rPr>
      </w:pPr>
    </w:p>
    <w:p w14:paraId="7D4348A6">
      <w:pPr>
        <w:snapToGrid w:val="0"/>
        <w:rPr>
          <w:rFonts w:hint="eastAsia" w:ascii="仿宋_GB2312" w:hAnsi="华文中宋" w:eastAsia="仿宋_GB2312"/>
          <w:bCs/>
          <w:sz w:val="32"/>
          <w:szCs w:val="32"/>
        </w:rPr>
      </w:pPr>
    </w:p>
    <w:p w14:paraId="19471360">
      <w:pPr>
        <w:snapToGrid w:val="0"/>
        <w:rPr>
          <w:rFonts w:hint="eastAsia" w:ascii="仿宋_GB2312" w:hAnsi="华文中宋" w:eastAsia="仿宋_GB2312"/>
          <w:bCs/>
          <w:sz w:val="32"/>
          <w:szCs w:val="32"/>
        </w:rPr>
      </w:pPr>
    </w:p>
    <w:p w14:paraId="29FBC862">
      <w:pPr>
        <w:snapToGrid w:val="0"/>
        <w:jc w:val="left"/>
        <w:rPr>
          <w:rFonts w:ascii="仿宋_GB2312" w:eastAsia="仿宋_GB2312"/>
          <w:b/>
          <w:color w:val="FF0000"/>
          <w:sz w:val="24"/>
        </w:rPr>
      </w:pPr>
      <w:r>
        <w:rPr>
          <w:rFonts w:hint="eastAsia" w:ascii="仿宋_GB2312" w:eastAsia="仿宋_GB2312"/>
          <w:b/>
          <w:sz w:val="24"/>
        </w:rPr>
        <w:br w:type="page"/>
      </w:r>
      <w:bookmarkStart w:id="84" w:name="_Hlk93681333"/>
      <w:bookmarkStart w:id="85" w:name="_Hlk93681122"/>
    </w:p>
    <w:p w14:paraId="3B432E72">
      <w:pPr>
        <w:snapToGrid w:val="0"/>
        <w:ind w:firstLine="482" w:firstLineChars="200"/>
        <w:jc w:val="left"/>
        <w:rPr>
          <w:rFonts w:ascii="仿宋_GB2312" w:eastAsia="仿宋_GB2312"/>
          <w:b/>
          <w:sz w:val="24"/>
        </w:rPr>
      </w:pPr>
      <w:r>
        <w:rPr>
          <w:rFonts w:hint="eastAsia" w:ascii="仿宋_GB2312" w:eastAsia="仿宋_GB2312"/>
          <w:b/>
          <w:sz w:val="24"/>
        </w:rPr>
        <w:t>合同使用说明：本合同</w:t>
      </w:r>
      <w:bookmarkStart w:id="86" w:name="_Hlk102729543"/>
      <w:r>
        <w:rPr>
          <w:rFonts w:ascii="仿宋_GB2312" w:eastAsia="仿宋_GB2312"/>
          <w:b/>
          <w:sz w:val="24"/>
        </w:rPr>
        <w:t>非中小企业</w:t>
      </w:r>
      <w:bookmarkEnd w:id="86"/>
      <w:r>
        <w:rPr>
          <w:rFonts w:hint="eastAsia" w:ascii="仿宋_GB2312" w:eastAsia="仿宋_GB2312"/>
          <w:b/>
          <w:sz w:val="24"/>
        </w:rPr>
        <w:t>预留合同。</w:t>
      </w:r>
    </w:p>
    <w:p w14:paraId="1B5992E6">
      <w:pPr>
        <w:pStyle w:val="26"/>
        <w:spacing w:line="400" w:lineRule="exact"/>
        <w:jc w:val="left"/>
        <w:rPr>
          <w:b/>
          <w:sz w:val="32"/>
        </w:rPr>
      </w:pPr>
    </w:p>
    <w:p w14:paraId="5C5CC2B2">
      <w:pPr>
        <w:snapToGrid w:val="0"/>
        <w:jc w:val="center"/>
        <w:rPr>
          <w:rFonts w:hint="eastAsia" w:ascii="仿宋_GB2312" w:hAnsi="宋体" w:eastAsia="仿宋_GB2312"/>
          <w:b/>
          <w:bCs/>
          <w:sz w:val="44"/>
          <w:szCs w:val="44"/>
        </w:rPr>
      </w:pPr>
      <w:r>
        <w:rPr>
          <w:rFonts w:hint="eastAsia" w:ascii="仿宋_GB2312" w:hAnsi="宋体" w:eastAsia="仿宋_GB2312"/>
          <w:b/>
          <w:bCs/>
          <w:sz w:val="44"/>
          <w:szCs w:val="44"/>
        </w:rPr>
        <w:t>政府采购合同</w:t>
      </w:r>
    </w:p>
    <w:p w14:paraId="6DA5FEDA">
      <w:pPr>
        <w:snapToGrid w:val="0"/>
        <w:jc w:val="center"/>
        <w:rPr>
          <w:rFonts w:hint="eastAsia" w:ascii="仿宋_GB2312" w:hAnsi="宋体" w:eastAsia="仿宋_GB2312"/>
          <w:b/>
          <w:bCs/>
          <w:sz w:val="36"/>
          <w:szCs w:val="36"/>
        </w:rPr>
      </w:pPr>
      <w:r>
        <w:rPr>
          <w:rFonts w:hint="eastAsia" w:ascii="仿宋_GB2312" w:hAnsi="宋体" w:eastAsia="仿宋_GB2312"/>
          <w:b/>
          <w:bCs/>
          <w:sz w:val="36"/>
          <w:szCs w:val="36"/>
        </w:rPr>
        <w:t>（一般货物类）</w:t>
      </w:r>
    </w:p>
    <w:p w14:paraId="142EE962">
      <w:pPr>
        <w:wordWrap w:val="0"/>
        <w:snapToGrid w:val="0"/>
        <w:jc w:val="right"/>
        <w:rPr>
          <w:rFonts w:hint="eastAsia" w:ascii="仿宋_GB2312" w:hAnsi="宋体" w:eastAsia="仿宋_GB2312"/>
          <w:bCs/>
          <w:sz w:val="24"/>
          <w:u w:val="single"/>
        </w:rPr>
      </w:pPr>
      <w:r>
        <w:rPr>
          <w:rFonts w:hint="eastAsia" w:ascii="仿宋_GB2312" w:hAnsi="宋体" w:eastAsia="仿宋_GB2312"/>
          <w:bCs/>
          <w:sz w:val="24"/>
        </w:rPr>
        <w:t xml:space="preserve">合同编号：            </w:t>
      </w:r>
    </w:p>
    <w:p w14:paraId="66BC1590">
      <w:pPr>
        <w:snapToGrid w:val="0"/>
        <w:rPr>
          <w:rFonts w:hint="eastAsia" w:ascii="仿宋_GB2312" w:hAnsi="宋体" w:eastAsia="仿宋_GB2312"/>
          <w:sz w:val="24"/>
        </w:rPr>
      </w:pPr>
    </w:p>
    <w:p w14:paraId="589421A8">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采购单位（甲方）：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采购计划表编号：</w:t>
      </w:r>
      <w:r>
        <w:rPr>
          <w:rFonts w:hint="eastAsia" w:ascii="仿宋_GB2312" w:hAnsi="宋体" w:eastAsia="仿宋_GB2312"/>
          <w:sz w:val="24"/>
          <w:u w:val="single"/>
        </w:rPr>
        <w:t xml:space="preserve">  </w:t>
      </w:r>
      <w:r>
        <w:rPr>
          <w:rFonts w:ascii="仿宋_GB2312" w:hAnsi="宋体" w:eastAsia="仿宋_GB2312"/>
          <w:sz w:val="24"/>
          <w:u w:val="single"/>
        </w:rPr>
        <w:t xml:space="preserve">             </w:t>
      </w:r>
    </w:p>
    <w:p w14:paraId="45DC1CE5">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供 应 商（乙方）：</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z w:val="24"/>
        </w:rPr>
        <w:t>项目名称及编号</w:t>
      </w:r>
      <w:r>
        <w:rPr>
          <w:rFonts w:hint="eastAsia" w:ascii="仿宋_GB2312" w:hAnsi="宋体" w:eastAsia="仿宋_GB2312"/>
          <w:spacing w:val="-20"/>
          <w:sz w:val="24"/>
        </w:rPr>
        <w:t>：</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rPr>
        <w:t xml:space="preserve">     </w:t>
      </w:r>
    </w:p>
    <w:p w14:paraId="284D687E">
      <w:pPr>
        <w:snapToGrid w:val="0"/>
        <w:spacing w:line="320" w:lineRule="exact"/>
        <w:ind w:right="-470" w:rightChars="-224"/>
        <w:rPr>
          <w:rFonts w:hint="eastAsia" w:ascii="仿宋_GB2312" w:hAnsi="宋体" w:eastAsia="仿宋_GB2312"/>
          <w:sz w:val="24"/>
          <w:u w:val="single"/>
        </w:rPr>
      </w:pPr>
      <w:r>
        <w:rPr>
          <w:rFonts w:hint="eastAsia" w:ascii="仿宋_GB2312" w:hAnsi="宋体" w:eastAsia="仿宋_GB2312"/>
          <w:sz w:val="24"/>
        </w:rPr>
        <w:t>签  订  地  点 ：</w:t>
      </w:r>
      <w:r>
        <w:rPr>
          <w:rFonts w:hint="eastAsia" w:ascii="仿宋_GB2312" w:hAnsi="宋体" w:eastAsia="仿宋_GB2312"/>
          <w:sz w:val="24"/>
          <w:u w:val="single"/>
        </w:rPr>
        <w:t xml:space="preserve">                      </w:t>
      </w:r>
      <w:r>
        <w:rPr>
          <w:rFonts w:ascii="仿宋_GB2312" w:hAnsi="宋体" w:eastAsia="仿宋_GB2312"/>
          <w:sz w:val="24"/>
          <w:u w:val="single"/>
        </w:rPr>
        <w:t xml:space="preserve">   </w:t>
      </w:r>
      <w:r>
        <w:rPr>
          <w:rFonts w:hint="eastAsia" w:ascii="仿宋_GB2312" w:hAnsi="宋体" w:eastAsia="仿宋_GB2312"/>
          <w:sz w:val="24"/>
          <w:u w:val="single"/>
        </w:rPr>
        <w:t xml:space="preserve">     </w:t>
      </w:r>
      <w:r>
        <w:rPr>
          <w:rFonts w:hint="eastAsia" w:ascii="仿宋_GB2312" w:hAnsi="宋体" w:eastAsia="仿宋_GB2312"/>
          <w:spacing w:val="38"/>
          <w:sz w:val="24"/>
        </w:rPr>
        <w:t>签订时间：</w:t>
      </w:r>
      <w:r>
        <w:rPr>
          <w:rFonts w:hint="eastAsia" w:ascii="仿宋_GB2312" w:hAnsi="宋体" w:eastAsia="仿宋_GB2312"/>
          <w:sz w:val="24"/>
          <w:u w:val="single"/>
        </w:rPr>
        <w:t xml:space="preserve">     年   月   日   </w:t>
      </w:r>
    </w:p>
    <w:p w14:paraId="0CC10E40">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根据《中华人民共和国政府采购法》、《中华人民共和国民法典》等法律、法规规定，按照招标文件规定条款和中标人投标文件和承诺，甲乙双方签订本合同。</w:t>
      </w:r>
    </w:p>
    <w:p w14:paraId="1CE1B1B3">
      <w:pPr>
        <w:snapToGrid w:val="0"/>
        <w:spacing w:line="320" w:lineRule="exact"/>
        <w:ind w:right="-470" w:rightChars="-224" w:firstLine="482" w:firstLineChars="200"/>
        <w:rPr>
          <w:rFonts w:hint="eastAsia" w:ascii="仿宋_GB2312" w:hAnsi="宋体" w:eastAsia="仿宋_GB2312"/>
          <w:b/>
          <w:color w:val="000000" w:themeColor="text1"/>
          <w:sz w:val="24"/>
          <w14:textFill>
            <w14:solidFill>
              <w14:schemeClr w14:val="tx1"/>
            </w14:solidFill>
          </w14:textFill>
        </w:rPr>
      </w:pPr>
      <w:r>
        <w:rPr>
          <w:rFonts w:hint="eastAsia" w:ascii="仿宋_GB2312" w:eastAsia="仿宋_GB2312"/>
          <w:b/>
          <w:color w:val="000000" w:themeColor="text1"/>
          <w:sz w:val="24"/>
          <w14:textFill>
            <w14:solidFill>
              <w14:schemeClr w14:val="tx1"/>
            </w14:solidFill>
          </w14:textFill>
        </w:rPr>
        <w:t xml:space="preserve"> </w:t>
      </w:r>
      <w:r>
        <w:rPr>
          <w:rFonts w:hint="eastAsia" w:ascii="仿宋_GB2312" w:hAnsi="宋体" w:eastAsia="仿宋_GB2312"/>
          <w:b/>
          <w:color w:val="000000" w:themeColor="text1"/>
          <w:sz w:val="24"/>
          <w14:textFill>
            <w14:solidFill>
              <w14:schemeClr w14:val="tx1"/>
            </w14:solidFill>
          </w14:textFill>
        </w:rPr>
        <w:t>第一条　合同标的</w:t>
      </w:r>
    </w:p>
    <w:p w14:paraId="65C41C0D">
      <w:pPr>
        <w:snapToGrid w:val="0"/>
        <w:spacing w:line="320" w:lineRule="exact"/>
        <w:ind w:right="-470" w:rightChars="-224" w:firstLine="480" w:firstLineChars="200"/>
        <w:rPr>
          <w:rFonts w:hint="eastAsia" w:ascii="仿宋_GB2312" w:hAnsi="宋体" w:eastAsia="仿宋_GB2312"/>
          <w:color w:val="000000" w:themeColor="text1"/>
          <w:sz w:val="24"/>
          <w14:textFill>
            <w14:solidFill>
              <w14:schemeClr w14:val="tx1"/>
            </w14:solidFill>
          </w14:textFill>
        </w:rPr>
      </w:pPr>
      <w:r>
        <w:rPr>
          <w:rFonts w:hint="eastAsia" w:ascii="仿宋_GB2312" w:hAnsi="宋体" w:eastAsia="仿宋_GB2312"/>
          <w:color w:val="000000" w:themeColor="text1"/>
          <w:sz w:val="24"/>
          <w14:textFill>
            <w14:solidFill>
              <w14:schemeClr w14:val="tx1"/>
            </w14:solidFill>
          </w14:textFill>
        </w:rPr>
        <w:t>1.供货一览表</w:t>
      </w:r>
    </w:p>
    <w:tbl>
      <w:tblPr>
        <w:tblStyle w:val="48"/>
        <w:tblW w:w="981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6"/>
        <w:gridCol w:w="1207"/>
        <w:gridCol w:w="1134"/>
        <w:gridCol w:w="1037"/>
        <w:gridCol w:w="1161"/>
        <w:gridCol w:w="903"/>
        <w:gridCol w:w="892"/>
        <w:gridCol w:w="1422"/>
        <w:gridCol w:w="1418"/>
      </w:tblGrid>
      <w:tr w14:paraId="0B02A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636" w:type="dxa"/>
            <w:vAlign w:val="center"/>
          </w:tcPr>
          <w:p w14:paraId="3012066B">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序号</w:t>
            </w:r>
          </w:p>
        </w:tc>
        <w:tc>
          <w:tcPr>
            <w:tcW w:w="1207" w:type="dxa"/>
            <w:vAlign w:val="center"/>
          </w:tcPr>
          <w:p w14:paraId="3E8D13C8">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产品名称</w:t>
            </w:r>
          </w:p>
        </w:tc>
        <w:tc>
          <w:tcPr>
            <w:tcW w:w="1134" w:type="dxa"/>
            <w:vAlign w:val="center"/>
          </w:tcPr>
          <w:p w14:paraId="453CC27D">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商标品牌</w:t>
            </w:r>
          </w:p>
        </w:tc>
        <w:tc>
          <w:tcPr>
            <w:tcW w:w="1037" w:type="dxa"/>
            <w:vAlign w:val="center"/>
          </w:tcPr>
          <w:p w14:paraId="46FDFF4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规格型号</w:t>
            </w:r>
          </w:p>
        </w:tc>
        <w:tc>
          <w:tcPr>
            <w:tcW w:w="1161" w:type="dxa"/>
            <w:vAlign w:val="center"/>
          </w:tcPr>
          <w:p w14:paraId="19379779">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生产厂家</w:t>
            </w:r>
          </w:p>
        </w:tc>
        <w:tc>
          <w:tcPr>
            <w:tcW w:w="903" w:type="dxa"/>
            <w:vAlign w:val="center"/>
          </w:tcPr>
          <w:p w14:paraId="04BAAB6B">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数量</w:t>
            </w:r>
          </w:p>
        </w:tc>
        <w:tc>
          <w:tcPr>
            <w:tcW w:w="892" w:type="dxa"/>
            <w:vAlign w:val="center"/>
          </w:tcPr>
          <w:p w14:paraId="084ECCA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单位</w:t>
            </w:r>
          </w:p>
        </w:tc>
        <w:tc>
          <w:tcPr>
            <w:tcW w:w="1422" w:type="dxa"/>
            <w:vAlign w:val="center"/>
          </w:tcPr>
          <w:p w14:paraId="520E505A">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单价（元）</w:t>
            </w:r>
          </w:p>
        </w:tc>
        <w:tc>
          <w:tcPr>
            <w:tcW w:w="1418" w:type="dxa"/>
            <w:vAlign w:val="center"/>
          </w:tcPr>
          <w:p w14:paraId="0A2D6830">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金额（元）</w:t>
            </w:r>
          </w:p>
        </w:tc>
      </w:tr>
      <w:tr w14:paraId="72AA1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7F714D08">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1</w:t>
            </w:r>
          </w:p>
        </w:tc>
        <w:tc>
          <w:tcPr>
            <w:tcW w:w="1207" w:type="dxa"/>
            <w:vAlign w:val="center"/>
          </w:tcPr>
          <w:p w14:paraId="38A528BD">
            <w:pPr>
              <w:snapToGrid w:val="0"/>
              <w:spacing w:line="320" w:lineRule="exact"/>
              <w:jc w:val="center"/>
              <w:rPr>
                <w:rFonts w:hint="eastAsia" w:ascii="仿宋_GB2312" w:hAnsi="宋体" w:eastAsia="仿宋_GB2312"/>
                <w:sz w:val="24"/>
              </w:rPr>
            </w:pPr>
          </w:p>
        </w:tc>
        <w:tc>
          <w:tcPr>
            <w:tcW w:w="1134" w:type="dxa"/>
            <w:vAlign w:val="center"/>
          </w:tcPr>
          <w:p w14:paraId="3318A5D0">
            <w:pPr>
              <w:snapToGrid w:val="0"/>
              <w:spacing w:line="320" w:lineRule="exact"/>
              <w:jc w:val="center"/>
              <w:rPr>
                <w:rFonts w:hint="eastAsia" w:ascii="仿宋_GB2312" w:hAnsi="宋体" w:eastAsia="仿宋_GB2312"/>
                <w:sz w:val="24"/>
              </w:rPr>
            </w:pPr>
          </w:p>
        </w:tc>
        <w:tc>
          <w:tcPr>
            <w:tcW w:w="1037" w:type="dxa"/>
            <w:vAlign w:val="center"/>
          </w:tcPr>
          <w:p w14:paraId="539DFD85">
            <w:pPr>
              <w:snapToGrid w:val="0"/>
              <w:spacing w:line="320" w:lineRule="exact"/>
              <w:jc w:val="center"/>
              <w:rPr>
                <w:rFonts w:hint="eastAsia" w:ascii="仿宋_GB2312" w:hAnsi="宋体" w:eastAsia="仿宋_GB2312"/>
                <w:sz w:val="24"/>
              </w:rPr>
            </w:pPr>
          </w:p>
        </w:tc>
        <w:tc>
          <w:tcPr>
            <w:tcW w:w="1161" w:type="dxa"/>
            <w:vAlign w:val="center"/>
          </w:tcPr>
          <w:p w14:paraId="6F13B2CD">
            <w:pPr>
              <w:snapToGrid w:val="0"/>
              <w:spacing w:line="320" w:lineRule="exact"/>
              <w:jc w:val="center"/>
              <w:rPr>
                <w:rFonts w:hint="eastAsia" w:ascii="仿宋_GB2312" w:hAnsi="宋体" w:eastAsia="仿宋_GB2312"/>
                <w:sz w:val="24"/>
              </w:rPr>
            </w:pPr>
          </w:p>
        </w:tc>
        <w:tc>
          <w:tcPr>
            <w:tcW w:w="903" w:type="dxa"/>
            <w:vAlign w:val="center"/>
          </w:tcPr>
          <w:p w14:paraId="61BF5A5B">
            <w:pPr>
              <w:snapToGrid w:val="0"/>
              <w:spacing w:line="320" w:lineRule="exact"/>
              <w:jc w:val="center"/>
              <w:rPr>
                <w:rFonts w:hint="eastAsia" w:ascii="仿宋_GB2312" w:hAnsi="宋体" w:eastAsia="仿宋_GB2312"/>
                <w:sz w:val="24"/>
              </w:rPr>
            </w:pPr>
          </w:p>
        </w:tc>
        <w:tc>
          <w:tcPr>
            <w:tcW w:w="892" w:type="dxa"/>
            <w:vAlign w:val="center"/>
          </w:tcPr>
          <w:p w14:paraId="04FA46E1">
            <w:pPr>
              <w:snapToGrid w:val="0"/>
              <w:spacing w:line="320" w:lineRule="exact"/>
              <w:jc w:val="center"/>
              <w:rPr>
                <w:rFonts w:hint="eastAsia" w:ascii="仿宋_GB2312" w:hAnsi="宋体" w:eastAsia="仿宋_GB2312"/>
                <w:sz w:val="24"/>
              </w:rPr>
            </w:pPr>
          </w:p>
        </w:tc>
        <w:tc>
          <w:tcPr>
            <w:tcW w:w="1422" w:type="dxa"/>
            <w:vAlign w:val="center"/>
          </w:tcPr>
          <w:p w14:paraId="107DD5D8">
            <w:pPr>
              <w:snapToGrid w:val="0"/>
              <w:spacing w:line="320" w:lineRule="exact"/>
              <w:jc w:val="center"/>
              <w:rPr>
                <w:rFonts w:hint="eastAsia" w:ascii="仿宋_GB2312" w:hAnsi="宋体" w:eastAsia="仿宋_GB2312"/>
                <w:sz w:val="24"/>
              </w:rPr>
            </w:pPr>
          </w:p>
        </w:tc>
        <w:tc>
          <w:tcPr>
            <w:tcW w:w="1418" w:type="dxa"/>
            <w:vAlign w:val="center"/>
          </w:tcPr>
          <w:p w14:paraId="46818A79">
            <w:pPr>
              <w:snapToGrid w:val="0"/>
              <w:spacing w:line="320" w:lineRule="exact"/>
              <w:jc w:val="center"/>
              <w:rPr>
                <w:rFonts w:hint="eastAsia" w:ascii="仿宋_GB2312" w:hAnsi="宋体" w:eastAsia="仿宋_GB2312"/>
                <w:sz w:val="24"/>
              </w:rPr>
            </w:pPr>
          </w:p>
        </w:tc>
      </w:tr>
      <w:tr w14:paraId="5ED00A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0240588E">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2</w:t>
            </w:r>
          </w:p>
        </w:tc>
        <w:tc>
          <w:tcPr>
            <w:tcW w:w="1207" w:type="dxa"/>
            <w:vAlign w:val="center"/>
          </w:tcPr>
          <w:p w14:paraId="7991EA11">
            <w:pPr>
              <w:snapToGrid w:val="0"/>
              <w:spacing w:line="320" w:lineRule="exact"/>
              <w:jc w:val="center"/>
              <w:rPr>
                <w:rFonts w:hint="eastAsia" w:ascii="仿宋_GB2312" w:hAnsi="宋体" w:eastAsia="仿宋_GB2312"/>
                <w:sz w:val="24"/>
              </w:rPr>
            </w:pPr>
          </w:p>
        </w:tc>
        <w:tc>
          <w:tcPr>
            <w:tcW w:w="1134" w:type="dxa"/>
            <w:vAlign w:val="center"/>
          </w:tcPr>
          <w:p w14:paraId="6DCD8E01">
            <w:pPr>
              <w:snapToGrid w:val="0"/>
              <w:spacing w:line="320" w:lineRule="exact"/>
              <w:jc w:val="center"/>
              <w:rPr>
                <w:rFonts w:hint="eastAsia" w:ascii="仿宋_GB2312" w:hAnsi="宋体" w:eastAsia="仿宋_GB2312"/>
                <w:sz w:val="24"/>
              </w:rPr>
            </w:pPr>
          </w:p>
        </w:tc>
        <w:tc>
          <w:tcPr>
            <w:tcW w:w="1037" w:type="dxa"/>
            <w:vAlign w:val="center"/>
          </w:tcPr>
          <w:p w14:paraId="01CDA8A4">
            <w:pPr>
              <w:snapToGrid w:val="0"/>
              <w:spacing w:line="320" w:lineRule="exact"/>
              <w:jc w:val="center"/>
              <w:rPr>
                <w:rFonts w:hint="eastAsia" w:ascii="仿宋_GB2312" w:hAnsi="宋体" w:eastAsia="仿宋_GB2312"/>
                <w:sz w:val="24"/>
              </w:rPr>
            </w:pPr>
          </w:p>
        </w:tc>
        <w:tc>
          <w:tcPr>
            <w:tcW w:w="1161" w:type="dxa"/>
            <w:vAlign w:val="center"/>
          </w:tcPr>
          <w:p w14:paraId="49CB3AD3">
            <w:pPr>
              <w:snapToGrid w:val="0"/>
              <w:spacing w:line="320" w:lineRule="exact"/>
              <w:jc w:val="center"/>
              <w:rPr>
                <w:rFonts w:hint="eastAsia" w:ascii="仿宋_GB2312" w:hAnsi="宋体" w:eastAsia="仿宋_GB2312"/>
                <w:sz w:val="24"/>
              </w:rPr>
            </w:pPr>
          </w:p>
        </w:tc>
        <w:tc>
          <w:tcPr>
            <w:tcW w:w="903" w:type="dxa"/>
            <w:vAlign w:val="center"/>
          </w:tcPr>
          <w:p w14:paraId="149C80AE">
            <w:pPr>
              <w:snapToGrid w:val="0"/>
              <w:spacing w:line="320" w:lineRule="exact"/>
              <w:jc w:val="center"/>
              <w:rPr>
                <w:rFonts w:hint="eastAsia" w:ascii="仿宋_GB2312" w:hAnsi="宋体" w:eastAsia="仿宋_GB2312"/>
                <w:sz w:val="24"/>
              </w:rPr>
            </w:pPr>
          </w:p>
        </w:tc>
        <w:tc>
          <w:tcPr>
            <w:tcW w:w="892" w:type="dxa"/>
            <w:vAlign w:val="center"/>
          </w:tcPr>
          <w:p w14:paraId="53015D64">
            <w:pPr>
              <w:snapToGrid w:val="0"/>
              <w:spacing w:line="320" w:lineRule="exact"/>
              <w:jc w:val="center"/>
              <w:rPr>
                <w:rFonts w:hint="eastAsia" w:ascii="仿宋_GB2312" w:hAnsi="宋体" w:eastAsia="仿宋_GB2312"/>
                <w:sz w:val="24"/>
              </w:rPr>
            </w:pPr>
          </w:p>
        </w:tc>
        <w:tc>
          <w:tcPr>
            <w:tcW w:w="1422" w:type="dxa"/>
            <w:vAlign w:val="center"/>
          </w:tcPr>
          <w:p w14:paraId="7668986C">
            <w:pPr>
              <w:snapToGrid w:val="0"/>
              <w:spacing w:line="320" w:lineRule="exact"/>
              <w:jc w:val="center"/>
              <w:rPr>
                <w:rFonts w:hint="eastAsia" w:ascii="仿宋_GB2312" w:hAnsi="宋体" w:eastAsia="仿宋_GB2312"/>
                <w:sz w:val="24"/>
              </w:rPr>
            </w:pPr>
          </w:p>
        </w:tc>
        <w:tc>
          <w:tcPr>
            <w:tcW w:w="1418" w:type="dxa"/>
            <w:vAlign w:val="center"/>
          </w:tcPr>
          <w:p w14:paraId="25AC51EF">
            <w:pPr>
              <w:snapToGrid w:val="0"/>
              <w:spacing w:line="320" w:lineRule="exact"/>
              <w:jc w:val="center"/>
              <w:rPr>
                <w:rFonts w:hint="eastAsia" w:ascii="仿宋_GB2312" w:hAnsi="宋体" w:eastAsia="仿宋_GB2312"/>
                <w:sz w:val="24"/>
              </w:rPr>
            </w:pPr>
          </w:p>
        </w:tc>
      </w:tr>
      <w:tr w14:paraId="37C6B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6E2EBD30">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w:t>
            </w:r>
          </w:p>
        </w:tc>
        <w:tc>
          <w:tcPr>
            <w:tcW w:w="1207" w:type="dxa"/>
            <w:vAlign w:val="center"/>
          </w:tcPr>
          <w:p w14:paraId="121CD699">
            <w:pPr>
              <w:snapToGrid w:val="0"/>
              <w:spacing w:line="320" w:lineRule="exact"/>
              <w:jc w:val="center"/>
              <w:rPr>
                <w:rFonts w:hint="eastAsia" w:ascii="仿宋_GB2312" w:hAnsi="宋体" w:eastAsia="仿宋_GB2312"/>
                <w:sz w:val="24"/>
              </w:rPr>
            </w:pPr>
          </w:p>
        </w:tc>
        <w:tc>
          <w:tcPr>
            <w:tcW w:w="1134" w:type="dxa"/>
            <w:vAlign w:val="center"/>
          </w:tcPr>
          <w:p w14:paraId="77615E4E">
            <w:pPr>
              <w:snapToGrid w:val="0"/>
              <w:spacing w:line="320" w:lineRule="exact"/>
              <w:jc w:val="center"/>
              <w:rPr>
                <w:rFonts w:hint="eastAsia" w:ascii="仿宋_GB2312" w:hAnsi="宋体" w:eastAsia="仿宋_GB2312"/>
                <w:sz w:val="24"/>
              </w:rPr>
            </w:pPr>
          </w:p>
        </w:tc>
        <w:tc>
          <w:tcPr>
            <w:tcW w:w="1037" w:type="dxa"/>
            <w:vAlign w:val="center"/>
          </w:tcPr>
          <w:p w14:paraId="6D6BD569">
            <w:pPr>
              <w:snapToGrid w:val="0"/>
              <w:spacing w:line="320" w:lineRule="exact"/>
              <w:jc w:val="center"/>
              <w:rPr>
                <w:rFonts w:hint="eastAsia" w:ascii="仿宋_GB2312" w:hAnsi="宋体" w:eastAsia="仿宋_GB2312"/>
                <w:sz w:val="24"/>
              </w:rPr>
            </w:pPr>
          </w:p>
        </w:tc>
        <w:tc>
          <w:tcPr>
            <w:tcW w:w="1161" w:type="dxa"/>
            <w:vAlign w:val="center"/>
          </w:tcPr>
          <w:p w14:paraId="5CE71FBE">
            <w:pPr>
              <w:snapToGrid w:val="0"/>
              <w:spacing w:line="320" w:lineRule="exact"/>
              <w:jc w:val="center"/>
              <w:rPr>
                <w:rFonts w:hint="eastAsia" w:ascii="仿宋_GB2312" w:hAnsi="宋体" w:eastAsia="仿宋_GB2312"/>
                <w:sz w:val="24"/>
              </w:rPr>
            </w:pPr>
          </w:p>
        </w:tc>
        <w:tc>
          <w:tcPr>
            <w:tcW w:w="903" w:type="dxa"/>
            <w:vAlign w:val="center"/>
          </w:tcPr>
          <w:p w14:paraId="29B9ACF1">
            <w:pPr>
              <w:snapToGrid w:val="0"/>
              <w:spacing w:line="320" w:lineRule="exact"/>
              <w:jc w:val="center"/>
              <w:rPr>
                <w:rFonts w:hint="eastAsia" w:ascii="仿宋_GB2312" w:hAnsi="宋体" w:eastAsia="仿宋_GB2312"/>
                <w:sz w:val="24"/>
              </w:rPr>
            </w:pPr>
          </w:p>
        </w:tc>
        <w:tc>
          <w:tcPr>
            <w:tcW w:w="892" w:type="dxa"/>
            <w:vAlign w:val="center"/>
          </w:tcPr>
          <w:p w14:paraId="532C6920">
            <w:pPr>
              <w:snapToGrid w:val="0"/>
              <w:spacing w:line="320" w:lineRule="exact"/>
              <w:jc w:val="center"/>
              <w:rPr>
                <w:rFonts w:hint="eastAsia" w:ascii="仿宋_GB2312" w:hAnsi="宋体" w:eastAsia="仿宋_GB2312"/>
                <w:sz w:val="24"/>
              </w:rPr>
            </w:pPr>
          </w:p>
        </w:tc>
        <w:tc>
          <w:tcPr>
            <w:tcW w:w="1422" w:type="dxa"/>
            <w:vAlign w:val="center"/>
          </w:tcPr>
          <w:p w14:paraId="69C9C6B7">
            <w:pPr>
              <w:snapToGrid w:val="0"/>
              <w:spacing w:line="320" w:lineRule="exact"/>
              <w:jc w:val="center"/>
              <w:rPr>
                <w:rFonts w:hint="eastAsia" w:ascii="仿宋_GB2312" w:hAnsi="宋体" w:eastAsia="仿宋_GB2312"/>
                <w:sz w:val="24"/>
              </w:rPr>
            </w:pPr>
          </w:p>
        </w:tc>
        <w:tc>
          <w:tcPr>
            <w:tcW w:w="1418" w:type="dxa"/>
            <w:vAlign w:val="center"/>
          </w:tcPr>
          <w:p w14:paraId="7CD94F5D">
            <w:pPr>
              <w:snapToGrid w:val="0"/>
              <w:spacing w:line="320" w:lineRule="exact"/>
              <w:jc w:val="center"/>
              <w:rPr>
                <w:rFonts w:hint="eastAsia" w:ascii="仿宋_GB2312" w:hAnsi="宋体" w:eastAsia="仿宋_GB2312"/>
                <w:sz w:val="24"/>
              </w:rPr>
            </w:pPr>
          </w:p>
        </w:tc>
      </w:tr>
      <w:tr w14:paraId="45BB3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636" w:type="dxa"/>
            <w:vAlign w:val="center"/>
          </w:tcPr>
          <w:p w14:paraId="5C787DDC">
            <w:pPr>
              <w:snapToGrid w:val="0"/>
              <w:spacing w:line="320" w:lineRule="exact"/>
              <w:jc w:val="center"/>
              <w:rPr>
                <w:rFonts w:hint="eastAsia" w:ascii="仿宋_GB2312" w:hAnsi="宋体" w:eastAsia="仿宋_GB2312"/>
                <w:sz w:val="24"/>
              </w:rPr>
            </w:pPr>
            <w:r>
              <w:rPr>
                <w:rFonts w:hint="eastAsia" w:ascii="仿宋_GB2312" w:hAnsi="宋体" w:eastAsia="仿宋_GB2312"/>
                <w:sz w:val="24"/>
              </w:rPr>
              <w:t>N</w:t>
            </w:r>
          </w:p>
        </w:tc>
        <w:tc>
          <w:tcPr>
            <w:tcW w:w="1207" w:type="dxa"/>
            <w:vAlign w:val="center"/>
          </w:tcPr>
          <w:p w14:paraId="15814A46">
            <w:pPr>
              <w:snapToGrid w:val="0"/>
              <w:spacing w:line="320" w:lineRule="exact"/>
              <w:jc w:val="center"/>
              <w:rPr>
                <w:rFonts w:hint="eastAsia" w:ascii="仿宋_GB2312" w:hAnsi="宋体" w:eastAsia="仿宋_GB2312"/>
                <w:sz w:val="24"/>
              </w:rPr>
            </w:pPr>
          </w:p>
        </w:tc>
        <w:tc>
          <w:tcPr>
            <w:tcW w:w="1134" w:type="dxa"/>
            <w:vAlign w:val="center"/>
          </w:tcPr>
          <w:p w14:paraId="1C0B21BE">
            <w:pPr>
              <w:snapToGrid w:val="0"/>
              <w:spacing w:line="320" w:lineRule="exact"/>
              <w:jc w:val="center"/>
              <w:rPr>
                <w:rFonts w:hint="eastAsia" w:ascii="仿宋_GB2312" w:hAnsi="宋体" w:eastAsia="仿宋_GB2312"/>
                <w:sz w:val="24"/>
              </w:rPr>
            </w:pPr>
          </w:p>
        </w:tc>
        <w:tc>
          <w:tcPr>
            <w:tcW w:w="1037" w:type="dxa"/>
            <w:vAlign w:val="center"/>
          </w:tcPr>
          <w:p w14:paraId="721A4658">
            <w:pPr>
              <w:snapToGrid w:val="0"/>
              <w:spacing w:line="320" w:lineRule="exact"/>
              <w:jc w:val="center"/>
              <w:rPr>
                <w:rFonts w:hint="eastAsia" w:ascii="仿宋_GB2312" w:hAnsi="宋体" w:eastAsia="仿宋_GB2312"/>
                <w:sz w:val="24"/>
              </w:rPr>
            </w:pPr>
          </w:p>
        </w:tc>
        <w:tc>
          <w:tcPr>
            <w:tcW w:w="1161" w:type="dxa"/>
            <w:vAlign w:val="center"/>
          </w:tcPr>
          <w:p w14:paraId="75099361">
            <w:pPr>
              <w:snapToGrid w:val="0"/>
              <w:spacing w:line="320" w:lineRule="exact"/>
              <w:jc w:val="center"/>
              <w:rPr>
                <w:rFonts w:hint="eastAsia" w:ascii="仿宋_GB2312" w:hAnsi="宋体" w:eastAsia="仿宋_GB2312"/>
                <w:sz w:val="24"/>
              </w:rPr>
            </w:pPr>
          </w:p>
        </w:tc>
        <w:tc>
          <w:tcPr>
            <w:tcW w:w="903" w:type="dxa"/>
            <w:vAlign w:val="center"/>
          </w:tcPr>
          <w:p w14:paraId="0B67E25C">
            <w:pPr>
              <w:snapToGrid w:val="0"/>
              <w:spacing w:line="320" w:lineRule="exact"/>
              <w:jc w:val="center"/>
              <w:rPr>
                <w:rFonts w:hint="eastAsia" w:ascii="仿宋_GB2312" w:hAnsi="宋体" w:eastAsia="仿宋_GB2312"/>
                <w:sz w:val="24"/>
              </w:rPr>
            </w:pPr>
          </w:p>
        </w:tc>
        <w:tc>
          <w:tcPr>
            <w:tcW w:w="892" w:type="dxa"/>
            <w:vAlign w:val="center"/>
          </w:tcPr>
          <w:p w14:paraId="2B63891D">
            <w:pPr>
              <w:snapToGrid w:val="0"/>
              <w:spacing w:line="320" w:lineRule="exact"/>
              <w:jc w:val="center"/>
              <w:rPr>
                <w:rFonts w:hint="eastAsia" w:ascii="仿宋_GB2312" w:hAnsi="宋体" w:eastAsia="仿宋_GB2312"/>
                <w:sz w:val="24"/>
              </w:rPr>
            </w:pPr>
          </w:p>
        </w:tc>
        <w:tc>
          <w:tcPr>
            <w:tcW w:w="1422" w:type="dxa"/>
            <w:vAlign w:val="center"/>
          </w:tcPr>
          <w:p w14:paraId="248FDF06">
            <w:pPr>
              <w:snapToGrid w:val="0"/>
              <w:spacing w:line="320" w:lineRule="exact"/>
              <w:jc w:val="center"/>
              <w:rPr>
                <w:rFonts w:hint="eastAsia" w:ascii="仿宋_GB2312" w:hAnsi="宋体" w:eastAsia="仿宋_GB2312"/>
                <w:sz w:val="24"/>
              </w:rPr>
            </w:pPr>
          </w:p>
        </w:tc>
        <w:tc>
          <w:tcPr>
            <w:tcW w:w="1418" w:type="dxa"/>
            <w:vAlign w:val="center"/>
          </w:tcPr>
          <w:p w14:paraId="3E6BB994">
            <w:pPr>
              <w:snapToGrid w:val="0"/>
              <w:spacing w:line="320" w:lineRule="exact"/>
              <w:jc w:val="center"/>
              <w:rPr>
                <w:rFonts w:hint="eastAsia" w:ascii="仿宋_GB2312" w:hAnsi="宋体" w:eastAsia="仿宋_GB2312"/>
                <w:sz w:val="24"/>
              </w:rPr>
            </w:pPr>
          </w:p>
        </w:tc>
      </w:tr>
      <w:tr w14:paraId="18337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trPr>
        <w:tc>
          <w:tcPr>
            <w:tcW w:w="9810" w:type="dxa"/>
            <w:gridSpan w:val="9"/>
            <w:vAlign w:val="center"/>
          </w:tcPr>
          <w:p w14:paraId="3A7E3E94">
            <w:pPr>
              <w:snapToGrid w:val="0"/>
              <w:spacing w:line="320" w:lineRule="exact"/>
              <w:rPr>
                <w:rFonts w:hint="eastAsia" w:ascii="仿宋_GB2312" w:hAnsi="宋体" w:eastAsia="仿宋_GB2312"/>
                <w:sz w:val="24"/>
              </w:rPr>
            </w:pPr>
            <w:r>
              <w:rPr>
                <w:rFonts w:hint="eastAsia" w:ascii="仿宋_GB2312" w:hAnsi="宋体" w:eastAsia="仿宋_GB2312"/>
                <w:sz w:val="24"/>
              </w:rPr>
              <w:t>人民币合计金额（大写） ：                         （小写）：¥</w:t>
            </w:r>
            <w:r>
              <w:rPr>
                <w:rFonts w:hint="eastAsia" w:ascii="仿宋_GB2312" w:hAnsi="宋体" w:eastAsia="仿宋_GB2312"/>
                <w:sz w:val="24"/>
                <w:u w:val="single"/>
              </w:rPr>
              <w:t xml:space="preserve">               </w:t>
            </w:r>
          </w:p>
        </w:tc>
      </w:tr>
    </w:tbl>
    <w:p w14:paraId="7439F8D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合同合计金额包括货物价款，标准附件、备品备件、专用工具、包装、运输、装卸、保险、税金、办理免税手续相关费用、货到就位以及安装、调试、培训、保修等一切税金和费用。如招投标文件对其另有规定的，从其规定。</w:t>
      </w:r>
    </w:p>
    <w:p w14:paraId="548E8DD2">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第二条　质量保证</w:t>
      </w:r>
    </w:p>
    <w:p w14:paraId="7BE3A16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1.乙方所提供的货物型号、技术规格、技术参数等质量必须与招投标文件和承诺相一致。乙方提供的节能和环保产品必须是列入政府采购清单的产品。</w:t>
      </w:r>
    </w:p>
    <w:p w14:paraId="66B2FC40">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2.乙方所提供的货物必须是全新、未使用的原装产品，且在正常安装、使用和保养条件下，其使用寿命期内各项指标均达到质量要求。</w:t>
      </w:r>
    </w:p>
    <w:p w14:paraId="7B840062">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第三条　权利保证</w:t>
      </w:r>
    </w:p>
    <w:p w14:paraId="120FA75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1.乙方应保证所提供货物在使用时不会侵犯任何第三方的专利权、商标权、工业设计权或其他权利。</w:t>
      </w:r>
    </w:p>
    <w:p w14:paraId="7D93724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2.乙方应按招标文件规定的时间向甲方提供使用货物的有关技术资料。</w:t>
      </w:r>
    </w:p>
    <w:p w14:paraId="1C93ADB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687C07A4">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4.乙方保证所交付的货物的所有权完全属于乙方且无任何抵押、查封等产权瑕疵。</w:t>
      </w:r>
    </w:p>
    <w:p w14:paraId="793E0753">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第四条　包装和运输</w:t>
      </w:r>
    </w:p>
    <w:p w14:paraId="5BABF8CE">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1.乙方提供的货物均应按招投标文件要求的包装材料、包装标准、包装方式进行包装，每一包装单元内应附详细的装箱单和质量合格证。</w:t>
      </w:r>
    </w:p>
    <w:p w14:paraId="6F74E83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2.货物的运输方式：</w:t>
      </w:r>
      <w:r>
        <w:rPr>
          <w:rFonts w:hint="eastAsia" w:ascii="仿宋_GB2312" w:hAnsi="宋体" w:eastAsia="仿宋_GB2312"/>
          <w:sz w:val="24"/>
          <w:u w:val="single"/>
        </w:rPr>
        <w:t xml:space="preserve">                            </w:t>
      </w:r>
      <w:r>
        <w:rPr>
          <w:rFonts w:hint="eastAsia" w:ascii="仿宋_GB2312" w:hAnsi="宋体" w:eastAsia="仿宋_GB2312"/>
          <w:sz w:val="24"/>
        </w:rPr>
        <w:t>。</w:t>
      </w:r>
    </w:p>
    <w:p w14:paraId="72FCE5E9">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3.乙方负责货物运输，货物运输合理损耗及计算方法：</w:t>
      </w:r>
      <w:r>
        <w:rPr>
          <w:rFonts w:hint="eastAsia" w:ascii="仿宋_GB2312" w:hAnsi="宋体" w:eastAsia="仿宋_GB2312"/>
          <w:sz w:val="24"/>
          <w:u w:val="single"/>
        </w:rPr>
        <w:t xml:space="preserve">                                   </w:t>
      </w:r>
      <w:r>
        <w:rPr>
          <w:rFonts w:hint="eastAsia" w:ascii="仿宋_GB2312" w:hAnsi="宋体" w:eastAsia="仿宋_GB2312"/>
          <w:sz w:val="24"/>
        </w:rPr>
        <w:t>。</w:t>
      </w:r>
    </w:p>
    <w:p w14:paraId="6B0CFF5F">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第五条　交付和验收</w:t>
      </w:r>
    </w:p>
    <w:p w14:paraId="6CADD6B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1.交货时间：</w:t>
      </w:r>
      <w:r>
        <w:rPr>
          <w:rFonts w:hint="eastAsia" w:ascii="仿宋_GB2312" w:hAnsi="宋体" w:eastAsia="仿宋_GB2312"/>
          <w:sz w:val="24"/>
          <w:u w:val="single"/>
        </w:rPr>
        <w:t xml:space="preserve">                                  </w:t>
      </w:r>
      <w:r>
        <w:rPr>
          <w:rFonts w:hint="eastAsia" w:ascii="仿宋_GB2312" w:hAnsi="宋体" w:eastAsia="仿宋_GB2312"/>
          <w:sz w:val="24"/>
        </w:rPr>
        <w:t>、地点：</w:t>
      </w:r>
      <w:r>
        <w:rPr>
          <w:rFonts w:hint="eastAsia" w:ascii="仿宋_GB2312" w:hAnsi="宋体" w:eastAsia="仿宋_GB2312"/>
          <w:sz w:val="24"/>
          <w:u w:val="single"/>
        </w:rPr>
        <w:t xml:space="preserve">                             </w:t>
      </w:r>
      <w:r>
        <w:rPr>
          <w:rFonts w:hint="eastAsia" w:ascii="仿宋_GB2312" w:hAnsi="宋体" w:eastAsia="仿宋_GB2312"/>
          <w:sz w:val="24"/>
        </w:rPr>
        <w:t>。</w:t>
      </w:r>
    </w:p>
    <w:p w14:paraId="641350B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2.乙方提供不符合招投标文件和本合同规定的货物，甲方有权拒绝接受。</w:t>
      </w:r>
    </w:p>
    <w:p w14:paraId="540D8B9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3.乙方应将所提供货物的装箱清单、用户手册、原厂保修卡、随机资料、工具和备品、备件等交付给甲方，如有缺失应及时补齐，否则视为逾期交货。</w:t>
      </w:r>
    </w:p>
    <w:p w14:paraId="26B2439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4.甲方应当在到货（安装、调试完）后七个工作日内进行验收，逾期不验收的，乙方可视同验收合格。验收合格后由甲乙双方签署货物验收单并加盖采购单位公章，甲乙双方各执一份。</w:t>
      </w:r>
    </w:p>
    <w:p w14:paraId="1FD859E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采购人委托政府采购代理机构组织的验收项目，其验收时间以该项目验收方案确定的验收时间为准，验收结果以该项目验收报告结论为准。在验收过程中发现乙方有违约问题，可暂缓资金结算，待违约问题解决后，方可办理资金结算事宜。</w:t>
      </w:r>
    </w:p>
    <w:p w14:paraId="49FE4039">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6.甲方对验收有异议的，在验收后五个工作日内以书面形式向乙方提出，乙方应自收到甲方书面异议后</w:t>
      </w:r>
      <w:r>
        <w:rPr>
          <w:rFonts w:hint="eastAsia" w:ascii="仿宋_GB2312" w:hAnsi="仿宋" w:eastAsia="仿宋_GB2312"/>
          <w:sz w:val="24"/>
          <w:u w:val="single"/>
        </w:rPr>
        <w:t>五</w:t>
      </w:r>
      <w:r>
        <w:rPr>
          <w:rFonts w:hint="eastAsia" w:ascii="仿宋_GB2312" w:hAnsi="宋体" w:eastAsia="仿宋_GB2312"/>
          <w:sz w:val="24"/>
        </w:rPr>
        <w:t>日内及时予以解决。</w:t>
      </w:r>
    </w:p>
    <w:p w14:paraId="39F298DC">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第六条　安装和培训</w:t>
      </w:r>
    </w:p>
    <w:p w14:paraId="2ADEF4B5">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1.甲方应提供必要安装条件（如场地、电源、水源等）。</w:t>
      </w:r>
    </w:p>
    <w:p w14:paraId="465E93DA">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2.乙方负责甲方有关人员的培训。培训时间、地点：</w:t>
      </w:r>
      <w:r>
        <w:rPr>
          <w:rFonts w:hint="eastAsia" w:ascii="仿宋_GB2312" w:hAnsi="宋体" w:eastAsia="仿宋_GB2312"/>
          <w:sz w:val="24"/>
          <w:u w:val="single"/>
        </w:rPr>
        <w:t>与甲方商议</w:t>
      </w:r>
      <w:r>
        <w:rPr>
          <w:rFonts w:hint="eastAsia" w:ascii="仿宋_GB2312" w:hAnsi="宋体" w:eastAsia="仿宋_GB2312"/>
          <w:sz w:val="24"/>
        </w:rPr>
        <w:t>。</w:t>
      </w:r>
    </w:p>
    <w:p w14:paraId="355AF2B4">
      <w:pPr>
        <w:snapToGrid w:val="0"/>
        <w:spacing w:line="360" w:lineRule="exact"/>
        <w:ind w:right="-330" w:rightChars="-157" w:firstLine="482" w:firstLineChars="200"/>
        <w:rPr>
          <w:rFonts w:hint="eastAsia" w:ascii="仿宋_GB2312" w:hAnsi="宋体" w:eastAsia="仿宋_GB2312"/>
          <w:b/>
          <w:sz w:val="24"/>
        </w:rPr>
      </w:pPr>
      <w:r>
        <w:rPr>
          <w:rFonts w:hint="eastAsia" w:ascii="仿宋_GB2312" w:hAnsi="宋体" w:eastAsia="仿宋_GB2312"/>
          <w:b/>
          <w:sz w:val="24"/>
        </w:rPr>
        <w:t>第七条  售后服务</w:t>
      </w:r>
    </w:p>
    <w:p w14:paraId="7D1DBB6E">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1.乙方应按照国家有关法律法规和“三包”规定以及招投标文件和本合同所附的《服务承诺》，为甲方提供售后服务。</w:t>
      </w:r>
    </w:p>
    <w:p w14:paraId="78AC5535">
      <w:pPr>
        <w:snapToGrid w:val="0"/>
        <w:spacing w:line="360" w:lineRule="exact"/>
        <w:ind w:right="-330" w:rightChars="-157" w:firstLine="480" w:firstLineChars="200"/>
        <w:rPr>
          <w:rFonts w:hint="eastAsia" w:ascii="仿宋_GB2312" w:hAnsi="宋体" w:eastAsia="仿宋_GB2312"/>
          <w:sz w:val="24"/>
          <w:u w:val="single"/>
        </w:rPr>
      </w:pPr>
      <w:r>
        <w:rPr>
          <w:rFonts w:hint="eastAsia" w:ascii="仿宋_GB2312" w:hAnsi="宋体" w:eastAsia="仿宋_GB2312"/>
          <w:sz w:val="24"/>
        </w:rPr>
        <w:t>2.货物保修期：</w:t>
      </w:r>
      <w:r>
        <w:rPr>
          <w:rFonts w:hint="eastAsia" w:ascii="仿宋_GB2312" w:hAnsi="宋体" w:eastAsia="仿宋_GB2312"/>
          <w:sz w:val="24"/>
          <w:u w:val="single"/>
        </w:rPr>
        <w:t>详见投标文件及合同附件。</w:t>
      </w:r>
    </w:p>
    <w:p w14:paraId="064DC1FA">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3.乙方提供的服务承诺和售后服务及保修期责任等其它具体约定事项。（见合同附件）</w:t>
      </w:r>
    </w:p>
    <w:p w14:paraId="701740B3">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4.售后服务、保修时间从项目整体验收合格之日起计算。</w:t>
      </w:r>
    </w:p>
    <w:p w14:paraId="471A0BA9">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第八条　付款方式</w:t>
      </w:r>
    </w:p>
    <w:p w14:paraId="4D3E3D5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1.当采购数量与实际使用数量不一致时，乙方应根据实际使用量供货，合同的最终结算金额按实际使用量乘以成交单价进行计算。</w:t>
      </w:r>
    </w:p>
    <w:p w14:paraId="67C32DFB">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2.资金性质：财政性资金。</w:t>
      </w:r>
    </w:p>
    <w:p w14:paraId="45C7E30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3.付款方式：财政性资金按财政国库集中支付规定程序办理。</w:t>
      </w:r>
      <w:r>
        <w:rPr>
          <w:rFonts w:hint="eastAsia" w:ascii="仿宋_GB2312" w:hAnsi="仿宋_GB2312" w:eastAsia="仿宋_GB2312" w:cs="仿宋_GB2312"/>
          <w:bCs/>
          <w:color w:val="000000"/>
          <w:sz w:val="24"/>
        </w:rPr>
        <w:t>本项目无预付款，货物全部到货完毕，货物验收合格后，甲方在收到乙方开具的合同总价款的 40%增值税</w:t>
      </w:r>
      <w:r>
        <w:rPr>
          <w:rFonts w:hint="eastAsia" w:ascii="仿宋_GB2312" w:hAnsi="仿宋_GB2312" w:eastAsia="仿宋_GB2312" w:cs="仿宋_GB2312"/>
          <w:bCs/>
          <w:color w:val="000000"/>
          <w:sz w:val="24"/>
          <w:lang w:val="en-US" w:eastAsia="zh-CN"/>
        </w:rPr>
        <w:t>普通</w:t>
      </w:r>
      <w:r>
        <w:rPr>
          <w:rFonts w:hint="eastAsia" w:ascii="仿宋_GB2312" w:hAnsi="仿宋_GB2312" w:eastAsia="仿宋_GB2312" w:cs="仿宋_GB2312"/>
          <w:bCs/>
          <w:color w:val="000000"/>
          <w:sz w:val="24"/>
        </w:rPr>
        <w:t>发票之日起10个工作日内向乙方指定账户支付合同总价款的40%；全部安装、调试完毕，项目整体交付使用并通过最终验收合格后，甲方在收到乙方开具的合同总价款60%增值税</w:t>
      </w:r>
      <w:r>
        <w:rPr>
          <w:rFonts w:hint="eastAsia" w:ascii="仿宋_GB2312" w:hAnsi="仿宋_GB2312" w:eastAsia="仿宋_GB2312" w:cs="仿宋_GB2312"/>
          <w:bCs/>
          <w:color w:val="000000"/>
          <w:sz w:val="24"/>
          <w:lang w:val="en-US" w:eastAsia="zh-CN"/>
        </w:rPr>
        <w:t>普通</w:t>
      </w:r>
      <w:r>
        <w:rPr>
          <w:rFonts w:hint="eastAsia" w:ascii="仿宋_GB2312" w:hAnsi="仿宋_GB2312" w:eastAsia="仿宋_GB2312" w:cs="仿宋_GB2312"/>
          <w:bCs/>
          <w:color w:val="000000"/>
          <w:sz w:val="24"/>
        </w:rPr>
        <w:t>发票之日起10个工作日内向乙方指定账户支付合同总价款的60%(不计利息）</w:t>
      </w:r>
      <w:r>
        <w:rPr>
          <w:rFonts w:hint="eastAsia" w:ascii="仿宋_GB2312" w:hAnsi="宋体" w:eastAsia="仿宋_GB2312"/>
          <w:sz w:val="24"/>
        </w:rPr>
        <w:t>。</w:t>
      </w:r>
    </w:p>
    <w:p w14:paraId="205E6701">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第九条  税费</w:t>
      </w:r>
    </w:p>
    <w:p w14:paraId="60A25FD0">
      <w:pPr>
        <w:snapToGrid w:val="0"/>
        <w:spacing w:line="276" w:lineRule="auto"/>
        <w:ind w:firstLine="480" w:firstLineChars="200"/>
        <w:rPr>
          <w:rFonts w:hint="eastAsia" w:ascii="仿宋_GB2312" w:hAnsi="宋体" w:eastAsia="仿宋_GB2312"/>
          <w:sz w:val="24"/>
        </w:rPr>
      </w:pPr>
      <w:r>
        <w:rPr>
          <w:rFonts w:hint="eastAsia" w:ascii="仿宋_GB2312" w:hAnsi="宋体" w:eastAsia="仿宋_GB2312"/>
          <w:sz w:val="24"/>
        </w:rPr>
        <w:t>本合同执行中相关的一切税费均由乙方负担。</w:t>
      </w:r>
    </w:p>
    <w:p w14:paraId="50428F38">
      <w:pPr>
        <w:snapToGrid w:val="0"/>
        <w:spacing w:line="276" w:lineRule="auto"/>
        <w:ind w:firstLine="482" w:firstLineChars="200"/>
        <w:rPr>
          <w:rFonts w:hint="eastAsia" w:ascii="仿宋_GB2312" w:hAnsi="宋体" w:eastAsia="仿宋_GB2312"/>
          <w:b/>
          <w:sz w:val="24"/>
        </w:rPr>
      </w:pPr>
      <w:r>
        <w:rPr>
          <w:rFonts w:hint="eastAsia" w:ascii="仿宋_GB2312" w:hAnsi="宋体" w:eastAsia="仿宋_GB2312"/>
          <w:b/>
          <w:sz w:val="24"/>
        </w:rPr>
        <w:t>第十条  质量保证及售后服务</w:t>
      </w:r>
    </w:p>
    <w:p w14:paraId="247D3D53">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1.乙方应按招标文件规定的货物性能、技术要求、质量标准向甲方提供未经使用的全新产品。不符合要求的，根据实际情况，经双方协商，可按以下办法处理：</w:t>
      </w:r>
    </w:p>
    <w:p w14:paraId="73A654CB">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⑴更换：由乙方承担所发生的全部费用。</w:t>
      </w:r>
    </w:p>
    <w:p w14:paraId="4F0FE010">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⑵贬值处理：由甲乙双方合议定价。</w:t>
      </w:r>
    </w:p>
    <w:p w14:paraId="2F13AA71">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⑶退货处理：乙方应退还甲方支付的合同款，同时应承担该货物的直接费用（运输、保险、检验、货款利息及银行手续费等）。</w:t>
      </w:r>
    </w:p>
    <w:p w14:paraId="207E88B8">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2.如在使用过程中发生质量问题，乙方在接到甲方通知后在</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小时内到达甲方现场。</w:t>
      </w:r>
    </w:p>
    <w:p w14:paraId="314FC240">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3.在质保期内，乙方应对货物出现的质量及安全问题负责处理解决并承担一切费用。</w:t>
      </w:r>
    </w:p>
    <w:p w14:paraId="5BDBEF0F">
      <w:pPr>
        <w:snapToGrid w:val="0"/>
        <w:spacing w:line="276" w:lineRule="auto"/>
        <w:ind w:right="-470" w:rightChars="-224" w:firstLine="480" w:firstLineChars="200"/>
        <w:rPr>
          <w:rFonts w:hint="eastAsia" w:ascii="仿宋_GB2312" w:hAnsi="宋体" w:eastAsia="仿宋_GB2312" w:cs="Courier New"/>
          <w:sz w:val="24"/>
        </w:rPr>
      </w:pPr>
      <w:r>
        <w:rPr>
          <w:rFonts w:hint="eastAsia" w:ascii="仿宋_GB2312" w:hAnsi="宋体" w:eastAsia="仿宋_GB2312" w:cs="Courier New"/>
          <w:sz w:val="24"/>
        </w:rPr>
        <w:t>4.上述的货物免费保修期为</w:t>
      </w:r>
      <w:r>
        <w:rPr>
          <w:rFonts w:hint="eastAsia" w:ascii="仿宋_GB2312" w:hAnsi="宋体" w:eastAsia="仿宋_GB2312" w:cs="Courier New"/>
          <w:sz w:val="24"/>
          <w:u w:val="single"/>
        </w:rPr>
        <w:t xml:space="preserve">     </w:t>
      </w:r>
      <w:r>
        <w:rPr>
          <w:rFonts w:hint="eastAsia" w:ascii="仿宋_GB2312" w:hAnsi="宋体" w:eastAsia="仿宋_GB2312" w:cs="Courier New"/>
          <w:sz w:val="24"/>
        </w:rPr>
        <w:t>年，因人为因素出现的故障不在免费保修范围内。超过保修期的机器设备，终生维修，维修时只收部件成本费。</w:t>
      </w:r>
    </w:p>
    <w:p w14:paraId="1F6EFC2D">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第十一条  调试和验收</w:t>
      </w:r>
    </w:p>
    <w:p w14:paraId="7FCD0922">
      <w:pPr>
        <w:snapToGrid w:val="0"/>
        <w:spacing w:line="360" w:lineRule="exact"/>
        <w:ind w:right="-611" w:rightChars="-291" w:firstLine="480" w:firstLineChars="200"/>
        <w:jc w:val="left"/>
        <w:rPr>
          <w:rFonts w:hint="eastAsia" w:ascii="仿宋_GB2312" w:hAnsi="宋体" w:eastAsia="仿宋_GB2312"/>
          <w:sz w:val="24"/>
        </w:rPr>
      </w:pPr>
      <w:r>
        <w:rPr>
          <w:rFonts w:hint="eastAsia" w:ascii="仿宋_GB2312" w:hAnsi="宋体" w:eastAsia="仿宋_GB2312"/>
          <w:sz w:val="24"/>
        </w:rPr>
        <w:t>1.甲方对乙方提交的货物依据招标文件上的技术规格要求和国家有关质量标准进行现场初步验收，外观、说明书符合招标文件技术要求的，给予签收，初步验收不合格的不予签收。货到后，甲方应当在到货（安装、调试完）后七个工作日内进行验收。</w:t>
      </w:r>
    </w:p>
    <w:p w14:paraId="77E465CB">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2.乙方交货前应对产品作出全面检查和对验收文件进行整理，并列出清单，作为甲方收货验收和使用的技术条件依据，检验的结果应随货物交甲方。</w:t>
      </w:r>
    </w:p>
    <w:p w14:paraId="1022141C">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3.甲方对乙方提供的货物在使用前进行调试时，乙方需负责安装并培训甲方的使用操作人员，并协助甲方一起调试，直到符合技术要求，甲方才做最终验收。</w:t>
      </w:r>
    </w:p>
    <w:p w14:paraId="066A374A">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4.对技术复杂的货物，甲方应请国家认可的专业检测机构参与初步验收及最终验收，并由其出具质量检测报告。</w:t>
      </w:r>
    </w:p>
    <w:p w14:paraId="33D7BF71">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5.验收时乙方必须在现场，验收完毕后作出验收结果报告；验收费用由乙方负责。</w:t>
      </w:r>
    </w:p>
    <w:p w14:paraId="76D8164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第十二条  货物包装、发运及运输</w:t>
      </w:r>
    </w:p>
    <w:p w14:paraId="5ADCC0BF">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1.乙方应在货物发运前对其进行满足运输距离、防潮、防震、防锈和防破损装卸等要求包装，以保证货物安全运达甲方指定地点。</w:t>
      </w:r>
    </w:p>
    <w:p w14:paraId="61DB3687">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2.使用说明书、质量检验证明书、随配附件和工具以及清单一并附于货物内。</w:t>
      </w:r>
    </w:p>
    <w:p w14:paraId="31C7BC66">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3.乙方在货物发运手续办理完毕后二十四小时内或货到甲方四十八小时前通知甲方，以准备接货。</w:t>
      </w:r>
    </w:p>
    <w:p w14:paraId="56936959">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4.货物在交付甲方前发生的风险均由乙方负责。</w:t>
      </w:r>
    </w:p>
    <w:p w14:paraId="703D626E">
      <w:pPr>
        <w:snapToGrid w:val="0"/>
        <w:spacing w:line="360" w:lineRule="exact"/>
        <w:ind w:right="-611" w:rightChars="-291" w:firstLine="480" w:firstLineChars="200"/>
        <w:rPr>
          <w:rFonts w:hint="eastAsia" w:ascii="仿宋_GB2312" w:hAnsi="宋体" w:eastAsia="仿宋_GB2312"/>
          <w:sz w:val="24"/>
        </w:rPr>
      </w:pPr>
      <w:r>
        <w:rPr>
          <w:rFonts w:hint="eastAsia" w:ascii="仿宋_GB2312" w:hAnsi="宋体" w:eastAsia="仿宋_GB2312"/>
          <w:sz w:val="24"/>
        </w:rPr>
        <w:t>5.货物在规定的交付期限内由乙方送达甲方指定的地点视为交付，乙方同时需通知甲方货物已送达。</w:t>
      </w:r>
    </w:p>
    <w:p w14:paraId="7DF613C3">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第十三条 违约责任</w:t>
      </w:r>
    </w:p>
    <w:p w14:paraId="64611F24">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 xml:space="preserve">1.乙方所提供的货物规格、技术标准、材料等质量不合格的，应及时更换，更换不及时的按逾期交货处罚；因质量问题甲方不同意接收的或特殊情况甲方同意接收的，乙方应向甲方支付违约货款额 5%违约金并赔偿甲方经济损失。                                       </w:t>
      </w:r>
    </w:p>
    <w:p w14:paraId="7CF4994B">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2.乙方提供的货物如侵犯了第三方合法权益而引发的任何纠纷或诉讼，均由乙方负责交涉并承担全部责任。</w:t>
      </w:r>
    </w:p>
    <w:p w14:paraId="4EA9BDB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3.因包装、运输引起的货物损坏，按质量不合格处理。</w:t>
      </w:r>
    </w:p>
    <w:p w14:paraId="60DF1B6C">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4.甲方无故延期接收货物、乙方逾期交货的，每天向对方偿付违约货款额3‰违约金，但违约金累计不得超过违约货款额</w:t>
      </w:r>
      <w:r>
        <w:rPr>
          <w:rFonts w:hint="eastAsia" w:ascii="仿宋_GB2312" w:hAnsi="宋体" w:eastAsia="仿宋_GB2312"/>
          <w:sz w:val="24"/>
          <w:u w:val="single"/>
        </w:rPr>
        <w:t>5%</w:t>
      </w:r>
      <w:r>
        <w:rPr>
          <w:rFonts w:hint="eastAsia" w:ascii="仿宋_GB2312" w:hAnsi="宋体" w:eastAsia="仿宋_GB2312"/>
          <w:sz w:val="24"/>
        </w:rPr>
        <w:t xml:space="preserve">，超过 </w:t>
      </w:r>
      <w:r>
        <w:rPr>
          <w:rFonts w:hint="eastAsia" w:ascii="仿宋_GB2312" w:hAnsi="宋体" w:eastAsia="仿宋_GB2312"/>
          <w:sz w:val="24"/>
          <w:u w:val="single"/>
        </w:rPr>
        <w:t xml:space="preserve">   </w:t>
      </w:r>
      <w:r>
        <w:rPr>
          <w:rFonts w:hint="eastAsia" w:ascii="仿宋_GB2312" w:hAnsi="宋体" w:eastAsia="仿宋_GB2312"/>
          <w:sz w:val="24"/>
        </w:rPr>
        <w:t>天对方有权解除合同，违约方承担因此给对方造成的经济损失；甲方延期付货款的，每天向乙方偿付延期货款额3‰滞纳金，但滞纳金累计不得超过延期货款额</w:t>
      </w:r>
      <w:r>
        <w:rPr>
          <w:rFonts w:hint="eastAsia" w:ascii="仿宋_GB2312" w:hAnsi="宋体" w:eastAsia="仿宋_GB2312"/>
          <w:sz w:val="24"/>
          <w:u w:val="single"/>
        </w:rPr>
        <w:t>5%</w:t>
      </w:r>
      <w:r>
        <w:rPr>
          <w:rFonts w:hint="eastAsia" w:ascii="仿宋_GB2312" w:hAnsi="宋体" w:eastAsia="仿宋_GB2312"/>
          <w:sz w:val="24"/>
        </w:rPr>
        <w:t>。</w:t>
      </w:r>
    </w:p>
    <w:p w14:paraId="6A2BDC31">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5.乙方未按本合同和投标文件中规定的服务承诺提供售后服务的，乙方应按本合同合计金额5%向甲方支付违约金。</w:t>
      </w:r>
    </w:p>
    <w:p w14:paraId="2FAB3B76">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6.乙方提供的货物在质量保证期内，因设计、工艺或材料的缺陷和其它质量原因造成的问题，由乙方负责，费用从未付款项中扣除，不足另补。</w:t>
      </w:r>
    </w:p>
    <w:p w14:paraId="5714FAC7">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7.其它违约行为按违约货款额5%收取违约金并赔偿经济损失。</w:t>
      </w:r>
    </w:p>
    <w:p w14:paraId="5AE5871F">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第十四条 不可抗力事件处理</w:t>
      </w:r>
    </w:p>
    <w:p w14:paraId="327DA08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1.在合同有效期内，任何一方因不可抗力事件导致不能履行合同，则合同履行期可延长，其延长期与不可抗力影响期相同。</w:t>
      </w:r>
    </w:p>
    <w:p w14:paraId="18835274">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2.不可抗力事件发生后，应立即通知对方，并寄送有关权威机构出具的证明。</w:t>
      </w:r>
    </w:p>
    <w:p w14:paraId="00FEDA9A">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3.不可抗力事件延续一百二十天以上，双方应通过友好协商，确定是否继续履行合同。</w:t>
      </w:r>
    </w:p>
    <w:p w14:paraId="4C14EABC">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第十五条  合同争议解决</w:t>
      </w:r>
    </w:p>
    <w:p w14:paraId="597E0F41">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1.因货物质量问题发生争议的，应邀请国家认可的质量检测机构对货物质量进行鉴定。货物符合标准的，鉴定费由甲方承担；货物不符合标准的，鉴定费由乙方承担。</w:t>
      </w:r>
    </w:p>
    <w:p w14:paraId="541C1790">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2.因履行本合同引起的或与本合同有关的争议，甲乙双方应首先通过友好协商解决，如果协商不能解决，可向甲方所在地的人民法院提起诉讼。</w:t>
      </w:r>
    </w:p>
    <w:p w14:paraId="54C0DF2E">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3.诉讼期间，本合同继续履行。</w:t>
      </w:r>
    </w:p>
    <w:p w14:paraId="063EC8D2">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第十六条  合同生效及其它</w:t>
      </w:r>
    </w:p>
    <w:p w14:paraId="31AAE35A">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1.合同经双方法定代表人或授权代表签字并加盖单位公章后生效。</w:t>
      </w:r>
    </w:p>
    <w:p w14:paraId="5FBE8F05">
      <w:pPr>
        <w:snapToGrid w:val="0"/>
        <w:spacing w:line="360" w:lineRule="exact"/>
        <w:ind w:right="-470" w:rightChars="-224" w:firstLine="480" w:firstLineChars="200"/>
        <w:rPr>
          <w:rFonts w:hint="eastAsia" w:ascii="仿宋_GB2312" w:hAnsi="宋体" w:eastAsia="仿宋_GB2312"/>
          <w:sz w:val="24"/>
        </w:rPr>
      </w:pPr>
      <w:r>
        <w:rPr>
          <w:rFonts w:hint="eastAsia" w:ascii="仿宋_GB2312" w:hAnsi="宋体" w:eastAsia="仿宋_GB2312"/>
          <w:sz w:val="24"/>
        </w:rPr>
        <w:t>2.本合同未尽事宜，遵照《</w:t>
      </w:r>
      <w:r>
        <w:rPr>
          <w:rFonts w:hint="eastAsia" w:ascii="仿宋_GB2312" w:eastAsia="仿宋_GB2312"/>
          <w:sz w:val="24"/>
        </w:rPr>
        <w:t>中华人民共和国民法典</w:t>
      </w:r>
      <w:r>
        <w:rPr>
          <w:rFonts w:hint="eastAsia" w:ascii="仿宋_GB2312" w:hAnsi="宋体" w:eastAsia="仿宋_GB2312"/>
          <w:sz w:val="24"/>
        </w:rPr>
        <w:t>》有关条文执行。</w:t>
      </w:r>
    </w:p>
    <w:p w14:paraId="2C81A89B">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第十七条　合同的变更、终止与转让</w:t>
      </w:r>
    </w:p>
    <w:p w14:paraId="052E0A78">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1.除《中华人民共和国政府采购法》第五十条规定的情形外，本合同一经签订，甲乙双方不得擅自变更、中止或终止。</w:t>
      </w:r>
    </w:p>
    <w:p w14:paraId="52544DFF">
      <w:pPr>
        <w:snapToGrid w:val="0"/>
        <w:spacing w:line="360" w:lineRule="exact"/>
        <w:ind w:right="-330" w:rightChars="-157" w:firstLine="480" w:firstLineChars="200"/>
        <w:rPr>
          <w:rFonts w:hint="eastAsia" w:ascii="仿宋_GB2312" w:hAnsi="宋体" w:eastAsia="仿宋_GB2312"/>
          <w:sz w:val="24"/>
        </w:rPr>
      </w:pPr>
      <w:r>
        <w:rPr>
          <w:rFonts w:hint="eastAsia" w:ascii="仿宋_GB2312" w:hAnsi="宋体" w:eastAsia="仿宋_GB2312"/>
          <w:sz w:val="24"/>
        </w:rPr>
        <w:t>2.乙方不得擅自转让（无进口资格的供应商委托进口货物除外）其应履行的合同义务。</w:t>
      </w:r>
    </w:p>
    <w:p w14:paraId="07411684">
      <w:pPr>
        <w:snapToGrid w:val="0"/>
        <w:spacing w:line="360" w:lineRule="exact"/>
        <w:ind w:firstLine="482" w:firstLineChars="200"/>
        <w:rPr>
          <w:rFonts w:hint="eastAsia" w:ascii="仿宋_GB2312" w:hAnsi="宋体" w:eastAsia="仿宋_GB2312"/>
          <w:b/>
          <w:sz w:val="24"/>
        </w:rPr>
      </w:pPr>
      <w:r>
        <w:rPr>
          <w:rFonts w:hint="eastAsia" w:ascii="仿宋_GB2312" w:hAnsi="宋体" w:eastAsia="仿宋_GB2312"/>
          <w:b/>
          <w:sz w:val="24"/>
        </w:rPr>
        <w:t>第十八条　签订本合同依据</w:t>
      </w:r>
    </w:p>
    <w:p w14:paraId="6709887D">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1.政府采购招标文件；</w:t>
      </w:r>
    </w:p>
    <w:p w14:paraId="73C608A3">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2.乙方提供的采购投标（或应答）文件；</w:t>
      </w:r>
    </w:p>
    <w:p w14:paraId="0F463E45">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3.投标承诺书；</w:t>
      </w:r>
    </w:p>
    <w:p w14:paraId="14CF83A8">
      <w:pPr>
        <w:snapToGrid w:val="0"/>
        <w:spacing w:line="360" w:lineRule="exact"/>
        <w:ind w:firstLine="480" w:firstLineChars="200"/>
        <w:rPr>
          <w:rFonts w:hint="eastAsia" w:ascii="仿宋_GB2312" w:hAnsi="宋体" w:eastAsia="仿宋_GB2312"/>
          <w:sz w:val="24"/>
        </w:rPr>
      </w:pPr>
      <w:r>
        <w:rPr>
          <w:rFonts w:hint="eastAsia" w:ascii="仿宋_GB2312" w:hAnsi="宋体" w:eastAsia="仿宋_GB2312"/>
          <w:sz w:val="24"/>
        </w:rPr>
        <w:t>4.中标或成交通知书。</w:t>
      </w:r>
    </w:p>
    <w:p w14:paraId="77FA8C69">
      <w:pPr>
        <w:snapToGrid w:val="0"/>
        <w:spacing w:line="360" w:lineRule="exact"/>
        <w:ind w:right="-754" w:rightChars="-359" w:firstLine="482" w:firstLineChars="200"/>
        <w:rPr>
          <w:rFonts w:hint="eastAsia" w:ascii="仿宋_GB2312" w:hAnsi="宋体" w:eastAsia="仿宋_GB2312"/>
          <w:sz w:val="24"/>
        </w:rPr>
      </w:pPr>
      <w:r>
        <w:rPr>
          <w:rFonts w:hint="eastAsia" w:ascii="仿宋_GB2312" w:hAnsi="宋体" w:eastAsia="仿宋_GB2312"/>
          <w:b/>
          <w:sz w:val="24"/>
        </w:rPr>
        <w:t>第十九条</w:t>
      </w:r>
      <w:r>
        <w:rPr>
          <w:rFonts w:hint="eastAsia" w:ascii="楷体_GB2312" w:hAnsi="宋体" w:eastAsia="楷体_GB2312"/>
          <w:b/>
          <w:szCs w:val="21"/>
        </w:rPr>
        <w:t>　</w:t>
      </w:r>
      <w:r>
        <w:rPr>
          <w:rFonts w:hint="eastAsia" w:ascii="仿宋_GB2312" w:hAnsi="宋体" w:eastAsia="仿宋_GB2312"/>
          <w:sz w:val="24"/>
        </w:rPr>
        <w:t>本合同一式</w:t>
      </w:r>
      <w:r>
        <w:rPr>
          <w:rFonts w:hint="eastAsia" w:ascii="仿宋_GB2312" w:hAnsi="宋体" w:eastAsia="仿宋_GB2312"/>
          <w:sz w:val="24"/>
          <w:u w:val="single"/>
        </w:rPr>
        <w:t xml:space="preserve">  </w:t>
      </w:r>
      <w:r>
        <w:rPr>
          <w:rFonts w:hint="eastAsia" w:ascii="仿宋_GB2312" w:hAnsi="宋体" w:eastAsia="仿宋_GB2312"/>
          <w:sz w:val="24"/>
        </w:rPr>
        <w:t>份，具有同等法律效力，采购代理机构</w:t>
      </w:r>
      <w:r>
        <w:rPr>
          <w:rFonts w:hint="eastAsia" w:ascii="仿宋_GB2312" w:hAnsi="宋体" w:eastAsia="仿宋_GB2312"/>
          <w:sz w:val="24"/>
          <w:u w:val="single"/>
        </w:rPr>
        <w:t xml:space="preserve">  </w:t>
      </w:r>
      <w:r>
        <w:rPr>
          <w:rFonts w:hint="eastAsia" w:ascii="仿宋_GB2312" w:hAnsi="宋体" w:eastAsia="仿宋_GB2312"/>
          <w:sz w:val="24"/>
        </w:rPr>
        <w:t>份，甲方</w:t>
      </w:r>
      <w:r>
        <w:rPr>
          <w:rFonts w:hint="eastAsia" w:ascii="仿宋_GB2312" w:hAnsi="宋体" w:eastAsia="仿宋_GB2312"/>
          <w:sz w:val="24"/>
          <w:u w:val="single"/>
        </w:rPr>
        <w:t xml:space="preserve">  </w:t>
      </w:r>
      <w:r>
        <w:rPr>
          <w:rFonts w:hint="eastAsia" w:ascii="仿宋_GB2312" w:hAnsi="宋体" w:eastAsia="仿宋_GB2312"/>
          <w:sz w:val="24"/>
        </w:rPr>
        <w:t>份，乙方</w:t>
      </w:r>
      <w:r>
        <w:rPr>
          <w:rFonts w:hint="eastAsia" w:ascii="仿宋_GB2312" w:hAnsi="宋体" w:eastAsia="仿宋_GB2312"/>
          <w:sz w:val="24"/>
          <w:u w:val="single"/>
        </w:rPr>
        <w:t xml:space="preserve">   </w:t>
      </w:r>
      <w:r>
        <w:rPr>
          <w:rFonts w:hint="eastAsia" w:ascii="仿宋_GB2312" w:hAnsi="宋体" w:eastAsia="仿宋_GB2312"/>
          <w:sz w:val="24"/>
        </w:rPr>
        <w:t>份（可根据需要另增加）。</w:t>
      </w:r>
    </w:p>
    <w:tbl>
      <w:tblPr>
        <w:tblStyle w:val="48"/>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52"/>
        <w:gridCol w:w="4690"/>
      </w:tblGrid>
      <w:tr w14:paraId="5BA3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8" w:hRule="atLeast"/>
        </w:trPr>
        <w:tc>
          <w:tcPr>
            <w:tcW w:w="4552" w:type="dxa"/>
            <w:vAlign w:val="center"/>
          </w:tcPr>
          <w:p w14:paraId="6E3C4972">
            <w:pPr>
              <w:snapToGrid w:val="0"/>
              <w:spacing w:line="320" w:lineRule="exact"/>
              <w:rPr>
                <w:rFonts w:ascii="仿宋_GB2312" w:eastAsia="仿宋_GB2312"/>
                <w:sz w:val="24"/>
              </w:rPr>
            </w:pPr>
            <w:r>
              <w:rPr>
                <w:rFonts w:hint="eastAsia" w:ascii="仿宋_GB2312" w:eastAsia="仿宋_GB2312"/>
                <w:sz w:val="24"/>
              </w:rPr>
              <w:t xml:space="preserve">甲方（章）           </w:t>
            </w:r>
          </w:p>
          <w:p w14:paraId="19DA8544">
            <w:pPr>
              <w:snapToGrid w:val="0"/>
              <w:spacing w:line="320" w:lineRule="exact"/>
              <w:ind w:firstLine="480" w:firstLineChars="200"/>
              <w:rPr>
                <w:rFonts w:ascii="仿宋_GB2312" w:eastAsia="仿宋_GB2312"/>
                <w:sz w:val="24"/>
              </w:rPr>
            </w:pPr>
          </w:p>
          <w:p w14:paraId="6F373613">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c>
          <w:tcPr>
            <w:tcW w:w="4690" w:type="dxa"/>
            <w:vAlign w:val="center"/>
          </w:tcPr>
          <w:p w14:paraId="342275D5">
            <w:pPr>
              <w:snapToGrid w:val="0"/>
              <w:spacing w:line="320" w:lineRule="exact"/>
              <w:rPr>
                <w:rFonts w:ascii="仿宋_GB2312" w:eastAsia="仿宋_GB2312"/>
                <w:sz w:val="24"/>
              </w:rPr>
            </w:pPr>
            <w:r>
              <w:rPr>
                <w:rFonts w:hint="eastAsia" w:ascii="仿宋_GB2312" w:eastAsia="仿宋_GB2312"/>
                <w:sz w:val="24"/>
              </w:rPr>
              <w:t xml:space="preserve">乙方（章）              </w:t>
            </w:r>
          </w:p>
          <w:p w14:paraId="290F3AD5">
            <w:pPr>
              <w:snapToGrid w:val="0"/>
              <w:spacing w:line="320" w:lineRule="exact"/>
              <w:ind w:firstLine="480" w:firstLineChars="200"/>
              <w:rPr>
                <w:rFonts w:ascii="仿宋_GB2312" w:eastAsia="仿宋_GB2312"/>
                <w:sz w:val="24"/>
              </w:rPr>
            </w:pPr>
          </w:p>
          <w:p w14:paraId="4850B7AC">
            <w:pPr>
              <w:snapToGrid w:val="0"/>
              <w:spacing w:line="320" w:lineRule="exact"/>
              <w:ind w:firstLine="480" w:firstLineChars="200"/>
              <w:jc w:val="right"/>
              <w:rPr>
                <w:rFonts w:ascii="仿宋_GB2312" w:eastAsia="仿宋_GB2312"/>
                <w:sz w:val="24"/>
              </w:rPr>
            </w:pPr>
            <w:r>
              <w:rPr>
                <w:rFonts w:hint="eastAsia" w:ascii="仿宋_GB2312" w:eastAsia="仿宋_GB2312"/>
                <w:sz w:val="24"/>
              </w:rPr>
              <w:t xml:space="preserve"> 年   月   日</w:t>
            </w:r>
          </w:p>
        </w:tc>
      </w:tr>
      <w:tr w14:paraId="0D695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4552" w:type="dxa"/>
            <w:vAlign w:val="center"/>
          </w:tcPr>
          <w:p w14:paraId="1D2DBBE0">
            <w:pPr>
              <w:snapToGrid w:val="0"/>
              <w:spacing w:line="320" w:lineRule="exact"/>
              <w:rPr>
                <w:rFonts w:ascii="仿宋_GB2312" w:eastAsia="仿宋_GB2312"/>
                <w:sz w:val="24"/>
              </w:rPr>
            </w:pPr>
            <w:r>
              <w:rPr>
                <w:rFonts w:hint="eastAsia" w:ascii="仿宋_GB2312" w:eastAsia="仿宋_GB2312"/>
                <w:sz w:val="24"/>
              </w:rPr>
              <w:t>单位地址：</w:t>
            </w:r>
          </w:p>
        </w:tc>
        <w:tc>
          <w:tcPr>
            <w:tcW w:w="4690" w:type="dxa"/>
            <w:vAlign w:val="center"/>
          </w:tcPr>
          <w:p w14:paraId="7E8D4A53">
            <w:pPr>
              <w:snapToGrid w:val="0"/>
              <w:spacing w:line="320" w:lineRule="exact"/>
              <w:rPr>
                <w:rFonts w:ascii="仿宋_GB2312" w:eastAsia="仿宋_GB2312"/>
                <w:sz w:val="24"/>
              </w:rPr>
            </w:pPr>
            <w:r>
              <w:rPr>
                <w:rFonts w:hint="eastAsia" w:ascii="仿宋_GB2312" w:eastAsia="仿宋_GB2312"/>
                <w:sz w:val="24"/>
              </w:rPr>
              <w:t>单位地址：</w:t>
            </w:r>
          </w:p>
        </w:tc>
      </w:tr>
      <w:tr w14:paraId="3AC190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8" w:hRule="atLeast"/>
        </w:trPr>
        <w:tc>
          <w:tcPr>
            <w:tcW w:w="4552" w:type="dxa"/>
            <w:vAlign w:val="center"/>
          </w:tcPr>
          <w:p w14:paraId="1E244C64">
            <w:pPr>
              <w:snapToGrid w:val="0"/>
              <w:spacing w:line="320" w:lineRule="exact"/>
              <w:rPr>
                <w:rFonts w:ascii="仿宋_GB2312" w:eastAsia="仿宋_GB2312"/>
                <w:sz w:val="24"/>
              </w:rPr>
            </w:pPr>
            <w:r>
              <w:rPr>
                <w:rFonts w:hint="eastAsia" w:ascii="仿宋_GB2312" w:eastAsia="仿宋_GB2312"/>
                <w:sz w:val="24"/>
              </w:rPr>
              <w:t>法定代表人：</w:t>
            </w:r>
          </w:p>
        </w:tc>
        <w:tc>
          <w:tcPr>
            <w:tcW w:w="4690" w:type="dxa"/>
            <w:vAlign w:val="center"/>
          </w:tcPr>
          <w:p w14:paraId="71934B6D">
            <w:pPr>
              <w:snapToGrid w:val="0"/>
              <w:spacing w:line="320" w:lineRule="exact"/>
              <w:rPr>
                <w:rFonts w:ascii="仿宋_GB2312" w:eastAsia="仿宋_GB2312"/>
                <w:sz w:val="24"/>
              </w:rPr>
            </w:pPr>
            <w:r>
              <w:rPr>
                <w:rFonts w:hint="eastAsia" w:ascii="仿宋_GB2312" w:eastAsia="仿宋_GB2312"/>
                <w:sz w:val="24"/>
              </w:rPr>
              <w:t>法定代表人：</w:t>
            </w:r>
          </w:p>
        </w:tc>
      </w:tr>
      <w:tr w14:paraId="1AF74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4" w:hRule="atLeast"/>
        </w:trPr>
        <w:tc>
          <w:tcPr>
            <w:tcW w:w="4552" w:type="dxa"/>
            <w:vAlign w:val="center"/>
          </w:tcPr>
          <w:p w14:paraId="2EC4163D">
            <w:pPr>
              <w:snapToGrid w:val="0"/>
              <w:spacing w:line="320" w:lineRule="exact"/>
              <w:rPr>
                <w:rFonts w:ascii="仿宋_GB2312" w:eastAsia="仿宋_GB2312"/>
                <w:sz w:val="24"/>
              </w:rPr>
            </w:pPr>
            <w:r>
              <w:rPr>
                <w:rFonts w:hint="eastAsia" w:ascii="仿宋_GB2312" w:eastAsia="仿宋_GB2312"/>
                <w:sz w:val="24"/>
              </w:rPr>
              <w:t>委托代理人：</w:t>
            </w:r>
          </w:p>
        </w:tc>
        <w:tc>
          <w:tcPr>
            <w:tcW w:w="4690" w:type="dxa"/>
            <w:vAlign w:val="center"/>
          </w:tcPr>
          <w:p w14:paraId="3395F57B">
            <w:pPr>
              <w:snapToGrid w:val="0"/>
              <w:spacing w:line="320" w:lineRule="exact"/>
              <w:rPr>
                <w:rFonts w:ascii="仿宋_GB2312" w:eastAsia="仿宋_GB2312"/>
                <w:sz w:val="24"/>
              </w:rPr>
            </w:pPr>
            <w:r>
              <w:rPr>
                <w:rFonts w:hint="eastAsia" w:ascii="仿宋_GB2312" w:eastAsia="仿宋_GB2312"/>
                <w:sz w:val="24"/>
              </w:rPr>
              <w:t>委托代理人：</w:t>
            </w:r>
          </w:p>
        </w:tc>
      </w:tr>
      <w:tr w14:paraId="5581D9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4" w:hRule="atLeast"/>
        </w:trPr>
        <w:tc>
          <w:tcPr>
            <w:tcW w:w="4552" w:type="dxa"/>
            <w:vAlign w:val="center"/>
          </w:tcPr>
          <w:p w14:paraId="1BB56C64">
            <w:pPr>
              <w:snapToGrid w:val="0"/>
              <w:spacing w:line="320" w:lineRule="exact"/>
              <w:rPr>
                <w:rFonts w:ascii="仿宋_GB2312" w:eastAsia="仿宋_GB2312"/>
                <w:sz w:val="24"/>
              </w:rPr>
            </w:pPr>
            <w:r>
              <w:rPr>
                <w:rFonts w:hint="eastAsia" w:ascii="仿宋_GB2312" w:eastAsia="仿宋_GB2312"/>
                <w:sz w:val="24"/>
              </w:rPr>
              <w:t>电    话：</w:t>
            </w:r>
          </w:p>
        </w:tc>
        <w:tc>
          <w:tcPr>
            <w:tcW w:w="4690" w:type="dxa"/>
            <w:vAlign w:val="center"/>
          </w:tcPr>
          <w:p w14:paraId="1A0BE5F6">
            <w:pPr>
              <w:snapToGrid w:val="0"/>
              <w:spacing w:line="320" w:lineRule="exact"/>
              <w:rPr>
                <w:rFonts w:ascii="仿宋_GB2312" w:eastAsia="仿宋_GB2312"/>
                <w:sz w:val="24"/>
              </w:rPr>
            </w:pPr>
            <w:r>
              <w:rPr>
                <w:rFonts w:hint="eastAsia" w:ascii="仿宋_GB2312" w:eastAsia="仿宋_GB2312"/>
                <w:sz w:val="24"/>
              </w:rPr>
              <w:t>电    话：</w:t>
            </w:r>
          </w:p>
        </w:tc>
      </w:tr>
      <w:tr w14:paraId="5BAE1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6" w:hRule="atLeast"/>
        </w:trPr>
        <w:tc>
          <w:tcPr>
            <w:tcW w:w="4552" w:type="dxa"/>
            <w:vAlign w:val="center"/>
          </w:tcPr>
          <w:p w14:paraId="71858424">
            <w:pPr>
              <w:snapToGrid w:val="0"/>
              <w:spacing w:line="320" w:lineRule="exact"/>
              <w:rPr>
                <w:rFonts w:ascii="仿宋_GB2312" w:eastAsia="仿宋_GB2312"/>
                <w:sz w:val="24"/>
              </w:rPr>
            </w:pPr>
            <w:r>
              <w:rPr>
                <w:rFonts w:hint="eastAsia" w:ascii="仿宋_GB2312" w:eastAsia="仿宋_GB2312"/>
                <w:sz w:val="24"/>
              </w:rPr>
              <w:t>电子邮箱：</w:t>
            </w:r>
          </w:p>
        </w:tc>
        <w:tc>
          <w:tcPr>
            <w:tcW w:w="4690" w:type="dxa"/>
            <w:vAlign w:val="center"/>
          </w:tcPr>
          <w:p w14:paraId="2A2B56CF">
            <w:pPr>
              <w:snapToGrid w:val="0"/>
              <w:spacing w:line="320" w:lineRule="exact"/>
              <w:rPr>
                <w:rFonts w:ascii="仿宋_GB2312" w:eastAsia="仿宋_GB2312"/>
                <w:sz w:val="24"/>
              </w:rPr>
            </w:pPr>
            <w:r>
              <w:rPr>
                <w:rFonts w:hint="eastAsia" w:ascii="仿宋_GB2312" w:eastAsia="仿宋_GB2312"/>
                <w:sz w:val="24"/>
              </w:rPr>
              <w:t>电子邮箱：</w:t>
            </w:r>
          </w:p>
        </w:tc>
      </w:tr>
      <w:tr w14:paraId="37810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0" w:hRule="atLeast"/>
        </w:trPr>
        <w:tc>
          <w:tcPr>
            <w:tcW w:w="4552" w:type="dxa"/>
            <w:vAlign w:val="center"/>
          </w:tcPr>
          <w:p w14:paraId="4071E7C1">
            <w:pPr>
              <w:snapToGrid w:val="0"/>
              <w:spacing w:line="320" w:lineRule="exact"/>
              <w:rPr>
                <w:rFonts w:ascii="仿宋_GB2312" w:eastAsia="仿宋_GB2312"/>
                <w:sz w:val="24"/>
              </w:rPr>
            </w:pPr>
            <w:r>
              <w:rPr>
                <w:rFonts w:hint="eastAsia" w:ascii="仿宋_GB2312" w:eastAsia="仿宋_GB2312"/>
                <w:sz w:val="24"/>
              </w:rPr>
              <w:t>开户银行：</w:t>
            </w:r>
          </w:p>
        </w:tc>
        <w:tc>
          <w:tcPr>
            <w:tcW w:w="4690" w:type="dxa"/>
            <w:vAlign w:val="center"/>
          </w:tcPr>
          <w:p w14:paraId="6CD4B718">
            <w:pPr>
              <w:snapToGrid w:val="0"/>
              <w:spacing w:line="320" w:lineRule="exact"/>
              <w:rPr>
                <w:rFonts w:ascii="仿宋_GB2312" w:eastAsia="仿宋_GB2312"/>
                <w:sz w:val="24"/>
              </w:rPr>
            </w:pPr>
            <w:r>
              <w:rPr>
                <w:rFonts w:hint="eastAsia" w:ascii="仿宋_GB2312" w:eastAsia="仿宋_GB2312"/>
                <w:sz w:val="24"/>
              </w:rPr>
              <w:t>开户银行：</w:t>
            </w:r>
          </w:p>
        </w:tc>
      </w:tr>
      <w:tr w14:paraId="252FE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5" w:hRule="atLeast"/>
        </w:trPr>
        <w:tc>
          <w:tcPr>
            <w:tcW w:w="4552" w:type="dxa"/>
            <w:vAlign w:val="center"/>
          </w:tcPr>
          <w:p w14:paraId="6C118B7C">
            <w:pPr>
              <w:snapToGrid w:val="0"/>
              <w:spacing w:line="320" w:lineRule="exact"/>
              <w:rPr>
                <w:rFonts w:ascii="仿宋_GB2312" w:eastAsia="仿宋_GB2312"/>
                <w:sz w:val="24"/>
              </w:rPr>
            </w:pPr>
            <w:r>
              <w:rPr>
                <w:rFonts w:hint="eastAsia" w:ascii="仿宋_GB2312" w:eastAsia="仿宋_GB2312"/>
                <w:sz w:val="24"/>
              </w:rPr>
              <w:t>账    号：</w:t>
            </w:r>
          </w:p>
        </w:tc>
        <w:tc>
          <w:tcPr>
            <w:tcW w:w="4690" w:type="dxa"/>
            <w:vAlign w:val="center"/>
          </w:tcPr>
          <w:p w14:paraId="782100FD">
            <w:pPr>
              <w:snapToGrid w:val="0"/>
              <w:spacing w:line="320" w:lineRule="exact"/>
              <w:rPr>
                <w:rFonts w:ascii="仿宋_GB2312" w:eastAsia="仿宋_GB2312"/>
                <w:sz w:val="24"/>
              </w:rPr>
            </w:pPr>
            <w:r>
              <w:rPr>
                <w:rFonts w:hint="eastAsia" w:ascii="仿宋_GB2312" w:eastAsia="仿宋_GB2312"/>
                <w:sz w:val="24"/>
              </w:rPr>
              <w:t>账    号：</w:t>
            </w:r>
          </w:p>
        </w:tc>
      </w:tr>
      <w:tr w14:paraId="77E26B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3" w:hRule="atLeast"/>
        </w:trPr>
        <w:tc>
          <w:tcPr>
            <w:tcW w:w="4552" w:type="dxa"/>
            <w:vAlign w:val="center"/>
          </w:tcPr>
          <w:p w14:paraId="3AD6250A">
            <w:pPr>
              <w:snapToGrid w:val="0"/>
              <w:spacing w:line="320" w:lineRule="exact"/>
              <w:rPr>
                <w:rFonts w:ascii="仿宋_GB2312" w:eastAsia="仿宋_GB2312"/>
                <w:sz w:val="24"/>
              </w:rPr>
            </w:pPr>
            <w:r>
              <w:rPr>
                <w:rFonts w:hint="eastAsia" w:ascii="仿宋_GB2312" w:eastAsia="仿宋_GB2312"/>
                <w:sz w:val="24"/>
              </w:rPr>
              <w:t>邮政编码：</w:t>
            </w:r>
          </w:p>
        </w:tc>
        <w:tc>
          <w:tcPr>
            <w:tcW w:w="4690" w:type="dxa"/>
            <w:vAlign w:val="center"/>
          </w:tcPr>
          <w:p w14:paraId="4457D064">
            <w:pPr>
              <w:snapToGrid w:val="0"/>
              <w:spacing w:line="320" w:lineRule="exact"/>
              <w:rPr>
                <w:rFonts w:ascii="仿宋_GB2312" w:eastAsia="仿宋_GB2312"/>
                <w:sz w:val="24"/>
              </w:rPr>
            </w:pPr>
            <w:r>
              <w:rPr>
                <w:rFonts w:hint="eastAsia" w:ascii="仿宋_GB2312" w:eastAsia="仿宋_GB2312"/>
                <w:sz w:val="24"/>
              </w:rPr>
              <w:t>邮政编码：</w:t>
            </w:r>
          </w:p>
        </w:tc>
      </w:tr>
      <w:tr w14:paraId="2DB9C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67" w:hRule="atLeast"/>
        </w:trPr>
        <w:tc>
          <w:tcPr>
            <w:tcW w:w="9242" w:type="dxa"/>
            <w:gridSpan w:val="2"/>
          </w:tcPr>
          <w:p w14:paraId="443F883D">
            <w:pPr>
              <w:snapToGrid w:val="0"/>
              <w:spacing w:line="320" w:lineRule="exact"/>
              <w:rPr>
                <w:rFonts w:ascii="仿宋_GB2312" w:eastAsia="仿宋_GB2312"/>
                <w:sz w:val="24"/>
              </w:rPr>
            </w:pPr>
            <w:r>
              <w:rPr>
                <w:rFonts w:hint="eastAsia" w:ascii="仿宋_GB2312" w:eastAsia="仿宋_GB2312"/>
                <w:sz w:val="24"/>
              </w:rPr>
              <w:t>经办人：</w:t>
            </w:r>
          </w:p>
          <w:p w14:paraId="545A77FB">
            <w:pPr>
              <w:snapToGrid w:val="0"/>
              <w:spacing w:line="320" w:lineRule="exact"/>
              <w:ind w:firstLine="480" w:firstLineChars="200"/>
              <w:jc w:val="right"/>
              <w:rPr>
                <w:rFonts w:ascii="仿宋_GB2312" w:eastAsia="仿宋_GB2312"/>
                <w:sz w:val="24"/>
              </w:rPr>
            </w:pPr>
            <w:r>
              <w:rPr>
                <w:rFonts w:hint="eastAsia" w:ascii="仿宋_GB2312" w:eastAsia="仿宋_GB2312"/>
                <w:sz w:val="24"/>
              </w:rPr>
              <w:t>年    月    日</w:t>
            </w:r>
          </w:p>
        </w:tc>
      </w:tr>
    </w:tbl>
    <w:p w14:paraId="4A1FE8A2">
      <w:pPr>
        <w:spacing w:line="360" w:lineRule="exact"/>
        <w:ind w:left="420" w:leftChars="200" w:firstLine="360" w:firstLineChars="150"/>
        <w:jc w:val="left"/>
        <w:rPr>
          <w:rFonts w:ascii="仿宋_GB2312" w:eastAsia="仿宋_GB2312"/>
          <w:sz w:val="24"/>
        </w:rPr>
      </w:pPr>
    </w:p>
    <w:p w14:paraId="33EB3C57">
      <w:pPr>
        <w:snapToGrid w:val="0"/>
        <w:jc w:val="center"/>
        <w:rPr>
          <w:rFonts w:ascii="仿宋_GB2312" w:eastAsia="仿宋_GB2312"/>
          <w:b/>
          <w:sz w:val="28"/>
          <w:szCs w:val="28"/>
        </w:rPr>
      </w:pPr>
    </w:p>
    <w:p w14:paraId="3BFC69B6">
      <w:pPr>
        <w:snapToGrid w:val="0"/>
        <w:jc w:val="center"/>
        <w:rPr>
          <w:rFonts w:ascii="仿宋_GB2312" w:eastAsia="仿宋_GB2312"/>
          <w:b/>
          <w:sz w:val="28"/>
          <w:szCs w:val="28"/>
        </w:rPr>
      </w:pPr>
    </w:p>
    <w:p w14:paraId="5FEE2750">
      <w:pPr>
        <w:snapToGrid w:val="0"/>
        <w:jc w:val="center"/>
        <w:rPr>
          <w:rFonts w:ascii="仿宋_GB2312" w:eastAsia="仿宋_GB2312"/>
          <w:b/>
          <w:sz w:val="28"/>
          <w:szCs w:val="28"/>
        </w:rPr>
      </w:pPr>
    </w:p>
    <w:p w14:paraId="66115B73">
      <w:pPr>
        <w:snapToGrid w:val="0"/>
        <w:jc w:val="center"/>
        <w:rPr>
          <w:rFonts w:ascii="仿宋_GB2312" w:eastAsia="仿宋_GB2312"/>
          <w:b/>
          <w:sz w:val="28"/>
          <w:szCs w:val="28"/>
        </w:rPr>
      </w:pPr>
    </w:p>
    <w:p w14:paraId="3E297C73">
      <w:pPr>
        <w:snapToGrid w:val="0"/>
        <w:jc w:val="center"/>
        <w:rPr>
          <w:rFonts w:ascii="仿宋_GB2312" w:eastAsia="仿宋_GB2312"/>
          <w:b/>
          <w:sz w:val="28"/>
          <w:szCs w:val="28"/>
        </w:rPr>
      </w:pPr>
    </w:p>
    <w:p w14:paraId="05A81CF9">
      <w:pPr>
        <w:snapToGrid w:val="0"/>
        <w:jc w:val="center"/>
        <w:rPr>
          <w:rFonts w:ascii="仿宋_GB2312" w:eastAsia="仿宋_GB2312"/>
          <w:b/>
          <w:sz w:val="28"/>
          <w:szCs w:val="28"/>
        </w:rPr>
      </w:pPr>
    </w:p>
    <w:p w14:paraId="3818C76D">
      <w:pPr>
        <w:snapToGrid w:val="0"/>
        <w:jc w:val="center"/>
        <w:rPr>
          <w:rFonts w:ascii="仿宋_GB2312" w:eastAsia="仿宋_GB2312"/>
          <w:b/>
          <w:sz w:val="28"/>
          <w:szCs w:val="28"/>
        </w:rPr>
      </w:pPr>
    </w:p>
    <w:p w14:paraId="5C083996">
      <w:pPr>
        <w:snapToGrid w:val="0"/>
        <w:jc w:val="center"/>
        <w:rPr>
          <w:rFonts w:ascii="仿宋_GB2312" w:eastAsia="仿宋_GB2312"/>
          <w:b/>
          <w:sz w:val="28"/>
          <w:szCs w:val="28"/>
        </w:rPr>
      </w:pPr>
    </w:p>
    <w:p w14:paraId="3FA306B0">
      <w:pPr>
        <w:snapToGrid w:val="0"/>
        <w:jc w:val="center"/>
        <w:rPr>
          <w:rFonts w:ascii="仿宋_GB2312" w:eastAsia="仿宋_GB2312"/>
          <w:b/>
          <w:sz w:val="28"/>
          <w:szCs w:val="28"/>
        </w:rPr>
      </w:pPr>
    </w:p>
    <w:p w14:paraId="5675372B">
      <w:pPr>
        <w:snapToGrid w:val="0"/>
        <w:jc w:val="center"/>
        <w:rPr>
          <w:rFonts w:ascii="仿宋_GB2312" w:eastAsia="仿宋_GB2312"/>
          <w:b/>
          <w:sz w:val="28"/>
          <w:szCs w:val="28"/>
        </w:rPr>
      </w:pPr>
    </w:p>
    <w:p w14:paraId="0236D7C5">
      <w:pPr>
        <w:snapToGrid w:val="0"/>
        <w:jc w:val="center"/>
        <w:rPr>
          <w:rFonts w:ascii="仿宋_GB2312" w:eastAsia="仿宋_GB2312"/>
          <w:b/>
          <w:sz w:val="28"/>
          <w:szCs w:val="28"/>
        </w:rPr>
      </w:pPr>
    </w:p>
    <w:p w14:paraId="3AF64A3E">
      <w:pPr>
        <w:snapToGrid w:val="0"/>
        <w:jc w:val="center"/>
        <w:rPr>
          <w:rFonts w:ascii="仿宋_GB2312" w:eastAsia="仿宋_GB2312"/>
          <w:b/>
          <w:sz w:val="28"/>
          <w:szCs w:val="28"/>
        </w:rPr>
      </w:pPr>
    </w:p>
    <w:p w14:paraId="0A6A9611">
      <w:pPr>
        <w:snapToGrid w:val="0"/>
        <w:jc w:val="center"/>
        <w:rPr>
          <w:rFonts w:ascii="仿宋_GB2312" w:eastAsia="仿宋_GB2312"/>
          <w:b/>
          <w:sz w:val="28"/>
          <w:szCs w:val="28"/>
        </w:rPr>
      </w:pPr>
    </w:p>
    <w:p w14:paraId="10FD0114">
      <w:pPr>
        <w:snapToGrid w:val="0"/>
        <w:jc w:val="center"/>
        <w:rPr>
          <w:rFonts w:ascii="仿宋_GB2312" w:eastAsia="仿宋_GB2312"/>
          <w:b/>
          <w:sz w:val="28"/>
          <w:szCs w:val="28"/>
        </w:rPr>
      </w:pPr>
    </w:p>
    <w:p w14:paraId="725C0DAF">
      <w:pPr>
        <w:snapToGrid w:val="0"/>
        <w:jc w:val="center"/>
        <w:rPr>
          <w:rFonts w:ascii="仿宋_GB2312" w:eastAsia="仿宋_GB2312"/>
          <w:b/>
          <w:sz w:val="28"/>
          <w:szCs w:val="28"/>
        </w:rPr>
      </w:pPr>
      <w:r>
        <w:rPr>
          <w:rFonts w:hint="eastAsia" w:ascii="仿宋_GB2312" w:eastAsia="仿宋_GB2312"/>
          <w:b/>
          <w:sz w:val="28"/>
          <w:szCs w:val="28"/>
        </w:rPr>
        <w:t>合 同 附 件</w:t>
      </w:r>
    </w:p>
    <w:p w14:paraId="5085E97C">
      <w:pPr>
        <w:snapToGrid w:val="0"/>
        <w:ind w:firstLine="240" w:firstLineChars="100"/>
        <w:rPr>
          <w:rFonts w:ascii="仿宋_GB2312" w:eastAsia="仿宋_GB2312"/>
          <w:b/>
          <w:sz w:val="24"/>
        </w:rPr>
      </w:pPr>
      <w:r>
        <w:rPr>
          <w:rFonts w:hint="eastAsia" w:ascii="仿宋_GB2312" w:eastAsia="仿宋_GB2312"/>
          <w:sz w:val="24"/>
        </w:rPr>
        <w:t>一般货物类</w:t>
      </w:r>
    </w:p>
    <w:tbl>
      <w:tblPr>
        <w:tblStyle w:val="48"/>
        <w:tblW w:w="9072" w:type="dxa"/>
        <w:tblInd w:w="108" w:type="dxa"/>
        <w:tblLayout w:type="fixed"/>
        <w:tblCellMar>
          <w:top w:w="0" w:type="dxa"/>
          <w:left w:w="108" w:type="dxa"/>
          <w:bottom w:w="0" w:type="dxa"/>
          <w:right w:w="108" w:type="dxa"/>
        </w:tblCellMar>
      </w:tblPr>
      <w:tblGrid>
        <w:gridCol w:w="4678"/>
        <w:gridCol w:w="4394"/>
      </w:tblGrid>
      <w:tr w14:paraId="51CB023C">
        <w:tblPrEx>
          <w:tblCellMar>
            <w:top w:w="0" w:type="dxa"/>
            <w:left w:w="108" w:type="dxa"/>
            <w:bottom w:w="0" w:type="dxa"/>
            <w:right w:w="108" w:type="dxa"/>
          </w:tblCellMar>
        </w:tblPrEx>
        <w:trPr>
          <w:trHeight w:val="2072" w:hRule="atLeast"/>
        </w:trPr>
        <w:tc>
          <w:tcPr>
            <w:tcW w:w="9072" w:type="dxa"/>
            <w:gridSpan w:val="2"/>
            <w:tcBorders>
              <w:top w:val="single" w:color="auto" w:sz="4" w:space="0"/>
              <w:left w:val="single" w:color="auto" w:sz="4" w:space="0"/>
              <w:bottom w:val="nil"/>
              <w:right w:val="single" w:color="auto" w:sz="4" w:space="0"/>
            </w:tcBorders>
          </w:tcPr>
          <w:p w14:paraId="3C5B1E14">
            <w:pPr>
              <w:snapToGrid w:val="0"/>
              <w:rPr>
                <w:rFonts w:ascii="仿宋_GB2312" w:eastAsia="仿宋_GB2312"/>
                <w:sz w:val="24"/>
              </w:rPr>
            </w:pPr>
            <w:r>
              <w:rPr>
                <w:rFonts w:hint="eastAsia" w:ascii="仿宋_GB2312" w:eastAsia="仿宋_GB2312"/>
                <w:sz w:val="24"/>
              </w:rPr>
              <w:t>1</w:t>
            </w:r>
            <w:r>
              <w:rPr>
                <w:rFonts w:hint="eastAsia" w:ascii="仿宋_GB2312" w:hAnsi="宋体" w:eastAsia="仿宋_GB2312"/>
                <w:sz w:val="24"/>
              </w:rPr>
              <w:t>.</w:t>
            </w:r>
            <w:r>
              <w:rPr>
                <w:rFonts w:hint="eastAsia" w:ascii="仿宋_GB2312" w:eastAsia="仿宋_GB2312"/>
                <w:sz w:val="24"/>
              </w:rPr>
              <w:t>供应商承诺具体事项：</w:t>
            </w:r>
          </w:p>
          <w:p w14:paraId="0E9DAB8D">
            <w:pPr>
              <w:snapToGrid w:val="0"/>
              <w:spacing w:line="276" w:lineRule="auto"/>
              <w:rPr>
                <w:rFonts w:ascii="仿宋_GB2312" w:eastAsia="仿宋_GB2312"/>
                <w:sz w:val="24"/>
              </w:rPr>
            </w:pPr>
            <w:r>
              <w:rPr>
                <w:rFonts w:hint="eastAsia" w:ascii="仿宋_GB2312" w:eastAsia="仿宋_GB2312"/>
                <w:sz w:val="24"/>
              </w:rPr>
              <w:t xml:space="preserve">    </w:t>
            </w:r>
          </w:p>
        </w:tc>
      </w:tr>
      <w:tr w14:paraId="3DE59D82">
        <w:tblPrEx>
          <w:tblCellMar>
            <w:top w:w="0" w:type="dxa"/>
            <w:left w:w="108" w:type="dxa"/>
            <w:bottom w:w="0" w:type="dxa"/>
            <w:right w:w="108" w:type="dxa"/>
          </w:tblCellMar>
        </w:tblPrEx>
        <w:trPr>
          <w:trHeight w:val="2133" w:hRule="atLeast"/>
        </w:trPr>
        <w:tc>
          <w:tcPr>
            <w:tcW w:w="9072" w:type="dxa"/>
            <w:gridSpan w:val="2"/>
            <w:tcBorders>
              <w:top w:val="single" w:color="auto" w:sz="4" w:space="0"/>
              <w:left w:val="single" w:color="auto" w:sz="4" w:space="0"/>
              <w:bottom w:val="nil"/>
              <w:right w:val="single" w:color="auto" w:sz="4" w:space="0"/>
            </w:tcBorders>
          </w:tcPr>
          <w:p w14:paraId="7421929B">
            <w:pPr>
              <w:snapToGrid w:val="0"/>
              <w:rPr>
                <w:rFonts w:ascii="仿宋_GB2312" w:eastAsia="仿宋_GB2312"/>
                <w:sz w:val="24"/>
              </w:rPr>
            </w:pPr>
            <w:r>
              <w:rPr>
                <w:rFonts w:hint="eastAsia" w:ascii="仿宋_GB2312" w:eastAsia="仿宋_GB2312"/>
                <w:sz w:val="24"/>
              </w:rPr>
              <w:t>2</w:t>
            </w:r>
            <w:r>
              <w:rPr>
                <w:rFonts w:hint="eastAsia" w:ascii="仿宋_GB2312" w:hAnsi="宋体" w:eastAsia="仿宋_GB2312"/>
                <w:sz w:val="24"/>
              </w:rPr>
              <w:t>.</w:t>
            </w:r>
            <w:r>
              <w:rPr>
                <w:rFonts w:hint="eastAsia" w:ascii="仿宋_GB2312" w:eastAsia="仿宋_GB2312"/>
                <w:sz w:val="24"/>
              </w:rPr>
              <w:t>售后服务具体事项：</w:t>
            </w:r>
          </w:p>
          <w:p w14:paraId="47024A35">
            <w:pPr>
              <w:snapToGrid w:val="0"/>
              <w:spacing w:line="276" w:lineRule="auto"/>
              <w:rPr>
                <w:rFonts w:ascii="仿宋_GB2312" w:eastAsia="仿宋_GB2312"/>
                <w:sz w:val="24"/>
              </w:rPr>
            </w:pPr>
            <w:r>
              <w:rPr>
                <w:rFonts w:hint="eastAsia" w:ascii="仿宋_GB2312" w:eastAsia="仿宋_GB2312"/>
                <w:sz w:val="24"/>
              </w:rPr>
              <w:t xml:space="preserve">    </w:t>
            </w:r>
          </w:p>
        </w:tc>
      </w:tr>
      <w:tr w14:paraId="17AB32E5">
        <w:tblPrEx>
          <w:tblCellMar>
            <w:top w:w="0" w:type="dxa"/>
            <w:left w:w="108" w:type="dxa"/>
            <w:bottom w:w="0" w:type="dxa"/>
            <w:right w:w="108" w:type="dxa"/>
          </w:tblCellMar>
        </w:tblPrEx>
        <w:trPr>
          <w:trHeight w:val="1820" w:hRule="atLeast"/>
        </w:trPr>
        <w:tc>
          <w:tcPr>
            <w:tcW w:w="9072" w:type="dxa"/>
            <w:gridSpan w:val="2"/>
            <w:tcBorders>
              <w:top w:val="single" w:color="auto" w:sz="4" w:space="0"/>
              <w:left w:val="single" w:color="auto" w:sz="4" w:space="0"/>
              <w:bottom w:val="nil"/>
              <w:right w:val="single" w:color="auto" w:sz="4" w:space="0"/>
            </w:tcBorders>
          </w:tcPr>
          <w:p w14:paraId="2CD85E4B">
            <w:pPr>
              <w:snapToGrid w:val="0"/>
              <w:rPr>
                <w:rFonts w:ascii="仿宋_GB2312" w:eastAsia="仿宋_GB2312"/>
                <w:sz w:val="24"/>
              </w:rPr>
            </w:pPr>
            <w:r>
              <w:rPr>
                <w:rFonts w:hint="eastAsia" w:ascii="仿宋_GB2312" w:eastAsia="仿宋_GB2312"/>
                <w:sz w:val="24"/>
              </w:rPr>
              <w:t>3</w:t>
            </w:r>
            <w:r>
              <w:rPr>
                <w:rFonts w:hint="eastAsia" w:ascii="仿宋_GB2312" w:hAnsi="宋体" w:eastAsia="仿宋_GB2312"/>
                <w:sz w:val="24"/>
              </w:rPr>
              <w:t>.</w:t>
            </w:r>
            <w:r>
              <w:rPr>
                <w:rFonts w:hint="eastAsia" w:ascii="仿宋_GB2312" w:eastAsia="仿宋_GB2312"/>
                <w:sz w:val="24"/>
              </w:rPr>
              <w:t>保修期责任：</w:t>
            </w:r>
          </w:p>
          <w:p w14:paraId="03A62377">
            <w:pPr>
              <w:snapToGrid w:val="0"/>
              <w:spacing w:line="276" w:lineRule="auto"/>
              <w:rPr>
                <w:rFonts w:ascii="仿宋_GB2312" w:eastAsia="仿宋_GB2312"/>
                <w:sz w:val="24"/>
              </w:rPr>
            </w:pPr>
            <w:r>
              <w:rPr>
                <w:rFonts w:hint="eastAsia" w:ascii="仿宋_GB2312" w:eastAsia="仿宋_GB2312"/>
                <w:sz w:val="24"/>
              </w:rPr>
              <w:t xml:space="preserve">    </w:t>
            </w:r>
          </w:p>
        </w:tc>
      </w:tr>
      <w:tr w14:paraId="60804F76">
        <w:tblPrEx>
          <w:tblCellMar>
            <w:top w:w="0" w:type="dxa"/>
            <w:left w:w="108" w:type="dxa"/>
            <w:bottom w:w="0" w:type="dxa"/>
            <w:right w:w="108" w:type="dxa"/>
          </w:tblCellMar>
        </w:tblPrEx>
        <w:trPr>
          <w:trHeight w:val="2702" w:hRule="atLeast"/>
        </w:trPr>
        <w:tc>
          <w:tcPr>
            <w:tcW w:w="9072" w:type="dxa"/>
            <w:gridSpan w:val="2"/>
            <w:tcBorders>
              <w:top w:val="single" w:color="auto" w:sz="4" w:space="0"/>
              <w:left w:val="single" w:color="auto" w:sz="4" w:space="0"/>
              <w:bottom w:val="nil"/>
              <w:right w:val="single" w:color="auto" w:sz="4" w:space="0"/>
            </w:tcBorders>
          </w:tcPr>
          <w:p w14:paraId="1DCC4A8B">
            <w:pPr>
              <w:snapToGrid w:val="0"/>
              <w:rPr>
                <w:rFonts w:ascii="仿宋_GB2312" w:eastAsia="仿宋_GB2312"/>
                <w:sz w:val="24"/>
              </w:rPr>
            </w:pPr>
            <w:r>
              <w:rPr>
                <w:rFonts w:hint="eastAsia" w:ascii="仿宋_GB2312" w:eastAsia="仿宋_GB2312"/>
                <w:sz w:val="24"/>
              </w:rPr>
              <w:t>4</w:t>
            </w:r>
            <w:r>
              <w:rPr>
                <w:rFonts w:hint="eastAsia" w:ascii="仿宋_GB2312" w:hAnsi="宋体" w:eastAsia="仿宋_GB2312"/>
                <w:sz w:val="24"/>
              </w:rPr>
              <w:t>.</w:t>
            </w:r>
            <w:r>
              <w:rPr>
                <w:rFonts w:hint="eastAsia" w:ascii="仿宋_GB2312" w:eastAsia="仿宋_GB2312"/>
                <w:sz w:val="24"/>
              </w:rPr>
              <w:t>其他具体事项：</w:t>
            </w:r>
          </w:p>
          <w:p w14:paraId="415477AF">
            <w:pPr>
              <w:snapToGrid w:val="0"/>
              <w:rPr>
                <w:rFonts w:ascii="仿宋_GB2312" w:eastAsia="仿宋_GB2312"/>
                <w:sz w:val="24"/>
              </w:rPr>
            </w:pPr>
          </w:p>
        </w:tc>
      </w:tr>
      <w:tr w14:paraId="6EDAEB65">
        <w:tblPrEx>
          <w:tblCellMar>
            <w:top w:w="0" w:type="dxa"/>
            <w:left w:w="108" w:type="dxa"/>
            <w:bottom w:w="0" w:type="dxa"/>
            <w:right w:w="108" w:type="dxa"/>
          </w:tblCellMar>
        </w:tblPrEx>
        <w:trPr>
          <w:trHeight w:val="2577" w:hRule="atLeast"/>
        </w:trPr>
        <w:tc>
          <w:tcPr>
            <w:tcW w:w="4678" w:type="dxa"/>
            <w:tcBorders>
              <w:top w:val="single" w:color="auto" w:sz="4" w:space="0"/>
              <w:left w:val="single" w:color="auto" w:sz="4" w:space="0"/>
              <w:bottom w:val="single" w:color="auto" w:sz="4" w:space="0"/>
              <w:right w:val="single" w:color="auto" w:sz="4" w:space="0"/>
            </w:tcBorders>
            <w:vAlign w:val="center"/>
          </w:tcPr>
          <w:p w14:paraId="3575485F">
            <w:pPr>
              <w:snapToGrid w:val="0"/>
              <w:spacing w:line="276" w:lineRule="auto"/>
              <w:rPr>
                <w:rFonts w:ascii="仿宋_GB2312" w:eastAsia="仿宋_GB2312"/>
                <w:sz w:val="24"/>
              </w:rPr>
            </w:pPr>
            <w:r>
              <w:rPr>
                <w:rFonts w:hint="eastAsia" w:ascii="仿宋_GB2312" w:eastAsia="仿宋_GB2312"/>
                <w:sz w:val="24"/>
              </w:rPr>
              <w:t>甲方（章）</w:t>
            </w:r>
          </w:p>
          <w:p w14:paraId="6F662A91">
            <w:pPr>
              <w:snapToGrid w:val="0"/>
              <w:spacing w:line="276" w:lineRule="auto"/>
              <w:ind w:firstLine="480" w:firstLineChars="200"/>
              <w:rPr>
                <w:rFonts w:ascii="仿宋_GB2312" w:eastAsia="仿宋_GB2312"/>
                <w:sz w:val="24"/>
              </w:rPr>
            </w:pPr>
          </w:p>
          <w:p w14:paraId="3D7BF682">
            <w:pPr>
              <w:snapToGrid w:val="0"/>
              <w:spacing w:line="276" w:lineRule="auto"/>
              <w:ind w:firstLine="480" w:firstLineChars="200"/>
              <w:rPr>
                <w:rFonts w:ascii="仿宋_GB2312" w:eastAsia="仿宋_GB2312"/>
                <w:sz w:val="24"/>
              </w:rPr>
            </w:pPr>
          </w:p>
          <w:p w14:paraId="57ACC08D">
            <w:pPr>
              <w:snapToGrid w:val="0"/>
              <w:spacing w:line="276" w:lineRule="auto"/>
              <w:ind w:firstLine="480" w:firstLineChars="200"/>
              <w:rPr>
                <w:rFonts w:ascii="仿宋_GB2312" w:eastAsia="仿宋_GB2312"/>
                <w:sz w:val="24"/>
              </w:rPr>
            </w:pPr>
          </w:p>
          <w:p w14:paraId="1963CD92">
            <w:pPr>
              <w:snapToGrid w:val="0"/>
              <w:spacing w:line="276" w:lineRule="auto"/>
              <w:ind w:firstLine="480" w:firstLineChars="200"/>
              <w:rPr>
                <w:rFonts w:ascii="仿宋_GB2312" w:eastAsia="仿宋_GB2312"/>
                <w:sz w:val="24"/>
              </w:rPr>
            </w:pPr>
          </w:p>
          <w:p w14:paraId="24D2268B">
            <w:pPr>
              <w:snapToGrid w:val="0"/>
              <w:spacing w:line="276" w:lineRule="auto"/>
              <w:ind w:firstLine="480" w:firstLineChars="200"/>
              <w:rPr>
                <w:rFonts w:ascii="仿宋_GB2312" w:eastAsia="仿宋_GB2312"/>
                <w:sz w:val="24"/>
              </w:rPr>
            </w:pPr>
          </w:p>
          <w:p w14:paraId="2D1D676E">
            <w:pPr>
              <w:snapToGrid w:val="0"/>
              <w:spacing w:line="276" w:lineRule="auto"/>
              <w:ind w:firstLine="480" w:firstLineChars="200"/>
              <w:rPr>
                <w:rFonts w:ascii="仿宋_GB2312" w:eastAsia="仿宋_GB2312"/>
                <w:sz w:val="24"/>
              </w:rPr>
            </w:pPr>
          </w:p>
          <w:p w14:paraId="5C15C4FF">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 </w:t>
            </w:r>
          </w:p>
        </w:tc>
        <w:tc>
          <w:tcPr>
            <w:tcW w:w="4394" w:type="dxa"/>
            <w:tcBorders>
              <w:top w:val="single" w:color="auto" w:sz="4" w:space="0"/>
              <w:left w:val="single" w:color="auto" w:sz="4" w:space="0"/>
              <w:bottom w:val="single" w:color="auto" w:sz="4" w:space="0"/>
              <w:right w:val="single" w:color="auto" w:sz="4" w:space="0"/>
            </w:tcBorders>
            <w:vAlign w:val="center"/>
          </w:tcPr>
          <w:p w14:paraId="4A3342E7">
            <w:pPr>
              <w:snapToGrid w:val="0"/>
              <w:spacing w:line="276" w:lineRule="auto"/>
              <w:rPr>
                <w:rFonts w:ascii="仿宋_GB2312" w:eastAsia="仿宋_GB2312"/>
                <w:sz w:val="24"/>
              </w:rPr>
            </w:pPr>
            <w:r>
              <w:rPr>
                <w:rFonts w:hint="eastAsia" w:ascii="仿宋_GB2312" w:eastAsia="仿宋_GB2312"/>
                <w:sz w:val="24"/>
              </w:rPr>
              <w:t>乙方（章）</w:t>
            </w:r>
          </w:p>
          <w:p w14:paraId="2B9A70B6">
            <w:pPr>
              <w:snapToGrid w:val="0"/>
              <w:spacing w:line="276" w:lineRule="auto"/>
              <w:ind w:firstLine="480" w:firstLineChars="200"/>
              <w:rPr>
                <w:rFonts w:ascii="仿宋_GB2312" w:eastAsia="仿宋_GB2312"/>
                <w:sz w:val="24"/>
              </w:rPr>
            </w:pPr>
          </w:p>
          <w:p w14:paraId="5EE2B2F5">
            <w:pPr>
              <w:snapToGrid w:val="0"/>
              <w:spacing w:line="276" w:lineRule="auto"/>
              <w:ind w:firstLine="480" w:firstLineChars="200"/>
              <w:rPr>
                <w:rFonts w:ascii="仿宋_GB2312" w:eastAsia="仿宋_GB2312"/>
                <w:sz w:val="24"/>
              </w:rPr>
            </w:pPr>
          </w:p>
          <w:p w14:paraId="39F84DBA">
            <w:pPr>
              <w:snapToGrid w:val="0"/>
              <w:spacing w:line="276" w:lineRule="auto"/>
              <w:ind w:firstLine="480" w:firstLineChars="200"/>
              <w:rPr>
                <w:rFonts w:ascii="仿宋_GB2312" w:eastAsia="仿宋_GB2312"/>
                <w:sz w:val="24"/>
              </w:rPr>
            </w:pPr>
          </w:p>
          <w:p w14:paraId="05CAA18E">
            <w:pPr>
              <w:snapToGrid w:val="0"/>
              <w:spacing w:line="276" w:lineRule="auto"/>
              <w:ind w:firstLine="480" w:firstLineChars="200"/>
              <w:rPr>
                <w:rFonts w:ascii="仿宋_GB2312" w:eastAsia="仿宋_GB2312"/>
                <w:sz w:val="24"/>
              </w:rPr>
            </w:pPr>
          </w:p>
          <w:p w14:paraId="49A474EA">
            <w:pPr>
              <w:snapToGrid w:val="0"/>
              <w:spacing w:line="276" w:lineRule="auto"/>
              <w:ind w:firstLine="480" w:firstLineChars="200"/>
              <w:rPr>
                <w:rFonts w:ascii="仿宋_GB2312" w:eastAsia="仿宋_GB2312"/>
                <w:sz w:val="24"/>
              </w:rPr>
            </w:pPr>
          </w:p>
          <w:p w14:paraId="452614EB">
            <w:pPr>
              <w:snapToGrid w:val="0"/>
              <w:spacing w:line="276" w:lineRule="auto"/>
              <w:ind w:firstLine="480" w:firstLineChars="200"/>
              <w:rPr>
                <w:rFonts w:ascii="仿宋_GB2312" w:eastAsia="仿宋_GB2312"/>
                <w:sz w:val="24"/>
              </w:rPr>
            </w:pPr>
          </w:p>
          <w:p w14:paraId="60FD4207">
            <w:pPr>
              <w:snapToGrid w:val="0"/>
              <w:spacing w:line="276" w:lineRule="auto"/>
              <w:ind w:firstLine="480" w:firstLineChars="200"/>
              <w:rPr>
                <w:rFonts w:ascii="仿宋_GB2312" w:eastAsia="仿宋_GB2312"/>
                <w:sz w:val="24"/>
              </w:rPr>
            </w:pPr>
            <w:r>
              <w:rPr>
                <w:rFonts w:hint="eastAsia" w:ascii="仿宋_GB2312" w:eastAsia="仿宋_GB2312"/>
                <w:sz w:val="24"/>
              </w:rPr>
              <w:t xml:space="preserve">                年   月   日</w:t>
            </w:r>
          </w:p>
        </w:tc>
      </w:tr>
    </w:tbl>
    <w:p w14:paraId="4BCC5426">
      <w:pPr>
        <w:snapToGrid w:val="0"/>
        <w:ind w:firstLine="480" w:firstLineChars="200"/>
        <w:rPr>
          <w:rFonts w:ascii="仿宋_GB2312" w:eastAsia="仿宋_GB2312"/>
          <w:sz w:val="24"/>
        </w:rPr>
      </w:pPr>
      <w:r>
        <w:rPr>
          <w:rFonts w:hint="eastAsia" w:ascii="仿宋_GB2312" w:eastAsia="仿宋_GB2312"/>
          <w:sz w:val="24"/>
        </w:rPr>
        <w:t>注：售后服务事项填不下时可另加附页</w:t>
      </w:r>
    </w:p>
    <w:p w14:paraId="6C0FD8D2">
      <w:pPr>
        <w:snapToGrid w:val="0"/>
        <w:ind w:firstLine="480" w:firstLineChars="200"/>
        <w:rPr>
          <w:rFonts w:ascii="仿宋_GB2312" w:eastAsia="仿宋_GB2312"/>
          <w:sz w:val="24"/>
        </w:rPr>
        <w:sectPr>
          <w:pgSz w:w="11906" w:h="16838"/>
          <w:pgMar w:top="1440" w:right="1440" w:bottom="1440" w:left="1440" w:header="851" w:footer="992" w:gutter="0"/>
          <w:cols w:space="720" w:num="1"/>
          <w:docGrid w:linePitch="312" w:charSpace="0"/>
        </w:sectPr>
      </w:pPr>
    </w:p>
    <w:p w14:paraId="2EE0603C">
      <w:pPr>
        <w:spacing w:before="120" w:beforeLines="50" w:after="480" w:afterLines="200" w:line="340" w:lineRule="exact"/>
        <w:jc w:val="center"/>
        <w:rPr>
          <w:b/>
          <w:kern w:val="0"/>
          <w:sz w:val="32"/>
          <w:szCs w:val="32"/>
        </w:rPr>
      </w:pPr>
      <w:r>
        <w:rPr>
          <w:rFonts w:hint="eastAsia"/>
          <w:b/>
          <w:bCs/>
          <w:kern w:val="0"/>
          <w:sz w:val="32"/>
          <w:szCs w:val="32"/>
        </w:rPr>
        <w:t>广西壮族自治区政府采购项目</w:t>
      </w:r>
      <w:r>
        <w:rPr>
          <w:rFonts w:hint="eastAsia"/>
          <w:b/>
          <w:kern w:val="0"/>
          <w:sz w:val="32"/>
          <w:szCs w:val="32"/>
        </w:rPr>
        <w:t>合同验收书（格式）</w:t>
      </w:r>
    </w:p>
    <w:p w14:paraId="70D89757">
      <w:pPr>
        <w:spacing w:line="340" w:lineRule="exact"/>
        <w:ind w:firstLine="420" w:firstLineChars="200"/>
        <w:rPr>
          <w:rFonts w:ascii="仿宋_GB2312" w:eastAsia="仿宋_GB2312"/>
          <w:kern w:val="0"/>
          <w:szCs w:val="21"/>
        </w:rPr>
      </w:pPr>
      <w:r>
        <w:rPr>
          <w:rFonts w:hint="eastAsia" w:ascii="仿宋_GB2312" w:eastAsia="仿宋_GB2312"/>
          <w:kern w:val="0"/>
          <w:szCs w:val="21"/>
        </w:rPr>
        <w:t>根据政府采购项目（采购合同编号：</w:t>
      </w:r>
      <w:r>
        <w:rPr>
          <w:rFonts w:hint="eastAsia" w:ascii="仿宋_GB2312" w:eastAsia="仿宋_GB2312"/>
          <w:kern w:val="0"/>
          <w:szCs w:val="21"/>
        </w:rPr>
        <w:softHyphen/>
      </w:r>
      <w:r>
        <w:rPr>
          <w:rFonts w:hint="eastAsia" w:eastAsia="仿宋_GB2312"/>
          <w:kern w:val="0"/>
          <w:szCs w:val="21"/>
        </w:rPr>
        <w:t>   </w:t>
      </w:r>
      <w:r>
        <w:rPr>
          <w:rFonts w:hint="eastAsia" w:ascii="仿宋_GB2312" w:eastAsia="仿宋_GB2312"/>
          <w:kern w:val="0"/>
          <w:szCs w:val="21"/>
        </w:rPr>
        <w:t>）的约定，我单位对</w:t>
      </w:r>
      <w:r>
        <w:rPr>
          <w:rFonts w:hint="eastAsia" w:ascii="仿宋_GB2312" w:eastAsia="仿宋_GB2312"/>
          <w:kern w:val="0"/>
          <w:szCs w:val="21"/>
          <w:u w:val="single"/>
        </w:rPr>
        <w:t>（ 项目名称 ）</w:t>
      </w:r>
      <w:r>
        <w:rPr>
          <w:rFonts w:hint="eastAsia" w:ascii="仿宋_GB2312" w:eastAsia="仿宋_GB2312"/>
          <w:kern w:val="0"/>
          <w:szCs w:val="21"/>
        </w:rPr>
        <w:t>政府采购项目中标供应商</w:t>
      </w:r>
      <w:r>
        <w:rPr>
          <w:rFonts w:hint="eastAsia" w:ascii="仿宋_GB2312" w:eastAsia="仿宋_GB2312"/>
          <w:kern w:val="0"/>
          <w:szCs w:val="21"/>
          <w:u w:val="single"/>
        </w:rPr>
        <w:t>（ 公司名称 ）</w:t>
      </w:r>
      <w:r>
        <w:rPr>
          <w:rFonts w:hint="eastAsia" w:ascii="仿宋_GB2312" w:eastAsia="仿宋_GB2312"/>
          <w:kern w:val="0"/>
          <w:szCs w:val="21"/>
        </w:rPr>
        <w:t>提供的货物进行了验收，验收情况如下：</w:t>
      </w:r>
    </w:p>
    <w:tbl>
      <w:tblPr>
        <w:tblStyle w:val="48"/>
        <w:tblW w:w="962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984"/>
        <w:gridCol w:w="426"/>
        <w:gridCol w:w="2551"/>
        <w:gridCol w:w="98"/>
        <w:gridCol w:w="1556"/>
        <w:gridCol w:w="1487"/>
      </w:tblGrid>
      <w:tr w14:paraId="71529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510" w:type="dxa"/>
            <w:gridSpan w:val="2"/>
            <w:tcBorders>
              <w:top w:val="single" w:color="auto" w:sz="4" w:space="0"/>
              <w:left w:val="single" w:color="auto" w:sz="4" w:space="0"/>
              <w:bottom w:val="single" w:color="auto" w:sz="4" w:space="0"/>
              <w:right w:val="single" w:color="auto" w:sz="4" w:space="0"/>
            </w:tcBorders>
          </w:tcPr>
          <w:p w14:paraId="5333E87F">
            <w:pPr>
              <w:spacing w:line="340" w:lineRule="exact"/>
              <w:jc w:val="center"/>
              <w:rPr>
                <w:rFonts w:ascii="仿宋_GB2312" w:eastAsia="仿宋_GB2312"/>
                <w:b/>
                <w:szCs w:val="21"/>
              </w:rPr>
            </w:pPr>
            <w:r>
              <w:rPr>
                <w:rFonts w:hint="eastAsia" w:ascii="仿宋_GB2312" w:eastAsia="仿宋_GB2312"/>
                <w:kern w:val="0"/>
                <w:szCs w:val="21"/>
              </w:rPr>
              <w:t>验收方式：</w:t>
            </w:r>
          </w:p>
        </w:tc>
        <w:tc>
          <w:tcPr>
            <w:tcW w:w="6118" w:type="dxa"/>
            <w:gridSpan w:val="5"/>
            <w:tcBorders>
              <w:top w:val="single" w:color="auto" w:sz="4" w:space="0"/>
              <w:left w:val="single" w:color="auto" w:sz="4" w:space="0"/>
              <w:bottom w:val="single" w:color="auto" w:sz="4" w:space="0"/>
              <w:right w:val="single" w:color="auto" w:sz="4" w:space="0"/>
            </w:tcBorders>
          </w:tcPr>
          <w:p w14:paraId="096B3811">
            <w:pPr>
              <w:spacing w:line="340" w:lineRule="exact"/>
              <w:jc w:val="center"/>
              <w:rPr>
                <w:rFonts w:ascii="仿宋_GB2312" w:eastAsia="仿宋_GB2312"/>
                <w:b/>
                <w:szCs w:val="21"/>
              </w:rPr>
            </w:pPr>
            <w:r>
              <w:rPr>
                <w:rFonts w:hint="eastAsia" w:ascii="仿宋_GB2312" w:eastAsia="仿宋_GB2312"/>
                <w:kern w:val="0"/>
                <w:szCs w:val="21"/>
              </w:rPr>
              <w:t>□自行验收</w:t>
            </w:r>
            <w:r>
              <w:rPr>
                <w:rFonts w:eastAsia="仿宋_GB2312"/>
                <w:kern w:val="0"/>
                <w:szCs w:val="21"/>
              </w:rPr>
              <w:t>    </w:t>
            </w:r>
            <w:r>
              <w:rPr>
                <w:rFonts w:hint="eastAsia" w:ascii="仿宋_GB2312" w:eastAsia="仿宋_GB2312"/>
                <w:kern w:val="0"/>
                <w:szCs w:val="21"/>
              </w:rPr>
              <w:t>□委托验收</w:t>
            </w:r>
          </w:p>
        </w:tc>
      </w:tr>
      <w:tr w14:paraId="5ED57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0831D79C">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序号</w:t>
            </w:r>
          </w:p>
        </w:tc>
        <w:tc>
          <w:tcPr>
            <w:tcW w:w="1984" w:type="dxa"/>
            <w:tcBorders>
              <w:top w:val="single" w:color="auto" w:sz="4" w:space="0"/>
              <w:left w:val="single" w:color="auto" w:sz="4" w:space="0"/>
              <w:bottom w:val="single" w:color="auto" w:sz="4" w:space="0"/>
              <w:right w:val="single" w:color="auto" w:sz="4" w:space="0"/>
            </w:tcBorders>
            <w:vAlign w:val="center"/>
          </w:tcPr>
          <w:p w14:paraId="7B2943AD">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名</w:t>
            </w:r>
            <w:r>
              <w:rPr>
                <w:rFonts w:eastAsia="仿宋_GB2312"/>
                <w:kern w:val="0"/>
                <w:szCs w:val="21"/>
              </w:rPr>
              <w:t> </w:t>
            </w:r>
            <w:r>
              <w:rPr>
                <w:rFonts w:hint="eastAsia" w:ascii="仿宋_GB2312" w:eastAsia="仿宋_GB2312"/>
                <w:kern w:val="0"/>
                <w:szCs w:val="21"/>
              </w:rPr>
              <w:t>称</w:t>
            </w: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7916330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货物型号规格、标准及配置等</w:t>
            </w:r>
          </w:p>
        </w:tc>
        <w:tc>
          <w:tcPr>
            <w:tcW w:w="1556" w:type="dxa"/>
            <w:tcBorders>
              <w:top w:val="single" w:color="auto" w:sz="4" w:space="0"/>
              <w:left w:val="single" w:color="auto" w:sz="4" w:space="0"/>
              <w:bottom w:val="single" w:color="auto" w:sz="4" w:space="0"/>
              <w:right w:val="single" w:color="auto" w:sz="4" w:space="0"/>
            </w:tcBorders>
            <w:vAlign w:val="center"/>
          </w:tcPr>
          <w:p w14:paraId="63B0F5C0">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数量</w:t>
            </w:r>
          </w:p>
        </w:tc>
        <w:tc>
          <w:tcPr>
            <w:tcW w:w="1487" w:type="dxa"/>
            <w:tcBorders>
              <w:top w:val="single" w:color="auto" w:sz="4" w:space="0"/>
              <w:left w:val="single" w:color="auto" w:sz="4" w:space="0"/>
              <w:bottom w:val="single" w:color="auto" w:sz="4" w:space="0"/>
              <w:right w:val="single" w:color="auto" w:sz="4" w:space="0"/>
            </w:tcBorders>
            <w:vAlign w:val="center"/>
          </w:tcPr>
          <w:p w14:paraId="16D0AEFA">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金</w:t>
            </w:r>
            <w:r>
              <w:rPr>
                <w:rFonts w:eastAsia="仿宋_GB2312"/>
                <w:kern w:val="0"/>
                <w:szCs w:val="21"/>
              </w:rPr>
              <w:t> </w:t>
            </w:r>
            <w:r>
              <w:rPr>
                <w:rFonts w:hint="eastAsia" w:ascii="仿宋_GB2312" w:eastAsia="仿宋_GB2312"/>
                <w:kern w:val="0"/>
                <w:szCs w:val="21"/>
              </w:rPr>
              <w:t>额</w:t>
            </w:r>
          </w:p>
        </w:tc>
      </w:tr>
      <w:tr w14:paraId="60DDA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EAA897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2F677D7B">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3045B1D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7CC3B2D5">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7AB084A5">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7E003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31ED6485">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7B360B71">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6361F90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409BF2BD">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39BC0B09">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17E0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tcBorders>
              <w:top w:val="single" w:color="auto" w:sz="4" w:space="0"/>
              <w:left w:val="single" w:color="auto" w:sz="4" w:space="0"/>
              <w:bottom w:val="single" w:color="auto" w:sz="4" w:space="0"/>
              <w:right w:val="single" w:color="auto" w:sz="4" w:space="0"/>
            </w:tcBorders>
            <w:vAlign w:val="center"/>
          </w:tcPr>
          <w:p w14:paraId="68896E1A">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984" w:type="dxa"/>
            <w:tcBorders>
              <w:top w:val="single" w:color="auto" w:sz="4" w:space="0"/>
              <w:left w:val="single" w:color="auto" w:sz="4" w:space="0"/>
              <w:bottom w:val="single" w:color="auto" w:sz="4" w:space="0"/>
              <w:right w:val="single" w:color="auto" w:sz="4" w:space="0"/>
            </w:tcBorders>
            <w:vAlign w:val="center"/>
          </w:tcPr>
          <w:p w14:paraId="7B51BD1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3075" w:type="dxa"/>
            <w:gridSpan w:val="3"/>
            <w:tcBorders>
              <w:top w:val="single" w:color="auto" w:sz="4" w:space="0"/>
              <w:left w:val="single" w:color="auto" w:sz="4" w:space="0"/>
              <w:bottom w:val="single" w:color="auto" w:sz="4" w:space="0"/>
              <w:right w:val="single" w:color="auto" w:sz="4" w:space="0"/>
            </w:tcBorders>
            <w:vAlign w:val="center"/>
          </w:tcPr>
          <w:p w14:paraId="09CF75BF">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1556" w:type="dxa"/>
            <w:tcBorders>
              <w:top w:val="single" w:color="auto" w:sz="4" w:space="0"/>
              <w:left w:val="single" w:color="auto" w:sz="4" w:space="0"/>
              <w:bottom w:val="single" w:color="auto" w:sz="4" w:space="0"/>
              <w:right w:val="single" w:color="auto" w:sz="4" w:space="0"/>
            </w:tcBorders>
            <w:vAlign w:val="center"/>
          </w:tcPr>
          <w:p w14:paraId="76E4CCF7">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429822DB">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33ECE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85" w:type="dxa"/>
            <w:gridSpan w:val="5"/>
            <w:tcBorders>
              <w:top w:val="single" w:color="auto" w:sz="4" w:space="0"/>
              <w:left w:val="single" w:color="auto" w:sz="4" w:space="0"/>
              <w:bottom w:val="single" w:color="auto" w:sz="4" w:space="0"/>
              <w:right w:val="single" w:color="auto" w:sz="4" w:space="0"/>
            </w:tcBorders>
            <w:vAlign w:val="center"/>
          </w:tcPr>
          <w:p w14:paraId="39E9F401">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w:t>
            </w:r>
            <w:r>
              <w:rPr>
                <w:rFonts w:eastAsia="仿宋_GB2312"/>
                <w:kern w:val="0"/>
                <w:szCs w:val="21"/>
              </w:rPr>
              <w:t>  </w:t>
            </w:r>
            <w:r>
              <w:rPr>
                <w:rFonts w:hint="eastAsia" w:ascii="仿宋_GB2312" w:eastAsia="仿宋_GB2312"/>
                <w:kern w:val="0"/>
                <w:szCs w:val="21"/>
              </w:rPr>
              <w:t>计</w:t>
            </w:r>
          </w:p>
        </w:tc>
        <w:tc>
          <w:tcPr>
            <w:tcW w:w="1556" w:type="dxa"/>
            <w:tcBorders>
              <w:top w:val="single" w:color="auto" w:sz="4" w:space="0"/>
              <w:left w:val="single" w:color="auto" w:sz="4" w:space="0"/>
              <w:bottom w:val="single" w:color="auto" w:sz="4" w:space="0"/>
              <w:right w:val="single" w:color="auto" w:sz="4" w:space="0"/>
            </w:tcBorders>
            <w:vAlign w:val="center"/>
          </w:tcPr>
          <w:p w14:paraId="5F429EF5">
            <w:pPr>
              <w:widowControl/>
              <w:snapToGrid w:val="0"/>
              <w:spacing w:before="100" w:beforeAutospacing="1" w:after="100" w:afterAutospacing="1" w:line="320" w:lineRule="atLeast"/>
              <w:jc w:val="center"/>
              <w:rPr>
                <w:rFonts w:ascii="仿宋_GB2312" w:eastAsia="仿宋_GB2312"/>
                <w:kern w:val="0"/>
                <w:szCs w:val="21"/>
              </w:rPr>
            </w:pPr>
          </w:p>
        </w:tc>
        <w:tc>
          <w:tcPr>
            <w:tcW w:w="1487" w:type="dxa"/>
            <w:tcBorders>
              <w:top w:val="single" w:color="auto" w:sz="4" w:space="0"/>
              <w:left w:val="single" w:color="auto" w:sz="4" w:space="0"/>
              <w:bottom w:val="single" w:color="auto" w:sz="4" w:space="0"/>
              <w:right w:val="single" w:color="auto" w:sz="4" w:space="0"/>
            </w:tcBorders>
            <w:vAlign w:val="center"/>
          </w:tcPr>
          <w:p w14:paraId="19D8F99E">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66526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22C1226D">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合计大写金额：</w:t>
            </w:r>
            <w:r>
              <w:rPr>
                <w:rFonts w:eastAsia="仿宋_GB2312"/>
                <w:kern w:val="0"/>
                <w:szCs w:val="21"/>
              </w:rPr>
              <w:t> </w:t>
            </w:r>
            <w:r>
              <w:rPr>
                <w:rFonts w:hint="eastAsia" w:ascii="仿宋_GB2312" w:eastAsia="仿宋_GB2312"/>
                <w:kern w:val="0"/>
                <w:szCs w:val="21"/>
              </w:rPr>
              <w:t xml:space="preserve"> </w:t>
            </w:r>
          </w:p>
        </w:tc>
      </w:tr>
      <w:tr w14:paraId="41BB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 w:hRule="atLeast"/>
        </w:trPr>
        <w:tc>
          <w:tcPr>
            <w:tcW w:w="1526" w:type="dxa"/>
            <w:tcBorders>
              <w:top w:val="single" w:color="auto" w:sz="4" w:space="0"/>
              <w:left w:val="single" w:color="auto" w:sz="4" w:space="0"/>
              <w:bottom w:val="single" w:color="auto" w:sz="4" w:space="0"/>
              <w:right w:val="single" w:color="auto" w:sz="4" w:space="0"/>
            </w:tcBorders>
            <w:vAlign w:val="center"/>
          </w:tcPr>
          <w:p w14:paraId="0205DDB3">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实际供货日期</w:t>
            </w: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3616C683">
            <w:pPr>
              <w:widowControl/>
              <w:snapToGrid w:val="0"/>
              <w:spacing w:before="100" w:beforeAutospacing="1" w:after="100" w:afterAutospacing="1" w:line="320" w:lineRule="atLeast"/>
              <w:ind w:firstLine="2"/>
              <w:jc w:val="center"/>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22CA690F">
            <w:pPr>
              <w:widowControl/>
              <w:snapToGrid w:val="0"/>
              <w:spacing w:before="100" w:beforeAutospacing="1" w:after="100" w:afterAutospacing="1" w:line="320" w:lineRule="atLeast"/>
              <w:ind w:firstLine="2"/>
              <w:jc w:val="center"/>
              <w:rPr>
                <w:rFonts w:ascii="仿宋_GB2312" w:eastAsia="仿宋_GB2312"/>
                <w:kern w:val="0"/>
                <w:szCs w:val="21"/>
              </w:rPr>
            </w:pPr>
            <w:r>
              <w:rPr>
                <w:rFonts w:hint="eastAsia" w:ascii="仿宋_GB2312" w:eastAsia="仿宋_GB2312"/>
                <w:kern w:val="0"/>
                <w:szCs w:val="21"/>
              </w:rPr>
              <w:t>合同交货验收日期</w:t>
            </w: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4A2D2A48">
            <w:pPr>
              <w:widowControl/>
              <w:snapToGrid w:val="0"/>
              <w:spacing w:before="100" w:beforeAutospacing="1" w:after="100" w:afterAutospacing="1" w:line="320" w:lineRule="atLeast"/>
              <w:ind w:firstLine="2"/>
              <w:jc w:val="center"/>
              <w:rPr>
                <w:rFonts w:ascii="仿宋_GB2312" w:eastAsia="仿宋_GB2312"/>
                <w:kern w:val="0"/>
                <w:szCs w:val="21"/>
              </w:rPr>
            </w:pPr>
          </w:p>
        </w:tc>
      </w:tr>
      <w:tr w14:paraId="22A7E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 w:hRule="atLeast"/>
        </w:trPr>
        <w:tc>
          <w:tcPr>
            <w:tcW w:w="1526" w:type="dxa"/>
            <w:tcBorders>
              <w:top w:val="single" w:color="auto" w:sz="4" w:space="0"/>
              <w:left w:val="single" w:color="auto" w:sz="4" w:space="0"/>
              <w:bottom w:val="single" w:color="auto" w:sz="4" w:space="0"/>
              <w:right w:val="single" w:color="auto" w:sz="4" w:space="0"/>
            </w:tcBorders>
            <w:vAlign w:val="center"/>
          </w:tcPr>
          <w:p w14:paraId="621CA62B">
            <w:pPr>
              <w:widowControl/>
              <w:snapToGrid w:val="0"/>
              <w:spacing w:before="100" w:beforeAutospacing="1" w:after="100" w:afterAutospacing="1" w:line="320" w:lineRule="atLeast"/>
              <w:ind w:firstLine="2"/>
              <w:jc w:val="left"/>
              <w:rPr>
                <w:rFonts w:ascii="仿宋_GB2312" w:eastAsia="仿宋_GB2312"/>
                <w:kern w:val="0"/>
                <w:szCs w:val="21"/>
              </w:rPr>
            </w:pPr>
          </w:p>
        </w:tc>
        <w:tc>
          <w:tcPr>
            <w:tcW w:w="2410" w:type="dxa"/>
            <w:gridSpan w:val="2"/>
            <w:tcBorders>
              <w:top w:val="single" w:color="auto" w:sz="4" w:space="0"/>
              <w:left w:val="single" w:color="auto" w:sz="4" w:space="0"/>
              <w:bottom w:val="single" w:color="auto" w:sz="4" w:space="0"/>
              <w:right w:val="single" w:color="auto" w:sz="4" w:space="0"/>
            </w:tcBorders>
            <w:vAlign w:val="center"/>
          </w:tcPr>
          <w:p w14:paraId="001F9CE9">
            <w:pPr>
              <w:widowControl/>
              <w:snapToGrid w:val="0"/>
              <w:spacing w:before="100" w:beforeAutospacing="1" w:after="100" w:afterAutospacing="1" w:line="320" w:lineRule="atLeast"/>
              <w:ind w:firstLine="2"/>
              <w:jc w:val="left"/>
              <w:rPr>
                <w:rFonts w:ascii="仿宋_GB2312" w:eastAsia="仿宋_GB2312"/>
                <w:kern w:val="0"/>
                <w:szCs w:val="21"/>
              </w:rPr>
            </w:pPr>
          </w:p>
        </w:tc>
        <w:tc>
          <w:tcPr>
            <w:tcW w:w="2551" w:type="dxa"/>
            <w:tcBorders>
              <w:top w:val="single" w:color="auto" w:sz="4" w:space="0"/>
              <w:left w:val="single" w:color="auto" w:sz="4" w:space="0"/>
              <w:bottom w:val="single" w:color="auto" w:sz="4" w:space="0"/>
              <w:right w:val="single" w:color="auto" w:sz="4" w:space="0"/>
            </w:tcBorders>
            <w:vAlign w:val="center"/>
          </w:tcPr>
          <w:p w14:paraId="57D34F97">
            <w:pPr>
              <w:widowControl/>
              <w:snapToGrid w:val="0"/>
              <w:spacing w:before="100" w:beforeAutospacing="1" w:after="100" w:afterAutospacing="1" w:line="320" w:lineRule="atLeast"/>
              <w:ind w:firstLine="2"/>
              <w:jc w:val="left"/>
              <w:rPr>
                <w:rFonts w:ascii="仿宋_GB2312" w:eastAsia="仿宋_GB2312"/>
                <w:kern w:val="0"/>
                <w:szCs w:val="21"/>
              </w:rPr>
            </w:pPr>
          </w:p>
        </w:tc>
        <w:tc>
          <w:tcPr>
            <w:tcW w:w="3141" w:type="dxa"/>
            <w:gridSpan w:val="3"/>
            <w:tcBorders>
              <w:top w:val="single" w:color="auto" w:sz="4" w:space="0"/>
              <w:left w:val="single" w:color="auto" w:sz="4" w:space="0"/>
              <w:bottom w:val="single" w:color="auto" w:sz="4" w:space="0"/>
              <w:right w:val="single" w:color="auto" w:sz="4" w:space="0"/>
            </w:tcBorders>
            <w:vAlign w:val="center"/>
          </w:tcPr>
          <w:p w14:paraId="60A12F7E">
            <w:pPr>
              <w:widowControl/>
              <w:snapToGrid w:val="0"/>
              <w:spacing w:before="100" w:beforeAutospacing="1" w:after="100" w:afterAutospacing="1" w:line="320" w:lineRule="atLeast"/>
              <w:ind w:firstLine="2"/>
              <w:jc w:val="left"/>
              <w:rPr>
                <w:rFonts w:ascii="仿宋_GB2312" w:eastAsia="仿宋_GB2312"/>
                <w:kern w:val="0"/>
                <w:szCs w:val="21"/>
              </w:rPr>
            </w:pPr>
          </w:p>
        </w:tc>
      </w:tr>
      <w:tr w14:paraId="34DD9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trPr>
        <w:tc>
          <w:tcPr>
            <w:tcW w:w="1526" w:type="dxa"/>
            <w:tcBorders>
              <w:top w:val="single" w:color="auto" w:sz="4" w:space="0"/>
              <w:left w:val="single" w:color="auto" w:sz="4" w:space="0"/>
              <w:bottom w:val="single" w:color="auto" w:sz="4" w:space="0"/>
              <w:right w:val="single" w:color="auto" w:sz="4" w:space="0"/>
            </w:tcBorders>
            <w:vAlign w:val="center"/>
          </w:tcPr>
          <w:p w14:paraId="1DADAC2E">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验收具体内容</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2AB31FF4">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hAnsi="宋体" w:eastAsia="仿宋_GB2312" w:cs="宋体"/>
                <w:kern w:val="0"/>
                <w:szCs w:val="21"/>
              </w:rPr>
              <w:t>（应按采购合同、采购文件、投标文件及验收方案等进行验收；并核对中标供应商在安装调试等方面是否违反合同约定或服务规范要求、提供的质量保证证明材料是否齐全、应有的配件及附件是否达到合同约定等。可附件)</w:t>
            </w:r>
          </w:p>
        </w:tc>
      </w:tr>
      <w:tr w14:paraId="374FE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7" w:hRule="atLeast"/>
        </w:trPr>
        <w:tc>
          <w:tcPr>
            <w:tcW w:w="1526" w:type="dxa"/>
            <w:vMerge w:val="restart"/>
            <w:tcBorders>
              <w:top w:val="single" w:color="auto" w:sz="4" w:space="0"/>
              <w:left w:val="single" w:color="auto" w:sz="4" w:space="0"/>
              <w:bottom w:val="single" w:color="auto" w:sz="4" w:space="0"/>
              <w:right w:val="single" w:color="auto" w:sz="4" w:space="0"/>
            </w:tcBorders>
            <w:vAlign w:val="center"/>
          </w:tcPr>
          <w:p w14:paraId="3355C766">
            <w:pPr>
              <w:widowControl/>
              <w:snapToGrid w:val="0"/>
              <w:spacing w:before="100" w:beforeAutospacing="1" w:after="100" w:afterAutospacing="1" w:line="320" w:lineRule="atLeast"/>
              <w:ind w:firstLine="2"/>
              <w:jc w:val="left"/>
              <w:rPr>
                <w:rFonts w:ascii="仿宋_GB2312" w:eastAsia="仿宋_GB2312"/>
                <w:kern w:val="0"/>
                <w:szCs w:val="21"/>
              </w:rPr>
            </w:pPr>
            <w:r>
              <w:rPr>
                <w:rFonts w:hint="eastAsia" w:ascii="仿宋_GB2312" w:eastAsia="仿宋_GB2312"/>
                <w:kern w:val="0"/>
                <w:szCs w:val="21"/>
              </w:rPr>
              <w:t>验收小组意见</w:t>
            </w: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7CCF505E">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验收结论性意见：</w:t>
            </w:r>
          </w:p>
          <w:p w14:paraId="384B2ED2">
            <w:pPr>
              <w:widowControl/>
              <w:snapToGrid w:val="0"/>
              <w:spacing w:before="100" w:beforeAutospacing="1" w:after="100" w:afterAutospacing="1" w:line="320" w:lineRule="atLeast"/>
              <w:jc w:val="left"/>
              <w:rPr>
                <w:rFonts w:ascii="仿宋_GB2312" w:eastAsia="仿宋_GB2312"/>
                <w:kern w:val="0"/>
                <w:szCs w:val="21"/>
              </w:rPr>
            </w:pPr>
          </w:p>
        </w:tc>
      </w:tr>
      <w:tr w14:paraId="0B681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6" w:type="dxa"/>
            <w:vMerge w:val="continue"/>
            <w:tcBorders>
              <w:top w:val="single" w:color="auto" w:sz="4" w:space="0"/>
              <w:left w:val="single" w:color="auto" w:sz="4" w:space="0"/>
              <w:bottom w:val="single" w:color="auto" w:sz="4" w:space="0"/>
              <w:right w:val="single" w:color="auto" w:sz="4" w:space="0"/>
            </w:tcBorders>
            <w:vAlign w:val="center"/>
          </w:tcPr>
          <w:p w14:paraId="1060D930">
            <w:pPr>
              <w:widowControl/>
              <w:jc w:val="left"/>
              <w:rPr>
                <w:rFonts w:ascii="仿宋_GB2312" w:eastAsia="仿宋_GB2312"/>
                <w:kern w:val="0"/>
                <w:szCs w:val="21"/>
              </w:rPr>
            </w:pPr>
          </w:p>
        </w:tc>
        <w:tc>
          <w:tcPr>
            <w:tcW w:w="8102" w:type="dxa"/>
            <w:gridSpan w:val="6"/>
            <w:tcBorders>
              <w:top w:val="single" w:color="auto" w:sz="4" w:space="0"/>
              <w:left w:val="single" w:color="auto" w:sz="4" w:space="0"/>
              <w:bottom w:val="single" w:color="auto" w:sz="4" w:space="0"/>
              <w:right w:val="single" w:color="auto" w:sz="4" w:space="0"/>
            </w:tcBorders>
            <w:vAlign w:val="center"/>
          </w:tcPr>
          <w:p w14:paraId="6E78B245">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有异议的意见和说明理由：</w:t>
            </w:r>
          </w:p>
          <w:p w14:paraId="275BE4DF">
            <w:pPr>
              <w:widowControl/>
              <w:snapToGrid w:val="0"/>
              <w:spacing w:before="100" w:beforeAutospacing="1" w:after="100" w:afterAutospacing="1" w:line="320" w:lineRule="atLeast"/>
              <w:jc w:val="center"/>
              <w:rPr>
                <w:rFonts w:ascii="仿宋_GB2312" w:eastAsia="仿宋_GB2312"/>
                <w:kern w:val="0"/>
                <w:szCs w:val="21"/>
              </w:rPr>
            </w:pPr>
            <w:r>
              <w:rPr>
                <w:rFonts w:hint="eastAsia" w:ascii="仿宋_GB2312" w:eastAsia="仿宋_GB2312"/>
                <w:kern w:val="0"/>
                <w:szCs w:val="21"/>
              </w:rPr>
              <w:t xml:space="preserve">            签字：</w:t>
            </w:r>
          </w:p>
        </w:tc>
      </w:tr>
      <w:tr w14:paraId="61DB6D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trPr>
        <w:tc>
          <w:tcPr>
            <w:tcW w:w="9628" w:type="dxa"/>
            <w:gridSpan w:val="7"/>
            <w:tcBorders>
              <w:top w:val="single" w:color="auto" w:sz="4" w:space="0"/>
              <w:left w:val="single" w:color="auto" w:sz="4" w:space="0"/>
              <w:bottom w:val="single" w:color="auto" w:sz="4" w:space="0"/>
              <w:right w:val="single" w:color="auto" w:sz="4" w:space="0"/>
            </w:tcBorders>
            <w:vAlign w:val="center"/>
          </w:tcPr>
          <w:p w14:paraId="333DB87D">
            <w:pPr>
              <w:widowControl/>
              <w:snapToGrid w:val="0"/>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验收小组成员签字：</w:t>
            </w:r>
          </w:p>
        </w:tc>
      </w:tr>
      <w:tr w14:paraId="31F7B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39F5422E">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监督人员或其他相关人员签字：</w:t>
            </w:r>
          </w:p>
          <w:p w14:paraId="10F8C058">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或受邀机构的意见（盖章）：</w:t>
            </w:r>
          </w:p>
        </w:tc>
      </w:tr>
      <w:tr w14:paraId="4F1B3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28" w:type="dxa"/>
            <w:gridSpan w:val="7"/>
            <w:tcBorders>
              <w:top w:val="single" w:color="auto" w:sz="4" w:space="0"/>
              <w:left w:val="single" w:color="auto" w:sz="4" w:space="0"/>
              <w:bottom w:val="single" w:color="auto" w:sz="4" w:space="0"/>
              <w:right w:val="single" w:color="auto" w:sz="4" w:space="0"/>
            </w:tcBorders>
            <w:vAlign w:val="center"/>
          </w:tcPr>
          <w:p w14:paraId="082B9137">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中标供应商负责人签字或者盖章：               </w:t>
            </w:r>
            <w:r>
              <w:rPr>
                <w:rFonts w:eastAsia="仿宋_GB2312"/>
                <w:kern w:val="0"/>
                <w:szCs w:val="21"/>
              </w:rPr>
              <w:t> </w:t>
            </w:r>
            <w:r>
              <w:rPr>
                <w:rFonts w:hint="eastAsia" w:ascii="仿宋_GB2312" w:eastAsia="仿宋_GB2312"/>
                <w:kern w:val="0"/>
                <w:szCs w:val="21"/>
              </w:rPr>
              <w:t>采购人或受托机构的意见（盖章）：</w:t>
            </w:r>
          </w:p>
          <w:p w14:paraId="0A6E9372">
            <w:pPr>
              <w:widowControl/>
              <w:spacing w:before="100" w:beforeAutospacing="1" w:after="100" w:afterAutospacing="1" w:line="320" w:lineRule="atLeast"/>
              <w:jc w:val="left"/>
              <w:rPr>
                <w:rFonts w:ascii="仿宋_GB2312" w:eastAsia="仿宋_GB2312"/>
                <w:kern w:val="0"/>
                <w:szCs w:val="21"/>
              </w:rPr>
            </w:pPr>
            <w:r>
              <w:rPr>
                <w:rFonts w:hint="eastAsia" w:ascii="仿宋_GB2312" w:eastAsia="仿宋_GB2312"/>
                <w:kern w:val="0"/>
                <w:szCs w:val="21"/>
              </w:rPr>
              <w:t xml:space="preserve">联系电话： </w:t>
            </w:r>
            <w:r>
              <w:rPr>
                <w:rFonts w:eastAsia="仿宋_GB2312"/>
                <w:kern w:val="0"/>
                <w:szCs w:val="21"/>
              </w:rPr>
              <w:t>  </w:t>
            </w:r>
            <w:r>
              <w:rPr>
                <w:rFonts w:hint="eastAsia" w:ascii="仿宋_GB2312" w:eastAsia="仿宋_GB2312"/>
                <w:kern w:val="0"/>
                <w:szCs w:val="21"/>
              </w:rPr>
              <w:t xml:space="preserve">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                     联系电话： </w:t>
            </w:r>
            <w:r>
              <w:rPr>
                <w:rFonts w:eastAsia="仿宋_GB2312"/>
                <w:kern w:val="0"/>
                <w:szCs w:val="21"/>
              </w:rPr>
              <w:t>       </w:t>
            </w:r>
            <w:r>
              <w:rPr>
                <w:rFonts w:hint="eastAsia" w:ascii="仿宋_GB2312" w:eastAsia="仿宋_GB2312"/>
                <w:kern w:val="0"/>
                <w:szCs w:val="21"/>
              </w:rPr>
              <w:t xml:space="preserve"> 年</w:t>
            </w:r>
            <w:r>
              <w:rPr>
                <w:rFonts w:eastAsia="仿宋_GB2312"/>
                <w:kern w:val="0"/>
                <w:szCs w:val="21"/>
              </w:rPr>
              <w:t>  </w:t>
            </w:r>
            <w:r>
              <w:rPr>
                <w:rFonts w:hint="eastAsia" w:ascii="仿宋_GB2312" w:eastAsia="仿宋_GB2312"/>
                <w:kern w:val="0"/>
                <w:szCs w:val="21"/>
              </w:rPr>
              <w:t xml:space="preserve"> 月</w:t>
            </w:r>
            <w:r>
              <w:rPr>
                <w:rFonts w:eastAsia="仿宋_GB2312"/>
                <w:kern w:val="0"/>
                <w:szCs w:val="21"/>
              </w:rPr>
              <w:t>  </w:t>
            </w:r>
            <w:r>
              <w:rPr>
                <w:rFonts w:hint="eastAsia" w:ascii="仿宋_GB2312" w:eastAsia="仿宋_GB2312"/>
                <w:kern w:val="0"/>
                <w:szCs w:val="21"/>
              </w:rPr>
              <w:t xml:space="preserve"> 日</w:t>
            </w:r>
          </w:p>
        </w:tc>
      </w:tr>
    </w:tbl>
    <w:p w14:paraId="40FDF089">
      <w:pPr>
        <w:spacing w:line="276" w:lineRule="auto"/>
        <w:jc w:val="left"/>
        <w:rPr>
          <w:rFonts w:hint="eastAsia" w:ascii="仿宋_GB2312" w:hAnsi="华文中宋" w:eastAsia="仿宋_GB2312"/>
          <w:bCs/>
          <w:szCs w:val="21"/>
        </w:rPr>
      </w:pPr>
    </w:p>
    <w:p w14:paraId="69019008">
      <w:pPr>
        <w:spacing w:line="276" w:lineRule="auto"/>
        <w:jc w:val="left"/>
        <w:rPr>
          <w:rFonts w:hint="eastAsia" w:ascii="仿宋_GB2312" w:hAnsi="华文中宋" w:eastAsia="仿宋_GB2312"/>
          <w:b/>
          <w:bCs/>
          <w:szCs w:val="21"/>
        </w:rPr>
      </w:pPr>
      <w:r>
        <w:rPr>
          <w:rFonts w:hint="eastAsia" w:ascii="仿宋_GB2312" w:hAnsi="华文中宋" w:eastAsia="仿宋_GB2312"/>
          <w:b/>
          <w:bCs/>
          <w:szCs w:val="21"/>
        </w:rPr>
        <w:t>备注：本验收书一式三份（采购人一份、中标人一份、采购代理机构一份）</w:t>
      </w:r>
    </w:p>
    <w:bookmarkEnd w:id="84"/>
    <w:bookmarkEnd w:id="85"/>
    <w:p w14:paraId="6EDFC82F">
      <w:pPr>
        <w:snapToGrid w:val="0"/>
        <w:jc w:val="left"/>
        <w:rPr>
          <w:rFonts w:hint="eastAsia" w:ascii="仿宋_GB2312" w:hAnsi="华文中宋" w:eastAsia="仿宋_GB2312"/>
          <w:b/>
          <w:szCs w:val="21"/>
        </w:rPr>
        <w:sectPr>
          <w:footerReference r:id="rId8" w:type="default"/>
          <w:pgSz w:w="11906" w:h="16838"/>
          <w:pgMar w:top="1440" w:right="1440" w:bottom="1440" w:left="1440" w:header="851" w:footer="992" w:gutter="0"/>
          <w:cols w:space="720" w:num="1"/>
          <w:docGrid w:linePitch="312" w:charSpace="0"/>
        </w:sectPr>
      </w:pPr>
    </w:p>
    <w:p w14:paraId="68E66C27">
      <w:pPr>
        <w:spacing w:line="276" w:lineRule="auto"/>
        <w:jc w:val="center"/>
        <w:rPr>
          <w:rFonts w:hint="eastAsia" w:ascii="仿宋_GB2312" w:hAnsi="华文中宋" w:eastAsia="仿宋_GB2312"/>
          <w:bCs/>
          <w:sz w:val="32"/>
          <w:szCs w:val="32"/>
        </w:rPr>
      </w:pPr>
    </w:p>
    <w:p w14:paraId="6AD01318">
      <w:pPr>
        <w:spacing w:line="276" w:lineRule="auto"/>
        <w:jc w:val="center"/>
        <w:rPr>
          <w:rFonts w:hint="eastAsia" w:ascii="仿宋_GB2312" w:hAnsi="华文中宋" w:eastAsia="仿宋_GB2312"/>
          <w:bCs/>
          <w:sz w:val="32"/>
          <w:szCs w:val="32"/>
        </w:rPr>
      </w:pPr>
    </w:p>
    <w:p w14:paraId="1E67423C">
      <w:pPr>
        <w:spacing w:line="276" w:lineRule="auto"/>
        <w:jc w:val="center"/>
        <w:rPr>
          <w:rFonts w:hint="eastAsia" w:ascii="仿宋_GB2312" w:hAnsi="华文中宋" w:eastAsia="仿宋_GB2312"/>
          <w:bCs/>
          <w:sz w:val="32"/>
          <w:szCs w:val="32"/>
        </w:rPr>
      </w:pPr>
    </w:p>
    <w:p w14:paraId="03140DB8">
      <w:pPr>
        <w:spacing w:line="276" w:lineRule="auto"/>
        <w:jc w:val="center"/>
        <w:rPr>
          <w:rFonts w:hint="eastAsia" w:ascii="仿宋_GB2312" w:hAnsi="华文中宋" w:eastAsia="仿宋_GB2312"/>
          <w:bCs/>
          <w:sz w:val="32"/>
          <w:szCs w:val="32"/>
        </w:rPr>
      </w:pPr>
    </w:p>
    <w:p w14:paraId="29DB7E08">
      <w:pPr>
        <w:spacing w:line="276" w:lineRule="auto"/>
        <w:jc w:val="center"/>
        <w:rPr>
          <w:rFonts w:hint="eastAsia" w:ascii="仿宋_GB2312" w:hAnsi="华文中宋" w:eastAsia="仿宋_GB2312"/>
          <w:bCs/>
          <w:sz w:val="32"/>
          <w:szCs w:val="32"/>
        </w:rPr>
      </w:pPr>
    </w:p>
    <w:p w14:paraId="26BED4A2">
      <w:pPr>
        <w:spacing w:line="276" w:lineRule="auto"/>
        <w:jc w:val="center"/>
        <w:rPr>
          <w:rFonts w:hint="eastAsia" w:ascii="仿宋_GB2312" w:hAnsi="华文中宋" w:eastAsia="仿宋_GB2312"/>
          <w:bCs/>
          <w:sz w:val="32"/>
          <w:szCs w:val="32"/>
        </w:rPr>
      </w:pPr>
    </w:p>
    <w:p w14:paraId="1EED2C09">
      <w:pPr>
        <w:spacing w:line="276" w:lineRule="auto"/>
        <w:jc w:val="center"/>
        <w:rPr>
          <w:rFonts w:hint="eastAsia" w:ascii="仿宋_GB2312" w:hAnsi="华文中宋" w:eastAsia="仿宋_GB2312"/>
          <w:bCs/>
          <w:sz w:val="32"/>
          <w:szCs w:val="32"/>
        </w:rPr>
      </w:pPr>
    </w:p>
    <w:p w14:paraId="534C4BF5">
      <w:pPr>
        <w:spacing w:line="276" w:lineRule="auto"/>
        <w:jc w:val="center"/>
        <w:rPr>
          <w:rFonts w:hint="eastAsia" w:ascii="仿宋_GB2312" w:hAnsi="华文中宋" w:eastAsia="仿宋_GB2312"/>
          <w:bCs/>
          <w:sz w:val="32"/>
          <w:szCs w:val="32"/>
        </w:rPr>
      </w:pPr>
    </w:p>
    <w:p w14:paraId="661DCE14">
      <w:pPr>
        <w:spacing w:line="276" w:lineRule="auto"/>
        <w:jc w:val="center"/>
        <w:rPr>
          <w:rFonts w:hint="eastAsia" w:ascii="仿宋_GB2312" w:hAnsi="华文中宋" w:eastAsia="仿宋_GB2312"/>
          <w:bCs/>
          <w:sz w:val="32"/>
          <w:szCs w:val="32"/>
        </w:rPr>
      </w:pPr>
    </w:p>
    <w:p w14:paraId="40E352B6">
      <w:pPr>
        <w:spacing w:line="276" w:lineRule="auto"/>
        <w:jc w:val="center"/>
        <w:rPr>
          <w:rFonts w:hint="eastAsia" w:ascii="仿宋_GB2312" w:hAnsi="华文中宋" w:eastAsia="仿宋_GB2312"/>
          <w:bCs/>
          <w:sz w:val="32"/>
          <w:szCs w:val="32"/>
        </w:rPr>
      </w:pPr>
    </w:p>
    <w:p w14:paraId="219015C7">
      <w:pPr>
        <w:pStyle w:val="3"/>
        <w:jc w:val="center"/>
        <w:rPr>
          <w:rFonts w:ascii="仿宋_GB2312" w:eastAsia="仿宋_GB2312"/>
        </w:rPr>
      </w:pPr>
      <w:bookmarkStart w:id="87" w:name="_Toc13344"/>
      <w:bookmarkStart w:id="88" w:name="_Toc504231525"/>
      <w:bookmarkStart w:id="89" w:name="_Toc504053343"/>
      <w:bookmarkStart w:id="90" w:name="_Toc517113880"/>
      <w:r>
        <w:rPr>
          <w:rFonts w:hint="eastAsia"/>
          <w:sz w:val="32"/>
        </w:rPr>
        <w:t>第六章 投标文件格式</w:t>
      </w:r>
      <w:bookmarkEnd w:id="87"/>
      <w:bookmarkEnd w:id="88"/>
      <w:bookmarkEnd w:id="89"/>
      <w:bookmarkEnd w:id="90"/>
    </w:p>
    <w:p w14:paraId="75C5DC86">
      <w:pPr>
        <w:spacing w:line="276" w:lineRule="auto"/>
        <w:rPr>
          <w:rFonts w:ascii="仿宋_GB2312" w:eastAsia="仿宋_GB2312"/>
          <w:b/>
          <w:sz w:val="44"/>
          <w:szCs w:val="44"/>
        </w:rPr>
        <w:sectPr>
          <w:pgSz w:w="11906" w:h="16838"/>
          <w:pgMar w:top="1440" w:right="1440" w:bottom="1440" w:left="1440" w:header="851" w:footer="992" w:gutter="0"/>
          <w:cols w:space="720" w:num="1"/>
          <w:docGrid w:linePitch="312" w:charSpace="0"/>
        </w:sectPr>
      </w:pPr>
    </w:p>
    <w:p w14:paraId="31986BB5">
      <w:pPr>
        <w:pageBreakBefore/>
        <w:spacing w:line="460" w:lineRule="exact"/>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投标人提交电子投标文件须知</w:t>
      </w:r>
    </w:p>
    <w:p w14:paraId="3F68CD5B">
      <w:pPr>
        <w:adjustRightInd w:val="0"/>
        <w:snapToGrid w:val="0"/>
        <w:spacing w:line="460" w:lineRule="exact"/>
        <w:ind w:firstLine="480" w:firstLineChars="200"/>
        <w:jc w:val="left"/>
        <w:rPr>
          <w:rFonts w:hint="eastAsia" w:ascii="仿宋_GB2312" w:hAnsi="仿宋_GB2312" w:eastAsia="仿宋_GB2312" w:cs="仿宋_GB2312"/>
          <w:bCs/>
          <w:sz w:val="24"/>
        </w:rPr>
      </w:pPr>
    </w:p>
    <w:p w14:paraId="329AE44A">
      <w:pPr>
        <w:adjustRightInd w:val="0"/>
        <w:snapToGrid w:val="0"/>
        <w:spacing w:line="420" w:lineRule="exact"/>
        <w:ind w:firstLine="480"/>
        <w:jc w:val="left"/>
        <w:rPr>
          <w:rFonts w:hint="eastAsia" w:ascii="仿宋_GB2312" w:hAnsi="仿宋_GB2312" w:eastAsia="仿宋_GB2312" w:cs="仿宋_GB2312"/>
          <w:b/>
          <w:sz w:val="24"/>
        </w:rPr>
      </w:pPr>
      <w:r>
        <w:rPr>
          <w:rFonts w:hint="eastAsia" w:ascii="仿宋_GB2312" w:hAnsi="仿宋_GB2312" w:eastAsia="仿宋_GB2312" w:cs="仿宋_GB2312"/>
          <w:b/>
          <w:sz w:val="24"/>
        </w:rPr>
        <w:t>参与电子标的投标人必须为广西政府采购云平台的正式供应商且申领CA证书，各供应商应在开标前及时完成平台注册、CA证书申领、CA证书绑定、下载投标客户端，熟悉并掌握广西政府采购云平台电子标系统操作。</w:t>
      </w:r>
    </w:p>
    <w:p w14:paraId="7B34C89D">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一、投标人应保证全部声明和问题的回答是真实的和准确的。</w:t>
      </w:r>
    </w:p>
    <w:p w14:paraId="33013828">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二、评标委员会将应用投标人提交的资料作出自己的判断。</w:t>
      </w:r>
    </w:p>
    <w:p w14:paraId="50D41997">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三、投标人提交的材料将在一定期限内被保密保存，不予退还。</w:t>
      </w:r>
    </w:p>
    <w:p w14:paraId="73E6A57F">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四、电子投标文件编制格式及规范要求：</w:t>
      </w:r>
    </w:p>
    <w:p w14:paraId="7267EBB3">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（一）投标文件应使用广西政府采购云平台客户端软件，并按照本公开招标文件和广西政府采购云平台要求编制并加密投标文件。未按规定加密的投标文件，广西政府采购云平台将拒收。</w:t>
      </w:r>
    </w:p>
    <w:p w14:paraId="17CA27E4">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（二）投标文件制作并加密完成后应在广西政府采购云平台上传完成。</w:t>
      </w:r>
    </w:p>
    <w:p w14:paraId="41692507">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（三）投标文件应使用CA证书进行电子签章。在签章时，投标人应注意CA电子签章的位置，如因CA电子签章遮挡重要、关键信息导致评标委员会作出对投标人不利评审的，后果由投标人负责。</w:t>
      </w:r>
    </w:p>
    <w:p w14:paraId="79BE5727">
      <w:pPr>
        <w:adjustRightInd w:val="0"/>
        <w:snapToGrid w:val="0"/>
        <w:spacing w:line="420" w:lineRule="exact"/>
        <w:ind w:firstLine="482" w:firstLineChars="200"/>
        <w:jc w:val="left"/>
        <w:rPr>
          <w:rFonts w:hint="eastAsia" w:ascii="仿宋_GB2312" w:hAnsi="仿宋_GB2312" w:eastAsia="仿宋_GB2312" w:cs="仿宋_GB2312"/>
          <w:b/>
          <w:bCs/>
          <w:sz w:val="24"/>
        </w:rPr>
      </w:pPr>
      <w:r>
        <w:rPr>
          <w:rFonts w:hint="eastAsia" w:ascii="仿宋_GB2312" w:hAnsi="仿宋_GB2312" w:eastAsia="仿宋_GB2312" w:cs="仿宋_GB2312"/>
          <w:b/>
          <w:bCs/>
          <w:sz w:val="24"/>
        </w:rPr>
        <w:t>（四）投标人应准确设置评审关联点。未设置或设置错误导致投标文件被误读、漏读或者查找不到相关内容的，是投标人的责任。</w:t>
      </w:r>
    </w:p>
    <w:p w14:paraId="16227CAA">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（五）投标文件所提供的相关材料的尺寸和清晰度应该能够在电脑上被阅读、识别和判断。</w:t>
      </w:r>
    </w:p>
    <w:p w14:paraId="44154539">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（六）投标文件内容无法阅读、识别和判断的，视为未提供。</w:t>
      </w:r>
    </w:p>
    <w:p w14:paraId="7F0D6FC6">
      <w:pPr>
        <w:adjustRightInd w:val="0"/>
        <w:snapToGrid w:val="0"/>
        <w:spacing w:line="420" w:lineRule="exact"/>
        <w:ind w:firstLine="480" w:firstLineChars="200"/>
        <w:jc w:val="left"/>
        <w:rPr>
          <w:rFonts w:hint="eastAsia" w:ascii="仿宋_GB2312" w:hAnsi="仿宋_GB2312" w:eastAsia="仿宋_GB2312" w:cs="仿宋_GB2312"/>
          <w:bCs/>
          <w:sz w:val="24"/>
        </w:rPr>
      </w:pPr>
      <w:r>
        <w:rPr>
          <w:rFonts w:hint="eastAsia" w:ascii="仿宋_GB2312" w:hAnsi="仿宋_GB2312" w:eastAsia="仿宋_GB2312" w:cs="仿宋_GB2312"/>
          <w:bCs/>
          <w:sz w:val="24"/>
        </w:rPr>
        <w:t>（七）投标文件的容量大小须符合广西政府采购云平台规定。</w:t>
      </w:r>
    </w:p>
    <w:p w14:paraId="4185F77D">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五、投标人在使用广西政府采购云平台进行投标过程中遇到涉及平台使用的任何问题，可致电平台技术支持热线咨询，联系方式：</w:t>
      </w:r>
      <w:r>
        <w:rPr>
          <w:rFonts w:ascii="仿宋_GB2312" w:hAnsi="仿宋_GB2312" w:eastAsia="仿宋_GB2312" w:cs="仿宋_GB2312"/>
          <w:b/>
          <w:sz w:val="24"/>
        </w:rPr>
        <w:t>95763</w:t>
      </w:r>
      <w:r>
        <w:rPr>
          <w:rFonts w:hint="eastAsia" w:ascii="仿宋_GB2312" w:hAnsi="仿宋_GB2312" w:eastAsia="仿宋_GB2312" w:cs="仿宋_GB2312"/>
          <w:b/>
          <w:sz w:val="24"/>
        </w:rPr>
        <w:t>。</w:t>
      </w:r>
    </w:p>
    <w:p w14:paraId="4B745A4A">
      <w:pPr>
        <w:snapToGrid w:val="0"/>
        <w:spacing w:line="420" w:lineRule="exact"/>
        <w:ind w:firstLine="482" w:firstLineChars="200"/>
        <w:jc w:val="left"/>
        <w:rPr>
          <w:rFonts w:hint="eastAsia" w:ascii="仿宋_GB2312" w:hAnsi="宋体" w:eastAsia="仿宋_GB2312"/>
          <w:b/>
          <w:bCs/>
          <w:sz w:val="24"/>
        </w:rPr>
      </w:pPr>
      <w:r>
        <w:rPr>
          <w:rFonts w:hint="eastAsia" w:ascii="仿宋_GB2312" w:hAnsi="宋体" w:eastAsia="仿宋_GB2312"/>
          <w:b/>
          <w:bCs/>
          <w:sz w:val="24"/>
        </w:rPr>
        <w:t>六、特别说明</w:t>
      </w:r>
    </w:p>
    <w:p w14:paraId="49B8A798">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（一）投标文件中须加盖公章部分均采用投标人CA电子签章，否则视为投标无效。</w:t>
      </w:r>
    </w:p>
    <w:p w14:paraId="00E45451">
      <w:pPr>
        <w:adjustRightInd w:val="0"/>
        <w:snapToGrid w:val="0"/>
        <w:spacing w:line="420" w:lineRule="exact"/>
        <w:ind w:firstLine="482" w:firstLineChars="200"/>
        <w:jc w:val="left"/>
        <w:rPr>
          <w:rFonts w:hint="eastAsia" w:ascii="仿宋_GB2312" w:hAnsi="仿宋_GB2312" w:eastAsia="仿宋_GB2312" w:cs="仿宋_GB2312"/>
          <w:b/>
          <w:sz w:val="24"/>
        </w:rPr>
      </w:pPr>
      <w:r>
        <w:rPr>
          <w:rFonts w:hint="eastAsia" w:ascii="仿宋_GB2312" w:hAnsi="仿宋_GB2312" w:eastAsia="仿宋_GB2312" w:cs="仿宋_GB2312"/>
          <w:b/>
          <w:sz w:val="24"/>
        </w:rPr>
        <w:t>（二）</w:t>
      </w:r>
      <w:r>
        <w:rPr>
          <w:rFonts w:hint="eastAsia" w:ascii="仿宋_GB2312" w:eastAsia="仿宋_GB2312"/>
          <w:b/>
          <w:bCs/>
          <w:sz w:val="24"/>
        </w:rPr>
        <w:t>公开招标文件描述的投标人“签字”是投标人的法定代表人或授权委托代理人的电子签名或电子签章或手写签名或盖章。涉及的法定代表人或授权委托代理人签字的内容，如果投标人没有法定代表人或授权委托代理人电子签名或电子签章，投标人可以线下签字或盖章后扫描上传，</w:t>
      </w:r>
      <w:r>
        <w:rPr>
          <w:rFonts w:hint="eastAsia" w:ascii="仿宋_GB2312" w:eastAsia="仿宋_GB2312"/>
          <w:b/>
          <w:sz w:val="24"/>
        </w:rPr>
        <w:t>否则视为投标无效。</w:t>
      </w:r>
    </w:p>
    <w:p w14:paraId="17659695">
      <w:pPr>
        <w:jc w:val="left"/>
        <w:rPr>
          <w:rFonts w:ascii="仿宋_GB2312" w:eastAsia="仿宋_GB2312"/>
          <w:b/>
          <w:bCs/>
          <w:sz w:val="32"/>
          <w:szCs w:val="32"/>
          <w:highlight w:val="yellow"/>
        </w:rPr>
        <w:sectPr>
          <w:pgSz w:w="11906" w:h="16838"/>
          <w:pgMar w:top="1440" w:right="1274" w:bottom="1440" w:left="1440" w:header="851" w:footer="992" w:gutter="0"/>
          <w:cols w:space="720" w:num="1"/>
          <w:docGrid w:linePitch="312" w:charSpace="0"/>
        </w:sectPr>
      </w:pPr>
      <w:bookmarkStart w:id="91" w:name="_Hlk50566209"/>
    </w:p>
    <w:bookmarkEnd w:id="91"/>
    <w:p w14:paraId="33790EA9">
      <w:pPr>
        <w:adjustRightInd w:val="0"/>
        <w:snapToGrid w:val="0"/>
        <w:spacing w:line="460" w:lineRule="exact"/>
        <w:jc w:val="left"/>
        <w:rPr>
          <w:rFonts w:ascii="仿宋_GB2312" w:eastAsia="仿宋_GB2312"/>
          <w:b/>
          <w:sz w:val="44"/>
          <w:szCs w:val="44"/>
        </w:rPr>
      </w:pPr>
    </w:p>
    <w:p w14:paraId="46343646">
      <w:pPr>
        <w:jc w:val="center"/>
        <w:rPr>
          <w:rFonts w:ascii="仿宋_GB2312" w:eastAsia="仿宋_GB2312"/>
          <w:b/>
          <w:sz w:val="44"/>
          <w:szCs w:val="44"/>
        </w:rPr>
      </w:pPr>
    </w:p>
    <w:p w14:paraId="5C12E858">
      <w:pPr>
        <w:jc w:val="center"/>
        <w:rPr>
          <w:rFonts w:ascii="仿宋_GB2312" w:eastAsia="仿宋_GB2312"/>
          <w:b/>
          <w:sz w:val="44"/>
          <w:szCs w:val="44"/>
        </w:rPr>
      </w:pPr>
    </w:p>
    <w:p w14:paraId="5C685015">
      <w:pPr>
        <w:jc w:val="center"/>
        <w:rPr>
          <w:rFonts w:ascii="仿宋_GB2312" w:eastAsia="仿宋_GB2312"/>
          <w:b/>
          <w:sz w:val="44"/>
          <w:szCs w:val="44"/>
        </w:rPr>
      </w:pPr>
    </w:p>
    <w:p w14:paraId="28D526D9">
      <w:pPr>
        <w:jc w:val="center"/>
        <w:rPr>
          <w:rFonts w:ascii="仿宋_GB2312" w:eastAsia="仿宋_GB2312"/>
          <w:b/>
          <w:sz w:val="44"/>
          <w:szCs w:val="44"/>
        </w:rPr>
      </w:pPr>
    </w:p>
    <w:p w14:paraId="144017EB">
      <w:pPr>
        <w:jc w:val="center"/>
        <w:rPr>
          <w:rFonts w:ascii="仿宋_GB2312" w:eastAsia="仿宋_GB2312"/>
          <w:b/>
          <w:sz w:val="44"/>
          <w:szCs w:val="44"/>
        </w:rPr>
      </w:pPr>
    </w:p>
    <w:p w14:paraId="79E257FA">
      <w:pPr>
        <w:jc w:val="center"/>
        <w:rPr>
          <w:rFonts w:ascii="仿宋_GB2312" w:eastAsia="仿宋_GB2312"/>
          <w:b/>
          <w:sz w:val="44"/>
          <w:szCs w:val="44"/>
        </w:rPr>
      </w:pPr>
    </w:p>
    <w:p w14:paraId="7B560834">
      <w:pPr>
        <w:jc w:val="center"/>
        <w:rPr>
          <w:rFonts w:ascii="仿宋_GB2312" w:eastAsia="仿宋_GB2312"/>
          <w:b/>
          <w:sz w:val="44"/>
          <w:szCs w:val="44"/>
        </w:rPr>
      </w:pPr>
    </w:p>
    <w:p w14:paraId="2E85B2CB">
      <w:pPr>
        <w:jc w:val="center"/>
        <w:rPr>
          <w:rFonts w:ascii="仿宋_GB2312" w:eastAsia="仿宋_GB2312"/>
          <w:b/>
          <w:sz w:val="44"/>
          <w:szCs w:val="44"/>
        </w:rPr>
      </w:pPr>
    </w:p>
    <w:p w14:paraId="5A28F1FB">
      <w:pPr>
        <w:jc w:val="center"/>
        <w:rPr>
          <w:rFonts w:ascii="仿宋_GB2312" w:eastAsia="仿宋_GB2312"/>
          <w:b/>
          <w:sz w:val="44"/>
          <w:szCs w:val="44"/>
        </w:rPr>
      </w:pPr>
    </w:p>
    <w:p w14:paraId="6FD81B06">
      <w:pPr>
        <w:jc w:val="center"/>
        <w:rPr>
          <w:rFonts w:hint="eastAsia" w:ascii="仿宋_GB2312" w:hAnsi="宋体" w:eastAsia="仿宋_GB2312"/>
          <w:b/>
          <w:bCs/>
          <w:sz w:val="72"/>
          <w:szCs w:val="72"/>
        </w:rPr>
      </w:pPr>
      <w:r>
        <w:rPr>
          <w:rFonts w:hint="eastAsia" w:ascii="仿宋_GB2312" w:hAnsi="宋体" w:eastAsia="仿宋_GB2312"/>
          <w:b/>
          <w:bCs/>
          <w:sz w:val="56"/>
          <w:szCs w:val="56"/>
        </w:rPr>
        <w:t>一、资 格 文 件 格 式</w:t>
      </w:r>
    </w:p>
    <w:p w14:paraId="5091A426">
      <w:pPr>
        <w:snapToGrid w:val="0"/>
        <w:spacing w:before="50" w:after="120" w:afterLines="50" w:line="360" w:lineRule="exact"/>
        <w:jc w:val="left"/>
        <w:rPr>
          <w:rFonts w:ascii="仿宋_GB2312" w:eastAsia="仿宋_GB2312"/>
          <w:b/>
          <w:sz w:val="44"/>
          <w:szCs w:val="44"/>
        </w:rPr>
      </w:pPr>
    </w:p>
    <w:p w14:paraId="7E532017">
      <w:pPr>
        <w:snapToGrid w:val="0"/>
        <w:spacing w:before="50" w:after="120" w:afterLines="50" w:line="360" w:lineRule="exact"/>
        <w:jc w:val="left"/>
        <w:rPr>
          <w:rFonts w:ascii="仿宋_GB2312" w:eastAsia="仿宋_GB2312"/>
          <w:b/>
          <w:sz w:val="44"/>
          <w:szCs w:val="44"/>
        </w:rPr>
      </w:pPr>
    </w:p>
    <w:p w14:paraId="56030DD6">
      <w:pPr>
        <w:snapToGrid w:val="0"/>
        <w:spacing w:before="50" w:after="120" w:afterLines="50" w:line="360" w:lineRule="exact"/>
        <w:jc w:val="left"/>
        <w:rPr>
          <w:rFonts w:ascii="仿宋_GB2312" w:eastAsia="仿宋_GB2312"/>
          <w:b/>
          <w:sz w:val="44"/>
          <w:szCs w:val="44"/>
        </w:rPr>
      </w:pPr>
    </w:p>
    <w:p w14:paraId="4E36B1C5">
      <w:pPr>
        <w:snapToGrid w:val="0"/>
        <w:spacing w:before="50" w:after="120" w:afterLines="50" w:line="360" w:lineRule="exact"/>
        <w:jc w:val="left"/>
        <w:rPr>
          <w:rFonts w:ascii="仿宋_GB2312" w:eastAsia="仿宋_GB2312"/>
          <w:b/>
          <w:sz w:val="44"/>
          <w:szCs w:val="44"/>
        </w:rPr>
      </w:pPr>
    </w:p>
    <w:p w14:paraId="234EA30B">
      <w:pPr>
        <w:snapToGrid w:val="0"/>
        <w:spacing w:before="50" w:after="120" w:afterLines="50" w:line="360" w:lineRule="exact"/>
        <w:jc w:val="left"/>
        <w:rPr>
          <w:rFonts w:ascii="仿宋_GB2312" w:eastAsia="仿宋_GB2312"/>
          <w:b/>
          <w:sz w:val="44"/>
          <w:szCs w:val="44"/>
        </w:rPr>
      </w:pPr>
    </w:p>
    <w:p w14:paraId="1AD1939F">
      <w:pPr>
        <w:snapToGrid w:val="0"/>
        <w:spacing w:before="50" w:after="120" w:afterLines="50" w:line="360" w:lineRule="exact"/>
        <w:jc w:val="left"/>
        <w:rPr>
          <w:rFonts w:ascii="仿宋_GB2312" w:eastAsia="仿宋_GB2312"/>
          <w:b/>
          <w:sz w:val="44"/>
          <w:szCs w:val="44"/>
        </w:rPr>
      </w:pPr>
    </w:p>
    <w:p w14:paraId="7518FE32">
      <w:pPr>
        <w:snapToGrid w:val="0"/>
        <w:spacing w:before="50" w:after="120" w:afterLines="50" w:line="360" w:lineRule="exact"/>
        <w:jc w:val="left"/>
        <w:rPr>
          <w:rFonts w:ascii="仿宋_GB2312" w:eastAsia="仿宋_GB2312"/>
          <w:b/>
          <w:sz w:val="44"/>
          <w:szCs w:val="44"/>
        </w:rPr>
      </w:pPr>
    </w:p>
    <w:p w14:paraId="5ADCB049">
      <w:pPr>
        <w:snapToGrid w:val="0"/>
        <w:spacing w:before="50" w:after="120" w:afterLines="50" w:line="360" w:lineRule="exact"/>
        <w:jc w:val="left"/>
        <w:rPr>
          <w:rFonts w:ascii="仿宋_GB2312" w:eastAsia="仿宋_GB2312"/>
          <w:b/>
          <w:sz w:val="44"/>
          <w:szCs w:val="44"/>
        </w:rPr>
      </w:pPr>
    </w:p>
    <w:p w14:paraId="5F63BE8E">
      <w:pPr>
        <w:snapToGrid w:val="0"/>
        <w:spacing w:before="50" w:after="120" w:afterLines="50" w:line="360" w:lineRule="exact"/>
        <w:jc w:val="left"/>
        <w:rPr>
          <w:rFonts w:ascii="仿宋_GB2312" w:eastAsia="仿宋_GB2312"/>
          <w:b/>
          <w:sz w:val="44"/>
          <w:szCs w:val="44"/>
        </w:rPr>
      </w:pPr>
    </w:p>
    <w:p w14:paraId="109225DB">
      <w:pPr>
        <w:snapToGrid w:val="0"/>
        <w:spacing w:before="50" w:after="120" w:afterLines="50" w:line="360" w:lineRule="exact"/>
        <w:jc w:val="left"/>
        <w:rPr>
          <w:rFonts w:ascii="仿宋_GB2312" w:eastAsia="仿宋_GB2312"/>
          <w:b/>
          <w:sz w:val="44"/>
          <w:szCs w:val="44"/>
        </w:rPr>
      </w:pPr>
    </w:p>
    <w:p w14:paraId="51C2F4FC">
      <w:pPr>
        <w:snapToGrid w:val="0"/>
        <w:spacing w:before="50" w:after="120" w:afterLines="50" w:line="360" w:lineRule="exact"/>
        <w:jc w:val="left"/>
        <w:rPr>
          <w:rFonts w:ascii="仿宋_GB2312" w:eastAsia="仿宋_GB2312"/>
          <w:b/>
          <w:sz w:val="44"/>
          <w:szCs w:val="44"/>
        </w:rPr>
      </w:pPr>
    </w:p>
    <w:p w14:paraId="3F3D4AC1">
      <w:pPr>
        <w:snapToGrid w:val="0"/>
        <w:spacing w:before="50" w:after="120" w:afterLines="50" w:line="360" w:lineRule="exact"/>
        <w:jc w:val="left"/>
        <w:rPr>
          <w:rFonts w:ascii="仿宋_GB2312" w:eastAsia="仿宋_GB2312"/>
          <w:b/>
          <w:sz w:val="44"/>
          <w:szCs w:val="44"/>
        </w:rPr>
      </w:pPr>
    </w:p>
    <w:p w14:paraId="2D699479">
      <w:pPr>
        <w:snapToGrid w:val="0"/>
        <w:spacing w:before="50" w:after="120" w:afterLines="50" w:line="360" w:lineRule="exact"/>
        <w:jc w:val="left"/>
        <w:rPr>
          <w:rFonts w:ascii="仿宋_GB2312" w:eastAsia="仿宋_GB2312"/>
          <w:b/>
          <w:sz w:val="44"/>
          <w:szCs w:val="44"/>
        </w:rPr>
      </w:pPr>
    </w:p>
    <w:p w14:paraId="4671AEF0">
      <w:pPr>
        <w:snapToGrid w:val="0"/>
        <w:spacing w:before="50" w:after="120" w:afterLines="50" w:line="360" w:lineRule="exact"/>
        <w:jc w:val="left"/>
        <w:rPr>
          <w:rFonts w:ascii="仿宋_GB2312" w:eastAsia="仿宋_GB2312"/>
          <w:b/>
          <w:sz w:val="44"/>
          <w:szCs w:val="44"/>
        </w:rPr>
      </w:pPr>
    </w:p>
    <w:p w14:paraId="125103E2">
      <w:pPr>
        <w:snapToGrid w:val="0"/>
        <w:spacing w:before="50" w:after="120" w:afterLines="50" w:line="360" w:lineRule="exact"/>
        <w:jc w:val="left"/>
        <w:rPr>
          <w:rFonts w:ascii="仿宋_GB2312" w:eastAsia="仿宋_GB2312"/>
          <w:b/>
          <w:sz w:val="44"/>
          <w:szCs w:val="44"/>
        </w:rPr>
      </w:pPr>
    </w:p>
    <w:p w14:paraId="490EAEA5">
      <w:pPr>
        <w:snapToGrid w:val="0"/>
        <w:spacing w:before="50" w:after="120" w:afterLines="50" w:line="360" w:lineRule="exact"/>
        <w:jc w:val="left"/>
        <w:rPr>
          <w:rFonts w:ascii="仿宋_GB2312" w:eastAsia="仿宋_GB2312"/>
          <w:b/>
          <w:sz w:val="44"/>
          <w:szCs w:val="44"/>
        </w:rPr>
      </w:pPr>
    </w:p>
    <w:p w14:paraId="499768C8">
      <w:pPr>
        <w:snapToGrid w:val="0"/>
        <w:spacing w:before="120" w:beforeLines="50" w:after="50"/>
        <w:outlineLvl w:val="1"/>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15996919">
      <w:pPr>
        <w:tabs>
          <w:tab w:val="left" w:pos="3870"/>
          <w:tab w:val="left" w:pos="4085"/>
        </w:tabs>
        <w:snapToGrid w:val="0"/>
        <w:spacing w:line="500" w:lineRule="exact"/>
        <w:jc w:val="left"/>
        <w:rPr>
          <w:rFonts w:ascii="仿宋_GB2312" w:eastAsia="仿宋_GB2312"/>
          <w:bCs/>
        </w:rPr>
      </w:pPr>
      <w:r>
        <w:rPr>
          <w:rFonts w:hint="eastAsia" w:ascii="仿宋_GB2312" w:eastAsia="仿宋_GB2312"/>
          <w:b/>
          <w:bCs/>
          <w:sz w:val="24"/>
        </w:rPr>
        <w:t>资格文件目录</w:t>
      </w:r>
      <w:r>
        <w:rPr>
          <w:rFonts w:hint="eastAsia" w:ascii="仿宋_GB2312" w:eastAsia="仿宋_GB2312"/>
          <w:b/>
          <w:sz w:val="24"/>
        </w:rPr>
        <w:t>：</w:t>
      </w:r>
    </w:p>
    <w:p w14:paraId="3961ABF0">
      <w:pPr>
        <w:tabs>
          <w:tab w:val="left" w:pos="3870"/>
          <w:tab w:val="left" w:pos="4085"/>
        </w:tabs>
        <w:snapToGrid w:val="0"/>
        <w:spacing w:line="500" w:lineRule="exact"/>
        <w:jc w:val="center"/>
        <w:rPr>
          <w:rFonts w:ascii="仿宋_GB2312" w:eastAsia="仿宋_GB2312"/>
          <w:sz w:val="44"/>
          <w:szCs w:val="44"/>
        </w:rPr>
      </w:pPr>
      <w:r>
        <w:rPr>
          <w:rFonts w:hint="eastAsia" w:ascii="仿宋_GB2312" w:eastAsia="仿宋_GB2312"/>
          <w:sz w:val="44"/>
          <w:szCs w:val="44"/>
        </w:rPr>
        <w:t>目    录</w:t>
      </w:r>
    </w:p>
    <w:p w14:paraId="5DD6B4B0">
      <w:pPr>
        <w:pStyle w:val="32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（1）法定代表人身份证明书（</w:t>
      </w:r>
      <w:r>
        <w:rPr>
          <w:rFonts w:hint="eastAsia" w:ascii="仿宋_GB2312" w:eastAsia="仿宋_GB2312"/>
          <w:b/>
          <w:bCs/>
          <w:color w:val="000000"/>
        </w:rPr>
        <w:t>必须提供</w:t>
      </w:r>
      <w:r>
        <w:rPr>
          <w:rFonts w:hint="eastAsia" w:ascii="仿宋_GB2312" w:eastAsia="仿宋_GB2312"/>
          <w:color w:val="000000"/>
        </w:rPr>
        <w:t>）……………………………………………</w:t>
      </w:r>
    </w:p>
    <w:p w14:paraId="150C600F">
      <w:pPr>
        <w:pStyle w:val="32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（2）法定代表人授权委托书（</w:t>
      </w:r>
      <w:r>
        <w:rPr>
          <w:rFonts w:hint="eastAsia" w:ascii="仿宋_GB2312" w:eastAsia="仿宋_GB2312"/>
          <w:b/>
          <w:bCs/>
          <w:color w:val="000000"/>
        </w:rPr>
        <w:t>委托代理时必须提供</w:t>
      </w:r>
      <w:r>
        <w:rPr>
          <w:rFonts w:hint="eastAsia" w:ascii="仿宋_GB2312" w:eastAsia="仿宋_GB2312"/>
          <w:color w:val="000000"/>
        </w:rPr>
        <w:t>）………………………………</w:t>
      </w:r>
    </w:p>
    <w:p w14:paraId="07622966">
      <w:pPr>
        <w:pStyle w:val="32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（3）投标人资格声明函（</w:t>
      </w:r>
      <w:r>
        <w:rPr>
          <w:rFonts w:hint="eastAsia" w:ascii="仿宋_GB2312" w:eastAsia="仿宋_GB2312"/>
          <w:b/>
          <w:bCs/>
          <w:color w:val="000000"/>
        </w:rPr>
        <w:t>必须提供</w:t>
      </w:r>
      <w:r>
        <w:rPr>
          <w:rFonts w:hint="eastAsia" w:ascii="仿宋_GB2312" w:eastAsia="仿宋_GB2312"/>
          <w:color w:val="000000"/>
        </w:rPr>
        <w:t>）…………………………………………………</w:t>
      </w:r>
    </w:p>
    <w:p w14:paraId="555EE81A">
      <w:pPr>
        <w:pStyle w:val="32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71A36A92">
      <w:pPr>
        <w:tabs>
          <w:tab w:val="left" w:pos="3870"/>
          <w:tab w:val="left" w:pos="4085"/>
        </w:tabs>
        <w:snapToGrid w:val="0"/>
        <w:spacing w:line="500" w:lineRule="exact"/>
        <w:ind w:firstLine="480" w:firstLineChars="200"/>
        <w:jc w:val="left"/>
        <w:rPr>
          <w:rFonts w:ascii="仿宋_GB2312" w:eastAsia="仿宋_GB2312"/>
          <w:sz w:val="24"/>
        </w:rPr>
        <w:sectPr>
          <w:pgSz w:w="11906" w:h="16838"/>
          <w:pgMar w:top="1440" w:right="991" w:bottom="1440" w:left="1440" w:header="851" w:footer="992" w:gutter="0"/>
          <w:cols w:space="720" w:num="1"/>
          <w:docGrid w:linePitch="312" w:charSpace="0"/>
        </w:sectPr>
      </w:pPr>
    </w:p>
    <w:p w14:paraId="4900330F">
      <w:pPr>
        <w:pStyle w:val="73"/>
        <w:numPr>
          <w:ilvl w:val="0"/>
          <w:numId w:val="3"/>
        </w:numPr>
        <w:snapToGrid w:val="0"/>
        <w:spacing w:before="50" w:after="120" w:afterLines="50" w:line="360" w:lineRule="exact"/>
        <w:ind w:left="709" w:firstLineChars="0"/>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法定代表人身份证明书格式（必须提供）：</w:t>
      </w:r>
    </w:p>
    <w:p w14:paraId="6C356B49">
      <w:pPr>
        <w:pStyle w:val="26"/>
        <w:ind w:left="-10" w:firstLine="10" w:firstLineChars="3"/>
        <w:jc w:val="center"/>
        <w:rPr>
          <w:rFonts w:ascii="仿宋_GB2312" w:hAnsi="Times New Roman" w:eastAsia="仿宋_GB2312"/>
          <w:b/>
          <w:sz w:val="32"/>
        </w:rPr>
      </w:pPr>
    </w:p>
    <w:p w14:paraId="5861C09F">
      <w:pPr>
        <w:pStyle w:val="26"/>
        <w:ind w:left="-10" w:firstLine="10" w:firstLineChars="3"/>
        <w:jc w:val="center"/>
        <w:rPr>
          <w:rFonts w:ascii="仿宋_GB2312" w:hAnsi="Times New Roman" w:eastAsia="仿宋_GB2312"/>
          <w:b/>
          <w:sz w:val="32"/>
        </w:rPr>
      </w:pPr>
      <w:r>
        <w:rPr>
          <w:rFonts w:hint="eastAsia" w:ascii="仿宋_GB2312" w:hAnsi="Times New Roman" w:eastAsia="仿宋_GB2312"/>
          <w:b/>
          <w:sz w:val="32"/>
        </w:rPr>
        <w:t>法定代表人身份证明书</w:t>
      </w:r>
    </w:p>
    <w:p w14:paraId="392787FA">
      <w:pPr>
        <w:pStyle w:val="26"/>
        <w:ind w:left="-10" w:firstLine="13" w:firstLineChars="3"/>
        <w:jc w:val="center"/>
        <w:rPr>
          <w:rFonts w:ascii="仿宋_GB2312" w:hAnsi="Times New Roman" w:eastAsia="仿宋_GB2312"/>
          <w:b/>
          <w:sz w:val="44"/>
        </w:rPr>
      </w:pPr>
    </w:p>
    <w:p w14:paraId="3C985118">
      <w:pPr>
        <w:pStyle w:val="26"/>
        <w:spacing w:line="360" w:lineRule="exact"/>
        <w:ind w:firstLine="277"/>
        <w:rPr>
          <w:rFonts w:ascii="仿宋_GB2312" w:hAnsi="Times New Roman" w:eastAsia="仿宋_GB2312"/>
          <w:u w:val="single"/>
        </w:rPr>
      </w:pPr>
      <w:r>
        <w:rPr>
          <w:rFonts w:hint="eastAsia" w:ascii="仿宋_GB2312" w:hAnsi="宋体" w:eastAsia="仿宋_GB2312"/>
        </w:rPr>
        <w:t>单位名称：</w:t>
      </w:r>
      <w:r>
        <w:rPr>
          <w:rFonts w:hint="eastAsia" w:ascii="仿宋_GB2312" w:hAnsi="Times New Roman" w:eastAsia="仿宋_GB2312"/>
          <w:u w:val="single"/>
        </w:rPr>
        <w:t xml:space="preserve">                         </w:t>
      </w:r>
    </w:p>
    <w:p w14:paraId="3A6BE64D">
      <w:pPr>
        <w:pStyle w:val="26"/>
        <w:spacing w:line="360" w:lineRule="exact"/>
        <w:ind w:firstLine="277"/>
        <w:rPr>
          <w:rFonts w:ascii="仿宋_GB2312" w:hAnsi="Times New Roman" w:eastAsia="仿宋_GB2312"/>
        </w:rPr>
      </w:pPr>
      <w:r>
        <w:rPr>
          <w:rFonts w:hint="eastAsia" w:ascii="仿宋_GB2312" w:hAnsi="宋体" w:eastAsia="仿宋_GB2312"/>
        </w:rPr>
        <w:t>单位性质：</w:t>
      </w:r>
      <w:r>
        <w:rPr>
          <w:rFonts w:hint="eastAsia" w:ascii="仿宋_GB2312" w:hAnsi="Times New Roman" w:eastAsia="仿宋_GB2312"/>
          <w:u w:val="single"/>
        </w:rPr>
        <w:t xml:space="preserve">                         </w:t>
      </w:r>
    </w:p>
    <w:p w14:paraId="586EF6FB">
      <w:pPr>
        <w:pStyle w:val="26"/>
        <w:spacing w:line="360" w:lineRule="exact"/>
        <w:ind w:firstLine="277"/>
        <w:rPr>
          <w:rFonts w:ascii="仿宋_GB2312" w:hAnsi="Times New Roman" w:eastAsia="仿宋_GB2312"/>
        </w:rPr>
      </w:pPr>
      <w:r>
        <w:rPr>
          <w:rFonts w:hint="eastAsia" w:ascii="仿宋_GB2312" w:hAnsi="宋体" w:eastAsia="仿宋_GB2312"/>
        </w:rPr>
        <w:t>地</w:t>
      </w:r>
      <w:r>
        <w:rPr>
          <w:rFonts w:hint="eastAsia" w:ascii="仿宋_GB2312" w:hAnsi="Times New Roman" w:eastAsia="仿宋_GB2312"/>
        </w:rPr>
        <w:t xml:space="preserve">    </w:t>
      </w:r>
      <w:r>
        <w:rPr>
          <w:rFonts w:hint="eastAsia" w:ascii="仿宋_GB2312" w:hAnsi="宋体" w:eastAsia="仿宋_GB2312"/>
        </w:rPr>
        <w:t>址：</w:t>
      </w:r>
      <w:r>
        <w:rPr>
          <w:rFonts w:hint="eastAsia" w:ascii="仿宋_GB2312" w:hAnsi="Times New Roman" w:eastAsia="仿宋_GB2312"/>
          <w:u w:val="single"/>
        </w:rPr>
        <w:t xml:space="preserve">                         </w:t>
      </w:r>
    </w:p>
    <w:p w14:paraId="3405E150">
      <w:pPr>
        <w:pStyle w:val="26"/>
        <w:spacing w:line="360" w:lineRule="exact"/>
        <w:ind w:firstLine="277"/>
        <w:rPr>
          <w:rFonts w:ascii="仿宋_GB2312" w:hAnsi="Times New Roman" w:eastAsia="仿宋_GB2312"/>
        </w:rPr>
      </w:pPr>
      <w:r>
        <w:rPr>
          <w:rFonts w:hint="eastAsia" w:ascii="仿宋_GB2312" w:hAnsi="宋体" w:eastAsia="仿宋_GB2312"/>
        </w:rPr>
        <w:t>成立时间：</w:t>
      </w:r>
      <w:r>
        <w:rPr>
          <w:rFonts w:hint="eastAsia" w:ascii="仿宋_GB2312" w:hAnsi="Times New Roman" w:eastAsia="仿宋_GB2312"/>
          <w:u w:val="single"/>
        </w:rPr>
        <w:t xml:space="preserve">              </w:t>
      </w:r>
      <w:r>
        <w:rPr>
          <w:rFonts w:hint="eastAsia" w:ascii="仿宋_GB2312" w:hAnsi="宋体" w:eastAsia="仿宋_GB2312"/>
        </w:rPr>
        <w:t>年</w:t>
      </w:r>
      <w:r>
        <w:rPr>
          <w:rFonts w:hint="eastAsia" w:ascii="仿宋_GB2312" w:hAnsi="Times New Roman" w:eastAsia="仿宋_GB2312"/>
          <w:u w:val="single"/>
        </w:rPr>
        <w:t xml:space="preserve">   </w:t>
      </w:r>
      <w:r>
        <w:rPr>
          <w:rFonts w:hint="eastAsia" w:ascii="仿宋_GB2312" w:hAnsi="宋体" w:eastAsia="仿宋_GB2312"/>
        </w:rPr>
        <w:t>月</w:t>
      </w:r>
      <w:r>
        <w:rPr>
          <w:rFonts w:hint="eastAsia" w:ascii="仿宋_GB2312" w:hAnsi="Times New Roman" w:eastAsia="仿宋_GB2312"/>
          <w:u w:val="single"/>
        </w:rPr>
        <w:t xml:space="preserve">   </w:t>
      </w:r>
      <w:r>
        <w:rPr>
          <w:rFonts w:hint="eastAsia" w:ascii="仿宋_GB2312" w:hAnsi="宋体" w:eastAsia="仿宋_GB2312"/>
        </w:rPr>
        <w:t>日</w:t>
      </w:r>
    </w:p>
    <w:p w14:paraId="60A183A4">
      <w:pPr>
        <w:pStyle w:val="26"/>
        <w:spacing w:line="360" w:lineRule="exact"/>
        <w:ind w:firstLine="277"/>
        <w:rPr>
          <w:rFonts w:ascii="仿宋_GB2312" w:hAnsi="Times New Roman" w:eastAsia="仿宋_GB2312"/>
          <w:u w:val="single"/>
        </w:rPr>
      </w:pPr>
      <w:r>
        <w:rPr>
          <w:rFonts w:hint="eastAsia" w:ascii="仿宋_GB2312" w:hAnsi="宋体" w:eastAsia="仿宋_GB2312"/>
        </w:rPr>
        <w:t>经营期限：</w:t>
      </w:r>
      <w:r>
        <w:rPr>
          <w:rFonts w:hint="eastAsia" w:ascii="仿宋_GB2312" w:hAnsi="Times New Roman" w:eastAsia="仿宋_GB2312"/>
          <w:u w:val="single"/>
        </w:rPr>
        <w:t xml:space="preserve">                          </w:t>
      </w:r>
    </w:p>
    <w:p w14:paraId="2F4412A8">
      <w:pPr>
        <w:pStyle w:val="26"/>
        <w:spacing w:line="360" w:lineRule="exact"/>
        <w:ind w:firstLine="277"/>
        <w:rPr>
          <w:rFonts w:ascii="仿宋_GB2312" w:hAnsi="Times New Roman" w:eastAsia="仿宋_GB2312"/>
        </w:rPr>
      </w:pPr>
      <w:r>
        <w:rPr>
          <w:rFonts w:hint="eastAsia" w:ascii="仿宋_GB2312" w:hAnsi="宋体" w:eastAsia="仿宋_GB2312"/>
        </w:rPr>
        <w:t>姓名：</w:t>
      </w:r>
      <w:r>
        <w:rPr>
          <w:rFonts w:hint="eastAsia" w:ascii="仿宋_GB2312" w:hAnsi="Times New Roman" w:eastAsia="仿宋_GB2312"/>
          <w:u w:val="single"/>
        </w:rPr>
        <w:t xml:space="preserve">       </w:t>
      </w:r>
      <w:r>
        <w:rPr>
          <w:rFonts w:hint="eastAsia" w:ascii="仿宋_GB2312" w:hAnsi="宋体" w:eastAsia="仿宋_GB2312"/>
        </w:rPr>
        <w:t>性别：</w:t>
      </w:r>
      <w:r>
        <w:rPr>
          <w:rFonts w:hint="eastAsia" w:ascii="仿宋_GB2312" w:hAnsi="Times New Roman" w:eastAsia="仿宋_GB2312"/>
          <w:u w:val="single"/>
        </w:rPr>
        <w:t xml:space="preserve">   </w:t>
      </w:r>
      <w:r>
        <w:rPr>
          <w:rFonts w:hint="eastAsia" w:ascii="仿宋_GB2312" w:hAnsi="宋体" w:eastAsia="仿宋_GB2312"/>
        </w:rPr>
        <w:t>年龄：</w:t>
      </w:r>
      <w:r>
        <w:rPr>
          <w:rFonts w:hint="eastAsia" w:ascii="仿宋_GB2312" w:hAnsi="Times New Roman" w:eastAsia="仿宋_GB2312"/>
          <w:u w:val="single"/>
        </w:rPr>
        <w:t xml:space="preserve">     </w:t>
      </w:r>
      <w:r>
        <w:rPr>
          <w:rFonts w:hint="eastAsia" w:ascii="仿宋_GB2312" w:hAnsi="宋体" w:eastAsia="仿宋_GB2312"/>
        </w:rPr>
        <w:t>职务：</w:t>
      </w:r>
      <w:r>
        <w:rPr>
          <w:rFonts w:hint="eastAsia" w:ascii="仿宋_GB2312" w:hAnsi="Times New Roman" w:eastAsia="仿宋_GB2312"/>
          <w:u w:val="single"/>
        </w:rPr>
        <w:t xml:space="preserve">       </w:t>
      </w:r>
    </w:p>
    <w:p w14:paraId="618C75F8">
      <w:pPr>
        <w:pStyle w:val="26"/>
        <w:spacing w:line="360" w:lineRule="exact"/>
        <w:ind w:firstLine="277"/>
        <w:rPr>
          <w:rFonts w:ascii="仿宋_GB2312" w:hAnsi="Times New Roman" w:eastAsia="仿宋_GB2312"/>
        </w:rPr>
      </w:pPr>
      <w:r>
        <w:rPr>
          <w:rFonts w:hint="eastAsia" w:ascii="仿宋_GB2312" w:hAnsi="宋体" w:eastAsia="仿宋_GB2312"/>
        </w:rPr>
        <w:t>系</w:t>
      </w:r>
      <w:r>
        <w:rPr>
          <w:rFonts w:hint="eastAsia" w:ascii="仿宋_GB2312" w:hAnsi="Times New Roman" w:eastAsia="仿宋_GB2312"/>
          <w:u w:val="single"/>
        </w:rPr>
        <w:t xml:space="preserve">     </w:t>
      </w:r>
      <w:r>
        <w:rPr>
          <w:rFonts w:hint="eastAsia" w:ascii="仿宋_GB2312" w:hAnsi="宋体" w:eastAsia="仿宋_GB2312"/>
          <w:u w:val="single"/>
        </w:rPr>
        <w:t>（投标人名称）</w:t>
      </w:r>
      <w:r>
        <w:rPr>
          <w:rFonts w:hint="eastAsia" w:ascii="仿宋_GB2312" w:hAnsi="Times New Roman" w:eastAsia="仿宋_GB2312"/>
          <w:u w:val="single"/>
        </w:rPr>
        <w:t xml:space="preserve">  </w:t>
      </w:r>
      <w:r>
        <w:rPr>
          <w:rFonts w:hint="eastAsia" w:ascii="仿宋_GB2312" w:hAnsi="宋体" w:eastAsia="仿宋_GB2312"/>
        </w:rPr>
        <w:t>的法定代表人。</w:t>
      </w:r>
    </w:p>
    <w:p w14:paraId="64969B1C">
      <w:pPr>
        <w:pStyle w:val="26"/>
        <w:spacing w:line="360" w:lineRule="exact"/>
        <w:ind w:firstLine="277"/>
        <w:rPr>
          <w:rFonts w:ascii="仿宋_GB2312" w:hAnsi="Times New Roman" w:eastAsia="仿宋_GB2312"/>
        </w:rPr>
      </w:pPr>
      <w:r>
        <w:rPr>
          <w:rFonts w:hint="eastAsia" w:ascii="仿宋_GB2312" w:hAnsi="宋体" w:eastAsia="仿宋_GB2312"/>
        </w:rPr>
        <w:t>特此证明。</w:t>
      </w:r>
    </w:p>
    <w:p w14:paraId="00C97038">
      <w:pPr>
        <w:pStyle w:val="26"/>
        <w:spacing w:line="360" w:lineRule="exact"/>
        <w:ind w:right="420" w:firstLine="5565" w:firstLineChars="2650"/>
        <w:rPr>
          <w:rFonts w:ascii="仿宋_GB2312" w:hAnsi="Times New Roman" w:eastAsia="仿宋_GB2312"/>
        </w:rPr>
      </w:pPr>
      <w:r>
        <w:rPr>
          <w:rFonts w:hint="eastAsia" w:ascii="仿宋_GB2312" w:hAnsi="Times New Roman" w:eastAsia="仿宋_GB2312"/>
        </w:rPr>
        <w:t>投标人（</w:t>
      </w:r>
      <w:r>
        <w:rPr>
          <w:rFonts w:hint="eastAsia" w:ascii="仿宋_GB2312" w:hAnsi="Times New Roman" w:eastAsia="仿宋_GB2312"/>
          <w:b/>
          <w:bCs/>
        </w:rPr>
        <w:t>CA电子签章</w:t>
      </w:r>
      <w:r>
        <w:rPr>
          <w:rFonts w:hint="eastAsia" w:ascii="仿宋_GB2312" w:hAnsi="Times New Roman" w:eastAsia="仿宋_GB2312"/>
        </w:rPr>
        <w:t>）：</w:t>
      </w:r>
      <w:r>
        <w:rPr>
          <w:rFonts w:hint="eastAsia" w:ascii="仿宋_GB2312" w:hAnsi="Times New Roman" w:eastAsia="仿宋_GB2312"/>
          <w:u w:val="single"/>
        </w:rPr>
        <w:t xml:space="preserve">     </w:t>
      </w:r>
      <w:r>
        <w:rPr>
          <w:rFonts w:ascii="仿宋_GB2312" w:hAnsi="Times New Roman" w:eastAsia="仿宋_GB2312"/>
          <w:u w:val="single"/>
        </w:rPr>
        <w:t xml:space="preserve">     </w:t>
      </w:r>
    </w:p>
    <w:p w14:paraId="4AE2CF2A">
      <w:pPr>
        <w:pStyle w:val="26"/>
        <w:spacing w:line="360" w:lineRule="exact"/>
        <w:ind w:firstLine="420"/>
        <w:jc w:val="center"/>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7A324849">
      <w:pPr>
        <w:pStyle w:val="26"/>
        <w:spacing w:line="360" w:lineRule="exact"/>
        <w:rPr>
          <w:rFonts w:ascii="仿宋_GB2312" w:hAnsi="Times New Roman" w:eastAsia="仿宋_GB2312"/>
        </w:rPr>
      </w:pPr>
      <w:r>
        <mc:AlternateContent>
          <mc:Choice Requires="wps">
            <w:drawing>
              <wp:anchor distT="0" distB="0" distL="114300" distR="114300" simplePos="0" relativeHeight="251659264" behindDoc="0" locked="0" layoutInCell="1" allowOverlap="1">
                <wp:simplePos x="0" y="0"/>
                <wp:positionH relativeFrom="column">
                  <wp:posOffset>-436245</wp:posOffset>
                </wp:positionH>
                <wp:positionV relativeFrom="paragraph">
                  <wp:posOffset>103505</wp:posOffset>
                </wp:positionV>
                <wp:extent cx="6459855" cy="8255"/>
                <wp:effectExtent l="11430" t="6985" r="5715" b="13335"/>
                <wp:wrapNone/>
                <wp:docPr id="6" name="直线 13"/>
                <wp:cNvGraphicFramePr/>
                <a:graphic xmlns:a="http://schemas.openxmlformats.org/drawingml/2006/main">
                  <a:graphicData uri="http://schemas.microsoft.com/office/word/2010/wordprocessingShape">
                    <wps:wsp>
                      <wps:cNvCnPr>
                        <a:cxnSpLocks noChangeShapeType="1"/>
                      </wps:cNvCnPr>
                      <wps:spPr bwMode="auto">
                        <a:xfrm flipV="1">
                          <a:off x="0" y="0"/>
                          <a:ext cx="6459855" cy="8255"/>
                        </a:xfrm>
                        <a:prstGeom prst="line">
                          <a:avLst/>
                        </a:prstGeom>
                        <a:noFill/>
                        <a:ln w="9525">
                          <a:solidFill>
                            <a:srgbClr val="000000"/>
                          </a:solidFill>
                          <a:round/>
                        </a:ln>
                      </wps:spPr>
                      <wps:bodyPr/>
                    </wps:wsp>
                  </a:graphicData>
                </a:graphic>
              </wp:anchor>
            </w:drawing>
          </mc:Choice>
          <mc:Fallback>
            <w:pict>
              <v:line id="直线 13" o:spid="_x0000_s1026" o:spt="20" style="position:absolute;left:0pt;flip:y;margin-left:-34.35pt;margin-top:8.15pt;height:0.65pt;width:508.65pt;z-index:251659264;mso-width-relative:page;mso-height-relative:page;" filled="f" stroked="t" coordsize="21600,21600" o:gfxdata="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GnlhDXAAAACQEA&#10;AA8AAAAAAAAAAQAgAAAAIgAAAGRycy9kb3ducmV2LnhtbFBLAQIUABQAAAAIAIdO4kATWbsU4gEA&#10;AK8DAAAOAAAAAAAAAAEAIAAAACYBAABkcnMvZTJvRG9jLnhtbFBLBQYAAAAABgAGAFkBAAB6BQAA&#10;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760C0F81">
      <w:pPr>
        <w:pStyle w:val="26"/>
        <w:spacing w:line="480" w:lineRule="exact"/>
        <w:rPr>
          <w:rFonts w:ascii="仿宋_GB2312" w:hAnsi="Times New Roman" w:eastAsia="仿宋_GB2312"/>
        </w:rPr>
      </w:pPr>
      <w:r>
        <mc:AlternateContent>
          <mc:Choice Requires="wps">
            <w:drawing>
              <wp:anchor distT="0" distB="0" distL="114300" distR="114300" simplePos="0" relativeHeight="251661312" behindDoc="0" locked="0" layoutInCell="1" allowOverlap="1">
                <wp:simplePos x="0" y="0"/>
                <wp:positionH relativeFrom="column">
                  <wp:posOffset>-114935</wp:posOffset>
                </wp:positionH>
                <wp:positionV relativeFrom="paragraph">
                  <wp:posOffset>168910</wp:posOffset>
                </wp:positionV>
                <wp:extent cx="3488690" cy="1896745"/>
                <wp:effectExtent l="8890" t="5715" r="7620" b="12065"/>
                <wp:wrapNone/>
                <wp:docPr id="5" name="矩形 14"/>
                <wp:cNvGraphicFramePr/>
                <a:graphic xmlns:a="http://schemas.openxmlformats.org/drawingml/2006/main">
                  <a:graphicData uri="http://schemas.microsoft.com/office/word/2010/wordprocessingShape">
                    <wps:wsp>
                      <wps:cNvSpPr>
                        <a:spLocks noChangeArrowheads="1"/>
                      </wps:cNvSpPr>
                      <wps:spPr bwMode="auto">
                        <a:xfrm>
                          <a:off x="0" y="0"/>
                          <a:ext cx="3488690" cy="1896745"/>
                        </a:xfrm>
                        <a:prstGeom prst="rect">
                          <a:avLst/>
                        </a:prstGeom>
                        <a:solidFill>
                          <a:srgbClr val="FFFFFF"/>
                        </a:solidFill>
                        <a:ln w="9525">
                          <a:solidFill>
                            <a:srgbClr val="000000"/>
                          </a:solidFill>
                          <a:miter lim="800000"/>
                        </a:ln>
                      </wps:spPr>
                      <wps:txbx>
                        <w:txbxContent>
                          <w:p w14:paraId="3A93AE9F">
                            <w:pPr>
                              <w:jc w:val="left"/>
                              <w:rPr>
                                <w:rFonts w:hint="eastAsia" w:ascii="仿宋_GB2312" w:hAnsi="仿宋_GB2312" w:eastAsia="仿宋_GB2312" w:cs="仿宋_GB2312"/>
                              </w:rPr>
                            </w:pPr>
                          </w:p>
                          <w:p w14:paraId="4E9EE267">
                            <w:pPr>
                              <w:jc w:val="left"/>
                              <w:rPr>
                                <w:rFonts w:hint="eastAsia" w:ascii="仿宋_GB2312" w:hAnsi="仿宋_GB2312" w:eastAsia="仿宋_GB2312" w:cs="仿宋_GB2312"/>
                              </w:rPr>
                            </w:pPr>
                          </w:p>
                          <w:p w14:paraId="40605EB0">
                            <w:pPr>
                              <w:jc w:val="left"/>
                              <w:rPr>
                                <w:rFonts w:hint="eastAsia" w:ascii="仿宋_GB2312" w:hAnsi="仿宋_GB2312" w:eastAsia="仿宋_GB2312" w:cs="仿宋_GB2312"/>
                              </w:rPr>
                            </w:pPr>
                          </w:p>
                          <w:p w14:paraId="4C1D5489">
                            <w:pPr>
                              <w:jc w:val="center"/>
                              <w:rPr>
                                <w:rFonts w:hint="eastAsia" w:ascii="仿宋_GB2312" w:hAnsi="仿宋_GB2312" w:eastAsia="仿宋_GB2312" w:cs="仿宋_GB2312"/>
                              </w:rPr>
                            </w:pPr>
                          </w:p>
                          <w:p w14:paraId="1C40FA5E">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03D19F86">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14:paraId="1BE19413"/>
                        </w:txbxContent>
                      </wps:txbx>
                      <wps:bodyPr rot="0" vert="horz" wrap="square" lIns="91440" tIns="45720" rIns="91440" bIns="45720" anchor="t" anchorCtr="0" upright="1">
                        <a:noAutofit/>
                      </wps:bodyPr>
                    </wps:wsp>
                  </a:graphicData>
                </a:graphic>
              </wp:anchor>
            </w:drawing>
          </mc:Choice>
          <mc:Fallback>
            <w:pict>
              <v:rect id="矩形 14" o:spid="_x0000_s1026" o:spt="1" style="position:absolute;left:0pt;margin-left:-9.05pt;margin-top:13.3pt;height:149.35pt;width:274.7pt;z-index:251661312;mso-width-relative:page;mso-height-relative:page;" fillcolor="#FFFFFF" filled="t" stroked="t" coordsize="21600,21600" o:gfxdata="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Bi2KZl2QAAAAoBAAAPAAAAAAAAAAEAIAAAACIAAABkcnMv&#10;ZG93bnJldi54bWxQSwECFAAUAAAACACHTuJAf1X8bzsCAAB8BAAADgAAAAAAAAABACAAAAAoAQAA&#10;ZHJzL2Uyb0RvYy54bWxQSwUGAAAAAAYABgBZAQAA1QUAAAAA&#10;">
                <v:fill on="t" focussize="0,0"/>
                <v:stroke color="#000000" miterlimit="8" joinstyle="miter"/>
                <v:imagedata o:title=""/>
                <o:lock v:ext="edit" aspectratio="f"/>
                <v:textbox>
                  <w:txbxContent>
                    <w:p w14:paraId="3A93AE9F">
                      <w:pPr>
                        <w:jc w:val="left"/>
                        <w:rPr>
                          <w:rFonts w:hint="eastAsia" w:ascii="仿宋_GB2312" w:hAnsi="仿宋_GB2312" w:eastAsia="仿宋_GB2312" w:cs="仿宋_GB2312"/>
                        </w:rPr>
                      </w:pPr>
                    </w:p>
                    <w:p w14:paraId="4E9EE267">
                      <w:pPr>
                        <w:jc w:val="left"/>
                        <w:rPr>
                          <w:rFonts w:hint="eastAsia" w:ascii="仿宋_GB2312" w:hAnsi="仿宋_GB2312" w:eastAsia="仿宋_GB2312" w:cs="仿宋_GB2312"/>
                        </w:rPr>
                      </w:pPr>
                    </w:p>
                    <w:p w14:paraId="40605EB0">
                      <w:pPr>
                        <w:jc w:val="left"/>
                        <w:rPr>
                          <w:rFonts w:hint="eastAsia" w:ascii="仿宋_GB2312" w:hAnsi="仿宋_GB2312" w:eastAsia="仿宋_GB2312" w:cs="仿宋_GB2312"/>
                        </w:rPr>
                      </w:pPr>
                    </w:p>
                    <w:p w14:paraId="4C1D5489">
                      <w:pPr>
                        <w:jc w:val="center"/>
                        <w:rPr>
                          <w:rFonts w:hint="eastAsia" w:ascii="仿宋_GB2312" w:hAnsi="仿宋_GB2312" w:eastAsia="仿宋_GB2312" w:cs="仿宋_GB2312"/>
                        </w:rPr>
                      </w:pPr>
                    </w:p>
                    <w:p w14:paraId="1C40FA5E">
                      <w:pPr>
                        <w:ind w:right="-195" w:rightChars="-93"/>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03D19F86">
                      <w:pPr>
                        <w:jc w:val="center"/>
                        <w:rPr>
                          <w:rFonts w:hint="eastAsia" w:ascii="仿宋_GB2312" w:hAnsi="仿宋_GB2312" w:eastAsia="仿宋_GB2312" w:cs="仿宋_GB2312"/>
                          <w:b/>
                        </w:rPr>
                      </w:pPr>
                      <w:r>
                        <w:rPr>
                          <w:rFonts w:hint="eastAsia" w:ascii="仿宋_GB2312" w:hAnsi="仿宋_GB2312" w:eastAsia="仿宋_GB2312" w:cs="仿宋_GB2312"/>
                          <w:b/>
                        </w:rPr>
                        <w:t>（正面）</w:t>
                      </w:r>
                    </w:p>
                    <w:p w14:paraId="1BE19413"/>
                  </w:txbxContent>
                </v:textbox>
              </v:rect>
            </w:pict>
          </mc:Fallback>
        </mc:AlternateContent>
      </w:r>
    </w:p>
    <w:p w14:paraId="47BBB2C9">
      <w:pPr>
        <w:pStyle w:val="26"/>
        <w:spacing w:line="480" w:lineRule="exact"/>
        <w:rPr>
          <w:rFonts w:ascii="仿宋_GB2312" w:hAnsi="Times New Roman" w:eastAsia="仿宋_GB2312"/>
        </w:rPr>
      </w:pPr>
    </w:p>
    <w:p w14:paraId="06C6AAA8">
      <w:pPr>
        <w:pStyle w:val="26"/>
        <w:spacing w:line="480" w:lineRule="exact"/>
        <w:rPr>
          <w:rFonts w:ascii="仿宋_GB2312" w:hAnsi="Times New Roman" w:eastAsia="仿宋_GB2312"/>
        </w:rPr>
      </w:pPr>
    </w:p>
    <w:p w14:paraId="0E8D9626">
      <w:pPr>
        <w:pStyle w:val="26"/>
        <w:spacing w:line="480" w:lineRule="exact"/>
        <w:rPr>
          <w:rFonts w:ascii="仿宋_GB2312" w:hAnsi="Times New Roman" w:eastAsia="仿宋_GB2312"/>
        </w:rPr>
      </w:pPr>
    </w:p>
    <w:p w14:paraId="68C5DC3C">
      <w:pPr>
        <w:pStyle w:val="26"/>
        <w:spacing w:line="480" w:lineRule="exact"/>
        <w:rPr>
          <w:rFonts w:ascii="仿宋_GB2312" w:hAnsi="Times New Roman" w:eastAsia="仿宋_GB2312"/>
        </w:rPr>
      </w:pPr>
    </w:p>
    <w:p w14:paraId="099EDEFD">
      <w:pPr>
        <w:pStyle w:val="26"/>
        <w:spacing w:line="240" w:lineRule="atLeast"/>
        <w:ind w:firstLine="6300" w:firstLineChars="3000"/>
        <w:rPr>
          <w:rFonts w:ascii="仿宋_GB2312" w:hAnsi="Times New Roman" w:eastAsia="仿宋_GB2312"/>
        </w:rPr>
      </w:pPr>
    </w:p>
    <w:p w14:paraId="2EDD46AF">
      <w:pPr>
        <w:pStyle w:val="26"/>
        <w:spacing w:line="480" w:lineRule="exact"/>
        <w:rPr>
          <w:rFonts w:ascii="仿宋_GB2312" w:hAnsi="Times New Roman" w:eastAsia="仿宋_GB2312"/>
        </w:rPr>
      </w:pPr>
    </w:p>
    <w:p w14:paraId="79ED78F1">
      <w:pPr>
        <w:pStyle w:val="26"/>
        <w:spacing w:line="240" w:lineRule="exact"/>
        <w:rPr>
          <w:rFonts w:ascii="仿宋_GB2312" w:hAnsi="Times New Roman" w:eastAsia="仿宋_GB2312"/>
        </w:rPr>
      </w:pPr>
    </w:p>
    <w:p w14:paraId="5CDBAD87">
      <w:pPr>
        <w:pStyle w:val="26"/>
        <w:spacing w:line="240" w:lineRule="exact"/>
        <w:rPr>
          <w:rFonts w:ascii="仿宋_GB2312" w:hAnsi="Times New Roman" w:eastAsia="仿宋_GB2312"/>
        </w:rPr>
      </w:pPr>
      <w:r>
        <mc:AlternateContent>
          <mc:Choice Requires="wps">
            <w:drawing>
              <wp:anchor distT="0" distB="0" distL="114300" distR="114300" simplePos="0" relativeHeight="251662336" behindDoc="0" locked="0" layoutInCell="1" allowOverlap="1">
                <wp:simplePos x="0" y="0"/>
                <wp:positionH relativeFrom="column">
                  <wp:posOffset>-90170</wp:posOffset>
                </wp:positionH>
                <wp:positionV relativeFrom="paragraph">
                  <wp:posOffset>120015</wp:posOffset>
                </wp:positionV>
                <wp:extent cx="3463925" cy="1852295"/>
                <wp:effectExtent l="5080" t="13970" r="7620" b="10160"/>
                <wp:wrapNone/>
                <wp:docPr id="4" name="矩形 15"/>
                <wp:cNvGraphicFramePr/>
                <a:graphic xmlns:a="http://schemas.openxmlformats.org/drawingml/2006/main">
                  <a:graphicData uri="http://schemas.microsoft.com/office/word/2010/wordprocessingShape">
                    <wps:wsp>
                      <wps:cNvSpPr>
                        <a:spLocks noChangeArrowheads="1"/>
                      </wps:cNvSpPr>
                      <wps:spPr bwMode="auto">
                        <a:xfrm>
                          <a:off x="0" y="0"/>
                          <a:ext cx="3463925" cy="1852295"/>
                        </a:xfrm>
                        <a:prstGeom prst="rect">
                          <a:avLst/>
                        </a:prstGeom>
                        <a:solidFill>
                          <a:srgbClr val="FFFFFF"/>
                        </a:solidFill>
                        <a:ln w="9525">
                          <a:solidFill>
                            <a:srgbClr val="000000"/>
                          </a:solidFill>
                          <a:miter lim="800000"/>
                        </a:ln>
                      </wps:spPr>
                      <wps:txbx>
                        <w:txbxContent>
                          <w:p w14:paraId="1B3A9046">
                            <w:pPr>
                              <w:jc w:val="left"/>
                              <w:rPr>
                                <w:rFonts w:hint="eastAsia" w:ascii="仿宋_GB2312" w:hAnsi="仿宋_GB2312" w:eastAsia="仿宋_GB2312" w:cs="仿宋_GB2312"/>
                              </w:rPr>
                            </w:pPr>
                          </w:p>
                          <w:p w14:paraId="30BD7B83">
                            <w:pPr>
                              <w:jc w:val="left"/>
                              <w:rPr>
                                <w:rFonts w:hint="eastAsia" w:ascii="仿宋_GB2312" w:hAnsi="仿宋_GB2312" w:eastAsia="仿宋_GB2312" w:cs="仿宋_GB2312"/>
                              </w:rPr>
                            </w:pPr>
                          </w:p>
                          <w:p w14:paraId="70381F43">
                            <w:pPr>
                              <w:jc w:val="left"/>
                              <w:rPr>
                                <w:rFonts w:hint="eastAsia" w:ascii="仿宋_GB2312" w:hAnsi="仿宋_GB2312" w:eastAsia="仿宋_GB2312" w:cs="仿宋_GB2312"/>
                              </w:rPr>
                            </w:pPr>
                          </w:p>
                          <w:p w14:paraId="341442E7">
                            <w:pPr>
                              <w:jc w:val="left"/>
                              <w:rPr>
                                <w:rFonts w:hint="eastAsia" w:ascii="仿宋_GB2312" w:hAnsi="仿宋_GB2312" w:eastAsia="仿宋_GB2312" w:cs="仿宋_GB2312"/>
                              </w:rPr>
                            </w:pPr>
                          </w:p>
                          <w:p w14:paraId="0857719C">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1DAE3169">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14:paraId="3EAA446A"/>
                        </w:txbxContent>
                      </wps:txbx>
                      <wps:bodyPr rot="0" vert="horz" wrap="square" lIns="91440" tIns="45720" rIns="91440" bIns="45720" anchor="t" anchorCtr="0" upright="1">
                        <a:noAutofit/>
                      </wps:bodyPr>
                    </wps:wsp>
                  </a:graphicData>
                </a:graphic>
              </wp:anchor>
            </w:drawing>
          </mc:Choice>
          <mc:Fallback>
            <w:pict>
              <v:rect id="矩形 15" o:spid="_x0000_s1026" o:spt="1" style="position:absolute;left:0pt;margin-left:-7.1pt;margin-top:9.45pt;height:145.85pt;width:272.75pt;z-index:251662336;mso-width-relative:page;mso-height-relative:page;" fillcolor="#FFFFFF" filled="t" stroked="t" coordsize="21600,21600" o:gfxdata="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KTjNE/YAAAACgEAAA8AAAAAAAAAAQAgAAAAIgAAAGRycy9kb3du&#10;cmV2LnhtbFBLAQIUABQAAAAIAIdO4kCrEEpsOAIAAHwEAAAOAAAAAAAAAAEAIAAAACcBAABkcnMv&#10;ZTJvRG9jLnhtbFBLBQYAAAAABgAGAFkBAADRBQAAAAA=&#10;">
                <v:fill on="t" focussize="0,0"/>
                <v:stroke color="#000000" miterlimit="8" joinstyle="miter"/>
                <v:imagedata o:title=""/>
                <o:lock v:ext="edit" aspectratio="f"/>
                <v:textbox>
                  <w:txbxContent>
                    <w:p w14:paraId="1B3A9046">
                      <w:pPr>
                        <w:jc w:val="left"/>
                        <w:rPr>
                          <w:rFonts w:hint="eastAsia" w:ascii="仿宋_GB2312" w:hAnsi="仿宋_GB2312" w:eastAsia="仿宋_GB2312" w:cs="仿宋_GB2312"/>
                        </w:rPr>
                      </w:pPr>
                    </w:p>
                    <w:p w14:paraId="30BD7B83">
                      <w:pPr>
                        <w:jc w:val="left"/>
                        <w:rPr>
                          <w:rFonts w:hint="eastAsia" w:ascii="仿宋_GB2312" w:hAnsi="仿宋_GB2312" w:eastAsia="仿宋_GB2312" w:cs="仿宋_GB2312"/>
                        </w:rPr>
                      </w:pPr>
                    </w:p>
                    <w:p w14:paraId="70381F43">
                      <w:pPr>
                        <w:jc w:val="left"/>
                        <w:rPr>
                          <w:rFonts w:hint="eastAsia" w:ascii="仿宋_GB2312" w:hAnsi="仿宋_GB2312" w:eastAsia="仿宋_GB2312" w:cs="仿宋_GB2312"/>
                        </w:rPr>
                      </w:pPr>
                    </w:p>
                    <w:p w14:paraId="341442E7">
                      <w:pPr>
                        <w:jc w:val="left"/>
                        <w:rPr>
                          <w:rFonts w:hint="eastAsia" w:ascii="仿宋_GB2312" w:hAnsi="仿宋_GB2312" w:eastAsia="仿宋_GB2312" w:cs="仿宋_GB2312"/>
                        </w:rPr>
                      </w:pPr>
                    </w:p>
                    <w:p w14:paraId="0857719C">
                      <w:pPr>
                        <w:ind w:right="-99" w:rightChars="-47"/>
                        <w:jc w:val="center"/>
                        <w:rPr>
                          <w:rFonts w:hint="eastAsia" w:ascii="仿宋_GB2312" w:hAnsi="仿宋_GB2312" w:eastAsia="仿宋_GB2312" w:cs="仿宋_GB2312"/>
                        </w:rPr>
                      </w:pPr>
                      <w:r>
                        <w:rPr>
                          <w:rFonts w:hint="eastAsia" w:ascii="仿宋_GB2312" w:hAnsi="仿宋_GB2312" w:eastAsia="仿宋_GB2312" w:cs="仿宋_GB2312"/>
                        </w:rPr>
                        <w:t>法定代表人第二代居民身份证</w:t>
                      </w:r>
                    </w:p>
                    <w:p w14:paraId="1DAE3169">
                      <w:pPr>
                        <w:jc w:val="center"/>
                        <w:rPr>
                          <w:rFonts w:hint="eastAsia" w:ascii="仿宋_GB2312" w:hAnsi="仿宋_GB2312" w:eastAsia="仿宋_GB2312" w:cs="仿宋_GB2312"/>
                          <w:b/>
                        </w:rPr>
                      </w:pPr>
                      <w:r>
                        <w:rPr>
                          <w:rFonts w:hint="eastAsia" w:ascii="仿宋_GB2312" w:hAnsi="仿宋_GB2312" w:eastAsia="仿宋_GB2312" w:cs="仿宋_GB2312"/>
                          <w:b/>
                        </w:rPr>
                        <w:t>（背面）</w:t>
                      </w:r>
                    </w:p>
                    <w:p w14:paraId="3EAA446A"/>
                  </w:txbxContent>
                </v:textbox>
              </v:rect>
            </w:pict>
          </mc:Fallback>
        </mc:AlternateContent>
      </w:r>
    </w:p>
    <w:p w14:paraId="729D0BA0">
      <w:pPr>
        <w:pStyle w:val="26"/>
        <w:spacing w:line="240" w:lineRule="exact"/>
        <w:rPr>
          <w:rFonts w:ascii="仿宋_GB2312" w:hAnsi="Times New Roman" w:eastAsia="仿宋_GB2312"/>
        </w:rPr>
      </w:pPr>
    </w:p>
    <w:p w14:paraId="0DD3F56F">
      <w:pPr>
        <w:pStyle w:val="26"/>
        <w:spacing w:line="240" w:lineRule="exact"/>
        <w:rPr>
          <w:rFonts w:ascii="仿宋_GB2312" w:hAnsi="Times New Roman" w:eastAsia="仿宋_GB2312"/>
          <w:sz w:val="44"/>
        </w:rPr>
      </w:pPr>
    </w:p>
    <w:p w14:paraId="177B63FD">
      <w:pPr>
        <w:pStyle w:val="26"/>
        <w:spacing w:line="240" w:lineRule="exact"/>
        <w:rPr>
          <w:rFonts w:ascii="仿宋_GB2312" w:hAnsi="Times New Roman" w:eastAsia="仿宋_GB2312"/>
          <w:sz w:val="44"/>
        </w:rPr>
      </w:pPr>
    </w:p>
    <w:p w14:paraId="73B7B161">
      <w:pPr>
        <w:pStyle w:val="26"/>
        <w:spacing w:line="240" w:lineRule="exact"/>
        <w:rPr>
          <w:rFonts w:ascii="仿宋_GB2312" w:hAnsi="Times New Roman" w:eastAsia="仿宋_GB2312"/>
          <w:sz w:val="44"/>
        </w:rPr>
      </w:pPr>
    </w:p>
    <w:p w14:paraId="691CD996">
      <w:pPr>
        <w:pStyle w:val="26"/>
        <w:spacing w:line="240" w:lineRule="exact"/>
        <w:rPr>
          <w:rFonts w:ascii="仿宋_GB2312" w:hAnsi="Times New Roman" w:eastAsia="仿宋_GB2312"/>
          <w:sz w:val="44"/>
        </w:rPr>
      </w:pPr>
    </w:p>
    <w:p w14:paraId="12D4395E">
      <w:pPr>
        <w:jc w:val="center"/>
        <w:rPr>
          <w:rFonts w:ascii="仿宋_GB2312" w:eastAsia="仿宋_GB2312"/>
        </w:rPr>
      </w:pPr>
    </w:p>
    <w:p w14:paraId="72A997DF">
      <w:pPr>
        <w:jc w:val="center"/>
        <w:rPr>
          <w:rFonts w:ascii="仿宋_GB2312" w:eastAsia="仿宋_GB2312"/>
        </w:rPr>
      </w:pPr>
      <w:r>
        <w:rPr>
          <w:rFonts w:hint="eastAsia" w:ascii="仿宋_GB2312" w:eastAsia="仿宋_GB2312"/>
        </w:rPr>
        <w:t xml:space="preserve">      </w:t>
      </w:r>
    </w:p>
    <w:p w14:paraId="6F344636">
      <w:pPr>
        <w:jc w:val="center"/>
        <w:rPr>
          <w:rFonts w:ascii="仿宋_GB2312" w:eastAsia="仿宋_GB2312"/>
          <w:u w:val="single"/>
        </w:rPr>
      </w:pPr>
      <w:r>
        <w:rPr>
          <w:rFonts w:hint="eastAsia" w:ascii="仿宋_GB2312" w:eastAsia="仿宋_GB2312"/>
        </w:rPr>
        <w:t xml:space="preserve">        </w:t>
      </w:r>
    </w:p>
    <w:p w14:paraId="43767DBA">
      <w:pPr>
        <w:pStyle w:val="26"/>
        <w:spacing w:line="240" w:lineRule="exact"/>
        <w:rPr>
          <w:rFonts w:ascii="仿宋_GB2312" w:hAnsi="Times New Roman" w:eastAsia="仿宋_GB2312"/>
          <w:sz w:val="44"/>
        </w:rPr>
      </w:pPr>
    </w:p>
    <w:p w14:paraId="33C22901">
      <w:pPr>
        <w:pStyle w:val="26"/>
        <w:spacing w:line="240" w:lineRule="atLeast"/>
        <w:ind w:firstLine="6615" w:firstLineChars="3150"/>
        <w:rPr>
          <w:rFonts w:ascii="仿宋_GB2312" w:hAnsi="Times New Roman" w:eastAsia="仿宋_GB2312"/>
        </w:rPr>
      </w:pPr>
    </w:p>
    <w:p w14:paraId="6079A499">
      <w:pPr>
        <w:pStyle w:val="26"/>
        <w:spacing w:line="240" w:lineRule="atLeast"/>
        <w:ind w:firstLine="6615" w:firstLineChars="3150"/>
        <w:rPr>
          <w:rFonts w:ascii="仿宋_GB2312" w:hAnsi="Times New Roman" w:eastAsia="仿宋_GB2312"/>
        </w:rPr>
      </w:pPr>
    </w:p>
    <w:p w14:paraId="6E347CB1">
      <w:pPr>
        <w:pStyle w:val="26"/>
        <w:spacing w:line="240" w:lineRule="atLeast"/>
        <w:rPr>
          <w:rFonts w:ascii="仿宋_GB2312" w:hAnsi="Times New Roman" w:eastAsia="仿宋_GB2312"/>
        </w:rPr>
      </w:pPr>
    </w:p>
    <w:p w14:paraId="48AC44AB">
      <w:pPr>
        <w:pStyle w:val="26"/>
        <w:spacing w:line="360" w:lineRule="exact"/>
        <w:ind w:firstLine="5460" w:firstLineChars="2600"/>
        <w:rPr>
          <w:rFonts w:ascii="Times New Roman" w:hAnsi="Times New Roman"/>
          <w:u w:val="single"/>
        </w:rPr>
      </w:pPr>
      <w:r>
        <w:rPr>
          <w:rFonts w:hint="eastAsia" w:ascii="仿宋_GB2312" w:hAnsi="Times New Roman" w:eastAsia="仿宋_GB2312"/>
        </w:rPr>
        <w:t>法定代表人</w:t>
      </w:r>
      <w:r>
        <w:rPr>
          <w:rFonts w:hint="eastAsia" w:ascii="仿宋_GB2312" w:eastAsia="仿宋_GB2312"/>
          <w:b/>
          <w:bCs/>
        </w:rPr>
        <w:t>（签字）</w:t>
      </w:r>
      <w:r>
        <w:rPr>
          <w:rFonts w:hint="eastAsia" w:ascii="仿宋_GB2312" w:hAnsi="Times New Roman" w:eastAsia="仿宋_GB2312"/>
          <w:b/>
          <w:bCs/>
        </w:rPr>
        <w:t>：</w:t>
      </w:r>
      <w:r>
        <w:rPr>
          <w:rFonts w:hint="eastAsia" w:ascii="仿宋_GB2312" w:hAnsi="Times New Roman" w:eastAsia="仿宋_GB2312"/>
          <w:u w:val="single"/>
        </w:rPr>
        <w:t xml:space="preserve">      </w:t>
      </w:r>
      <w:r>
        <w:rPr>
          <w:rFonts w:ascii="Times New Roman" w:hAnsi="Times New Roman"/>
          <w:u w:val="single"/>
        </w:rPr>
        <w:t xml:space="preserve">      </w:t>
      </w:r>
    </w:p>
    <w:p w14:paraId="13D33E4C">
      <w:pPr>
        <w:pStyle w:val="26"/>
        <w:spacing w:line="360" w:lineRule="exact"/>
        <w:rPr>
          <w:rFonts w:ascii="仿宋_GB2312" w:eastAsia="仿宋_GB2312"/>
          <w:b/>
          <w:sz w:val="24"/>
        </w:rPr>
      </w:pPr>
    </w:p>
    <w:p w14:paraId="18AD5769">
      <w:pPr>
        <w:pStyle w:val="26"/>
        <w:spacing w:line="360" w:lineRule="exact"/>
        <w:ind w:firstLine="482" w:firstLineChars="200"/>
        <w:rPr>
          <w:rFonts w:ascii="Times New Roman" w:hAnsi="Times New Roman"/>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01B4B79A">
      <w:pPr>
        <w:pStyle w:val="26"/>
        <w:spacing w:line="360" w:lineRule="exact"/>
        <w:ind w:firstLine="420" w:firstLineChars="200"/>
        <w:rPr>
          <w:rFonts w:ascii="Times New Roman" w:hAnsi="Times New Roman"/>
        </w:rPr>
        <w:sectPr>
          <w:pgSz w:w="11906" w:h="16838"/>
          <w:pgMar w:top="1440" w:right="1440" w:bottom="1440" w:left="1440" w:header="851" w:footer="992" w:gutter="0"/>
          <w:cols w:space="720" w:num="1"/>
          <w:docGrid w:linePitch="312" w:charSpace="0"/>
        </w:sectPr>
      </w:pPr>
    </w:p>
    <w:p w14:paraId="0778F798">
      <w:pPr>
        <w:pStyle w:val="26"/>
        <w:spacing w:line="320" w:lineRule="exact"/>
        <w:rPr>
          <w:rFonts w:ascii="仿宋_GB2312" w:hAnsi="Times New Roman" w:eastAsia="仿宋_GB2312"/>
          <w:spacing w:val="-4"/>
        </w:rPr>
      </w:pPr>
      <w:r>
        <w:rPr>
          <w:rFonts w:hint="eastAsia" w:ascii="仿宋_GB2312" w:eastAsia="仿宋_GB2312"/>
          <w:b/>
          <w:color w:val="000000"/>
          <w:sz w:val="24"/>
          <w:szCs w:val="24"/>
        </w:rPr>
        <w:t>（</w:t>
      </w:r>
      <w:r>
        <w:rPr>
          <w:rFonts w:ascii="仿宋_GB2312" w:eastAsia="仿宋_GB2312"/>
          <w:b/>
          <w:color w:val="000000"/>
          <w:sz w:val="24"/>
          <w:szCs w:val="24"/>
        </w:rPr>
        <w:t>2</w:t>
      </w:r>
      <w:r>
        <w:rPr>
          <w:rFonts w:hint="eastAsia" w:ascii="仿宋_GB2312" w:eastAsia="仿宋_GB2312"/>
          <w:b/>
          <w:color w:val="000000"/>
          <w:sz w:val="24"/>
          <w:szCs w:val="24"/>
        </w:rPr>
        <w:t>）法定代表人授权委托书格式（委托代理时必须提供）</w:t>
      </w:r>
      <w:r>
        <w:rPr>
          <w:rFonts w:hint="eastAsia" w:ascii="仿宋_GB2312" w:hAnsi="Times New Roman" w:eastAsia="仿宋_GB2312"/>
          <w:b/>
        </w:rPr>
        <w:t>：</w:t>
      </w:r>
    </w:p>
    <w:p w14:paraId="46BF4A00">
      <w:pPr>
        <w:pStyle w:val="26"/>
        <w:spacing w:line="320" w:lineRule="exact"/>
        <w:jc w:val="center"/>
        <w:rPr>
          <w:rFonts w:ascii="仿宋_GB2312" w:hAnsi="Times New Roman" w:eastAsia="仿宋_GB2312"/>
          <w:sz w:val="32"/>
        </w:rPr>
      </w:pPr>
    </w:p>
    <w:p w14:paraId="3386BC4A">
      <w:pPr>
        <w:pStyle w:val="26"/>
        <w:spacing w:line="320" w:lineRule="exact"/>
        <w:jc w:val="center"/>
        <w:rPr>
          <w:rFonts w:ascii="仿宋_GB2312" w:hAnsi="Times New Roman" w:eastAsia="仿宋_GB2312"/>
          <w:b/>
          <w:bCs/>
          <w:sz w:val="32"/>
        </w:rPr>
      </w:pPr>
      <w:r>
        <w:rPr>
          <w:rFonts w:hint="eastAsia" w:ascii="仿宋_GB2312" w:hAnsi="Times New Roman" w:eastAsia="仿宋_GB2312"/>
          <w:b/>
          <w:bCs/>
          <w:sz w:val="32"/>
        </w:rPr>
        <w:t>法定代表人授权委托书</w:t>
      </w:r>
    </w:p>
    <w:p w14:paraId="52F23800">
      <w:pPr>
        <w:snapToGrid w:val="0"/>
        <w:spacing w:line="400" w:lineRule="exact"/>
        <w:rPr>
          <w:rFonts w:ascii="仿宋_GB2312" w:eastAsia="仿宋_GB2312"/>
          <w:bCs/>
          <w:szCs w:val="21"/>
        </w:rPr>
      </w:pPr>
    </w:p>
    <w:p w14:paraId="315B3F07">
      <w:pPr>
        <w:snapToGrid w:val="0"/>
        <w:spacing w:line="360" w:lineRule="exact"/>
        <w:rPr>
          <w:rFonts w:hint="eastAsia" w:ascii="仿宋_GB2312" w:hAnsi="宋体" w:eastAsia="仿宋_GB2312"/>
          <w:szCs w:val="21"/>
          <w:u w:val="single"/>
        </w:rPr>
      </w:pPr>
      <w:r>
        <w:rPr>
          <w:rFonts w:hint="eastAsia" w:ascii="仿宋_GB2312" w:hAnsi="宋体" w:eastAsia="仿宋_GB2312"/>
          <w:szCs w:val="21"/>
          <w:u w:val="single"/>
        </w:rPr>
        <w:t>致：</w:t>
      </w:r>
      <w:r>
        <w:rPr>
          <w:rFonts w:ascii="仿宋_GB2312" w:eastAsia="仿宋_GB2312"/>
          <w:szCs w:val="21"/>
          <w:u w:val="single"/>
        </w:rPr>
        <w:t>柳州市电化教育站</w:t>
      </w:r>
      <w:r>
        <w:rPr>
          <w:rFonts w:hint="eastAsia" w:ascii="仿宋_GB2312" w:hAnsi="宋体" w:eastAsia="仿宋_GB2312"/>
          <w:szCs w:val="21"/>
          <w:u w:val="single"/>
        </w:rPr>
        <w:t>、柳州市政府集中采购中心：</w:t>
      </w:r>
    </w:p>
    <w:p w14:paraId="148DC005">
      <w:pPr>
        <w:snapToGrid w:val="0"/>
        <w:spacing w:line="360" w:lineRule="exact"/>
        <w:ind w:firstLine="630" w:firstLineChars="300"/>
        <w:rPr>
          <w:rFonts w:ascii="仿宋_GB2312" w:eastAsia="仿宋_GB2312"/>
          <w:szCs w:val="21"/>
        </w:rPr>
      </w:pPr>
      <w:r>
        <w:rPr>
          <w:rFonts w:hint="eastAsia" w:ascii="仿宋_GB2312" w:eastAsia="仿宋_GB2312"/>
          <w:szCs w:val="21"/>
        </w:rPr>
        <w:t xml:space="preserve">我 </w:t>
      </w:r>
      <w:r>
        <w:rPr>
          <w:rFonts w:hint="eastAsia" w:ascii="仿宋_GB2312" w:eastAsia="仿宋_GB2312"/>
          <w:szCs w:val="21"/>
          <w:u w:val="single"/>
        </w:rPr>
        <w:t xml:space="preserve">                </w:t>
      </w:r>
      <w:r>
        <w:rPr>
          <w:rFonts w:hint="eastAsia" w:ascii="仿宋_GB2312" w:eastAsia="仿宋_GB2312"/>
          <w:szCs w:val="21"/>
        </w:rPr>
        <w:t>（姓名）系</w:t>
      </w:r>
      <w:r>
        <w:rPr>
          <w:rFonts w:hint="eastAsia" w:ascii="仿宋_GB2312" w:eastAsia="仿宋_GB2312"/>
          <w:szCs w:val="21"/>
          <w:u w:val="single"/>
        </w:rPr>
        <w:t xml:space="preserve">                               </w:t>
      </w:r>
      <w:r>
        <w:rPr>
          <w:rFonts w:hint="eastAsia" w:ascii="仿宋_GB2312" w:eastAsia="仿宋_GB2312"/>
          <w:szCs w:val="21"/>
        </w:rPr>
        <w:t>（投标人名称）的法定代表人，现授权委托</w:t>
      </w:r>
      <w:r>
        <w:rPr>
          <w:rFonts w:hint="eastAsia" w:ascii="仿宋_GB2312" w:eastAsia="仿宋_GB2312"/>
          <w:szCs w:val="21"/>
          <w:u w:val="single"/>
        </w:rPr>
        <w:t xml:space="preserve">              </w:t>
      </w:r>
      <w:r>
        <w:rPr>
          <w:rFonts w:hint="eastAsia" w:ascii="仿宋_GB2312" w:eastAsia="仿宋_GB2312"/>
          <w:szCs w:val="21"/>
        </w:rPr>
        <w:t>（姓名）以我方的名义参加</w:t>
      </w:r>
      <w:r>
        <w:rPr>
          <w:rFonts w:hint="eastAsia" w:ascii="仿宋_GB2312" w:eastAsia="仿宋_GB2312"/>
          <w:szCs w:val="21"/>
          <w:u w:val="single"/>
        </w:rPr>
        <w:t xml:space="preserve">              </w:t>
      </w:r>
      <w:r>
        <w:rPr>
          <w:rFonts w:hint="eastAsia" w:ascii="仿宋_GB2312" w:eastAsia="仿宋_GB2312"/>
          <w:szCs w:val="21"/>
        </w:rPr>
        <w:t>项目的投标活动，并代表我方全权办理针对上述项目的投标、开标、转为其他方式采购、评标、签约等具体事务和签署相关文件。</w:t>
      </w:r>
    </w:p>
    <w:p w14:paraId="1D0C3671">
      <w:pPr>
        <w:snapToGrid w:val="0"/>
        <w:spacing w:line="360" w:lineRule="exact"/>
        <w:rPr>
          <w:rFonts w:ascii="仿宋_GB2312" w:eastAsia="仿宋_GB2312"/>
          <w:szCs w:val="21"/>
        </w:rPr>
      </w:pPr>
      <w:r>
        <w:rPr>
          <w:rFonts w:hint="eastAsia" w:ascii="仿宋_GB2312" w:eastAsia="仿宋_GB2312"/>
          <w:szCs w:val="21"/>
        </w:rPr>
        <w:t xml:space="preserve">    我方对被授权人的签名事项负全部责任。</w:t>
      </w:r>
    </w:p>
    <w:p w14:paraId="7891507C">
      <w:pPr>
        <w:snapToGrid w:val="0"/>
        <w:spacing w:line="360" w:lineRule="exact"/>
        <w:ind w:firstLine="480"/>
        <w:rPr>
          <w:rFonts w:ascii="仿宋_GB2312" w:eastAsia="仿宋_GB2312"/>
          <w:szCs w:val="21"/>
        </w:rPr>
      </w:pPr>
      <w:r>
        <w:rPr>
          <w:rFonts w:hint="eastAsia" w:ascii="仿宋_GB2312" w:eastAsia="仿宋_GB2312"/>
          <w:szCs w:val="21"/>
          <w:u w:val="single"/>
        </w:rPr>
        <w:t>在撤销授权的书面通知以前，本授权书一直有效。</w:t>
      </w:r>
      <w:r>
        <w:rPr>
          <w:rFonts w:hint="eastAsia" w:ascii="仿宋_GB2312" w:eastAsia="仿宋_GB2312"/>
          <w:szCs w:val="21"/>
        </w:rPr>
        <w:t>被授权人在授权书有效期内签署的所有文件不因授权的撤销而失效。</w:t>
      </w:r>
    </w:p>
    <w:p w14:paraId="79C9912A">
      <w:pPr>
        <w:snapToGrid w:val="0"/>
        <w:spacing w:line="360" w:lineRule="exact"/>
        <w:ind w:firstLine="480"/>
        <w:rPr>
          <w:rFonts w:ascii="仿宋_GB2312" w:eastAsia="仿宋_GB2312"/>
          <w:szCs w:val="21"/>
        </w:rPr>
      </w:pPr>
      <w:r>
        <w:rPr>
          <w:rFonts w:hint="eastAsia" w:ascii="仿宋_GB2312" w:eastAsia="仿宋_GB2312"/>
          <w:szCs w:val="21"/>
        </w:rPr>
        <w:t>被授权人无转委托权，特此委托。</w:t>
      </w:r>
    </w:p>
    <w:p w14:paraId="44D2FCA8">
      <w:pPr>
        <w:snapToGrid w:val="0"/>
        <w:spacing w:line="360" w:lineRule="exact"/>
        <w:rPr>
          <w:rFonts w:ascii="仿宋_GB2312" w:eastAsia="仿宋_GB2312"/>
          <w:szCs w:val="21"/>
        </w:rPr>
      </w:pPr>
    </w:p>
    <w:p w14:paraId="3E4E29FD">
      <w:pPr>
        <w:snapToGrid w:val="0"/>
        <w:spacing w:line="360" w:lineRule="exact"/>
        <w:rPr>
          <w:rFonts w:ascii="仿宋_GB2312" w:eastAsia="仿宋_GB2312"/>
          <w:szCs w:val="21"/>
          <w:u w:val="single"/>
        </w:rPr>
      </w:pPr>
      <w:r>
        <w:rPr>
          <w:rFonts w:hint="eastAsia" w:ascii="仿宋_GB2312" w:eastAsia="仿宋_GB2312"/>
          <w:szCs w:val="21"/>
        </w:rPr>
        <w:t>被授权人</w:t>
      </w:r>
      <w:r>
        <w:rPr>
          <w:rFonts w:hint="eastAsia" w:ascii="仿宋_GB2312" w:eastAsia="仿宋_GB2312"/>
          <w:b/>
          <w:bCs/>
          <w:szCs w:val="21"/>
        </w:rPr>
        <w:t>（签字）</w:t>
      </w:r>
      <w:r>
        <w:rPr>
          <w:rFonts w:hint="eastAsia" w:ascii="仿宋_GB2312" w:eastAsia="仿宋_GB2312"/>
          <w:szCs w:val="21"/>
        </w:rPr>
        <w:t>：</w:t>
      </w:r>
      <w:r>
        <w:rPr>
          <w:rFonts w:hint="eastAsia" w:ascii="仿宋_GB2312" w:eastAsia="仿宋_GB2312"/>
          <w:szCs w:val="21"/>
          <w:u w:val="single"/>
        </w:rPr>
        <w:t xml:space="preserve">               </w:t>
      </w:r>
      <w:r>
        <w:rPr>
          <w:rFonts w:hint="eastAsia" w:ascii="仿宋_GB2312" w:eastAsia="仿宋_GB2312"/>
          <w:szCs w:val="21"/>
        </w:rPr>
        <w:t xml:space="preserve">   法定代表人</w:t>
      </w:r>
      <w:r>
        <w:rPr>
          <w:rFonts w:hint="eastAsia" w:ascii="仿宋_GB2312" w:eastAsia="仿宋_GB2312"/>
          <w:b/>
          <w:bCs/>
          <w:szCs w:val="21"/>
        </w:rPr>
        <w:t>（</w:t>
      </w:r>
      <w:r>
        <w:rPr>
          <w:rFonts w:hint="eastAsia" w:ascii="仿宋_GB2312" w:eastAsia="仿宋_GB2312"/>
          <w:b/>
          <w:szCs w:val="21"/>
        </w:rPr>
        <w:t>签字</w:t>
      </w:r>
      <w:r>
        <w:rPr>
          <w:rFonts w:hint="eastAsia" w:ascii="仿宋_GB2312" w:eastAsia="仿宋_GB2312"/>
          <w:b/>
          <w:bCs/>
          <w:szCs w:val="21"/>
        </w:rPr>
        <w:t>）</w:t>
      </w:r>
      <w:r>
        <w:rPr>
          <w:rFonts w:hint="eastAsia" w:ascii="仿宋_GB2312" w:eastAsia="仿宋_GB2312"/>
          <w:szCs w:val="21"/>
        </w:rPr>
        <w:t>：</w:t>
      </w:r>
      <w:r>
        <w:rPr>
          <w:rFonts w:hint="eastAsia" w:ascii="仿宋_GB2312" w:eastAsia="仿宋_GB2312"/>
          <w:szCs w:val="21"/>
          <w:u w:val="single"/>
        </w:rPr>
        <w:t xml:space="preserve">                       </w:t>
      </w:r>
    </w:p>
    <w:p w14:paraId="57ADB5C9">
      <w:pPr>
        <w:snapToGrid w:val="0"/>
        <w:spacing w:line="360" w:lineRule="exact"/>
        <w:rPr>
          <w:rFonts w:ascii="仿宋_GB2312" w:eastAsia="仿宋_GB2312"/>
          <w:szCs w:val="21"/>
        </w:rPr>
      </w:pPr>
      <w:r>
        <w:rPr>
          <w:rFonts w:hint="eastAsia" w:ascii="仿宋_GB2312" w:eastAsia="仿宋_GB2312"/>
          <w:szCs w:val="21"/>
        </w:rPr>
        <w:t>被授权人所在部门：</w:t>
      </w:r>
      <w:r>
        <w:rPr>
          <w:rFonts w:hint="eastAsia" w:ascii="仿宋_GB2312" w:eastAsia="仿宋_GB2312"/>
          <w:szCs w:val="21"/>
          <w:u w:val="single"/>
        </w:rPr>
        <w:t xml:space="preserve">               </w:t>
      </w:r>
      <w:r>
        <w:rPr>
          <w:rFonts w:hint="eastAsia" w:ascii="仿宋_GB2312" w:eastAsia="仿宋_GB2312"/>
          <w:szCs w:val="21"/>
        </w:rPr>
        <w:t xml:space="preserve">           被授权人职务：</w:t>
      </w:r>
      <w:r>
        <w:rPr>
          <w:rFonts w:hint="eastAsia" w:ascii="仿宋_GB2312" w:eastAsia="仿宋_GB2312"/>
          <w:szCs w:val="21"/>
          <w:u w:val="single"/>
        </w:rPr>
        <w:t xml:space="preserve">                             </w:t>
      </w:r>
    </w:p>
    <w:p w14:paraId="3E23C8EB">
      <w:pPr>
        <w:snapToGrid w:val="0"/>
        <w:spacing w:line="360" w:lineRule="exact"/>
        <w:rPr>
          <w:rFonts w:ascii="仿宋_GB2312" w:eastAsia="仿宋_GB2312"/>
          <w:szCs w:val="21"/>
        </w:rPr>
      </w:pPr>
      <w:r>
        <w:rPr>
          <w:rFonts w:hint="eastAsia" w:ascii="仿宋_GB2312" w:eastAsia="仿宋_GB2312"/>
          <w:szCs w:val="21"/>
        </w:rPr>
        <w:t>被授权人身份证号码：</w:t>
      </w:r>
      <w:r>
        <w:rPr>
          <w:rFonts w:hint="eastAsia" w:ascii="仿宋_GB2312" w:eastAsia="仿宋_GB2312"/>
          <w:szCs w:val="21"/>
          <w:u w:val="single"/>
        </w:rPr>
        <w:t xml:space="preserve">                             </w:t>
      </w:r>
      <w:r>
        <w:rPr>
          <w:rFonts w:hint="eastAsia" w:ascii="仿宋_GB2312" w:eastAsia="仿宋_GB2312"/>
          <w:szCs w:val="21"/>
        </w:rPr>
        <w:t xml:space="preserve"> </w:t>
      </w:r>
    </w:p>
    <w:p w14:paraId="7DDFC499">
      <w:pPr>
        <w:snapToGrid w:val="0"/>
        <w:spacing w:line="360" w:lineRule="exact"/>
        <w:jc w:val="center"/>
        <w:rPr>
          <w:rFonts w:ascii="仿宋_GB2312" w:eastAsia="仿宋_GB2312"/>
          <w:szCs w:val="21"/>
        </w:rPr>
      </w:pPr>
      <w:r>
        <w:rPr>
          <w:rFonts w:hint="eastAsia" w:ascii="仿宋_GB2312" w:eastAsia="仿宋_GB2312"/>
          <w:szCs w:val="21"/>
        </w:rPr>
        <w:t xml:space="preserve">                                   投标人</w:t>
      </w:r>
      <w:r>
        <w:rPr>
          <w:rFonts w:hint="eastAsia" w:ascii="仿宋_GB2312" w:eastAsia="仿宋_GB2312"/>
        </w:rPr>
        <w:t>（</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12E5D01B">
      <w:pPr>
        <w:pStyle w:val="26"/>
        <w:spacing w:line="360" w:lineRule="exact"/>
        <w:rPr>
          <w:rFonts w:ascii="仿宋_GB2312" w:hAnsi="Times New Roman" w:eastAsia="仿宋_GB2312"/>
        </w:rPr>
      </w:pPr>
      <w:r>
        <w:rPr>
          <w:rFonts w:hint="eastAsia" w:ascii="仿宋_GB2312" w:hAnsi="Times New Roman" w:eastAsia="仿宋_GB2312"/>
        </w:rPr>
        <w:t xml:space="preserve">                                                            </w:t>
      </w:r>
      <w:r>
        <w:rPr>
          <w:rFonts w:hint="eastAsia" w:ascii="仿宋_GB2312" w:hAnsi="宋体" w:eastAsia="仿宋_GB2312"/>
        </w:rPr>
        <w:t>日期：       年   月   日</w:t>
      </w:r>
    </w:p>
    <w:p w14:paraId="156D617F">
      <w:pPr>
        <w:pStyle w:val="26"/>
        <w:spacing w:line="360" w:lineRule="exact"/>
        <w:rPr>
          <w:rFonts w:ascii="仿宋_GB2312" w:hAnsi="Times New Roman" w:eastAsia="仿宋_GB2312"/>
        </w:rPr>
      </w:pPr>
      <w:r>
        <mc:AlternateContent>
          <mc:Choice Requires="wps">
            <w:drawing>
              <wp:anchor distT="0" distB="0" distL="114300" distR="114300" simplePos="0" relativeHeight="251664384" behindDoc="0" locked="0" layoutInCell="1" allowOverlap="1">
                <wp:simplePos x="0" y="0"/>
                <wp:positionH relativeFrom="column">
                  <wp:posOffset>-139700</wp:posOffset>
                </wp:positionH>
                <wp:positionV relativeFrom="paragraph">
                  <wp:posOffset>223520</wp:posOffset>
                </wp:positionV>
                <wp:extent cx="3342640" cy="1809115"/>
                <wp:effectExtent l="0" t="0" r="10160" b="20320"/>
                <wp:wrapNone/>
                <wp:docPr id="2" name="矩形 17"/>
                <wp:cNvGraphicFramePr/>
                <a:graphic xmlns:a="http://schemas.openxmlformats.org/drawingml/2006/main">
                  <a:graphicData uri="http://schemas.microsoft.com/office/word/2010/wordprocessingShape">
                    <wps:wsp>
                      <wps:cNvSpPr>
                        <a:spLocks noChangeArrowheads="1"/>
                      </wps:cNvSpPr>
                      <wps:spPr bwMode="auto">
                        <a:xfrm>
                          <a:off x="0" y="0"/>
                          <a:ext cx="3342640" cy="1809043"/>
                        </a:xfrm>
                        <a:prstGeom prst="rect">
                          <a:avLst/>
                        </a:prstGeom>
                        <a:solidFill>
                          <a:srgbClr val="FFFFFF"/>
                        </a:solidFill>
                        <a:ln w="9525">
                          <a:solidFill>
                            <a:srgbClr val="000000"/>
                          </a:solidFill>
                          <a:miter lim="800000"/>
                        </a:ln>
                      </wps:spPr>
                      <wps:txbx>
                        <w:txbxContent>
                          <w:p w14:paraId="5A7B8D57">
                            <w:pPr>
                              <w:jc w:val="center"/>
                              <w:rPr>
                                <w:rFonts w:hint="eastAsia" w:ascii="仿宋_GB2312" w:hAnsi="仿宋_GB2312" w:eastAsia="仿宋_GB2312" w:cs="仿宋_GB2312"/>
                              </w:rPr>
                            </w:pPr>
                          </w:p>
                          <w:p w14:paraId="50EA37CB">
                            <w:pPr>
                              <w:jc w:val="center"/>
                              <w:rPr>
                                <w:rFonts w:hint="eastAsia" w:ascii="仿宋_GB2312" w:hAnsi="仿宋_GB2312" w:eastAsia="仿宋_GB2312" w:cs="仿宋_GB2312"/>
                              </w:rPr>
                            </w:pPr>
                          </w:p>
                          <w:p w14:paraId="446B43E2">
                            <w:pPr>
                              <w:jc w:val="center"/>
                              <w:rPr>
                                <w:rFonts w:hint="eastAsia" w:ascii="仿宋_GB2312" w:hAnsi="仿宋_GB2312" w:eastAsia="仿宋_GB2312" w:cs="仿宋_GB2312"/>
                              </w:rPr>
                            </w:pPr>
                          </w:p>
                          <w:p w14:paraId="62180679">
                            <w:pPr>
                              <w:jc w:val="center"/>
                              <w:rPr>
                                <w:rFonts w:hint="eastAsia" w:ascii="仿宋_GB2312" w:hAnsi="仿宋_GB2312" w:eastAsia="仿宋_GB2312" w:cs="仿宋_GB2312"/>
                              </w:rPr>
                            </w:pPr>
                          </w:p>
                          <w:p w14:paraId="4EBD33D6">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B7A7774">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4456765"/>
                        </w:txbxContent>
                      </wps:txbx>
                      <wps:bodyPr rot="0" vert="horz" wrap="square" lIns="91440" tIns="45720" rIns="91440" bIns="45720" anchor="t" anchorCtr="0" upright="1">
                        <a:noAutofit/>
                      </wps:bodyPr>
                    </wps:wsp>
                  </a:graphicData>
                </a:graphic>
              </wp:anchor>
            </w:drawing>
          </mc:Choice>
          <mc:Fallback>
            <w:pict>
              <v:rect id="矩形 17" o:spid="_x0000_s1026" o:spt="1" style="position:absolute;left:0pt;margin-left:-11pt;margin-top:17.6pt;height:142.45pt;width:263.2pt;z-index:251664384;mso-width-relative:page;mso-height-relative:page;" fillcolor="#FFFFFF" filled="t" stroked="t" coordsize="21600,21600" o:gfxdata="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nOxLjNgAAAAKAQAADwAAAAAAAAABACAAAAAiAAAAZHJzL2Rv&#10;d25yZXYueG1sUEsBAhQAFAAAAAgAh07iQByIBmo6AgAAfAQAAA4AAAAAAAAAAQAgAAAAJwEAAGRy&#10;cy9lMm9Eb2MueG1sUEsFBgAAAAAGAAYAWQEAANMFAAAAAA==&#10;">
                <v:fill on="t" focussize="0,0"/>
                <v:stroke color="#000000" miterlimit="8" joinstyle="miter"/>
                <v:imagedata o:title=""/>
                <o:lock v:ext="edit" aspectratio="f"/>
                <v:textbox>
                  <w:txbxContent>
                    <w:p w14:paraId="5A7B8D57">
                      <w:pPr>
                        <w:jc w:val="center"/>
                        <w:rPr>
                          <w:rFonts w:hint="eastAsia" w:ascii="仿宋_GB2312" w:hAnsi="仿宋_GB2312" w:eastAsia="仿宋_GB2312" w:cs="仿宋_GB2312"/>
                        </w:rPr>
                      </w:pPr>
                    </w:p>
                    <w:p w14:paraId="50EA37CB">
                      <w:pPr>
                        <w:jc w:val="center"/>
                        <w:rPr>
                          <w:rFonts w:hint="eastAsia" w:ascii="仿宋_GB2312" w:hAnsi="仿宋_GB2312" w:eastAsia="仿宋_GB2312" w:cs="仿宋_GB2312"/>
                        </w:rPr>
                      </w:pPr>
                    </w:p>
                    <w:p w14:paraId="446B43E2">
                      <w:pPr>
                        <w:jc w:val="center"/>
                        <w:rPr>
                          <w:rFonts w:hint="eastAsia" w:ascii="仿宋_GB2312" w:hAnsi="仿宋_GB2312" w:eastAsia="仿宋_GB2312" w:cs="仿宋_GB2312"/>
                        </w:rPr>
                      </w:pPr>
                    </w:p>
                    <w:p w14:paraId="62180679">
                      <w:pPr>
                        <w:jc w:val="center"/>
                        <w:rPr>
                          <w:rFonts w:hint="eastAsia" w:ascii="仿宋_GB2312" w:hAnsi="仿宋_GB2312" w:eastAsia="仿宋_GB2312" w:cs="仿宋_GB2312"/>
                        </w:rPr>
                      </w:pPr>
                    </w:p>
                    <w:p w14:paraId="4EBD33D6">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4B7A7774">
                      <w:pPr>
                        <w:jc w:val="center"/>
                        <w:rPr>
                          <w:rFonts w:hint="eastAsia" w:ascii="仿宋_GB2312" w:hAnsi="仿宋_GB2312" w:eastAsia="仿宋_GB2312" w:cs="仿宋_GB2312"/>
                        </w:rPr>
                      </w:pPr>
                      <w:r>
                        <w:rPr>
                          <w:rFonts w:hint="eastAsia" w:ascii="仿宋_GB2312" w:hAnsi="仿宋_GB2312" w:eastAsia="仿宋_GB2312" w:cs="仿宋_GB2312"/>
                          <w:b/>
                        </w:rPr>
                        <w:t>（正面）</w:t>
                      </w:r>
                    </w:p>
                    <w:p w14:paraId="34456765"/>
                  </w:txbxContent>
                </v:textbox>
              </v:rect>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-462280</wp:posOffset>
                </wp:positionH>
                <wp:positionV relativeFrom="paragraph">
                  <wp:posOffset>99060</wp:posOffset>
                </wp:positionV>
                <wp:extent cx="6346825" cy="635"/>
                <wp:effectExtent l="13970" t="10160" r="11430" b="8255"/>
                <wp:wrapNone/>
                <wp:docPr id="3" name="直线 16"/>
                <wp:cNvGraphicFramePr/>
                <a:graphic xmlns:a="http://schemas.openxmlformats.org/drawingml/2006/main">
                  <a:graphicData uri="http://schemas.microsoft.com/office/word/2010/wordprocessingShape">
                    <wps:wsp>
                      <wps:cNvCnPr>
                        <a:cxnSpLocks noChangeShapeType="1"/>
                      </wps:cNvCnPr>
                      <wps:spPr bwMode="auto">
                        <a:xfrm>
                          <a:off x="0" y="0"/>
                          <a:ext cx="6346825" cy="635"/>
                        </a:xfrm>
                        <a:prstGeom prst="line">
                          <a:avLst/>
                        </a:prstGeom>
                        <a:noFill/>
                        <a:ln w="9525">
                          <a:solidFill>
                            <a:srgbClr val="000000"/>
                          </a:solidFill>
                          <a:round/>
                        </a:ln>
                      </wps:spPr>
                      <wps:bodyPr/>
                    </wps:wsp>
                  </a:graphicData>
                </a:graphic>
              </wp:anchor>
            </w:drawing>
          </mc:Choice>
          <mc:Fallback>
            <w:pict>
              <v:line id="直线 16" o:spid="_x0000_s1026" o:spt="20" style="position:absolute;left:0pt;margin-left:-36.4pt;margin-top:7.8pt;height:0.05pt;width:499.75pt;z-index:251663360;mso-width-relative:page;mso-height-relative:page;" filled="f" stroked="t" coordsize="21600,21600" o:gfxdata="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YtZctcAAAAJAQAADwAAAAAAAAAB&#10;ACAAAAAiAAAAZHJzL2Rvd25yZXYueG1sUEsBAhQAFAAAAAgAh07iQEbqwVrYAQAApAMAAA4AAAAA&#10;AAAAAQAgAAAAJgEAAGRycy9lMm9Eb2MueG1sUEsFBgAAAAAGAAYAWQEAAHAFAAAAAA==&#10;">
                <v:fill on="f" focussize="0,0"/>
                <v:stroke color="#000000" joinstyle="round"/>
                <v:imagedata o:title=""/>
                <o:lock v:ext="edit" aspectratio="f"/>
              </v:line>
            </w:pict>
          </mc:Fallback>
        </mc:AlternateContent>
      </w:r>
      <w:r>
        <w:rPr>
          <w:rFonts w:hint="eastAsia" w:ascii="仿宋_GB2312" w:hAnsi="Times New Roman" w:eastAsia="仿宋_GB2312"/>
        </w:rPr>
        <w:t xml:space="preserve">                                                                                                                                                                                        </w:t>
      </w:r>
    </w:p>
    <w:p w14:paraId="20420CC5">
      <w:pPr>
        <w:pStyle w:val="26"/>
        <w:spacing w:line="480" w:lineRule="exact"/>
        <w:rPr>
          <w:rFonts w:ascii="仿宋_GB2312" w:hAnsi="Times New Roman" w:eastAsia="仿宋_GB2312"/>
        </w:rPr>
      </w:pPr>
    </w:p>
    <w:p w14:paraId="20F0ADEC">
      <w:pPr>
        <w:pStyle w:val="26"/>
        <w:spacing w:line="480" w:lineRule="exact"/>
        <w:rPr>
          <w:rFonts w:ascii="仿宋_GB2312" w:hAnsi="Times New Roman" w:eastAsia="仿宋_GB2312"/>
        </w:rPr>
      </w:pPr>
    </w:p>
    <w:p w14:paraId="4C4CEDBB">
      <w:pPr>
        <w:pStyle w:val="26"/>
        <w:spacing w:line="480" w:lineRule="exact"/>
        <w:rPr>
          <w:rFonts w:ascii="仿宋_GB2312" w:hAnsi="Times New Roman" w:eastAsia="仿宋_GB2312"/>
        </w:rPr>
      </w:pPr>
    </w:p>
    <w:p w14:paraId="3E490536">
      <w:pPr>
        <w:pStyle w:val="26"/>
        <w:spacing w:line="480" w:lineRule="exact"/>
        <w:rPr>
          <w:rFonts w:ascii="仿宋_GB2312" w:hAnsi="Times New Roman" w:eastAsia="仿宋_GB2312"/>
        </w:rPr>
      </w:pPr>
    </w:p>
    <w:p w14:paraId="1259C023">
      <w:pPr>
        <w:pStyle w:val="26"/>
        <w:spacing w:line="480" w:lineRule="exact"/>
        <w:rPr>
          <w:rFonts w:ascii="仿宋_GB2312" w:hAnsi="Times New Roman" w:eastAsia="仿宋_GB2312"/>
        </w:rPr>
      </w:pPr>
    </w:p>
    <w:p w14:paraId="182CB830">
      <w:pPr>
        <w:pStyle w:val="26"/>
        <w:spacing w:line="240" w:lineRule="atLeast"/>
        <w:ind w:firstLine="5460" w:firstLineChars="2600"/>
        <w:rPr>
          <w:rFonts w:ascii="仿宋_GB2312" w:hAnsi="Times New Roman" w:eastAsia="仿宋_GB2312"/>
          <w:u w:val="single"/>
        </w:rPr>
      </w:pPr>
    </w:p>
    <w:p w14:paraId="06A2C921">
      <w:pPr>
        <w:pStyle w:val="26"/>
        <w:spacing w:line="240" w:lineRule="atLeast"/>
        <w:ind w:firstLine="5460" w:firstLineChars="2600"/>
        <w:rPr>
          <w:rFonts w:ascii="仿宋_GB2312" w:hAnsi="Times New Roman" w:eastAsia="仿宋_GB2312"/>
          <w:u w:val="single"/>
        </w:rPr>
      </w:pPr>
    </w:p>
    <w:p w14:paraId="6166CD38">
      <w:pPr>
        <w:pStyle w:val="26"/>
        <w:spacing w:line="240" w:lineRule="atLeast"/>
        <w:rPr>
          <w:rFonts w:ascii="仿宋_GB2312" w:hAnsi="Times New Roman" w:eastAsia="仿宋_GB2312"/>
        </w:rPr>
      </w:pPr>
      <w:r>
        <mc:AlternateContent>
          <mc:Choice Requires="wps">
            <w:drawing>
              <wp:anchor distT="0" distB="0" distL="114300" distR="114300" simplePos="0" relativeHeight="251665408" behindDoc="0" locked="0" layoutInCell="1" allowOverlap="1">
                <wp:simplePos x="0" y="0"/>
                <wp:positionH relativeFrom="column">
                  <wp:posOffset>-138430</wp:posOffset>
                </wp:positionH>
                <wp:positionV relativeFrom="paragraph">
                  <wp:posOffset>113665</wp:posOffset>
                </wp:positionV>
                <wp:extent cx="3342640" cy="1927225"/>
                <wp:effectExtent l="0" t="0" r="10160" b="16510"/>
                <wp:wrapNone/>
                <wp:docPr id="1" name="矩形 18"/>
                <wp:cNvGraphicFramePr/>
                <a:graphic xmlns:a="http://schemas.openxmlformats.org/drawingml/2006/main">
                  <a:graphicData uri="http://schemas.microsoft.com/office/word/2010/wordprocessingShape">
                    <wps:wsp>
                      <wps:cNvSpPr>
                        <a:spLocks noChangeArrowheads="1"/>
                      </wps:cNvSpPr>
                      <wps:spPr bwMode="auto">
                        <a:xfrm>
                          <a:off x="0" y="0"/>
                          <a:ext cx="3342640" cy="1927185"/>
                        </a:xfrm>
                        <a:prstGeom prst="rect">
                          <a:avLst/>
                        </a:prstGeom>
                        <a:solidFill>
                          <a:srgbClr val="FFFFFF"/>
                        </a:solidFill>
                        <a:ln w="9525">
                          <a:solidFill>
                            <a:srgbClr val="000000"/>
                          </a:solidFill>
                          <a:miter lim="800000"/>
                        </a:ln>
                      </wps:spPr>
                      <wps:txbx>
                        <w:txbxContent>
                          <w:p w14:paraId="3C453DB1">
                            <w:pPr>
                              <w:jc w:val="center"/>
                              <w:rPr>
                                <w:rFonts w:hint="eastAsia" w:ascii="仿宋_GB2312" w:hAnsi="仿宋_GB2312" w:eastAsia="仿宋_GB2312" w:cs="仿宋_GB2312"/>
                              </w:rPr>
                            </w:pPr>
                          </w:p>
                          <w:p w14:paraId="475C7C54">
                            <w:pPr>
                              <w:jc w:val="center"/>
                              <w:rPr>
                                <w:rFonts w:hint="eastAsia" w:ascii="仿宋_GB2312" w:hAnsi="仿宋_GB2312" w:eastAsia="仿宋_GB2312" w:cs="仿宋_GB2312"/>
                              </w:rPr>
                            </w:pPr>
                          </w:p>
                          <w:p w14:paraId="421A71DD">
                            <w:pPr>
                              <w:jc w:val="center"/>
                              <w:rPr>
                                <w:rFonts w:hint="eastAsia" w:ascii="仿宋_GB2312" w:hAnsi="仿宋_GB2312" w:eastAsia="仿宋_GB2312" w:cs="仿宋_GB2312"/>
                              </w:rPr>
                            </w:pPr>
                          </w:p>
                          <w:p w14:paraId="0B8F12D7">
                            <w:pPr>
                              <w:jc w:val="center"/>
                              <w:rPr>
                                <w:rFonts w:hint="eastAsia" w:ascii="仿宋_GB2312" w:hAnsi="仿宋_GB2312" w:eastAsia="仿宋_GB2312" w:cs="仿宋_GB2312"/>
                              </w:rPr>
                            </w:pPr>
                          </w:p>
                          <w:p w14:paraId="0AD276A2">
                            <w:pPr>
                              <w:jc w:val="center"/>
                              <w:rPr>
                                <w:rFonts w:hint="eastAsia" w:ascii="仿宋_GB2312" w:hAnsi="仿宋_GB2312" w:eastAsia="仿宋_GB2312" w:cs="仿宋_GB2312"/>
                              </w:rPr>
                            </w:pPr>
                          </w:p>
                          <w:p w14:paraId="471DE4FD">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0E6AA54">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0C21525A"/>
                        </w:txbxContent>
                      </wps:txbx>
                      <wps:bodyPr rot="0" vert="horz" wrap="square" lIns="91440" tIns="45720" rIns="91440" bIns="45720" anchor="t" anchorCtr="0" upright="1">
                        <a:noAutofit/>
                      </wps:bodyPr>
                    </wps:wsp>
                  </a:graphicData>
                </a:graphic>
              </wp:anchor>
            </w:drawing>
          </mc:Choice>
          <mc:Fallback>
            <w:pict>
              <v:rect id="矩形 18" o:spid="_x0000_s1026" o:spt="1" style="position:absolute;left:0pt;margin-left:-10.9pt;margin-top:8.95pt;height:151.75pt;width:263.2pt;z-index:251665408;mso-width-relative:page;mso-height-relative:page;" fillcolor="#FFFFFF" filled="t" stroked="t" coordsize="21600,21600" o:gfxdata="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gSXEk9gAAAAKAQAADwAAAAAAAAABACAAAAAiAAAAZHJzL2Rv&#10;d25yZXYueG1sUEsBAhQAFAAAAAgAh07iQAP2fjM6AgAAfAQAAA4AAAAAAAAAAQAgAAAAJwEAAGRy&#10;cy9lMm9Eb2MueG1sUEsFBgAAAAAGAAYAWQEAANMFAAAAAA==&#10;">
                <v:fill on="t" focussize="0,0"/>
                <v:stroke color="#000000" miterlimit="8" joinstyle="miter"/>
                <v:imagedata o:title=""/>
                <o:lock v:ext="edit" aspectratio="f"/>
                <v:textbox>
                  <w:txbxContent>
                    <w:p w14:paraId="3C453DB1">
                      <w:pPr>
                        <w:jc w:val="center"/>
                        <w:rPr>
                          <w:rFonts w:hint="eastAsia" w:ascii="仿宋_GB2312" w:hAnsi="仿宋_GB2312" w:eastAsia="仿宋_GB2312" w:cs="仿宋_GB2312"/>
                        </w:rPr>
                      </w:pPr>
                    </w:p>
                    <w:p w14:paraId="475C7C54">
                      <w:pPr>
                        <w:jc w:val="center"/>
                        <w:rPr>
                          <w:rFonts w:hint="eastAsia" w:ascii="仿宋_GB2312" w:hAnsi="仿宋_GB2312" w:eastAsia="仿宋_GB2312" w:cs="仿宋_GB2312"/>
                        </w:rPr>
                      </w:pPr>
                    </w:p>
                    <w:p w14:paraId="421A71DD">
                      <w:pPr>
                        <w:jc w:val="center"/>
                        <w:rPr>
                          <w:rFonts w:hint="eastAsia" w:ascii="仿宋_GB2312" w:hAnsi="仿宋_GB2312" w:eastAsia="仿宋_GB2312" w:cs="仿宋_GB2312"/>
                        </w:rPr>
                      </w:pPr>
                    </w:p>
                    <w:p w14:paraId="0B8F12D7">
                      <w:pPr>
                        <w:jc w:val="center"/>
                        <w:rPr>
                          <w:rFonts w:hint="eastAsia" w:ascii="仿宋_GB2312" w:hAnsi="仿宋_GB2312" w:eastAsia="仿宋_GB2312" w:cs="仿宋_GB2312"/>
                        </w:rPr>
                      </w:pPr>
                    </w:p>
                    <w:p w14:paraId="0AD276A2">
                      <w:pPr>
                        <w:jc w:val="center"/>
                        <w:rPr>
                          <w:rFonts w:hint="eastAsia" w:ascii="仿宋_GB2312" w:hAnsi="仿宋_GB2312" w:eastAsia="仿宋_GB2312" w:cs="仿宋_GB2312"/>
                        </w:rPr>
                      </w:pPr>
                    </w:p>
                    <w:p w14:paraId="471DE4FD">
                      <w:pPr>
                        <w:jc w:val="center"/>
                        <w:rPr>
                          <w:rFonts w:hint="eastAsia" w:ascii="仿宋_GB2312" w:hAnsi="仿宋_GB2312" w:eastAsia="仿宋_GB2312" w:cs="仿宋_GB2312"/>
                        </w:rPr>
                      </w:pPr>
                      <w:r>
                        <w:rPr>
                          <w:rFonts w:hint="eastAsia" w:ascii="仿宋_GB2312" w:hAnsi="仿宋_GB2312" w:eastAsia="仿宋_GB2312" w:cs="仿宋_GB2312"/>
                        </w:rPr>
                        <w:t>委托代理人第二代居民身份证</w:t>
                      </w:r>
                    </w:p>
                    <w:p w14:paraId="60E6AA54">
                      <w:pPr>
                        <w:jc w:val="center"/>
                        <w:rPr>
                          <w:rFonts w:hint="eastAsia" w:ascii="仿宋_GB2312" w:hAnsi="仿宋_GB2312" w:eastAsia="仿宋_GB2312" w:cs="仿宋_GB2312"/>
                        </w:rPr>
                      </w:pPr>
                      <w:r>
                        <w:rPr>
                          <w:rFonts w:hint="eastAsia" w:ascii="仿宋_GB2312" w:hAnsi="仿宋_GB2312" w:eastAsia="仿宋_GB2312" w:cs="仿宋_GB2312"/>
                          <w:b/>
                        </w:rPr>
                        <w:t>（背面）</w:t>
                      </w:r>
                    </w:p>
                    <w:p w14:paraId="0C21525A"/>
                  </w:txbxContent>
                </v:textbox>
              </v:rect>
            </w:pict>
          </mc:Fallback>
        </mc:AlternateContent>
      </w:r>
    </w:p>
    <w:p w14:paraId="3FDBD0F5">
      <w:pPr>
        <w:pStyle w:val="26"/>
        <w:spacing w:line="240" w:lineRule="exact"/>
        <w:rPr>
          <w:rFonts w:ascii="仿宋_GB2312" w:hAnsi="Times New Roman" w:eastAsia="仿宋_GB2312"/>
        </w:rPr>
      </w:pPr>
    </w:p>
    <w:p w14:paraId="6EEC2B41">
      <w:pPr>
        <w:pStyle w:val="26"/>
        <w:spacing w:line="240" w:lineRule="exact"/>
        <w:rPr>
          <w:rFonts w:ascii="仿宋_GB2312" w:hAnsi="Times New Roman" w:eastAsia="仿宋_GB2312"/>
          <w:sz w:val="44"/>
        </w:rPr>
      </w:pPr>
    </w:p>
    <w:p w14:paraId="75445E29">
      <w:pPr>
        <w:pStyle w:val="26"/>
        <w:spacing w:line="240" w:lineRule="exact"/>
        <w:rPr>
          <w:rFonts w:ascii="仿宋_GB2312" w:hAnsi="Times New Roman" w:eastAsia="仿宋_GB2312"/>
          <w:sz w:val="44"/>
        </w:rPr>
      </w:pPr>
    </w:p>
    <w:p w14:paraId="5ADD4D58">
      <w:pPr>
        <w:pStyle w:val="26"/>
        <w:spacing w:line="240" w:lineRule="exact"/>
        <w:rPr>
          <w:rFonts w:ascii="仿宋_GB2312" w:hAnsi="Times New Roman" w:eastAsia="仿宋_GB2312"/>
          <w:sz w:val="44"/>
        </w:rPr>
      </w:pPr>
    </w:p>
    <w:p w14:paraId="76ED0BF2">
      <w:pPr>
        <w:pStyle w:val="26"/>
        <w:spacing w:line="240" w:lineRule="exact"/>
        <w:rPr>
          <w:rFonts w:ascii="仿宋_GB2312" w:hAnsi="Times New Roman" w:eastAsia="仿宋_GB2312"/>
          <w:sz w:val="44"/>
        </w:rPr>
      </w:pPr>
    </w:p>
    <w:p w14:paraId="7EF04117">
      <w:pPr>
        <w:pStyle w:val="26"/>
        <w:spacing w:line="240" w:lineRule="exact"/>
        <w:rPr>
          <w:rFonts w:ascii="仿宋_GB2312" w:hAnsi="Times New Roman" w:eastAsia="仿宋_GB2312"/>
          <w:sz w:val="44"/>
        </w:rPr>
      </w:pPr>
    </w:p>
    <w:p w14:paraId="61FE0B0F">
      <w:pPr>
        <w:pStyle w:val="26"/>
        <w:spacing w:line="240" w:lineRule="exact"/>
        <w:rPr>
          <w:rFonts w:ascii="仿宋_GB2312" w:hAnsi="Times New Roman" w:eastAsia="仿宋_GB2312"/>
          <w:sz w:val="44"/>
        </w:rPr>
      </w:pPr>
    </w:p>
    <w:p w14:paraId="69FB3A74">
      <w:pPr>
        <w:pStyle w:val="26"/>
        <w:spacing w:line="240" w:lineRule="exact"/>
        <w:rPr>
          <w:rFonts w:ascii="仿宋_GB2312" w:hAnsi="Times New Roman" w:eastAsia="仿宋_GB2312"/>
          <w:sz w:val="44"/>
        </w:rPr>
      </w:pPr>
    </w:p>
    <w:p w14:paraId="65FE6594">
      <w:pPr>
        <w:pStyle w:val="26"/>
        <w:spacing w:line="240" w:lineRule="exact"/>
        <w:rPr>
          <w:rFonts w:ascii="仿宋_GB2312" w:hAnsi="Times New Roman" w:eastAsia="仿宋_GB2312"/>
          <w:sz w:val="44"/>
        </w:rPr>
      </w:pPr>
    </w:p>
    <w:p w14:paraId="6BD37E4A">
      <w:pPr>
        <w:pStyle w:val="26"/>
        <w:spacing w:line="240" w:lineRule="exact"/>
        <w:rPr>
          <w:rFonts w:ascii="仿宋_GB2312" w:hAnsi="Times New Roman" w:eastAsia="仿宋_GB2312"/>
          <w:sz w:val="44"/>
        </w:rPr>
      </w:pPr>
    </w:p>
    <w:p w14:paraId="7AD43266">
      <w:pPr>
        <w:snapToGrid w:val="0"/>
        <w:spacing w:before="120" w:beforeLines="50" w:after="50"/>
        <w:ind w:firstLine="420" w:firstLineChars="200"/>
        <w:outlineLvl w:val="1"/>
        <w:rPr>
          <w:rFonts w:ascii="仿宋_GB2312" w:eastAsia="仿宋_GB2312"/>
        </w:rPr>
      </w:pPr>
      <w:r>
        <w:rPr>
          <w:rFonts w:hint="eastAsia" w:ascii="仿宋_GB2312" w:eastAsia="仿宋_GB2312"/>
        </w:rPr>
        <w:t xml:space="preserve">                                             </w:t>
      </w:r>
    </w:p>
    <w:p w14:paraId="0B5FE344">
      <w:pPr>
        <w:snapToGrid w:val="0"/>
        <w:spacing w:before="120" w:beforeLines="50" w:after="50"/>
        <w:ind w:firstLine="420" w:firstLineChars="200"/>
        <w:outlineLvl w:val="1"/>
        <w:rPr>
          <w:rFonts w:ascii="仿宋_GB2312" w:eastAsia="仿宋_GB2312"/>
        </w:rPr>
      </w:pPr>
    </w:p>
    <w:p w14:paraId="792130C4">
      <w:pPr>
        <w:snapToGrid w:val="0"/>
        <w:spacing w:before="120" w:beforeLines="50" w:after="50"/>
        <w:ind w:firstLine="482" w:firstLineChars="200"/>
        <w:outlineLvl w:val="1"/>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3BC75460">
      <w:pPr>
        <w:snapToGrid w:val="0"/>
        <w:spacing w:line="400" w:lineRule="exact"/>
        <w:ind w:firstLine="475" w:firstLineChars="197"/>
        <w:jc w:val="left"/>
        <w:rPr>
          <w:rFonts w:ascii="仿宋_GB2312" w:hAnsi="Calibri" w:eastAsia="仿宋_GB2312"/>
          <w:b/>
          <w:bCs/>
          <w:sz w:val="24"/>
        </w:rPr>
      </w:pPr>
      <w:r>
        <w:rPr>
          <w:rFonts w:hint="eastAsia" w:ascii="仿宋_GB2312" w:hAnsi="Calibri" w:eastAsia="仿宋_GB2312"/>
          <w:b/>
          <w:bCs/>
          <w:sz w:val="24"/>
        </w:rPr>
        <w:t>（3）投标人资格声明函</w:t>
      </w:r>
      <w:r>
        <w:rPr>
          <w:rFonts w:hint="eastAsia" w:ascii="仿宋_GB2312" w:eastAsia="仿宋_GB2312"/>
          <w:b/>
          <w:bCs/>
          <w:sz w:val="24"/>
        </w:rPr>
        <w:t>格式</w:t>
      </w:r>
      <w:r>
        <w:rPr>
          <w:rFonts w:hint="eastAsia" w:ascii="仿宋_GB2312" w:hAnsi="Calibri" w:eastAsia="仿宋_GB2312"/>
          <w:b/>
          <w:bCs/>
          <w:sz w:val="24"/>
        </w:rPr>
        <w:t>（必须提供）：</w:t>
      </w:r>
    </w:p>
    <w:p w14:paraId="68FCB40D">
      <w:pPr>
        <w:snapToGrid w:val="0"/>
        <w:spacing w:before="50" w:after="120" w:afterLines="50" w:line="400" w:lineRule="exact"/>
        <w:jc w:val="center"/>
        <w:rPr>
          <w:rFonts w:ascii="仿宋_GB2312" w:eastAsia="仿宋_GB2312"/>
          <w:b/>
          <w:bCs/>
          <w:sz w:val="32"/>
          <w:szCs w:val="32"/>
        </w:rPr>
      </w:pPr>
    </w:p>
    <w:p w14:paraId="41943402">
      <w:pPr>
        <w:autoSpaceDE w:val="0"/>
        <w:autoSpaceDN w:val="0"/>
        <w:adjustRightInd w:val="0"/>
        <w:spacing w:line="400" w:lineRule="exact"/>
        <w:ind w:firstLine="640"/>
        <w:jc w:val="center"/>
        <w:rPr>
          <w:rFonts w:ascii="仿宋_GB2312" w:eastAsia="仿宋_GB2312"/>
          <w:b/>
          <w:bCs/>
          <w:sz w:val="32"/>
          <w:szCs w:val="32"/>
        </w:rPr>
      </w:pPr>
      <w:r>
        <w:rPr>
          <w:rFonts w:hint="eastAsia" w:ascii="仿宋_GB2312" w:eastAsia="仿宋_GB2312"/>
          <w:b/>
          <w:bCs/>
          <w:sz w:val="32"/>
          <w:szCs w:val="32"/>
        </w:rPr>
        <w:t>投标人资格声明函</w:t>
      </w:r>
    </w:p>
    <w:p w14:paraId="6D9C1008">
      <w:pPr>
        <w:autoSpaceDE w:val="0"/>
        <w:autoSpaceDN w:val="0"/>
        <w:adjustRightInd w:val="0"/>
        <w:spacing w:line="400" w:lineRule="exact"/>
        <w:rPr>
          <w:rFonts w:ascii="仿宋_GB2312" w:eastAsia="仿宋_GB2312"/>
          <w:spacing w:val="6"/>
          <w:sz w:val="24"/>
        </w:rPr>
      </w:pPr>
      <w:r>
        <w:rPr>
          <w:rFonts w:hint="eastAsia" w:ascii="仿宋_GB2312" w:eastAsia="仿宋_GB2312"/>
          <w:spacing w:val="6"/>
          <w:sz w:val="24"/>
        </w:rPr>
        <w:t>致：</w:t>
      </w:r>
      <w:r>
        <w:rPr>
          <w:rFonts w:ascii="仿宋_GB2312" w:eastAsia="仿宋_GB2312"/>
          <w:spacing w:val="6"/>
          <w:sz w:val="24"/>
          <w:u w:val="single"/>
        </w:rPr>
        <w:t>柳州市电化教育站</w:t>
      </w:r>
      <w:r>
        <w:rPr>
          <w:rFonts w:hint="eastAsia" w:ascii="仿宋_GB2312" w:eastAsia="仿宋_GB2312"/>
          <w:spacing w:val="6"/>
          <w:sz w:val="24"/>
          <w:u w:val="single"/>
        </w:rPr>
        <w:t>、柳州市政府集中采购中心</w:t>
      </w:r>
      <w:r>
        <w:rPr>
          <w:rFonts w:hint="eastAsia" w:ascii="仿宋_GB2312" w:eastAsia="仿宋_GB2312"/>
          <w:spacing w:val="6"/>
          <w:sz w:val="24"/>
        </w:rPr>
        <w:t>：</w:t>
      </w:r>
    </w:p>
    <w:p w14:paraId="172004E9">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我方自愿参加</w:t>
      </w:r>
      <w:r>
        <w:rPr>
          <w:rFonts w:hint="eastAsia" w:ascii="仿宋_GB2312" w:eastAsia="仿宋_GB2312"/>
          <w:spacing w:val="6"/>
          <w:sz w:val="24"/>
          <w:u w:val="single"/>
        </w:rPr>
        <w:t xml:space="preserve">                       </w:t>
      </w:r>
      <w:r>
        <w:rPr>
          <w:rFonts w:hint="eastAsia" w:ascii="仿宋_GB2312" w:eastAsia="仿宋_GB2312"/>
          <w:spacing w:val="6"/>
          <w:sz w:val="24"/>
        </w:rPr>
        <w:t>项目（项目编号：</w:t>
      </w:r>
      <w:r>
        <w:rPr>
          <w:rFonts w:hint="eastAsia" w:ascii="仿宋_GB2312" w:eastAsia="仿宋_GB2312"/>
          <w:spacing w:val="6"/>
          <w:sz w:val="24"/>
          <w:u w:val="single"/>
        </w:rPr>
        <w:t xml:space="preserve">           </w:t>
      </w:r>
      <w:r>
        <w:rPr>
          <w:rFonts w:hint="eastAsia" w:ascii="仿宋_GB2312" w:eastAsia="仿宋_GB2312"/>
          <w:spacing w:val="6"/>
          <w:sz w:val="24"/>
        </w:rPr>
        <w:t xml:space="preserve">）的政府采购活动，并郑重承诺我方符合《中华人民共和国政府采购法》第二十二条规定的条件： </w:t>
      </w:r>
    </w:p>
    <w:p w14:paraId="426917D1">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（一）具有独立承担民事责任的能力； </w:t>
      </w:r>
    </w:p>
    <w:p w14:paraId="54C3771B">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（二）具有良好的商业信誉和健全的财务会计制度； </w:t>
      </w:r>
    </w:p>
    <w:p w14:paraId="69BD19E7">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（三）具有履行合同所必需的设备和专业技术能力； </w:t>
      </w:r>
    </w:p>
    <w:p w14:paraId="16979D9E">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（四）有依法缴纳税收和社会保障资金的良好记录； </w:t>
      </w:r>
    </w:p>
    <w:p w14:paraId="5186830D">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（五）参加政府采购活动前三年内，在经营活动中没有重大违法记录； </w:t>
      </w:r>
    </w:p>
    <w:p w14:paraId="709580A0">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（六）若以分公司名义参与政府采购活动的，已获得总公司针对本项目的授权；</w:t>
      </w:r>
    </w:p>
    <w:p w14:paraId="305E5C98">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（七）法律、行政法规规定的其他条件。 </w:t>
      </w:r>
    </w:p>
    <w:p w14:paraId="2F130903">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spacing w:val="6"/>
          <w:sz w:val="24"/>
        </w:rPr>
        <w:t xml:space="preserve">我方保证上述承诺事项的真实性，如有弄虚作假或其他违法违规行为，愿意承担一切法律责任，并承担因此所造成的一切损失。 </w:t>
      </w:r>
    </w:p>
    <w:p w14:paraId="084D911C">
      <w:pPr>
        <w:autoSpaceDE w:val="0"/>
        <w:autoSpaceDN w:val="0"/>
        <w:adjustRightInd w:val="0"/>
        <w:spacing w:line="400" w:lineRule="exact"/>
        <w:ind w:firstLine="640"/>
        <w:rPr>
          <w:rFonts w:ascii="仿宋_GB2312" w:eastAsia="仿宋_GB2312"/>
          <w:spacing w:val="6"/>
          <w:sz w:val="24"/>
        </w:rPr>
      </w:pPr>
      <w:r>
        <w:rPr>
          <w:rFonts w:hint="eastAsia" w:ascii="仿宋_GB2312" w:eastAsia="仿宋_GB2312"/>
          <w:b/>
          <w:bCs/>
          <w:spacing w:val="6"/>
          <w:sz w:val="24"/>
        </w:rPr>
        <w:t>特此声明！</w:t>
      </w:r>
      <w:r>
        <w:rPr>
          <w:rFonts w:hint="eastAsia" w:ascii="仿宋_GB2312" w:eastAsia="仿宋_GB2312"/>
          <w:spacing w:val="6"/>
          <w:sz w:val="24"/>
        </w:rPr>
        <w:t xml:space="preserve"> </w:t>
      </w:r>
    </w:p>
    <w:p w14:paraId="22C48A8F">
      <w:pPr>
        <w:pStyle w:val="47"/>
        <w:spacing w:line="400" w:lineRule="exact"/>
        <w:ind w:firstLine="504"/>
        <w:rPr>
          <w:rFonts w:ascii="仿宋_GB2312" w:eastAsia="仿宋_GB2312"/>
          <w:spacing w:val="6"/>
          <w:sz w:val="24"/>
        </w:rPr>
      </w:pPr>
    </w:p>
    <w:p w14:paraId="690449F1">
      <w:pPr>
        <w:spacing w:line="400" w:lineRule="exact"/>
        <w:rPr>
          <w:sz w:val="24"/>
        </w:rPr>
      </w:pPr>
    </w:p>
    <w:p w14:paraId="64959304">
      <w:pPr>
        <w:spacing w:line="400" w:lineRule="exact"/>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5935F2F1">
      <w:pPr>
        <w:spacing w:line="400" w:lineRule="exact"/>
        <w:jc w:val="center"/>
        <w:rPr>
          <w:rFonts w:ascii="仿宋_GB2312" w:eastAsia="仿宋_GB2312"/>
          <w:sz w:val="24"/>
          <w:u w:val="single"/>
        </w:rPr>
      </w:pPr>
    </w:p>
    <w:p w14:paraId="05B5F660">
      <w:pPr>
        <w:pStyle w:val="26"/>
        <w:spacing w:line="400" w:lineRule="exact"/>
        <w:ind w:firstLine="5160" w:firstLineChars="2150"/>
        <w:rPr>
          <w:rFonts w:ascii="仿宋_GB2312" w:eastAsia="仿宋_GB2312"/>
          <w:sz w:val="24"/>
          <w:szCs w:val="24"/>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sz w:val="24"/>
          <w:szCs w:val="24"/>
        </w:rPr>
        <w:t>：</w:t>
      </w:r>
      <w:r>
        <w:rPr>
          <w:rFonts w:hint="eastAsia" w:ascii="仿宋_GB2312" w:eastAsia="仿宋_GB2312"/>
          <w:sz w:val="24"/>
          <w:szCs w:val="24"/>
          <w:u w:val="single"/>
        </w:rPr>
        <w:t xml:space="preserve">                               </w:t>
      </w:r>
    </w:p>
    <w:p w14:paraId="30B966CA">
      <w:pPr>
        <w:pStyle w:val="26"/>
        <w:spacing w:line="400" w:lineRule="exact"/>
        <w:rPr>
          <w:rFonts w:hint="eastAsia" w:ascii="仿宋_GB2312" w:hAnsi="宋体" w:eastAsia="仿宋_GB2312"/>
          <w:sz w:val="24"/>
          <w:szCs w:val="24"/>
        </w:rPr>
      </w:pPr>
    </w:p>
    <w:p w14:paraId="53A929C6">
      <w:pPr>
        <w:pStyle w:val="26"/>
        <w:spacing w:line="400" w:lineRule="exact"/>
        <w:jc w:val="right"/>
        <w:rPr>
          <w:rFonts w:hint="eastAsia" w:ascii="仿宋_GB2312" w:hAnsi="宋体" w:eastAsia="仿宋_GB2312"/>
          <w:sz w:val="24"/>
          <w:szCs w:val="24"/>
        </w:rPr>
      </w:pPr>
      <w:r>
        <w:rPr>
          <w:rFonts w:hint="eastAsia" w:ascii="仿宋_GB2312" w:hAnsi="宋体" w:eastAsia="仿宋_GB2312"/>
          <w:sz w:val="24"/>
          <w:szCs w:val="24"/>
        </w:rPr>
        <w:t>日期：       年   月   日</w:t>
      </w:r>
    </w:p>
    <w:p w14:paraId="1BB47B55">
      <w:pPr>
        <w:pStyle w:val="26"/>
        <w:spacing w:line="400" w:lineRule="exact"/>
        <w:ind w:firstLine="482" w:firstLineChars="200"/>
        <w:rPr>
          <w:rFonts w:hint="eastAsia" w:ascii="仿宋_GB2312" w:hAnsi="宋体" w:eastAsia="仿宋_GB2312"/>
          <w:b/>
          <w:bCs/>
          <w:sz w:val="24"/>
          <w:szCs w:val="24"/>
        </w:rPr>
      </w:pPr>
      <w:r>
        <w:rPr>
          <w:rFonts w:hint="eastAsia" w:ascii="仿宋_GB2312" w:eastAsia="仿宋_GB2312"/>
          <w:b/>
          <w:sz w:val="24"/>
          <w:szCs w:val="24"/>
        </w:rPr>
        <w:t>注：此项材料必须</w:t>
      </w:r>
      <w:r>
        <w:rPr>
          <w:rFonts w:hint="eastAsia" w:ascii="仿宋_GB2312" w:hAnsi="宋体" w:eastAsia="仿宋_GB2312"/>
          <w:b/>
          <w:bCs/>
          <w:sz w:val="24"/>
          <w:szCs w:val="24"/>
        </w:rPr>
        <w:t>以PDF格式上传。</w:t>
      </w:r>
    </w:p>
    <w:p w14:paraId="1681DF4A">
      <w:pPr>
        <w:pStyle w:val="8"/>
        <w:overflowPunct w:val="0"/>
        <w:ind w:left="0" w:firstLine="0"/>
        <w:rPr>
          <w:rFonts w:ascii="仿宋_GB2312" w:hAnsi="Courier New" w:eastAsia="仿宋_GB2312" w:cs="Courier New"/>
          <w:bCs/>
          <w:color w:val="000000" w:themeColor="text1"/>
          <w:sz w:val="24"/>
          <w:szCs w:val="24"/>
          <w14:textFill>
            <w14:solidFill>
              <w14:schemeClr w14:val="tx1"/>
            </w14:solidFill>
          </w14:textFill>
        </w:rPr>
        <w:sectPr>
          <w:pgSz w:w="11906" w:h="16838"/>
          <w:pgMar w:top="1440" w:right="707" w:bottom="1440" w:left="1440" w:header="851" w:footer="992" w:gutter="0"/>
          <w:cols w:space="720" w:num="1"/>
          <w:docGrid w:linePitch="312" w:charSpace="0"/>
        </w:sectPr>
      </w:pPr>
    </w:p>
    <w:p w14:paraId="631611E7">
      <w:pPr>
        <w:pStyle w:val="349"/>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（4）投标人有效主体资格证明（如营业执照、事业单位法人证书、执业许可证、自然人身份证等）（</w:t>
      </w:r>
      <w:r>
        <w:rPr>
          <w:rFonts w:hint="eastAsia" w:ascii="仿宋_GB2312" w:eastAsia="仿宋_GB2312"/>
          <w:b/>
          <w:bCs/>
          <w:color w:val="000000"/>
        </w:rPr>
        <w:t>必须提供</w:t>
      </w:r>
      <w:r>
        <w:rPr>
          <w:rFonts w:hint="eastAsia" w:ascii="仿宋_GB2312" w:eastAsia="仿宋_GB2312"/>
          <w:color w:val="000000"/>
        </w:rPr>
        <w:t>）；</w:t>
      </w:r>
    </w:p>
    <w:p w14:paraId="659B957A">
      <w:pPr>
        <w:snapToGrid w:val="0"/>
        <w:spacing w:line="400" w:lineRule="exact"/>
        <w:jc w:val="left"/>
        <w:rPr>
          <w:rFonts w:ascii="仿宋_GB2312" w:eastAsia="仿宋_GB2312"/>
          <w:bCs/>
          <w:color w:val="000000" w:themeColor="text1"/>
          <w:sz w:val="24"/>
          <w14:textFill>
            <w14:solidFill>
              <w14:schemeClr w14:val="tx1"/>
            </w14:solidFill>
          </w14:textFill>
        </w:rPr>
      </w:pPr>
    </w:p>
    <w:p w14:paraId="1CC25572">
      <w:pPr>
        <w:snapToGrid w:val="0"/>
        <w:spacing w:line="400" w:lineRule="exact"/>
        <w:jc w:val="left"/>
        <w:rPr>
          <w:rFonts w:ascii="仿宋_GB2312" w:eastAsia="仿宋_GB2312"/>
          <w:bCs/>
          <w:color w:val="000000" w:themeColor="text1"/>
          <w:sz w:val="24"/>
          <w14:textFill>
            <w14:solidFill>
              <w14:schemeClr w14:val="tx1"/>
            </w14:solidFill>
          </w14:textFill>
        </w:rPr>
      </w:pPr>
    </w:p>
    <w:p w14:paraId="6654AE02">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4CD621CB">
      <w:pPr>
        <w:ind w:firstLine="643" w:firstLineChars="200"/>
        <w:jc w:val="left"/>
        <w:rPr>
          <w:rFonts w:ascii="仿宋_GB2312" w:eastAsia="仿宋_GB2312"/>
          <w:b/>
          <w:bCs/>
          <w:sz w:val="32"/>
          <w:szCs w:val="32"/>
        </w:rPr>
      </w:pPr>
      <w:bookmarkStart w:id="92" w:name="_Hlk56503802"/>
      <w:r>
        <w:rPr>
          <w:rFonts w:hint="eastAsia" w:ascii="仿宋_GB2312" w:eastAsia="仿宋_GB2312"/>
          <w:b/>
          <w:bCs/>
          <w:sz w:val="32"/>
          <w:szCs w:val="32"/>
        </w:rPr>
        <w:t>注：第（4）项必须提供且为PDF格式，并加盖投标人CA电子签章。</w:t>
      </w:r>
    </w:p>
    <w:p w14:paraId="0FB674CC">
      <w:pPr>
        <w:ind w:firstLine="643" w:firstLineChars="200"/>
        <w:jc w:val="left"/>
        <w:rPr>
          <w:rFonts w:ascii="仿宋_GB2312" w:eastAsia="仿宋_GB2312"/>
          <w:b/>
          <w:bCs/>
          <w:sz w:val="32"/>
          <w:szCs w:val="32"/>
        </w:rPr>
      </w:pPr>
      <w:bookmarkStart w:id="93" w:name="_Hlk102729607"/>
    </w:p>
    <w:bookmarkEnd w:id="92"/>
    <w:bookmarkEnd w:id="93"/>
    <w:p w14:paraId="0C2D55CA">
      <w:pPr>
        <w:snapToGrid w:val="0"/>
        <w:spacing w:before="120" w:beforeLines="50" w:after="50" w:line="400" w:lineRule="exact"/>
        <w:rPr>
          <w:rFonts w:ascii="仿宋_GB2312" w:eastAsia="仿宋_GB2312"/>
          <w:color w:val="000000" w:themeColor="text1"/>
          <w:szCs w:val="21"/>
          <w14:textFill>
            <w14:solidFill>
              <w14:schemeClr w14:val="tx1"/>
            </w14:solidFill>
          </w14:textFill>
        </w:rPr>
        <w:sectPr>
          <w:pgSz w:w="11906" w:h="16838"/>
          <w:pgMar w:top="1440" w:right="707" w:bottom="1440" w:left="1440" w:header="851" w:footer="992" w:gutter="0"/>
          <w:cols w:space="720" w:num="1"/>
          <w:docGrid w:linePitch="312" w:charSpace="0"/>
        </w:sectPr>
      </w:pPr>
    </w:p>
    <w:p w14:paraId="3BAD75A1">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 xml:space="preserve">   </w:t>
      </w:r>
    </w:p>
    <w:p w14:paraId="0886714A">
      <w:pPr>
        <w:spacing w:line="276" w:lineRule="auto"/>
        <w:jc w:val="center"/>
        <w:rPr>
          <w:rFonts w:hint="eastAsia" w:ascii="仿宋_GB2312" w:hAnsi="宋体" w:eastAsia="仿宋_GB2312"/>
          <w:b/>
          <w:bCs/>
          <w:sz w:val="56"/>
          <w:szCs w:val="56"/>
        </w:rPr>
      </w:pPr>
    </w:p>
    <w:p w14:paraId="28B4E885">
      <w:pPr>
        <w:spacing w:line="276" w:lineRule="auto"/>
        <w:jc w:val="center"/>
        <w:rPr>
          <w:rFonts w:hint="eastAsia" w:ascii="仿宋_GB2312" w:hAnsi="宋体" w:eastAsia="仿宋_GB2312"/>
          <w:b/>
          <w:bCs/>
          <w:sz w:val="56"/>
          <w:szCs w:val="56"/>
        </w:rPr>
      </w:pPr>
    </w:p>
    <w:p w14:paraId="3F48F87A">
      <w:pPr>
        <w:spacing w:line="276" w:lineRule="auto"/>
        <w:jc w:val="center"/>
        <w:rPr>
          <w:rFonts w:hint="eastAsia" w:ascii="仿宋_GB2312" w:hAnsi="宋体" w:eastAsia="仿宋_GB2312"/>
          <w:b/>
          <w:bCs/>
          <w:sz w:val="56"/>
          <w:szCs w:val="56"/>
        </w:rPr>
      </w:pPr>
    </w:p>
    <w:p w14:paraId="6D714911">
      <w:pPr>
        <w:spacing w:line="276" w:lineRule="auto"/>
        <w:rPr>
          <w:rFonts w:hint="eastAsia" w:ascii="仿宋_GB2312" w:hAnsi="宋体" w:eastAsia="仿宋_GB2312"/>
          <w:b/>
          <w:bCs/>
          <w:sz w:val="56"/>
          <w:szCs w:val="56"/>
        </w:rPr>
      </w:pPr>
    </w:p>
    <w:p w14:paraId="2E0D0ED5">
      <w:pPr>
        <w:spacing w:line="276" w:lineRule="auto"/>
        <w:rPr>
          <w:rFonts w:hint="eastAsia" w:ascii="仿宋_GB2312" w:hAnsi="宋体" w:eastAsia="仿宋_GB2312"/>
          <w:b/>
          <w:bCs/>
          <w:sz w:val="56"/>
          <w:szCs w:val="56"/>
        </w:rPr>
      </w:pPr>
    </w:p>
    <w:p w14:paraId="45FECC62">
      <w:pPr>
        <w:spacing w:line="276" w:lineRule="auto"/>
        <w:rPr>
          <w:rFonts w:hint="eastAsia" w:ascii="仿宋_GB2312" w:hAnsi="宋体" w:eastAsia="仿宋_GB2312"/>
          <w:b/>
          <w:bCs/>
          <w:sz w:val="56"/>
          <w:szCs w:val="56"/>
        </w:rPr>
      </w:pPr>
    </w:p>
    <w:p w14:paraId="5AF39E9F">
      <w:pPr>
        <w:spacing w:line="276" w:lineRule="auto"/>
        <w:jc w:val="center"/>
        <w:rPr>
          <w:rFonts w:hint="eastAsia" w:ascii="仿宋_GB2312" w:hAnsi="宋体" w:eastAsia="仿宋_GB2312"/>
          <w:b/>
          <w:bCs/>
          <w:sz w:val="56"/>
          <w:szCs w:val="56"/>
        </w:rPr>
      </w:pPr>
      <w:r>
        <w:rPr>
          <w:rFonts w:hint="eastAsia" w:ascii="仿宋_GB2312" w:hAnsi="宋体" w:eastAsia="仿宋_GB2312"/>
          <w:b/>
          <w:bCs/>
          <w:sz w:val="56"/>
          <w:szCs w:val="56"/>
        </w:rPr>
        <w:t>二、报  价 要 求 文  件  格  式</w:t>
      </w:r>
    </w:p>
    <w:p w14:paraId="14C224E8">
      <w:pPr>
        <w:snapToGrid w:val="0"/>
        <w:spacing w:before="50" w:after="50"/>
        <w:rPr>
          <w:rFonts w:ascii="仿宋_GB2312" w:eastAsia="仿宋_GB2312"/>
          <w:bCs/>
          <w:sz w:val="30"/>
          <w:szCs w:val="30"/>
        </w:rPr>
      </w:pPr>
    </w:p>
    <w:p w14:paraId="726750C6">
      <w:pPr>
        <w:snapToGrid w:val="0"/>
        <w:spacing w:before="50" w:after="50"/>
        <w:rPr>
          <w:rFonts w:ascii="仿宋_GB2312" w:eastAsia="仿宋_GB2312"/>
          <w:bCs/>
          <w:sz w:val="30"/>
          <w:szCs w:val="30"/>
        </w:rPr>
        <w:sectPr>
          <w:pgSz w:w="11906" w:h="16838"/>
          <w:pgMar w:top="1440" w:right="1440" w:bottom="1440" w:left="1440" w:header="851" w:footer="992" w:gutter="0"/>
          <w:cols w:space="720" w:num="1"/>
          <w:docGrid w:linePitch="312" w:charSpace="0"/>
        </w:sectPr>
      </w:pPr>
    </w:p>
    <w:p w14:paraId="7A746B16">
      <w:pPr>
        <w:snapToGrid w:val="0"/>
        <w:spacing w:before="50" w:after="50" w:line="400" w:lineRule="exact"/>
        <w:rPr>
          <w:rFonts w:ascii="仿宋_GB2312" w:eastAsia="仿宋_GB2312"/>
          <w:b/>
          <w:bCs/>
          <w:sz w:val="24"/>
        </w:rPr>
      </w:pPr>
      <w:r>
        <w:rPr>
          <w:rFonts w:hint="eastAsia" w:ascii="仿宋_GB2312" w:eastAsia="仿宋_GB2312"/>
          <w:b/>
          <w:bCs/>
          <w:sz w:val="24"/>
        </w:rPr>
        <w:t>报价要求文件目录：</w:t>
      </w:r>
    </w:p>
    <w:p w14:paraId="5F3D28B8">
      <w:pPr>
        <w:snapToGrid w:val="0"/>
        <w:spacing w:before="50" w:after="50" w:line="400" w:lineRule="exact"/>
        <w:rPr>
          <w:rFonts w:ascii="仿宋_GB2312" w:eastAsia="仿宋_GB2312"/>
          <w:b/>
          <w:bCs/>
          <w:szCs w:val="21"/>
        </w:rPr>
      </w:pPr>
    </w:p>
    <w:p w14:paraId="48501341">
      <w:pPr>
        <w:tabs>
          <w:tab w:val="left" w:pos="3870"/>
          <w:tab w:val="left" w:pos="4085"/>
        </w:tabs>
        <w:snapToGrid w:val="0"/>
        <w:jc w:val="center"/>
        <w:rPr>
          <w:rFonts w:ascii="仿宋_GB2312" w:eastAsia="仿宋_GB2312"/>
          <w:sz w:val="36"/>
          <w:szCs w:val="36"/>
        </w:rPr>
      </w:pPr>
    </w:p>
    <w:p w14:paraId="42FF7A7B">
      <w:pPr>
        <w:spacing w:line="276" w:lineRule="auto"/>
        <w:jc w:val="center"/>
        <w:rPr>
          <w:rFonts w:ascii="仿宋_GB2312" w:eastAsia="仿宋_GB2312"/>
          <w:sz w:val="44"/>
          <w:szCs w:val="44"/>
        </w:rPr>
      </w:pPr>
      <w:r>
        <w:rPr>
          <w:rFonts w:hint="eastAsia" w:ascii="仿宋_GB2312" w:eastAsia="仿宋_GB2312"/>
          <w:sz w:val="44"/>
          <w:szCs w:val="44"/>
        </w:rPr>
        <w:t>目    录</w:t>
      </w:r>
    </w:p>
    <w:p w14:paraId="5E0AA0AA">
      <w:pPr>
        <w:spacing w:line="360" w:lineRule="auto"/>
        <w:ind w:firstLine="424" w:firstLineChars="177"/>
        <w:rPr>
          <w:rFonts w:ascii="仿宋_GB2312" w:eastAsia="仿宋_GB2312" w:cs="Courier New"/>
          <w:sz w:val="24"/>
        </w:rPr>
      </w:pPr>
      <w:r>
        <w:rPr>
          <w:rFonts w:hint="eastAsia" w:ascii="仿宋_GB2312" w:eastAsia="仿宋_GB2312" w:cs="Courier New"/>
          <w:sz w:val="24"/>
        </w:rPr>
        <w:t>（1）开标一览表（</w:t>
      </w:r>
      <w:r>
        <w:rPr>
          <w:rFonts w:hint="eastAsia" w:ascii="仿宋_GB2312" w:eastAsia="仿宋_GB2312"/>
          <w:b/>
          <w:bCs/>
          <w:sz w:val="24"/>
        </w:rPr>
        <w:t>必须提供</w:t>
      </w:r>
      <w:r>
        <w:rPr>
          <w:rFonts w:hint="eastAsia" w:ascii="仿宋_GB2312" w:eastAsia="仿宋_GB2312" w:cs="Courier New"/>
          <w:sz w:val="24"/>
        </w:rPr>
        <w:t>）…………………………………………………………</w:t>
      </w:r>
    </w:p>
    <w:p w14:paraId="2EAD518A">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附件1：中小企业声明函格式（如有）………………………………………</w:t>
      </w:r>
    </w:p>
    <w:p w14:paraId="0B02B0C8">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附件2：残疾人福利性单位声明函格式（如有）………………………………………</w:t>
      </w:r>
    </w:p>
    <w:p w14:paraId="6831B15E">
      <w:pPr>
        <w:spacing w:line="360" w:lineRule="auto"/>
        <w:ind w:firstLine="1080" w:firstLineChars="450"/>
        <w:rPr>
          <w:rFonts w:ascii="仿宋_GB2312" w:eastAsia="仿宋_GB2312" w:cs="Courier New"/>
          <w:sz w:val="24"/>
        </w:rPr>
      </w:pPr>
      <w:bookmarkStart w:id="94" w:name="_Hlk102729630"/>
      <w:r>
        <w:rPr>
          <w:rFonts w:hint="eastAsia" w:ascii="仿宋_GB2312" w:eastAsia="仿宋_GB2312" w:cs="Courier New"/>
          <w:sz w:val="24"/>
        </w:rPr>
        <w:t>附件3：监狱企业由省级以上监狱管理局、戒毒管理局（含新疆生产建设兵团）出具的属于监狱企业的证明文件（如有）……………………………………</w:t>
      </w:r>
    </w:p>
    <w:p w14:paraId="6106F42F">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附件4：关于符合本国产品标准的声明函（如有）……………………………</w:t>
      </w:r>
    </w:p>
    <w:p w14:paraId="14D14ECD">
      <w:pPr>
        <w:spacing w:line="360" w:lineRule="auto"/>
        <w:ind w:firstLine="1080" w:firstLineChars="450"/>
        <w:rPr>
          <w:rFonts w:ascii="仿宋_GB2312" w:eastAsia="仿宋_GB2312" w:cs="Courier New"/>
          <w:sz w:val="24"/>
        </w:rPr>
      </w:pPr>
      <w:r>
        <w:rPr>
          <w:rFonts w:hint="eastAsia" w:ascii="仿宋_GB2312" w:eastAsia="仿宋_GB2312" w:cs="Courier New"/>
          <w:sz w:val="24"/>
        </w:rPr>
        <w:t>附件5：关于本国产品比例的承诺函（当采购项目或者采购包中含有多种产品的，供应商还应当提供本承诺函）……………………………</w:t>
      </w:r>
    </w:p>
    <w:p w14:paraId="617D4D9F">
      <w:pPr>
        <w:spacing w:line="360" w:lineRule="auto"/>
        <w:ind w:firstLine="424" w:firstLineChars="177"/>
        <w:rPr>
          <w:rFonts w:ascii="仿宋_GB2312" w:eastAsia="仿宋_GB2312" w:cs="Courier New"/>
          <w:sz w:val="24"/>
        </w:rPr>
      </w:pPr>
      <w:r>
        <w:rPr>
          <w:rFonts w:hint="eastAsia" w:ascii="仿宋_GB2312" w:eastAsia="仿宋_GB2312" w:cs="Courier New"/>
          <w:sz w:val="24"/>
        </w:rPr>
        <w:t>（</w:t>
      </w:r>
      <w:r>
        <w:rPr>
          <w:rFonts w:ascii="仿宋_GB2312" w:eastAsia="仿宋_GB2312" w:cs="Courier New"/>
          <w:sz w:val="24"/>
        </w:rPr>
        <w:t>2</w:t>
      </w:r>
      <w:r>
        <w:rPr>
          <w:rFonts w:hint="eastAsia" w:ascii="仿宋_GB2312" w:eastAsia="仿宋_GB2312" w:cs="Courier New"/>
          <w:sz w:val="24"/>
        </w:rPr>
        <w:t>）投标报价明细表</w:t>
      </w:r>
      <w:r>
        <w:rPr>
          <w:rFonts w:hint="eastAsia" w:ascii="仿宋_GB2312" w:eastAsia="仿宋_GB2312" w:cs="Courier New"/>
          <w:b/>
          <w:bCs/>
          <w:sz w:val="24"/>
        </w:rPr>
        <w:t>（必须提供）</w:t>
      </w:r>
      <w:r>
        <w:rPr>
          <w:rFonts w:hint="eastAsia" w:ascii="仿宋_GB2312" w:eastAsia="仿宋_GB2312" w:cs="Courier New"/>
          <w:sz w:val="24"/>
        </w:rPr>
        <w:t>……………………………………………………</w:t>
      </w:r>
    </w:p>
    <w:bookmarkEnd w:id="94"/>
    <w:p w14:paraId="3E4EE5A0">
      <w:pPr>
        <w:snapToGrid w:val="0"/>
        <w:spacing w:before="120" w:beforeLines="50" w:after="50" w:line="320" w:lineRule="exact"/>
        <w:jc w:val="center"/>
        <w:rPr>
          <w:rFonts w:ascii="仿宋_GB2312" w:eastAsia="仿宋_GB2312"/>
          <w:sz w:val="30"/>
          <w:szCs w:val="30"/>
        </w:rPr>
        <w:sectPr>
          <w:pgSz w:w="11906" w:h="16838"/>
          <w:pgMar w:top="1440" w:right="1133" w:bottom="1440" w:left="1440" w:header="851" w:footer="992" w:gutter="0"/>
          <w:cols w:space="720" w:num="1"/>
          <w:docGrid w:linePitch="312" w:charSpace="0"/>
        </w:sectPr>
      </w:pPr>
    </w:p>
    <w:p w14:paraId="7F132DC6">
      <w:pPr>
        <w:spacing w:line="276" w:lineRule="auto"/>
        <w:jc w:val="left"/>
        <w:rPr>
          <w:rFonts w:ascii="仿宋_GB2312" w:hAnsi="Courier New" w:eastAsia="仿宋_GB2312" w:cs="Courier New"/>
          <w:b/>
          <w:sz w:val="24"/>
        </w:rPr>
      </w:pPr>
      <w:bookmarkStart w:id="95" w:name="_Hlk93681038"/>
      <w:bookmarkStart w:id="96" w:name="_Hlk93681273"/>
      <w:r>
        <w:rPr>
          <w:rFonts w:hint="eastAsia" w:ascii="仿宋_GB2312" w:hAnsi="Courier New" w:eastAsia="仿宋_GB2312" w:cs="Courier New"/>
          <w:b/>
          <w:sz w:val="24"/>
        </w:rPr>
        <w:t>（1）开标一览表格式（必须提供）：</w:t>
      </w:r>
    </w:p>
    <w:p w14:paraId="1DD013E5">
      <w:pPr>
        <w:snapToGrid w:val="0"/>
        <w:spacing w:before="50" w:after="50" w:line="400" w:lineRule="exact"/>
        <w:jc w:val="center"/>
        <w:rPr>
          <w:rFonts w:ascii="仿宋_GB2312" w:eastAsia="仿宋_GB2312"/>
          <w:b/>
          <w:bCs/>
          <w:sz w:val="32"/>
          <w:szCs w:val="32"/>
        </w:rPr>
      </w:pPr>
      <w:r>
        <w:rPr>
          <w:rFonts w:hint="eastAsia" w:ascii="仿宋_GB2312" w:eastAsia="仿宋_GB2312"/>
          <w:b/>
          <w:bCs/>
          <w:sz w:val="32"/>
          <w:szCs w:val="32"/>
        </w:rPr>
        <w:t>开标一览表</w:t>
      </w:r>
    </w:p>
    <w:p w14:paraId="5298018C">
      <w:pPr>
        <w:snapToGrid w:val="0"/>
        <w:spacing w:before="50" w:after="50" w:line="400" w:lineRule="exact"/>
        <w:jc w:val="center"/>
        <w:rPr>
          <w:rFonts w:ascii="仿宋_GB2312" w:eastAsia="仿宋_GB2312"/>
          <w:b/>
          <w:sz w:val="30"/>
        </w:rPr>
      </w:pPr>
    </w:p>
    <w:p w14:paraId="2C802B08">
      <w:pPr>
        <w:snapToGrid w:val="0"/>
        <w:spacing w:before="50" w:after="120" w:afterLines="50" w:line="400" w:lineRule="exact"/>
        <w:jc w:val="left"/>
        <w:rPr>
          <w:rFonts w:ascii="仿宋_GB2312" w:eastAsia="仿宋_GB2312"/>
          <w:sz w:val="24"/>
        </w:rPr>
      </w:pPr>
      <w:r>
        <w:rPr>
          <w:rFonts w:hint="eastAsia" w:ascii="仿宋_GB2312" w:eastAsia="仿宋_GB2312"/>
          <w:sz w:val="24"/>
        </w:rPr>
        <w:t>项目名称：</w:t>
      </w:r>
    </w:p>
    <w:p w14:paraId="4BFF9D35">
      <w:pPr>
        <w:snapToGrid w:val="0"/>
        <w:spacing w:before="50" w:after="120" w:afterLines="50" w:line="400" w:lineRule="exact"/>
        <w:jc w:val="left"/>
        <w:rPr>
          <w:rFonts w:ascii="仿宋_GB2312" w:eastAsia="仿宋_GB2312"/>
          <w:sz w:val="24"/>
        </w:rPr>
      </w:pPr>
      <w:r>
        <w:rPr>
          <w:rFonts w:hint="eastAsia" w:ascii="仿宋_GB2312" w:eastAsia="仿宋_GB2312"/>
          <w:sz w:val="24"/>
        </w:rPr>
        <w:t xml:space="preserve">项目编号： </w:t>
      </w:r>
    </w:p>
    <w:p w14:paraId="4BE2E2ED">
      <w:pPr>
        <w:snapToGrid w:val="0"/>
        <w:spacing w:before="50" w:after="120" w:afterLines="50" w:line="400" w:lineRule="exact"/>
        <w:jc w:val="left"/>
        <w:rPr>
          <w:rFonts w:ascii="仿宋_GB2312" w:eastAsia="仿宋_GB2312"/>
          <w:b/>
          <w:sz w:val="24"/>
        </w:rPr>
      </w:pPr>
      <w:r>
        <w:rPr>
          <w:rFonts w:hint="eastAsia" w:ascii="仿宋_GB2312" w:eastAsia="仿宋_GB2312"/>
          <w:sz w:val="24"/>
        </w:rPr>
        <w:t xml:space="preserve">                                   </w:t>
      </w:r>
    </w:p>
    <w:p w14:paraId="5A287790">
      <w:pPr>
        <w:snapToGrid w:val="0"/>
        <w:spacing w:before="50" w:after="120" w:afterLines="50" w:line="400" w:lineRule="exact"/>
        <w:ind w:firstLine="117" w:firstLineChars="49"/>
        <w:jc w:val="right"/>
        <w:rPr>
          <w:rFonts w:ascii="仿宋_GB2312" w:eastAsia="仿宋_GB2312"/>
          <w:b/>
          <w:sz w:val="24"/>
        </w:rPr>
      </w:pPr>
      <w:r>
        <w:rPr>
          <w:rFonts w:hint="eastAsia" w:ascii="仿宋_GB2312" w:eastAsia="仿宋_GB2312"/>
          <w:sz w:val="24"/>
        </w:rPr>
        <w:t xml:space="preserve">                                                金额单位：人民币（元）</w:t>
      </w:r>
    </w:p>
    <w:tbl>
      <w:tblPr>
        <w:tblStyle w:val="48"/>
        <w:tblW w:w="963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04"/>
        <w:gridCol w:w="1418"/>
        <w:gridCol w:w="1417"/>
        <w:gridCol w:w="880"/>
        <w:gridCol w:w="1813"/>
        <w:gridCol w:w="1423"/>
        <w:gridCol w:w="751"/>
        <w:gridCol w:w="1230"/>
      </w:tblGrid>
      <w:tr w14:paraId="131C66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6"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5D7FA481">
            <w:pPr>
              <w:snapToGrid w:val="0"/>
              <w:spacing w:before="50" w:after="50" w:line="360" w:lineRule="exact"/>
              <w:rPr>
                <w:rFonts w:hint="eastAsia" w:ascii="仿宋_GB2312" w:hAnsi="宋体" w:eastAsia="仿宋_GB2312"/>
                <w:szCs w:val="21"/>
              </w:rPr>
            </w:pPr>
            <w:bookmarkStart w:id="97" w:name="_Hlk50566116"/>
            <w:r>
              <w:rPr>
                <w:rFonts w:hint="eastAsia" w:ascii="仿宋_GB2312" w:hAnsi="宋体" w:eastAsia="仿宋_GB2312"/>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14:paraId="04D6D6DD">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货物名称</w:t>
            </w:r>
          </w:p>
        </w:tc>
        <w:tc>
          <w:tcPr>
            <w:tcW w:w="1417" w:type="dxa"/>
            <w:tcBorders>
              <w:top w:val="single" w:color="auto" w:sz="4" w:space="0"/>
              <w:left w:val="single" w:color="auto" w:sz="4" w:space="0"/>
              <w:bottom w:val="single" w:color="auto" w:sz="4" w:space="0"/>
              <w:right w:val="single" w:color="auto" w:sz="4" w:space="0"/>
            </w:tcBorders>
            <w:vAlign w:val="center"/>
          </w:tcPr>
          <w:p w14:paraId="40FD8246">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品牌及厂家</w:t>
            </w:r>
          </w:p>
        </w:tc>
        <w:tc>
          <w:tcPr>
            <w:tcW w:w="880" w:type="dxa"/>
            <w:tcBorders>
              <w:top w:val="single" w:color="auto" w:sz="4" w:space="0"/>
              <w:left w:val="single" w:color="auto" w:sz="4" w:space="0"/>
              <w:bottom w:val="single" w:color="auto" w:sz="4" w:space="0"/>
              <w:right w:val="single" w:color="auto" w:sz="4" w:space="0"/>
            </w:tcBorders>
            <w:vAlign w:val="center"/>
          </w:tcPr>
          <w:p w14:paraId="587B94CA">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产地</w:t>
            </w:r>
          </w:p>
        </w:tc>
        <w:tc>
          <w:tcPr>
            <w:tcW w:w="1813" w:type="dxa"/>
            <w:tcBorders>
              <w:top w:val="single" w:color="auto" w:sz="4" w:space="0"/>
              <w:left w:val="single" w:color="auto" w:sz="4" w:space="0"/>
              <w:bottom w:val="single" w:color="auto" w:sz="4" w:space="0"/>
              <w:right w:val="single" w:color="auto" w:sz="4" w:space="0"/>
            </w:tcBorders>
            <w:vAlign w:val="center"/>
          </w:tcPr>
          <w:p w14:paraId="1807EFAA">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规格型号</w:t>
            </w:r>
          </w:p>
        </w:tc>
        <w:tc>
          <w:tcPr>
            <w:tcW w:w="1423" w:type="dxa"/>
            <w:tcBorders>
              <w:top w:val="single" w:color="auto" w:sz="4" w:space="0"/>
              <w:left w:val="single" w:color="auto" w:sz="4" w:space="0"/>
              <w:bottom w:val="single" w:color="auto" w:sz="4" w:space="0"/>
              <w:right w:val="single" w:color="auto" w:sz="4" w:space="0"/>
            </w:tcBorders>
            <w:vAlign w:val="center"/>
          </w:tcPr>
          <w:p w14:paraId="0381FDEA">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数量及单位</w:t>
            </w:r>
          </w:p>
        </w:tc>
        <w:tc>
          <w:tcPr>
            <w:tcW w:w="751" w:type="dxa"/>
            <w:tcBorders>
              <w:top w:val="single" w:color="auto" w:sz="4" w:space="0"/>
              <w:left w:val="single" w:color="auto" w:sz="4" w:space="0"/>
              <w:bottom w:val="single" w:color="auto" w:sz="4" w:space="0"/>
              <w:right w:val="single" w:color="auto" w:sz="4" w:space="0"/>
            </w:tcBorders>
            <w:vAlign w:val="center"/>
          </w:tcPr>
          <w:p w14:paraId="2CF6B37B">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单价</w:t>
            </w:r>
          </w:p>
        </w:tc>
        <w:tc>
          <w:tcPr>
            <w:tcW w:w="1230" w:type="dxa"/>
            <w:tcBorders>
              <w:top w:val="single" w:color="auto" w:sz="4" w:space="0"/>
              <w:left w:val="single" w:color="auto" w:sz="4" w:space="0"/>
              <w:bottom w:val="single" w:color="auto" w:sz="4" w:space="0"/>
              <w:right w:val="single" w:color="auto" w:sz="4" w:space="0"/>
            </w:tcBorders>
            <w:vAlign w:val="center"/>
          </w:tcPr>
          <w:p w14:paraId="0F503560">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投标报价</w:t>
            </w:r>
          </w:p>
        </w:tc>
      </w:tr>
      <w:tr w14:paraId="709FC3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239"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43948F3E">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 w:val="24"/>
              </w:rPr>
              <w:t>1</w:t>
            </w:r>
          </w:p>
        </w:tc>
        <w:tc>
          <w:tcPr>
            <w:tcW w:w="1418" w:type="dxa"/>
            <w:tcBorders>
              <w:top w:val="single" w:color="auto" w:sz="4" w:space="0"/>
              <w:left w:val="single" w:color="auto" w:sz="4" w:space="0"/>
              <w:bottom w:val="single" w:color="auto" w:sz="4" w:space="0"/>
              <w:right w:val="single" w:color="auto" w:sz="4" w:space="0"/>
            </w:tcBorders>
            <w:vAlign w:val="center"/>
          </w:tcPr>
          <w:p w14:paraId="35482274">
            <w:pPr>
              <w:snapToGrid w:val="0"/>
              <w:spacing w:before="50" w:after="50" w:line="360" w:lineRule="exact"/>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B5E8951">
            <w:pPr>
              <w:snapToGrid w:val="0"/>
              <w:spacing w:before="50" w:after="50" w:line="360" w:lineRule="exact"/>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64C6C5B6">
            <w:pPr>
              <w:snapToGrid w:val="0"/>
              <w:spacing w:before="50" w:after="50" w:line="360" w:lineRule="exact"/>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389BB66D">
            <w:pPr>
              <w:snapToGrid w:val="0"/>
              <w:spacing w:before="50" w:after="50" w:line="360" w:lineRule="exact"/>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48B24F3C">
            <w:pPr>
              <w:snapToGrid w:val="0"/>
              <w:spacing w:before="50" w:after="50" w:line="360" w:lineRule="exact"/>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7B969041">
            <w:pPr>
              <w:snapToGrid w:val="0"/>
              <w:spacing w:before="50" w:after="50" w:line="360" w:lineRule="exact"/>
              <w:rPr>
                <w:rFonts w:hint="eastAsia" w:ascii="仿宋_GB2312" w:hAnsi="宋体" w:eastAsia="仿宋_GB2312"/>
                <w:szCs w:val="21"/>
              </w:rPr>
            </w:pPr>
          </w:p>
        </w:tc>
        <w:tc>
          <w:tcPr>
            <w:tcW w:w="1230" w:type="dxa"/>
            <w:tcBorders>
              <w:top w:val="single" w:color="auto" w:sz="4" w:space="0"/>
              <w:left w:val="single" w:color="auto" w:sz="4" w:space="0"/>
              <w:bottom w:val="single" w:color="auto" w:sz="4" w:space="0"/>
              <w:right w:val="single" w:color="auto" w:sz="4" w:space="0"/>
            </w:tcBorders>
            <w:vAlign w:val="center"/>
          </w:tcPr>
          <w:p w14:paraId="5A28F730">
            <w:pPr>
              <w:snapToGrid w:val="0"/>
              <w:spacing w:before="50" w:after="50" w:line="360" w:lineRule="exact"/>
              <w:rPr>
                <w:rFonts w:hint="eastAsia" w:ascii="仿宋_GB2312" w:hAnsi="宋体" w:eastAsia="仿宋_GB2312"/>
                <w:szCs w:val="21"/>
              </w:rPr>
            </w:pPr>
          </w:p>
        </w:tc>
      </w:tr>
      <w:tr w14:paraId="4FF8254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2"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14:paraId="3C24A7DD">
            <w:pPr>
              <w:snapToGrid w:val="0"/>
              <w:spacing w:before="50" w:after="50" w:line="360" w:lineRule="exact"/>
              <w:jc w:val="center"/>
              <w:rPr>
                <w:rFonts w:hint="eastAsia" w:ascii="仿宋_GB2312" w:hAnsi="宋体" w:eastAsia="仿宋_GB2312"/>
                <w:szCs w:val="21"/>
              </w:rPr>
            </w:pPr>
            <w:r>
              <w:rPr>
                <w:rFonts w:hint="eastAsia" w:ascii="仿宋_GB2312" w:hAnsi="宋体" w:eastAsia="仿宋_GB2312"/>
                <w:szCs w:val="21"/>
              </w:rPr>
              <w:t>2</w:t>
            </w:r>
          </w:p>
        </w:tc>
        <w:tc>
          <w:tcPr>
            <w:tcW w:w="1418" w:type="dxa"/>
            <w:tcBorders>
              <w:top w:val="single" w:color="auto" w:sz="4" w:space="0"/>
              <w:left w:val="single" w:color="auto" w:sz="4" w:space="0"/>
              <w:bottom w:val="single" w:color="auto" w:sz="4" w:space="0"/>
              <w:right w:val="single" w:color="auto" w:sz="4" w:space="0"/>
            </w:tcBorders>
            <w:vAlign w:val="center"/>
          </w:tcPr>
          <w:p w14:paraId="65489556">
            <w:pPr>
              <w:snapToGrid w:val="0"/>
              <w:spacing w:before="50" w:after="50" w:line="360" w:lineRule="exact"/>
              <w:jc w:val="left"/>
              <w:rPr>
                <w:rFonts w:hint="eastAsia" w:ascii="仿宋_GB2312" w:hAnsi="宋体" w:eastAsia="仿宋_GB2312"/>
                <w:bCs/>
                <w:szCs w:val="21"/>
              </w:rPr>
            </w:pPr>
          </w:p>
        </w:tc>
        <w:tc>
          <w:tcPr>
            <w:tcW w:w="1417" w:type="dxa"/>
            <w:tcBorders>
              <w:top w:val="single" w:color="auto" w:sz="4" w:space="0"/>
              <w:left w:val="single" w:color="auto" w:sz="4" w:space="0"/>
              <w:bottom w:val="single" w:color="auto" w:sz="4" w:space="0"/>
              <w:right w:val="single" w:color="auto" w:sz="4" w:space="0"/>
            </w:tcBorders>
            <w:vAlign w:val="center"/>
          </w:tcPr>
          <w:p w14:paraId="2C95EC18">
            <w:pPr>
              <w:snapToGrid w:val="0"/>
              <w:spacing w:before="50" w:after="50" w:line="360" w:lineRule="exact"/>
              <w:jc w:val="left"/>
              <w:rPr>
                <w:rFonts w:hint="eastAsia" w:ascii="仿宋_GB2312" w:hAnsi="宋体" w:eastAsia="仿宋_GB2312"/>
                <w:bCs/>
                <w:szCs w:val="21"/>
              </w:rPr>
            </w:pPr>
          </w:p>
        </w:tc>
        <w:tc>
          <w:tcPr>
            <w:tcW w:w="880" w:type="dxa"/>
            <w:tcBorders>
              <w:top w:val="single" w:color="auto" w:sz="4" w:space="0"/>
              <w:left w:val="single" w:color="auto" w:sz="4" w:space="0"/>
              <w:bottom w:val="single" w:color="auto" w:sz="4" w:space="0"/>
              <w:right w:val="single" w:color="auto" w:sz="4" w:space="0"/>
            </w:tcBorders>
            <w:vAlign w:val="center"/>
          </w:tcPr>
          <w:p w14:paraId="0E8F251F">
            <w:pPr>
              <w:snapToGrid w:val="0"/>
              <w:spacing w:before="50" w:after="50" w:line="360" w:lineRule="exact"/>
              <w:jc w:val="center"/>
              <w:rPr>
                <w:rFonts w:hint="eastAsia" w:ascii="仿宋_GB2312" w:hAnsi="宋体" w:eastAsia="仿宋_GB2312"/>
                <w:szCs w:val="21"/>
              </w:rPr>
            </w:pPr>
          </w:p>
        </w:tc>
        <w:tc>
          <w:tcPr>
            <w:tcW w:w="1813" w:type="dxa"/>
            <w:tcBorders>
              <w:top w:val="single" w:color="auto" w:sz="4" w:space="0"/>
              <w:left w:val="single" w:color="auto" w:sz="4" w:space="0"/>
              <w:bottom w:val="single" w:color="auto" w:sz="4" w:space="0"/>
              <w:right w:val="single" w:color="auto" w:sz="4" w:space="0"/>
            </w:tcBorders>
            <w:vAlign w:val="center"/>
          </w:tcPr>
          <w:p w14:paraId="248FC5EB">
            <w:pPr>
              <w:snapToGrid w:val="0"/>
              <w:spacing w:before="50" w:after="50" w:line="360" w:lineRule="exact"/>
              <w:jc w:val="center"/>
              <w:rPr>
                <w:rFonts w:hint="eastAsia" w:ascii="仿宋_GB2312" w:hAnsi="宋体" w:eastAsia="仿宋_GB2312"/>
                <w:szCs w:val="21"/>
              </w:rPr>
            </w:pPr>
          </w:p>
        </w:tc>
        <w:tc>
          <w:tcPr>
            <w:tcW w:w="1423" w:type="dxa"/>
            <w:tcBorders>
              <w:top w:val="single" w:color="auto" w:sz="4" w:space="0"/>
              <w:left w:val="single" w:color="auto" w:sz="4" w:space="0"/>
              <w:bottom w:val="single" w:color="auto" w:sz="4" w:space="0"/>
              <w:right w:val="single" w:color="auto" w:sz="4" w:space="0"/>
            </w:tcBorders>
            <w:vAlign w:val="center"/>
          </w:tcPr>
          <w:p w14:paraId="3AA88FEE">
            <w:pPr>
              <w:snapToGrid w:val="0"/>
              <w:spacing w:before="50" w:after="50" w:line="360" w:lineRule="exact"/>
              <w:rPr>
                <w:rFonts w:hint="eastAsia" w:ascii="仿宋_GB2312" w:hAnsi="宋体" w:eastAsia="仿宋_GB2312"/>
                <w:szCs w:val="21"/>
              </w:rPr>
            </w:pPr>
          </w:p>
        </w:tc>
        <w:tc>
          <w:tcPr>
            <w:tcW w:w="751" w:type="dxa"/>
            <w:tcBorders>
              <w:top w:val="single" w:color="auto" w:sz="4" w:space="0"/>
              <w:left w:val="single" w:color="auto" w:sz="4" w:space="0"/>
              <w:bottom w:val="single" w:color="auto" w:sz="4" w:space="0"/>
              <w:right w:val="single" w:color="auto" w:sz="4" w:space="0"/>
            </w:tcBorders>
            <w:vAlign w:val="center"/>
          </w:tcPr>
          <w:p w14:paraId="6FA662D8">
            <w:pPr>
              <w:snapToGrid w:val="0"/>
              <w:spacing w:before="50" w:after="50" w:line="360" w:lineRule="exact"/>
              <w:rPr>
                <w:rFonts w:hint="eastAsia" w:ascii="仿宋_GB2312" w:hAnsi="宋体" w:eastAsia="仿宋_GB2312"/>
                <w:szCs w:val="21"/>
              </w:rPr>
            </w:pPr>
          </w:p>
        </w:tc>
        <w:tc>
          <w:tcPr>
            <w:tcW w:w="1230" w:type="dxa"/>
            <w:tcBorders>
              <w:top w:val="single" w:color="auto" w:sz="4" w:space="0"/>
              <w:left w:val="single" w:color="auto" w:sz="4" w:space="0"/>
              <w:bottom w:val="single" w:color="auto" w:sz="4" w:space="0"/>
              <w:right w:val="single" w:color="auto" w:sz="4" w:space="0"/>
            </w:tcBorders>
            <w:vAlign w:val="center"/>
          </w:tcPr>
          <w:p w14:paraId="5D2AD9F3">
            <w:pPr>
              <w:snapToGrid w:val="0"/>
              <w:spacing w:before="50" w:after="50" w:line="360" w:lineRule="exact"/>
              <w:rPr>
                <w:rFonts w:hint="eastAsia" w:ascii="仿宋_GB2312" w:hAnsi="宋体" w:eastAsia="仿宋_GB2312"/>
                <w:szCs w:val="21"/>
              </w:rPr>
            </w:pPr>
          </w:p>
        </w:tc>
      </w:tr>
      <w:tr w14:paraId="661C6DB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3" w:hRule="atLeast"/>
          <w:jc w:val="center"/>
        </w:trPr>
        <w:tc>
          <w:tcPr>
            <w:tcW w:w="9636" w:type="dxa"/>
            <w:gridSpan w:val="8"/>
            <w:tcBorders>
              <w:top w:val="single" w:color="auto" w:sz="4" w:space="0"/>
              <w:left w:val="single" w:color="auto" w:sz="4" w:space="0"/>
              <w:bottom w:val="single" w:color="auto" w:sz="4" w:space="0"/>
              <w:right w:val="single" w:color="auto" w:sz="4" w:space="0"/>
            </w:tcBorders>
            <w:vAlign w:val="center"/>
          </w:tcPr>
          <w:p w14:paraId="7DBA109E">
            <w:pPr>
              <w:snapToGrid w:val="0"/>
              <w:spacing w:before="50" w:after="50" w:line="360" w:lineRule="exact"/>
              <w:rPr>
                <w:rFonts w:hint="eastAsia" w:ascii="仿宋_GB2312" w:hAnsi="宋体" w:eastAsia="仿宋_GB2312"/>
                <w:szCs w:val="21"/>
                <w:u w:val="single"/>
              </w:rPr>
            </w:pPr>
            <w:r>
              <w:rPr>
                <w:rFonts w:hint="eastAsia" w:ascii="仿宋_GB2312" w:hAnsi="宋体" w:eastAsia="仿宋_GB2312"/>
                <w:sz w:val="24"/>
              </w:rPr>
              <w:t>本项目合计金额大写：</w:t>
            </w:r>
            <w:r>
              <w:rPr>
                <w:rFonts w:hint="eastAsia" w:ascii="仿宋_GB2312" w:hAnsi="宋体" w:eastAsia="仿宋_GB2312"/>
                <w:sz w:val="24"/>
                <w:u w:val="single"/>
              </w:rPr>
              <w:t xml:space="preserve">                                        </w:t>
            </w:r>
            <w:r>
              <w:rPr>
                <w:rFonts w:hint="eastAsia" w:ascii="仿宋_GB2312" w:eastAsia="仿宋_GB2312"/>
                <w:sz w:val="24"/>
                <w:u w:val="single"/>
              </w:rPr>
              <w:t>¥</w:t>
            </w:r>
            <w:r>
              <w:rPr>
                <w:rFonts w:hint="eastAsia" w:ascii="仿宋_GB2312" w:hAnsi="宋体" w:eastAsia="仿宋_GB2312"/>
                <w:sz w:val="24"/>
                <w:u w:val="single"/>
              </w:rPr>
              <w:t xml:space="preserve">            </w:t>
            </w:r>
          </w:p>
        </w:tc>
      </w:tr>
      <w:bookmarkEnd w:id="97"/>
    </w:tbl>
    <w:p w14:paraId="6BA9EA1B">
      <w:pPr>
        <w:snapToGrid w:val="0"/>
        <w:spacing w:before="50" w:after="50" w:line="400" w:lineRule="exact"/>
        <w:jc w:val="left"/>
        <w:rPr>
          <w:rFonts w:ascii="仿宋_GB2312" w:eastAsia="仿宋_GB2312"/>
          <w:sz w:val="24"/>
        </w:rPr>
      </w:pPr>
    </w:p>
    <w:p w14:paraId="6BDA4072">
      <w:pPr>
        <w:snapToGrid w:val="0"/>
        <w:spacing w:before="50" w:after="120" w:afterLines="50" w:line="400" w:lineRule="exact"/>
        <w:jc w:val="left"/>
        <w:rPr>
          <w:rFonts w:ascii="仿宋_GB2312" w:eastAsia="仿宋_GB2312"/>
          <w:b/>
          <w:bCs/>
          <w:sz w:val="24"/>
        </w:rPr>
      </w:pPr>
      <w:r>
        <w:rPr>
          <w:rFonts w:hint="eastAsia" w:ascii="仿宋_GB2312" w:eastAsia="仿宋_GB2312"/>
          <w:b/>
          <w:bCs/>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2EE7480E">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sz w:val="24"/>
        </w:rPr>
        <w:t>2.报价一经涂改，应在涂改处加盖投标人CA电子签章或者由法定代表人或授权委托代理人签字或盖章，否则其投标作无效标处理；</w:t>
      </w:r>
    </w:p>
    <w:p w14:paraId="3B1F866C">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3</w:t>
      </w:r>
      <w:r>
        <w:rPr>
          <w:rFonts w:hint="eastAsia" w:ascii="仿宋_GB2312" w:eastAsia="仿宋_GB2312"/>
          <w:b/>
          <w:bCs/>
          <w:sz w:val="24"/>
        </w:rPr>
        <w:t>.投标报价包括货物及货物运抵指定交付地点的所有成本、各种费用的总和。</w:t>
      </w:r>
    </w:p>
    <w:p w14:paraId="1EAFE818">
      <w:pPr>
        <w:snapToGrid w:val="0"/>
        <w:spacing w:before="50" w:after="50" w:line="400" w:lineRule="exact"/>
        <w:ind w:firstLine="482" w:firstLineChars="200"/>
        <w:jc w:val="left"/>
        <w:rPr>
          <w:rFonts w:ascii="仿宋_GB2312" w:eastAsia="仿宋_GB2312"/>
          <w:b/>
          <w:bCs/>
          <w:sz w:val="24"/>
        </w:rPr>
      </w:pPr>
      <w:r>
        <w:rPr>
          <w:rFonts w:ascii="仿宋_GB2312" w:eastAsia="仿宋_GB2312"/>
          <w:b/>
          <w:bCs/>
          <w:sz w:val="24"/>
        </w:rPr>
        <w:t>4</w:t>
      </w:r>
      <w:r>
        <w:rPr>
          <w:rFonts w:hint="eastAsia" w:ascii="仿宋_GB2312" w:eastAsia="仿宋_GB2312"/>
          <w:b/>
          <w:bCs/>
          <w:sz w:val="24"/>
        </w:rPr>
        <w:t>.以上报价应与“投标报价明细表”中的“投标总价”相一致。</w:t>
      </w:r>
    </w:p>
    <w:bookmarkEnd w:id="95"/>
    <w:p w14:paraId="1BF2E6F3">
      <w:pPr>
        <w:snapToGrid w:val="0"/>
        <w:spacing w:before="50" w:after="50" w:line="400" w:lineRule="exact"/>
        <w:ind w:firstLine="482" w:firstLineChars="200"/>
        <w:jc w:val="left"/>
        <w:rPr>
          <w:rFonts w:ascii="仿宋_GB2312" w:eastAsia="仿宋_GB2312"/>
          <w:b/>
          <w:bCs/>
          <w:sz w:val="24"/>
        </w:rPr>
      </w:pPr>
      <w:r>
        <w:rPr>
          <w:rFonts w:hint="eastAsia" w:ascii="仿宋_GB2312" w:eastAsia="仿宋_GB2312"/>
          <w:b/>
          <w:bCs/>
          <w:color w:val="000000" w:themeColor="text1"/>
          <w:sz w:val="24"/>
          <w14:textFill>
            <w14:solidFill>
              <w14:schemeClr w14:val="tx1"/>
            </w14:solidFill>
          </w14:textFill>
        </w:rPr>
        <w:t>5.投标人如有《中小企业声明函》（格式见附件1）或《残疾人福利性单位声明函》（格式见附件2）或《监狱企业的证明文件》（附件3）或《关于符合本国产品标准的声明函》（格式见附件4）或《关于本国产品比例的承诺函》（格式见附件5），请按附件格式提供，并附在本表后。</w:t>
      </w:r>
    </w:p>
    <w:p w14:paraId="182694FA">
      <w:pPr>
        <w:snapToGrid w:val="0"/>
        <w:spacing w:line="400" w:lineRule="exact"/>
        <w:ind w:firstLine="420" w:firstLineChars="200"/>
        <w:rPr>
          <w:rFonts w:ascii="仿宋_GB2312" w:eastAsia="仿宋_GB2312"/>
        </w:rPr>
      </w:pPr>
      <w:r>
        <w:rPr>
          <w:rFonts w:hint="eastAsia" w:ascii="仿宋_GB2312" w:eastAsia="仿宋_GB2312"/>
          <w:szCs w:val="21"/>
        </w:rPr>
        <w:t xml:space="preserve">       </w:t>
      </w:r>
    </w:p>
    <w:p w14:paraId="4DE79697">
      <w:pPr>
        <w:pStyle w:val="26"/>
        <w:ind w:firstLine="4515" w:firstLineChars="2150"/>
        <w:rPr>
          <w:rFonts w:ascii="仿宋_GB2312" w:eastAsia="仿宋_GB2312"/>
        </w:rPr>
      </w:pPr>
    </w:p>
    <w:p w14:paraId="26A93980">
      <w:pPr>
        <w:pStyle w:val="26"/>
        <w:ind w:firstLine="4515" w:firstLineChars="2150"/>
        <w:rPr>
          <w:rFonts w:ascii="仿宋_GB2312" w:eastAsia="仿宋_GB2312"/>
        </w:rPr>
      </w:pPr>
    </w:p>
    <w:p w14:paraId="0B49AE52">
      <w:pPr>
        <w:pStyle w:val="26"/>
        <w:ind w:firstLine="4515" w:firstLineChars="2150"/>
        <w:rPr>
          <w:rFonts w:ascii="仿宋_GB2312" w:eastAsia="仿宋_GB2312"/>
        </w:rPr>
      </w:pPr>
    </w:p>
    <w:p w14:paraId="2E1B4F91">
      <w:pPr>
        <w:pStyle w:val="26"/>
        <w:ind w:firstLine="4515" w:firstLineChars="2150"/>
        <w:rPr>
          <w:rFonts w:ascii="仿宋_GB2312" w:eastAsia="仿宋_GB2312"/>
        </w:rPr>
      </w:pPr>
    </w:p>
    <w:p w14:paraId="621C9649">
      <w:pPr>
        <w:jc w:val="center"/>
        <w:rPr>
          <w:rFonts w:ascii="仿宋_GB2312" w:eastAsia="仿宋_GB2312"/>
          <w:szCs w:val="21"/>
          <w:u w:val="single"/>
        </w:rPr>
      </w:pPr>
      <w:r>
        <w:rPr>
          <w:rFonts w:hint="eastAsia" w:ascii="仿宋_GB2312" w:eastAsia="仿宋_GB2312"/>
          <w:sz w:val="24"/>
        </w:rPr>
        <w:t xml:space="preserve"> </w:t>
      </w:r>
      <w:r>
        <w:rPr>
          <w:rFonts w:ascii="仿宋_GB2312" w:eastAsia="仿宋_GB2312"/>
          <w:sz w:val="24"/>
        </w:rPr>
        <w:t xml:space="preserve">                </w:t>
      </w:r>
      <w:r>
        <w:rPr>
          <w:rFonts w:hint="eastAsia" w:ascii="仿宋_GB2312" w:eastAsia="仿宋_GB2312"/>
          <w:sz w:val="24"/>
        </w:rPr>
        <w:t>法定代表人或委托代理人</w:t>
      </w:r>
      <w:r>
        <w:rPr>
          <w:rFonts w:hint="eastAsia" w:ascii="仿宋_GB2312" w:eastAsia="仿宋_GB2312"/>
          <w:b/>
          <w:bCs/>
          <w:sz w:val="24"/>
        </w:rPr>
        <w:t>（签字）：</w:t>
      </w:r>
      <w:r>
        <w:rPr>
          <w:rFonts w:hint="eastAsia" w:ascii="仿宋_GB2312" w:eastAsia="仿宋_GB2312"/>
          <w:szCs w:val="21"/>
          <w:u w:val="single"/>
        </w:rPr>
        <w:t xml:space="preserve">         </w:t>
      </w:r>
      <w:r>
        <w:rPr>
          <w:rFonts w:ascii="仿宋_GB2312" w:eastAsia="仿宋_GB2312"/>
          <w:szCs w:val="21"/>
          <w:u w:val="single"/>
        </w:rPr>
        <w:t xml:space="preserve">         </w:t>
      </w:r>
    </w:p>
    <w:p w14:paraId="22CEDBD5">
      <w:pPr>
        <w:jc w:val="center"/>
        <w:rPr>
          <w:rFonts w:ascii="仿宋_GB2312" w:eastAsia="仿宋_GB2312"/>
          <w:szCs w:val="21"/>
          <w:u w:val="single"/>
        </w:rPr>
      </w:pPr>
    </w:p>
    <w:p w14:paraId="7DBE517F">
      <w:pPr>
        <w:pStyle w:val="26"/>
        <w:ind w:firstLine="5160" w:firstLineChars="2150"/>
        <w:rPr>
          <w:rFonts w:ascii="仿宋_GB2312" w:eastAsia="仿宋_GB2312"/>
        </w:rPr>
      </w:pPr>
      <w:r>
        <w:rPr>
          <w:rFonts w:hint="eastAsia" w:ascii="仿宋_GB2312" w:eastAsia="仿宋_GB2312"/>
          <w:sz w:val="24"/>
          <w:szCs w:val="24"/>
        </w:rPr>
        <w:t>投标人</w:t>
      </w:r>
      <w:r>
        <w:rPr>
          <w:rFonts w:hint="eastAsia" w:ascii="仿宋_GB2312" w:eastAsia="仿宋_GB2312"/>
          <w:b/>
          <w:bCs/>
          <w:sz w:val="24"/>
          <w:szCs w:val="24"/>
        </w:rPr>
        <w:t>（CA电子签章）</w:t>
      </w:r>
      <w:r>
        <w:rPr>
          <w:rFonts w:hint="eastAsia" w:ascii="仿宋_GB2312" w:eastAsia="仿宋_GB2312"/>
        </w:rPr>
        <w:t>：</w:t>
      </w:r>
      <w:r>
        <w:rPr>
          <w:rFonts w:hint="eastAsia" w:ascii="仿宋_GB2312" w:eastAsia="仿宋_GB2312"/>
          <w:u w:val="single"/>
        </w:rPr>
        <w:t xml:space="preserve">                </w:t>
      </w:r>
    </w:p>
    <w:bookmarkEnd w:id="96"/>
    <w:p w14:paraId="09497352">
      <w:pPr>
        <w:pStyle w:val="26"/>
        <w:spacing w:line="400" w:lineRule="exact"/>
        <w:rPr>
          <w:rFonts w:hint="eastAsia" w:ascii="仿宋_GB2312" w:hAnsi="宋体" w:eastAsia="仿宋_GB2312"/>
        </w:rPr>
      </w:pPr>
    </w:p>
    <w:p w14:paraId="60A9187B">
      <w:pPr>
        <w:pStyle w:val="26"/>
        <w:spacing w:line="240" w:lineRule="atLeast"/>
        <w:jc w:val="right"/>
        <w:rPr>
          <w:rFonts w:hint="eastAsia" w:ascii="仿宋_GB2312" w:hAnsi="宋体" w:eastAsia="仿宋_GB2312"/>
        </w:rPr>
      </w:pPr>
      <w:r>
        <w:rPr>
          <w:rFonts w:hint="eastAsia" w:ascii="仿宋_GB2312" w:hAnsi="宋体" w:eastAsia="仿宋_GB2312"/>
        </w:rPr>
        <w:t>日期：       年   月   日</w:t>
      </w:r>
    </w:p>
    <w:p w14:paraId="0CD73998">
      <w:pPr>
        <w:pStyle w:val="26"/>
        <w:spacing w:line="240" w:lineRule="atLeast"/>
        <w:jc w:val="right"/>
        <w:rPr>
          <w:rFonts w:hint="eastAsia" w:ascii="仿宋_GB2312" w:hAnsi="宋体" w:eastAsia="仿宋_GB2312"/>
        </w:rPr>
      </w:pPr>
    </w:p>
    <w:p w14:paraId="03BD07AB">
      <w:pPr>
        <w:pStyle w:val="369"/>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附件1：中小企业声明函格式（如有）：</w:t>
      </w:r>
    </w:p>
    <w:p w14:paraId="0B26826A">
      <w:pPr>
        <w:pStyle w:val="369"/>
        <w:jc w:val="center"/>
        <w:rPr>
          <w:rFonts w:hint="eastAsia" w:ascii="仿宋_GB2312" w:eastAsia="仿宋_GB2312"/>
          <w:color w:val="000000"/>
        </w:rPr>
      </w:pPr>
      <w:r>
        <w:rPr>
          <w:rFonts w:hint="eastAsia" w:ascii="仿宋_GB2312" w:eastAsia="仿宋_GB2312"/>
          <w:b/>
          <w:bCs/>
          <w:color w:val="000000"/>
          <w:sz w:val="33"/>
          <w:szCs w:val="33"/>
        </w:rPr>
        <w:t>中小企业声明函（货物）</w:t>
      </w:r>
    </w:p>
    <w:p w14:paraId="6C4254A2">
      <w:pPr>
        <w:pStyle w:val="369"/>
        <w:spacing w:line="405" w:lineRule="atLeast"/>
        <w:rPr>
          <w:rFonts w:hint="eastAsia" w:ascii="仿宋_GB2312" w:eastAsia="仿宋_GB2312"/>
          <w:color w:val="000000"/>
        </w:rPr>
      </w:pPr>
      <w:r>
        <w:rPr>
          <w:rFonts w:hint="eastAsia" w:ascii="仿宋_GB2312" w:eastAsia="仿宋_GB2312"/>
          <w:color w:val="000000"/>
        </w:rPr>
        <w:t>  本公司郑重声明，根据《政府采购促进中小企业发展管理办法》（财库﹝2020﹞46 号）的规定，本公司参加</w:t>
      </w:r>
      <w:r>
        <w:rPr>
          <w:rFonts w:hint="eastAsia" w:ascii="仿宋_GB2312" w:eastAsia="仿宋_GB2312"/>
          <w:color w:val="000000"/>
          <w:u w:val="single"/>
        </w:rPr>
        <w:t>柳州市电化教育站</w:t>
      </w:r>
      <w:r>
        <w:rPr>
          <w:rFonts w:hint="eastAsia" w:ascii="仿宋_GB2312" w:eastAsia="仿宋_GB2312"/>
          <w:color w:val="000000"/>
        </w:rPr>
        <w:t>的</w:t>
      </w:r>
      <w:r>
        <w:rPr>
          <w:rFonts w:hint="eastAsia" w:ascii="仿宋_GB2312" w:eastAsia="仿宋_GB2312"/>
          <w:color w:val="000000"/>
          <w:u w:val="single"/>
        </w:rPr>
        <w:t>柳州高级中学AI教学中心设备采购</w:t>
      </w:r>
      <w:r>
        <w:rPr>
          <w:rFonts w:hint="eastAsia" w:ascii="仿宋_GB2312" w:eastAsia="仿宋_GB2312"/>
          <w:color w:val="000000"/>
        </w:rPr>
        <w:t>活动，提供的货物全部由符合政策要求的中小企业制造。相关企业的具体情况如下：</w:t>
      </w:r>
      <w:r>
        <w:rPr>
          <w:rFonts w:hint="eastAsia" w:ascii="仿宋_GB2312" w:eastAsia="仿宋_GB2312"/>
          <w:color w:val="000000"/>
        </w:rPr>
        <w:br w:type="textWrapping"/>
      </w:r>
      <w:r>
        <w:rPr>
          <w:rFonts w:hint="eastAsia" w:ascii="仿宋_GB2312" w:eastAsia="仿宋_GB2312"/>
          <w:color w:val="000000"/>
        </w:rPr>
        <w:t>  1.</w:t>
      </w:r>
      <w:r>
        <w:rPr>
          <w:rFonts w:hint="eastAsia" w:ascii="仿宋_GB2312" w:eastAsia="仿宋_GB2312"/>
          <w:color w:val="000000"/>
          <w:u w:val="single"/>
        </w:rPr>
        <w:t xml:space="preserve">     </w:t>
      </w:r>
      <w:r>
        <w:rPr>
          <w:rStyle w:val="370"/>
          <w:rFonts w:hint="eastAsia" w:ascii="仿宋_GB2312" w:eastAsia="仿宋_GB2312"/>
          <w:color w:val="000000"/>
          <w:u w:val="single"/>
        </w:rPr>
        <w:t>（标的名称）</w:t>
      </w:r>
      <w:r>
        <w:rPr>
          <w:rFonts w:hint="eastAsia" w:ascii="仿宋_GB2312" w:eastAsia="仿宋_GB2312"/>
          <w:color w:val="000000"/>
        </w:rPr>
        <w:t xml:space="preserve"> ，属于</w:t>
      </w:r>
      <w:r>
        <w:rPr>
          <w:rFonts w:hint="eastAsia" w:ascii="仿宋_GB2312" w:eastAsia="仿宋_GB2312"/>
          <w:color w:val="000000"/>
          <w:u w:val="single"/>
        </w:rPr>
        <w:t xml:space="preserve">     </w:t>
      </w:r>
      <w:r>
        <w:rPr>
          <w:rStyle w:val="370"/>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370"/>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w:t>
      </w:r>
      <w:r>
        <w:rPr>
          <w:rFonts w:hint="eastAsia" w:ascii="仿宋_GB2312" w:eastAsia="仿宋_GB2312"/>
          <w:color w:val="000000"/>
        </w:rPr>
        <w:t>人，营业收入为</w:t>
      </w:r>
      <w:r>
        <w:rPr>
          <w:rFonts w:hint="eastAsia" w:ascii="仿宋_GB2312" w:eastAsia="仿宋_GB2312"/>
          <w:color w:val="000000"/>
          <w:u w:val="single"/>
        </w:rPr>
        <w:t xml:space="preserve">     </w:t>
      </w:r>
      <w:r>
        <w:rPr>
          <w:rFonts w:hint="eastAsia" w:ascii="仿宋_GB2312" w:eastAsia="仿宋_GB2312"/>
          <w:color w:val="000000"/>
        </w:rPr>
        <w:t>万元，资产总额为</w:t>
      </w:r>
      <w:r>
        <w:rPr>
          <w:rFonts w:hint="eastAsia" w:ascii="仿宋_GB2312" w:eastAsia="仿宋_GB2312"/>
          <w:color w:val="000000"/>
          <w:u w:val="single"/>
        </w:rPr>
        <w:t xml:space="preserve">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70"/>
          <w:rFonts w:hint="eastAsia" w:ascii="仿宋_GB2312" w:eastAsia="仿宋_GB2312"/>
          <w:color w:val="000000"/>
          <w:u w:val="single"/>
        </w:rPr>
        <w:t>（中型企业、小型企业、微型企业）</w:t>
      </w: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2.</w:t>
      </w:r>
      <w:r>
        <w:rPr>
          <w:rFonts w:hint="eastAsia" w:ascii="仿宋_GB2312" w:eastAsia="仿宋_GB2312"/>
          <w:color w:val="000000"/>
          <w:u w:val="single"/>
        </w:rPr>
        <w:t xml:space="preserve">      </w:t>
      </w:r>
      <w:r>
        <w:rPr>
          <w:rStyle w:val="370"/>
          <w:rFonts w:hint="eastAsia" w:ascii="仿宋_GB2312" w:eastAsia="仿宋_GB2312"/>
          <w:color w:val="000000"/>
          <w:u w:val="single"/>
        </w:rPr>
        <w:t>（标的名称）</w:t>
      </w:r>
      <w:r>
        <w:rPr>
          <w:rFonts w:hint="eastAsia" w:ascii="仿宋_GB2312" w:eastAsia="仿宋_GB2312"/>
          <w:color w:val="000000"/>
        </w:rPr>
        <w:t xml:space="preserve"> ，属于</w:t>
      </w:r>
      <w:r>
        <w:rPr>
          <w:rFonts w:hint="eastAsia" w:ascii="仿宋_GB2312" w:eastAsia="仿宋_GB2312"/>
          <w:color w:val="000000"/>
          <w:u w:val="single"/>
        </w:rPr>
        <w:t xml:space="preserve">     </w:t>
      </w:r>
      <w:r>
        <w:rPr>
          <w:rStyle w:val="370"/>
          <w:rFonts w:hint="eastAsia" w:ascii="仿宋_GB2312" w:eastAsia="仿宋_GB2312"/>
          <w:b/>
          <w:bCs/>
          <w:color w:val="000000"/>
          <w:u w:val="single"/>
        </w:rPr>
        <w:t>（填写采购文件中明确的所属行业，详见本声明函“注”第2点）</w:t>
      </w:r>
      <w:r>
        <w:rPr>
          <w:rFonts w:hint="eastAsia" w:ascii="仿宋_GB2312" w:eastAsia="仿宋_GB2312"/>
          <w:color w:val="000000"/>
        </w:rPr>
        <w:t xml:space="preserve"> ；制造商为</w:t>
      </w:r>
      <w:r>
        <w:rPr>
          <w:rFonts w:hint="eastAsia" w:ascii="仿宋_GB2312" w:eastAsia="仿宋_GB2312"/>
          <w:color w:val="000000"/>
          <w:u w:val="single"/>
        </w:rPr>
        <w:t xml:space="preserve">     </w:t>
      </w:r>
      <w:r>
        <w:rPr>
          <w:rStyle w:val="370"/>
          <w:rFonts w:hint="eastAsia" w:ascii="仿宋_GB2312" w:eastAsia="仿宋_GB2312"/>
          <w:color w:val="000000"/>
          <w:u w:val="single"/>
        </w:rPr>
        <w:t>（企业名称）</w:t>
      </w:r>
      <w:r>
        <w:rPr>
          <w:rFonts w:hint="eastAsia" w:ascii="仿宋_GB2312" w:eastAsia="仿宋_GB2312"/>
          <w:color w:val="000000"/>
        </w:rPr>
        <w:t>，从业人员</w:t>
      </w:r>
      <w:r>
        <w:rPr>
          <w:rFonts w:hint="eastAsia" w:ascii="仿宋_GB2312" w:eastAsia="仿宋_GB2312"/>
          <w:color w:val="000000"/>
          <w:u w:val="single"/>
        </w:rPr>
        <w:t xml:space="preserve">   </w:t>
      </w:r>
      <w:r>
        <w:rPr>
          <w:rFonts w:hint="eastAsia" w:ascii="仿宋_GB2312" w:eastAsia="仿宋_GB2312"/>
          <w:color w:val="000000"/>
        </w:rPr>
        <w:t>人，营业收入为</w:t>
      </w:r>
      <w:r>
        <w:rPr>
          <w:rFonts w:hint="eastAsia" w:ascii="仿宋_GB2312" w:eastAsia="仿宋_GB2312"/>
          <w:color w:val="000000"/>
          <w:u w:val="single"/>
        </w:rPr>
        <w:t>   </w:t>
      </w:r>
      <w:r>
        <w:rPr>
          <w:rFonts w:hint="eastAsia" w:ascii="仿宋_GB2312" w:eastAsia="仿宋_GB2312"/>
          <w:color w:val="000000"/>
        </w:rPr>
        <w:t>万元，资产总额为</w:t>
      </w:r>
      <w:r>
        <w:rPr>
          <w:rFonts w:hint="eastAsia" w:ascii="仿宋_GB2312" w:eastAsia="仿宋_GB2312"/>
          <w:color w:val="000000"/>
          <w:u w:val="single"/>
        </w:rPr>
        <w:t>   </w:t>
      </w:r>
      <w:r>
        <w:rPr>
          <w:rFonts w:hint="eastAsia" w:ascii="仿宋_GB2312" w:eastAsia="仿宋_GB2312"/>
          <w:color w:val="000000"/>
        </w:rPr>
        <w:t>万元，属于</w:t>
      </w:r>
      <w:r>
        <w:rPr>
          <w:rFonts w:hint="eastAsia" w:ascii="仿宋_GB2312" w:eastAsia="仿宋_GB2312"/>
          <w:color w:val="000000"/>
          <w:u w:val="single"/>
        </w:rPr>
        <w:t xml:space="preserve">      </w:t>
      </w:r>
      <w:r>
        <w:rPr>
          <w:rStyle w:val="370"/>
          <w:rFonts w:hint="eastAsia" w:ascii="仿宋_GB2312" w:eastAsia="仿宋_GB2312"/>
          <w:color w:val="000000"/>
          <w:u w:val="single"/>
        </w:rPr>
        <w:t>（中型企业、小型 企业、微型企业）</w:t>
      </w:r>
      <w:r>
        <w:rPr>
          <w:rFonts w:hint="eastAsia" w:ascii="仿宋_GB2312" w:eastAsia="仿宋_GB2312"/>
          <w:color w:val="000000"/>
        </w:rPr>
        <w:t>；</w:t>
      </w:r>
    </w:p>
    <w:p w14:paraId="21E817B9">
      <w:pPr>
        <w:pStyle w:val="369"/>
        <w:spacing w:line="405" w:lineRule="atLeast"/>
        <w:rPr>
          <w:rFonts w:hint="eastAsia" w:ascii="仿宋_GB2312" w:eastAsia="仿宋_GB2312"/>
          <w:color w:val="000000"/>
        </w:rPr>
      </w:pPr>
      <w:r>
        <w:rPr>
          <w:rFonts w:hint="eastAsia" w:ascii="仿宋_GB2312" w:eastAsia="仿宋_GB2312"/>
          <w:color w:val="000000"/>
        </w:rPr>
        <w:t>……</w:t>
      </w:r>
      <w:r>
        <w:rPr>
          <w:rFonts w:hint="eastAsia" w:ascii="仿宋_GB2312" w:eastAsia="仿宋_GB2312"/>
          <w:color w:val="000000"/>
        </w:rPr>
        <w:br w:type="textWrapping"/>
      </w:r>
      <w:r>
        <w:rPr>
          <w:rFonts w:hint="eastAsia" w:ascii="仿宋_GB2312" w:eastAsia="仿宋_GB2312"/>
          <w:color w:val="000000"/>
        </w:rPr>
        <w:t>  以上企业，不属于大企业的分支机构，不存在控股股东为大企业的情形，也不存在与大企业的负责人为同一人的情形。</w:t>
      </w:r>
      <w:r>
        <w:rPr>
          <w:rFonts w:hint="eastAsia" w:ascii="仿宋_GB2312" w:eastAsia="仿宋_GB2312"/>
          <w:color w:val="000000"/>
        </w:rPr>
        <w:br w:type="textWrapping"/>
      </w:r>
      <w:r>
        <w:rPr>
          <w:rFonts w:hint="eastAsia" w:ascii="仿宋_GB2312" w:eastAsia="仿宋_GB2312"/>
          <w:color w:val="000000"/>
        </w:rPr>
        <w:t>  本企业对上述声明内容的真实性负责。如有虚假，将依法承担相应责任。</w:t>
      </w:r>
    </w:p>
    <w:p w14:paraId="6A782759">
      <w:pPr>
        <w:pStyle w:val="369"/>
        <w:spacing w:line="405" w:lineRule="atLeast"/>
        <w:rPr>
          <w:rFonts w:hint="eastAsia" w:ascii="仿宋_GB2312" w:eastAsia="仿宋_GB2312"/>
          <w:color w:val="000000"/>
        </w:rPr>
      </w:pPr>
      <w:r>
        <w:rPr>
          <w:rFonts w:hint="eastAsia" w:ascii="仿宋_GB2312" w:eastAsia="仿宋_GB2312"/>
          <w:color w:val="000000"/>
        </w:rPr>
        <w:t> </w:t>
      </w:r>
    </w:p>
    <w:p w14:paraId="440E0D36">
      <w:pPr>
        <w:pStyle w:val="369"/>
        <w:spacing w:line="405" w:lineRule="atLeast"/>
        <w:rPr>
          <w:rFonts w:hint="eastAsia" w:ascii="仿宋_GB2312" w:eastAsia="仿宋_GB2312"/>
          <w:color w:val="000000"/>
        </w:rPr>
      </w:pPr>
      <w:r>
        <w:rPr>
          <w:rFonts w:hint="eastAsia" w:ascii="仿宋_GB2312" w:eastAsia="仿宋_GB2312"/>
          <w:color w:val="000000"/>
        </w:rPr>
        <w:t>      </w:t>
      </w:r>
    </w:p>
    <w:p w14:paraId="2368133B">
      <w:pPr>
        <w:pStyle w:val="369"/>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12600EB">
      <w:pPr>
        <w:pStyle w:val="369"/>
        <w:jc w:val="right"/>
        <w:rPr>
          <w:rFonts w:hint="eastAsia" w:ascii="仿宋_GB2312" w:eastAsia="仿宋_GB2312"/>
          <w:color w:val="000000"/>
        </w:rPr>
      </w:pPr>
      <w:r>
        <w:rPr>
          <w:rFonts w:hint="eastAsia" w:ascii="仿宋_GB2312" w:eastAsia="仿宋_GB2312"/>
          <w:color w:val="000000"/>
        </w:rPr>
        <w:t> </w:t>
      </w:r>
    </w:p>
    <w:p w14:paraId="191B3768">
      <w:pPr>
        <w:pStyle w:val="369"/>
        <w:jc w:val="right"/>
        <w:rPr>
          <w:rFonts w:hint="eastAsia" w:ascii="仿宋_GB2312" w:eastAsia="仿宋_GB2312"/>
          <w:color w:val="000000"/>
        </w:rPr>
      </w:pPr>
      <w:r>
        <w:rPr>
          <w:rFonts w:hint="eastAsia" w:ascii="仿宋_GB2312" w:eastAsia="仿宋_GB2312"/>
          <w:color w:val="000000"/>
        </w:rPr>
        <w:t>日期：   年 月 日</w:t>
      </w:r>
    </w:p>
    <w:p w14:paraId="0FF13A06">
      <w:pPr>
        <w:pStyle w:val="369"/>
        <w:spacing w:before="0" w:beforeAutospacing="0" w:after="0" w:afterAutospacing="0" w:line="360" w:lineRule="auto"/>
        <w:rPr>
          <w:rFonts w:hint="eastAsia" w:ascii="仿宋_GB2312" w:eastAsia="仿宋_GB2312"/>
          <w:color w:val="000000"/>
        </w:rPr>
      </w:pPr>
      <w:r>
        <w:rPr>
          <w:rFonts w:hint="eastAsia" w:ascii="仿宋_GB2312" w:eastAsia="仿宋_GB2312"/>
          <w:b/>
          <w:bCs/>
          <w:color w:val="000000"/>
        </w:rPr>
        <w:t>  注：1.此项材料如有以PDF格式上传；</w:t>
      </w:r>
      <w:r>
        <w:rPr>
          <w:rFonts w:hint="eastAsia" w:ascii="仿宋_GB2312" w:eastAsia="仿宋_GB2312"/>
          <w:b/>
          <w:bCs/>
          <w:color w:val="000000"/>
        </w:rPr>
        <w:br w:type="textWrapping"/>
      </w:r>
      <w:r>
        <w:rPr>
          <w:rFonts w:hint="eastAsia" w:ascii="仿宋_GB2312" w:eastAsia="仿宋_GB2312"/>
          <w:b/>
          <w:bCs/>
          <w:color w:val="000000"/>
        </w:rPr>
        <w:t>  2.投标人出具的《中小企业声明函》中填写的“所属行业”应与采购文件明确的“所属行业”内容一致。</w:t>
      </w:r>
      <w:r>
        <w:rPr>
          <w:rFonts w:hint="eastAsia" w:ascii="仿宋_GB2312" w:eastAsia="仿宋_GB2312"/>
          <w:b/>
          <w:bCs/>
          <w:color w:val="000000"/>
        </w:rPr>
        <w:br w:type="textWrapping"/>
      </w:r>
      <w:r>
        <w:rPr>
          <w:rFonts w:hint="eastAsia" w:ascii="仿宋_GB2312" w:eastAsia="仿宋_GB2312"/>
          <w:b/>
          <w:bCs/>
          <w:color w:val="000000"/>
        </w:rPr>
        <w:t>采购标的对应的中小企业划分标准所属行业：</w:t>
      </w:r>
      <w:r>
        <w:rPr>
          <w:rStyle w:val="494"/>
          <w:rFonts w:hint="eastAsia" w:ascii="仿宋_GB2312" w:eastAsia="仿宋_GB2312"/>
          <w:color w:val="000000"/>
        </w:rPr>
        <w:t>采购需求所列第16项、第18项、第34项、第36项、第43-44项、第51项货物不作中小企业划分要求,</w:t>
      </w:r>
      <w:r>
        <w:rPr>
          <w:rStyle w:val="818"/>
          <w:rFonts w:hint="eastAsia" w:ascii="仿宋_GB2312" w:eastAsia="仿宋_GB2312"/>
          <w:color w:val="000000"/>
        </w:rPr>
        <w:t>采购需求所列第1-2项、第20项、第26-29项、第39项、第46项、第49项、第57-61项货物所属行业为</w:t>
      </w:r>
      <w:r>
        <w:rPr>
          <w:rStyle w:val="818"/>
          <w:rFonts w:hint="eastAsia" w:ascii="仿宋_GB2312" w:eastAsia="仿宋_GB2312"/>
          <w:color w:val="000000"/>
          <w:u w:val="single"/>
        </w:rPr>
        <w:t>软件和信息技术服务业</w:t>
      </w:r>
      <w:r>
        <w:rPr>
          <w:rStyle w:val="818"/>
          <w:rFonts w:hint="eastAsia" w:ascii="仿宋_GB2312" w:eastAsia="仿宋_GB2312"/>
          <w:color w:val="000000"/>
        </w:rPr>
        <w:t>；</w:t>
      </w:r>
      <w:r>
        <w:rPr>
          <w:rStyle w:val="494"/>
          <w:rFonts w:hint="eastAsia" w:ascii="仿宋_GB2312" w:eastAsia="仿宋_GB2312"/>
          <w:color w:val="000000"/>
        </w:rPr>
        <w:t>其余项货物所属行业为</w:t>
      </w:r>
      <w:r>
        <w:rPr>
          <w:rStyle w:val="494"/>
          <w:rFonts w:hint="eastAsia" w:ascii="仿宋_GB2312" w:eastAsia="仿宋_GB2312"/>
          <w:color w:val="000000"/>
          <w:u w:val="single"/>
        </w:rPr>
        <w:t>工业</w:t>
      </w:r>
      <w:r>
        <w:rPr>
          <w:rFonts w:hint="eastAsia" w:ascii="仿宋_GB2312" w:eastAsia="仿宋_GB2312"/>
          <w:b/>
          <w:bCs/>
          <w:color w:val="000000"/>
        </w:rPr>
        <w:t>。</w:t>
      </w:r>
      <w:r>
        <w:rPr>
          <w:rFonts w:hint="eastAsia" w:ascii="仿宋_GB2312" w:eastAsia="仿宋_GB2312"/>
          <w:color w:val="000000"/>
        </w:rPr>
        <w:br w:type="textWrapping"/>
      </w:r>
      <w:r>
        <w:rPr>
          <w:rFonts w:hint="eastAsia" w:ascii="仿宋_GB2312" w:eastAsia="仿宋_GB2312"/>
          <w:color w:val="000000"/>
        </w:rPr>
        <w:t>  3.从业人员、营业收入、资产总额填报上一年度数据，无上一年度数据的新成立企业可不填报。</w:t>
      </w:r>
      <w:r>
        <w:rPr>
          <w:rFonts w:hint="eastAsia" w:ascii="仿宋_GB2312" w:eastAsia="仿宋_GB2312"/>
          <w:color w:val="000000"/>
        </w:rPr>
        <w:br w:type="textWrapping"/>
      </w:r>
      <w:r>
        <w:rPr>
          <w:rFonts w:hint="eastAsia" w:ascii="仿宋_GB2312" w:eastAsia="仿宋_GB2312"/>
          <w:color w:val="000000"/>
        </w:rPr>
        <w:t>  4.为方便投标人识别企业规模类型，投标人可使用工业和信息化部组织开发的中小企业规模类型自测小程序生成企业规模类型测试结果。</w:t>
      </w:r>
      <w:r>
        <w:rPr>
          <w:rFonts w:hint="eastAsia" w:ascii="仿宋_GB2312" w:eastAsia="仿宋_GB2312"/>
          <w:color w:val="000000"/>
        </w:rPr>
        <w:br w:type="textWrapping"/>
      </w:r>
      <w:r>
        <w:rPr>
          <w:rFonts w:hint="eastAsia" w:ascii="仿宋_GB2312" w:eastAsia="仿宋_GB2312"/>
          <w:color w:val="000000"/>
        </w:rPr>
        <w:t>  自测小程序链接：https://baosong.miit.gov.cn/ScaleTest</w:t>
      </w:r>
      <w:r>
        <w:rPr>
          <w:rFonts w:hint="eastAsia" w:ascii="仿宋_GB2312" w:eastAsia="仿宋_GB2312"/>
          <w:color w:val="000000"/>
        </w:rPr>
        <w:br w:type="textWrapping"/>
      </w:r>
      <w:r>
        <w:rPr>
          <w:rFonts w:hint="eastAsia" w:ascii="仿宋_GB2312" w:eastAsia="仿宋_GB2312"/>
          <w:color w:val="000000"/>
        </w:rPr>
        <w:t>  5.投标人须按上述格式要求如实填写中小企业声明函，并对该声明函的真实性负责，否则不得享受相关中小企业扶持政策；</w:t>
      </w:r>
      <w:r>
        <w:rPr>
          <w:rFonts w:hint="eastAsia" w:ascii="仿宋_GB2312" w:eastAsia="仿宋_GB2312"/>
          <w:color w:val="000000"/>
        </w:rPr>
        <w:br w:type="textWrapping"/>
      </w:r>
      <w:r>
        <w:rPr>
          <w:rFonts w:hint="eastAsia" w:ascii="仿宋_GB2312" w:eastAsia="仿宋_GB2312"/>
          <w:color w:val="000000"/>
        </w:rPr>
        <w:t>  6.中标人依法享受中小企业扶持政策的，采购代理机构将在中标结果公告中公告其《中小企业声明函》。</w:t>
      </w:r>
    </w:p>
    <w:p w14:paraId="6FCFD95B">
      <w:pPr>
        <w:pStyle w:val="820"/>
        <w:spacing w:before="0" w:beforeAutospacing="0" w:after="0" w:afterAutospacing="0" w:line="360" w:lineRule="auto"/>
        <w:ind w:firstLine="480" w:firstLineChars="200"/>
        <w:rPr>
          <w:rFonts w:hint="eastAsia" w:ascii="仿宋_GB2312" w:eastAsia="仿宋_GB2312"/>
          <w:color w:val="000000"/>
        </w:rPr>
      </w:pPr>
      <w:r>
        <w:rPr>
          <w:rFonts w:hint="eastAsia" w:ascii="仿宋_GB2312" w:eastAsia="仿宋_GB2312"/>
          <w:color w:val="000000"/>
        </w:rPr>
        <w:t>7.中小微企业划型标准附表</w:t>
      </w:r>
      <w:r>
        <w:rPr>
          <w:rFonts w:hint="eastAsia" w:ascii="仿宋_GB2312" w:eastAsia="仿宋_GB2312"/>
        </w:rPr>
        <w:t>(若附表有变动，按最新政策执行)</w:t>
      </w:r>
      <w:r>
        <w:rPr>
          <w:rFonts w:hint="eastAsia" w:ascii="仿宋_GB2312" w:eastAsia="仿宋_GB2312"/>
          <w:color w:val="000000"/>
        </w:rPr>
        <w:t>：</w:t>
      </w:r>
    </w:p>
    <w:p w14:paraId="1F8ED669">
      <w:pPr>
        <w:pStyle w:val="820"/>
        <w:jc w:val="center"/>
        <w:rPr>
          <w:rFonts w:hint="eastAsia" w:ascii="仿宋_GB2312" w:eastAsia="仿宋_GB2312"/>
          <w:color w:val="000000"/>
        </w:rPr>
      </w:pPr>
      <w:r>
        <w:rPr>
          <w:rFonts w:hint="eastAsia" w:ascii="仿宋_GB2312" w:eastAsia="仿宋_GB2312"/>
          <w:b/>
          <w:bCs/>
          <w:color w:val="000000"/>
          <w:sz w:val="33"/>
          <w:szCs w:val="33"/>
        </w:rPr>
        <w:t>中小微企业划型标准</w:t>
      </w:r>
    </w:p>
    <w:tbl>
      <w:tblPr>
        <w:tblStyle w:val="48"/>
        <w:tblW w:w="9240" w:type="dxa"/>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605"/>
        <w:gridCol w:w="1845"/>
        <w:gridCol w:w="1155"/>
        <w:gridCol w:w="1890"/>
        <w:gridCol w:w="1590"/>
        <w:gridCol w:w="1155"/>
      </w:tblGrid>
      <w:tr w14:paraId="19C269F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70"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217C1B">
            <w:pPr>
              <w:jc w:val="center"/>
              <w:rPr>
                <w:rFonts w:ascii="仿宋_GB2312" w:eastAsia="仿宋_GB2312"/>
                <w:color w:val="000000"/>
              </w:rPr>
            </w:pPr>
            <w:r>
              <w:rPr>
                <w:rFonts w:hint="eastAsia" w:ascii="仿宋_GB2312" w:eastAsia="仿宋_GB2312"/>
                <w:b/>
                <w:bCs/>
                <w:color w:val="000000"/>
              </w:rPr>
              <w:t>行业名称</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456E1E">
            <w:pPr>
              <w:jc w:val="center"/>
              <w:rPr>
                <w:rFonts w:ascii="仿宋_GB2312" w:eastAsia="仿宋_GB2312"/>
                <w:color w:val="000000"/>
              </w:rPr>
            </w:pPr>
            <w:r>
              <w:rPr>
                <w:rFonts w:hint="eastAsia" w:ascii="仿宋_GB2312" w:eastAsia="仿宋_GB2312"/>
                <w:b/>
                <w:bCs/>
                <w:color w:val="000000"/>
              </w:rPr>
              <w:t>指标名称</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35C43B">
            <w:pPr>
              <w:jc w:val="center"/>
              <w:rPr>
                <w:rFonts w:ascii="仿宋_GB2312" w:eastAsia="仿宋_GB2312"/>
                <w:color w:val="000000"/>
              </w:rPr>
            </w:pPr>
            <w:r>
              <w:rPr>
                <w:rFonts w:hint="eastAsia" w:ascii="仿宋_GB2312" w:eastAsia="仿宋_GB2312"/>
                <w:b/>
                <w:bCs/>
                <w:color w:val="000000"/>
              </w:rPr>
              <w:t>计量单位</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17C0BFC">
            <w:pPr>
              <w:jc w:val="center"/>
              <w:rPr>
                <w:rFonts w:ascii="仿宋_GB2312" w:eastAsia="仿宋_GB2312"/>
                <w:color w:val="000000"/>
              </w:rPr>
            </w:pPr>
            <w:r>
              <w:rPr>
                <w:rFonts w:hint="eastAsia" w:ascii="仿宋_GB2312" w:eastAsia="仿宋_GB2312"/>
                <w:b/>
                <w:bCs/>
                <w:color w:val="000000"/>
              </w:rPr>
              <w:t>中型</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1EEDBD1">
            <w:pPr>
              <w:jc w:val="center"/>
              <w:rPr>
                <w:rFonts w:ascii="仿宋_GB2312" w:eastAsia="仿宋_GB2312"/>
                <w:color w:val="000000"/>
              </w:rPr>
            </w:pPr>
            <w:r>
              <w:rPr>
                <w:rFonts w:hint="eastAsia" w:ascii="仿宋_GB2312" w:eastAsia="仿宋_GB2312"/>
                <w:b/>
                <w:bCs/>
                <w:color w:val="000000"/>
              </w:rPr>
              <w:t>小型</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9D13DB">
            <w:pPr>
              <w:jc w:val="center"/>
              <w:rPr>
                <w:rFonts w:ascii="仿宋_GB2312" w:eastAsia="仿宋_GB2312"/>
                <w:color w:val="000000"/>
              </w:rPr>
            </w:pPr>
            <w:r>
              <w:rPr>
                <w:rFonts w:hint="eastAsia" w:ascii="仿宋_GB2312" w:eastAsia="仿宋_GB2312"/>
                <w:b/>
                <w:bCs/>
                <w:color w:val="000000"/>
              </w:rPr>
              <w:t>微型</w:t>
            </w:r>
          </w:p>
        </w:tc>
      </w:tr>
      <w:tr w14:paraId="165F9F8F">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8F2345">
            <w:pPr>
              <w:jc w:val="center"/>
              <w:rPr>
                <w:rFonts w:ascii="仿宋_GB2312" w:eastAsia="仿宋_GB2312"/>
                <w:color w:val="000000"/>
              </w:rPr>
            </w:pPr>
            <w:r>
              <w:rPr>
                <w:rFonts w:hint="eastAsia" w:ascii="仿宋_GB2312" w:eastAsia="仿宋_GB2312"/>
                <w:b/>
                <w:bCs/>
                <w:color w:val="000000"/>
              </w:rPr>
              <w:t>农、林、牧、渔</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DF6194">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DEA7FF">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3DA198">
            <w:pPr>
              <w:jc w:val="center"/>
              <w:rPr>
                <w:rFonts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9F366B">
            <w:pPr>
              <w:jc w:val="center"/>
              <w:rPr>
                <w:rFonts w:ascii="仿宋_GB2312" w:eastAsia="仿宋_GB2312"/>
                <w:color w:val="000000"/>
              </w:rPr>
            </w:pPr>
            <w:r>
              <w:rPr>
                <w:rFonts w:hint="eastAsia" w:ascii="仿宋_GB2312" w:eastAsia="仿宋_GB2312"/>
                <w:color w:val="000000"/>
              </w:rPr>
              <w:t>50≤Y&lt;500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795077">
            <w:pPr>
              <w:jc w:val="center"/>
              <w:rPr>
                <w:rFonts w:ascii="仿宋_GB2312" w:eastAsia="仿宋_GB2312"/>
                <w:color w:val="000000"/>
              </w:rPr>
            </w:pPr>
            <w:r>
              <w:rPr>
                <w:rFonts w:hint="eastAsia" w:ascii="仿宋_GB2312" w:eastAsia="仿宋_GB2312"/>
                <w:color w:val="000000"/>
              </w:rPr>
              <w:t>Y&lt;50</w:t>
            </w:r>
          </w:p>
        </w:tc>
      </w:tr>
      <w:tr w14:paraId="06B46D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95B2D18">
            <w:pPr>
              <w:jc w:val="center"/>
              <w:rPr>
                <w:rFonts w:ascii="仿宋_GB2312" w:eastAsia="仿宋_GB2312"/>
                <w:color w:val="000000"/>
              </w:rPr>
            </w:pPr>
            <w:r>
              <w:rPr>
                <w:rFonts w:hint="eastAsia" w:ascii="仿宋_GB2312" w:eastAsia="仿宋_GB2312"/>
                <w:b/>
                <w:bCs/>
                <w:color w:val="000000"/>
              </w:rPr>
              <w:t>工业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46537D1">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C67A0A">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2796483">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87F2EA">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D3EA83">
            <w:pPr>
              <w:jc w:val="center"/>
              <w:rPr>
                <w:rFonts w:ascii="仿宋_GB2312" w:eastAsia="仿宋_GB2312"/>
                <w:color w:val="000000"/>
              </w:rPr>
            </w:pPr>
            <w:r>
              <w:rPr>
                <w:rFonts w:hint="eastAsia" w:ascii="仿宋_GB2312" w:eastAsia="仿宋_GB2312"/>
                <w:color w:val="000000"/>
              </w:rPr>
              <w:t>X&lt;20</w:t>
            </w:r>
          </w:p>
        </w:tc>
      </w:tr>
      <w:tr w14:paraId="67EC942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749893D">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89FD4C8">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F2825B">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7A11E75">
            <w:pPr>
              <w:jc w:val="center"/>
              <w:rPr>
                <w:rFonts w:ascii="仿宋_GB2312" w:eastAsia="仿宋_GB2312"/>
                <w:color w:val="000000"/>
              </w:rPr>
            </w:pPr>
            <w:r>
              <w:rPr>
                <w:rFonts w:hint="eastAsia" w:ascii="仿宋_GB2312" w:eastAsia="仿宋_GB2312"/>
                <w:color w:val="000000"/>
              </w:rPr>
              <w:t>2000≤Y&lt;40000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9CDB1E8">
            <w:pPr>
              <w:jc w:val="center"/>
              <w:rPr>
                <w:rFonts w:ascii="仿宋_GB2312" w:eastAsia="仿宋_GB2312"/>
                <w:color w:val="000000"/>
              </w:rPr>
            </w:pPr>
            <w:r>
              <w:rPr>
                <w:rFonts w:hint="eastAsia" w:ascii="仿宋_GB2312" w:eastAsia="仿宋_GB2312"/>
                <w:color w:val="000000"/>
              </w:rPr>
              <w:t>300≤Y&lt;2000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02816F">
            <w:pPr>
              <w:jc w:val="center"/>
              <w:rPr>
                <w:rFonts w:ascii="仿宋_GB2312" w:eastAsia="仿宋_GB2312"/>
                <w:color w:val="000000"/>
              </w:rPr>
            </w:pPr>
            <w:r>
              <w:rPr>
                <w:rFonts w:hint="eastAsia" w:ascii="仿宋_GB2312" w:eastAsia="仿宋_GB2312"/>
                <w:color w:val="000000"/>
              </w:rPr>
              <w:t>Y&lt;300</w:t>
            </w:r>
          </w:p>
        </w:tc>
      </w:tr>
      <w:tr w14:paraId="5BE525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432EB6">
            <w:pPr>
              <w:jc w:val="center"/>
              <w:rPr>
                <w:rFonts w:ascii="仿宋_GB2312" w:eastAsia="仿宋_GB2312"/>
                <w:color w:val="000000"/>
              </w:rPr>
            </w:pPr>
            <w:r>
              <w:rPr>
                <w:rFonts w:hint="eastAsia" w:ascii="仿宋_GB2312" w:eastAsia="仿宋_GB2312"/>
                <w:b/>
                <w:bCs/>
                <w:color w:val="000000"/>
              </w:rPr>
              <w:t>建筑业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CADA7E">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9C01DF4">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B82B336">
            <w:pPr>
              <w:jc w:val="center"/>
              <w:rPr>
                <w:rFonts w:ascii="仿宋_GB2312" w:eastAsia="仿宋_GB2312"/>
                <w:color w:val="000000"/>
              </w:rPr>
            </w:pPr>
            <w:r>
              <w:rPr>
                <w:rFonts w:hint="eastAsia" w:ascii="仿宋_GB2312" w:eastAsia="仿宋_GB2312"/>
                <w:color w:val="000000"/>
              </w:rPr>
              <w:t>6000≤Y&lt;80000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695F0C">
            <w:pPr>
              <w:jc w:val="center"/>
              <w:rPr>
                <w:rFonts w:ascii="仿宋_GB2312" w:eastAsia="仿宋_GB2312"/>
                <w:color w:val="000000"/>
              </w:rPr>
            </w:pPr>
            <w:r>
              <w:rPr>
                <w:rFonts w:hint="eastAsia" w:ascii="仿宋_GB2312" w:eastAsia="仿宋_GB2312"/>
                <w:color w:val="000000"/>
              </w:rPr>
              <w:t>300≤Y&lt;6000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DE0EE7">
            <w:pPr>
              <w:jc w:val="center"/>
              <w:rPr>
                <w:rFonts w:ascii="仿宋_GB2312" w:eastAsia="仿宋_GB2312"/>
                <w:color w:val="000000"/>
              </w:rPr>
            </w:pPr>
            <w:r>
              <w:rPr>
                <w:rFonts w:hint="eastAsia" w:ascii="仿宋_GB2312" w:eastAsia="仿宋_GB2312"/>
                <w:color w:val="000000"/>
              </w:rPr>
              <w:t>Y&lt;300</w:t>
            </w:r>
          </w:p>
        </w:tc>
      </w:tr>
      <w:tr w14:paraId="08D5AFB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147E396">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CB48D7B">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BF9F518">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05EF601">
            <w:pPr>
              <w:jc w:val="center"/>
              <w:rPr>
                <w:rFonts w:ascii="仿宋_GB2312" w:eastAsia="仿宋_GB2312"/>
                <w:color w:val="000000"/>
              </w:rPr>
            </w:pPr>
            <w:r>
              <w:rPr>
                <w:rFonts w:hint="eastAsia" w:ascii="仿宋_GB2312" w:eastAsia="仿宋_GB2312"/>
                <w:color w:val="000000"/>
              </w:rPr>
              <w:t>5000≤Z&lt;80000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F0F830">
            <w:pPr>
              <w:jc w:val="center"/>
              <w:rPr>
                <w:rFonts w:ascii="仿宋_GB2312" w:eastAsia="仿宋_GB2312"/>
                <w:color w:val="000000"/>
              </w:rPr>
            </w:pPr>
            <w:r>
              <w:rPr>
                <w:rFonts w:hint="eastAsia" w:ascii="仿宋_GB2312" w:eastAsia="仿宋_GB2312"/>
                <w:color w:val="000000"/>
              </w:rPr>
              <w:t>300≤Z&lt;5000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ED53442">
            <w:pPr>
              <w:jc w:val="center"/>
              <w:rPr>
                <w:rFonts w:ascii="仿宋_GB2312" w:eastAsia="仿宋_GB2312"/>
                <w:color w:val="000000"/>
              </w:rPr>
            </w:pPr>
            <w:r>
              <w:rPr>
                <w:rFonts w:hint="eastAsia" w:ascii="仿宋_GB2312" w:eastAsia="仿宋_GB2312"/>
                <w:color w:val="000000"/>
              </w:rPr>
              <w:t>Z&lt;300</w:t>
            </w:r>
          </w:p>
        </w:tc>
      </w:tr>
      <w:tr w14:paraId="4B73837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06EEF8D">
            <w:pPr>
              <w:jc w:val="center"/>
              <w:rPr>
                <w:rFonts w:ascii="仿宋_GB2312" w:eastAsia="仿宋_GB2312"/>
                <w:color w:val="000000"/>
              </w:rPr>
            </w:pPr>
            <w:r>
              <w:rPr>
                <w:rFonts w:hint="eastAsia" w:ascii="仿宋_GB2312" w:eastAsia="仿宋_GB2312"/>
                <w:b/>
                <w:bCs/>
                <w:color w:val="000000"/>
              </w:rPr>
              <w:t>批发业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D92CB8">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689993">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307188">
            <w:pPr>
              <w:jc w:val="center"/>
              <w:rPr>
                <w:rFonts w:ascii="仿宋_GB2312" w:eastAsia="仿宋_GB2312"/>
                <w:color w:val="000000"/>
              </w:rPr>
            </w:pPr>
            <w:r>
              <w:rPr>
                <w:rFonts w:hint="eastAsia" w:ascii="仿宋_GB2312" w:eastAsia="仿宋_GB2312"/>
                <w:color w:val="000000"/>
              </w:rPr>
              <w:t>20≤X&lt;200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3659CC">
            <w:pPr>
              <w:jc w:val="center"/>
              <w:rPr>
                <w:rFonts w:ascii="仿宋_GB2312" w:eastAsia="仿宋_GB2312"/>
                <w:color w:val="000000"/>
              </w:rPr>
            </w:pPr>
            <w:r>
              <w:rPr>
                <w:rFonts w:hint="eastAsia" w:ascii="仿宋_GB2312" w:eastAsia="仿宋_GB2312"/>
                <w:color w:val="000000"/>
              </w:rPr>
              <w:t>5≤X&lt;20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F01FDA">
            <w:pPr>
              <w:jc w:val="center"/>
              <w:rPr>
                <w:rFonts w:ascii="仿宋_GB2312" w:eastAsia="仿宋_GB2312"/>
                <w:color w:val="000000"/>
              </w:rPr>
            </w:pPr>
            <w:r>
              <w:rPr>
                <w:rFonts w:hint="eastAsia" w:ascii="仿宋_GB2312" w:eastAsia="仿宋_GB2312"/>
                <w:color w:val="000000"/>
              </w:rPr>
              <w:t>X&lt;5</w:t>
            </w:r>
          </w:p>
        </w:tc>
      </w:tr>
      <w:tr w14:paraId="6D4172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8D6AC67">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CC1F97">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9FFCF4">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6CE10E">
            <w:pPr>
              <w:jc w:val="center"/>
              <w:rPr>
                <w:rFonts w:ascii="仿宋_GB2312" w:eastAsia="仿宋_GB2312"/>
                <w:color w:val="000000"/>
              </w:rPr>
            </w:pPr>
            <w:r>
              <w:rPr>
                <w:rFonts w:hint="eastAsia" w:ascii="仿宋_GB2312" w:eastAsia="仿宋_GB2312"/>
                <w:color w:val="000000"/>
              </w:rPr>
              <w:t>5000≤Y&lt;40000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7714095">
            <w:pPr>
              <w:jc w:val="center"/>
              <w:rPr>
                <w:rFonts w:ascii="仿宋_GB2312" w:eastAsia="仿宋_GB2312"/>
                <w:color w:val="000000"/>
              </w:rPr>
            </w:pPr>
            <w:r>
              <w:rPr>
                <w:rFonts w:hint="eastAsia" w:ascii="仿宋_GB2312" w:eastAsia="仿宋_GB2312"/>
                <w:color w:val="000000"/>
              </w:rPr>
              <w:t>1000≤Y&lt;5000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349C43">
            <w:pPr>
              <w:jc w:val="center"/>
              <w:rPr>
                <w:rFonts w:ascii="仿宋_GB2312" w:eastAsia="仿宋_GB2312"/>
                <w:color w:val="000000"/>
              </w:rPr>
            </w:pPr>
            <w:r>
              <w:rPr>
                <w:rFonts w:hint="eastAsia" w:ascii="仿宋_GB2312" w:eastAsia="仿宋_GB2312"/>
                <w:color w:val="000000"/>
              </w:rPr>
              <w:t>Y&lt;1000</w:t>
            </w:r>
          </w:p>
        </w:tc>
      </w:tr>
      <w:tr w14:paraId="24D0A4D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5E4E08">
            <w:pPr>
              <w:jc w:val="center"/>
              <w:rPr>
                <w:rFonts w:ascii="仿宋_GB2312" w:eastAsia="仿宋_GB2312"/>
                <w:color w:val="000000"/>
              </w:rPr>
            </w:pPr>
            <w:r>
              <w:rPr>
                <w:rFonts w:hint="eastAsia" w:ascii="仿宋_GB2312" w:eastAsia="仿宋_GB2312"/>
                <w:b/>
                <w:bCs/>
                <w:color w:val="000000"/>
              </w:rPr>
              <w:t>零售业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FB76049">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8477FA">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53DE0A6">
            <w:pPr>
              <w:jc w:val="center"/>
              <w:rPr>
                <w:rFonts w:ascii="仿宋_GB2312" w:eastAsia="仿宋_GB2312"/>
                <w:color w:val="000000"/>
              </w:rPr>
            </w:pPr>
            <w:r>
              <w:rPr>
                <w:rFonts w:hint="eastAsia" w:ascii="仿宋_GB2312" w:eastAsia="仿宋_GB2312"/>
                <w:color w:val="000000"/>
              </w:rPr>
              <w:t>50≤X&lt;300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CBAD9D">
            <w:pPr>
              <w:jc w:val="center"/>
              <w:rPr>
                <w:rFonts w:ascii="仿宋_GB2312" w:eastAsia="仿宋_GB2312"/>
                <w:color w:val="000000"/>
              </w:rPr>
            </w:pPr>
            <w:r>
              <w:rPr>
                <w:rFonts w:hint="eastAsia" w:ascii="仿宋_GB2312" w:eastAsia="仿宋_GB2312"/>
                <w:color w:val="000000"/>
              </w:rPr>
              <w:t>10≤X&lt;50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B4764D">
            <w:pPr>
              <w:jc w:val="center"/>
              <w:rPr>
                <w:rFonts w:ascii="仿宋_GB2312" w:eastAsia="仿宋_GB2312"/>
                <w:color w:val="000000"/>
              </w:rPr>
            </w:pPr>
            <w:r>
              <w:rPr>
                <w:rFonts w:hint="eastAsia" w:ascii="仿宋_GB2312" w:eastAsia="仿宋_GB2312"/>
                <w:color w:val="000000"/>
              </w:rPr>
              <w:t>X&lt;10</w:t>
            </w:r>
          </w:p>
        </w:tc>
      </w:tr>
      <w:tr w14:paraId="6FD87A2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A917250">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98EE4FC">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62F17E">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9D81068">
            <w:pPr>
              <w:jc w:val="center"/>
              <w:rPr>
                <w:rFonts w:ascii="仿宋_GB2312" w:eastAsia="仿宋_GB2312"/>
                <w:color w:val="000000"/>
              </w:rPr>
            </w:pPr>
            <w:r>
              <w:rPr>
                <w:rFonts w:hint="eastAsia" w:ascii="仿宋_GB2312" w:eastAsia="仿宋_GB2312"/>
                <w:color w:val="000000"/>
              </w:rPr>
              <w:t>500≤Y&lt;20000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E53524">
            <w:pPr>
              <w:jc w:val="center"/>
              <w:rPr>
                <w:rFonts w:ascii="仿宋_GB2312" w:eastAsia="仿宋_GB2312"/>
                <w:color w:val="000000"/>
              </w:rPr>
            </w:pPr>
            <w:r>
              <w:rPr>
                <w:rFonts w:hint="eastAsia" w:ascii="仿宋_GB2312" w:eastAsia="仿宋_GB2312"/>
                <w:color w:val="000000"/>
              </w:rPr>
              <w:t>100≤Y&lt;500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FE6B0AF">
            <w:pPr>
              <w:jc w:val="center"/>
              <w:rPr>
                <w:rFonts w:ascii="仿宋_GB2312" w:eastAsia="仿宋_GB2312"/>
                <w:color w:val="000000"/>
              </w:rPr>
            </w:pPr>
            <w:r>
              <w:rPr>
                <w:rFonts w:hint="eastAsia" w:ascii="仿宋_GB2312" w:eastAsia="仿宋_GB2312"/>
                <w:color w:val="000000"/>
              </w:rPr>
              <w:t>Y&lt;100</w:t>
            </w:r>
          </w:p>
        </w:tc>
      </w:tr>
      <w:tr w14:paraId="04E13A8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9E4050">
            <w:pPr>
              <w:jc w:val="center"/>
              <w:rPr>
                <w:rFonts w:ascii="仿宋_GB2312" w:eastAsia="仿宋_GB2312"/>
                <w:color w:val="000000"/>
              </w:rPr>
            </w:pPr>
            <w:r>
              <w:rPr>
                <w:rFonts w:hint="eastAsia" w:ascii="仿宋_GB2312" w:eastAsia="仿宋_GB2312"/>
                <w:b/>
                <w:bCs/>
                <w:color w:val="000000"/>
              </w:rPr>
              <w:t>交通运输业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CAE5A07">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0CFB977">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26A71A3">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902413">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B763BA5">
            <w:pPr>
              <w:jc w:val="center"/>
              <w:rPr>
                <w:rFonts w:ascii="仿宋_GB2312" w:eastAsia="仿宋_GB2312"/>
                <w:color w:val="000000"/>
              </w:rPr>
            </w:pPr>
            <w:r>
              <w:rPr>
                <w:rFonts w:hint="eastAsia" w:ascii="仿宋_GB2312" w:eastAsia="仿宋_GB2312"/>
                <w:color w:val="000000"/>
              </w:rPr>
              <w:t>X&lt;20</w:t>
            </w:r>
          </w:p>
        </w:tc>
      </w:tr>
      <w:tr w14:paraId="54D4532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74777B7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51634C7">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0795BE">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A9B0C3">
            <w:pPr>
              <w:jc w:val="center"/>
              <w:rPr>
                <w:rFonts w:ascii="仿宋_GB2312" w:eastAsia="仿宋_GB2312"/>
                <w:color w:val="000000"/>
              </w:rPr>
            </w:pPr>
            <w:r>
              <w:rPr>
                <w:rFonts w:hint="eastAsia" w:ascii="仿宋_GB2312" w:eastAsia="仿宋_GB2312"/>
                <w:color w:val="000000"/>
              </w:rPr>
              <w:t>3000≤Y&lt;30000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1A7B3D">
            <w:pPr>
              <w:jc w:val="center"/>
              <w:rPr>
                <w:rFonts w:ascii="仿宋_GB2312" w:eastAsia="仿宋_GB2312"/>
                <w:color w:val="000000"/>
              </w:rPr>
            </w:pPr>
            <w:r>
              <w:rPr>
                <w:rFonts w:hint="eastAsia" w:ascii="仿宋_GB2312" w:eastAsia="仿宋_GB2312"/>
                <w:color w:val="000000"/>
              </w:rPr>
              <w:t>200≤Y&lt;3000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B305B57">
            <w:pPr>
              <w:jc w:val="center"/>
              <w:rPr>
                <w:rFonts w:ascii="仿宋_GB2312" w:eastAsia="仿宋_GB2312"/>
                <w:color w:val="000000"/>
              </w:rPr>
            </w:pPr>
            <w:r>
              <w:rPr>
                <w:rFonts w:hint="eastAsia" w:ascii="仿宋_GB2312" w:eastAsia="仿宋_GB2312"/>
                <w:color w:val="000000"/>
              </w:rPr>
              <w:t>Y&lt;200</w:t>
            </w:r>
          </w:p>
        </w:tc>
      </w:tr>
      <w:tr w14:paraId="27B8EDE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C6C7EC">
            <w:pPr>
              <w:jc w:val="center"/>
              <w:rPr>
                <w:rFonts w:ascii="仿宋_GB2312" w:eastAsia="仿宋_GB2312"/>
                <w:color w:val="000000"/>
              </w:rPr>
            </w:pPr>
            <w:r>
              <w:rPr>
                <w:rFonts w:hint="eastAsia" w:ascii="仿宋_GB2312" w:eastAsia="仿宋_GB2312"/>
                <w:b/>
                <w:bCs/>
                <w:color w:val="000000"/>
              </w:rPr>
              <w:t>仓储业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C1AB8D">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C9150E">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08A568">
            <w:pPr>
              <w:jc w:val="center"/>
              <w:rPr>
                <w:rFonts w:ascii="仿宋_GB2312" w:eastAsia="仿宋_GB2312"/>
                <w:color w:val="000000"/>
              </w:rPr>
            </w:pPr>
            <w:r>
              <w:rPr>
                <w:rFonts w:hint="eastAsia" w:ascii="仿宋_GB2312" w:eastAsia="仿宋_GB2312"/>
                <w:color w:val="000000"/>
              </w:rPr>
              <w:t>100≤X&lt;200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C4072B8">
            <w:pPr>
              <w:jc w:val="center"/>
              <w:rPr>
                <w:rFonts w:ascii="仿宋_GB2312" w:eastAsia="仿宋_GB2312"/>
                <w:color w:val="000000"/>
              </w:rPr>
            </w:pPr>
            <w:r>
              <w:rPr>
                <w:rFonts w:hint="eastAsia" w:ascii="仿宋_GB2312" w:eastAsia="仿宋_GB2312"/>
                <w:color w:val="000000"/>
              </w:rPr>
              <w:t>20≤X&lt;100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423096">
            <w:pPr>
              <w:jc w:val="center"/>
              <w:rPr>
                <w:rFonts w:ascii="仿宋_GB2312" w:eastAsia="仿宋_GB2312"/>
                <w:color w:val="000000"/>
              </w:rPr>
            </w:pPr>
            <w:r>
              <w:rPr>
                <w:rFonts w:hint="eastAsia" w:ascii="仿宋_GB2312" w:eastAsia="仿宋_GB2312"/>
                <w:color w:val="000000"/>
              </w:rPr>
              <w:t>X&lt;20</w:t>
            </w:r>
          </w:p>
        </w:tc>
      </w:tr>
      <w:tr w14:paraId="1ED369B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7260BC5">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F9500D">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8F892A8">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0BCB3F">
            <w:pPr>
              <w:jc w:val="center"/>
              <w:rPr>
                <w:rFonts w:ascii="仿宋_GB2312" w:eastAsia="仿宋_GB2312"/>
                <w:color w:val="000000"/>
              </w:rPr>
            </w:pPr>
            <w:r>
              <w:rPr>
                <w:rFonts w:hint="eastAsia" w:ascii="仿宋_GB2312" w:eastAsia="仿宋_GB2312"/>
                <w:color w:val="000000"/>
              </w:rPr>
              <w:t>1000≤Y&lt;30000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5448C7">
            <w:pPr>
              <w:jc w:val="center"/>
              <w:rPr>
                <w:rFonts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3821D91">
            <w:pPr>
              <w:jc w:val="center"/>
              <w:rPr>
                <w:rFonts w:ascii="仿宋_GB2312" w:eastAsia="仿宋_GB2312"/>
                <w:color w:val="000000"/>
              </w:rPr>
            </w:pPr>
            <w:r>
              <w:rPr>
                <w:rFonts w:hint="eastAsia" w:ascii="仿宋_GB2312" w:eastAsia="仿宋_GB2312"/>
                <w:color w:val="000000"/>
              </w:rPr>
              <w:t>Y&lt;100</w:t>
            </w:r>
          </w:p>
        </w:tc>
      </w:tr>
      <w:tr w14:paraId="3C6211D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A43A85B">
            <w:pPr>
              <w:jc w:val="center"/>
              <w:rPr>
                <w:rFonts w:ascii="仿宋_GB2312" w:eastAsia="仿宋_GB2312"/>
                <w:color w:val="000000"/>
              </w:rPr>
            </w:pPr>
            <w:r>
              <w:rPr>
                <w:rFonts w:hint="eastAsia" w:ascii="仿宋_GB2312" w:eastAsia="仿宋_GB2312"/>
                <w:b/>
                <w:bCs/>
                <w:color w:val="000000"/>
              </w:rPr>
              <w:t>邮政业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80A5E5">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66CAD9">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FF7E22">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62B565">
            <w:pPr>
              <w:jc w:val="center"/>
              <w:rPr>
                <w:rFonts w:ascii="仿宋_GB2312" w:eastAsia="仿宋_GB2312"/>
                <w:color w:val="000000"/>
              </w:rPr>
            </w:pPr>
            <w:r>
              <w:rPr>
                <w:rFonts w:hint="eastAsia" w:ascii="仿宋_GB2312" w:eastAsia="仿宋_GB2312"/>
                <w:color w:val="000000"/>
              </w:rPr>
              <w:t>20≤X&lt;300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679B70">
            <w:pPr>
              <w:jc w:val="center"/>
              <w:rPr>
                <w:rFonts w:ascii="仿宋_GB2312" w:eastAsia="仿宋_GB2312"/>
                <w:color w:val="000000"/>
              </w:rPr>
            </w:pPr>
            <w:r>
              <w:rPr>
                <w:rFonts w:hint="eastAsia" w:ascii="仿宋_GB2312" w:eastAsia="仿宋_GB2312"/>
                <w:color w:val="000000"/>
              </w:rPr>
              <w:t>X&lt;20</w:t>
            </w:r>
          </w:p>
        </w:tc>
      </w:tr>
      <w:tr w14:paraId="52AE3A15">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5FC807A9">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405C773">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8D11FE">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6A05042">
            <w:pPr>
              <w:jc w:val="center"/>
              <w:rPr>
                <w:rFonts w:ascii="仿宋_GB2312" w:eastAsia="仿宋_GB2312"/>
                <w:color w:val="000000"/>
              </w:rPr>
            </w:pPr>
            <w:r>
              <w:rPr>
                <w:rFonts w:hint="eastAsia" w:ascii="仿宋_GB2312" w:eastAsia="仿宋_GB2312"/>
                <w:color w:val="000000"/>
              </w:rPr>
              <w:t>2000≤Y&lt;30000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8CFA848">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0A308E">
            <w:pPr>
              <w:jc w:val="center"/>
              <w:rPr>
                <w:rFonts w:ascii="仿宋_GB2312" w:eastAsia="仿宋_GB2312"/>
                <w:color w:val="000000"/>
              </w:rPr>
            </w:pPr>
            <w:r>
              <w:rPr>
                <w:rFonts w:hint="eastAsia" w:ascii="仿宋_GB2312" w:eastAsia="仿宋_GB2312"/>
                <w:color w:val="000000"/>
              </w:rPr>
              <w:t>Y&lt;100</w:t>
            </w:r>
          </w:p>
        </w:tc>
      </w:tr>
      <w:tr w14:paraId="699E55F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3A47EBC">
            <w:pPr>
              <w:jc w:val="center"/>
              <w:rPr>
                <w:rFonts w:ascii="仿宋_GB2312" w:eastAsia="仿宋_GB2312"/>
                <w:color w:val="000000"/>
              </w:rPr>
            </w:pPr>
            <w:r>
              <w:rPr>
                <w:rFonts w:hint="eastAsia" w:ascii="仿宋_GB2312" w:eastAsia="仿宋_GB2312"/>
                <w:b/>
                <w:bCs/>
                <w:color w:val="000000"/>
              </w:rPr>
              <w:t>住宿业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D4D8A62">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D6C6A94">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62B44B4">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5C3277">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17CDD2A">
            <w:pPr>
              <w:jc w:val="center"/>
              <w:rPr>
                <w:rFonts w:ascii="仿宋_GB2312" w:eastAsia="仿宋_GB2312"/>
                <w:color w:val="000000"/>
              </w:rPr>
            </w:pPr>
            <w:r>
              <w:rPr>
                <w:rFonts w:hint="eastAsia" w:ascii="仿宋_GB2312" w:eastAsia="仿宋_GB2312"/>
                <w:color w:val="000000"/>
              </w:rPr>
              <w:t>X&lt;10</w:t>
            </w:r>
          </w:p>
        </w:tc>
      </w:tr>
      <w:tr w14:paraId="64D4B34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F22BDA6">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5D4B46">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BB1796">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E8B9477">
            <w:pPr>
              <w:jc w:val="center"/>
              <w:rPr>
                <w:rFonts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2DAE263">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39A610">
            <w:pPr>
              <w:jc w:val="center"/>
              <w:rPr>
                <w:rFonts w:ascii="仿宋_GB2312" w:eastAsia="仿宋_GB2312"/>
                <w:color w:val="000000"/>
              </w:rPr>
            </w:pPr>
            <w:r>
              <w:rPr>
                <w:rFonts w:hint="eastAsia" w:ascii="仿宋_GB2312" w:eastAsia="仿宋_GB2312"/>
                <w:color w:val="000000"/>
              </w:rPr>
              <w:t>Y&lt;100</w:t>
            </w:r>
          </w:p>
        </w:tc>
      </w:tr>
      <w:tr w14:paraId="415F11B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8EDB5D">
            <w:pPr>
              <w:jc w:val="center"/>
              <w:rPr>
                <w:rFonts w:ascii="仿宋_GB2312" w:eastAsia="仿宋_GB2312"/>
                <w:color w:val="000000"/>
              </w:rPr>
            </w:pPr>
            <w:r>
              <w:rPr>
                <w:rFonts w:hint="eastAsia" w:ascii="仿宋_GB2312" w:eastAsia="仿宋_GB2312"/>
                <w:b/>
                <w:bCs/>
                <w:color w:val="000000"/>
              </w:rPr>
              <w:t>餐饮业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CC6B19">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2907249">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CE2FDF">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8B31068">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F803BD">
            <w:pPr>
              <w:jc w:val="center"/>
              <w:rPr>
                <w:rFonts w:ascii="仿宋_GB2312" w:eastAsia="仿宋_GB2312"/>
                <w:color w:val="000000"/>
              </w:rPr>
            </w:pPr>
            <w:r>
              <w:rPr>
                <w:rFonts w:hint="eastAsia" w:ascii="仿宋_GB2312" w:eastAsia="仿宋_GB2312"/>
                <w:color w:val="000000"/>
              </w:rPr>
              <w:t>X&lt;10</w:t>
            </w:r>
          </w:p>
        </w:tc>
      </w:tr>
      <w:tr w14:paraId="63C84F7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EED7D6B">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C90AE8B">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D5C12B2">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60C8B4D">
            <w:pPr>
              <w:jc w:val="center"/>
              <w:rPr>
                <w:rFonts w:ascii="仿宋_GB2312" w:eastAsia="仿宋_GB2312"/>
                <w:color w:val="000000"/>
              </w:rPr>
            </w:pPr>
            <w:r>
              <w:rPr>
                <w:rFonts w:hint="eastAsia" w:ascii="仿宋_GB2312" w:eastAsia="仿宋_GB2312"/>
                <w:color w:val="000000"/>
              </w:rPr>
              <w:t>2000≤Y&lt;10000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15BCD59">
            <w:pPr>
              <w:jc w:val="center"/>
              <w:rPr>
                <w:rFonts w:ascii="仿宋_GB2312" w:eastAsia="仿宋_GB2312"/>
                <w:color w:val="000000"/>
              </w:rPr>
            </w:pPr>
            <w:r>
              <w:rPr>
                <w:rFonts w:hint="eastAsia" w:ascii="仿宋_GB2312" w:eastAsia="仿宋_GB2312"/>
                <w:color w:val="000000"/>
              </w:rPr>
              <w:t>100≤Y&lt;2000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229438">
            <w:pPr>
              <w:jc w:val="center"/>
              <w:rPr>
                <w:rFonts w:ascii="仿宋_GB2312" w:eastAsia="仿宋_GB2312"/>
                <w:color w:val="000000"/>
              </w:rPr>
            </w:pPr>
            <w:r>
              <w:rPr>
                <w:rFonts w:hint="eastAsia" w:ascii="仿宋_GB2312" w:eastAsia="仿宋_GB2312"/>
                <w:color w:val="000000"/>
              </w:rPr>
              <w:t>Y&lt;100</w:t>
            </w:r>
          </w:p>
        </w:tc>
      </w:tr>
      <w:tr w14:paraId="638C99B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20BF991">
            <w:pPr>
              <w:jc w:val="center"/>
              <w:rPr>
                <w:rFonts w:ascii="仿宋_GB2312" w:eastAsia="仿宋_GB2312"/>
                <w:color w:val="000000"/>
              </w:rPr>
            </w:pPr>
            <w:r>
              <w:rPr>
                <w:rFonts w:hint="eastAsia" w:ascii="仿宋_GB2312" w:eastAsia="仿宋_GB2312"/>
                <w:b/>
                <w:bCs/>
                <w:color w:val="000000"/>
              </w:rPr>
              <w:t>信息传输业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77EBCC6">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050478">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D9844C5">
            <w:pPr>
              <w:jc w:val="center"/>
              <w:rPr>
                <w:rFonts w:ascii="仿宋_GB2312" w:eastAsia="仿宋_GB2312"/>
                <w:color w:val="000000"/>
              </w:rPr>
            </w:pPr>
            <w:r>
              <w:rPr>
                <w:rFonts w:hint="eastAsia" w:ascii="仿宋_GB2312" w:eastAsia="仿宋_GB2312"/>
                <w:color w:val="000000"/>
              </w:rPr>
              <w:t>100≤X&lt;2000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AF01A93">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EEB0FD6">
            <w:pPr>
              <w:jc w:val="center"/>
              <w:rPr>
                <w:rFonts w:ascii="仿宋_GB2312" w:eastAsia="仿宋_GB2312"/>
                <w:color w:val="000000"/>
              </w:rPr>
            </w:pPr>
            <w:r>
              <w:rPr>
                <w:rFonts w:hint="eastAsia" w:ascii="仿宋_GB2312" w:eastAsia="仿宋_GB2312"/>
                <w:color w:val="000000"/>
              </w:rPr>
              <w:t>X&lt;10</w:t>
            </w:r>
          </w:p>
        </w:tc>
      </w:tr>
      <w:tr w14:paraId="6C7C134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2CDC280A">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9170AF">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3D3437">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C2B0D1">
            <w:pPr>
              <w:jc w:val="center"/>
              <w:rPr>
                <w:rFonts w:ascii="仿宋_GB2312" w:eastAsia="仿宋_GB2312"/>
                <w:color w:val="000000"/>
              </w:rPr>
            </w:pPr>
            <w:r>
              <w:rPr>
                <w:rFonts w:hint="eastAsia" w:ascii="仿宋_GB2312" w:eastAsia="仿宋_GB2312"/>
                <w:color w:val="000000"/>
              </w:rPr>
              <w:t>1000≤Y&lt;100000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E79B424">
            <w:pPr>
              <w:jc w:val="center"/>
              <w:rPr>
                <w:rFonts w:ascii="仿宋_GB2312" w:eastAsia="仿宋_GB2312"/>
                <w:color w:val="000000"/>
              </w:rPr>
            </w:pPr>
            <w:r>
              <w:rPr>
                <w:rFonts w:hint="eastAsia" w:ascii="仿宋_GB2312" w:eastAsia="仿宋_GB2312"/>
                <w:color w:val="000000"/>
              </w:rPr>
              <w:t>100≤Y&lt;1000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0ED5BC">
            <w:pPr>
              <w:jc w:val="center"/>
              <w:rPr>
                <w:rFonts w:ascii="仿宋_GB2312" w:eastAsia="仿宋_GB2312"/>
                <w:color w:val="000000"/>
              </w:rPr>
            </w:pPr>
            <w:r>
              <w:rPr>
                <w:rFonts w:hint="eastAsia" w:ascii="仿宋_GB2312" w:eastAsia="仿宋_GB2312"/>
                <w:color w:val="000000"/>
              </w:rPr>
              <w:t>Y&lt;100</w:t>
            </w:r>
          </w:p>
        </w:tc>
      </w:tr>
      <w:tr w14:paraId="7FEB08D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399794">
            <w:pPr>
              <w:jc w:val="center"/>
              <w:rPr>
                <w:rFonts w:ascii="仿宋_GB2312" w:eastAsia="仿宋_GB2312"/>
                <w:color w:val="000000"/>
              </w:rPr>
            </w:pPr>
            <w:r>
              <w:rPr>
                <w:rFonts w:hint="eastAsia" w:ascii="仿宋_GB2312" w:eastAsia="仿宋_GB2312"/>
                <w:b/>
                <w:bCs/>
                <w:color w:val="000000"/>
              </w:rPr>
              <w:t>软件和信息</w:t>
            </w:r>
            <w:r>
              <w:rPr>
                <w:rFonts w:hint="eastAsia" w:ascii="仿宋_GB2312" w:eastAsia="仿宋_GB2312"/>
                <w:color w:val="000000"/>
              </w:rPr>
              <w:t xml:space="preserve"> </w:t>
            </w:r>
            <w:r>
              <w:rPr>
                <w:rFonts w:hint="eastAsia" w:ascii="仿宋_GB2312" w:eastAsia="仿宋_GB2312"/>
                <w:b/>
                <w:bCs/>
                <w:color w:val="000000"/>
              </w:rPr>
              <w:t>技术服务业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4034C7">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2392B41">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1E8DA34">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0E79C9A">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C6F998C">
            <w:pPr>
              <w:jc w:val="center"/>
              <w:rPr>
                <w:rFonts w:ascii="仿宋_GB2312" w:eastAsia="仿宋_GB2312"/>
                <w:color w:val="000000"/>
              </w:rPr>
            </w:pPr>
            <w:r>
              <w:rPr>
                <w:rFonts w:hint="eastAsia" w:ascii="仿宋_GB2312" w:eastAsia="仿宋_GB2312"/>
                <w:color w:val="000000"/>
              </w:rPr>
              <w:t>X&lt;10</w:t>
            </w:r>
          </w:p>
        </w:tc>
      </w:tr>
      <w:tr w14:paraId="6DDC5F3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10FF4F6C">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525F70">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4EAC24D">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552760A">
            <w:pPr>
              <w:jc w:val="center"/>
              <w:rPr>
                <w:rFonts w:ascii="仿宋_GB2312" w:eastAsia="仿宋_GB2312"/>
                <w:color w:val="000000"/>
              </w:rPr>
            </w:pPr>
            <w:r>
              <w:rPr>
                <w:rFonts w:hint="eastAsia" w:ascii="仿宋_GB2312" w:eastAsia="仿宋_GB2312"/>
                <w:color w:val="000000"/>
              </w:rPr>
              <w:t>1000≤Y&lt;10000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ABC3F9A">
            <w:pPr>
              <w:jc w:val="center"/>
              <w:rPr>
                <w:rFonts w:ascii="仿宋_GB2312" w:eastAsia="仿宋_GB2312"/>
                <w:color w:val="000000"/>
              </w:rPr>
            </w:pPr>
            <w:r>
              <w:rPr>
                <w:rFonts w:hint="eastAsia" w:ascii="仿宋_GB2312" w:eastAsia="仿宋_GB2312"/>
                <w:color w:val="000000"/>
              </w:rPr>
              <w:t>50≤Y&lt;1000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92ACC6">
            <w:pPr>
              <w:jc w:val="center"/>
              <w:rPr>
                <w:rFonts w:ascii="仿宋_GB2312" w:eastAsia="仿宋_GB2312"/>
                <w:color w:val="000000"/>
              </w:rPr>
            </w:pPr>
            <w:r>
              <w:rPr>
                <w:rFonts w:hint="eastAsia" w:ascii="仿宋_GB2312" w:eastAsia="仿宋_GB2312"/>
                <w:color w:val="000000"/>
              </w:rPr>
              <w:t>Y&lt;50</w:t>
            </w:r>
          </w:p>
        </w:tc>
      </w:tr>
      <w:tr w14:paraId="6346FC9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DED34F0">
            <w:pPr>
              <w:jc w:val="center"/>
              <w:rPr>
                <w:rFonts w:ascii="仿宋_GB2312" w:eastAsia="仿宋_GB2312"/>
                <w:color w:val="000000"/>
              </w:rPr>
            </w:pPr>
            <w:r>
              <w:rPr>
                <w:rFonts w:hint="eastAsia" w:ascii="仿宋_GB2312" w:eastAsia="仿宋_GB2312"/>
                <w:b/>
                <w:bCs/>
                <w:color w:val="000000"/>
              </w:rPr>
              <w:t>房地产</w:t>
            </w:r>
            <w:r>
              <w:rPr>
                <w:rFonts w:hint="eastAsia" w:ascii="仿宋_GB2312" w:eastAsia="仿宋_GB2312"/>
                <w:color w:val="000000"/>
              </w:rPr>
              <w:t xml:space="preserve"> </w:t>
            </w:r>
            <w:r>
              <w:rPr>
                <w:rFonts w:hint="eastAsia" w:ascii="仿宋_GB2312" w:eastAsia="仿宋_GB2312"/>
                <w:b/>
                <w:bCs/>
                <w:color w:val="000000"/>
              </w:rPr>
              <w:t>开发经营</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0946D79">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B28D6F0">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5734BF">
            <w:pPr>
              <w:jc w:val="center"/>
              <w:rPr>
                <w:rFonts w:ascii="仿宋_GB2312" w:eastAsia="仿宋_GB2312"/>
                <w:color w:val="000000"/>
              </w:rPr>
            </w:pPr>
            <w:r>
              <w:rPr>
                <w:rFonts w:hint="eastAsia" w:ascii="仿宋_GB2312" w:eastAsia="仿宋_GB2312"/>
                <w:color w:val="000000"/>
              </w:rPr>
              <w:t>1000≤Y&lt;200000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02CCF32">
            <w:pPr>
              <w:jc w:val="center"/>
              <w:rPr>
                <w:rFonts w:ascii="仿宋_GB2312" w:eastAsia="仿宋_GB2312"/>
                <w:color w:val="000000"/>
              </w:rPr>
            </w:pPr>
            <w:r>
              <w:rPr>
                <w:rFonts w:hint="eastAsia" w:ascii="仿宋_GB2312" w:eastAsia="仿宋_GB2312"/>
                <w:color w:val="000000"/>
              </w:rPr>
              <w:t>100≤X&lt;1000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104CDAA">
            <w:pPr>
              <w:jc w:val="center"/>
              <w:rPr>
                <w:rFonts w:ascii="仿宋_GB2312" w:eastAsia="仿宋_GB2312"/>
                <w:color w:val="000000"/>
              </w:rPr>
            </w:pPr>
            <w:r>
              <w:rPr>
                <w:rFonts w:hint="eastAsia" w:ascii="仿宋_GB2312" w:eastAsia="仿宋_GB2312"/>
                <w:color w:val="000000"/>
              </w:rPr>
              <w:t>X&lt;100</w:t>
            </w:r>
          </w:p>
        </w:tc>
      </w:tr>
      <w:tr w14:paraId="7F1F1FE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C90A9C2">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5575602">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CFC2C49">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1D05DF1">
            <w:pPr>
              <w:jc w:val="center"/>
              <w:rPr>
                <w:rFonts w:ascii="仿宋_GB2312" w:eastAsia="仿宋_GB2312"/>
                <w:color w:val="000000"/>
              </w:rPr>
            </w:pPr>
            <w:r>
              <w:rPr>
                <w:rFonts w:hint="eastAsia" w:ascii="仿宋_GB2312" w:eastAsia="仿宋_GB2312"/>
                <w:color w:val="000000"/>
              </w:rPr>
              <w:t>5000≤Z&lt;10000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FA54DCF">
            <w:pPr>
              <w:jc w:val="center"/>
              <w:rPr>
                <w:rFonts w:ascii="仿宋_GB2312" w:eastAsia="仿宋_GB2312"/>
                <w:color w:val="000000"/>
              </w:rPr>
            </w:pPr>
            <w:r>
              <w:rPr>
                <w:rFonts w:hint="eastAsia" w:ascii="仿宋_GB2312" w:eastAsia="仿宋_GB2312"/>
                <w:color w:val="000000"/>
              </w:rPr>
              <w:t>2000≤Y&lt;5000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F9BEAA">
            <w:pPr>
              <w:jc w:val="center"/>
              <w:rPr>
                <w:rFonts w:ascii="仿宋_GB2312" w:eastAsia="仿宋_GB2312"/>
                <w:color w:val="000000"/>
              </w:rPr>
            </w:pPr>
            <w:r>
              <w:rPr>
                <w:rFonts w:hint="eastAsia" w:ascii="仿宋_GB2312" w:eastAsia="仿宋_GB2312"/>
                <w:color w:val="000000"/>
              </w:rPr>
              <w:t>Y&lt;2000</w:t>
            </w:r>
          </w:p>
        </w:tc>
      </w:tr>
      <w:tr w14:paraId="5D5FCBE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4D347A7">
            <w:pPr>
              <w:jc w:val="center"/>
              <w:rPr>
                <w:rFonts w:ascii="仿宋_GB2312" w:eastAsia="仿宋_GB2312"/>
                <w:color w:val="000000"/>
              </w:rPr>
            </w:pPr>
            <w:r>
              <w:rPr>
                <w:rFonts w:hint="eastAsia" w:ascii="仿宋_GB2312" w:eastAsia="仿宋_GB2312"/>
                <w:b/>
                <w:bCs/>
                <w:color w:val="000000"/>
              </w:rPr>
              <w:t>物业管理</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6FBA3CA">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256AFE0">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4F38AB8">
            <w:pPr>
              <w:jc w:val="center"/>
              <w:rPr>
                <w:rFonts w:ascii="仿宋_GB2312" w:eastAsia="仿宋_GB2312"/>
                <w:color w:val="000000"/>
              </w:rPr>
            </w:pPr>
            <w:r>
              <w:rPr>
                <w:rFonts w:hint="eastAsia" w:ascii="仿宋_GB2312" w:eastAsia="仿宋_GB2312"/>
                <w:color w:val="000000"/>
              </w:rPr>
              <w:t>300≤X&lt;1000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5E217DE">
            <w:pPr>
              <w:jc w:val="center"/>
              <w:rPr>
                <w:rFonts w:ascii="仿宋_GB2312" w:eastAsia="仿宋_GB2312"/>
                <w:color w:val="000000"/>
              </w:rPr>
            </w:pPr>
            <w:r>
              <w:rPr>
                <w:rFonts w:hint="eastAsia" w:ascii="仿宋_GB2312" w:eastAsia="仿宋_GB2312"/>
                <w:color w:val="000000"/>
              </w:rPr>
              <w:t>100≤X&lt;300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B6A9660">
            <w:pPr>
              <w:jc w:val="center"/>
              <w:rPr>
                <w:rFonts w:ascii="仿宋_GB2312" w:eastAsia="仿宋_GB2312"/>
                <w:color w:val="000000"/>
              </w:rPr>
            </w:pPr>
            <w:r>
              <w:rPr>
                <w:rFonts w:hint="eastAsia" w:ascii="仿宋_GB2312" w:eastAsia="仿宋_GB2312"/>
                <w:color w:val="000000"/>
              </w:rPr>
              <w:t>X&lt;100</w:t>
            </w:r>
          </w:p>
        </w:tc>
      </w:tr>
      <w:tr w14:paraId="773884E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483BF6EE">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AA64B64">
            <w:pPr>
              <w:jc w:val="center"/>
              <w:rPr>
                <w:rFonts w:ascii="仿宋_GB2312" w:eastAsia="仿宋_GB2312"/>
                <w:color w:val="000000"/>
              </w:rPr>
            </w:pPr>
            <w:r>
              <w:rPr>
                <w:rFonts w:hint="eastAsia" w:ascii="仿宋_GB2312" w:eastAsia="仿宋_GB2312"/>
                <w:color w:val="000000"/>
              </w:rPr>
              <w:t>营业收入(Y)</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426CCB">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483A813">
            <w:pPr>
              <w:jc w:val="center"/>
              <w:rPr>
                <w:rFonts w:ascii="仿宋_GB2312" w:eastAsia="仿宋_GB2312"/>
                <w:color w:val="000000"/>
              </w:rPr>
            </w:pPr>
            <w:r>
              <w:rPr>
                <w:rFonts w:hint="eastAsia" w:ascii="仿宋_GB2312" w:eastAsia="仿宋_GB2312"/>
                <w:color w:val="000000"/>
              </w:rPr>
              <w:t>1000≤Y&lt;5000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C747E27">
            <w:pPr>
              <w:jc w:val="center"/>
              <w:rPr>
                <w:rFonts w:ascii="仿宋_GB2312" w:eastAsia="仿宋_GB2312"/>
                <w:color w:val="000000"/>
              </w:rPr>
            </w:pPr>
            <w:r>
              <w:rPr>
                <w:rFonts w:hint="eastAsia" w:ascii="仿宋_GB2312" w:eastAsia="仿宋_GB2312"/>
                <w:color w:val="000000"/>
              </w:rPr>
              <w:t>500≤Y&lt;1000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E367966">
            <w:pPr>
              <w:jc w:val="center"/>
              <w:rPr>
                <w:rFonts w:ascii="仿宋_GB2312" w:eastAsia="仿宋_GB2312"/>
                <w:color w:val="000000"/>
              </w:rPr>
            </w:pPr>
            <w:r>
              <w:rPr>
                <w:rFonts w:hint="eastAsia" w:ascii="仿宋_GB2312" w:eastAsia="仿宋_GB2312"/>
                <w:color w:val="000000"/>
              </w:rPr>
              <w:t>Y&lt;500</w:t>
            </w:r>
          </w:p>
        </w:tc>
      </w:tr>
      <w:tr w14:paraId="528AC89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restart"/>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791EE2D">
            <w:pPr>
              <w:jc w:val="center"/>
              <w:rPr>
                <w:rFonts w:ascii="仿宋_GB2312" w:eastAsia="仿宋_GB2312"/>
                <w:color w:val="000000"/>
              </w:rPr>
            </w:pPr>
            <w:r>
              <w:rPr>
                <w:rFonts w:hint="eastAsia" w:ascii="仿宋_GB2312" w:eastAsia="仿宋_GB2312"/>
                <w:b/>
                <w:bCs/>
                <w:color w:val="000000"/>
              </w:rPr>
              <w:t>租赁和商务服务业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602A2B7">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3DF3229">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D6E39F6">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BD8F302">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6FD77F58">
            <w:pPr>
              <w:jc w:val="center"/>
              <w:rPr>
                <w:rFonts w:ascii="仿宋_GB2312" w:eastAsia="仿宋_GB2312"/>
                <w:color w:val="000000"/>
              </w:rPr>
            </w:pPr>
            <w:r>
              <w:rPr>
                <w:rFonts w:hint="eastAsia" w:ascii="仿宋_GB2312" w:eastAsia="仿宋_GB2312"/>
                <w:color w:val="000000"/>
              </w:rPr>
              <w:t>X&lt;10</w:t>
            </w:r>
          </w:p>
        </w:tc>
      </w:tr>
      <w:tr w14:paraId="10E79C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vMerge w:val="continue"/>
            <w:tcBorders>
              <w:top w:val="single" w:color="333333" w:sz="6" w:space="0"/>
              <w:left w:val="single" w:color="333333" w:sz="6" w:space="0"/>
              <w:bottom w:val="single" w:color="333333" w:sz="6" w:space="0"/>
              <w:right w:val="single" w:color="333333" w:sz="6" w:space="0"/>
            </w:tcBorders>
            <w:vAlign w:val="center"/>
          </w:tcPr>
          <w:p w14:paraId="56353F58">
            <w:pPr>
              <w:rPr>
                <w:rFonts w:ascii="仿宋_GB2312" w:eastAsia="仿宋_GB2312"/>
                <w:color w:val="000000"/>
              </w:rPr>
            </w:pP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48CEFA3A">
            <w:pPr>
              <w:jc w:val="center"/>
              <w:rPr>
                <w:rFonts w:ascii="仿宋_GB2312" w:eastAsia="仿宋_GB2312"/>
                <w:color w:val="000000"/>
              </w:rPr>
            </w:pPr>
            <w:r>
              <w:rPr>
                <w:rFonts w:hint="eastAsia" w:ascii="仿宋_GB2312" w:eastAsia="仿宋_GB2312"/>
                <w:color w:val="000000"/>
              </w:rPr>
              <w:t>资产总额(Z)</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0326EC60">
            <w:pPr>
              <w:jc w:val="center"/>
              <w:rPr>
                <w:rFonts w:ascii="仿宋_GB2312" w:eastAsia="仿宋_GB2312"/>
                <w:color w:val="000000"/>
              </w:rPr>
            </w:pPr>
            <w:r>
              <w:rPr>
                <w:rFonts w:hint="eastAsia" w:ascii="仿宋_GB2312" w:eastAsia="仿宋_GB2312"/>
                <w:color w:val="000000"/>
              </w:rPr>
              <w:t>万元</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7F37338">
            <w:pPr>
              <w:jc w:val="center"/>
              <w:rPr>
                <w:rFonts w:ascii="仿宋_GB2312" w:eastAsia="仿宋_GB2312"/>
                <w:color w:val="000000"/>
              </w:rPr>
            </w:pPr>
            <w:r>
              <w:rPr>
                <w:rFonts w:hint="eastAsia" w:ascii="仿宋_GB2312" w:eastAsia="仿宋_GB2312"/>
                <w:color w:val="000000"/>
              </w:rPr>
              <w:t>8000≤Z&lt;120000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330E2ECE">
            <w:pPr>
              <w:jc w:val="center"/>
              <w:rPr>
                <w:rFonts w:ascii="仿宋_GB2312" w:eastAsia="仿宋_GB2312"/>
                <w:color w:val="000000"/>
              </w:rPr>
            </w:pPr>
            <w:r>
              <w:rPr>
                <w:rFonts w:hint="eastAsia" w:ascii="仿宋_GB2312" w:eastAsia="仿宋_GB2312"/>
                <w:color w:val="000000"/>
              </w:rPr>
              <w:t>100≤Z&lt;8000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91D8020">
            <w:pPr>
              <w:jc w:val="center"/>
              <w:rPr>
                <w:rFonts w:ascii="仿宋_GB2312" w:eastAsia="仿宋_GB2312"/>
                <w:color w:val="000000"/>
              </w:rPr>
            </w:pPr>
            <w:r>
              <w:rPr>
                <w:rFonts w:hint="eastAsia" w:ascii="仿宋_GB2312" w:eastAsia="仿宋_GB2312"/>
                <w:color w:val="000000"/>
              </w:rPr>
              <w:t>Y&lt;100</w:t>
            </w:r>
          </w:p>
        </w:tc>
      </w:tr>
      <w:tr w14:paraId="30FAC7E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375" w:hRule="atLeast"/>
          <w:jc w:val="center"/>
        </w:trPr>
        <w:tc>
          <w:tcPr>
            <w:tcW w:w="160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56F929DD">
            <w:pPr>
              <w:jc w:val="center"/>
              <w:rPr>
                <w:rFonts w:ascii="仿宋_GB2312" w:eastAsia="仿宋_GB2312"/>
                <w:color w:val="000000"/>
              </w:rPr>
            </w:pPr>
            <w:r>
              <w:rPr>
                <w:rFonts w:hint="eastAsia" w:ascii="仿宋_GB2312" w:eastAsia="仿宋_GB2312"/>
                <w:b/>
                <w:bCs/>
                <w:color w:val="000000"/>
              </w:rPr>
              <w:t>其他未列明</w:t>
            </w:r>
            <w:r>
              <w:rPr>
                <w:rFonts w:hint="eastAsia" w:ascii="仿宋_GB2312" w:eastAsia="仿宋_GB2312"/>
                <w:color w:val="000000"/>
              </w:rPr>
              <w:t xml:space="preserve"> </w:t>
            </w:r>
            <w:r>
              <w:rPr>
                <w:rFonts w:hint="eastAsia" w:ascii="仿宋_GB2312" w:eastAsia="仿宋_GB2312"/>
                <w:b/>
                <w:bCs/>
                <w:color w:val="000000"/>
              </w:rPr>
              <w:t>行业</w:t>
            </w:r>
          </w:p>
        </w:tc>
        <w:tc>
          <w:tcPr>
            <w:tcW w:w="184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0107E74">
            <w:pPr>
              <w:jc w:val="center"/>
              <w:rPr>
                <w:rFonts w:ascii="仿宋_GB2312" w:eastAsia="仿宋_GB2312"/>
                <w:color w:val="000000"/>
              </w:rPr>
            </w:pPr>
            <w:r>
              <w:rPr>
                <w:rFonts w:hint="eastAsia" w:ascii="仿宋_GB2312" w:eastAsia="仿宋_GB2312"/>
                <w:color w:val="000000"/>
              </w:rPr>
              <w:t>从业人员(X)</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7A97E46E">
            <w:pPr>
              <w:jc w:val="center"/>
              <w:rPr>
                <w:rFonts w:ascii="仿宋_GB2312" w:eastAsia="仿宋_GB2312"/>
                <w:color w:val="000000"/>
              </w:rPr>
            </w:pPr>
            <w:r>
              <w:rPr>
                <w:rFonts w:hint="eastAsia" w:ascii="仿宋_GB2312" w:eastAsia="仿宋_GB2312"/>
                <w:color w:val="000000"/>
              </w:rPr>
              <w:t>人</w:t>
            </w:r>
          </w:p>
        </w:tc>
        <w:tc>
          <w:tcPr>
            <w:tcW w:w="18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25724037">
            <w:pPr>
              <w:jc w:val="center"/>
              <w:rPr>
                <w:rFonts w:ascii="仿宋_GB2312" w:eastAsia="仿宋_GB2312"/>
                <w:color w:val="000000"/>
              </w:rPr>
            </w:pPr>
            <w:r>
              <w:rPr>
                <w:rFonts w:hint="eastAsia" w:ascii="仿宋_GB2312" w:eastAsia="仿宋_GB2312"/>
                <w:color w:val="000000"/>
              </w:rPr>
              <w:t>100≤X&lt;300</w:t>
            </w:r>
          </w:p>
        </w:tc>
        <w:tc>
          <w:tcPr>
            <w:tcW w:w="1590"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85CF763">
            <w:pPr>
              <w:jc w:val="center"/>
              <w:rPr>
                <w:rFonts w:ascii="仿宋_GB2312" w:eastAsia="仿宋_GB2312"/>
                <w:color w:val="000000"/>
              </w:rPr>
            </w:pPr>
            <w:r>
              <w:rPr>
                <w:rFonts w:hint="eastAsia" w:ascii="仿宋_GB2312" w:eastAsia="仿宋_GB2312"/>
                <w:color w:val="000000"/>
              </w:rPr>
              <w:t>10≤X&lt;100</w:t>
            </w:r>
          </w:p>
        </w:tc>
        <w:tc>
          <w:tcPr>
            <w:tcW w:w="1155" w:type="dxa"/>
            <w:tcBorders>
              <w:top w:val="single" w:color="333333" w:sz="6" w:space="0"/>
              <w:left w:val="single" w:color="333333" w:sz="6" w:space="0"/>
              <w:bottom w:val="single" w:color="333333" w:sz="6" w:space="0"/>
              <w:right w:val="single" w:color="333333" w:sz="6" w:space="0"/>
            </w:tcBorders>
            <w:tcMar>
              <w:top w:w="120" w:type="dxa"/>
              <w:left w:w="75" w:type="dxa"/>
              <w:bottom w:w="120" w:type="dxa"/>
              <w:right w:w="75" w:type="dxa"/>
            </w:tcMar>
            <w:vAlign w:val="center"/>
          </w:tcPr>
          <w:p w14:paraId="122090B9">
            <w:pPr>
              <w:jc w:val="center"/>
              <w:rPr>
                <w:rFonts w:ascii="仿宋_GB2312" w:eastAsia="仿宋_GB2312"/>
                <w:color w:val="000000"/>
              </w:rPr>
            </w:pPr>
            <w:r>
              <w:rPr>
                <w:rFonts w:hint="eastAsia" w:ascii="仿宋_GB2312" w:eastAsia="仿宋_GB2312"/>
                <w:color w:val="000000"/>
              </w:rPr>
              <w:t>X&lt;10</w:t>
            </w:r>
          </w:p>
        </w:tc>
      </w:tr>
    </w:tbl>
    <w:p w14:paraId="01303819">
      <w:pPr>
        <w:pStyle w:val="820"/>
        <w:spacing w:line="405" w:lineRule="atLeast"/>
        <w:rPr>
          <w:rFonts w:hint="eastAsia" w:ascii="仿宋_GB2312" w:eastAsia="仿宋_GB2312"/>
          <w:color w:val="000000"/>
        </w:rPr>
      </w:pPr>
      <w:r>
        <w:rPr>
          <w:rFonts w:hint="eastAsia" w:ascii="仿宋_GB2312" w:eastAsia="仿宋_GB2312"/>
          <w:b/>
          <w:bCs/>
          <w:color w:val="000000"/>
        </w:rPr>
        <w:t>  说明:上述标准参照《关于印发中小企业划型标准规定的通知》(工信部联企业〔2011〕300号)，大型、中型和小型企业须同时满足所列指标的下限，否则下划一档;微型企业只须满足所列指标中的一项即可。</w:t>
      </w:r>
    </w:p>
    <w:p w14:paraId="4B19E1FC">
      <w:pPr>
        <w:pStyle w:val="369"/>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附件2：残疾人福利性单位声明函格式（如有）：</w:t>
      </w:r>
    </w:p>
    <w:p w14:paraId="7EA033CC">
      <w:pPr>
        <w:pStyle w:val="369"/>
        <w:jc w:val="center"/>
        <w:rPr>
          <w:rFonts w:hint="eastAsia" w:ascii="仿宋_GB2312" w:eastAsia="仿宋_GB2312"/>
          <w:color w:val="000000"/>
        </w:rPr>
      </w:pPr>
      <w:r>
        <w:rPr>
          <w:rFonts w:hint="eastAsia" w:ascii="仿宋_GB2312" w:eastAsia="仿宋_GB2312"/>
          <w:b/>
          <w:bCs/>
          <w:color w:val="000000"/>
          <w:sz w:val="33"/>
          <w:szCs w:val="33"/>
        </w:rPr>
        <w:t>残疾人福利性单位声明函</w:t>
      </w:r>
    </w:p>
    <w:p w14:paraId="5D94E413">
      <w:pPr>
        <w:pStyle w:val="369"/>
        <w:spacing w:line="405" w:lineRule="atLeast"/>
        <w:rPr>
          <w:rFonts w:hint="eastAsia" w:ascii="仿宋_GB2312" w:eastAsia="仿宋_GB2312"/>
          <w:color w:val="000000"/>
        </w:rPr>
      </w:pPr>
      <w:r>
        <w:rPr>
          <w:rFonts w:hint="eastAsia" w:ascii="仿宋_GB2312" w:eastAsia="仿宋_GB2312"/>
          <w:color w:val="000000"/>
        </w:rPr>
        <w:t>  本单位郑重声明，根据《财政部 民政部 中国残疾人联合会关于促进残疾人就业政府采购政策的通知》（财库〔2017〕141号）的规定，本单位为符合条件的残疾人福利性单位，且本单位参加</w:t>
      </w:r>
      <w:r>
        <w:rPr>
          <w:rFonts w:hint="eastAsia" w:ascii="仿宋_GB2312" w:eastAsia="仿宋_GB2312"/>
          <w:color w:val="000000"/>
          <w:u w:val="single"/>
        </w:rPr>
        <w:t>    </w:t>
      </w:r>
      <w:r>
        <w:rPr>
          <w:rFonts w:hint="eastAsia" w:ascii="仿宋_GB2312" w:eastAsia="仿宋_GB2312"/>
          <w:color w:val="000000"/>
        </w:rPr>
        <w:t>单位的</w:t>
      </w:r>
      <w:r>
        <w:rPr>
          <w:rFonts w:hint="eastAsia" w:ascii="仿宋_GB2312" w:eastAsia="仿宋_GB2312"/>
          <w:color w:val="000000"/>
          <w:u w:val="single"/>
        </w:rPr>
        <w:t xml:space="preserve">     </w:t>
      </w:r>
      <w:r>
        <w:rPr>
          <w:rFonts w:hint="eastAsia" w:ascii="仿宋_GB2312" w:eastAsia="仿宋_GB2312"/>
          <w:color w:val="000000"/>
        </w:rPr>
        <w:t>项目采购活动提供本单位制造的货物（由本单位承担工程/提供服务），或者提供其他残疾人福利性单位制造的货物（不包括使用非残疾人福利性单位注册商标的货物）。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本单位对上述声明的真实性负责。如有虚假，将依法承担相应责任。</w:t>
      </w:r>
    </w:p>
    <w:p w14:paraId="6C5AFB68">
      <w:pPr>
        <w:pStyle w:val="369"/>
        <w:spacing w:line="405" w:lineRule="atLeast"/>
        <w:rPr>
          <w:rFonts w:hint="eastAsia" w:ascii="仿宋_GB2312" w:eastAsia="仿宋_GB2312"/>
          <w:color w:val="000000"/>
        </w:rPr>
      </w:pPr>
      <w:r>
        <w:rPr>
          <w:rFonts w:hint="eastAsia" w:ascii="仿宋_GB2312" w:eastAsia="仿宋_GB2312"/>
          <w:color w:val="000000"/>
        </w:rPr>
        <w:t>  </w:t>
      </w:r>
    </w:p>
    <w:p w14:paraId="4F5274A8">
      <w:pPr>
        <w:pStyle w:val="369"/>
        <w:jc w:val="right"/>
        <w:rPr>
          <w:rFonts w:hint="eastAsia" w:ascii="仿宋_GB2312" w:eastAsia="仿宋_GB2312"/>
          <w:color w:val="000000"/>
        </w:rPr>
      </w:pPr>
      <w:r>
        <w:rPr>
          <w:rFonts w:hint="eastAsia" w:ascii="仿宋_GB2312" w:eastAsia="仿宋_GB2312"/>
          <w:color w:val="000000"/>
        </w:rPr>
        <w:t>  单位名称（</w:t>
      </w:r>
      <w:r>
        <w:rPr>
          <w:rFonts w:hint="eastAsia" w:ascii="仿宋_GB2312" w:eastAsia="仿宋_GB2312"/>
          <w:b/>
          <w:bCs/>
          <w:color w:val="000000"/>
        </w:rPr>
        <w:t>CA电子签章</w:t>
      </w:r>
      <w:r>
        <w:rPr>
          <w:rFonts w:hint="eastAsia" w:ascii="仿宋_GB2312" w:eastAsia="仿宋_GB2312"/>
          <w:color w:val="000000"/>
        </w:rPr>
        <w:t>）：        </w:t>
      </w:r>
    </w:p>
    <w:p w14:paraId="53CC9715">
      <w:pPr>
        <w:pStyle w:val="369"/>
        <w:jc w:val="right"/>
        <w:rPr>
          <w:rFonts w:hint="eastAsia" w:ascii="仿宋_GB2312" w:eastAsia="仿宋_GB2312"/>
          <w:color w:val="000000"/>
        </w:rPr>
      </w:pPr>
      <w:r>
        <w:rPr>
          <w:rFonts w:hint="eastAsia" w:ascii="仿宋_GB2312" w:eastAsia="仿宋_GB2312"/>
          <w:color w:val="000000"/>
        </w:rPr>
        <w:t>日期：       </w:t>
      </w:r>
    </w:p>
    <w:p w14:paraId="3D2C316B">
      <w:pPr>
        <w:pStyle w:val="369"/>
        <w:spacing w:before="0" w:beforeAutospacing="0" w:after="0" w:afterAutospacing="0" w:line="405" w:lineRule="atLeast"/>
        <w:rPr>
          <w:rFonts w:hint="eastAsia" w:ascii="仿宋_GB2312" w:eastAsia="仿宋_GB2312"/>
          <w:color w:val="000000"/>
        </w:rPr>
      </w:pPr>
      <w:r>
        <w:rPr>
          <w:rFonts w:hint="eastAsia" w:ascii="仿宋_GB2312" w:eastAsia="仿宋_GB2312"/>
          <w:b/>
          <w:bCs/>
          <w:color w:val="000000"/>
        </w:rPr>
        <w:t>  注：1.此项材料如有请以PDF格式上传；</w:t>
      </w:r>
    </w:p>
    <w:p w14:paraId="36C56193">
      <w:pPr>
        <w:pStyle w:val="369"/>
        <w:spacing w:before="0" w:beforeAutospacing="0" w:after="0" w:afterAutospacing="0" w:line="405" w:lineRule="atLeast"/>
        <w:rPr>
          <w:rFonts w:hint="eastAsia" w:ascii="仿宋_GB2312" w:eastAsia="仿宋_GB2312"/>
          <w:color w:val="000000"/>
        </w:rPr>
      </w:pPr>
      <w:r>
        <w:rPr>
          <w:rFonts w:hint="eastAsia" w:ascii="仿宋_GB2312" w:eastAsia="仿宋_GB2312"/>
          <w:b/>
          <w:bCs/>
          <w:color w:val="000000"/>
        </w:rPr>
        <w:t>  2.中标人声明为残疾人福利性单位的，采购代理机构将随中标结果同时公告其《残疾人福利性单位声明函》，接受社会监督；</w:t>
      </w:r>
      <w:r>
        <w:rPr>
          <w:rFonts w:hint="eastAsia" w:ascii="仿宋_GB2312" w:eastAsia="仿宋_GB2312"/>
          <w:b/>
          <w:bCs/>
          <w:color w:val="000000"/>
        </w:rPr>
        <w:br w:type="textWrapping"/>
      </w:r>
      <w:r>
        <w:rPr>
          <w:rFonts w:hint="eastAsia" w:ascii="仿宋_GB2312" w:eastAsia="仿宋_GB2312"/>
          <w:b/>
          <w:bCs/>
          <w:color w:val="000000"/>
        </w:rPr>
        <w:t>  3.享受政府采购支持政策的残疾人福利性单位应当同时满足以下条件：</w:t>
      </w:r>
      <w:r>
        <w:rPr>
          <w:rFonts w:hint="eastAsia" w:ascii="仿宋_GB2312" w:eastAsia="仿宋_GB2312"/>
          <w:color w:val="000000"/>
        </w:rPr>
        <w:br w:type="textWrapping"/>
      </w:r>
      <w:r>
        <w:rPr>
          <w:rFonts w:hint="eastAsia" w:ascii="仿宋_GB2312" w:eastAsia="仿宋_GB2312"/>
          <w:color w:val="000000"/>
        </w:rPr>
        <w:t>  （1）安置的残疾人占本单位在职职工人数的比例不低于25%（含25%），并且安置的残疾人人数不少于10人（含10人）；</w:t>
      </w:r>
      <w:r>
        <w:rPr>
          <w:rFonts w:hint="eastAsia" w:ascii="仿宋_GB2312" w:eastAsia="仿宋_GB2312"/>
          <w:color w:val="000000"/>
        </w:rPr>
        <w:br w:type="textWrapping"/>
      </w:r>
      <w:r>
        <w:rPr>
          <w:rFonts w:hint="eastAsia" w:ascii="仿宋_GB2312" w:eastAsia="仿宋_GB2312"/>
          <w:color w:val="000000"/>
        </w:rPr>
        <w:t>  （2）依法与安置的每位残疾人签订了一年以上（含一年）的劳动合同或服务协议；</w:t>
      </w:r>
      <w:r>
        <w:rPr>
          <w:rFonts w:hint="eastAsia" w:ascii="仿宋_GB2312" w:eastAsia="仿宋_GB2312"/>
          <w:color w:val="000000"/>
        </w:rPr>
        <w:br w:type="textWrapping"/>
      </w:r>
      <w:r>
        <w:rPr>
          <w:rFonts w:hint="eastAsia" w:ascii="仿宋_GB2312" w:eastAsia="仿宋_GB2312"/>
          <w:color w:val="000000"/>
        </w:rPr>
        <w:t>  （3）为安置的每位残疾人按月足额缴纳了基本养老保险、基本医疗保险、失业保险、工伤保险和生育保险等社会保险费；</w:t>
      </w:r>
      <w:r>
        <w:rPr>
          <w:rFonts w:hint="eastAsia" w:ascii="仿宋_GB2312" w:eastAsia="仿宋_GB2312"/>
          <w:color w:val="000000"/>
        </w:rPr>
        <w:br w:type="textWrapping"/>
      </w:r>
      <w:r>
        <w:rPr>
          <w:rFonts w:hint="eastAsia" w:ascii="仿宋_GB2312" w:eastAsia="仿宋_GB2312"/>
          <w:color w:val="000000"/>
        </w:rPr>
        <w:t>  （4）通过银行等金融机构向安置的每位残疾人，按月支付了不低于单位所在区县适用的经省级人民政府批准的月最低工资标准的工资；</w:t>
      </w:r>
      <w:r>
        <w:rPr>
          <w:rFonts w:hint="eastAsia" w:ascii="仿宋_GB2312" w:eastAsia="仿宋_GB2312"/>
          <w:color w:val="000000"/>
        </w:rPr>
        <w:br w:type="textWrapping"/>
      </w:r>
      <w:r>
        <w:rPr>
          <w:rFonts w:hint="eastAsia" w:ascii="仿宋_GB2312" w:eastAsia="仿宋_GB2312"/>
          <w:color w:val="000000"/>
        </w:rPr>
        <w:t>  （5）提供本单位制造的货物、承担的工程或者服务（以下简称产品），或者提供其他残疾人福利性单位制造的货物（不包括使用非残疾人福利性单位注册商标的货物）。</w:t>
      </w:r>
      <w:r>
        <w:rPr>
          <w:rFonts w:hint="eastAsia" w:ascii="仿宋_GB2312" w:eastAsia="仿宋_GB2312"/>
          <w:color w:val="000000"/>
        </w:rPr>
        <w:br w:type="textWrapping"/>
      </w:r>
      <w:r>
        <w:rPr>
          <w:rFonts w:hint="eastAsia" w:ascii="仿宋_GB2312" w:eastAsia="仿宋_GB2312"/>
          <w:color w:val="000000"/>
        </w:rPr>
        <w:t>  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14:paraId="2DB4E085">
      <w:pPr>
        <w:pStyle w:val="369"/>
        <w:rPr>
          <w:rFonts w:hint="eastAsia" w:ascii="仿宋_GB2312" w:eastAsia="仿宋_GB2312"/>
          <w:b/>
          <w:bCs/>
          <w:color w:val="000000"/>
          <w:sz w:val="33"/>
          <w:szCs w:val="33"/>
        </w:rPr>
      </w:pPr>
      <w:r>
        <w:rPr>
          <w:rFonts w:hint="eastAsia" w:ascii="仿宋_GB2312" w:eastAsia="仿宋_GB2312"/>
          <w:color w:val="000000"/>
        </w:rPr>
        <w:br w:type="page"/>
      </w:r>
      <w:r>
        <w:rPr>
          <w:rFonts w:hint="eastAsia" w:ascii="仿宋_GB2312" w:eastAsia="仿宋_GB2312"/>
          <w:b/>
          <w:bCs/>
          <w:color w:val="000000"/>
          <w:sz w:val="33"/>
          <w:szCs w:val="33"/>
        </w:rPr>
        <w:t>附件3：监狱企业由省级以上监狱管理局、戒毒管理局（含新疆生产建设兵团）出具的属于监狱企业的证明文件（如有）</w:t>
      </w:r>
    </w:p>
    <w:p w14:paraId="6ABE2E66">
      <w:pPr>
        <w:pStyle w:val="369"/>
        <w:spacing w:line="405" w:lineRule="atLeast"/>
        <w:rPr>
          <w:rFonts w:hint="eastAsia" w:ascii="仿宋_GB2312" w:eastAsia="仿宋_GB2312"/>
          <w:color w:val="000000"/>
        </w:rPr>
      </w:pPr>
      <w:r>
        <w:rPr>
          <w:rFonts w:hint="eastAsia" w:ascii="仿宋_GB2312" w:eastAsia="仿宋_GB2312"/>
          <w:color w:val="000000"/>
        </w:rPr>
        <w:t> </w:t>
      </w:r>
    </w:p>
    <w:p w14:paraId="6F60DCA2">
      <w:pPr>
        <w:pStyle w:val="369"/>
        <w:spacing w:line="405" w:lineRule="atLeast"/>
        <w:rPr>
          <w:rFonts w:hint="eastAsia" w:ascii="仿宋_GB2312" w:eastAsia="仿宋_GB2312"/>
          <w:color w:val="000000"/>
        </w:rPr>
      </w:pPr>
      <w:r>
        <w:rPr>
          <w:rFonts w:hint="eastAsia" w:ascii="仿宋_GB2312" w:eastAsia="仿宋_GB2312"/>
          <w:color w:val="000000"/>
        </w:rPr>
        <w:t> </w:t>
      </w:r>
    </w:p>
    <w:p w14:paraId="0282DB05">
      <w:pPr>
        <w:pStyle w:val="369"/>
        <w:spacing w:line="405" w:lineRule="atLeast"/>
        <w:rPr>
          <w:rFonts w:hint="eastAsia" w:ascii="仿宋_GB2312" w:eastAsia="仿宋_GB2312"/>
          <w:color w:val="000000"/>
        </w:rPr>
      </w:pPr>
      <w:r>
        <w:rPr>
          <w:rFonts w:hint="eastAsia" w:ascii="仿宋_GB2312" w:eastAsia="仿宋_GB2312"/>
          <w:b/>
          <w:bCs/>
          <w:color w:val="000000"/>
          <w:sz w:val="33"/>
          <w:szCs w:val="33"/>
        </w:rPr>
        <w:t xml:space="preserve">    </w:t>
      </w:r>
    </w:p>
    <w:p w14:paraId="35DFA81F">
      <w:pPr>
        <w:pStyle w:val="369"/>
        <w:spacing w:line="405" w:lineRule="atLeast"/>
        <w:rPr>
          <w:rFonts w:hint="eastAsia" w:ascii="仿宋_GB2312" w:eastAsia="仿宋_GB2312"/>
          <w:b/>
          <w:bCs/>
          <w:color w:val="000000"/>
          <w:sz w:val="33"/>
          <w:szCs w:val="33"/>
        </w:rPr>
      </w:pPr>
      <w:r>
        <w:rPr>
          <w:rFonts w:hint="eastAsia" w:ascii="仿宋_GB2312" w:eastAsia="仿宋_GB2312"/>
          <w:b/>
          <w:bCs/>
          <w:color w:val="000000"/>
          <w:sz w:val="33"/>
          <w:szCs w:val="33"/>
        </w:rPr>
        <w:t>  注：附件3如有，请以PDF格式提供并加盖投标人CA电子签章。</w:t>
      </w:r>
    </w:p>
    <w:p w14:paraId="27024F3D">
      <w:pPr>
        <w:pStyle w:val="369"/>
        <w:spacing w:line="405" w:lineRule="atLeast"/>
        <w:rPr>
          <w:rFonts w:hint="eastAsia" w:ascii="仿宋_GB2312" w:eastAsia="仿宋_GB2312"/>
          <w:b/>
          <w:bCs/>
          <w:color w:val="000000"/>
          <w:sz w:val="33"/>
          <w:szCs w:val="33"/>
        </w:rPr>
      </w:pPr>
    </w:p>
    <w:p w14:paraId="5C0694C2">
      <w:pPr>
        <w:pStyle w:val="26"/>
        <w:spacing w:line="240" w:lineRule="atLeast"/>
        <w:jc w:val="left"/>
        <w:rPr>
          <w:rFonts w:hint="eastAsia" w:ascii="仿宋_GB2312" w:hAnsi="宋体" w:eastAsia="仿宋_GB2312"/>
        </w:rPr>
      </w:pPr>
      <w:r>
        <w:rPr>
          <w:rFonts w:ascii="仿宋_GB2312" w:hAnsi="宋体" w:eastAsia="仿宋_GB2312"/>
        </w:rPr>
        <w:br w:type="page"/>
      </w:r>
    </w:p>
    <w:p w14:paraId="4F7AC1E0">
      <w:pPr>
        <w:pStyle w:val="822"/>
        <w:rPr>
          <w:rFonts w:hint="eastAsia" w:ascii="仿宋_GB2312" w:eastAsia="仿宋_GB2312"/>
          <w:b/>
          <w:bCs/>
          <w:color w:val="000000"/>
          <w:sz w:val="33"/>
          <w:szCs w:val="33"/>
        </w:rPr>
      </w:pPr>
      <w:r>
        <w:rPr>
          <w:rFonts w:hint="eastAsia" w:ascii="仿宋_GB2312" w:eastAsia="仿宋_GB2312"/>
          <w:b/>
          <w:bCs/>
          <w:color w:val="000000"/>
          <w:sz w:val="33"/>
          <w:szCs w:val="33"/>
        </w:rPr>
        <w:t>附件4：关于符合本国产品标准的声明函格式（如有）：</w:t>
      </w:r>
    </w:p>
    <w:p w14:paraId="658682F5">
      <w:pPr>
        <w:pStyle w:val="822"/>
        <w:rPr>
          <w:rFonts w:hint="eastAsia" w:ascii="仿宋_GB2312" w:eastAsia="仿宋_GB2312"/>
          <w:b/>
          <w:bCs/>
          <w:color w:val="000000"/>
          <w:sz w:val="33"/>
          <w:szCs w:val="33"/>
        </w:rPr>
      </w:pPr>
    </w:p>
    <w:p w14:paraId="22FA4E1E">
      <w:pPr>
        <w:pStyle w:val="822"/>
        <w:jc w:val="center"/>
        <w:rPr>
          <w:rFonts w:hint="eastAsia" w:ascii="仿宋_GB2312" w:eastAsia="仿宋_GB2312"/>
          <w:b/>
          <w:bCs/>
          <w:color w:val="000000"/>
          <w:sz w:val="33"/>
          <w:szCs w:val="33"/>
        </w:rPr>
      </w:pPr>
      <w:r>
        <w:rPr>
          <w:rFonts w:hint="eastAsia" w:ascii="仿宋_GB2312" w:eastAsia="仿宋_GB2312"/>
          <w:b/>
          <w:bCs/>
          <w:color w:val="000000"/>
          <w:sz w:val="33"/>
          <w:szCs w:val="33"/>
        </w:rPr>
        <w:t>关于符合本国产品标准的声明函</w:t>
      </w:r>
    </w:p>
    <w:p w14:paraId="4A1AD536">
      <w:pPr>
        <w:spacing w:line="360" w:lineRule="auto"/>
        <w:ind w:right="420" w:firstLine="480" w:firstLineChars="200"/>
        <w:rPr>
          <w:rFonts w:hint="eastAsia" w:ascii="宋体" w:hAnsi="宋体" w:cs="宋体"/>
          <w:sz w:val="24"/>
        </w:rPr>
      </w:pPr>
    </w:p>
    <w:p w14:paraId="412D7974">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本公司（单位）郑重声明，根据《国务院办公厅关于在政府采购中实施本国产品标准及相关政策的通知》（国办发〔2025〕34号）的规定，本公司（单位）提供的以下产品属于本国产品。具体情况如下：</w:t>
      </w:r>
    </w:p>
    <w:p w14:paraId="012D3EA3">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1.</w:t>
      </w:r>
      <w:r>
        <w:rPr>
          <w:rFonts w:hint="eastAsia" w:ascii="仿宋_GB2312" w:hAnsi="宋体" w:eastAsia="仿宋_GB2312" w:cs="宋体"/>
          <w:color w:val="000000"/>
          <w:kern w:val="0"/>
          <w:sz w:val="24"/>
          <w:u w:val="single"/>
        </w:rPr>
        <w:t>（产品名称1）</w:t>
      </w:r>
      <w:r>
        <w:rPr>
          <w:rFonts w:hint="eastAsia" w:ascii="仿宋_GB2312" w:hAnsi="宋体" w:eastAsia="仿宋_GB2312" w:cs="宋体"/>
          <w:color w:val="000000"/>
          <w:kern w:val="0"/>
          <w:sz w:val="24"/>
        </w:rPr>
        <w:t>，生产厂为</w:t>
      </w:r>
      <w:r>
        <w:rPr>
          <w:rFonts w:hint="eastAsia" w:ascii="仿宋_GB2312" w:hAnsi="宋体" w:eastAsia="仿宋_GB2312" w:cs="宋体"/>
          <w:color w:val="000000"/>
          <w:kern w:val="0"/>
          <w:sz w:val="24"/>
          <w:u w:val="single"/>
        </w:rPr>
        <w:t>（厂名）</w:t>
      </w:r>
      <w:r>
        <w:rPr>
          <w:rFonts w:hint="eastAsia" w:ascii="仿宋_GB2312" w:hAnsi="宋体" w:eastAsia="仿宋_GB2312" w:cs="宋体"/>
          <w:color w:val="000000"/>
          <w:kern w:val="0"/>
          <w:sz w:val="24"/>
        </w:rPr>
        <w:t>，厂址为</w:t>
      </w:r>
      <w:r>
        <w:rPr>
          <w:rFonts w:hint="eastAsia" w:ascii="仿宋_GB2312" w:hAnsi="宋体" w:eastAsia="仿宋_GB2312" w:cs="宋体"/>
          <w:color w:val="000000"/>
          <w:kern w:val="0"/>
          <w:sz w:val="24"/>
          <w:u w:val="single"/>
        </w:rPr>
        <w:t>（生产厂址）</w:t>
      </w:r>
      <w:r>
        <w:rPr>
          <w:rFonts w:hint="eastAsia" w:ascii="仿宋_GB2312" w:hAnsi="宋体" w:eastAsia="仿宋_GB2312" w:cs="宋体"/>
          <w:color w:val="000000"/>
          <w:kern w:val="0"/>
          <w:sz w:val="24"/>
        </w:rPr>
        <w:t>。</w:t>
      </w:r>
    </w:p>
    <w:p w14:paraId="278F8EC0">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2.</w:t>
      </w:r>
      <w:r>
        <w:rPr>
          <w:rFonts w:hint="eastAsia" w:ascii="仿宋_GB2312" w:hAnsi="宋体" w:eastAsia="仿宋_GB2312" w:cs="宋体"/>
          <w:color w:val="000000"/>
          <w:kern w:val="0"/>
          <w:sz w:val="24"/>
          <w:u w:val="single"/>
        </w:rPr>
        <w:t>（产品名称2）</w:t>
      </w:r>
      <w:r>
        <w:rPr>
          <w:rFonts w:hint="eastAsia" w:ascii="仿宋_GB2312" w:hAnsi="宋体" w:eastAsia="仿宋_GB2312" w:cs="宋体"/>
          <w:color w:val="000000"/>
          <w:kern w:val="0"/>
          <w:sz w:val="24"/>
        </w:rPr>
        <w:t>，生产厂为</w:t>
      </w:r>
      <w:r>
        <w:rPr>
          <w:rFonts w:hint="eastAsia" w:ascii="仿宋_GB2312" w:hAnsi="宋体" w:eastAsia="仿宋_GB2312" w:cs="宋体"/>
          <w:color w:val="000000"/>
          <w:kern w:val="0"/>
          <w:sz w:val="24"/>
          <w:u w:val="single"/>
        </w:rPr>
        <w:t>（厂名）</w:t>
      </w:r>
      <w:r>
        <w:rPr>
          <w:rFonts w:hint="eastAsia" w:ascii="仿宋_GB2312" w:hAnsi="宋体" w:eastAsia="仿宋_GB2312" w:cs="宋体"/>
          <w:color w:val="000000"/>
          <w:kern w:val="0"/>
          <w:sz w:val="24"/>
        </w:rPr>
        <w:t>，厂址为</w:t>
      </w:r>
      <w:r>
        <w:rPr>
          <w:rFonts w:hint="eastAsia" w:ascii="仿宋_GB2312" w:hAnsi="宋体" w:eastAsia="仿宋_GB2312" w:cs="宋体"/>
          <w:color w:val="000000"/>
          <w:kern w:val="0"/>
          <w:sz w:val="24"/>
          <w:u w:val="single"/>
        </w:rPr>
        <w:t>（生产厂址）</w:t>
      </w:r>
      <w:r>
        <w:rPr>
          <w:rFonts w:hint="eastAsia" w:ascii="仿宋_GB2312" w:hAnsi="宋体" w:eastAsia="仿宋_GB2312" w:cs="宋体"/>
          <w:color w:val="000000"/>
          <w:kern w:val="0"/>
          <w:sz w:val="24"/>
        </w:rPr>
        <w:t>。</w:t>
      </w:r>
    </w:p>
    <w:p w14:paraId="16498ABE">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w:t>
      </w:r>
    </w:p>
    <w:p w14:paraId="79466A2A">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本公司（单位）对上述声明内容的真实性负责。如有虚假，愿承担相应法律责任。</w:t>
      </w:r>
    </w:p>
    <w:p w14:paraId="1F7CDC12">
      <w:pPr>
        <w:spacing w:line="360" w:lineRule="auto"/>
        <w:ind w:right="420" w:firstLine="480" w:firstLineChars="200"/>
        <w:rPr>
          <w:rFonts w:hint="eastAsia" w:ascii="仿宋_GB2312" w:hAnsi="宋体" w:eastAsia="仿宋_GB2312" w:cs="宋体"/>
          <w:color w:val="000000"/>
          <w:kern w:val="0"/>
          <w:sz w:val="24"/>
        </w:rPr>
      </w:pPr>
    </w:p>
    <w:p w14:paraId="3A512B0A">
      <w:pPr>
        <w:spacing w:line="360" w:lineRule="auto"/>
        <w:ind w:right="420" w:firstLine="480" w:firstLineChars="200"/>
        <w:jc w:val="righ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公司（单位）名称（盖章）：　        </w:t>
      </w:r>
    </w:p>
    <w:p w14:paraId="4E7FFA68">
      <w:pPr>
        <w:spacing w:line="360" w:lineRule="auto"/>
        <w:ind w:right="180" w:firstLine="480" w:firstLineChars="200"/>
        <w:jc w:val="righ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日期：    年 　 月　  日         </w:t>
      </w:r>
    </w:p>
    <w:p w14:paraId="2CDFC409">
      <w:pPr>
        <w:spacing w:line="360" w:lineRule="auto"/>
        <w:ind w:right="420" w:firstLine="480" w:firstLineChars="200"/>
        <w:rPr>
          <w:rFonts w:hint="eastAsia" w:ascii="仿宋_GB2312" w:hAnsi="宋体" w:eastAsia="仿宋_GB2312" w:cs="宋体"/>
          <w:color w:val="000000"/>
          <w:kern w:val="0"/>
          <w:sz w:val="24"/>
        </w:rPr>
      </w:pPr>
    </w:p>
    <w:p w14:paraId="2C52F6B6">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注：1.本声明函对应的产品（采购标的）为采购需求所列第3-15项、第17项、第19项、第21-25项、第30-33项、第35项、第37-38项、第40-42项、第45、第47项、48项、第50项、第52-56项、第62项</w:t>
      </w:r>
      <w:r>
        <w:rPr>
          <w:rFonts w:hint="eastAsia" w:ascii="仿宋_GB2312" w:hAnsi="宋体" w:eastAsia="仿宋_GB2312" w:cs="宋体"/>
          <w:b/>
          <w:bCs/>
          <w:color w:val="000000"/>
          <w:kern w:val="0"/>
          <w:sz w:val="24"/>
          <w:highlight w:val="none"/>
        </w:rPr>
        <w:t>，具体情况由投标人自行声明。</w:t>
      </w:r>
    </w:p>
    <w:p w14:paraId="13AAF1A6">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2.生产厂名与厂址应与生产厂营业执照载明的相关信息保持一致。</w:t>
      </w:r>
    </w:p>
    <w:p w14:paraId="60A7EE9F">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3.投标人拟享受该政策的，应当对其提供的产品出具本声明函或财政部会同有关部门规定的有关证明文件。投标人提供虚假《声明函》、虚假证明文件谋取中标、成交的，依照《中华人民共和国政府采购法》等法律法规规定追究相应责任。投标人未出具《关于符合本国产品标准的声明函》或财政部会同有关部门规定的有关证明文件的，该产品视为非本国产品，不能享受价格扣除。</w:t>
      </w:r>
    </w:p>
    <w:p w14:paraId="63BE75B4">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4.若中标人依法享受本国产品优惠政策的，中标人提供的声明函或有关证明文件应当随中标结果同时公告。其他未尽事宜按照《国务院办公厅关于在政府采购中实施本国产品标准及相关政策的通知》（国办发〔2025〕34号）执行。</w:t>
      </w:r>
    </w:p>
    <w:p w14:paraId="5A1D6CCF"/>
    <w:p w14:paraId="7606A88F">
      <w:pPr>
        <w:snapToGrid w:val="0"/>
        <w:spacing w:line="360" w:lineRule="auto"/>
        <w:jc w:val="left"/>
        <w:rPr>
          <w:rFonts w:hint="eastAsia" w:ascii="仿宋_GB2312" w:hAnsi="宋体" w:eastAsia="仿宋_GB2312" w:cs="宋体"/>
          <w:b/>
          <w:bCs/>
          <w:color w:val="000000"/>
          <w:kern w:val="0"/>
          <w:sz w:val="33"/>
          <w:szCs w:val="33"/>
        </w:rPr>
      </w:pPr>
      <w:r>
        <w:rPr>
          <w:rFonts w:hint="eastAsia" w:ascii="仿宋_GB2312" w:hAnsi="宋体" w:eastAsia="仿宋_GB2312" w:cs="宋体"/>
          <w:b/>
          <w:bCs/>
          <w:color w:val="000000"/>
          <w:kern w:val="0"/>
          <w:sz w:val="33"/>
          <w:szCs w:val="33"/>
        </w:rPr>
        <w:t>附件5：关于本国产品比例的承诺函格式</w:t>
      </w:r>
      <w:r>
        <w:rPr>
          <w:rFonts w:hint="eastAsia" w:ascii="仿宋_GB2312" w:eastAsia="仿宋_GB2312"/>
          <w:b/>
          <w:bCs/>
          <w:color w:val="000000"/>
          <w:sz w:val="33"/>
          <w:szCs w:val="33"/>
        </w:rPr>
        <w:t>（当采购项目或者采购包中含有多种产品的，供应商还应当提供本承诺函）：</w:t>
      </w:r>
    </w:p>
    <w:p w14:paraId="2A30F557">
      <w:pPr>
        <w:spacing w:line="360" w:lineRule="auto"/>
        <w:jc w:val="center"/>
        <w:rPr>
          <w:rFonts w:hint="eastAsia" w:ascii="仿宋_GB2312" w:hAnsi="宋体" w:eastAsia="仿宋_GB2312" w:cs="宋体"/>
          <w:b/>
          <w:bCs/>
          <w:color w:val="000000"/>
          <w:kern w:val="0"/>
          <w:sz w:val="33"/>
          <w:szCs w:val="33"/>
        </w:rPr>
      </w:pPr>
    </w:p>
    <w:p w14:paraId="56871F5D">
      <w:pPr>
        <w:spacing w:line="360" w:lineRule="auto"/>
        <w:jc w:val="center"/>
        <w:rPr>
          <w:rFonts w:hint="eastAsia" w:ascii="仿宋_GB2312" w:hAnsi="宋体" w:eastAsia="仿宋_GB2312" w:cs="宋体"/>
          <w:b/>
          <w:bCs/>
          <w:color w:val="000000"/>
          <w:kern w:val="0"/>
          <w:sz w:val="33"/>
          <w:szCs w:val="33"/>
        </w:rPr>
      </w:pPr>
      <w:r>
        <w:rPr>
          <w:rFonts w:hint="eastAsia" w:ascii="仿宋_GB2312" w:hAnsi="宋体" w:eastAsia="仿宋_GB2312" w:cs="宋体"/>
          <w:b/>
          <w:bCs/>
          <w:color w:val="000000"/>
          <w:kern w:val="0"/>
          <w:sz w:val="33"/>
          <w:szCs w:val="33"/>
        </w:rPr>
        <w:t>关于本国产品比例的承诺函</w:t>
      </w:r>
    </w:p>
    <w:p w14:paraId="5938940D">
      <w:pPr>
        <w:spacing w:line="360" w:lineRule="auto"/>
        <w:ind w:right="420" w:firstLine="480" w:firstLineChars="200"/>
        <w:rPr>
          <w:rFonts w:hint="eastAsia" w:ascii="宋体" w:hAnsi="宋体" w:cs="宋体"/>
          <w:sz w:val="24"/>
        </w:rPr>
      </w:pPr>
    </w:p>
    <w:p w14:paraId="19952969">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 xml:space="preserve"> 本公司（单位）郑重声明，根据《国务院办公厅关于在政府采购中实施本国产品标准及相关政策的通知》（国办发〔2025〕34号）的规定，本公司（单位）本次投标所提供的符合本国产品标准的产品成本之和占我公司（单位）本次投标所提供的全部产品成本之和的比例达到80%以上。</w:t>
      </w:r>
    </w:p>
    <w:p w14:paraId="53A1FCB8">
      <w:pPr>
        <w:spacing w:line="360" w:lineRule="auto"/>
        <w:ind w:right="420" w:firstLine="480" w:firstLineChars="200"/>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本公司（单位）对上述声明内容的真实性负责。如有虚假，愿承担相应法律责任。</w:t>
      </w:r>
    </w:p>
    <w:p w14:paraId="1145BE8C">
      <w:pPr>
        <w:spacing w:line="360" w:lineRule="auto"/>
        <w:ind w:right="420" w:firstLine="480" w:firstLineChars="200"/>
        <w:rPr>
          <w:rFonts w:hint="eastAsia" w:ascii="仿宋_GB2312" w:hAnsi="宋体" w:eastAsia="仿宋_GB2312" w:cs="宋体"/>
          <w:color w:val="000000"/>
          <w:kern w:val="0"/>
          <w:sz w:val="24"/>
        </w:rPr>
      </w:pPr>
    </w:p>
    <w:p w14:paraId="55AFB42D">
      <w:pPr>
        <w:spacing w:line="360" w:lineRule="auto"/>
        <w:ind w:right="420" w:firstLine="4320" w:firstLineChars="180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公司（单位）名称（盖章）：　        </w:t>
      </w:r>
    </w:p>
    <w:p w14:paraId="6273A91E">
      <w:pPr>
        <w:spacing w:line="360" w:lineRule="auto"/>
        <w:ind w:right="420" w:firstLine="4560" w:firstLineChars="1900"/>
        <w:jc w:val="left"/>
        <w:rPr>
          <w:rFonts w:hint="eastAsia" w:ascii="仿宋_GB2312" w:hAnsi="宋体" w:eastAsia="仿宋_GB2312" w:cs="宋体"/>
          <w:color w:val="000000"/>
          <w:kern w:val="0"/>
          <w:sz w:val="24"/>
        </w:rPr>
      </w:pPr>
      <w:r>
        <w:rPr>
          <w:rFonts w:hint="eastAsia" w:ascii="仿宋_GB2312" w:hAnsi="宋体" w:eastAsia="仿宋_GB2312" w:cs="宋体"/>
          <w:color w:val="000000"/>
          <w:kern w:val="0"/>
          <w:sz w:val="24"/>
        </w:rPr>
        <w:t>日期：    年 　 月　  日         </w:t>
      </w:r>
    </w:p>
    <w:p w14:paraId="662ABCF3">
      <w:pPr>
        <w:spacing w:line="360" w:lineRule="auto"/>
        <w:ind w:right="420" w:firstLine="482" w:firstLineChars="200"/>
        <w:rPr>
          <w:rFonts w:hint="eastAsia" w:ascii="仿宋_GB2312" w:hAnsi="宋体" w:eastAsia="仿宋_GB2312" w:cs="宋体"/>
          <w:b/>
          <w:bCs/>
          <w:color w:val="000000"/>
          <w:kern w:val="0"/>
          <w:sz w:val="24"/>
        </w:rPr>
      </w:pPr>
    </w:p>
    <w:p w14:paraId="1F0ED8EB">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注：1.当采购项目或者采购包中含有多种产品时，投标人拟享受该政策的，除了对其提供的产品出具《关于符合本国产品标准的声明函》或财政部会同有关部门规定的有关证明文件外，还应当声明其为该采购项目或者采购包提供的符合本国产品标准的产品成本之和占该供应商提供的全部产品成本之和的比例达到80%以上，提供《关于本国产品比例的承诺函》，否则不享受价格扣除政策；</w:t>
      </w:r>
    </w:p>
    <w:p w14:paraId="7064EEA5">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2.若中标人依法享受本国产品优惠政策的，中标人提供的声明函或有关证明文件应当随中标结果同时公告。其他未尽事宜按照《国务院办公厅关于在政府采购中实施本国产品标准及相关政策的通知》（国办发〔2025〕34号）执行。</w:t>
      </w:r>
    </w:p>
    <w:p w14:paraId="0426AA09">
      <w:pPr>
        <w:spacing w:line="360" w:lineRule="auto"/>
        <w:ind w:right="420" w:firstLine="482" w:firstLineChars="200"/>
        <w:rPr>
          <w:rFonts w:hint="eastAsia" w:ascii="仿宋_GB2312" w:hAnsi="宋体" w:eastAsia="仿宋_GB2312" w:cs="宋体"/>
          <w:b/>
          <w:bCs/>
          <w:color w:val="000000"/>
          <w:kern w:val="0"/>
          <w:sz w:val="24"/>
        </w:rPr>
      </w:pPr>
      <w:r>
        <w:rPr>
          <w:rFonts w:hint="eastAsia" w:ascii="仿宋_GB2312" w:hAnsi="宋体" w:eastAsia="仿宋_GB2312" w:cs="宋体"/>
          <w:b/>
          <w:bCs/>
          <w:color w:val="000000"/>
          <w:kern w:val="0"/>
          <w:sz w:val="24"/>
        </w:rPr>
        <w:t>3.当采购项目或者采购包中仅含有单一产品时，无须提供本声明函。</w:t>
      </w:r>
    </w:p>
    <w:p w14:paraId="6F3CE932">
      <w:pPr>
        <w:pStyle w:val="390"/>
        <w:rPr>
          <w:rFonts w:hint="eastAsia" w:ascii="仿宋_GB2312" w:eastAsia="仿宋_GB2312"/>
          <w:b/>
          <w:bCs/>
          <w:color w:val="000000"/>
        </w:rPr>
      </w:pPr>
    </w:p>
    <w:p w14:paraId="7D2E2657">
      <w:pPr>
        <w:pStyle w:val="390"/>
        <w:rPr>
          <w:rFonts w:hint="eastAsia" w:ascii="仿宋_GB2312" w:eastAsia="仿宋_GB2312"/>
          <w:b/>
          <w:bCs/>
          <w:color w:val="000000"/>
        </w:rPr>
      </w:pPr>
    </w:p>
    <w:p w14:paraId="3BD4821D">
      <w:pPr>
        <w:pStyle w:val="390"/>
        <w:rPr>
          <w:rFonts w:hint="eastAsia" w:ascii="仿宋_GB2312" w:eastAsia="仿宋_GB2312"/>
          <w:b/>
          <w:bCs/>
          <w:color w:val="000000"/>
        </w:rPr>
      </w:pPr>
      <w:r>
        <w:rPr>
          <w:rFonts w:hint="eastAsia" w:ascii="仿宋_GB2312" w:eastAsia="仿宋_GB2312"/>
          <w:b/>
          <w:bCs/>
          <w:color w:val="000000"/>
        </w:rPr>
        <w:t>（2）投标报价明细表格式（必须提供）：</w:t>
      </w:r>
    </w:p>
    <w:p w14:paraId="3F17DED5">
      <w:pPr>
        <w:pStyle w:val="390"/>
        <w:jc w:val="center"/>
        <w:rPr>
          <w:rFonts w:hint="eastAsia" w:ascii="仿宋_GB2312" w:eastAsia="仿宋_GB2312"/>
          <w:color w:val="000000"/>
        </w:rPr>
      </w:pPr>
      <w:r>
        <w:rPr>
          <w:rFonts w:hint="eastAsia" w:ascii="仿宋_GB2312" w:eastAsia="仿宋_GB2312"/>
          <w:b/>
          <w:bCs/>
          <w:color w:val="000000"/>
          <w:sz w:val="33"/>
          <w:szCs w:val="33"/>
        </w:rPr>
        <w:t>投标报价明细表</w:t>
      </w:r>
    </w:p>
    <w:p w14:paraId="1C5C525F">
      <w:pPr>
        <w:pStyle w:val="390"/>
        <w:spacing w:line="405" w:lineRule="atLeast"/>
        <w:rPr>
          <w:rFonts w:hint="eastAsia" w:ascii="仿宋_GB2312" w:eastAsia="仿宋_GB2312"/>
          <w:color w:val="000000"/>
        </w:rPr>
      </w:pPr>
      <w:r>
        <w:rPr>
          <w:rFonts w:hint="eastAsia" w:ascii="仿宋_GB2312" w:eastAsia="仿宋_GB2312"/>
          <w:color w:val="000000"/>
        </w:rPr>
        <w:t>    项目名称：</w:t>
      </w:r>
    </w:p>
    <w:p w14:paraId="4E0A5E48">
      <w:pPr>
        <w:pStyle w:val="390"/>
        <w:spacing w:line="405" w:lineRule="atLeast"/>
        <w:rPr>
          <w:rFonts w:hint="eastAsia" w:ascii="仿宋_GB2312" w:eastAsia="仿宋_GB2312"/>
          <w:color w:val="000000"/>
        </w:rPr>
      </w:pPr>
      <w:r>
        <w:rPr>
          <w:rFonts w:hint="eastAsia" w:ascii="仿宋_GB2312" w:eastAsia="仿宋_GB2312"/>
          <w:color w:val="000000"/>
        </w:rPr>
        <w:t>    项目编号：</w:t>
      </w:r>
    </w:p>
    <w:p w14:paraId="6520FC76">
      <w:pPr>
        <w:pStyle w:val="390"/>
        <w:jc w:val="right"/>
        <w:rPr>
          <w:rFonts w:hint="eastAsia" w:ascii="仿宋_GB2312" w:eastAsia="仿宋_GB2312"/>
          <w:color w:val="000000"/>
        </w:rPr>
      </w:pPr>
      <w:r>
        <w:rPr>
          <w:rFonts w:hint="eastAsia" w:ascii="仿宋_GB2312" w:eastAsia="仿宋_GB2312"/>
          <w:color w:val="000000"/>
        </w:rPr>
        <w:t> 金额单位：人民币（元）</w:t>
      </w:r>
    </w:p>
    <w:tbl>
      <w:tblPr>
        <w:tblStyle w:val="48"/>
        <w:tblW w:w="493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756"/>
        <w:gridCol w:w="1272"/>
        <w:gridCol w:w="1141"/>
        <w:gridCol w:w="826"/>
        <w:gridCol w:w="1249"/>
        <w:gridCol w:w="1411"/>
        <w:gridCol w:w="958"/>
        <w:gridCol w:w="1435"/>
      </w:tblGrid>
      <w:tr w14:paraId="22E9096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70" w:hRule="atLeast"/>
          <w:jc w:val="center"/>
        </w:trPr>
        <w:tc>
          <w:tcPr>
            <w:tcW w:w="7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7572A2">
            <w:pPr>
              <w:pStyle w:val="824"/>
              <w:jc w:val="center"/>
              <w:rPr>
                <w:rFonts w:hint="eastAsia" w:ascii="仿宋_GB2312" w:eastAsia="仿宋_GB2312"/>
                <w:color w:val="000000"/>
              </w:rPr>
            </w:pPr>
            <w:r>
              <w:rPr>
                <w:rFonts w:hint="eastAsia" w:ascii="仿宋_GB2312" w:eastAsia="仿宋_GB2312"/>
                <w:color w:val="000000"/>
              </w:rPr>
              <w:t>序号</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425AB22">
            <w:pPr>
              <w:pStyle w:val="824"/>
              <w:jc w:val="center"/>
              <w:rPr>
                <w:rFonts w:hint="eastAsia" w:ascii="仿宋_GB2312" w:eastAsia="仿宋_GB2312"/>
                <w:color w:val="000000"/>
              </w:rPr>
            </w:pPr>
            <w:r>
              <w:rPr>
                <w:rFonts w:hint="eastAsia" w:ascii="仿宋_GB2312" w:eastAsia="仿宋_GB2312"/>
                <w:color w:val="000000"/>
              </w:rPr>
              <w:t>货物名称</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EB4969">
            <w:pPr>
              <w:pStyle w:val="824"/>
              <w:jc w:val="center"/>
              <w:rPr>
                <w:rFonts w:hint="eastAsia" w:ascii="仿宋_GB2312" w:eastAsia="仿宋_GB2312"/>
                <w:color w:val="000000"/>
              </w:rPr>
            </w:pPr>
            <w:r>
              <w:rPr>
                <w:rFonts w:hint="eastAsia" w:ascii="仿宋_GB2312" w:eastAsia="仿宋_GB2312"/>
                <w:color w:val="000000"/>
              </w:rPr>
              <w:t>生产厂家</w:t>
            </w:r>
          </w:p>
        </w:tc>
        <w:tc>
          <w:tcPr>
            <w:tcW w:w="8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CD5E4A">
            <w:pPr>
              <w:pStyle w:val="824"/>
              <w:jc w:val="center"/>
              <w:rPr>
                <w:rFonts w:hint="eastAsia" w:ascii="仿宋_GB2312" w:eastAsia="仿宋_GB2312"/>
                <w:color w:val="000000"/>
              </w:rPr>
            </w:pPr>
            <w:r>
              <w:rPr>
                <w:rFonts w:hint="eastAsia" w:ascii="仿宋_GB2312" w:eastAsia="仿宋_GB2312"/>
                <w:color w:val="000000"/>
              </w:rPr>
              <w:t>品牌</w:t>
            </w:r>
          </w:p>
        </w:tc>
        <w:tc>
          <w:tcPr>
            <w:tcW w:w="122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17D7504">
            <w:pPr>
              <w:pStyle w:val="824"/>
              <w:jc w:val="center"/>
              <w:rPr>
                <w:rFonts w:hint="eastAsia" w:ascii="仿宋_GB2312" w:eastAsia="仿宋_GB2312"/>
                <w:color w:val="000000"/>
              </w:rPr>
            </w:pPr>
            <w:r>
              <w:rPr>
                <w:rFonts w:hint="eastAsia" w:ascii="仿宋_GB2312" w:eastAsia="仿宋_GB2312"/>
                <w:color w:val="000000"/>
              </w:rPr>
              <w:t>规格型号</w:t>
            </w:r>
          </w:p>
        </w:tc>
        <w:tc>
          <w:tcPr>
            <w:tcW w:w="13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235F36">
            <w:pPr>
              <w:pStyle w:val="824"/>
              <w:jc w:val="center"/>
              <w:rPr>
                <w:rFonts w:hint="eastAsia" w:ascii="仿宋_GB2312" w:eastAsia="仿宋_GB2312"/>
                <w:color w:val="000000"/>
              </w:rPr>
            </w:pPr>
            <w:r>
              <w:rPr>
                <w:rFonts w:hint="eastAsia" w:ascii="仿宋_GB2312" w:eastAsia="仿宋_GB2312"/>
                <w:color w:val="000000"/>
              </w:rPr>
              <w:t>数量及单位</w:t>
            </w:r>
          </w:p>
        </w:tc>
        <w:tc>
          <w:tcPr>
            <w:tcW w:w="94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A3DEC81">
            <w:pPr>
              <w:pStyle w:val="824"/>
              <w:jc w:val="center"/>
              <w:rPr>
                <w:rFonts w:hint="eastAsia" w:ascii="仿宋_GB2312" w:eastAsia="仿宋_GB2312"/>
                <w:color w:val="000000"/>
              </w:rPr>
            </w:pPr>
            <w:r>
              <w:rPr>
                <w:rFonts w:hint="eastAsia" w:ascii="仿宋_GB2312" w:eastAsia="仿宋_GB2312"/>
                <w:color w:val="000000"/>
              </w:rPr>
              <w:t>单价</w:t>
            </w:r>
          </w:p>
        </w:tc>
        <w:tc>
          <w:tcPr>
            <w:tcW w:w="14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5F06600">
            <w:pPr>
              <w:pStyle w:val="824"/>
              <w:jc w:val="center"/>
              <w:rPr>
                <w:rFonts w:hint="eastAsia" w:ascii="仿宋_GB2312" w:eastAsia="仿宋_GB2312"/>
                <w:color w:val="000000"/>
              </w:rPr>
            </w:pPr>
            <w:r>
              <w:rPr>
                <w:rFonts w:hint="eastAsia" w:ascii="仿宋_GB2312" w:eastAsia="仿宋_GB2312"/>
                <w:color w:val="000000"/>
              </w:rPr>
              <w:t>单项合价</w:t>
            </w:r>
          </w:p>
        </w:tc>
      </w:tr>
      <w:tr w14:paraId="3FDC53C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240" w:hRule="atLeast"/>
          <w:jc w:val="center"/>
        </w:trPr>
        <w:tc>
          <w:tcPr>
            <w:tcW w:w="7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DB12B34">
            <w:pPr>
              <w:pStyle w:val="824"/>
              <w:jc w:val="center"/>
              <w:rPr>
                <w:rFonts w:hint="eastAsia" w:ascii="仿宋_GB2312" w:eastAsia="仿宋_GB2312"/>
                <w:color w:val="000000"/>
              </w:rPr>
            </w:pPr>
            <w:r>
              <w:rPr>
                <w:rFonts w:hint="eastAsia" w:ascii="仿宋_GB2312" w:eastAsia="仿宋_GB2312"/>
                <w:color w:val="000000"/>
              </w:rPr>
              <w:t>1</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34A8EC3">
            <w:pPr>
              <w:pStyle w:val="824"/>
              <w:jc w:val="center"/>
              <w:rPr>
                <w:rFonts w:hint="eastAsia"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7D0B38C">
            <w:pPr>
              <w:pStyle w:val="824"/>
              <w:jc w:val="center"/>
              <w:rPr>
                <w:rFonts w:hint="eastAsia" w:ascii="仿宋_GB2312" w:eastAsia="仿宋_GB2312"/>
                <w:color w:val="000000"/>
              </w:rPr>
            </w:pPr>
            <w:r>
              <w:rPr>
                <w:rFonts w:hint="eastAsia" w:ascii="仿宋_GB2312" w:eastAsia="仿宋_GB2312"/>
                <w:color w:val="000000"/>
              </w:rPr>
              <w:t> </w:t>
            </w:r>
          </w:p>
        </w:tc>
        <w:tc>
          <w:tcPr>
            <w:tcW w:w="8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C468BA5">
            <w:pPr>
              <w:pStyle w:val="824"/>
              <w:jc w:val="center"/>
              <w:rPr>
                <w:rFonts w:hint="eastAsia" w:ascii="仿宋_GB2312" w:eastAsia="仿宋_GB2312"/>
                <w:color w:val="000000"/>
              </w:rPr>
            </w:pPr>
            <w:r>
              <w:rPr>
                <w:rFonts w:hint="eastAsia" w:ascii="仿宋_GB2312" w:eastAsia="仿宋_GB2312"/>
                <w:color w:val="000000"/>
              </w:rPr>
              <w:t> </w:t>
            </w:r>
          </w:p>
        </w:tc>
        <w:tc>
          <w:tcPr>
            <w:tcW w:w="122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27C8725">
            <w:pPr>
              <w:pStyle w:val="824"/>
              <w:jc w:val="center"/>
              <w:rPr>
                <w:rFonts w:hint="eastAsia" w:ascii="仿宋_GB2312" w:eastAsia="仿宋_GB2312"/>
                <w:color w:val="000000"/>
              </w:rPr>
            </w:pPr>
            <w:r>
              <w:rPr>
                <w:rFonts w:hint="eastAsia" w:ascii="仿宋_GB2312" w:eastAsia="仿宋_GB2312"/>
                <w:color w:val="000000"/>
              </w:rPr>
              <w:t> </w:t>
            </w:r>
          </w:p>
        </w:tc>
        <w:tc>
          <w:tcPr>
            <w:tcW w:w="13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A9A8F86">
            <w:pPr>
              <w:pStyle w:val="824"/>
              <w:jc w:val="center"/>
              <w:rPr>
                <w:rFonts w:hint="eastAsia" w:ascii="仿宋_GB2312" w:eastAsia="仿宋_GB2312"/>
                <w:color w:val="000000"/>
              </w:rPr>
            </w:pPr>
            <w:r>
              <w:rPr>
                <w:rFonts w:hint="eastAsia" w:ascii="仿宋_GB2312" w:eastAsia="仿宋_GB2312"/>
                <w:color w:val="000000"/>
              </w:rPr>
              <w:t> </w:t>
            </w:r>
          </w:p>
        </w:tc>
        <w:tc>
          <w:tcPr>
            <w:tcW w:w="94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F7EFEBE">
            <w:pPr>
              <w:pStyle w:val="824"/>
              <w:jc w:val="center"/>
              <w:rPr>
                <w:rFonts w:hint="eastAsia" w:ascii="仿宋_GB2312" w:eastAsia="仿宋_GB2312"/>
                <w:color w:val="000000"/>
              </w:rPr>
            </w:pPr>
            <w:r>
              <w:rPr>
                <w:rFonts w:hint="eastAsia" w:ascii="仿宋_GB2312" w:eastAsia="仿宋_GB2312"/>
                <w:color w:val="000000"/>
              </w:rPr>
              <w:t> </w:t>
            </w:r>
          </w:p>
        </w:tc>
        <w:tc>
          <w:tcPr>
            <w:tcW w:w="14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CFFC31">
            <w:pPr>
              <w:pStyle w:val="824"/>
              <w:jc w:val="center"/>
              <w:rPr>
                <w:rFonts w:hint="eastAsia" w:ascii="仿宋_GB2312" w:eastAsia="仿宋_GB2312"/>
                <w:color w:val="000000"/>
              </w:rPr>
            </w:pPr>
            <w:r>
              <w:rPr>
                <w:rFonts w:hint="eastAsia" w:ascii="仿宋_GB2312" w:eastAsia="仿宋_GB2312"/>
                <w:color w:val="000000"/>
              </w:rPr>
              <w:t>  </w:t>
            </w:r>
          </w:p>
        </w:tc>
      </w:tr>
      <w:tr w14:paraId="732CF339">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7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0BB46B4">
            <w:pPr>
              <w:pStyle w:val="824"/>
              <w:jc w:val="center"/>
              <w:rPr>
                <w:rFonts w:hint="eastAsia" w:ascii="仿宋_GB2312" w:eastAsia="仿宋_GB2312"/>
                <w:color w:val="000000"/>
              </w:rPr>
            </w:pPr>
            <w:r>
              <w:rPr>
                <w:rFonts w:hint="eastAsia" w:ascii="仿宋_GB2312" w:eastAsia="仿宋_GB2312"/>
                <w:color w:val="000000"/>
              </w:rPr>
              <w:t>2</w:t>
            </w:r>
          </w:p>
        </w:tc>
        <w:tc>
          <w:tcPr>
            <w:tcW w:w="1251"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8A6213C">
            <w:pPr>
              <w:pStyle w:val="824"/>
              <w:jc w:val="center"/>
              <w:rPr>
                <w:rFonts w:hint="eastAsia" w:ascii="仿宋_GB2312" w:eastAsia="仿宋_GB2312"/>
                <w:color w:val="000000"/>
              </w:rPr>
            </w:pPr>
            <w:r>
              <w:rPr>
                <w:rFonts w:hint="eastAsia" w:ascii="仿宋_GB2312" w:eastAsia="仿宋_GB2312"/>
                <w:color w:val="000000"/>
              </w:rPr>
              <w:t> </w:t>
            </w:r>
          </w:p>
        </w:tc>
        <w:tc>
          <w:tcPr>
            <w:tcW w:w="112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EC50580">
            <w:pPr>
              <w:pStyle w:val="824"/>
              <w:jc w:val="center"/>
              <w:rPr>
                <w:rFonts w:hint="eastAsia" w:ascii="仿宋_GB2312" w:eastAsia="仿宋_GB2312"/>
                <w:color w:val="000000"/>
              </w:rPr>
            </w:pPr>
            <w:r>
              <w:rPr>
                <w:rFonts w:hint="eastAsia" w:ascii="仿宋_GB2312" w:eastAsia="仿宋_GB2312"/>
                <w:color w:val="000000"/>
              </w:rPr>
              <w:t> </w:t>
            </w:r>
          </w:p>
        </w:tc>
        <w:tc>
          <w:tcPr>
            <w:tcW w:w="8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4D25613">
            <w:pPr>
              <w:pStyle w:val="824"/>
              <w:jc w:val="center"/>
              <w:rPr>
                <w:rFonts w:hint="eastAsia" w:ascii="仿宋_GB2312" w:eastAsia="仿宋_GB2312"/>
                <w:color w:val="000000"/>
              </w:rPr>
            </w:pPr>
            <w:r>
              <w:rPr>
                <w:rFonts w:hint="eastAsia" w:ascii="仿宋_GB2312" w:eastAsia="仿宋_GB2312"/>
                <w:color w:val="000000"/>
              </w:rPr>
              <w:t> </w:t>
            </w:r>
          </w:p>
        </w:tc>
        <w:tc>
          <w:tcPr>
            <w:tcW w:w="1229"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DA0034F">
            <w:pPr>
              <w:pStyle w:val="824"/>
              <w:jc w:val="center"/>
              <w:rPr>
                <w:rFonts w:hint="eastAsia" w:ascii="仿宋_GB2312" w:eastAsia="仿宋_GB2312"/>
                <w:color w:val="000000"/>
              </w:rPr>
            </w:pPr>
            <w:r>
              <w:rPr>
                <w:rFonts w:hint="eastAsia" w:ascii="仿宋_GB2312" w:eastAsia="仿宋_GB2312"/>
                <w:color w:val="000000"/>
              </w:rPr>
              <w:t> </w:t>
            </w:r>
          </w:p>
        </w:tc>
        <w:tc>
          <w:tcPr>
            <w:tcW w:w="1388"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3F2C64F">
            <w:pPr>
              <w:pStyle w:val="824"/>
              <w:jc w:val="center"/>
              <w:rPr>
                <w:rFonts w:hint="eastAsia" w:ascii="仿宋_GB2312" w:eastAsia="仿宋_GB2312"/>
                <w:color w:val="000000"/>
              </w:rPr>
            </w:pPr>
            <w:r>
              <w:rPr>
                <w:rFonts w:hint="eastAsia" w:ascii="仿宋_GB2312" w:eastAsia="仿宋_GB2312"/>
                <w:color w:val="000000"/>
              </w:rPr>
              <w:t> </w:t>
            </w:r>
          </w:p>
        </w:tc>
        <w:tc>
          <w:tcPr>
            <w:tcW w:w="94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3765008">
            <w:pPr>
              <w:pStyle w:val="824"/>
              <w:jc w:val="center"/>
              <w:rPr>
                <w:rFonts w:hint="eastAsia" w:ascii="仿宋_GB2312" w:eastAsia="仿宋_GB2312"/>
                <w:color w:val="000000"/>
              </w:rPr>
            </w:pPr>
            <w:r>
              <w:rPr>
                <w:rFonts w:hint="eastAsia" w:ascii="仿宋_GB2312" w:eastAsia="仿宋_GB2312"/>
                <w:color w:val="000000"/>
              </w:rPr>
              <w:t> </w:t>
            </w:r>
          </w:p>
        </w:tc>
        <w:tc>
          <w:tcPr>
            <w:tcW w:w="1412"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F7B9526">
            <w:pPr>
              <w:pStyle w:val="824"/>
              <w:jc w:val="center"/>
              <w:rPr>
                <w:rFonts w:hint="eastAsia" w:ascii="仿宋_GB2312" w:eastAsia="仿宋_GB2312"/>
                <w:color w:val="000000"/>
              </w:rPr>
            </w:pPr>
            <w:r>
              <w:rPr>
                <w:rFonts w:hint="eastAsia" w:ascii="仿宋_GB2312" w:eastAsia="仿宋_GB2312"/>
                <w:color w:val="000000"/>
              </w:rPr>
              <w:t>  </w:t>
            </w:r>
          </w:p>
        </w:tc>
      </w:tr>
      <w:tr w14:paraId="51C10CB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50" w:hRule="atLeast"/>
          <w:jc w:val="center"/>
        </w:trPr>
        <w:tc>
          <w:tcPr>
            <w:tcW w:w="3930"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907578C">
            <w:pPr>
              <w:pStyle w:val="824"/>
              <w:jc w:val="center"/>
              <w:rPr>
                <w:rFonts w:hint="eastAsia" w:ascii="仿宋_GB2312" w:eastAsia="仿宋_GB2312"/>
                <w:color w:val="000000"/>
              </w:rPr>
            </w:pPr>
            <w:r>
              <w:rPr>
                <w:rFonts w:hint="eastAsia" w:ascii="仿宋_GB2312" w:eastAsia="仿宋_GB2312"/>
                <w:color w:val="000000"/>
              </w:rPr>
              <w:t>专用耗材</w:t>
            </w:r>
          </w:p>
        </w:tc>
        <w:tc>
          <w:tcPr>
            <w:tcW w:w="4971" w:type="dxa"/>
            <w:gridSpan w:val="4"/>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8288EF9">
            <w:pPr>
              <w:pStyle w:val="824"/>
              <w:jc w:val="center"/>
              <w:rPr>
                <w:rFonts w:hint="eastAsia" w:ascii="仿宋_GB2312" w:eastAsia="仿宋_GB2312"/>
                <w:color w:val="000000"/>
              </w:rPr>
            </w:pPr>
            <w:r>
              <w:rPr>
                <w:rFonts w:hint="eastAsia" w:ascii="仿宋_GB2312" w:eastAsia="仿宋_GB2312"/>
                <w:color w:val="000000"/>
              </w:rPr>
              <w:t>已含在投标报价中</w:t>
            </w:r>
          </w:p>
        </w:tc>
      </w:tr>
      <w:tr w14:paraId="0F234CF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05" w:hRule="atLeast"/>
          <w:jc w:val="center"/>
        </w:trPr>
        <w:tc>
          <w:tcPr>
            <w:tcW w:w="8901" w:type="dxa"/>
            <w:gridSpan w:val="8"/>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993202">
            <w:pPr>
              <w:pStyle w:val="824"/>
              <w:spacing w:line="405" w:lineRule="atLeast"/>
              <w:rPr>
                <w:rFonts w:hint="eastAsia" w:ascii="仿宋_GB2312" w:eastAsia="仿宋_GB2312"/>
                <w:color w:val="000000"/>
              </w:rPr>
            </w:pPr>
            <w:r>
              <w:rPr>
                <w:rFonts w:hint="eastAsia" w:ascii="仿宋_GB2312" w:eastAsia="仿宋_GB2312"/>
                <w:color w:val="000000"/>
              </w:rPr>
              <w:t>投标总价大写：</w:t>
            </w:r>
            <w:r>
              <w:rPr>
                <w:rFonts w:hint="eastAsia" w:ascii="仿宋_GB2312" w:eastAsia="仿宋_GB2312"/>
                <w:color w:val="000000"/>
                <w:u w:val="single"/>
              </w:rPr>
              <w:t>          </w:t>
            </w:r>
            <w:r>
              <w:rPr>
                <w:rFonts w:hint="eastAsia" w:ascii="仿宋_GB2312" w:eastAsia="仿宋_GB2312"/>
                <w:color w:val="000000"/>
              </w:rPr>
              <w:t>                ¥</w:t>
            </w:r>
            <w:r>
              <w:rPr>
                <w:rFonts w:hint="eastAsia" w:ascii="仿宋_GB2312" w:eastAsia="仿宋_GB2312"/>
                <w:color w:val="000000"/>
                <w:u w:val="single"/>
              </w:rPr>
              <w:t>       </w:t>
            </w:r>
          </w:p>
        </w:tc>
      </w:tr>
    </w:tbl>
    <w:p w14:paraId="42A2E8C7">
      <w:pPr>
        <w:rPr>
          <w:rFonts w:ascii="仿宋_GB2312" w:eastAsia="仿宋_GB2312"/>
          <w:color w:val="000000"/>
        </w:rPr>
      </w:pPr>
      <w:r>
        <w:rPr>
          <w:rFonts w:hint="eastAsia" w:ascii="仿宋_GB2312" w:eastAsia="仿宋_GB2312"/>
          <w:color w:val="000000"/>
        </w:rPr>
        <w:t> </w:t>
      </w:r>
    </w:p>
    <w:p w14:paraId="6CEC105E">
      <w:pPr>
        <w:pStyle w:val="390"/>
        <w:spacing w:line="405" w:lineRule="atLeast"/>
        <w:rPr>
          <w:rFonts w:hint="eastAsia" w:ascii="仿宋_GB2312" w:eastAsia="仿宋_GB2312"/>
          <w:color w:val="000000"/>
        </w:rPr>
      </w:pPr>
      <w:r>
        <w:rPr>
          <w:rFonts w:hint="eastAsia" w:ascii="仿宋_GB2312" w:eastAsia="仿宋_GB2312"/>
          <w:color w:val="000000"/>
        </w:rPr>
        <w:t>    注：</w:t>
      </w:r>
      <w:r>
        <w:rPr>
          <w:rFonts w:hint="eastAsia" w:ascii="仿宋_GB2312" w:eastAsia="仿宋_GB2312"/>
          <w:b/>
          <w:bCs/>
          <w:color w:val="000000"/>
        </w:rPr>
        <w:t>1.此项材料必须以PDF格式上传；</w:t>
      </w:r>
      <w:r>
        <w:rPr>
          <w:rFonts w:hint="eastAsia" w:ascii="仿宋_GB2312" w:eastAsia="仿宋_GB2312"/>
          <w:color w:val="000000"/>
        </w:rPr>
        <w:br w:type="textWrapping"/>
      </w:r>
      <w:r>
        <w:rPr>
          <w:rFonts w:hint="eastAsia" w:ascii="仿宋_GB2312" w:eastAsia="仿宋_GB2312"/>
          <w:color w:val="000000"/>
        </w:rPr>
        <w:t>    2.报价一经涂改，应在涂改处加盖投标人CA电子签章或者由法定代表人或授权委托代理人签字或盖章，否则其投标作无效标处理。</w:t>
      </w:r>
      <w:r>
        <w:rPr>
          <w:rFonts w:hint="eastAsia" w:ascii="仿宋_GB2312" w:eastAsia="仿宋_GB2312"/>
          <w:color w:val="000000"/>
        </w:rPr>
        <w:br w:type="textWrapping"/>
      </w:r>
      <w:r>
        <w:rPr>
          <w:rFonts w:hint="eastAsia" w:ascii="仿宋_GB2312" w:eastAsia="仿宋_GB2312"/>
          <w:color w:val="000000"/>
        </w:rPr>
        <w:t>    3.投标报价包括货物及货物运抵指定交付地点的所有成本、各种费用的总和；</w:t>
      </w:r>
      <w:r>
        <w:rPr>
          <w:rFonts w:hint="eastAsia" w:ascii="仿宋_GB2312" w:eastAsia="仿宋_GB2312"/>
          <w:color w:val="000000"/>
        </w:rPr>
        <w:br w:type="textWrapping"/>
      </w:r>
      <w:r>
        <w:rPr>
          <w:rFonts w:hint="eastAsia" w:ascii="仿宋_GB2312" w:eastAsia="仿宋_GB2312"/>
          <w:b/>
          <w:bCs/>
          <w:color w:val="000000"/>
        </w:rPr>
        <w:t xml:space="preserve">    </w:t>
      </w:r>
      <w:r>
        <w:rPr>
          <w:rFonts w:hint="eastAsia" w:ascii="仿宋_GB2312" w:eastAsia="仿宋_GB2312"/>
          <w:color w:val="000000"/>
        </w:rPr>
        <w:t xml:space="preserve"> 4投标报价明细表单价汇总须与投标总价一致，投标总价须与开标一览表投标总报价一致。</w:t>
      </w:r>
    </w:p>
    <w:p w14:paraId="3E8C50F4">
      <w:pPr>
        <w:pStyle w:val="390"/>
        <w:spacing w:line="405" w:lineRule="atLeast"/>
        <w:rPr>
          <w:rFonts w:hint="eastAsia" w:ascii="仿宋_GB2312" w:eastAsia="仿宋_GB2312"/>
          <w:color w:val="000000"/>
        </w:rPr>
      </w:pPr>
      <w:r>
        <w:rPr>
          <w:rFonts w:hint="eastAsia" w:ascii="仿宋_GB2312" w:eastAsia="仿宋_GB2312"/>
          <w:color w:val="000000"/>
        </w:rPr>
        <w:t> </w:t>
      </w:r>
    </w:p>
    <w:p w14:paraId="4E8A1F8F">
      <w:pPr>
        <w:pStyle w:val="390"/>
        <w:ind w:left="-2"/>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b/>
          <w:bCs/>
          <w:color w:val="000000"/>
          <w:u w:val="single"/>
        </w:rPr>
        <w:t>       </w:t>
      </w:r>
    </w:p>
    <w:p w14:paraId="0824063B">
      <w:pPr>
        <w:pStyle w:val="390"/>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7B54ADE">
      <w:pPr>
        <w:pStyle w:val="390"/>
        <w:jc w:val="right"/>
        <w:rPr>
          <w:rFonts w:hint="eastAsia" w:ascii="仿宋_GB2312" w:eastAsia="仿宋_GB2312"/>
          <w:color w:val="000000"/>
        </w:rPr>
      </w:pPr>
      <w:r>
        <w:rPr>
          <w:rFonts w:hint="eastAsia" w:ascii="仿宋_GB2312" w:eastAsia="仿宋_GB2312"/>
          <w:color w:val="000000"/>
        </w:rPr>
        <w:t>                                                          日期：   年 月 日</w:t>
      </w:r>
    </w:p>
    <w:p w14:paraId="321C5272">
      <w:pPr>
        <w:spacing w:line="320" w:lineRule="exact"/>
        <w:ind w:right="360" w:firstLine="480"/>
        <w:jc w:val="righ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5C260384">
      <w:pPr>
        <w:snapToGrid w:val="0"/>
        <w:spacing w:before="120" w:beforeLines="50" w:after="50" w:line="400" w:lineRule="exact"/>
        <w:outlineLvl w:val="1"/>
        <w:rPr>
          <w:rFonts w:ascii="仿宋_GB2312" w:eastAsia="仿宋_GB2312"/>
          <w:b/>
          <w:bCs/>
          <w:szCs w:val="21"/>
        </w:rPr>
      </w:pPr>
    </w:p>
    <w:p w14:paraId="3961C72E">
      <w:pPr>
        <w:snapToGrid w:val="0"/>
        <w:spacing w:before="120" w:beforeLines="50" w:after="50" w:line="400" w:lineRule="exact"/>
        <w:outlineLvl w:val="1"/>
        <w:rPr>
          <w:rFonts w:ascii="仿宋_GB2312" w:eastAsia="仿宋_GB2312"/>
          <w:b/>
          <w:bCs/>
          <w:szCs w:val="21"/>
        </w:rPr>
      </w:pPr>
    </w:p>
    <w:p w14:paraId="7722FC96">
      <w:pPr>
        <w:snapToGrid w:val="0"/>
        <w:spacing w:before="120" w:beforeLines="50" w:after="50" w:line="400" w:lineRule="exact"/>
        <w:outlineLvl w:val="1"/>
        <w:rPr>
          <w:rFonts w:ascii="仿宋_GB2312" w:eastAsia="仿宋_GB2312"/>
          <w:b/>
          <w:bCs/>
          <w:szCs w:val="21"/>
        </w:rPr>
      </w:pPr>
    </w:p>
    <w:p w14:paraId="1440EE45">
      <w:pPr>
        <w:snapToGrid w:val="0"/>
        <w:spacing w:before="120" w:beforeLines="50" w:after="50" w:line="400" w:lineRule="exact"/>
        <w:outlineLvl w:val="1"/>
        <w:rPr>
          <w:rFonts w:ascii="仿宋_GB2312" w:eastAsia="仿宋_GB2312"/>
          <w:b/>
          <w:bCs/>
          <w:szCs w:val="21"/>
        </w:rPr>
      </w:pPr>
    </w:p>
    <w:p w14:paraId="1A019693">
      <w:pPr>
        <w:snapToGrid w:val="0"/>
        <w:spacing w:before="120" w:beforeLines="50" w:after="50" w:line="400" w:lineRule="exact"/>
        <w:outlineLvl w:val="1"/>
        <w:rPr>
          <w:rFonts w:ascii="仿宋_GB2312" w:eastAsia="仿宋_GB2312"/>
          <w:b/>
          <w:bCs/>
          <w:szCs w:val="21"/>
        </w:rPr>
      </w:pPr>
    </w:p>
    <w:p w14:paraId="49FA4025">
      <w:pPr>
        <w:snapToGrid w:val="0"/>
        <w:spacing w:before="120" w:beforeLines="50" w:after="50" w:line="400" w:lineRule="exact"/>
        <w:outlineLvl w:val="1"/>
        <w:rPr>
          <w:rFonts w:ascii="仿宋_GB2312" w:eastAsia="仿宋_GB2312"/>
          <w:b/>
          <w:bCs/>
          <w:szCs w:val="21"/>
        </w:rPr>
      </w:pPr>
    </w:p>
    <w:p w14:paraId="207BB4DE">
      <w:pPr>
        <w:snapToGrid w:val="0"/>
        <w:spacing w:before="120" w:beforeLines="50" w:after="50" w:line="400" w:lineRule="exact"/>
        <w:outlineLvl w:val="1"/>
        <w:rPr>
          <w:rFonts w:ascii="仿宋_GB2312" w:eastAsia="仿宋_GB2312"/>
          <w:b/>
          <w:bCs/>
          <w:szCs w:val="21"/>
        </w:rPr>
      </w:pPr>
    </w:p>
    <w:p w14:paraId="44D671EE">
      <w:pPr>
        <w:snapToGrid w:val="0"/>
        <w:spacing w:before="120" w:beforeLines="50" w:after="50" w:line="400" w:lineRule="exact"/>
        <w:outlineLvl w:val="1"/>
        <w:rPr>
          <w:rFonts w:ascii="仿宋_GB2312" w:eastAsia="仿宋_GB2312"/>
          <w:b/>
          <w:bCs/>
          <w:szCs w:val="21"/>
        </w:rPr>
      </w:pPr>
    </w:p>
    <w:p w14:paraId="71DD83A9">
      <w:pPr>
        <w:snapToGrid w:val="0"/>
        <w:spacing w:before="120" w:beforeLines="50" w:after="50" w:line="400" w:lineRule="exact"/>
        <w:outlineLvl w:val="1"/>
        <w:rPr>
          <w:rFonts w:ascii="仿宋_GB2312" w:eastAsia="仿宋_GB2312"/>
          <w:b/>
          <w:bCs/>
          <w:szCs w:val="21"/>
        </w:rPr>
      </w:pPr>
    </w:p>
    <w:p w14:paraId="5A10E02E">
      <w:pPr>
        <w:snapToGrid w:val="0"/>
        <w:spacing w:before="120" w:beforeLines="50" w:after="50" w:line="400" w:lineRule="exact"/>
        <w:outlineLvl w:val="1"/>
        <w:rPr>
          <w:rFonts w:ascii="仿宋_GB2312" w:eastAsia="仿宋_GB2312"/>
          <w:b/>
          <w:bCs/>
          <w:szCs w:val="21"/>
        </w:rPr>
      </w:pPr>
    </w:p>
    <w:p w14:paraId="5475333B">
      <w:pPr>
        <w:snapToGrid w:val="0"/>
        <w:spacing w:before="120" w:beforeLines="50" w:after="50" w:line="400" w:lineRule="exact"/>
        <w:outlineLvl w:val="1"/>
        <w:rPr>
          <w:rFonts w:ascii="仿宋_GB2312" w:eastAsia="仿宋_GB2312"/>
          <w:b/>
          <w:bCs/>
          <w:szCs w:val="21"/>
        </w:rPr>
      </w:pPr>
    </w:p>
    <w:p w14:paraId="2F3B3534">
      <w:pPr>
        <w:spacing w:line="276" w:lineRule="auto"/>
        <w:rPr>
          <w:rFonts w:hint="eastAsia" w:ascii="仿宋_GB2312" w:hAnsi="宋体" w:eastAsia="仿宋_GB2312"/>
          <w:b/>
          <w:bCs/>
          <w:w w:val="95"/>
          <w:sz w:val="56"/>
          <w:szCs w:val="56"/>
        </w:rPr>
      </w:pPr>
      <w:r>
        <w:rPr>
          <w:rFonts w:hint="eastAsia" w:ascii="仿宋_GB2312" w:hAnsi="宋体" w:eastAsia="仿宋_GB2312"/>
          <w:b/>
          <w:bCs/>
          <w:w w:val="95"/>
          <w:sz w:val="56"/>
          <w:szCs w:val="56"/>
        </w:rPr>
        <w:t xml:space="preserve">三、商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务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技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术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文  件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 xml:space="preserve">格 </w:t>
      </w:r>
      <w:r>
        <w:rPr>
          <w:rFonts w:ascii="仿宋_GB2312" w:hAnsi="宋体" w:eastAsia="仿宋_GB2312"/>
          <w:b/>
          <w:bCs/>
          <w:w w:val="95"/>
          <w:sz w:val="56"/>
          <w:szCs w:val="56"/>
        </w:rPr>
        <w:t xml:space="preserve"> </w:t>
      </w:r>
      <w:r>
        <w:rPr>
          <w:rFonts w:hint="eastAsia" w:ascii="仿宋_GB2312" w:hAnsi="宋体" w:eastAsia="仿宋_GB2312"/>
          <w:b/>
          <w:bCs/>
          <w:w w:val="95"/>
          <w:sz w:val="56"/>
          <w:szCs w:val="56"/>
        </w:rPr>
        <w:t>式</w:t>
      </w:r>
    </w:p>
    <w:p w14:paraId="470BB187">
      <w:pPr>
        <w:spacing w:line="276" w:lineRule="auto"/>
        <w:rPr>
          <w:rFonts w:hint="eastAsia" w:ascii="仿宋_GB2312" w:hAnsi="宋体" w:eastAsia="仿宋_GB2312"/>
          <w:b/>
          <w:bCs/>
          <w:w w:val="95"/>
          <w:sz w:val="56"/>
          <w:szCs w:val="56"/>
        </w:rPr>
      </w:pPr>
    </w:p>
    <w:p w14:paraId="49E4D229">
      <w:pPr>
        <w:spacing w:line="320" w:lineRule="exact"/>
        <w:ind w:right="1080"/>
        <w:jc w:val="left"/>
        <w:rPr>
          <w:rFonts w:hint="eastAsia" w:ascii="仿宋_GB2312" w:hAnsi="宋体" w:eastAsia="仿宋_GB2312" w:cs="Courier New"/>
          <w:sz w:val="24"/>
        </w:rPr>
        <w:sectPr>
          <w:pgSz w:w="11906" w:h="16838"/>
          <w:pgMar w:top="1440" w:right="1440" w:bottom="1440" w:left="1440" w:header="851" w:footer="992" w:gutter="0"/>
          <w:cols w:space="720" w:num="1"/>
          <w:docGrid w:linePitch="312" w:charSpace="0"/>
        </w:sectPr>
      </w:pPr>
    </w:p>
    <w:p w14:paraId="26A65DFD">
      <w:pPr>
        <w:snapToGrid w:val="0"/>
        <w:spacing w:before="50" w:after="50" w:line="400" w:lineRule="exact"/>
        <w:rPr>
          <w:rFonts w:ascii="仿宋_GB2312" w:eastAsia="仿宋_GB2312"/>
          <w:b/>
          <w:bCs/>
          <w:sz w:val="24"/>
        </w:rPr>
      </w:pPr>
      <w:r>
        <w:rPr>
          <w:rFonts w:hint="eastAsia" w:ascii="仿宋_GB2312" w:eastAsia="仿宋_GB2312"/>
          <w:b/>
          <w:sz w:val="24"/>
        </w:rPr>
        <w:t>商务技术</w:t>
      </w:r>
      <w:r>
        <w:rPr>
          <w:rFonts w:hint="eastAsia" w:ascii="仿宋_GB2312" w:eastAsia="仿宋_GB2312"/>
          <w:b/>
          <w:bCs/>
          <w:sz w:val="24"/>
        </w:rPr>
        <w:t>文件目录：</w:t>
      </w:r>
    </w:p>
    <w:p w14:paraId="5770737F">
      <w:pPr>
        <w:snapToGrid w:val="0"/>
        <w:spacing w:before="50" w:after="50"/>
        <w:rPr>
          <w:rFonts w:ascii="仿宋_GB2312" w:eastAsia="仿宋_GB2312"/>
          <w:b/>
          <w:bCs/>
          <w:sz w:val="24"/>
        </w:rPr>
      </w:pPr>
    </w:p>
    <w:p w14:paraId="100BBF02">
      <w:pPr>
        <w:tabs>
          <w:tab w:val="left" w:pos="3870"/>
          <w:tab w:val="left" w:pos="4085"/>
        </w:tabs>
        <w:snapToGrid w:val="0"/>
        <w:spacing w:line="400" w:lineRule="exact"/>
        <w:jc w:val="center"/>
        <w:rPr>
          <w:sz w:val="44"/>
          <w:szCs w:val="44"/>
        </w:rPr>
      </w:pPr>
      <w:r>
        <w:rPr>
          <w:sz w:val="44"/>
          <w:szCs w:val="44"/>
        </w:rPr>
        <w:t>目    录</w:t>
      </w:r>
    </w:p>
    <w:p w14:paraId="488C490F">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（1）投标函（</w:t>
      </w:r>
      <w:r>
        <w:rPr>
          <w:rFonts w:hint="eastAsia" w:ascii="仿宋_GB2312" w:eastAsia="仿宋_GB2312"/>
          <w:b/>
          <w:bCs/>
          <w:color w:val="000000"/>
        </w:rPr>
        <w:t>必须提供</w:t>
      </w:r>
      <w:r>
        <w:rPr>
          <w:rFonts w:hint="eastAsia" w:ascii="仿宋_GB2312" w:eastAsia="仿宋_GB2312"/>
          <w:color w:val="000000"/>
        </w:rPr>
        <w:t>）………………………………………………………………</w:t>
      </w:r>
    </w:p>
    <w:p w14:paraId="35C96AF0">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（2）技术响应表（</w:t>
      </w:r>
      <w:r>
        <w:rPr>
          <w:rFonts w:hint="eastAsia" w:ascii="仿宋_GB2312" w:eastAsia="仿宋_GB2312"/>
          <w:b/>
          <w:bCs/>
          <w:color w:val="000000"/>
        </w:rPr>
        <w:t>必须提供</w:t>
      </w:r>
      <w:r>
        <w:rPr>
          <w:rFonts w:hint="eastAsia" w:ascii="仿宋_GB2312" w:eastAsia="仿宋_GB2312"/>
          <w:color w:val="000000"/>
        </w:rPr>
        <w:t>）…………………………………………………………</w:t>
      </w:r>
    </w:p>
    <w:p w14:paraId="72BB8936">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（3）商务响应表（</w:t>
      </w:r>
      <w:r>
        <w:rPr>
          <w:rFonts w:hint="eastAsia" w:ascii="仿宋_GB2312" w:eastAsia="仿宋_GB2312"/>
          <w:b/>
          <w:bCs/>
          <w:color w:val="000000"/>
        </w:rPr>
        <w:t>必须提供</w:t>
      </w:r>
      <w:r>
        <w:rPr>
          <w:rFonts w:hint="eastAsia" w:ascii="仿宋_GB2312" w:eastAsia="仿宋_GB2312"/>
          <w:color w:val="000000"/>
        </w:rPr>
        <w:t>）…………………………………………………………</w:t>
      </w:r>
    </w:p>
    <w:p w14:paraId="10A34423">
      <w:pPr>
        <w:pStyle w:val="410"/>
        <w:spacing w:before="0" w:beforeAutospacing="0" w:after="0" w:afterAutospacing="0" w:line="400" w:lineRule="atLeast"/>
        <w:rPr>
          <w:rFonts w:hint="eastAsia" w:ascii="仿宋_GB2312" w:eastAsia="仿宋_GB2312"/>
          <w:color w:val="000000"/>
          <w:highlight w:val="yellow"/>
        </w:rPr>
      </w:pPr>
      <w:r>
        <w:rPr>
          <w:rFonts w:hint="eastAsia" w:ascii="仿宋_GB2312" w:eastAsia="仿宋_GB2312"/>
          <w:color w:val="000000"/>
          <w:highlight w:val="yellow"/>
        </w:rPr>
        <w:t>  （</w:t>
      </w:r>
      <w:r>
        <w:rPr>
          <w:rFonts w:hint="eastAsia" w:ascii="仿宋_GB2312" w:eastAsia="仿宋_GB2312"/>
          <w:color w:val="000000"/>
          <w:highlight w:val="yellow"/>
          <w:lang w:val="en-US" w:eastAsia="zh-CN"/>
        </w:rPr>
        <w:t>4</w:t>
      </w:r>
      <w:r>
        <w:rPr>
          <w:rFonts w:hint="eastAsia" w:ascii="仿宋_GB2312" w:eastAsia="仿宋_GB2312"/>
          <w:color w:val="000000"/>
          <w:highlight w:val="yellow"/>
        </w:rPr>
        <w:t>）软件系统实施方案（如有）……………………………………………………………</w:t>
      </w:r>
    </w:p>
    <w:p w14:paraId="3FDC79BB">
      <w:pPr>
        <w:pStyle w:val="41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5</w:t>
      </w:r>
      <w:r>
        <w:rPr>
          <w:rFonts w:hint="eastAsia" w:ascii="仿宋_GB2312" w:eastAsia="仿宋_GB2312"/>
          <w:color w:val="000000"/>
          <w:highlight w:val="yellow"/>
        </w:rPr>
        <w:t>）</w:t>
      </w:r>
      <w:r>
        <w:rPr>
          <w:rFonts w:hint="eastAsia" w:ascii="仿宋_GB2312" w:eastAsia="仿宋_GB2312"/>
          <w:color w:val="000000"/>
        </w:rPr>
        <w:t>项目实施方案（如有）……………………………………………………………</w:t>
      </w:r>
    </w:p>
    <w:p w14:paraId="73AD61B8">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6</w:t>
      </w:r>
      <w:r>
        <w:rPr>
          <w:rFonts w:hint="eastAsia" w:ascii="仿宋_GB2312" w:eastAsia="仿宋_GB2312"/>
          <w:color w:val="000000"/>
          <w:highlight w:val="yellow"/>
        </w:rPr>
        <w:t>）</w:t>
      </w:r>
      <w:r>
        <w:rPr>
          <w:rFonts w:hint="eastAsia" w:ascii="仿宋_GB2312" w:eastAsia="仿宋_GB2312"/>
          <w:color w:val="000000"/>
        </w:rPr>
        <w:t>安装进度计划和工期保证（如有）………………………………………………</w:t>
      </w:r>
    </w:p>
    <w:p w14:paraId="2B358EA0">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7</w:t>
      </w:r>
      <w:r>
        <w:rPr>
          <w:rFonts w:hint="eastAsia" w:ascii="仿宋_GB2312" w:eastAsia="仿宋_GB2312"/>
          <w:color w:val="000000"/>
          <w:highlight w:val="yellow"/>
        </w:rPr>
        <w:t>）</w:t>
      </w:r>
      <w:r>
        <w:rPr>
          <w:rFonts w:hint="eastAsia" w:ascii="仿宋_GB2312" w:eastAsia="仿宋_GB2312"/>
          <w:color w:val="000000"/>
        </w:rPr>
        <w:t>技术培训方案（如有）……………………………………………………………</w:t>
      </w:r>
    </w:p>
    <w:p w14:paraId="24CDCA81">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8</w:t>
      </w:r>
      <w:r>
        <w:rPr>
          <w:rFonts w:hint="eastAsia" w:ascii="仿宋_GB2312" w:eastAsia="仿宋_GB2312"/>
          <w:color w:val="000000"/>
          <w:highlight w:val="yellow"/>
        </w:rPr>
        <w:t>）</w:t>
      </w:r>
      <w:r>
        <w:rPr>
          <w:rFonts w:hint="eastAsia" w:ascii="仿宋_GB2312" w:eastAsia="仿宋_GB2312"/>
          <w:color w:val="000000"/>
        </w:rPr>
        <w:t>售后服务方案（如有）……………………………………………………………</w:t>
      </w:r>
    </w:p>
    <w:p w14:paraId="329A38EA">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9</w:t>
      </w:r>
      <w:r>
        <w:rPr>
          <w:rFonts w:hint="eastAsia" w:ascii="仿宋_GB2312" w:eastAsia="仿宋_GB2312"/>
          <w:color w:val="000000"/>
          <w:highlight w:val="yellow"/>
        </w:rPr>
        <w:t>）所投产品标记“◆”的技术参数</w:t>
      </w:r>
      <w:r>
        <w:rPr>
          <w:rFonts w:hint="eastAsia" w:ascii="仿宋_GB2312" w:eastAsia="仿宋_GB2312"/>
          <w:color w:val="000000"/>
          <w:highlight w:val="yellow"/>
          <w:lang w:eastAsia="zh-CN"/>
        </w:rPr>
        <w:t>带波浪线</w:t>
      </w:r>
      <w:r>
        <w:rPr>
          <w:rFonts w:hint="eastAsia" w:ascii="仿宋_GB2312" w:eastAsia="仿宋_GB2312"/>
          <w:color w:val="000000"/>
          <w:highlight w:val="yellow"/>
        </w:rPr>
        <w:t>“</w:t>
      </w:r>
      <w:r>
        <w:rPr>
          <w:rFonts w:hint="eastAsia" w:ascii="仿宋_GB2312" w:hAnsi="仿宋_GB2312" w:eastAsia="仿宋_GB2312" w:cs="仿宋_GB2312"/>
          <w:color w:val="auto"/>
          <w:highlight w:val="yellow"/>
          <w:u w:val="wave"/>
          <w:lang w:val="en-US" w:eastAsia="zh-CN"/>
        </w:rPr>
        <w:t xml:space="preserve">    </w:t>
      </w:r>
      <w:r>
        <w:rPr>
          <w:rFonts w:hint="eastAsia" w:ascii="仿宋_GB2312" w:eastAsia="仿宋_GB2312"/>
          <w:color w:val="000000"/>
          <w:highlight w:val="yellow"/>
        </w:rPr>
        <w:t>”的内容优于采购需求，</w:t>
      </w:r>
      <w:r>
        <w:rPr>
          <w:rFonts w:hint="eastAsia" w:ascii="仿宋_GB2312" w:eastAsia="仿宋_GB2312"/>
          <w:color w:val="000000"/>
          <w:highlight w:val="yellow"/>
          <w:lang w:eastAsia="zh-CN"/>
        </w:rPr>
        <w:t>提供证明材料，</w:t>
      </w:r>
      <w:r>
        <w:rPr>
          <w:rFonts w:hint="eastAsia" w:ascii="仿宋_GB2312" w:hAnsi="仿宋_GB2312" w:eastAsia="仿宋_GB2312" w:cs="仿宋_GB2312"/>
          <w:b w:val="0"/>
          <w:bCs w:val="0"/>
          <w:color w:val="000000" w:themeColor="text1"/>
          <w:highlight w:val="yellow"/>
          <w14:textFill>
            <w14:solidFill>
              <w14:schemeClr w14:val="tx1"/>
            </w14:solidFill>
          </w14:textFill>
        </w:rPr>
        <w:t>证明材料可以是检测（检验）报告、彩页、官网或功能截图等任意一种）</w:t>
      </w:r>
      <w:r>
        <w:rPr>
          <w:rFonts w:hint="eastAsia" w:ascii="仿宋_GB2312" w:eastAsia="仿宋_GB2312"/>
          <w:color w:val="000000"/>
          <w:highlight w:val="yellow"/>
        </w:rPr>
        <w:t>（如有）…</w:t>
      </w:r>
    </w:p>
    <w:p w14:paraId="465EF3BB">
      <w:pPr>
        <w:pStyle w:val="41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10</w:t>
      </w:r>
      <w:r>
        <w:rPr>
          <w:rFonts w:hint="eastAsia" w:ascii="仿宋_GB2312" w:eastAsia="仿宋_GB2312"/>
          <w:color w:val="000000"/>
          <w:highlight w:val="yellow"/>
        </w:rPr>
        <w:t>）</w:t>
      </w:r>
      <w:r>
        <w:rPr>
          <w:rFonts w:hint="eastAsia" w:ascii="仿宋_GB2312" w:eastAsia="仿宋_GB2312"/>
          <w:color w:val="000000"/>
        </w:rPr>
        <w:t>投标人或投标核心产品的生产厂商具备有效的质量管理体系认证证书（如有）…</w:t>
      </w:r>
    </w:p>
    <w:p w14:paraId="5184ABBC">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11</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投标人或投标核心产品生产厂商具备有效的职业健康安全管理体系认证证书（如有）……………………………………………………………………………………………</w:t>
      </w:r>
    </w:p>
    <w:p w14:paraId="21F59E77">
      <w:pPr>
        <w:pStyle w:val="41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highlight w:val="yellow"/>
        </w:rPr>
        <w:t>（1</w:t>
      </w:r>
      <w:r>
        <w:rPr>
          <w:rFonts w:hint="eastAsia" w:ascii="仿宋_GB2312" w:eastAsia="仿宋_GB2312"/>
          <w:color w:val="000000"/>
          <w:highlight w:val="yellow"/>
          <w:lang w:val="en-US" w:eastAsia="zh-CN"/>
        </w:rPr>
        <w:t>2</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投标人或投标核心产品生产厂商具备有效的环境管理体系认证证书（如有）…</w:t>
      </w:r>
    </w:p>
    <w:p w14:paraId="6F7C929E">
      <w:pPr>
        <w:pStyle w:val="41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yellow"/>
          <w:lang w:val="en-US" w:eastAsia="zh-CN"/>
        </w:rPr>
        <w:t>1</w:t>
      </w:r>
      <w:r>
        <w:rPr>
          <w:rFonts w:hint="eastAsia" w:ascii="仿宋_GB2312" w:eastAsia="仿宋_GB2312"/>
          <w:bCs/>
          <w:color w:val="auto"/>
          <w:sz w:val="24"/>
          <w:highlight w:val="yellow"/>
          <w:lang w:val="en-US" w:eastAsia="zh-CN"/>
        </w:rPr>
        <w:t>3</w:t>
      </w: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none"/>
        </w:rPr>
        <w:t>投标产品</w:t>
      </w:r>
      <w:r>
        <w:rPr>
          <w:rFonts w:hint="eastAsia" w:ascii="仿宋_GB2312" w:hAnsi="宋体" w:eastAsia="仿宋_GB2312"/>
          <w:bCs/>
          <w:color w:val="auto"/>
          <w:sz w:val="24"/>
          <w:highlight w:val="none"/>
          <w:lang w:eastAsia="zh-CN"/>
        </w:rPr>
        <w:t>为非政府强制采购节能产品，由</w:t>
      </w:r>
      <w:r>
        <w:rPr>
          <w:rFonts w:hint="eastAsia" w:ascii="仿宋_GB2312" w:hAnsi="宋体" w:eastAsia="仿宋_GB2312"/>
          <w:bCs/>
          <w:color w:val="auto"/>
          <w:sz w:val="24"/>
          <w:highlight w:val="none"/>
        </w:rPr>
        <w:t>国家确定的认证机构出具的</w:t>
      </w:r>
      <w:r>
        <w:rPr>
          <w:rFonts w:hint="eastAsia" w:ascii="仿宋_GB2312" w:hAnsi="宋体" w:eastAsia="仿宋_GB2312"/>
          <w:bCs/>
          <w:color w:val="000000"/>
          <w:sz w:val="24"/>
          <w:highlight w:val="none"/>
        </w:rPr>
        <w:t>、处于有效期之内的节能产品认证证书</w:t>
      </w:r>
      <w:r>
        <w:rPr>
          <w:rFonts w:hint="eastAsia" w:ascii="仿宋_GB2312" w:hAnsi="宋体" w:eastAsia="仿宋_GB2312"/>
          <w:bCs/>
          <w:color w:val="000000"/>
          <w:sz w:val="24"/>
          <w:highlight w:val="none"/>
          <w:lang w:eastAsia="zh-CN"/>
        </w:rPr>
        <w:t>（如有）</w:t>
      </w:r>
      <w:r>
        <w:rPr>
          <w:rFonts w:hint="eastAsia" w:ascii="仿宋_GB2312" w:eastAsia="仿宋_GB2312"/>
          <w:color w:val="000000"/>
        </w:rPr>
        <w:t>…………………………………………………………</w:t>
      </w:r>
    </w:p>
    <w:p w14:paraId="02140789">
      <w:pPr>
        <w:pStyle w:val="410"/>
        <w:spacing w:before="0" w:beforeAutospacing="0" w:after="0" w:afterAutospacing="0" w:line="400" w:lineRule="atLeast"/>
        <w:ind w:firstLine="480" w:firstLineChars="200"/>
        <w:rPr>
          <w:rFonts w:hint="eastAsia" w:ascii="仿宋_GB2312" w:eastAsia="仿宋_GB2312"/>
          <w:color w:val="000000"/>
        </w:rPr>
      </w:pPr>
      <w:r>
        <w:rPr>
          <w:rFonts w:hint="eastAsia" w:ascii="仿宋_GB2312" w:eastAsia="仿宋_GB2312"/>
          <w:color w:val="000000"/>
          <w:highlight w:val="yellow"/>
        </w:rPr>
        <w:t>（1</w:t>
      </w:r>
      <w:r>
        <w:rPr>
          <w:rFonts w:hint="eastAsia" w:ascii="仿宋_GB2312" w:eastAsia="仿宋_GB2312"/>
          <w:color w:val="000000"/>
          <w:highlight w:val="yellow"/>
          <w:lang w:val="en-US" w:eastAsia="zh-CN"/>
        </w:rPr>
        <w:t>4</w:t>
      </w:r>
      <w:r>
        <w:rPr>
          <w:rFonts w:hint="eastAsia" w:ascii="仿宋_GB2312" w:eastAsia="仿宋_GB2312"/>
          <w:color w:val="000000"/>
          <w:highlight w:val="yellow"/>
        </w:rPr>
        <w:t>）</w:t>
      </w:r>
      <w:r>
        <w:rPr>
          <w:rFonts w:hint="eastAsia" w:ascii="仿宋_GB2312" w:eastAsia="仿宋_GB2312"/>
          <w:color w:val="000000"/>
        </w:rPr>
        <w:t>投标产品由国家确定的认证机构出具的、处于有效期之内的环境标志产品认证证书（如有）……………………………………………………………………………………</w:t>
      </w:r>
    </w:p>
    <w:p w14:paraId="496B63D0">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5</w:t>
      </w:r>
      <w:r>
        <w:rPr>
          <w:rFonts w:hint="eastAsia" w:ascii="仿宋_GB2312" w:eastAsia="仿宋_GB2312"/>
          <w:color w:val="000000"/>
          <w:highlight w:val="yellow"/>
        </w:rPr>
        <w:t>）</w:t>
      </w:r>
      <w:r>
        <w:rPr>
          <w:rFonts w:hint="eastAsia" w:ascii="仿宋_GB2312" w:eastAsia="仿宋_GB2312"/>
          <w:color w:val="000000"/>
        </w:rPr>
        <w:t>投标人对本项目的合理化建议和改进措施（如有，格式自拟）………………</w:t>
      </w:r>
    </w:p>
    <w:p w14:paraId="6D129C3A">
      <w:pPr>
        <w:pStyle w:val="410"/>
        <w:spacing w:before="0" w:beforeAutospacing="0" w:after="0" w:afterAutospacing="0" w:line="40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6</w:t>
      </w:r>
      <w:r>
        <w:rPr>
          <w:rFonts w:hint="eastAsia" w:ascii="仿宋_GB2312" w:eastAsia="仿宋_GB2312"/>
          <w:color w:val="000000"/>
          <w:highlight w:val="yellow"/>
        </w:rPr>
        <w:t>）</w:t>
      </w:r>
      <w:r>
        <w:rPr>
          <w:rFonts w:hint="eastAsia" w:ascii="仿宋_GB2312" w:eastAsia="仿宋_GB2312"/>
          <w:color w:val="000000"/>
        </w:rPr>
        <w:t>投标人认为必要提供的声明及文件资料（如有，格式自拟）…………………</w:t>
      </w:r>
    </w:p>
    <w:p w14:paraId="39299C89">
      <w:pPr>
        <w:spacing w:line="320" w:lineRule="exact"/>
        <w:ind w:right="95"/>
        <w:jc w:val="left"/>
        <w:rPr>
          <w:rFonts w:hint="eastAsia" w:ascii="仿宋_GB2312" w:hAnsi="宋体" w:eastAsia="仿宋_GB2312" w:cs="Courier New"/>
          <w:sz w:val="24"/>
        </w:rPr>
        <w:sectPr>
          <w:pgSz w:w="11906" w:h="16838"/>
          <w:pgMar w:top="1440" w:right="707" w:bottom="1440" w:left="1440" w:header="851" w:footer="992" w:gutter="0"/>
          <w:cols w:space="720" w:num="1"/>
          <w:docGrid w:linePitch="312" w:charSpace="0"/>
        </w:sectPr>
      </w:pPr>
    </w:p>
    <w:p w14:paraId="25E14B0D">
      <w:pPr>
        <w:spacing w:line="400" w:lineRule="exact"/>
        <w:jc w:val="left"/>
        <w:rPr>
          <w:rFonts w:ascii="仿宋_GB2312" w:hAnsi="Courier New" w:eastAsia="仿宋_GB2312" w:cs="Courier New"/>
          <w:b/>
          <w:color w:val="000000"/>
          <w:sz w:val="24"/>
        </w:rPr>
      </w:pPr>
      <w:r>
        <w:rPr>
          <w:rFonts w:hint="eastAsia" w:ascii="仿宋_GB2312" w:hAnsi="Courier New" w:eastAsia="仿宋_GB2312" w:cs="Courier New"/>
          <w:b/>
          <w:color w:val="000000"/>
          <w:sz w:val="24"/>
        </w:rPr>
        <w:t>（1）投标函格式（必须提供）：</w:t>
      </w:r>
    </w:p>
    <w:p w14:paraId="4F08F083">
      <w:pPr>
        <w:snapToGrid w:val="0"/>
        <w:spacing w:before="50" w:after="50"/>
        <w:ind w:firstLine="3518" w:firstLineChars="1095"/>
        <w:rPr>
          <w:rFonts w:ascii="仿宋_GB2312" w:eastAsia="仿宋_GB2312"/>
          <w:b/>
          <w:sz w:val="32"/>
        </w:rPr>
      </w:pPr>
      <w:r>
        <w:rPr>
          <w:rFonts w:hint="eastAsia" w:ascii="仿宋_GB2312" w:eastAsia="仿宋_GB2312"/>
          <w:b/>
          <w:sz w:val="32"/>
          <w:szCs w:val="32"/>
        </w:rPr>
        <w:t>投 标 函</w:t>
      </w:r>
    </w:p>
    <w:p w14:paraId="24FFB3AC">
      <w:pPr>
        <w:pStyle w:val="26"/>
        <w:ind w:left="-10" w:firstLine="6" w:firstLineChars="3"/>
        <w:jc w:val="center"/>
        <w:rPr>
          <w:rFonts w:hint="eastAsia" w:ascii="仿宋_GB2312" w:hAnsi="宋体" w:eastAsia="仿宋_GB2312"/>
          <w:b/>
        </w:rPr>
      </w:pPr>
    </w:p>
    <w:p w14:paraId="009C9E69">
      <w:pPr>
        <w:snapToGrid w:val="0"/>
        <w:spacing w:line="400" w:lineRule="exact"/>
        <w:ind w:right="-187" w:rightChars="-89"/>
        <w:rPr>
          <w:rFonts w:ascii="仿宋_GB2312" w:eastAsia="仿宋_GB2312"/>
          <w:szCs w:val="21"/>
        </w:rPr>
      </w:pPr>
      <w:r>
        <w:rPr>
          <w:rFonts w:hint="eastAsia" w:ascii="仿宋_GB2312" w:eastAsia="仿宋_GB2312"/>
          <w:szCs w:val="21"/>
        </w:rPr>
        <w:t>致：</w:t>
      </w:r>
      <w:r>
        <w:rPr>
          <w:rFonts w:ascii="仿宋_GB2312" w:eastAsia="仿宋_GB2312"/>
          <w:szCs w:val="21"/>
          <w:u w:val="single"/>
        </w:rPr>
        <w:t>柳州市电化教育站</w:t>
      </w:r>
      <w:r>
        <w:rPr>
          <w:rFonts w:hint="eastAsia" w:ascii="仿宋_GB2312" w:eastAsia="仿宋_GB2312"/>
          <w:szCs w:val="21"/>
          <w:u w:val="single"/>
        </w:rPr>
        <w:t>、柳州市政府集中采购中心</w:t>
      </w:r>
      <w:r>
        <w:rPr>
          <w:rFonts w:hint="eastAsia" w:ascii="仿宋_GB2312" w:eastAsia="仿宋_GB2312"/>
          <w:szCs w:val="21"/>
        </w:rPr>
        <w:t>：</w:t>
      </w:r>
    </w:p>
    <w:p w14:paraId="1375DC38">
      <w:pPr>
        <w:snapToGrid w:val="0"/>
        <w:spacing w:line="400" w:lineRule="exact"/>
        <w:ind w:right="-187" w:rightChars="-89" w:firstLine="480"/>
        <w:rPr>
          <w:rFonts w:ascii="仿宋_GB2312" w:eastAsia="仿宋_GB2312"/>
          <w:szCs w:val="21"/>
        </w:rPr>
      </w:pPr>
      <w:r>
        <w:rPr>
          <w:rFonts w:hint="eastAsia" w:ascii="仿宋_GB2312" w:eastAsia="仿宋_GB2312"/>
          <w:szCs w:val="21"/>
        </w:rPr>
        <w:t>根据贵方</w:t>
      </w:r>
      <w:r>
        <w:rPr>
          <w:rFonts w:hint="eastAsia" w:ascii="仿宋_GB2312" w:eastAsia="仿宋_GB2312"/>
          <w:szCs w:val="21"/>
          <w:u w:val="single"/>
        </w:rPr>
        <w:t xml:space="preserve">                        </w:t>
      </w:r>
      <w:r>
        <w:rPr>
          <w:rFonts w:hint="eastAsia" w:ascii="仿宋_GB2312" w:eastAsia="仿宋_GB2312"/>
          <w:szCs w:val="21"/>
        </w:rPr>
        <w:t>项目的招标公告（项目编号：</w:t>
      </w:r>
      <w:r>
        <w:rPr>
          <w:rFonts w:hint="eastAsia" w:ascii="仿宋_GB2312" w:eastAsia="仿宋_GB2312"/>
          <w:szCs w:val="21"/>
          <w:u w:val="single"/>
        </w:rPr>
        <w:t xml:space="preserve">           </w:t>
      </w:r>
      <w:r>
        <w:rPr>
          <w:rFonts w:hint="eastAsia" w:ascii="仿宋_GB2312" w:eastAsia="仿宋_GB2312"/>
          <w:szCs w:val="21"/>
        </w:rPr>
        <w:t xml:space="preserve">），我方 </w:t>
      </w:r>
    </w:p>
    <w:p w14:paraId="1C7B9163">
      <w:pPr>
        <w:snapToGrid w:val="0"/>
        <w:spacing w:line="400" w:lineRule="exact"/>
        <w:rPr>
          <w:rFonts w:ascii="仿宋_GB2312" w:eastAsia="仿宋_GB2312"/>
          <w:szCs w:val="21"/>
        </w:rPr>
      </w:pPr>
      <w:r>
        <w:rPr>
          <w:rFonts w:hint="eastAsia" w:ascii="仿宋_GB2312" w:eastAsia="仿宋_GB2312"/>
          <w:szCs w:val="21"/>
          <w:u w:val="single"/>
        </w:rPr>
        <w:t xml:space="preserve">        </w:t>
      </w:r>
      <w:r>
        <w:rPr>
          <w:rFonts w:hint="eastAsia" w:ascii="仿宋_GB2312" w:eastAsia="仿宋_GB2312"/>
          <w:szCs w:val="21"/>
        </w:rPr>
        <w:t>（姓名及职务）经正式授权并代表投标人</w:t>
      </w:r>
      <w:r>
        <w:rPr>
          <w:rFonts w:hint="eastAsia" w:ascii="仿宋_GB2312" w:eastAsia="仿宋_GB2312"/>
          <w:szCs w:val="21"/>
          <w:u w:val="single"/>
        </w:rPr>
        <w:t xml:space="preserve">         </w:t>
      </w:r>
      <w:r>
        <w:rPr>
          <w:rFonts w:hint="eastAsia" w:ascii="仿宋_GB2312" w:eastAsia="仿宋_GB2312"/>
          <w:szCs w:val="21"/>
        </w:rPr>
        <w:t>（投标人名称）提交电子投标文件，包括：资格文件、报价要求文件、商务技术文件三部分。</w:t>
      </w:r>
    </w:p>
    <w:p w14:paraId="49CD81A7">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据此函，授权代表宣布同意如下：</w:t>
      </w:r>
    </w:p>
    <w:p w14:paraId="6BF3D209">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1.已详细审查全部招标文件，包括修改文件（如有的话）以及全部参考资料和有关附件，已经了解我方对于招标文件、采购过程、采购结果有依法进行询问、质疑、投诉的权利及相关渠道和要求。</w:t>
      </w:r>
    </w:p>
    <w:p w14:paraId="03CD9278">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2.在投标之前已经与贵方进行了充分的沟通，完全理解并接受招标文件的各项规定和要求，对招标文件的合理性、合法性不再有异议。</w:t>
      </w:r>
    </w:p>
    <w:p w14:paraId="0078A7FD">
      <w:pPr>
        <w:snapToGrid w:val="0"/>
        <w:spacing w:line="400" w:lineRule="exact"/>
        <w:ind w:firstLine="420" w:firstLineChars="200"/>
        <w:rPr>
          <w:rFonts w:ascii="仿宋_GB2312" w:eastAsia="仿宋_GB2312"/>
          <w:szCs w:val="21"/>
        </w:rPr>
      </w:pPr>
      <w:r>
        <w:rPr>
          <w:rFonts w:hint="eastAsia" w:ascii="仿宋_GB2312" w:eastAsia="仿宋_GB2312"/>
          <w:szCs w:val="21"/>
        </w:rPr>
        <w:t>3.本投标有效期自投标截止日期后</w:t>
      </w:r>
      <w:r>
        <w:rPr>
          <w:rFonts w:hint="eastAsia" w:ascii="仿宋_GB2312" w:eastAsia="仿宋_GB2312"/>
          <w:szCs w:val="21"/>
          <w:u w:val="single"/>
        </w:rPr>
        <w:t xml:space="preserve">      </w:t>
      </w:r>
      <w:r>
        <w:rPr>
          <w:rFonts w:hint="eastAsia" w:ascii="仿宋_GB2312" w:eastAsia="仿宋_GB2312"/>
          <w:szCs w:val="21"/>
        </w:rPr>
        <w:t>天（日历天）</w:t>
      </w:r>
      <w:r>
        <w:rPr>
          <w:rFonts w:hint="eastAsia" w:ascii="仿宋_GB2312" w:hAnsi="宋体" w:eastAsia="仿宋_GB2312"/>
          <w:b/>
          <w:bCs/>
          <w:szCs w:val="21"/>
        </w:rPr>
        <w:t>（不得少于90天，否则投标无效）</w:t>
      </w:r>
      <w:r>
        <w:rPr>
          <w:rFonts w:hint="eastAsia" w:ascii="仿宋_GB2312" w:eastAsia="仿宋_GB2312"/>
          <w:szCs w:val="21"/>
        </w:rPr>
        <w:t>。</w:t>
      </w:r>
    </w:p>
    <w:p w14:paraId="2FD156B3">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4.如中标，本投标文件至本项目合同履行完毕止均保持有效，本投标人将按招标文件及政府采购法律、法规的规定履行合同责任和义务。</w:t>
      </w:r>
    </w:p>
    <w:p w14:paraId="7FD97ED1">
      <w:pPr>
        <w:snapToGrid w:val="0"/>
        <w:spacing w:line="400" w:lineRule="exact"/>
        <w:ind w:firstLine="420" w:firstLineChars="200"/>
        <w:rPr>
          <w:rFonts w:ascii="仿宋_GB2312" w:eastAsia="仿宋_GB2312"/>
          <w:szCs w:val="21"/>
        </w:rPr>
      </w:pPr>
      <w:r>
        <w:rPr>
          <w:rFonts w:hint="eastAsia" w:ascii="仿宋_GB2312" w:eastAsia="仿宋_GB2312"/>
          <w:szCs w:val="21"/>
        </w:rPr>
        <w:t>5.同意按照贵方要求提供与投标有关的一切数据或资料</w:t>
      </w:r>
      <w:bookmarkStart w:id="98" w:name="_Hlk101431499"/>
      <w:r>
        <w:rPr>
          <w:rFonts w:hint="eastAsia" w:ascii="仿宋_GB2312" w:eastAsia="仿宋_GB2312"/>
          <w:szCs w:val="21"/>
        </w:rPr>
        <w:t>，并承诺我方向贵方提交的所有投标文件、资料都是准确的和真实的。</w:t>
      </w:r>
    </w:p>
    <w:p w14:paraId="55E31E45">
      <w:pPr>
        <w:snapToGrid w:val="0"/>
        <w:spacing w:line="400" w:lineRule="exact"/>
        <w:ind w:firstLine="420" w:firstLineChars="200"/>
        <w:rPr>
          <w:rFonts w:ascii="仿宋_GB2312" w:eastAsia="仿宋_GB2312"/>
          <w:szCs w:val="21"/>
        </w:rPr>
      </w:pPr>
      <w:r>
        <w:rPr>
          <w:rFonts w:hint="eastAsia" w:ascii="仿宋_GB2312" w:eastAsia="仿宋_GB2312"/>
          <w:szCs w:val="21"/>
        </w:rPr>
        <w:t>6.我方不是采购人的附属机构；在获知本项目采购信息后，与采购人聘请的为此项目提供咨询服务的公司及其附属机构没有任何联系。</w:t>
      </w:r>
    </w:p>
    <w:p w14:paraId="050D3122">
      <w:pPr>
        <w:snapToGrid w:val="0"/>
        <w:spacing w:line="400" w:lineRule="exact"/>
        <w:ind w:firstLine="420" w:firstLineChars="200"/>
        <w:rPr>
          <w:rFonts w:ascii="仿宋_GB2312" w:eastAsia="仿宋_GB2312"/>
          <w:szCs w:val="21"/>
        </w:rPr>
      </w:pPr>
      <w:r>
        <w:rPr>
          <w:rFonts w:hint="eastAsia" w:ascii="仿宋_GB2312" w:eastAsia="仿宋_GB2312"/>
          <w:szCs w:val="21"/>
        </w:rPr>
        <w:t>7.以上事项如有虚假或隐瞒，我方愿意承担一切后果，并不再寻求任何旨在减轻或免除法律责任的辩解。</w:t>
      </w:r>
    </w:p>
    <w:p w14:paraId="1AFD863A">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8.与本投标有关的一切正式往来信函请寄：</w:t>
      </w:r>
      <w:bookmarkEnd w:id="98"/>
    </w:p>
    <w:p w14:paraId="0B13106A">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地址：</w:t>
      </w:r>
      <w:r>
        <w:rPr>
          <w:rFonts w:hint="eastAsia" w:ascii="仿宋_GB2312" w:eastAsia="仿宋_GB2312"/>
          <w:szCs w:val="21"/>
          <w:u w:val="single"/>
        </w:rPr>
        <w:t xml:space="preserve">                       </w:t>
      </w:r>
      <w:r>
        <w:rPr>
          <w:rFonts w:hint="eastAsia" w:ascii="仿宋_GB2312" w:eastAsia="仿宋_GB2312"/>
          <w:szCs w:val="21"/>
        </w:rPr>
        <w:t>邮编：</w:t>
      </w:r>
      <w:r>
        <w:rPr>
          <w:rFonts w:hint="eastAsia" w:ascii="仿宋_GB2312" w:eastAsia="仿宋_GB2312"/>
          <w:szCs w:val="21"/>
          <w:u w:val="single"/>
        </w:rPr>
        <w:t xml:space="preserve">            </w:t>
      </w:r>
      <w:r>
        <w:rPr>
          <w:rFonts w:hint="eastAsia" w:ascii="仿宋_GB2312" w:eastAsia="仿宋_GB2312"/>
          <w:szCs w:val="21"/>
        </w:rPr>
        <w:t>电话：</w:t>
      </w:r>
      <w:r>
        <w:rPr>
          <w:rFonts w:hint="eastAsia" w:ascii="仿宋_GB2312" w:eastAsia="仿宋_GB2312"/>
          <w:szCs w:val="21"/>
          <w:u w:val="single"/>
        </w:rPr>
        <w:t xml:space="preserve">            </w:t>
      </w:r>
    </w:p>
    <w:p w14:paraId="75696A37">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传真：</w:t>
      </w:r>
      <w:r>
        <w:rPr>
          <w:rFonts w:hint="eastAsia" w:ascii="仿宋_GB2312" w:eastAsia="仿宋_GB2312"/>
          <w:szCs w:val="21"/>
          <w:u w:val="single"/>
        </w:rPr>
        <w:t xml:space="preserve">               </w:t>
      </w:r>
      <w:r>
        <w:rPr>
          <w:rFonts w:hint="eastAsia" w:ascii="仿宋_GB2312" w:eastAsia="仿宋_GB2312"/>
          <w:szCs w:val="21"/>
        </w:rPr>
        <w:t>投标人代表姓名：</w:t>
      </w:r>
      <w:r>
        <w:rPr>
          <w:rFonts w:hint="eastAsia" w:ascii="仿宋_GB2312" w:eastAsia="仿宋_GB2312"/>
          <w:szCs w:val="21"/>
          <w:u w:val="single"/>
        </w:rPr>
        <w:t xml:space="preserve">            </w:t>
      </w:r>
      <w:r>
        <w:rPr>
          <w:rFonts w:hint="eastAsia" w:ascii="仿宋_GB2312" w:eastAsia="仿宋_GB2312"/>
          <w:szCs w:val="21"/>
        </w:rPr>
        <w:t>职务：</w:t>
      </w:r>
      <w:r>
        <w:rPr>
          <w:rFonts w:hint="eastAsia" w:ascii="仿宋_GB2312" w:eastAsia="仿宋_GB2312"/>
          <w:szCs w:val="21"/>
          <w:u w:val="single"/>
        </w:rPr>
        <w:t xml:space="preserve">            </w:t>
      </w:r>
    </w:p>
    <w:p w14:paraId="681CAEE9">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投标人名称(全称)：</w:t>
      </w:r>
      <w:r>
        <w:rPr>
          <w:rFonts w:hint="eastAsia" w:ascii="仿宋_GB2312" w:eastAsia="仿宋_GB2312"/>
          <w:szCs w:val="21"/>
          <w:u w:val="single"/>
        </w:rPr>
        <w:t xml:space="preserve">                                                 </w:t>
      </w:r>
    </w:p>
    <w:p w14:paraId="2F6F0AAB">
      <w:pPr>
        <w:snapToGrid w:val="0"/>
        <w:spacing w:line="400" w:lineRule="exact"/>
        <w:ind w:right="-187" w:rightChars="-89" w:firstLine="420" w:firstLineChars="200"/>
        <w:rPr>
          <w:rFonts w:ascii="仿宋_GB2312" w:eastAsia="仿宋_GB2312"/>
          <w:szCs w:val="21"/>
        </w:rPr>
      </w:pPr>
      <w:r>
        <w:rPr>
          <w:rFonts w:hint="eastAsia" w:ascii="仿宋_GB2312" w:eastAsia="仿宋_GB2312"/>
          <w:szCs w:val="21"/>
        </w:rPr>
        <w:t>开户银行：</w:t>
      </w:r>
      <w:r>
        <w:rPr>
          <w:rFonts w:hint="eastAsia" w:ascii="仿宋_GB2312" w:eastAsia="仿宋_GB2312"/>
          <w:szCs w:val="21"/>
          <w:u w:val="single"/>
        </w:rPr>
        <w:t xml:space="preserve">                      </w:t>
      </w:r>
      <w:r>
        <w:rPr>
          <w:rFonts w:hint="eastAsia" w:ascii="仿宋_GB2312" w:eastAsia="仿宋_GB2312"/>
          <w:szCs w:val="21"/>
        </w:rPr>
        <w:t xml:space="preserve">   账号：</w:t>
      </w:r>
      <w:r>
        <w:rPr>
          <w:rFonts w:hint="eastAsia" w:ascii="仿宋_GB2312" w:eastAsia="仿宋_GB2312"/>
          <w:szCs w:val="21"/>
          <w:u w:val="single"/>
        </w:rPr>
        <w:t xml:space="preserve">                        </w:t>
      </w:r>
    </w:p>
    <w:p w14:paraId="51F91CC9">
      <w:pPr>
        <w:snapToGrid w:val="0"/>
        <w:spacing w:line="400" w:lineRule="exact"/>
        <w:ind w:firstLine="420" w:firstLineChars="200"/>
        <w:rPr>
          <w:rFonts w:ascii="仿宋_GB2312" w:eastAsia="仿宋_GB2312"/>
          <w:szCs w:val="21"/>
        </w:rPr>
      </w:pPr>
      <w:r>
        <w:rPr>
          <w:rFonts w:hint="eastAsia" w:ascii="仿宋_GB2312" w:eastAsia="仿宋_GB2312"/>
          <w:szCs w:val="21"/>
        </w:rPr>
        <w:t xml:space="preserve">         </w:t>
      </w:r>
    </w:p>
    <w:p w14:paraId="5CD21C9D">
      <w:pPr>
        <w:pStyle w:val="26"/>
        <w:ind w:firstLine="4515" w:firstLineChars="2150"/>
        <w:rPr>
          <w:rFonts w:ascii="仿宋_GB2312" w:eastAsia="仿宋_GB2312"/>
        </w:rPr>
      </w:pPr>
    </w:p>
    <w:p w14:paraId="03A0ABD3">
      <w:pPr>
        <w:pStyle w:val="26"/>
        <w:ind w:firstLine="4515" w:firstLineChars="2150"/>
        <w:rPr>
          <w:rFonts w:ascii="仿宋_GB2312" w:eastAsia="仿宋_GB2312"/>
        </w:rPr>
      </w:pPr>
    </w:p>
    <w:p w14:paraId="45EC69A3">
      <w:pPr>
        <w:jc w:val="center"/>
        <w:rPr>
          <w:rFonts w:ascii="仿宋_GB2312" w:eastAsia="仿宋_GB2312"/>
          <w:szCs w:val="21"/>
          <w:u w:val="single"/>
        </w:rPr>
      </w:pPr>
      <w:r>
        <w:rPr>
          <w:rFonts w:hint="eastAsia" w:ascii="仿宋_GB2312" w:eastAsia="仿宋_GB2312"/>
          <w:szCs w:val="21"/>
        </w:rPr>
        <w:t xml:space="preserve">                      法定代表人或委托代理人</w:t>
      </w:r>
      <w:r>
        <w:rPr>
          <w:rFonts w:hint="eastAsia" w:ascii="仿宋_GB2312" w:eastAsia="仿宋_GB2312"/>
          <w:b/>
          <w:bCs/>
          <w:szCs w:val="21"/>
        </w:rPr>
        <w:t>（签字）：</w:t>
      </w:r>
      <w:r>
        <w:rPr>
          <w:rFonts w:hint="eastAsia" w:ascii="仿宋_GB2312" w:eastAsia="仿宋_GB2312"/>
          <w:szCs w:val="21"/>
          <w:u w:val="single"/>
        </w:rPr>
        <w:t xml:space="preserve">         </w:t>
      </w:r>
    </w:p>
    <w:p w14:paraId="199D5D98">
      <w:pPr>
        <w:jc w:val="center"/>
        <w:rPr>
          <w:rFonts w:ascii="仿宋_GB2312" w:eastAsia="仿宋_GB2312"/>
          <w:szCs w:val="21"/>
          <w:u w:val="single"/>
        </w:rPr>
      </w:pPr>
    </w:p>
    <w:p w14:paraId="451C5FB8">
      <w:pPr>
        <w:pStyle w:val="26"/>
        <w:ind w:firstLine="4515" w:firstLineChars="2150"/>
        <w:rPr>
          <w:rFonts w:ascii="仿宋_GB2312" w:eastAsia="仿宋_GB2312"/>
        </w:rPr>
      </w:pPr>
      <w:r>
        <w:rPr>
          <w:rFonts w:hint="eastAsia" w:ascii="仿宋_GB2312" w:eastAsia="仿宋_GB2312"/>
        </w:rPr>
        <w:t>投标人</w:t>
      </w:r>
      <w:r>
        <w:rPr>
          <w:rFonts w:hint="eastAsia" w:ascii="仿宋_GB2312" w:eastAsia="仿宋_GB2312"/>
          <w:b/>
          <w:bCs/>
        </w:rPr>
        <w:t>（CA电子签章）</w:t>
      </w:r>
      <w:r>
        <w:rPr>
          <w:rFonts w:hint="eastAsia" w:ascii="仿宋_GB2312" w:eastAsia="仿宋_GB2312"/>
        </w:rPr>
        <w:t>：</w:t>
      </w:r>
      <w:r>
        <w:rPr>
          <w:rFonts w:hint="eastAsia" w:ascii="仿宋_GB2312" w:eastAsia="仿宋_GB2312"/>
          <w:u w:val="single"/>
        </w:rPr>
        <w:t xml:space="preserve">                               </w:t>
      </w:r>
    </w:p>
    <w:p w14:paraId="6C90E4F7">
      <w:pPr>
        <w:pStyle w:val="26"/>
        <w:spacing w:line="400" w:lineRule="exact"/>
        <w:rPr>
          <w:rFonts w:hint="eastAsia" w:ascii="仿宋_GB2312" w:hAnsi="宋体" w:eastAsia="仿宋_GB2312"/>
        </w:rPr>
      </w:pPr>
    </w:p>
    <w:p w14:paraId="43D582EC">
      <w:pPr>
        <w:pStyle w:val="26"/>
        <w:spacing w:line="240" w:lineRule="atLeast"/>
        <w:jc w:val="right"/>
        <w:rPr>
          <w:rFonts w:hint="eastAsia" w:ascii="仿宋_GB2312" w:hAnsi="宋体" w:eastAsia="仿宋_GB2312"/>
        </w:rPr>
      </w:pPr>
      <w:r>
        <w:rPr>
          <w:rFonts w:hint="eastAsia" w:ascii="仿宋_GB2312" w:hAnsi="宋体" w:eastAsia="仿宋_GB2312"/>
        </w:rPr>
        <w:t>日期：       年   月   日</w:t>
      </w:r>
    </w:p>
    <w:p w14:paraId="1161B27D">
      <w:pPr>
        <w:pStyle w:val="26"/>
        <w:spacing w:line="360" w:lineRule="exact"/>
        <w:ind w:firstLine="482" w:firstLineChars="200"/>
        <w:rPr>
          <w:rFonts w:hint="eastAsia" w:ascii="仿宋_GB2312" w:hAnsi="宋体" w:eastAsia="仿宋_GB2312"/>
          <w:b/>
          <w:bCs/>
          <w:sz w:val="24"/>
        </w:rPr>
      </w:pPr>
      <w:r>
        <w:rPr>
          <w:rFonts w:hint="eastAsia" w:ascii="仿宋_GB2312" w:eastAsia="仿宋_GB2312"/>
          <w:b/>
          <w:sz w:val="24"/>
        </w:rPr>
        <w:t>注：此项材料必须</w:t>
      </w:r>
      <w:r>
        <w:rPr>
          <w:rFonts w:hint="eastAsia" w:ascii="仿宋_GB2312" w:hAnsi="宋体" w:eastAsia="仿宋_GB2312"/>
          <w:b/>
          <w:bCs/>
          <w:sz w:val="24"/>
        </w:rPr>
        <w:t>以PDF格式上传。</w:t>
      </w:r>
    </w:p>
    <w:p w14:paraId="201D0E63">
      <w:pPr>
        <w:pStyle w:val="26"/>
        <w:spacing w:line="360" w:lineRule="exact"/>
        <w:ind w:firstLine="482" w:firstLineChars="200"/>
        <w:rPr>
          <w:rFonts w:hint="eastAsia" w:ascii="仿宋_GB2312" w:hAnsi="宋体" w:eastAsia="仿宋_GB2312"/>
          <w:b/>
          <w:bCs/>
          <w:sz w:val="24"/>
        </w:rPr>
        <w:sectPr>
          <w:pgSz w:w="11906" w:h="16838"/>
          <w:pgMar w:top="1440" w:right="1440" w:bottom="1440" w:left="1440" w:header="851" w:footer="992" w:gutter="0"/>
          <w:cols w:space="720" w:num="1"/>
          <w:docGrid w:linePitch="312" w:charSpace="0"/>
        </w:sectPr>
      </w:pPr>
    </w:p>
    <w:p w14:paraId="1556F521">
      <w:pPr>
        <w:pStyle w:val="430"/>
        <w:rPr>
          <w:rFonts w:hint="eastAsia" w:ascii="仿宋_GB2312" w:eastAsia="仿宋_GB2312"/>
          <w:b/>
          <w:bCs/>
          <w:color w:val="000000"/>
        </w:rPr>
      </w:pPr>
      <w:r>
        <w:rPr>
          <w:rFonts w:hint="eastAsia" w:ascii="仿宋_GB2312" w:eastAsia="仿宋_GB2312"/>
          <w:b/>
          <w:bCs/>
          <w:color w:val="000000"/>
        </w:rPr>
        <w:t>（2）技术响应表格式（必须提供）：</w:t>
      </w:r>
    </w:p>
    <w:p w14:paraId="51E4A8E8">
      <w:pPr>
        <w:pStyle w:val="430"/>
        <w:ind w:left="412"/>
        <w:jc w:val="center"/>
        <w:rPr>
          <w:rFonts w:hint="eastAsia" w:ascii="仿宋_GB2312" w:eastAsia="仿宋_GB2312"/>
          <w:color w:val="000000"/>
        </w:rPr>
      </w:pPr>
      <w:r>
        <w:rPr>
          <w:rFonts w:hint="eastAsia" w:ascii="仿宋_GB2312" w:eastAsia="仿宋_GB2312"/>
          <w:b/>
          <w:bCs/>
          <w:color w:val="000000"/>
          <w:sz w:val="32"/>
          <w:szCs w:val="32"/>
        </w:rPr>
        <w:t>技术响应表</w:t>
      </w:r>
    </w:p>
    <w:p w14:paraId="52A5A228">
      <w:pPr>
        <w:pStyle w:val="430"/>
        <w:ind w:left="412"/>
        <w:rPr>
          <w:rFonts w:hint="eastAsia" w:ascii="仿宋_GB2312" w:eastAsia="仿宋_GB2312"/>
          <w:color w:val="000000"/>
        </w:rPr>
      </w:pPr>
      <w:r>
        <w:rPr>
          <w:rFonts w:hint="eastAsia" w:ascii="仿宋_GB2312" w:eastAsia="仿宋_GB2312"/>
          <w:color w:val="000000"/>
        </w:rPr>
        <w:t> </w:t>
      </w:r>
    </w:p>
    <w:tbl>
      <w:tblPr>
        <w:tblStyle w:val="48"/>
        <w:tblW w:w="5000" w:type="pct"/>
        <w:jc w:val="center"/>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49"/>
        <w:gridCol w:w="2103"/>
        <w:gridCol w:w="2852"/>
        <w:gridCol w:w="2246"/>
        <w:gridCol w:w="1959"/>
      </w:tblGrid>
      <w:tr w14:paraId="6F9C2FE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863ACF1">
            <w:pPr>
              <w:pStyle w:val="430"/>
              <w:jc w:val="center"/>
              <w:rPr>
                <w:rFonts w:hint="eastAsia" w:ascii="仿宋_GB2312" w:eastAsia="仿宋_GB2312"/>
                <w:color w:val="000000"/>
              </w:rPr>
            </w:pPr>
            <w:r>
              <w:rPr>
                <w:rFonts w:hint="eastAsia" w:ascii="仿宋_GB2312" w:eastAsia="仿宋_GB2312"/>
                <w:color w:val="000000"/>
              </w:rPr>
              <w:t>项号</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659070A">
            <w:pPr>
              <w:pStyle w:val="430"/>
              <w:jc w:val="center"/>
              <w:rPr>
                <w:rFonts w:hint="eastAsia" w:ascii="仿宋_GB2312" w:eastAsia="仿宋_GB2312"/>
                <w:color w:val="000000"/>
              </w:rPr>
            </w:pPr>
            <w:r>
              <w:rPr>
                <w:rFonts w:hint="eastAsia" w:ascii="仿宋_GB2312" w:eastAsia="仿宋_GB2312"/>
                <w:color w:val="000000"/>
              </w:rPr>
              <w:t>标的名称</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3E64684">
            <w:pPr>
              <w:pStyle w:val="430"/>
              <w:jc w:val="center"/>
              <w:rPr>
                <w:rFonts w:hint="eastAsia" w:ascii="仿宋_GB2312" w:eastAsia="仿宋_GB2312"/>
                <w:color w:val="000000"/>
              </w:rPr>
            </w:pPr>
            <w:r>
              <w:rPr>
                <w:rFonts w:hint="eastAsia" w:ascii="仿宋_GB2312" w:eastAsia="仿宋_GB2312"/>
                <w:color w:val="000000"/>
              </w:rPr>
              <w:t>招标文件</w:t>
            </w:r>
          </w:p>
          <w:p w14:paraId="53C1840D">
            <w:pPr>
              <w:pStyle w:val="430"/>
              <w:jc w:val="center"/>
              <w:rPr>
                <w:rFonts w:hint="eastAsia" w:ascii="仿宋_GB2312" w:eastAsia="仿宋_GB2312"/>
                <w:color w:val="000000"/>
              </w:rPr>
            </w:pPr>
            <w:r>
              <w:rPr>
                <w:rFonts w:hint="eastAsia" w:ascii="仿宋_GB2312" w:eastAsia="仿宋_GB2312"/>
                <w:color w:val="000000"/>
              </w:rPr>
              <w:t>技术参数要求</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DA5BC4">
            <w:pPr>
              <w:pStyle w:val="430"/>
              <w:jc w:val="center"/>
              <w:rPr>
                <w:rFonts w:hint="eastAsia" w:ascii="仿宋_GB2312" w:eastAsia="仿宋_GB2312"/>
                <w:color w:val="000000"/>
              </w:rPr>
            </w:pPr>
            <w:r>
              <w:rPr>
                <w:rFonts w:hint="eastAsia" w:ascii="仿宋_GB2312" w:eastAsia="仿宋_GB2312"/>
                <w:color w:val="000000"/>
              </w:rPr>
              <w:t>投标文件</w:t>
            </w:r>
          </w:p>
          <w:p w14:paraId="532FBF15">
            <w:pPr>
              <w:pStyle w:val="430"/>
              <w:jc w:val="center"/>
              <w:rPr>
                <w:rFonts w:hint="eastAsia" w:ascii="仿宋_GB2312" w:eastAsia="仿宋_GB2312"/>
                <w:color w:val="000000"/>
              </w:rPr>
            </w:pPr>
            <w:r>
              <w:rPr>
                <w:rFonts w:hint="eastAsia" w:ascii="仿宋_GB2312" w:eastAsia="仿宋_GB2312"/>
                <w:color w:val="000000"/>
              </w:rPr>
              <w:t>响应技术参数</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57273F0">
            <w:pPr>
              <w:pStyle w:val="430"/>
              <w:jc w:val="center"/>
              <w:rPr>
                <w:rFonts w:hint="eastAsia" w:ascii="仿宋_GB2312" w:eastAsia="仿宋_GB2312"/>
                <w:color w:val="000000"/>
              </w:rPr>
            </w:pPr>
            <w:r>
              <w:rPr>
                <w:rFonts w:hint="eastAsia" w:ascii="仿宋_GB2312" w:eastAsia="仿宋_GB2312"/>
                <w:color w:val="000000"/>
              </w:rPr>
              <w:t>偏离说明</w:t>
            </w:r>
          </w:p>
        </w:tc>
      </w:tr>
      <w:tr w14:paraId="6D9EA60B">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29A6514">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96A4598">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2744E7E">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643F1EC">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4659EFE">
            <w:pPr>
              <w:pStyle w:val="430"/>
              <w:spacing w:line="405" w:lineRule="atLeast"/>
              <w:rPr>
                <w:rFonts w:hint="eastAsia" w:ascii="仿宋_GB2312" w:eastAsia="仿宋_GB2312"/>
                <w:color w:val="000000"/>
              </w:rPr>
            </w:pPr>
            <w:r>
              <w:rPr>
                <w:rFonts w:hint="eastAsia" w:ascii="仿宋_GB2312" w:eastAsia="仿宋_GB2312"/>
                <w:color w:val="000000"/>
              </w:rPr>
              <w:t> </w:t>
            </w:r>
          </w:p>
        </w:tc>
      </w:tr>
      <w:tr w14:paraId="11D9000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0553D0E">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1C9E64D">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9D56F11">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E9078A9">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6D4BC60">
            <w:pPr>
              <w:pStyle w:val="430"/>
              <w:spacing w:line="405" w:lineRule="atLeast"/>
              <w:rPr>
                <w:rFonts w:hint="eastAsia" w:ascii="仿宋_GB2312" w:eastAsia="仿宋_GB2312"/>
                <w:color w:val="000000"/>
              </w:rPr>
            </w:pPr>
            <w:r>
              <w:rPr>
                <w:rFonts w:hint="eastAsia" w:ascii="仿宋_GB2312" w:eastAsia="仿宋_GB2312"/>
                <w:color w:val="000000"/>
              </w:rPr>
              <w:t> </w:t>
            </w:r>
          </w:p>
        </w:tc>
      </w:tr>
      <w:tr w14:paraId="0D2B226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7283845">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7B346EB">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D2A2DF">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0ADD42F">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3125E0FA">
            <w:pPr>
              <w:pStyle w:val="430"/>
              <w:spacing w:line="405" w:lineRule="atLeast"/>
              <w:rPr>
                <w:rFonts w:hint="eastAsia" w:ascii="仿宋_GB2312" w:eastAsia="仿宋_GB2312"/>
                <w:color w:val="000000"/>
              </w:rPr>
            </w:pPr>
            <w:r>
              <w:rPr>
                <w:rFonts w:hint="eastAsia" w:ascii="仿宋_GB2312" w:eastAsia="仿宋_GB2312"/>
                <w:color w:val="000000"/>
              </w:rPr>
              <w:t> </w:t>
            </w:r>
          </w:p>
        </w:tc>
      </w:tr>
      <w:tr w14:paraId="1FC3EF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DBD5172">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78B3FBF">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5EE4A0EF">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26BB5F49">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1A2D1842">
            <w:pPr>
              <w:pStyle w:val="430"/>
              <w:spacing w:line="405" w:lineRule="atLeast"/>
              <w:rPr>
                <w:rFonts w:hint="eastAsia" w:ascii="仿宋_GB2312" w:eastAsia="仿宋_GB2312"/>
                <w:color w:val="000000"/>
              </w:rPr>
            </w:pPr>
            <w:r>
              <w:rPr>
                <w:rFonts w:hint="eastAsia" w:ascii="仿宋_GB2312" w:eastAsia="仿宋_GB2312"/>
                <w:color w:val="000000"/>
              </w:rPr>
              <w:t> </w:t>
            </w:r>
          </w:p>
        </w:tc>
      </w:tr>
      <w:tr w14:paraId="1F8B8590">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jc w:val="center"/>
        </w:trPr>
        <w:tc>
          <w:tcPr>
            <w:tcW w:w="70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CB3548F">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980"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0B1C0245">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68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790DF7AC">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211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6A44BDEE">
            <w:pPr>
              <w:pStyle w:val="430"/>
              <w:spacing w:line="405" w:lineRule="atLeast"/>
              <w:rPr>
                <w:rFonts w:hint="eastAsia" w:ascii="仿宋_GB2312" w:eastAsia="仿宋_GB2312"/>
                <w:color w:val="000000"/>
              </w:rPr>
            </w:pPr>
            <w:r>
              <w:rPr>
                <w:rFonts w:hint="eastAsia" w:ascii="仿宋_GB2312" w:eastAsia="仿宋_GB2312"/>
                <w:color w:val="000000"/>
              </w:rPr>
              <w:t> </w:t>
            </w:r>
          </w:p>
        </w:tc>
        <w:tc>
          <w:tcPr>
            <w:tcW w:w="1845" w:type="dxa"/>
            <w:tcBorders>
              <w:top w:val="single" w:color="333333" w:sz="6" w:space="0"/>
              <w:left w:val="single" w:color="333333" w:sz="6" w:space="0"/>
              <w:bottom w:val="single" w:color="333333" w:sz="6" w:space="0"/>
              <w:right w:val="single" w:color="333333" w:sz="6" w:space="0"/>
            </w:tcBorders>
            <w:noWrap/>
            <w:tcMar>
              <w:top w:w="120" w:type="dxa"/>
              <w:left w:w="75" w:type="dxa"/>
              <w:bottom w:w="120" w:type="dxa"/>
              <w:right w:w="75" w:type="dxa"/>
            </w:tcMar>
            <w:vAlign w:val="center"/>
          </w:tcPr>
          <w:p w14:paraId="475539ED">
            <w:pPr>
              <w:pStyle w:val="430"/>
              <w:spacing w:line="405" w:lineRule="atLeast"/>
              <w:rPr>
                <w:rFonts w:hint="eastAsia" w:ascii="仿宋_GB2312" w:eastAsia="仿宋_GB2312"/>
                <w:color w:val="000000"/>
              </w:rPr>
            </w:pPr>
            <w:r>
              <w:rPr>
                <w:rFonts w:hint="eastAsia" w:ascii="仿宋_GB2312" w:eastAsia="仿宋_GB2312"/>
                <w:color w:val="000000"/>
              </w:rPr>
              <w:t> </w:t>
            </w:r>
          </w:p>
        </w:tc>
      </w:tr>
    </w:tbl>
    <w:p w14:paraId="500E955F">
      <w:pPr>
        <w:pStyle w:val="430"/>
        <w:spacing w:line="405" w:lineRule="atLeast"/>
        <w:rPr>
          <w:rFonts w:hint="eastAsia" w:ascii="仿宋_GB2312" w:eastAsia="仿宋_GB2312"/>
          <w:color w:val="000000"/>
        </w:rPr>
      </w:pPr>
      <w:r>
        <w:rPr>
          <w:rFonts w:hint="eastAsia" w:ascii="仿宋_GB2312" w:eastAsia="仿宋_GB2312"/>
          <w:b/>
          <w:bCs/>
          <w:color w:val="000000"/>
        </w:rPr>
        <w:t xml:space="preserve">  </w:t>
      </w:r>
    </w:p>
    <w:p w14:paraId="550E8A59">
      <w:pPr>
        <w:pStyle w:val="430"/>
        <w:spacing w:line="405" w:lineRule="atLeast"/>
        <w:rPr>
          <w:rFonts w:hint="eastAsia" w:ascii="仿宋_GB2312" w:eastAsia="仿宋_GB2312"/>
          <w:color w:val="000000"/>
        </w:rPr>
      </w:pPr>
      <w:r>
        <w:rPr>
          <w:rFonts w:hint="eastAsia" w:ascii="仿宋_GB2312" w:eastAsia="仿宋_GB2312"/>
          <w:b/>
          <w:bCs/>
          <w:color w:val="000000"/>
        </w:rPr>
        <w:t>  注：1.此项材料必须以PDF格式上传。</w:t>
      </w:r>
      <w:r>
        <w:rPr>
          <w:rFonts w:hint="eastAsia" w:ascii="仿宋_GB2312" w:eastAsia="仿宋_GB2312"/>
          <w:b/>
          <w:bCs/>
          <w:color w:val="000000"/>
        </w:rPr>
        <w:br w:type="textWrapping"/>
      </w:r>
      <w:r>
        <w:rPr>
          <w:rFonts w:hint="eastAsia" w:ascii="仿宋_GB2312" w:eastAsia="仿宋_GB2312"/>
          <w:b/>
          <w:bCs/>
          <w:color w:val="000000"/>
        </w:rPr>
        <w:t>  2.投标人应根据投标货物的性能指标、对照招标文件要求在技术响应表中详细列明招标要求及投标货物技术规格的响应情况，并填写“偏离说明”。“偏离说明”栏注明“正偏离”、“负偏离”或“无偏离”。投标技术规格与招标要求相同的为无偏离，投标技术规格高于招标要求的为正偏离，低于招标要求的为负偏离；</w:t>
      </w:r>
      <w:r>
        <w:rPr>
          <w:rFonts w:hint="eastAsia" w:ascii="仿宋_GB2312" w:eastAsia="仿宋_GB2312"/>
          <w:b/>
          <w:bCs/>
          <w:color w:val="000000"/>
        </w:rPr>
        <w:br w:type="textWrapping"/>
      </w:r>
      <w:r>
        <w:rPr>
          <w:rFonts w:hint="eastAsia" w:ascii="仿宋_GB2312" w:eastAsia="仿宋_GB2312"/>
          <w:b/>
          <w:bCs/>
          <w:color w:val="000000"/>
        </w:rPr>
        <w:t>  3.投标人就标记“★”符号的实质性响应内容发生负偏离一项以上的，视为投标无效。</w:t>
      </w:r>
      <w:r>
        <w:rPr>
          <w:rFonts w:hint="eastAsia" w:ascii="仿宋_GB2312" w:eastAsia="仿宋_GB2312"/>
          <w:b/>
          <w:bCs/>
          <w:color w:val="000000"/>
        </w:rPr>
        <w:br w:type="textWrapping"/>
      </w:r>
      <w:r>
        <w:rPr>
          <w:rFonts w:hint="eastAsia" w:ascii="仿宋_GB2312" w:eastAsia="仿宋_GB2312"/>
          <w:b/>
          <w:bCs/>
          <w:color w:val="000000"/>
        </w:rPr>
        <w:t>  4.投标人就没有标记“★”符号的技术参数要求响应内容发生负偏离</w:t>
      </w:r>
      <w:r>
        <w:rPr>
          <w:rFonts w:hint="eastAsia" w:ascii="仿宋_GB2312" w:eastAsia="仿宋_GB2312"/>
          <w:b/>
          <w:bCs/>
          <w:color w:val="000000"/>
          <w:lang w:eastAsia="zh-CN"/>
        </w:rPr>
        <w:t>五</w:t>
      </w:r>
      <w:r>
        <w:rPr>
          <w:rFonts w:hint="eastAsia" w:ascii="仿宋_GB2312" w:eastAsia="仿宋_GB2312"/>
          <w:b/>
          <w:bCs/>
          <w:color w:val="000000"/>
        </w:rPr>
        <w:t>项以上的，视为投标无效。</w:t>
      </w:r>
    </w:p>
    <w:p w14:paraId="49641220">
      <w:pPr>
        <w:pStyle w:val="430"/>
        <w:spacing w:line="405" w:lineRule="atLeast"/>
        <w:rPr>
          <w:rFonts w:hint="eastAsia" w:ascii="仿宋_GB2312" w:eastAsia="仿宋_GB2312"/>
          <w:color w:val="000000"/>
        </w:rPr>
      </w:pPr>
      <w:r>
        <w:rPr>
          <w:rFonts w:hint="eastAsia" w:ascii="仿宋_GB2312" w:eastAsia="仿宋_GB2312"/>
          <w:color w:val="000000"/>
        </w:rPr>
        <w:t> </w:t>
      </w:r>
    </w:p>
    <w:p w14:paraId="2AB8E051">
      <w:pPr>
        <w:pStyle w:val="430"/>
        <w:jc w:val="right"/>
        <w:rPr>
          <w:rFonts w:hint="eastAsia" w:ascii="仿宋_GB2312" w:eastAsia="仿宋_GB2312"/>
          <w:color w:val="000000"/>
        </w:rPr>
      </w:pPr>
      <w:r>
        <w:rPr>
          <w:rFonts w:hint="eastAsia" w:ascii="仿宋_GB2312" w:eastAsia="仿宋_GB2312"/>
          <w:color w:val="000000"/>
        </w:rPr>
        <w:t>法定代表人或委托代理人</w:t>
      </w:r>
      <w:r>
        <w:rPr>
          <w:rFonts w:hint="eastAsia" w:ascii="仿宋_GB2312" w:eastAsia="仿宋_GB2312"/>
          <w:b/>
          <w:bCs/>
          <w:color w:val="000000"/>
        </w:rPr>
        <w:t>（签字）：</w:t>
      </w:r>
      <w:r>
        <w:rPr>
          <w:rFonts w:hint="eastAsia" w:ascii="仿宋_GB2312" w:eastAsia="仿宋_GB2312"/>
          <w:color w:val="000000"/>
          <w:u w:val="single"/>
        </w:rPr>
        <w:t>        </w:t>
      </w:r>
    </w:p>
    <w:p w14:paraId="6B564843">
      <w:pPr>
        <w:pStyle w:val="430"/>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u w:val="single"/>
        </w:rPr>
        <w:t>        </w:t>
      </w:r>
    </w:p>
    <w:p w14:paraId="5C659B9B">
      <w:pPr>
        <w:pStyle w:val="430"/>
        <w:jc w:val="right"/>
        <w:rPr>
          <w:rFonts w:hint="eastAsia" w:ascii="仿宋_GB2312" w:eastAsia="仿宋_GB2312"/>
          <w:color w:val="000000"/>
        </w:rPr>
      </w:pPr>
      <w:r>
        <w:rPr>
          <w:rFonts w:hint="eastAsia" w:ascii="仿宋_GB2312" w:eastAsia="仿宋_GB2312"/>
          <w:color w:val="000000"/>
        </w:rPr>
        <w:t>日期：    年 月 日</w:t>
      </w:r>
    </w:p>
    <w:p w14:paraId="606032C2">
      <w:pPr>
        <w:pStyle w:val="26"/>
        <w:spacing w:line="240" w:lineRule="atLeast"/>
        <w:jc w:val="right"/>
        <w:rPr>
          <w:rFonts w:hint="eastAsia" w:ascii="仿宋_GB2312" w:hAnsi="宋体" w:eastAsia="仿宋_GB2312"/>
        </w:rPr>
        <w:sectPr>
          <w:pgSz w:w="11906" w:h="16838"/>
          <w:pgMar w:top="1440" w:right="707" w:bottom="1440" w:left="1440" w:header="851" w:footer="992" w:gutter="0"/>
          <w:cols w:space="720" w:num="1"/>
          <w:docGrid w:linePitch="312" w:charSpace="0"/>
        </w:sectPr>
      </w:pPr>
    </w:p>
    <w:p w14:paraId="250F9B9F">
      <w:pPr>
        <w:snapToGrid w:val="0"/>
        <w:spacing w:before="50"/>
        <w:jc w:val="left"/>
        <w:rPr>
          <w:rFonts w:hint="eastAsia" w:ascii="仿宋_GB2312" w:hAnsi="宋体" w:eastAsia="仿宋_GB2312"/>
          <w:b/>
          <w:color w:val="000000"/>
          <w:sz w:val="24"/>
        </w:rPr>
      </w:pPr>
      <w:r>
        <w:rPr>
          <w:rFonts w:hint="eastAsia" w:ascii="仿宋_GB2312" w:hAnsi="宋体" w:eastAsia="仿宋_GB2312"/>
          <w:b/>
          <w:color w:val="000000"/>
          <w:sz w:val="24"/>
        </w:rPr>
        <w:t>（</w:t>
      </w:r>
      <w:r>
        <w:rPr>
          <w:rFonts w:ascii="仿宋_GB2312" w:hAnsi="宋体" w:eastAsia="仿宋_GB2312"/>
          <w:b/>
          <w:color w:val="000000"/>
          <w:sz w:val="24"/>
        </w:rPr>
        <w:t>3</w:t>
      </w:r>
      <w:r>
        <w:rPr>
          <w:rFonts w:hint="eastAsia" w:ascii="仿宋_GB2312" w:hAnsi="宋体" w:eastAsia="仿宋_GB2312"/>
          <w:b/>
          <w:color w:val="000000"/>
          <w:sz w:val="24"/>
        </w:rPr>
        <w:t>）商务响应表格式（必须提供）：</w:t>
      </w:r>
    </w:p>
    <w:p w14:paraId="62D1DCFB">
      <w:pPr>
        <w:snapToGrid w:val="0"/>
        <w:spacing w:before="50" w:line="300" w:lineRule="exact"/>
        <w:ind w:firstLine="643" w:firstLineChars="200"/>
        <w:jc w:val="center"/>
        <w:rPr>
          <w:rFonts w:ascii="仿宋_GB2312" w:eastAsia="仿宋_GB2312"/>
          <w:b/>
          <w:sz w:val="24"/>
        </w:rPr>
      </w:pPr>
      <w:r>
        <w:rPr>
          <w:rFonts w:hint="eastAsia" w:ascii="仿宋_GB2312" w:eastAsia="仿宋_GB2312"/>
          <w:b/>
          <w:sz w:val="32"/>
          <w:szCs w:val="32"/>
        </w:rPr>
        <w:t>商务响应表</w:t>
      </w:r>
    </w:p>
    <w:tbl>
      <w:tblPr>
        <w:tblStyle w:val="48"/>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046"/>
        <w:gridCol w:w="2360"/>
        <w:gridCol w:w="1259"/>
        <w:gridCol w:w="3018"/>
      </w:tblGrid>
      <w:tr w14:paraId="015D9D1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8176832">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项目</w:t>
            </w:r>
          </w:p>
        </w:tc>
        <w:tc>
          <w:tcPr>
            <w:tcW w:w="2360" w:type="dxa"/>
            <w:tcBorders>
              <w:top w:val="single" w:color="auto" w:sz="4" w:space="0"/>
              <w:left w:val="single" w:color="auto" w:sz="4" w:space="0"/>
              <w:bottom w:val="single" w:color="auto" w:sz="4" w:space="0"/>
              <w:right w:val="single" w:color="auto" w:sz="4" w:space="0"/>
            </w:tcBorders>
            <w:vAlign w:val="center"/>
          </w:tcPr>
          <w:p w14:paraId="250505EE">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招标文件要求</w:t>
            </w:r>
          </w:p>
        </w:tc>
        <w:tc>
          <w:tcPr>
            <w:tcW w:w="1259" w:type="dxa"/>
            <w:tcBorders>
              <w:top w:val="single" w:color="auto" w:sz="4" w:space="0"/>
              <w:left w:val="single" w:color="auto" w:sz="4" w:space="0"/>
              <w:bottom w:val="single" w:color="auto" w:sz="4" w:space="0"/>
              <w:right w:val="single" w:color="auto" w:sz="4" w:space="0"/>
            </w:tcBorders>
            <w:vAlign w:val="center"/>
          </w:tcPr>
          <w:p w14:paraId="4CC1450A">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偏离说明</w:t>
            </w:r>
          </w:p>
        </w:tc>
        <w:tc>
          <w:tcPr>
            <w:tcW w:w="3018" w:type="dxa"/>
            <w:tcBorders>
              <w:top w:val="single" w:color="auto" w:sz="4" w:space="0"/>
              <w:left w:val="single" w:color="auto" w:sz="4" w:space="0"/>
              <w:bottom w:val="single" w:color="auto" w:sz="4" w:space="0"/>
              <w:right w:val="single" w:color="auto" w:sz="4" w:space="0"/>
            </w:tcBorders>
            <w:vAlign w:val="center"/>
          </w:tcPr>
          <w:p w14:paraId="2D8278B6">
            <w:pPr>
              <w:snapToGrid w:val="0"/>
              <w:spacing w:before="120" w:beforeLines="50"/>
              <w:jc w:val="center"/>
              <w:rPr>
                <w:rFonts w:hint="eastAsia" w:ascii="仿宋_GB2312" w:hAnsi="宋体" w:eastAsia="仿宋_GB2312"/>
                <w:color w:val="000000"/>
                <w:sz w:val="24"/>
              </w:rPr>
            </w:pPr>
            <w:r>
              <w:rPr>
                <w:rFonts w:hint="eastAsia" w:ascii="仿宋_GB2312" w:hAnsi="宋体" w:eastAsia="仿宋_GB2312"/>
                <w:color w:val="000000"/>
                <w:sz w:val="24"/>
              </w:rPr>
              <w:t>投标人的承诺或说明</w:t>
            </w:r>
          </w:p>
        </w:tc>
      </w:tr>
      <w:tr w14:paraId="7D465E7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7F5F121A">
            <w:pPr>
              <w:snapToGrid w:val="0"/>
              <w:spacing w:before="120" w:beforeLines="50"/>
              <w:jc w:val="left"/>
              <w:rPr>
                <w:rFonts w:hint="eastAsia"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二、商务要求</w:t>
            </w:r>
          </w:p>
        </w:tc>
      </w:tr>
      <w:tr w14:paraId="1FBEE8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CCD54E8">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基本要求</w:t>
            </w:r>
          </w:p>
        </w:tc>
        <w:tc>
          <w:tcPr>
            <w:tcW w:w="2360" w:type="dxa"/>
            <w:tcBorders>
              <w:top w:val="single" w:color="auto" w:sz="4" w:space="0"/>
              <w:left w:val="single" w:color="auto" w:sz="4" w:space="0"/>
              <w:bottom w:val="single" w:color="auto" w:sz="4" w:space="0"/>
              <w:right w:val="single" w:color="auto" w:sz="4" w:space="0"/>
            </w:tcBorders>
            <w:vAlign w:val="center"/>
          </w:tcPr>
          <w:p w14:paraId="1DA2C981">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09B9D566">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226EC886">
            <w:pPr>
              <w:snapToGrid w:val="0"/>
              <w:spacing w:before="120" w:beforeLines="50"/>
              <w:jc w:val="center"/>
              <w:rPr>
                <w:rFonts w:hint="eastAsia" w:ascii="仿宋_GB2312" w:hAnsi="宋体" w:eastAsia="仿宋_GB2312"/>
                <w:color w:val="000000"/>
                <w:sz w:val="24"/>
              </w:rPr>
            </w:pPr>
          </w:p>
        </w:tc>
      </w:tr>
      <w:tr w14:paraId="25D8536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7A8AF73B">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质量保证期</w:t>
            </w:r>
          </w:p>
        </w:tc>
        <w:tc>
          <w:tcPr>
            <w:tcW w:w="2360" w:type="dxa"/>
            <w:tcBorders>
              <w:top w:val="single" w:color="auto" w:sz="4" w:space="0"/>
              <w:left w:val="single" w:color="auto" w:sz="4" w:space="0"/>
              <w:bottom w:val="single" w:color="auto" w:sz="4" w:space="0"/>
              <w:right w:val="single" w:color="auto" w:sz="4" w:space="0"/>
            </w:tcBorders>
            <w:vAlign w:val="center"/>
          </w:tcPr>
          <w:p w14:paraId="2F687FAC">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628AA3FC">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D55D015">
            <w:pPr>
              <w:snapToGrid w:val="0"/>
              <w:spacing w:before="120" w:beforeLines="50"/>
              <w:jc w:val="center"/>
              <w:rPr>
                <w:rFonts w:hint="eastAsia" w:ascii="仿宋_GB2312" w:hAnsi="宋体" w:eastAsia="仿宋_GB2312"/>
                <w:color w:val="000000"/>
                <w:sz w:val="24"/>
              </w:rPr>
            </w:pPr>
          </w:p>
        </w:tc>
      </w:tr>
      <w:tr w14:paraId="2170F54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FDD14F6">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售后服务要求</w:t>
            </w:r>
          </w:p>
        </w:tc>
        <w:tc>
          <w:tcPr>
            <w:tcW w:w="2360" w:type="dxa"/>
            <w:tcBorders>
              <w:top w:val="single" w:color="auto" w:sz="4" w:space="0"/>
              <w:left w:val="single" w:color="auto" w:sz="4" w:space="0"/>
              <w:bottom w:val="single" w:color="auto" w:sz="4" w:space="0"/>
              <w:right w:val="single" w:color="auto" w:sz="4" w:space="0"/>
            </w:tcBorders>
            <w:vAlign w:val="center"/>
          </w:tcPr>
          <w:p w14:paraId="62FBEAFE">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8ED5A1B">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7C911BF">
            <w:pPr>
              <w:snapToGrid w:val="0"/>
              <w:spacing w:before="120" w:beforeLines="50"/>
              <w:jc w:val="center"/>
              <w:rPr>
                <w:rFonts w:hint="eastAsia" w:ascii="仿宋_GB2312" w:hAnsi="宋体" w:eastAsia="仿宋_GB2312"/>
                <w:color w:val="000000"/>
                <w:sz w:val="24"/>
              </w:rPr>
            </w:pPr>
          </w:p>
        </w:tc>
      </w:tr>
      <w:tr w14:paraId="071696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19C38AAC">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交货时间及地点</w:t>
            </w:r>
          </w:p>
        </w:tc>
        <w:tc>
          <w:tcPr>
            <w:tcW w:w="2360" w:type="dxa"/>
            <w:tcBorders>
              <w:top w:val="single" w:color="auto" w:sz="4" w:space="0"/>
              <w:left w:val="single" w:color="auto" w:sz="4" w:space="0"/>
              <w:bottom w:val="single" w:color="auto" w:sz="4" w:space="0"/>
              <w:right w:val="single" w:color="auto" w:sz="4" w:space="0"/>
            </w:tcBorders>
            <w:vAlign w:val="center"/>
          </w:tcPr>
          <w:p w14:paraId="28084F39">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1543CDAA">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67F66B24">
            <w:pPr>
              <w:snapToGrid w:val="0"/>
              <w:spacing w:before="120" w:beforeLines="50"/>
              <w:jc w:val="center"/>
              <w:rPr>
                <w:rFonts w:hint="eastAsia" w:ascii="仿宋_GB2312" w:hAnsi="宋体" w:eastAsia="仿宋_GB2312"/>
                <w:color w:val="000000"/>
                <w:sz w:val="24"/>
              </w:rPr>
            </w:pPr>
          </w:p>
        </w:tc>
      </w:tr>
      <w:tr w14:paraId="1FDEA0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9F8704E">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付款方式</w:t>
            </w:r>
          </w:p>
        </w:tc>
        <w:tc>
          <w:tcPr>
            <w:tcW w:w="2360" w:type="dxa"/>
            <w:tcBorders>
              <w:top w:val="single" w:color="auto" w:sz="4" w:space="0"/>
              <w:left w:val="single" w:color="auto" w:sz="4" w:space="0"/>
              <w:bottom w:val="single" w:color="auto" w:sz="4" w:space="0"/>
              <w:right w:val="single" w:color="auto" w:sz="4" w:space="0"/>
            </w:tcBorders>
            <w:vAlign w:val="center"/>
          </w:tcPr>
          <w:p w14:paraId="52329AA9">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4FD9812E">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39C40EF">
            <w:pPr>
              <w:snapToGrid w:val="0"/>
              <w:spacing w:before="120" w:beforeLines="50"/>
              <w:jc w:val="center"/>
              <w:rPr>
                <w:rFonts w:hint="eastAsia" w:ascii="仿宋_GB2312" w:hAnsi="宋体" w:eastAsia="仿宋_GB2312"/>
                <w:color w:val="000000"/>
                <w:sz w:val="24"/>
              </w:rPr>
            </w:pPr>
          </w:p>
        </w:tc>
      </w:tr>
      <w:tr w14:paraId="2518608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2DC08B80">
            <w:pPr>
              <w:snapToGrid w:val="0"/>
              <w:spacing w:before="120" w:beforeLines="50"/>
              <w:jc w:val="center"/>
              <w:rPr>
                <w:rFonts w:hint="eastAsia" w:ascii="仿宋_GB2312" w:hAnsi="宋体" w:eastAsia="仿宋_GB2312"/>
                <w:color w:val="000000"/>
                <w:sz w:val="24"/>
              </w:rPr>
            </w:pPr>
            <w:r>
              <w:rPr>
                <w:rFonts w:hint="eastAsia" w:ascii="仿宋_GB2312" w:hAnsi="仿宋_GB2312" w:eastAsia="仿宋_GB2312" w:cs="仿宋_GB2312"/>
                <w:color w:val="000000"/>
                <w:sz w:val="24"/>
              </w:rPr>
              <w:t>备品备件及耗材等要求</w:t>
            </w:r>
          </w:p>
        </w:tc>
        <w:tc>
          <w:tcPr>
            <w:tcW w:w="2360" w:type="dxa"/>
            <w:tcBorders>
              <w:top w:val="single" w:color="auto" w:sz="4" w:space="0"/>
              <w:left w:val="single" w:color="auto" w:sz="4" w:space="0"/>
              <w:bottom w:val="single" w:color="auto" w:sz="4" w:space="0"/>
              <w:right w:val="single" w:color="auto" w:sz="4" w:space="0"/>
            </w:tcBorders>
            <w:vAlign w:val="center"/>
          </w:tcPr>
          <w:p w14:paraId="4276941B">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3A78C720">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23781E4">
            <w:pPr>
              <w:snapToGrid w:val="0"/>
              <w:spacing w:before="120" w:beforeLines="50"/>
              <w:jc w:val="center"/>
              <w:rPr>
                <w:rFonts w:hint="eastAsia" w:ascii="仿宋_GB2312" w:hAnsi="宋体" w:eastAsia="仿宋_GB2312"/>
                <w:color w:val="000000"/>
                <w:sz w:val="24"/>
              </w:rPr>
            </w:pPr>
          </w:p>
        </w:tc>
      </w:tr>
      <w:tr w14:paraId="75C0F78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663E0E8C">
            <w:pPr>
              <w:snapToGrid w:val="0"/>
              <w:spacing w:before="120" w:beforeLines="50"/>
              <w:jc w:val="left"/>
              <w:rPr>
                <w:rFonts w:hint="eastAsia" w:ascii="仿宋_GB2312" w:hAnsi="宋体" w:eastAsia="仿宋_GB2312"/>
                <w:color w:val="000000"/>
                <w:sz w:val="24"/>
              </w:rPr>
            </w:pPr>
            <w:r>
              <w:rPr>
                <w:rFonts w:ascii="仿宋_GB2312" w:hAnsi="宋体" w:eastAsia="仿宋_GB2312"/>
                <w:b/>
                <w:bCs/>
                <w:sz w:val="24"/>
              </w:rPr>
              <w:t>★</w:t>
            </w:r>
            <w:r>
              <w:rPr>
                <w:rFonts w:hint="eastAsia" w:ascii="仿宋_GB2312" w:hAnsi="宋体" w:eastAsia="仿宋_GB2312"/>
                <w:b/>
                <w:bCs/>
                <w:color w:val="000000"/>
                <w:sz w:val="24"/>
              </w:rPr>
              <w:t>三、</w:t>
            </w:r>
            <w:r>
              <w:rPr>
                <w:rFonts w:hint="eastAsia" w:ascii="仿宋_GB2312" w:hAnsi="宋体" w:eastAsia="仿宋_GB2312"/>
                <w:b/>
                <w:sz w:val="24"/>
              </w:rPr>
              <w:t>验收要求</w:t>
            </w:r>
          </w:p>
        </w:tc>
      </w:tr>
      <w:tr w14:paraId="5BF3C3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7B60C19E">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验收标准及要求</w:t>
            </w:r>
          </w:p>
        </w:tc>
        <w:tc>
          <w:tcPr>
            <w:tcW w:w="2360" w:type="dxa"/>
            <w:tcBorders>
              <w:top w:val="single" w:color="auto" w:sz="4" w:space="0"/>
              <w:left w:val="single" w:color="auto" w:sz="4" w:space="0"/>
              <w:bottom w:val="single" w:color="auto" w:sz="4" w:space="0"/>
              <w:right w:val="single" w:color="auto" w:sz="4" w:space="0"/>
            </w:tcBorders>
            <w:vAlign w:val="center"/>
          </w:tcPr>
          <w:p w14:paraId="4B5F5A50">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4D5F3B67">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05473D6E">
            <w:pPr>
              <w:snapToGrid w:val="0"/>
              <w:spacing w:before="120" w:beforeLines="50"/>
              <w:jc w:val="center"/>
              <w:rPr>
                <w:rFonts w:hint="eastAsia" w:ascii="仿宋_GB2312" w:hAnsi="宋体" w:eastAsia="仿宋_GB2312"/>
                <w:color w:val="000000"/>
                <w:sz w:val="24"/>
              </w:rPr>
            </w:pPr>
          </w:p>
        </w:tc>
      </w:tr>
      <w:tr w14:paraId="7B8F6FD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3AD79582">
            <w:pPr>
              <w:snapToGrid w:val="0"/>
              <w:spacing w:before="120" w:beforeLines="50"/>
              <w:jc w:val="left"/>
              <w:rPr>
                <w:rFonts w:hint="eastAsia" w:ascii="仿宋_GB2312" w:hAnsi="宋体" w:eastAsia="仿宋_GB2312"/>
                <w:color w:val="000000"/>
                <w:sz w:val="24"/>
              </w:rPr>
            </w:pPr>
            <w:r>
              <w:rPr>
                <w:rFonts w:hint="eastAsia" w:ascii="仿宋_GB2312" w:hAnsi="宋体" w:eastAsia="仿宋_GB2312"/>
                <w:b/>
                <w:bCs/>
                <w:color w:val="000000"/>
                <w:sz w:val="24"/>
              </w:rPr>
              <w:t>四、资信要求</w:t>
            </w:r>
          </w:p>
        </w:tc>
      </w:tr>
      <w:tr w14:paraId="77CBA3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463ADBFF">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政策性加分条件（如有）</w:t>
            </w:r>
          </w:p>
        </w:tc>
        <w:tc>
          <w:tcPr>
            <w:tcW w:w="2360" w:type="dxa"/>
            <w:tcBorders>
              <w:top w:val="single" w:color="auto" w:sz="4" w:space="0"/>
              <w:left w:val="single" w:color="auto" w:sz="4" w:space="0"/>
              <w:bottom w:val="single" w:color="auto" w:sz="4" w:space="0"/>
              <w:right w:val="single" w:color="auto" w:sz="4" w:space="0"/>
            </w:tcBorders>
            <w:vAlign w:val="center"/>
          </w:tcPr>
          <w:p w14:paraId="3DC71921">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E31F79E">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57D79424">
            <w:pPr>
              <w:snapToGrid w:val="0"/>
              <w:spacing w:before="120" w:beforeLines="50"/>
              <w:jc w:val="center"/>
              <w:rPr>
                <w:rFonts w:hint="eastAsia" w:ascii="仿宋_GB2312" w:hAnsi="宋体" w:eastAsia="仿宋_GB2312"/>
                <w:color w:val="000000"/>
                <w:sz w:val="24"/>
              </w:rPr>
            </w:pPr>
          </w:p>
        </w:tc>
      </w:tr>
      <w:tr w14:paraId="46BD7D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07BCBC64">
            <w:pPr>
              <w:snapToGrid w:val="0"/>
              <w:spacing w:before="120" w:beforeLines="50"/>
              <w:jc w:val="center"/>
              <w:rPr>
                <w:rFonts w:hint="eastAsia" w:ascii="仿宋_GB2312" w:hAnsi="宋体" w:eastAsia="仿宋_GB2312"/>
                <w:bCs/>
                <w:color w:val="000000"/>
                <w:sz w:val="24"/>
              </w:rPr>
            </w:pPr>
            <w:r>
              <w:rPr>
                <w:rFonts w:hint="eastAsia" w:ascii="仿宋_GB2312" w:hAnsi="仿宋_GB2312" w:eastAsia="仿宋_GB2312" w:cs="仿宋_GB2312"/>
                <w:color w:val="000000"/>
                <w:sz w:val="24"/>
              </w:rPr>
              <w:t xml:space="preserve">质量管理、企业信用要求（如有） </w:t>
            </w:r>
          </w:p>
        </w:tc>
        <w:tc>
          <w:tcPr>
            <w:tcW w:w="2360" w:type="dxa"/>
            <w:tcBorders>
              <w:top w:val="single" w:color="auto" w:sz="4" w:space="0"/>
              <w:left w:val="single" w:color="auto" w:sz="4" w:space="0"/>
              <w:bottom w:val="single" w:color="auto" w:sz="4" w:space="0"/>
              <w:right w:val="single" w:color="auto" w:sz="4" w:space="0"/>
            </w:tcBorders>
            <w:vAlign w:val="center"/>
          </w:tcPr>
          <w:p w14:paraId="3C3984F0">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15558D51">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3AFC73CE">
            <w:pPr>
              <w:snapToGrid w:val="0"/>
              <w:spacing w:before="120" w:beforeLines="50"/>
              <w:jc w:val="center"/>
              <w:rPr>
                <w:rFonts w:hint="eastAsia" w:ascii="仿宋_GB2312" w:hAnsi="宋体" w:eastAsia="仿宋_GB2312"/>
                <w:color w:val="000000"/>
                <w:sz w:val="24"/>
              </w:rPr>
            </w:pPr>
          </w:p>
        </w:tc>
      </w:tr>
      <w:tr w14:paraId="7C8DEE7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8683" w:type="dxa"/>
            <w:gridSpan w:val="4"/>
            <w:tcBorders>
              <w:top w:val="single" w:color="auto" w:sz="4" w:space="0"/>
              <w:left w:val="single" w:color="auto" w:sz="4" w:space="0"/>
              <w:bottom w:val="single" w:color="auto" w:sz="4" w:space="0"/>
              <w:right w:val="single" w:color="auto" w:sz="4" w:space="0"/>
            </w:tcBorders>
            <w:vAlign w:val="center"/>
          </w:tcPr>
          <w:p w14:paraId="2B0BBE3D">
            <w:pPr>
              <w:snapToGrid w:val="0"/>
              <w:spacing w:before="120" w:beforeLines="50"/>
              <w:jc w:val="left"/>
              <w:rPr>
                <w:rFonts w:hint="eastAsia" w:ascii="仿宋_GB2312" w:hAnsi="宋体" w:eastAsia="仿宋_GB2312"/>
                <w:color w:val="000000"/>
                <w:sz w:val="24"/>
              </w:rPr>
            </w:pPr>
            <w:r>
              <w:rPr>
                <w:rFonts w:ascii="仿宋_GB2312" w:hAnsi="宋体" w:eastAsia="仿宋_GB2312"/>
                <w:b/>
                <w:bCs/>
                <w:sz w:val="24"/>
                <w:highlight w:val="yellow"/>
              </w:rPr>
              <w:t>★</w:t>
            </w:r>
            <w:r>
              <w:rPr>
                <w:rFonts w:hint="eastAsia" w:ascii="仿宋_GB2312" w:hAnsi="宋体" w:eastAsia="仿宋_GB2312"/>
                <w:b/>
                <w:bCs/>
                <w:color w:val="000000"/>
                <w:sz w:val="24"/>
              </w:rPr>
              <w:t>五、其他要求</w:t>
            </w:r>
          </w:p>
        </w:tc>
      </w:tr>
      <w:tr w14:paraId="76B360F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2046" w:type="dxa"/>
            <w:tcBorders>
              <w:top w:val="single" w:color="auto" w:sz="4" w:space="0"/>
              <w:left w:val="single" w:color="auto" w:sz="4" w:space="0"/>
              <w:bottom w:val="single" w:color="auto" w:sz="4" w:space="0"/>
              <w:right w:val="single" w:color="auto" w:sz="4" w:space="0"/>
            </w:tcBorders>
            <w:vAlign w:val="center"/>
          </w:tcPr>
          <w:p w14:paraId="6C034AC9">
            <w:pPr>
              <w:snapToGrid w:val="0"/>
              <w:spacing w:before="120" w:beforeLines="50"/>
              <w:jc w:val="center"/>
              <w:rPr>
                <w:rFonts w:hint="eastAsia" w:ascii="仿宋_GB2312" w:hAnsi="宋体" w:eastAsia="仿宋_GB2312"/>
                <w:bCs/>
                <w:color w:val="000000"/>
                <w:sz w:val="24"/>
              </w:rPr>
            </w:pPr>
            <w:r>
              <w:rPr>
                <w:rFonts w:hint="eastAsia" w:ascii="仿宋_GB2312" w:hAnsi="宋体" w:eastAsia="仿宋_GB2312" w:cs="Arial"/>
                <w:bCs/>
                <w:color w:val="000000"/>
                <w:sz w:val="24"/>
                <w:highlight w:val="yellow"/>
              </w:rPr>
              <w:t>数据安全、个人信息及人工智能大模型合规总体要求</w:t>
            </w:r>
          </w:p>
        </w:tc>
        <w:tc>
          <w:tcPr>
            <w:tcW w:w="2360" w:type="dxa"/>
            <w:tcBorders>
              <w:top w:val="single" w:color="auto" w:sz="4" w:space="0"/>
              <w:left w:val="single" w:color="auto" w:sz="4" w:space="0"/>
              <w:bottom w:val="single" w:color="auto" w:sz="4" w:space="0"/>
              <w:right w:val="single" w:color="auto" w:sz="4" w:space="0"/>
            </w:tcBorders>
            <w:vAlign w:val="center"/>
          </w:tcPr>
          <w:p w14:paraId="5558FA54">
            <w:pPr>
              <w:snapToGrid w:val="0"/>
              <w:spacing w:before="120" w:beforeLines="50"/>
              <w:jc w:val="center"/>
              <w:rPr>
                <w:rFonts w:hint="eastAsia" w:ascii="仿宋_GB2312" w:hAnsi="宋体" w:eastAsia="仿宋_GB2312"/>
                <w:color w:val="000000"/>
                <w:sz w:val="24"/>
              </w:rPr>
            </w:pPr>
          </w:p>
        </w:tc>
        <w:tc>
          <w:tcPr>
            <w:tcW w:w="1259" w:type="dxa"/>
            <w:tcBorders>
              <w:top w:val="single" w:color="auto" w:sz="4" w:space="0"/>
              <w:left w:val="single" w:color="auto" w:sz="4" w:space="0"/>
              <w:bottom w:val="single" w:color="auto" w:sz="4" w:space="0"/>
              <w:right w:val="single" w:color="auto" w:sz="4" w:space="0"/>
            </w:tcBorders>
            <w:vAlign w:val="center"/>
          </w:tcPr>
          <w:p w14:paraId="5188455A">
            <w:pPr>
              <w:snapToGrid w:val="0"/>
              <w:spacing w:before="120" w:beforeLines="50"/>
              <w:jc w:val="center"/>
              <w:rPr>
                <w:rFonts w:hint="eastAsia" w:ascii="仿宋_GB2312" w:hAnsi="宋体" w:eastAsia="仿宋_GB2312"/>
                <w:color w:val="000000"/>
                <w:sz w:val="24"/>
              </w:rPr>
            </w:pPr>
          </w:p>
        </w:tc>
        <w:tc>
          <w:tcPr>
            <w:tcW w:w="3018" w:type="dxa"/>
            <w:tcBorders>
              <w:top w:val="single" w:color="auto" w:sz="4" w:space="0"/>
              <w:left w:val="single" w:color="auto" w:sz="4" w:space="0"/>
              <w:bottom w:val="single" w:color="auto" w:sz="4" w:space="0"/>
              <w:right w:val="single" w:color="auto" w:sz="4" w:space="0"/>
            </w:tcBorders>
            <w:vAlign w:val="center"/>
          </w:tcPr>
          <w:p w14:paraId="73D9698E">
            <w:pPr>
              <w:snapToGrid w:val="0"/>
              <w:spacing w:before="120" w:beforeLines="50"/>
              <w:jc w:val="center"/>
              <w:rPr>
                <w:rFonts w:hint="eastAsia" w:ascii="仿宋_GB2312" w:hAnsi="宋体" w:eastAsia="仿宋_GB2312"/>
                <w:color w:val="000000"/>
                <w:sz w:val="24"/>
              </w:rPr>
            </w:pPr>
          </w:p>
        </w:tc>
      </w:tr>
    </w:tbl>
    <w:p w14:paraId="66D23570">
      <w:pPr>
        <w:pStyle w:val="26"/>
        <w:spacing w:line="360" w:lineRule="exact"/>
        <w:ind w:firstLine="482" w:firstLineChars="200"/>
        <w:rPr>
          <w:rFonts w:ascii="Times New Roman" w:hAnsi="Times New Roman"/>
        </w:rPr>
      </w:pPr>
      <w:r>
        <w:rPr>
          <w:rFonts w:hint="eastAsia" w:ascii="仿宋_GB2312" w:hAnsi="宋体" w:eastAsia="仿宋_GB2312"/>
          <w:b/>
          <w:bCs/>
          <w:kern w:val="0"/>
          <w:sz w:val="24"/>
        </w:rPr>
        <w:t>注：1.</w:t>
      </w:r>
      <w:r>
        <w:rPr>
          <w:rFonts w:hint="eastAsia" w:ascii="仿宋_GB2312" w:eastAsia="仿宋_GB2312"/>
          <w:b/>
          <w:sz w:val="24"/>
        </w:rPr>
        <w:t>此项材料必须</w:t>
      </w:r>
      <w:r>
        <w:rPr>
          <w:rFonts w:hint="eastAsia" w:ascii="仿宋_GB2312" w:hAnsi="宋体" w:eastAsia="仿宋_GB2312"/>
          <w:b/>
          <w:bCs/>
          <w:sz w:val="24"/>
        </w:rPr>
        <w:t>以PDF格式上传。</w:t>
      </w:r>
    </w:p>
    <w:p w14:paraId="07C3515E">
      <w:pPr>
        <w:ind w:firstLine="482" w:firstLineChars="200"/>
        <w:rPr>
          <w:rFonts w:ascii="仿宋_GB2312" w:eastAsia="仿宋_GB2312"/>
          <w:b/>
          <w:sz w:val="24"/>
        </w:rPr>
      </w:pPr>
      <w:r>
        <w:rPr>
          <w:rFonts w:hint="eastAsia" w:ascii="仿宋_GB2312" w:hAnsi="宋体" w:eastAsia="仿宋_GB2312"/>
          <w:b/>
          <w:bCs/>
          <w:kern w:val="0"/>
          <w:sz w:val="24"/>
        </w:rPr>
        <w:t>2.</w:t>
      </w:r>
      <w:r>
        <w:rPr>
          <w:rFonts w:hint="eastAsia" w:ascii="仿宋_GB2312" w:eastAsia="仿宋_GB2312"/>
          <w:b/>
          <w:sz w:val="24"/>
        </w:rPr>
        <w:t>应对照公开招标文件“第二章《采购需求》”中的商务、验收、资信、其他要求内容，逐条说明所提供服务已对公开招标文件的相应条款做出响应，并申明与相应条款的偏离说明。具体响应内容优于公开招标文件要求的请在“偏离说明”一栏填写“正偏离”，具体响应内容满足公开招标文件要求的填写“无偏离”，具体响应内容低于公开招标文件的填写“负偏离”；</w:t>
      </w:r>
    </w:p>
    <w:p w14:paraId="0D499EB3">
      <w:pPr>
        <w:ind w:left="-283" w:leftChars="-135" w:right="-754" w:rightChars="-359" w:firstLine="495"/>
        <w:jc w:val="center"/>
        <w:rPr>
          <w:rFonts w:hint="eastAsia" w:ascii="仿宋_GB2312" w:hAnsi="宋体" w:eastAsia="仿宋_GB2312"/>
          <w:b/>
          <w:bCs/>
          <w:kern w:val="0"/>
          <w:sz w:val="24"/>
        </w:rPr>
      </w:pPr>
      <w:r>
        <w:rPr>
          <w:rFonts w:hint="eastAsia" w:ascii="仿宋_GB2312" w:hAnsi="宋体" w:eastAsia="仿宋_GB2312"/>
          <w:b/>
          <w:bCs/>
          <w:kern w:val="0"/>
          <w:sz w:val="24"/>
        </w:rPr>
        <w:t>3.投标人就标记“★”符号的实质性响应内容发生负偏离一项以上的，视为投标无效。</w:t>
      </w:r>
    </w:p>
    <w:p w14:paraId="598C1E03">
      <w:pPr>
        <w:ind w:left="-283" w:leftChars="-135" w:right="-754" w:rightChars="-359" w:firstLine="495"/>
        <w:jc w:val="center"/>
        <w:rPr>
          <w:rFonts w:ascii="仿宋_GB2312" w:eastAsia="仿宋_GB2312"/>
          <w:sz w:val="24"/>
        </w:rPr>
      </w:pPr>
    </w:p>
    <w:p w14:paraId="5C59F545">
      <w:pPr>
        <w:jc w:val="center"/>
        <w:rPr>
          <w:rFonts w:ascii="仿宋_GB2312" w:eastAsia="仿宋_GB2312"/>
          <w:sz w:val="24"/>
          <w:u w:val="single"/>
        </w:rPr>
      </w:pPr>
      <w:r>
        <w:rPr>
          <w:rFonts w:hint="eastAsia" w:ascii="仿宋_GB2312" w:eastAsia="仿宋_GB2312"/>
          <w:sz w:val="24"/>
        </w:rPr>
        <w:t xml:space="preserve">  法定代表人或委托代理人</w:t>
      </w:r>
      <w:r>
        <w:rPr>
          <w:rFonts w:hint="eastAsia" w:ascii="仿宋_GB2312" w:eastAsia="仿宋_GB2312"/>
          <w:b/>
          <w:bCs/>
          <w:sz w:val="24"/>
        </w:rPr>
        <w:t>（签字）:</w:t>
      </w:r>
      <w:r>
        <w:rPr>
          <w:rFonts w:hint="eastAsia" w:ascii="仿宋_GB2312" w:eastAsia="仿宋_GB2312"/>
          <w:sz w:val="24"/>
          <w:u w:val="single"/>
        </w:rPr>
        <w:t xml:space="preserve">          </w:t>
      </w:r>
    </w:p>
    <w:p w14:paraId="02233368">
      <w:pPr>
        <w:wordWrap w:val="0"/>
        <w:snapToGrid w:val="0"/>
        <w:spacing w:before="120" w:beforeLines="50"/>
        <w:jc w:val="right"/>
        <w:rPr>
          <w:rFonts w:ascii="仿宋_GB2312" w:eastAsia="仿宋_GB2312"/>
          <w:sz w:val="24"/>
          <w:u w:val="single"/>
        </w:rPr>
      </w:pPr>
      <w:bookmarkStart w:id="99" w:name="_Hlk93680923"/>
      <w:r>
        <w:rPr>
          <w:rFonts w:hint="eastAsia" w:ascii="仿宋_GB2312" w:eastAsia="仿宋_GB2312"/>
          <w:sz w:val="24"/>
        </w:rPr>
        <w:t xml:space="preserve"> 投标人</w:t>
      </w:r>
      <w:r>
        <w:rPr>
          <w:rFonts w:hint="eastAsia" w:ascii="仿宋_GB2312" w:eastAsia="仿宋_GB2312"/>
          <w:b/>
          <w:bCs/>
          <w:sz w:val="24"/>
        </w:rPr>
        <w:t>（CA电子签章）</w:t>
      </w:r>
      <w:r>
        <w:rPr>
          <w:rFonts w:hint="eastAsia" w:ascii="仿宋_GB2312" w:eastAsia="仿宋_GB2312"/>
          <w:sz w:val="24"/>
        </w:rPr>
        <w:t>：</w:t>
      </w:r>
      <w:r>
        <w:rPr>
          <w:rFonts w:hint="eastAsia" w:ascii="仿宋_GB2312" w:eastAsia="仿宋_GB2312"/>
          <w:sz w:val="24"/>
          <w:u w:val="single"/>
        </w:rPr>
        <w:t xml:space="preserve">                    </w:t>
      </w:r>
    </w:p>
    <w:bookmarkEnd w:id="99"/>
    <w:p w14:paraId="030813AE">
      <w:pPr>
        <w:pStyle w:val="26"/>
        <w:spacing w:line="240" w:lineRule="atLeast"/>
        <w:jc w:val="right"/>
        <w:rPr>
          <w:rFonts w:ascii="仿宋_GB2312" w:eastAsia="仿宋_GB2312"/>
        </w:rPr>
        <w:sectPr>
          <w:pgSz w:w="11906" w:h="16838"/>
          <w:pgMar w:top="1440" w:right="1440" w:bottom="1440" w:left="1440" w:header="851" w:footer="992" w:gutter="0"/>
          <w:cols w:space="720" w:num="1"/>
          <w:docGrid w:linePitch="312" w:charSpace="0"/>
        </w:sectPr>
      </w:pPr>
      <w:r>
        <w:rPr>
          <w:rFonts w:hint="eastAsia" w:ascii="仿宋_GB2312" w:eastAsia="仿宋_GB2312"/>
          <w:sz w:val="24"/>
        </w:rPr>
        <w:t xml:space="preserve">     </w:t>
      </w:r>
      <w:r>
        <w:rPr>
          <w:rFonts w:hint="eastAsia" w:ascii="仿宋_GB2312" w:eastAsia="仿宋_GB2312"/>
        </w:rPr>
        <w:t>日期：       年   月   日</w:t>
      </w:r>
    </w:p>
    <w:p w14:paraId="1121E26A">
      <w:pPr>
        <w:pStyle w:val="453"/>
        <w:rPr>
          <w:rFonts w:hint="eastAsia" w:ascii="仿宋_GB2312" w:eastAsia="仿宋_GB2312"/>
          <w:b/>
          <w:bCs/>
          <w:color w:val="000000"/>
          <w:highlight w:val="yellow"/>
        </w:rPr>
      </w:pPr>
      <w:r>
        <w:rPr>
          <w:rFonts w:hint="eastAsia" w:ascii="仿宋_GB2312" w:eastAsia="仿宋_GB2312"/>
          <w:b/>
          <w:bCs/>
          <w:color w:val="000000"/>
          <w:highlight w:val="yellow"/>
        </w:rPr>
        <w:t>（</w:t>
      </w:r>
      <w:r>
        <w:rPr>
          <w:rFonts w:hint="eastAsia" w:ascii="仿宋_GB2312" w:eastAsia="仿宋_GB2312"/>
          <w:b/>
          <w:bCs/>
          <w:color w:val="000000"/>
          <w:highlight w:val="yellow"/>
          <w:lang w:val="en-US" w:eastAsia="zh-CN"/>
        </w:rPr>
        <w:t>4</w:t>
      </w:r>
      <w:r>
        <w:rPr>
          <w:rFonts w:hint="eastAsia" w:ascii="仿宋_GB2312" w:eastAsia="仿宋_GB2312"/>
          <w:b/>
          <w:bCs/>
          <w:color w:val="000000"/>
          <w:highlight w:val="yellow"/>
        </w:rPr>
        <w:t>）</w:t>
      </w:r>
      <w:r>
        <w:rPr>
          <w:rFonts w:hint="eastAsia" w:ascii="仿宋_GB2312" w:hAnsi="仿宋_GB2312" w:eastAsia="仿宋_GB2312" w:cs="仿宋_GB2312"/>
          <w:b/>
          <w:color w:val="000000" w:themeColor="text1"/>
          <w:szCs w:val="21"/>
          <w:highlight w:val="yellow"/>
          <w14:textFill>
            <w14:solidFill>
              <w14:schemeClr w14:val="tx1"/>
            </w14:solidFill>
          </w14:textFill>
        </w:rPr>
        <w:t>软件系统实施方案</w:t>
      </w:r>
      <w:r>
        <w:rPr>
          <w:rFonts w:hint="eastAsia" w:ascii="仿宋_GB2312" w:eastAsia="仿宋_GB2312"/>
          <w:b/>
          <w:bCs/>
          <w:color w:val="000000"/>
          <w:highlight w:val="yellow"/>
        </w:rPr>
        <w:t>格式（如有）：</w:t>
      </w:r>
    </w:p>
    <w:p w14:paraId="05163586">
      <w:pPr>
        <w:pStyle w:val="453"/>
        <w:jc w:val="center"/>
        <w:rPr>
          <w:rFonts w:hint="eastAsia" w:ascii="仿宋_GB2312" w:eastAsia="仿宋_GB2312"/>
          <w:color w:val="000000"/>
          <w:highlight w:val="none"/>
        </w:rPr>
      </w:pPr>
      <w:r>
        <w:rPr>
          <w:rFonts w:hint="eastAsia" w:ascii="仿宋_GB2312" w:eastAsia="仿宋_GB2312"/>
          <w:color w:val="000000"/>
          <w:highlight w:val="none"/>
        </w:rPr>
        <w:t> </w:t>
      </w:r>
    </w:p>
    <w:p w14:paraId="21F9D397">
      <w:pPr>
        <w:pStyle w:val="453"/>
        <w:jc w:val="center"/>
        <w:rPr>
          <w:rFonts w:hint="eastAsia" w:ascii="仿宋_GB2312" w:eastAsia="仿宋_GB2312"/>
          <w:b/>
          <w:bCs/>
          <w:color w:val="000000"/>
          <w:sz w:val="33"/>
          <w:szCs w:val="33"/>
          <w:highlight w:val="yellow"/>
        </w:rPr>
      </w:pPr>
      <w:r>
        <w:rPr>
          <w:rFonts w:hint="eastAsia" w:ascii="仿宋_GB2312" w:eastAsia="仿宋_GB2312"/>
          <w:b/>
          <w:bCs/>
          <w:color w:val="000000"/>
          <w:sz w:val="33"/>
          <w:szCs w:val="33"/>
          <w:highlight w:val="yellow"/>
        </w:rPr>
        <w:t>软件系统实施方案</w:t>
      </w:r>
    </w:p>
    <w:p w14:paraId="144CD466">
      <w:pPr>
        <w:pStyle w:val="453"/>
        <w:spacing w:line="405" w:lineRule="atLeast"/>
        <w:rPr>
          <w:rFonts w:hint="eastAsia" w:ascii="仿宋_GB2312" w:eastAsia="仿宋_GB2312"/>
          <w:color w:val="000000"/>
          <w:highlight w:val="none"/>
        </w:rPr>
      </w:pPr>
      <w:r>
        <w:rPr>
          <w:rFonts w:hint="eastAsia" w:ascii="仿宋_GB2312" w:eastAsia="仿宋_GB2312"/>
          <w:color w:val="000000"/>
          <w:highlight w:val="none"/>
        </w:rPr>
        <w:t> </w:t>
      </w:r>
    </w:p>
    <w:p w14:paraId="167DF7E1">
      <w:pPr>
        <w:pStyle w:val="453"/>
        <w:spacing w:line="405" w:lineRule="atLeast"/>
        <w:rPr>
          <w:rFonts w:hint="eastAsia" w:ascii="仿宋_GB2312" w:eastAsia="仿宋_GB2312"/>
          <w:color w:val="000000"/>
          <w:highlight w:val="yellow"/>
        </w:rPr>
      </w:pPr>
      <w:r>
        <w:rPr>
          <w:rFonts w:hint="eastAsia" w:ascii="仿宋_GB2312" w:eastAsia="仿宋_GB2312"/>
          <w:color w:val="000000"/>
          <w:highlight w:val="yellow"/>
        </w:rPr>
        <w:t>  由投标人按第二章《采购需求》要求自行编写，</w:t>
      </w:r>
      <w:r>
        <w:rPr>
          <w:rFonts w:hint="eastAsia" w:ascii="仿宋_GB2312" w:eastAsia="仿宋_GB2312"/>
          <w:b/>
          <w:bCs/>
          <w:color w:val="000000"/>
          <w:highlight w:val="yellow"/>
        </w:rPr>
        <w:t>包括：</w:t>
      </w:r>
      <w:r>
        <w:rPr>
          <w:rFonts w:hint="eastAsia" w:ascii="仿宋_GB2312" w:hAnsi="仿宋_GB2312" w:eastAsia="仿宋_GB2312" w:cs="仿宋_GB2312"/>
          <w:b/>
          <w:bCs/>
          <w:spacing w:val="9"/>
          <w:szCs w:val="21"/>
          <w:highlight w:val="yellow"/>
        </w:rPr>
        <w:t>（1）AI 英语听说教学系统、校园数字化集成底座、教师数字画像分析系统功能适配；（2）模块业务落地设计；（3）数据互通、接口对接方案；（4）权限、业务流程设计；（5）软件优化提升建议</w:t>
      </w:r>
      <w:r>
        <w:rPr>
          <w:rFonts w:hint="eastAsia" w:ascii="仿宋_GB2312" w:eastAsia="仿宋_GB2312"/>
          <w:color w:val="000000"/>
          <w:highlight w:val="yellow"/>
        </w:rPr>
        <w:t>等内容。</w:t>
      </w:r>
    </w:p>
    <w:p w14:paraId="191E1871">
      <w:pPr>
        <w:pStyle w:val="453"/>
        <w:spacing w:line="405" w:lineRule="atLeast"/>
        <w:rPr>
          <w:rFonts w:hint="eastAsia" w:ascii="仿宋_GB2312" w:eastAsia="仿宋_GB2312"/>
          <w:color w:val="000000"/>
          <w:highlight w:val="yellow"/>
        </w:rPr>
      </w:pPr>
      <w:r>
        <w:rPr>
          <w:rFonts w:hint="eastAsia" w:ascii="仿宋_GB2312" w:eastAsia="仿宋_GB2312"/>
          <w:color w:val="000000"/>
          <w:highlight w:val="yellow"/>
        </w:rPr>
        <w:t>  所作的项目方案作为构成合同不可分割的部分，必须真实、诚信。</w:t>
      </w:r>
    </w:p>
    <w:p w14:paraId="3FF2D576">
      <w:pPr>
        <w:pStyle w:val="453"/>
        <w:spacing w:line="405" w:lineRule="atLeast"/>
        <w:rPr>
          <w:rFonts w:hint="eastAsia" w:ascii="仿宋_GB2312" w:eastAsia="仿宋_GB2312"/>
          <w:color w:val="000000"/>
          <w:highlight w:val="none"/>
        </w:rPr>
      </w:pPr>
      <w:r>
        <w:rPr>
          <w:rFonts w:hint="eastAsia" w:ascii="仿宋_GB2312" w:eastAsia="仿宋_GB2312"/>
          <w:color w:val="000000"/>
          <w:highlight w:val="none"/>
        </w:rPr>
        <w:t> </w:t>
      </w:r>
    </w:p>
    <w:p w14:paraId="03A541A1">
      <w:pPr>
        <w:pStyle w:val="453"/>
        <w:spacing w:line="405" w:lineRule="atLeast"/>
        <w:rPr>
          <w:rFonts w:hint="eastAsia" w:ascii="仿宋_GB2312" w:eastAsia="仿宋_GB2312"/>
          <w:color w:val="000000"/>
          <w:highlight w:val="none"/>
        </w:rPr>
      </w:pPr>
      <w:r>
        <w:rPr>
          <w:rFonts w:hint="eastAsia" w:ascii="仿宋_GB2312" w:eastAsia="仿宋_GB2312"/>
          <w:color w:val="000000"/>
          <w:highlight w:val="none"/>
        </w:rPr>
        <w:t> </w:t>
      </w:r>
    </w:p>
    <w:p w14:paraId="08B4C535">
      <w:pPr>
        <w:pStyle w:val="453"/>
        <w:jc w:val="right"/>
        <w:rPr>
          <w:rFonts w:hint="eastAsia" w:ascii="仿宋_GB2312" w:eastAsia="仿宋_GB2312"/>
          <w:color w:val="000000"/>
          <w:highlight w:val="none"/>
        </w:rPr>
      </w:pPr>
      <w:r>
        <w:rPr>
          <w:rFonts w:hint="eastAsia" w:ascii="仿宋_GB2312" w:eastAsia="仿宋_GB2312"/>
          <w:color w:val="000000"/>
          <w:highlight w:val="none"/>
        </w:rPr>
        <w:t xml:space="preserve">                                   </w:t>
      </w:r>
    </w:p>
    <w:p w14:paraId="7B0D4240">
      <w:pPr>
        <w:pStyle w:val="453"/>
        <w:jc w:val="right"/>
        <w:rPr>
          <w:rFonts w:hint="eastAsia" w:ascii="仿宋_GB2312" w:eastAsia="仿宋_GB2312"/>
          <w:color w:val="000000"/>
          <w:highlight w:val="yellow"/>
          <w:u w:val="single"/>
        </w:rPr>
      </w:pPr>
      <w:r>
        <w:rPr>
          <w:rFonts w:hint="eastAsia" w:ascii="仿宋_GB2312" w:eastAsia="仿宋_GB2312"/>
          <w:color w:val="000000"/>
          <w:highlight w:val="yellow"/>
        </w:rPr>
        <w:t>  投标人（</w:t>
      </w:r>
      <w:r>
        <w:rPr>
          <w:rFonts w:hint="eastAsia" w:ascii="仿宋_GB2312" w:eastAsia="仿宋_GB2312"/>
          <w:b/>
          <w:bCs/>
          <w:color w:val="000000"/>
          <w:highlight w:val="yellow"/>
        </w:rPr>
        <w:t>CA电子签章</w:t>
      </w:r>
      <w:r>
        <w:rPr>
          <w:rFonts w:hint="eastAsia" w:ascii="仿宋_GB2312" w:eastAsia="仿宋_GB2312"/>
          <w:color w:val="000000"/>
          <w:highlight w:val="yellow"/>
        </w:rPr>
        <w:t>）：</w:t>
      </w:r>
      <w:r>
        <w:rPr>
          <w:rFonts w:hint="eastAsia" w:ascii="仿宋_GB2312" w:eastAsia="仿宋_GB2312"/>
          <w:color w:val="000000"/>
          <w:highlight w:val="yellow"/>
          <w:u w:val="single"/>
        </w:rPr>
        <w:t>        </w:t>
      </w:r>
    </w:p>
    <w:p w14:paraId="24BDB1A1">
      <w:pPr>
        <w:pStyle w:val="453"/>
        <w:jc w:val="right"/>
        <w:rPr>
          <w:rFonts w:hint="eastAsia" w:ascii="仿宋_GB2312" w:eastAsia="仿宋_GB2312"/>
          <w:color w:val="000000"/>
          <w:highlight w:val="yellow"/>
        </w:rPr>
      </w:pPr>
      <w:r>
        <w:rPr>
          <w:rFonts w:hint="eastAsia" w:ascii="仿宋_GB2312" w:eastAsia="仿宋_GB2312"/>
          <w:color w:val="000000"/>
          <w:highlight w:val="none"/>
        </w:rPr>
        <w:t> </w:t>
      </w:r>
    </w:p>
    <w:p w14:paraId="6C12347B">
      <w:pPr>
        <w:pStyle w:val="453"/>
        <w:jc w:val="right"/>
        <w:rPr>
          <w:rFonts w:hint="eastAsia" w:ascii="仿宋_GB2312" w:eastAsia="仿宋_GB2312"/>
          <w:color w:val="000000"/>
          <w:highlight w:val="yellow"/>
        </w:rPr>
      </w:pPr>
      <w:r>
        <w:rPr>
          <w:rFonts w:hint="eastAsia" w:ascii="仿宋_GB2312" w:eastAsia="仿宋_GB2312"/>
          <w:color w:val="000000"/>
          <w:highlight w:val="yellow"/>
        </w:rPr>
        <w:t>日期：   年 月 日</w:t>
      </w:r>
    </w:p>
    <w:p w14:paraId="45DA6973">
      <w:pPr>
        <w:pStyle w:val="453"/>
        <w:spacing w:line="405" w:lineRule="atLeast"/>
        <w:rPr>
          <w:rFonts w:hint="eastAsia" w:ascii="仿宋_GB2312" w:eastAsia="仿宋_GB2312"/>
          <w:color w:val="000000"/>
          <w:highlight w:val="none"/>
        </w:rPr>
      </w:pPr>
      <w:r>
        <w:rPr>
          <w:rFonts w:hint="eastAsia" w:ascii="仿宋_GB2312" w:eastAsia="仿宋_GB2312"/>
          <w:color w:val="000000"/>
          <w:highlight w:val="none"/>
        </w:rPr>
        <w:t> </w:t>
      </w:r>
    </w:p>
    <w:p w14:paraId="56B9685D">
      <w:pPr>
        <w:rPr>
          <w:rFonts w:hint="eastAsia" w:ascii="仿宋_GB2312" w:eastAsia="仿宋_GB2312"/>
          <w:b/>
          <w:bCs/>
          <w:color w:val="000000"/>
          <w:highlight w:val="yellow"/>
        </w:rPr>
      </w:pPr>
      <w:r>
        <w:rPr>
          <w:rFonts w:hint="eastAsia" w:ascii="仿宋_GB2312" w:eastAsia="仿宋_GB2312"/>
          <w:b/>
          <w:bCs/>
          <w:color w:val="000000"/>
          <w:sz w:val="24"/>
          <w:highlight w:val="yellow"/>
        </w:rPr>
        <w:t>注：此项材料如有请以PDF格式上传。</w:t>
      </w:r>
      <w:r>
        <w:rPr>
          <w:rFonts w:hint="eastAsia" w:ascii="仿宋_GB2312" w:eastAsia="仿宋_GB2312"/>
          <w:b/>
          <w:bCs/>
          <w:color w:val="000000"/>
          <w:highlight w:val="yellow"/>
        </w:rPr>
        <w:br w:type="page"/>
      </w:r>
    </w:p>
    <w:p w14:paraId="3284F3FF">
      <w:pPr>
        <w:pStyle w:val="453"/>
        <w:rPr>
          <w:rFonts w:hint="eastAsia" w:ascii="仿宋_GB2312" w:eastAsia="仿宋_GB2312"/>
          <w:b/>
          <w:bCs/>
          <w:color w:val="000000"/>
        </w:rPr>
      </w:pPr>
      <w:r>
        <w:rPr>
          <w:rFonts w:hint="eastAsia" w:ascii="仿宋_GB2312" w:eastAsia="仿宋_GB2312"/>
          <w:b/>
          <w:bCs/>
          <w:color w:val="000000"/>
          <w:highlight w:val="yellow"/>
        </w:rPr>
        <w:t>（</w:t>
      </w:r>
      <w:r>
        <w:rPr>
          <w:rFonts w:hint="eastAsia" w:ascii="仿宋_GB2312" w:eastAsia="仿宋_GB2312"/>
          <w:b/>
          <w:bCs/>
          <w:color w:val="000000"/>
          <w:highlight w:val="yellow"/>
          <w:lang w:val="en-US" w:eastAsia="zh-CN"/>
        </w:rPr>
        <w:t>5</w:t>
      </w:r>
      <w:r>
        <w:rPr>
          <w:rFonts w:hint="eastAsia" w:ascii="仿宋_GB2312" w:eastAsia="仿宋_GB2312"/>
          <w:b/>
          <w:bCs/>
          <w:color w:val="000000"/>
          <w:highlight w:val="yellow"/>
        </w:rPr>
        <w:t>）</w:t>
      </w:r>
      <w:r>
        <w:rPr>
          <w:rFonts w:hint="eastAsia" w:ascii="仿宋_GB2312" w:eastAsia="仿宋_GB2312"/>
          <w:b/>
          <w:bCs/>
          <w:color w:val="000000"/>
        </w:rPr>
        <w:t>项目实施方案格式（如有）：</w:t>
      </w:r>
    </w:p>
    <w:p w14:paraId="3387E7DD">
      <w:pPr>
        <w:pStyle w:val="453"/>
        <w:jc w:val="center"/>
        <w:rPr>
          <w:rFonts w:hint="eastAsia" w:ascii="仿宋_GB2312" w:eastAsia="仿宋_GB2312"/>
          <w:color w:val="000000"/>
        </w:rPr>
      </w:pPr>
      <w:r>
        <w:rPr>
          <w:rFonts w:hint="eastAsia" w:ascii="仿宋_GB2312" w:eastAsia="仿宋_GB2312"/>
          <w:color w:val="000000"/>
        </w:rPr>
        <w:t> </w:t>
      </w:r>
    </w:p>
    <w:p w14:paraId="2CD93851">
      <w:pPr>
        <w:pStyle w:val="453"/>
        <w:jc w:val="center"/>
        <w:rPr>
          <w:rFonts w:hint="eastAsia" w:ascii="仿宋_GB2312" w:eastAsia="仿宋_GB2312"/>
          <w:color w:val="000000"/>
        </w:rPr>
      </w:pPr>
      <w:r>
        <w:rPr>
          <w:rFonts w:hint="eastAsia" w:ascii="仿宋_GB2312" w:eastAsia="仿宋_GB2312"/>
          <w:b/>
          <w:bCs/>
          <w:color w:val="000000"/>
          <w:sz w:val="33"/>
          <w:szCs w:val="33"/>
        </w:rPr>
        <w:t>项目实施方案</w:t>
      </w:r>
    </w:p>
    <w:p w14:paraId="0BD8E1A8">
      <w:pPr>
        <w:pStyle w:val="453"/>
        <w:spacing w:line="405" w:lineRule="atLeast"/>
        <w:rPr>
          <w:rFonts w:hint="eastAsia" w:ascii="仿宋_GB2312" w:eastAsia="仿宋_GB2312"/>
          <w:color w:val="000000"/>
        </w:rPr>
      </w:pPr>
      <w:r>
        <w:rPr>
          <w:rFonts w:hint="eastAsia" w:ascii="仿宋_GB2312" w:eastAsia="仿宋_GB2312"/>
          <w:color w:val="000000"/>
        </w:rPr>
        <w:t> </w:t>
      </w:r>
    </w:p>
    <w:p w14:paraId="7EC8287B">
      <w:pPr>
        <w:pStyle w:val="453"/>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包括：（1）人员配置；（2）组织机构架构职责分工；（3）项目管控体系；（4）建设性优化；（5）设备的安装和系统运行质量保证措施；（6）风险应对措施</w:t>
      </w:r>
      <w:r>
        <w:rPr>
          <w:rFonts w:hint="eastAsia" w:ascii="仿宋_GB2312" w:eastAsia="仿宋_GB2312"/>
          <w:color w:val="000000"/>
        </w:rPr>
        <w:t>等内容。</w:t>
      </w:r>
    </w:p>
    <w:p w14:paraId="118B6DF2">
      <w:pPr>
        <w:pStyle w:val="45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1C59B98C">
      <w:pPr>
        <w:pStyle w:val="453"/>
        <w:spacing w:line="405" w:lineRule="atLeast"/>
        <w:rPr>
          <w:rFonts w:hint="eastAsia" w:ascii="仿宋_GB2312" w:eastAsia="仿宋_GB2312"/>
          <w:color w:val="000000"/>
        </w:rPr>
      </w:pPr>
      <w:r>
        <w:rPr>
          <w:rFonts w:hint="eastAsia" w:ascii="仿宋_GB2312" w:eastAsia="仿宋_GB2312"/>
          <w:color w:val="000000"/>
        </w:rPr>
        <w:t> </w:t>
      </w:r>
    </w:p>
    <w:p w14:paraId="2B1466A2">
      <w:pPr>
        <w:pStyle w:val="453"/>
        <w:spacing w:line="405" w:lineRule="atLeast"/>
        <w:rPr>
          <w:rFonts w:hint="eastAsia" w:ascii="仿宋_GB2312" w:eastAsia="仿宋_GB2312"/>
          <w:color w:val="000000"/>
        </w:rPr>
      </w:pPr>
      <w:r>
        <w:rPr>
          <w:rFonts w:hint="eastAsia" w:ascii="仿宋_GB2312" w:eastAsia="仿宋_GB2312"/>
          <w:color w:val="000000"/>
        </w:rPr>
        <w:t> </w:t>
      </w:r>
    </w:p>
    <w:p w14:paraId="7A5ECF10">
      <w:pPr>
        <w:pStyle w:val="453"/>
        <w:jc w:val="right"/>
        <w:rPr>
          <w:rFonts w:hint="eastAsia" w:ascii="仿宋_GB2312" w:eastAsia="仿宋_GB2312"/>
          <w:color w:val="000000"/>
        </w:rPr>
      </w:pPr>
      <w:r>
        <w:rPr>
          <w:rFonts w:hint="eastAsia" w:ascii="仿宋_GB2312" w:eastAsia="仿宋_GB2312"/>
          <w:color w:val="000000"/>
        </w:rPr>
        <w:t xml:space="preserve">                                   </w:t>
      </w:r>
    </w:p>
    <w:p w14:paraId="5F6E6935">
      <w:pPr>
        <w:pStyle w:val="453"/>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64D96932">
      <w:pPr>
        <w:pStyle w:val="453"/>
        <w:jc w:val="right"/>
        <w:rPr>
          <w:rFonts w:hint="eastAsia" w:ascii="仿宋_GB2312" w:eastAsia="仿宋_GB2312"/>
          <w:color w:val="000000"/>
        </w:rPr>
      </w:pPr>
      <w:r>
        <w:rPr>
          <w:rFonts w:hint="eastAsia" w:ascii="仿宋_GB2312" w:eastAsia="仿宋_GB2312"/>
          <w:color w:val="000000"/>
        </w:rPr>
        <w:t> </w:t>
      </w:r>
    </w:p>
    <w:p w14:paraId="3D9BBE9F">
      <w:pPr>
        <w:pStyle w:val="453"/>
        <w:jc w:val="right"/>
        <w:rPr>
          <w:rFonts w:hint="eastAsia" w:ascii="仿宋_GB2312" w:eastAsia="仿宋_GB2312"/>
          <w:color w:val="000000"/>
        </w:rPr>
      </w:pPr>
      <w:r>
        <w:rPr>
          <w:rFonts w:hint="eastAsia" w:ascii="仿宋_GB2312" w:eastAsia="仿宋_GB2312"/>
          <w:color w:val="000000"/>
        </w:rPr>
        <w:t>日期：   年 月 日</w:t>
      </w:r>
    </w:p>
    <w:p w14:paraId="20EC2D30">
      <w:pPr>
        <w:pStyle w:val="453"/>
        <w:spacing w:line="405" w:lineRule="atLeast"/>
        <w:rPr>
          <w:rFonts w:hint="eastAsia" w:ascii="仿宋_GB2312" w:eastAsia="仿宋_GB2312"/>
          <w:color w:val="000000"/>
        </w:rPr>
      </w:pPr>
      <w:r>
        <w:rPr>
          <w:rFonts w:hint="eastAsia" w:ascii="仿宋_GB2312" w:eastAsia="仿宋_GB2312"/>
          <w:color w:val="000000"/>
        </w:rPr>
        <w:t> </w:t>
      </w:r>
    </w:p>
    <w:p w14:paraId="22A1BD5F">
      <w:pPr>
        <w:pStyle w:val="45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FCC4078">
      <w:pPr>
        <w:pStyle w:val="453"/>
        <w:spacing w:line="405" w:lineRule="atLeast"/>
        <w:rPr>
          <w:rFonts w:hint="eastAsia" w:ascii="仿宋_GB2312" w:eastAsia="仿宋_GB2312"/>
          <w:color w:val="000000"/>
        </w:rPr>
      </w:pPr>
      <w:r>
        <w:rPr>
          <w:rFonts w:hint="eastAsia" w:ascii="仿宋_GB2312" w:eastAsia="仿宋_GB2312"/>
          <w:color w:val="000000"/>
        </w:rPr>
        <w:t> </w:t>
      </w:r>
    </w:p>
    <w:p w14:paraId="4520DCD4">
      <w:pPr>
        <w:pStyle w:val="45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highlight w:val="yellow"/>
        </w:rPr>
        <w:t>（</w:t>
      </w:r>
      <w:r>
        <w:rPr>
          <w:rFonts w:hint="eastAsia" w:ascii="仿宋_GB2312" w:eastAsia="仿宋_GB2312"/>
          <w:b/>
          <w:bCs/>
          <w:color w:val="000000"/>
          <w:highlight w:val="yellow"/>
          <w:lang w:val="en-US" w:eastAsia="zh-CN"/>
        </w:rPr>
        <w:t>6</w:t>
      </w:r>
      <w:r>
        <w:rPr>
          <w:rFonts w:hint="eastAsia" w:ascii="仿宋_GB2312" w:eastAsia="仿宋_GB2312"/>
          <w:b/>
          <w:bCs/>
          <w:color w:val="000000"/>
          <w:highlight w:val="yellow"/>
        </w:rPr>
        <w:t>）</w:t>
      </w:r>
      <w:r>
        <w:rPr>
          <w:rFonts w:hint="eastAsia" w:ascii="仿宋_GB2312" w:eastAsia="仿宋_GB2312"/>
          <w:b/>
          <w:bCs/>
          <w:color w:val="000000"/>
        </w:rPr>
        <w:t>安装进度计划和工期保证格式（如有）：</w:t>
      </w:r>
    </w:p>
    <w:p w14:paraId="3043FEC3">
      <w:pPr>
        <w:pStyle w:val="453"/>
        <w:jc w:val="center"/>
        <w:rPr>
          <w:rFonts w:hint="eastAsia" w:ascii="仿宋_GB2312" w:eastAsia="仿宋_GB2312"/>
          <w:color w:val="000000"/>
        </w:rPr>
      </w:pPr>
      <w:r>
        <w:rPr>
          <w:rFonts w:hint="eastAsia" w:ascii="仿宋_GB2312" w:eastAsia="仿宋_GB2312"/>
          <w:color w:val="000000"/>
        </w:rPr>
        <w:t> </w:t>
      </w:r>
    </w:p>
    <w:p w14:paraId="23275567">
      <w:pPr>
        <w:pStyle w:val="453"/>
        <w:jc w:val="center"/>
        <w:rPr>
          <w:rFonts w:hint="eastAsia" w:ascii="仿宋_GB2312" w:eastAsia="仿宋_GB2312"/>
          <w:color w:val="000000"/>
        </w:rPr>
      </w:pPr>
      <w:r>
        <w:rPr>
          <w:rFonts w:hint="eastAsia" w:ascii="仿宋_GB2312" w:eastAsia="仿宋_GB2312"/>
          <w:b/>
          <w:bCs/>
          <w:color w:val="000000"/>
          <w:sz w:val="32"/>
          <w:szCs w:val="32"/>
        </w:rPr>
        <w:t>安装进度计划和工期保证</w:t>
      </w:r>
    </w:p>
    <w:p w14:paraId="2AB2103C">
      <w:pPr>
        <w:pStyle w:val="453"/>
        <w:spacing w:line="405" w:lineRule="atLeast"/>
        <w:rPr>
          <w:rFonts w:hint="eastAsia" w:ascii="仿宋_GB2312" w:eastAsia="仿宋_GB2312"/>
          <w:color w:val="000000"/>
        </w:rPr>
      </w:pPr>
      <w:r>
        <w:rPr>
          <w:rFonts w:hint="eastAsia" w:ascii="仿宋_GB2312" w:eastAsia="仿宋_GB2312"/>
          <w:color w:val="000000"/>
        </w:rPr>
        <w:t>    </w:t>
      </w:r>
    </w:p>
    <w:p w14:paraId="7D52C671">
      <w:pPr>
        <w:pStyle w:val="453"/>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针对本项目的安装进度计划和工期保证：（1）安装调试进度计划；（2）工期保证措施；（3）工期风险点管控</w:t>
      </w:r>
      <w:r>
        <w:rPr>
          <w:rFonts w:hint="eastAsia" w:ascii="仿宋_GB2312" w:eastAsia="仿宋_GB2312"/>
          <w:color w:val="000000"/>
        </w:rPr>
        <w:t>等内容。</w:t>
      </w:r>
    </w:p>
    <w:p w14:paraId="73A83B74">
      <w:pPr>
        <w:pStyle w:val="45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38248651">
      <w:pPr>
        <w:pStyle w:val="453"/>
        <w:spacing w:line="405" w:lineRule="atLeast"/>
        <w:rPr>
          <w:rFonts w:hint="eastAsia" w:ascii="仿宋_GB2312" w:eastAsia="仿宋_GB2312"/>
          <w:color w:val="000000"/>
        </w:rPr>
      </w:pPr>
      <w:r>
        <w:rPr>
          <w:rFonts w:hint="eastAsia" w:ascii="仿宋_GB2312" w:eastAsia="仿宋_GB2312"/>
          <w:color w:val="000000"/>
        </w:rPr>
        <w:t> </w:t>
      </w:r>
    </w:p>
    <w:p w14:paraId="0683EB0E">
      <w:pPr>
        <w:pStyle w:val="453"/>
        <w:spacing w:line="405" w:lineRule="atLeast"/>
        <w:rPr>
          <w:rFonts w:hint="eastAsia" w:ascii="仿宋_GB2312" w:eastAsia="仿宋_GB2312"/>
          <w:color w:val="000000"/>
        </w:rPr>
      </w:pPr>
      <w:r>
        <w:rPr>
          <w:rFonts w:hint="eastAsia" w:ascii="仿宋_GB2312" w:eastAsia="仿宋_GB2312"/>
          <w:color w:val="000000"/>
        </w:rPr>
        <w:t> </w:t>
      </w:r>
    </w:p>
    <w:p w14:paraId="12C1C11F">
      <w:pPr>
        <w:pStyle w:val="453"/>
        <w:jc w:val="right"/>
        <w:rPr>
          <w:rFonts w:hint="eastAsia" w:ascii="仿宋_GB2312" w:eastAsia="仿宋_GB2312"/>
          <w:color w:val="000000"/>
        </w:rPr>
      </w:pPr>
      <w:r>
        <w:rPr>
          <w:rFonts w:hint="eastAsia" w:ascii="仿宋_GB2312" w:eastAsia="仿宋_GB2312"/>
          <w:color w:val="000000"/>
        </w:rPr>
        <w:t xml:space="preserve">                                   </w:t>
      </w:r>
    </w:p>
    <w:p w14:paraId="1E3D9E39">
      <w:pPr>
        <w:pStyle w:val="453"/>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073CCE68">
      <w:pPr>
        <w:pStyle w:val="453"/>
        <w:jc w:val="right"/>
        <w:rPr>
          <w:rFonts w:hint="eastAsia" w:ascii="仿宋_GB2312" w:eastAsia="仿宋_GB2312"/>
          <w:color w:val="000000"/>
        </w:rPr>
      </w:pPr>
      <w:r>
        <w:rPr>
          <w:rFonts w:hint="eastAsia" w:ascii="仿宋_GB2312" w:eastAsia="仿宋_GB2312"/>
          <w:color w:val="000000"/>
        </w:rPr>
        <w:t> </w:t>
      </w:r>
    </w:p>
    <w:p w14:paraId="4D7B0B3D">
      <w:pPr>
        <w:pStyle w:val="453"/>
        <w:jc w:val="right"/>
        <w:rPr>
          <w:rFonts w:hint="eastAsia" w:ascii="仿宋_GB2312" w:eastAsia="仿宋_GB2312"/>
          <w:color w:val="000000"/>
        </w:rPr>
      </w:pPr>
      <w:r>
        <w:rPr>
          <w:rFonts w:hint="eastAsia" w:ascii="仿宋_GB2312" w:eastAsia="仿宋_GB2312"/>
          <w:color w:val="000000"/>
        </w:rPr>
        <w:t>日期：   年 月 日</w:t>
      </w:r>
    </w:p>
    <w:p w14:paraId="260EAF76">
      <w:pPr>
        <w:pStyle w:val="45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61967FAE">
      <w:pPr>
        <w:pStyle w:val="453"/>
        <w:spacing w:line="405" w:lineRule="atLeast"/>
        <w:rPr>
          <w:rFonts w:hint="eastAsia" w:ascii="仿宋_GB2312" w:eastAsia="仿宋_GB2312"/>
          <w:color w:val="000000"/>
        </w:rPr>
      </w:pPr>
      <w:r>
        <w:rPr>
          <w:rFonts w:hint="eastAsia" w:ascii="仿宋_GB2312" w:eastAsia="仿宋_GB2312"/>
          <w:color w:val="000000"/>
        </w:rPr>
        <w:t> </w:t>
      </w:r>
    </w:p>
    <w:p w14:paraId="57BA7A96">
      <w:pPr>
        <w:pStyle w:val="45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highlight w:val="yellow"/>
        </w:rPr>
        <w:t>（</w:t>
      </w:r>
      <w:r>
        <w:rPr>
          <w:rFonts w:hint="eastAsia" w:ascii="仿宋_GB2312" w:eastAsia="仿宋_GB2312"/>
          <w:b/>
          <w:bCs/>
          <w:color w:val="000000"/>
          <w:highlight w:val="yellow"/>
          <w:lang w:val="en-US" w:eastAsia="zh-CN"/>
        </w:rPr>
        <w:t>7</w:t>
      </w:r>
      <w:r>
        <w:rPr>
          <w:rFonts w:hint="eastAsia" w:ascii="仿宋_GB2312" w:eastAsia="仿宋_GB2312"/>
          <w:b/>
          <w:bCs/>
          <w:color w:val="000000"/>
          <w:highlight w:val="yellow"/>
        </w:rPr>
        <w:t>）</w:t>
      </w:r>
      <w:r>
        <w:rPr>
          <w:rFonts w:hint="eastAsia" w:ascii="仿宋_GB2312" w:eastAsia="仿宋_GB2312"/>
          <w:b/>
          <w:bCs/>
          <w:color w:val="000000"/>
        </w:rPr>
        <w:t>技术培训方案格式格式（如有）：</w:t>
      </w:r>
    </w:p>
    <w:p w14:paraId="2B2FA023">
      <w:pPr>
        <w:pStyle w:val="453"/>
        <w:jc w:val="center"/>
        <w:rPr>
          <w:rFonts w:hint="eastAsia" w:ascii="仿宋_GB2312" w:eastAsia="仿宋_GB2312"/>
          <w:color w:val="000000"/>
        </w:rPr>
      </w:pPr>
      <w:r>
        <w:rPr>
          <w:rFonts w:hint="eastAsia" w:ascii="仿宋_GB2312" w:eastAsia="仿宋_GB2312"/>
          <w:color w:val="000000"/>
        </w:rPr>
        <w:t> </w:t>
      </w:r>
    </w:p>
    <w:p w14:paraId="09236B65">
      <w:pPr>
        <w:pStyle w:val="453"/>
        <w:jc w:val="center"/>
        <w:rPr>
          <w:rFonts w:hint="eastAsia" w:ascii="仿宋_GB2312" w:eastAsia="仿宋_GB2312"/>
          <w:color w:val="000000"/>
        </w:rPr>
      </w:pPr>
      <w:r>
        <w:rPr>
          <w:rFonts w:hint="eastAsia" w:ascii="仿宋_GB2312" w:eastAsia="仿宋_GB2312"/>
          <w:b/>
          <w:bCs/>
          <w:color w:val="000000"/>
          <w:sz w:val="33"/>
          <w:szCs w:val="33"/>
        </w:rPr>
        <w:t>技术培训方案</w:t>
      </w:r>
    </w:p>
    <w:p w14:paraId="5E45D63E">
      <w:pPr>
        <w:pStyle w:val="453"/>
        <w:spacing w:line="405" w:lineRule="atLeast"/>
        <w:rPr>
          <w:rFonts w:hint="eastAsia" w:ascii="仿宋_GB2312" w:eastAsia="仿宋_GB2312"/>
          <w:color w:val="000000"/>
        </w:rPr>
      </w:pPr>
      <w:r>
        <w:rPr>
          <w:rFonts w:hint="eastAsia" w:ascii="仿宋_GB2312" w:eastAsia="仿宋_GB2312"/>
          <w:color w:val="000000"/>
        </w:rPr>
        <w:t>    </w:t>
      </w:r>
    </w:p>
    <w:p w14:paraId="340E400F">
      <w:pPr>
        <w:pStyle w:val="453"/>
        <w:spacing w:line="405" w:lineRule="atLeast"/>
        <w:rPr>
          <w:rFonts w:hint="eastAsia" w:ascii="仿宋_GB2312" w:eastAsia="仿宋_GB2312"/>
          <w:color w:val="000000"/>
        </w:rPr>
      </w:pPr>
      <w:r>
        <w:rPr>
          <w:rFonts w:hint="eastAsia" w:ascii="仿宋_GB2312" w:eastAsia="仿宋_GB2312"/>
          <w:color w:val="000000"/>
        </w:rPr>
        <w:t>    </w:t>
      </w:r>
    </w:p>
    <w:p w14:paraId="1751F116">
      <w:pPr>
        <w:pStyle w:val="453"/>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由投标人按第二章《采购需求》要求，自行编写</w:t>
      </w:r>
      <w:r>
        <w:rPr>
          <w:rFonts w:hint="eastAsia" w:ascii="仿宋_GB2312" w:eastAsia="仿宋_GB2312"/>
          <w:b/>
          <w:bCs/>
          <w:color w:val="000000"/>
        </w:rPr>
        <w:t>针对本项目的技术培训方案，可以包括：（1）课程安排；（2）授课模式；（3）师资配置</w:t>
      </w:r>
      <w:r>
        <w:rPr>
          <w:rFonts w:hint="eastAsia" w:ascii="仿宋_GB2312" w:eastAsia="仿宋_GB2312"/>
          <w:color w:val="000000"/>
        </w:rPr>
        <w:t>等内容。</w:t>
      </w:r>
    </w:p>
    <w:p w14:paraId="6B0BF064">
      <w:pPr>
        <w:pStyle w:val="453"/>
        <w:spacing w:line="405" w:lineRule="atLeast"/>
        <w:rPr>
          <w:rFonts w:hint="eastAsia" w:ascii="仿宋_GB2312" w:eastAsia="仿宋_GB2312"/>
          <w:color w:val="000000"/>
        </w:rPr>
      </w:pPr>
      <w:r>
        <w:rPr>
          <w:rFonts w:hint="eastAsia" w:ascii="仿宋_GB2312" w:eastAsia="仿宋_GB2312"/>
          <w:color w:val="000000"/>
        </w:rPr>
        <w:t>  所作的项目方案作为构成合同不可分割的部分，必须真实、诚信。</w:t>
      </w:r>
    </w:p>
    <w:p w14:paraId="3F17FDE2">
      <w:pPr>
        <w:pStyle w:val="453"/>
        <w:spacing w:line="405" w:lineRule="atLeast"/>
        <w:rPr>
          <w:rFonts w:hint="eastAsia" w:ascii="仿宋_GB2312" w:eastAsia="仿宋_GB2312"/>
          <w:color w:val="000000"/>
        </w:rPr>
      </w:pPr>
      <w:r>
        <w:rPr>
          <w:rFonts w:hint="eastAsia" w:ascii="仿宋_GB2312" w:eastAsia="仿宋_GB2312"/>
          <w:color w:val="000000"/>
        </w:rPr>
        <w:t> </w:t>
      </w:r>
    </w:p>
    <w:p w14:paraId="3634B0D0">
      <w:pPr>
        <w:pStyle w:val="453"/>
        <w:spacing w:line="405" w:lineRule="atLeast"/>
        <w:rPr>
          <w:rFonts w:hint="eastAsia" w:ascii="仿宋_GB2312" w:eastAsia="仿宋_GB2312"/>
          <w:color w:val="000000"/>
        </w:rPr>
      </w:pPr>
      <w:r>
        <w:rPr>
          <w:rFonts w:hint="eastAsia" w:ascii="仿宋_GB2312" w:eastAsia="仿宋_GB2312"/>
          <w:color w:val="000000"/>
        </w:rPr>
        <w:t> </w:t>
      </w:r>
    </w:p>
    <w:p w14:paraId="0F7F72EE">
      <w:pPr>
        <w:pStyle w:val="453"/>
        <w:jc w:val="right"/>
        <w:rPr>
          <w:rFonts w:hint="eastAsia" w:ascii="仿宋_GB2312" w:eastAsia="仿宋_GB2312"/>
          <w:color w:val="000000"/>
        </w:rPr>
      </w:pPr>
      <w:r>
        <w:rPr>
          <w:rFonts w:hint="eastAsia" w:ascii="仿宋_GB2312" w:eastAsia="仿宋_GB2312"/>
          <w:color w:val="000000"/>
        </w:rPr>
        <w:t xml:space="preserve">                                   </w:t>
      </w:r>
    </w:p>
    <w:p w14:paraId="31DD6CCB">
      <w:pPr>
        <w:pStyle w:val="453"/>
        <w:jc w:val="right"/>
        <w:rPr>
          <w:rFonts w:hint="eastAsia" w:ascii="仿宋_GB2312" w:eastAsia="仿宋_GB2312"/>
          <w:color w:val="000000"/>
        </w:rPr>
      </w:pPr>
      <w:r>
        <w:rPr>
          <w:rFonts w:hint="eastAsia" w:ascii="仿宋_GB2312" w:eastAsia="仿宋_GB2312"/>
          <w:color w:val="000000"/>
        </w:rPr>
        <w:t> 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77C8972D">
      <w:pPr>
        <w:pStyle w:val="453"/>
        <w:jc w:val="right"/>
        <w:rPr>
          <w:rFonts w:hint="eastAsia" w:ascii="仿宋_GB2312" w:eastAsia="仿宋_GB2312"/>
          <w:color w:val="000000"/>
        </w:rPr>
      </w:pPr>
      <w:r>
        <w:rPr>
          <w:rFonts w:hint="eastAsia" w:ascii="仿宋_GB2312" w:eastAsia="仿宋_GB2312"/>
          <w:color w:val="000000"/>
        </w:rPr>
        <w:t> </w:t>
      </w:r>
    </w:p>
    <w:p w14:paraId="0D2BB28C">
      <w:pPr>
        <w:pStyle w:val="453"/>
        <w:jc w:val="right"/>
        <w:rPr>
          <w:rFonts w:hint="eastAsia" w:ascii="仿宋_GB2312" w:eastAsia="仿宋_GB2312"/>
          <w:color w:val="000000"/>
        </w:rPr>
      </w:pPr>
      <w:r>
        <w:rPr>
          <w:rFonts w:hint="eastAsia" w:ascii="仿宋_GB2312" w:eastAsia="仿宋_GB2312"/>
          <w:color w:val="000000"/>
        </w:rPr>
        <w:t>日期：   年 月 日</w:t>
      </w:r>
    </w:p>
    <w:p w14:paraId="37ED2592">
      <w:pPr>
        <w:pStyle w:val="45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7823A703">
      <w:pPr>
        <w:pStyle w:val="453"/>
        <w:rPr>
          <w:rFonts w:hint="eastAsia" w:ascii="仿宋_GB2312" w:eastAsia="仿宋_GB2312"/>
          <w:b/>
          <w:bCs/>
          <w:color w:val="000000"/>
        </w:rPr>
      </w:pPr>
      <w:r>
        <w:rPr>
          <w:rFonts w:hint="eastAsia" w:ascii="仿宋_GB2312" w:eastAsia="仿宋_GB2312"/>
          <w:color w:val="000000"/>
        </w:rPr>
        <w:br w:type="page"/>
      </w:r>
      <w:r>
        <w:rPr>
          <w:rFonts w:hint="eastAsia" w:ascii="仿宋_GB2312" w:eastAsia="仿宋_GB2312"/>
          <w:b/>
          <w:bCs/>
          <w:color w:val="000000"/>
          <w:highlight w:val="yellow"/>
        </w:rPr>
        <w:t>（</w:t>
      </w:r>
      <w:r>
        <w:rPr>
          <w:rFonts w:hint="eastAsia" w:ascii="仿宋_GB2312" w:eastAsia="仿宋_GB2312"/>
          <w:b/>
          <w:bCs/>
          <w:color w:val="000000"/>
          <w:highlight w:val="yellow"/>
          <w:lang w:val="en-US" w:eastAsia="zh-CN"/>
        </w:rPr>
        <w:t>8</w:t>
      </w:r>
      <w:r>
        <w:rPr>
          <w:rFonts w:hint="eastAsia" w:ascii="仿宋_GB2312" w:eastAsia="仿宋_GB2312"/>
          <w:b/>
          <w:bCs/>
          <w:color w:val="000000"/>
          <w:highlight w:val="yellow"/>
        </w:rPr>
        <w:t>）</w:t>
      </w:r>
      <w:r>
        <w:rPr>
          <w:rFonts w:hint="eastAsia" w:ascii="仿宋_GB2312" w:eastAsia="仿宋_GB2312"/>
          <w:b/>
          <w:bCs/>
          <w:color w:val="000000"/>
        </w:rPr>
        <w:t>售后服务方案格式（如有）：</w:t>
      </w:r>
    </w:p>
    <w:p w14:paraId="32444035">
      <w:pPr>
        <w:pStyle w:val="453"/>
        <w:jc w:val="center"/>
        <w:rPr>
          <w:rFonts w:hint="eastAsia" w:ascii="仿宋_GB2312" w:eastAsia="仿宋_GB2312"/>
          <w:color w:val="000000"/>
        </w:rPr>
      </w:pPr>
      <w:r>
        <w:rPr>
          <w:rFonts w:hint="eastAsia" w:ascii="仿宋_GB2312" w:eastAsia="仿宋_GB2312"/>
          <w:color w:val="000000"/>
        </w:rPr>
        <w:t> </w:t>
      </w:r>
    </w:p>
    <w:p w14:paraId="3D93A950">
      <w:pPr>
        <w:pStyle w:val="453"/>
        <w:jc w:val="center"/>
        <w:rPr>
          <w:rFonts w:hint="eastAsia" w:ascii="仿宋_GB2312" w:eastAsia="仿宋_GB2312"/>
          <w:color w:val="000000"/>
        </w:rPr>
      </w:pPr>
      <w:r>
        <w:rPr>
          <w:rFonts w:hint="eastAsia" w:ascii="仿宋_GB2312" w:eastAsia="仿宋_GB2312"/>
          <w:b/>
          <w:bCs/>
          <w:color w:val="000000"/>
          <w:sz w:val="33"/>
          <w:szCs w:val="33"/>
        </w:rPr>
        <w:t>售后服务方案</w:t>
      </w:r>
    </w:p>
    <w:p w14:paraId="74DAF47C">
      <w:pPr>
        <w:pStyle w:val="453"/>
        <w:spacing w:line="405" w:lineRule="atLeast"/>
        <w:rPr>
          <w:rFonts w:hint="eastAsia" w:ascii="仿宋_GB2312" w:eastAsia="仿宋_GB2312"/>
          <w:color w:val="000000"/>
        </w:rPr>
      </w:pPr>
      <w:r>
        <w:rPr>
          <w:rFonts w:hint="eastAsia" w:ascii="仿宋_GB2312" w:eastAsia="仿宋_GB2312"/>
          <w:color w:val="000000"/>
        </w:rPr>
        <w:t>    </w:t>
      </w:r>
    </w:p>
    <w:p w14:paraId="5D8ED649">
      <w:pPr>
        <w:pStyle w:val="453"/>
        <w:spacing w:line="405" w:lineRule="atLeast"/>
        <w:rPr>
          <w:rFonts w:hint="eastAsia" w:ascii="仿宋_GB2312" w:eastAsia="仿宋_GB2312"/>
          <w:color w:val="000000"/>
        </w:rPr>
      </w:pPr>
      <w:r>
        <w:rPr>
          <w:rFonts w:hint="eastAsia" w:ascii="仿宋_GB2312" w:eastAsia="仿宋_GB2312"/>
          <w:color w:val="000000"/>
        </w:rPr>
        <w:t>  由投标人按第二章《采购需求》要求自行填写，提供本项目的售后服务方案，</w:t>
      </w:r>
      <w:r>
        <w:rPr>
          <w:rFonts w:hint="eastAsia" w:ascii="仿宋_GB2312" w:eastAsia="仿宋_GB2312"/>
          <w:b/>
          <w:bCs/>
          <w:color w:val="000000"/>
        </w:rPr>
        <w:t>包括：（1）定期回访维护方案；（2）售后服务技术支持（包括售后服务机构、技术人员等）；（3）维修应急预案；（4）零配件储备供应；（5）保修期外维修方案。</w:t>
      </w:r>
    </w:p>
    <w:p w14:paraId="1611D6BA">
      <w:pPr>
        <w:pStyle w:val="453"/>
        <w:spacing w:line="405" w:lineRule="atLeast"/>
        <w:rPr>
          <w:rFonts w:hint="eastAsia" w:ascii="仿宋_GB2312" w:eastAsia="仿宋_GB2312"/>
          <w:color w:val="000000"/>
        </w:rPr>
      </w:pPr>
      <w:r>
        <w:rPr>
          <w:rFonts w:hint="eastAsia" w:ascii="仿宋_GB2312" w:eastAsia="仿宋_GB2312"/>
          <w:color w:val="000000"/>
        </w:rPr>
        <w:t>  所列内容作为构成合同不可分割的部分，必须真实、诚信。</w:t>
      </w:r>
    </w:p>
    <w:p w14:paraId="3B1EE24F">
      <w:pPr>
        <w:pStyle w:val="453"/>
        <w:spacing w:line="405" w:lineRule="atLeast"/>
        <w:rPr>
          <w:rFonts w:hint="eastAsia" w:ascii="仿宋_GB2312" w:eastAsia="仿宋_GB2312"/>
          <w:color w:val="000000"/>
        </w:rPr>
      </w:pPr>
      <w:r>
        <w:rPr>
          <w:rFonts w:hint="eastAsia" w:ascii="仿宋_GB2312" w:eastAsia="仿宋_GB2312"/>
          <w:color w:val="000000"/>
        </w:rPr>
        <w:t> </w:t>
      </w:r>
    </w:p>
    <w:p w14:paraId="32347A14">
      <w:pPr>
        <w:pStyle w:val="453"/>
        <w:spacing w:line="405" w:lineRule="atLeast"/>
        <w:rPr>
          <w:rFonts w:hint="eastAsia" w:ascii="仿宋_GB2312" w:eastAsia="仿宋_GB2312"/>
          <w:color w:val="000000"/>
        </w:rPr>
      </w:pPr>
      <w:r>
        <w:rPr>
          <w:rFonts w:hint="eastAsia" w:ascii="仿宋_GB2312" w:eastAsia="仿宋_GB2312"/>
          <w:color w:val="000000"/>
        </w:rPr>
        <w:t> </w:t>
      </w:r>
    </w:p>
    <w:p w14:paraId="03630816">
      <w:pPr>
        <w:pStyle w:val="453"/>
        <w:jc w:val="right"/>
        <w:rPr>
          <w:rFonts w:hint="eastAsia" w:ascii="仿宋_GB2312" w:eastAsia="仿宋_GB2312"/>
          <w:color w:val="000000"/>
        </w:rPr>
      </w:pPr>
      <w:r>
        <w:rPr>
          <w:rFonts w:hint="eastAsia" w:ascii="仿宋_GB2312" w:eastAsia="仿宋_GB2312"/>
          <w:color w:val="000000"/>
        </w:rPr>
        <w:t>                                  </w:t>
      </w:r>
    </w:p>
    <w:p w14:paraId="7C1F9547">
      <w:pPr>
        <w:pStyle w:val="453"/>
        <w:jc w:val="right"/>
        <w:rPr>
          <w:rFonts w:hint="eastAsia" w:ascii="仿宋_GB2312" w:eastAsia="仿宋_GB2312"/>
          <w:color w:val="000000"/>
        </w:rPr>
      </w:pPr>
      <w:r>
        <w:rPr>
          <w:rFonts w:hint="eastAsia" w:ascii="仿宋_GB2312" w:eastAsia="仿宋_GB2312"/>
          <w:color w:val="000000"/>
        </w:rPr>
        <w:t>投标人（</w:t>
      </w:r>
      <w:r>
        <w:rPr>
          <w:rFonts w:hint="eastAsia" w:ascii="仿宋_GB2312" w:eastAsia="仿宋_GB2312"/>
          <w:b/>
          <w:bCs/>
          <w:color w:val="000000"/>
        </w:rPr>
        <w:t>CA电子签章</w:t>
      </w:r>
      <w:r>
        <w:rPr>
          <w:rFonts w:hint="eastAsia" w:ascii="仿宋_GB2312" w:eastAsia="仿宋_GB2312"/>
          <w:color w:val="000000"/>
        </w:rPr>
        <w:t>）：</w:t>
      </w:r>
      <w:r>
        <w:rPr>
          <w:rFonts w:hint="eastAsia" w:ascii="仿宋_GB2312" w:eastAsia="仿宋_GB2312"/>
          <w:color w:val="000000"/>
          <w:u w:val="single"/>
        </w:rPr>
        <w:t>        </w:t>
      </w:r>
    </w:p>
    <w:p w14:paraId="4DDDBEBF">
      <w:pPr>
        <w:pStyle w:val="453"/>
        <w:jc w:val="right"/>
        <w:rPr>
          <w:rFonts w:hint="eastAsia" w:ascii="仿宋_GB2312" w:eastAsia="仿宋_GB2312"/>
          <w:color w:val="000000"/>
        </w:rPr>
      </w:pPr>
      <w:r>
        <w:rPr>
          <w:rFonts w:hint="eastAsia" w:ascii="仿宋_GB2312" w:eastAsia="仿宋_GB2312"/>
          <w:color w:val="000000"/>
        </w:rPr>
        <w:t> </w:t>
      </w:r>
    </w:p>
    <w:p w14:paraId="79F86648">
      <w:pPr>
        <w:pStyle w:val="453"/>
        <w:jc w:val="right"/>
        <w:rPr>
          <w:rFonts w:hint="eastAsia" w:ascii="仿宋_GB2312" w:eastAsia="仿宋_GB2312"/>
          <w:color w:val="000000"/>
        </w:rPr>
      </w:pPr>
      <w:r>
        <w:rPr>
          <w:rFonts w:hint="eastAsia" w:ascii="仿宋_GB2312" w:eastAsia="仿宋_GB2312"/>
          <w:color w:val="000000"/>
        </w:rPr>
        <w:t>日期：   年 月 日</w:t>
      </w:r>
    </w:p>
    <w:p w14:paraId="2DC6934F">
      <w:pPr>
        <w:pStyle w:val="453"/>
        <w:spacing w:line="405" w:lineRule="atLeast"/>
        <w:rPr>
          <w:rFonts w:hint="eastAsia" w:ascii="仿宋_GB2312" w:eastAsia="仿宋_GB2312"/>
          <w:color w:val="000000"/>
        </w:rPr>
      </w:pPr>
      <w:r>
        <w:rPr>
          <w:rFonts w:hint="eastAsia" w:ascii="仿宋_GB2312" w:eastAsia="仿宋_GB2312"/>
          <w:b/>
          <w:bCs/>
          <w:color w:val="000000"/>
        </w:rPr>
        <w:t>注：此项材料如有请以PDF格式上传。</w:t>
      </w:r>
    </w:p>
    <w:p w14:paraId="1CF496A4">
      <w:pPr>
        <w:pStyle w:val="453"/>
        <w:spacing w:line="405" w:lineRule="atLeast"/>
        <w:rPr>
          <w:rFonts w:hint="eastAsia" w:ascii="仿宋_GB2312" w:eastAsia="仿宋_GB2312"/>
          <w:color w:val="000000"/>
        </w:rPr>
      </w:pPr>
      <w:r>
        <w:rPr>
          <w:rFonts w:hint="eastAsia" w:ascii="仿宋_GB2312" w:eastAsia="仿宋_GB2312"/>
          <w:color w:val="000000"/>
        </w:rPr>
        <w:br w:type="page"/>
      </w:r>
    </w:p>
    <w:p w14:paraId="327EE74A">
      <w:pPr>
        <w:pStyle w:val="453"/>
        <w:jc w:val="right"/>
        <w:rPr>
          <w:rFonts w:hint="eastAsia" w:eastAsia="仿宋_GB2312" w:asciiTheme="minorHAnsi" w:hAnsiTheme="minorHAnsi"/>
          <w:lang w:val="en-GB"/>
        </w:rPr>
        <w:sectPr>
          <w:pgSz w:w="11906" w:h="16838"/>
          <w:pgMar w:top="1440" w:right="707" w:bottom="1440" w:left="1440" w:header="851" w:footer="992" w:gutter="0"/>
          <w:cols w:space="720" w:num="1"/>
          <w:docGrid w:linePitch="312" w:charSpace="0"/>
        </w:sectPr>
      </w:pPr>
    </w:p>
    <w:p w14:paraId="11385B50">
      <w:pPr>
        <w:pStyle w:val="473"/>
        <w:spacing w:before="0" w:beforeAutospacing="0" w:after="0" w:afterAutospacing="0" w:line="460" w:lineRule="atLeast"/>
        <w:ind w:firstLine="480" w:firstLineChars="200"/>
        <w:rPr>
          <w:rFonts w:hint="eastAsia" w:ascii="仿宋_GB2312" w:eastAsia="仿宋_GB2312"/>
          <w:color w:val="000000"/>
          <w:highlight w:val="yellow"/>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9</w:t>
      </w:r>
      <w:r>
        <w:rPr>
          <w:rFonts w:hint="eastAsia" w:ascii="仿宋_GB2312" w:eastAsia="仿宋_GB2312"/>
          <w:color w:val="000000"/>
          <w:highlight w:val="yellow"/>
        </w:rPr>
        <w:t>）所投产品标记“◆”的技术参数</w:t>
      </w:r>
      <w:r>
        <w:rPr>
          <w:rFonts w:hint="eastAsia" w:ascii="仿宋_GB2312" w:eastAsia="仿宋_GB2312"/>
          <w:color w:val="000000"/>
          <w:highlight w:val="yellow"/>
          <w:lang w:eastAsia="zh-CN"/>
        </w:rPr>
        <w:t>带波浪线</w:t>
      </w:r>
      <w:r>
        <w:rPr>
          <w:rFonts w:hint="eastAsia" w:ascii="仿宋_GB2312" w:eastAsia="仿宋_GB2312"/>
          <w:color w:val="000000"/>
          <w:highlight w:val="yellow"/>
        </w:rPr>
        <w:t>“</w:t>
      </w:r>
      <w:r>
        <w:rPr>
          <w:rFonts w:hint="eastAsia" w:ascii="仿宋_GB2312" w:hAnsi="仿宋_GB2312" w:eastAsia="仿宋_GB2312" w:cs="仿宋_GB2312"/>
          <w:color w:val="auto"/>
          <w:highlight w:val="yellow"/>
          <w:u w:val="wave"/>
          <w:lang w:val="en-US" w:eastAsia="zh-CN"/>
        </w:rPr>
        <w:t xml:space="preserve">    </w:t>
      </w:r>
      <w:r>
        <w:rPr>
          <w:rFonts w:hint="eastAsia" w:ascii="仿宋_GB2312" w:eastAsia="仿宋_GB2312"/>
          <w:color w:val="000000"/>
          <w:highlight w:val="yellow"/>
        </w:rPr>
        <w:t>”的内容优于采购需求，</w:t>
      </w:r>
      <w:r>
        <w:rPr>
          <w:rFonts w:hint="eastAsia" w:ascii="仿宋_GB2312" w:eastAsia="仿宋_GB2312"/>
          <w:color w:val="000000"/>
          <w:highlight w:val="yellow"/>
          <w:lang w:eastAsia="zh-CN"/>
        </w:rPr>
        <w:t>提供证明材料，</w:t>
      </w:r>
      <w:r>
        <w:rPr>
          <w:rFonts w:hint="eastAsia" w:ascii="仿宋_GB2312" w:hAnsi="仿宋_GB2312" w:eastAsia="仿宋_GB2312" w:cs="仿宋_GB2312"/>
          <w:b w:val="0"/>
          <w:bCs w:val="0"/>
          <w:color w:val="000000" w:themeColor="text1"/>
          <w:highlight w:val="yellow"/>
          <w14:textFill>
            <w14:solidFill>
              <w14:schemeClr w14:val="tx1"/>
            </w14:solidFill>
          </w14:textFill>
        </w:rPr>
        <w:t>证明材料可以是检测（检验）报告、彩页、官网或功能截图等任意一种）</w:t>
      </w:r>
      <w:r>
        <w:rPr>
          <w:rFonts w:hint="eastAsia" w:ascii="仿宋_GB2312" w:eastAsia="仿宋_GB2312"/>
          <w:color w:val="000000"/>
          <w:highlight w:val="yellow"/>
        </w:rPr>
        <w:t>（如有）</w:t>
      </w:r>
    </w:p>
    <w:p w14:paraId="0DFA0B43">
      <w:pPr>
        <w:pStyle w:val="47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highlight w:val="yellow"/>
        </w:rPr>
        <w:t>（</w:t>
      </w:r>
      <w:r>
        <w:rPr>
          <w:rFonts w:hint="eastAsia" w:ascii="仿宋_GB2312" w:eastAsia="仿宋_GB2312"/>
          <w:color w:val="000000"/>
          <w:highlight w:val="yellow"/>
          <w:lang w:val="en-US" w:eastAsia="zh-CN"/>
        </w:rPr>
        <w:t>10</w:t>
      </w:r>
      <w:r>
        <w:rPr>
          <w:rFonts w:hint="eastAsia" w:ascii="仿宋_GB2312" w:eastAsia="仿宋_GB2312"/>
          <w:color w:val="000000"/>
          <w:highlight w:val="yellow"/>
        </w:rPr>
        <w:t>）</w:t>
      </w:r>
      <w:r>
        <w:rPr>
          <w:rFonts w:hint="eastAsia" w:ascii="仿宋_GB2312" w:eastAsia="仿宋_GB2312"/>
          <w:color w:val="000000"/>
        </w:rPr>
        <w:t>投标人或投标核心产品的生产厂商具备有效的质量管理体系认证证书（如有）</w:t>
      </w:r>
    </w:p>
    <w:p w14:paraId="2BD21F0F">
      <w:pPr>
        <w:pStyle w:val="4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w:t>
      </w:r>
      <w:r>
        <w:rPr>
          <w:rFonts w:hint="eastAsia" w:ascii="仿宋_GB2312" w:eastAsia="仿宋_GB2312"/>
          <w:color w:val="000000"/>
          <w:highlight w:val="yellow"/>
          <w:lang w:val="en-US" w:eastAsia="zh-CN"/>
        </w:rPr>
        <w:t>11</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投标人或投标核心产品生产厂商具备有效的职业健康安全管理体系认证证书（如有）</w:t>
      </w:r>
    </w:p>
    <w:p w14:paraId="7022F3C8">
      <w:pPr>
        <w:pStyle w:val="4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2</w:t>
      </w:r>
      <w:r>
        <w:rPr>
          <w:rFonts w:hint="eastAsia" w:ascii="仿宋_GB2312" w:eastAsia="仿宋_GB2312"/>
          <w:color w:val="000000"/>
          <w:highlight w:val="yellow"/>
        </w:rPr>
        <w:t>）</w:t>
      </w:r>
      <w:r>
        <w:rPr>
          <w:rFonts w:hint="eastAsia" w:ascii="仿宋_GB2312" w:eastAsia="仿宋_GB2312"/>
          <w:color w:val="000000"/>
        </w:rPr>
        <w:t>投标人或投标核心产品生产厂商具备有效的环境管理体系认证证书（如有）</w:t>
      </w:r>
    </w:p>
    <w:p w14:paraId="1523B8BC">
      <w:pPr>
        <w:pStyle w:val="47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yellow"/>
          <w:lang w:val="en-US" w:eastAsia="zh-CN"/>
        </w:rPr>
        <w:t>1</w:t>
      </w:r>
      <w:r>
        <w:rPr>
          <w:rFonts w:hint="eastAsia" w:ascii="仿宋_GB2312" w:eastAsia="仿宋_GB2312"/>
          <w:bCs/>
          <w:color w:val="auto"/>
          <w:sz w:val="24"/>
          <w:highlight w:val="yellow"/>
          <w:lang w:val="en-US" w:eastAsia="zh-CN"/>
        </w:rPr>
        <w:t>3</w:t>
      </w:r>
      <w:r>
        <w:rPr>
          <w:rFonts w:hint="eastAsia" w:ascii="仿宋_GB2312" w:hAnsi="宋体" w:eastAsia="仿宋_GB2312"/>
          <w:bCs/>
          <w:color w:val="auto"/>
          <w:sz w:val="24"/>
          <w:highlight w:val="yellow"/>
          <w:lang w:eastAsia="zh-CN"/>
        </w:rPr>
        <w:t>）</w:t>
      </w:r>
      <w:r>
        <w:rPr>
          <w:rFonts w:hint="eastAsia" w:ascii="仿宋_GB2312" w:hAnsi="宋体" w:eastAsia="仿宋_GB2312"/>
          <w:bCs/>
          <w:color w:val="auto"/>
          <w:sz w:val="24"/>
          <w:highlight w:val="none"/>
        </w:rPr>
        <w:t>投标产品</w:t>
      </w:r>
      <w:r>
        <w:rPr>
          <w:rFonts w:hint="eastAsia" w:ascii="仿宋_GB2312" w:hAnsi="宋体" w:eastAsia="仿宋_GB2312"/>
          <w:bCs/>
          <w:color w:val="auto"/>
          <w:sz w:val="24"/>
          <w:highlight w:val="none"/>
          <w:lang w:eastAsia="zh-CN"/>
        </w:rPr>
        <w:t>为非政府强制采购节能产品，由</w:t>
      </w:r>
      <w:r>
        <w:rPr>
          <w:rFonts w:hint="eastAsia" w:ascii="仿宋_GB2312" w:hAnsi="宋体" w:eastAsia="仿宋_GB2312"/>
          <w:bCs/>
          <w:color w:val="auto"/>
          <w:sz w:val="24"/>
          <w:highlight w:val="none"/>
        </w:rPr>
        <w:t>国家确定的认证机构出具的</w:t>
      </w:r>
      <w:r>
        <w:rPr>
          <w:rFonts w:hint="eastAsia" w:ascii="仿宋_GB2312" w:hAnsi="宋体" w:eastAsia="仿宋_GB2312"/>
          <w:bCs/>
          <w:color w:val="000000"/>
          <w:sz w:val="24"/>
          <w:highlight w:val="none"/>
        </w:rPr>
        <w:t>、处于有效期之内的节能产品认证证书</w:t>
      </w:r>
      <w:r>
        <w:rPr>
          <w:rFonts w:hint="eastAsia" w:ascii="仿宋_GB2312" w:hAnsi="宋体" w:eastAsia="仿宋_GB2312"/>
          <w:bCs/>
          <w:color w:val="000000"/>
          <w:sz w:val="24"/>
          <w:highlight w:val="none"/>
          <w:lang w:eastAsia="zh-CN"/>
        </w:rPr>
        <w:t>（如有）</w:t>
      </w:r>
    </w:p>
    <w:p w14:paraId="1F7203B2">
      <w:pPr>
        <w:pStyle w:val="473"/>
        <w:spacing w:before="0" w:beforeAutospacing="0" w:after="0" w:afterAutospacing="0" w:line="460" w:lineRule="atLeast"/>
        <w:ind w:firstLine="480" w:firstLineChars="200"/>
        <w:rPr>
          <w:rFonts w:hint="eastAsia" w:ascii="仿宋_GB2312" w:eastAsia="仿宋_GB2312"/>
          <w:color w:val="000000"/>
        </w:rPr>
      </w:pPr>
      <w:r>
        <w:rPr>
          <w:rFonts w:hint="eastAsia" w:ascii="仿宋_GB2312" w:eastAsia="仿宋_GB2312"/>
          <w:color w:val="000000"/>
          <w:highlight w:val="yellow"/>
        </w:rPr>
        <w:t>（1</w:t>
      </w:r>
      <w:r>
        <w:rPr>
          <w:rFonts w:hint="eastAsia" w:ascii="仿宋_GB2312" w:eastAsia="仿宋_GB2312"/>
          <w:color w:val="000000"/>
          <w:highlight w:val="yellow"/>
          <w:lang w:val="en-US" w:eastAsia="zh-CN"/>
        </w:rPr>
        <w:t>4</w:t>
      </w:r>
      <w:r>
        <w:rPr>
          <w:rFonts w:hint="eastAsia" w:ascii="仿宋_GB2312" w:eastAsia="仿宋_GB2312"/>
          <w:color w:val="000000"/>
          <w:highlight w:val="yellow"/>
        </w:rPr>
        <w:t>）</w:t>
      </w:r>
      <w:r>
        <w:rPr>
          <w:rFonts w:hint="eastAsia" w:ascii="仿宋_GB2312" w:eastAsia="仿宋_GB2312"/>
          <w:color w:val="000000"/>
        </w:rPr>
        <w:t>投标产品由国家确定的认证机构出具的、处于有效期之内的环境标志产品认证证书（如有）</w:t>
      </w:r>
    </w:p>
    <w:p w14:paraId="66E28695">
      <w:pPr>
        <w:pStyle w:val="4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5</w:t>
      </w:r>
      <w:r>
        <w:rPr>
          <w:rFonts w:hint="eastAsia" w:ascii="仿宋_GB2312" w:eastAsia="仿宋_GB2312"/>
          <w:color w:val="000000"/>
          <w:highlight w:val="yellow"/>
        </w:rPr>
        <w:t>）</w:t>
      </w:r>
      <w:r>
        <w:rPr>
          <w:rFonts w:hint="eastAsia" w:ascii="仿宋_GB2312" w:eastAsia="仿宋_GB2312"/>
          <w:color w:val="000000"/>
        </w:rPr>
        <w:t>投标人对本项目的合理化建议和改进措施（如有，格式自拟）</w:t>
      </w:r>
    </w:p>
    <w:p w14:paraId="590AC642">
      <w:pPr>
        <w:pStyle w:val="473"/>
        <w:spacing w:before="0" w:beforeAutospacing="0" w:after="0" w:afterAutospacing="0" w:line="460" w:lineRule="atLeast"/>
        <w:rPr>
          <w:rFonts w:hint="eastAsia" w:ascii="仿宋_GB2312" w:eastAsia="仿宋_GB2312"/>
          <w:color w:val="000000"/>
        </w:rPr>
      </w:pPr>
      <w:r>
        <w:rPr>
          <w:rFonts w:hint="eastAsia" w:ascii="仿宋_GB2312" w:eastAsia="仿宋_GB2312"/>
          <w:color w:val="000000"/>
        </w:rPr>
        <w:t>  </w:t>
      </w:r>
      <w:r>
        <w:rPr>
          <w:rFonts w:hint="eastAsia" w:ascii="仿宋_GB2312" w:eastAsia="仿宋_GB2312"/>
          <w:color w:val="000000"/>
          <w:highlight w:val="yellow"/>
        </w:rPr>
        <w:t>（1</w:t>
      </w:r>
      <w:r>
        <w:rPr>
          <w:rFonts w:hint="eastAsia" w:ascii="仿宋_GB2312" w:eastAsia="仿宋_GB2312"/>
          <w:color w:val="000000"/>
          <w:highlight w:val="yellow"/>
          <w:lang w:val="en-US" w:eastAsia="zh-CN"/>
        </w:rPr>
        <w:t>6</w:t>
      </w:r>
      <w:r>
        <w:rPr>
          <w:rFonts w:hint="eastAsia" w:ascii="仿宋_GB2312" w:eastAsia="仿宋_GB2312"/>
          <w:color w:val="000000"/>
          <w:highlight w:val="yellow"/>
        </w:rPr>
        <w:t>）</w:t>
      </w:r>
      <w:r>
        <w:rPr>
          <w:rFonts w:hint="eastAsia" w:ascii="仿宋_GB2312" w:eastAsia="仿宋_GB2312"/>
          <w:color w:val="000000"/>
        </w:rPr>
        <w:t>投标人认为必要提供的声明及文件资料（如有，格式自拟）</w:t>
      </w:r>
    </w:p>
    <w:p w14:paraId="49B31558">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76469C45">
      <w:pPr>
        <w:snapToGrid w:val="0"/>
        <w:spacing w:before="120" w:beforeLines="50" w:after="50" w:line="400" w:lineRule="exact"/>
        <w:outlineLvl w:val="1"/>
        <w:rPr>
          <w:rFonts w:ascii="仿宋_GB2312" w:eastAsia="仿宋_GB2312"/>
          <w:b/>
          <w:bCs/>
          <w:color w:val="000000" w:themeColor="text1"/>
          <w:szCs w:val="21"/>
          <w14:textFill>
            <w14:solidFill>
              <w14:schemeClr w14:val="tx1"/>
            </w14:solidFill>
          </w14:textFill>
        </w:rPr>
      </w:pPr>
    </w:p>
    <w:p w14:paraId="5421C1FA">
      <w:pPr>
        <w:ind w:firstLine="643" w:firstLineChars="200"/>
        <w:jc w:val="left"/>
        <w:rPr>
          <w:rFonts w:ascii="仿宋_GB2312" w:eastAsia="仿宋_GB2312"/>
          <w:b/>
          <w:bCs/>
          <w:sz w:val="32"/>
          <w:szCs w:val="32"/>
        </w:rPr>
      </w:pPr>
      <w:r>
        <w:rPr>
          <w:rFonts w:hint="eastAsia" w:ascii="仿宋_GB2312" w:eastAsia="仿宋_GB2312"/>
          <w:b/>
          <w:bCs/>
          <w:sz w:val="32"/>
          <w:szCs w:val="32"/>
        </w:rPr>
        <w:t>注：</w:t>
      </w:r>
      <w:r>
        <w:rPr>
          <w:rFonts w:hint="eastAsia" w:ascii="仿宋_GB2312" w:eastAsia="仿宋_GB2312"/>
          <w:b/>
          <w:bCs/>
          <w:sz w:val="32"/>
          <w:szCs w:val="32"/>
          <w:highlight w:val="yellow"/>
        </w:rPr>
        <w:t>第（</w:t>
      </w:r>
      <w:r>
        <w:rPr>
          <w:rFonts w:hint="eastAsia" w:ascii="仿宋_GB2312" w:eastAsia="仿宋_GB2312"/>
          <w:b/>
          <w:bCs/>
          <w:sz w:val="32"/>
          <w:szCs w:val="32"/>
          <w:highlight w:val="yellow"/>
          <w:lang w:val="en-US" w:eastAsia="zh-CN"/>
        </w:rPr>
        <w:t>9</w:t>
      </w:r>
      <w:r>
        <w:rPr>
          <w:rFonts w:hint="eastAsia" w:ascii="仿宋_GB2312" w:eastAsia="仿宋_GB2312"/>
          <w:b/>
          <w:bCs/>
          <w:sz w:val="32"/>
          <w:szCs w:val="32"/>
          <w:highlight w:val="yellow"/>
        </w:rPr>
        <w:t>）项至第（</w:t>
      </w:r>
      <w:r>
        <w:rPr>
          <w:rFonts w:ascii="仿宋_GB2312" w:eastAsia="仿宋_GB2312"/>
          <w:b/>
          <w:bCs/>
          <w:sz w:val="32"/>
          <w:szCs w:val="32"/>
          <w:highlight w:val="yellow"/>
        </w:rPr>
        <w:t>1</w:t>
      </w:r>
      <w:r>
        <w:rPr>
          <w:rFonts w:hint="eastAsia" w:ascii="仿宋_GB2312" w:eastAsia="仿宋_GB2312"/>
          <w:b/>
          <w:bCs/>
          <w:sz w:val="32"/>
          <w:szCs w:val="32"/>
          <w:highlight w:val="yellow"/>
          <w:lang w:val="en-US" w:eastAsia="zh-CN"/>
        </w:rPr>
        <w:t>6</w:t>
      </w:r>
      <w:r>
        <w:rPr>
          <w:rFonts w:hint="eastAsia" w:ascii="仿宋_GB2312" w:eastAsia="仿宋_GB2312"/>
          <w:b/>
          <w:bCs/>
          <w:sz w:val="32"/>
          <w:szCs w:val="32"/>
          <w:highlight w:val="yellow"/>
        </w:rPr>
        <w:t>）</w:t>
      </w:r>
      <w:r>
        <w:rPr>
          <w:rFonts w:hint="eastAsia" w:ascii="仿宋_GB2312" w:eastAsia="仿宋_GB2312"/>
          <w:b/>
          <w:bCs/>
          <w:sz w:val="32"/>
          <w:szCs w:val="32"/>
        </w:rPr>
        <w:t>项</w:t>
      </w:r>
      <w:r>
        <w:rPr>
          <w:rFonts w:hint="eastAsia" w:ascii="仿宋_GB2312" w:hAnsi="宋体" w:eastAsia="仿宋_GB2312"/>
          <w:b/>
          <w:bCs/>
          <w:sz w:val="30"/>
          <w:szCs w:val="30"/>
        </w:rPr>
        <w:t>如有请以PDF格式提供，并加盖投标人CA电子签章</w:t>
      </w:r>
      <w:r>
        <w:rPr>
          <w:rFonts w:hint="eastAsia" w:ascii="仿宋_GB2312" w:eastAsia="仿宋_GB2312"/>
          <w:b/>
          <w:bCs/>
          <w:sz w:val="32"/>
          <w:szCs w:val="32"/>
        </w:rPr>
        <w:t>。</w:t>
      </w:r>
    </w:p>
    <w:sectPr>
      <w:footerReference r:id="rId9" w:type="default"/>
      <w:pgSz w:w="11906" w:h="16838"/>
      <w:pgMar w:top="1440" w:right="1440" w:bottom="1440" w:left="1440"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5F"/>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华文细黑">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 w:name="方正大黑简体2.">
    <w:altName w:val="黑体"/>
    <w:panose1 w:val="00000000000000000000"/>
    <w:charset w:val="86"/>
    <w:family w:val="swiss"/>
    <w:pitch w:val="default"/>
    <w:sig w:usb0="00000000" w:usb1="00000000" w:usb2="00000010" w:usb3="00000000" w:csb0="00040000" w:csb1="00000000"/>
  </w:font>
  <w:font w:name="Arial Unicode MS">
    <w:panose1 w:val="020B0604020202020204"/>
    <w:charset w:val="86"/>
    <w:family w:val="swiss"/>
    <w:pitch w:val="default"/>
    <w:sig w:usb0="FFFFFFFF" w:usb1="E9FFFFFF" w:usb2="0000003F" w:usb3="00000000" w:csb0="603F01FF" w:csb1="FFFF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等线">
    <w:altName w:val="Arial Unicode MS"/>
    <w:panose1 w:val="02010600030101010101"/>
    <w:charset w:val="86"/>
    <w:family w:val="auto"/>
    <w:pitch w:val="default"/>
    <w:sig w:usb0="00000000" w:usb1="00000000" w:usb2="00000016" w:usb3="00000000" w:csb0="0004000F" w:csb1="00000000"/>
  </w:font>
  <w:font w:name="华文新魏">
    <w:panose1 w:val="02010800040101010101"/>
    <w:charset w:val="86"/>
    <w:family w:val="auto"/>
    <w:pitch w:val="default"/>
    <w:sig w:usb0="00000001" w:usb1="080F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80F3C52" w:usb2="00000016" w:usb3="00000000" w:csb0="0004001F" w:csb1="00000000"/>
  </w:font>
  <w:font w:name="等线">
    <w:altName w:val="Arial Unicode MS"/>
    <w:panose1 w:val="00000000000000000000"/>
    <w:charset w:val="00"/>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B34D37">
    <w:pPr>
      <w:pStyle w:val="31"/>
      <w:framePr w:wrap="around" w:vAnchor="text" w:hAnchor="margin" w:xAlign="center" w:y="1"/>
      <w:rPr>
        <w:rStyle w:val="52"/>
      </w:rPr>
    </w:pPr>
    <w:r>
      <w:fldChar w:fldCharType="begin"/>
    </w:r>
    <w:r>
      <w:rPr>
        <w:rStyle w:val="52"/>
      </w:rPr>
      <w:instrText xml:space="preserve">PAGE  </w:instrText>
    </w:r>
    <w:r>
      <w:fldChar w:fldCharType="separate"/>
    </w:r>
    <w:r>
      <w:rPr>
        <w:rStyle w:val="52"/>
      </w:rPr>
      <w:t>1</w:t>
    </w:r>
    <w:r>
      <w:fldChar w:fldCharType="end"/>
    </w:r>
  </w:p>
  <w:p w14:paraId="6BA5ED4D">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F05753">
    <w:pPr>
      <w:pStyle w:val="31"/>
      <w:tabs>
        <w:tab w:val="left" w:pos="6787"/>
        <w:tab w:val="center" w:pos="6979"/>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EBB0F">
    <w:pPr>
      <w:pStyle w:val="31"/>
      <w:tabs>
        <w:tab w:val="left" w:pos="6787"/>
        <w:tab w:val="center" w:pos="6979"/>
      </w:tabs>
      <w:jc w:val="center"/>
    </w:pPr>
    <w:r>
      <w:rPr>
        <w:rFonts w:hint="eastAsia"/>
      </w:rPr>
      <w:fldChar w:fldCharType="begin"/>
    </w:r>
    <w:r>
      <w:rPr>
        <w:rFonts w:hint="eastAsia"/>
      </w:rPr>
      <w:instrText xml:space="preserve"> PAGE  \* MERGEFORMAT </w:instrText>
    </w:r>
    <w:r>
      <w:rPr>
        <w:rFonts w:hint="eastAsia"/>
      </w:rPr>
      <w:fldChar w:fldCharType="separate"/>
    </w:r>
    <w:r>
      <w:t>18</w:t>
    </w:r>
    <w:r>
      <w:rPr>
        <w:rFonts w:hint="eastAsia"/>
      </w:rPr>
      <w:fldChar w:fldCharType="end"/>
    </w:r>
  </w:p>
  <w:p w14:paraId="68C09498"/>
  <w:p w14:paraId="25C6E4DB"/>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66406300"/>
    </w:sdtPr>
    <w:sdtContent>
      <w:p w14:paraId="577C3940">
        <w:pPr>
          <w:pStyle w:val="31"/>
          <w:jc w:val="center"/>
        </w:pPr>
        <w:r>
          <w:fldChar w:fldCharType="begin"/>
        </w:r>
        <w:r>
          <w:instrText xml:space="preserve">PAGE   \* MERGEFORMAT</w:instrText>
        </w:r>
        <w:r>
          <w:fldChar w:fldCharType="separate"/>
        </w:r>
        <w:r>
          <w:rPr>
            <w:lang w:val="zh-CN"/>
          </w:rPr>
          <w:t>55</w:t>
        </w:r>
        <w:r>
          <w:fldChar w:fldCharType="end"/>
        </w:r>
      </w:p>
    </w:sdtContent>
  </w:sdt>
  <w:p w14:paraId="7C8A00D1">
    <w:pPr>
      <w:pStyle w:val="31"/>
      <w:tabs>
        <w:tab w:val="left" w:pos="6787"/>
        <w:tab w:val="center" w:pos="6979"/>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7E3A85">
    <w:pPr>
      <w:pStyle w:val="31"/>
      <w:jc w:val="center"/>
    </w:pPr>
    <w:r>
      <w:rPr>
        <w:rFonts w:hint="eastAsia"/>
      </w:rPr>
      <w:fldChar w:fldCharType="begin"/>
    </w:r>
    <w:r>
      <w:rPr>
        <w:rFonts w:hint="eastAsia"/>
      </w:rPr>
      <w:instrText xml:space="preserve"> PAGE  \* MERGEFORMAT </w:instrText>
    </w:r>
    <w:r>
      <w:rPr>
        <w:rFonts w:hint="eastAsia"/>
      </w:rPr>
      <w:fldChar w:fldCharType="separate"/>
    </w:r>
    <w:r>
      <w:t>56</w:t>
    </w:r>
    <w:r>
      <w:rPr>
        <w:rFonts w:hint="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0BB94">
    <w:pPr>
      <w:pStyle w:val="32"/>
    </w:pPr>
    <w:r>
      <w:rPr>
        <w:rFonts w:hint="eastAsia"/>
        <w:b/>
      </w:rPr>
      <w:t xml:space="preserve">柳州市政府集中采购中心  </w:t>
    </w:r>
    <w:r>
      <w:rPr>
        <w:rFonts w:hint="eastAsia"/>
        <w:b/>
        <w:i/>
      </w:rPr>
      <w:t xml:space="preserve">                            柳州市政府集中采购综合管理系统开发服务采购</w:t>
    </w:r>
    <w:r>
      <w:rPr>
        <w:rFonts w:hint="eastAsia"/>
        <w:b/>
        <w:color w:val="000000"/>
      </w:rPr>
      <w:t>（LZG18-945）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DC364">
    <w:pPr>
      <w:pStyle w:val="32"/>
      <w:jc w:val="right"/>
      <w:rPr>
        <w:b/>
        <w:color w:val="000000"/>
      </w:rPr>
    </w:pPr>
    <w:r>
      <w:rPr>
        <w:b/>
      </w:rPr>
      <w:t>柳州高级中学AI教学中心设备采购</w:t>
    </w:r>
    <w:r>
      <w:rPr>
        <w:rFonts w:hint="eastAsia"/>
        <w:b/>
      </w:rPr>
      <w:t>（</w:t>
    </w:r>
    <w:r>
      <w:rPr>
        <w:b/>
      </w:rPr>
      <w:t>LZZC2026-G1-990498-LZSZ</w:t>
    </w:r>
    <w:r>
      <w:rPr>
        <w:rFonts w:hint="eastAsia"/>
        <w:b/>
      </w:rPr>
      <w:t xml:space="preserve">）   </w:t>
    </w:r>
    <w:r>
      <w:rPr>
        <w:rFonts w:hint="eastAsia"/>
        <w:b/>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FD0A51"/>
    <w:multiLevelType w:val="multilevel"/>
    <w:tmpl w:val="08FD0A51"/>
    <w:lvl w:ilvl="0" w:tentative="0">
      <w:start w:val="1"/>
      <w:numFmt w:val="decimal"/>
      <w:suff w:val="nothing"/>
      <w:lvlText w:val="（%1）"/>
      <w:lvlJc w:val="left"/>
      <w:pPr>
        <w:ind w:left="0" w:firstLine="430"/>
      </w:pPr>
      <w:rPr>
        <w:rFonts w:hint="eastAsia"/>
      </w:rPr>
    </w:lvl>
    <w:lvl w:ilvl="1" w:tentative="0">
      <w:start w:val="1"/>
      <w:numFmt w:val="lowerLetter"/>
      <w:lvlText w:val="%2)"/>
      <w:lvlJc w:val="left"/>
      <w:pPr>
        <w:tabs>
          <w:tab w:val="left" w:pos="1470"/>
        </w:tabs>
        <w:ind w:left="1470" w:hanging="420"/>
      </w:pPr>
      <w:rPr>
        <w:rFonts w:hint="eastAsia"/>
      </w:rPr>
    </w:lvl>
    <w:lvl w:ilvl="2" w:tentative="0">
      <w:start w:val="1"/>
      <w:numFmt w:val="lowerRoman"/>
      <w:lvlText w:val="%3."/>
      <w:lvlJc w:val="right"/>
      <w:pPr>
        <w:tabs>
          <w:tab w:val="left" w:pos="1890"/>
        </w:tabs>
        <w:ind w:left="1890" w:hanging="420"/>
      </w:pPr>
      <w:rPr>
        <w:rFonts w:hint="eastAsia"/>
      </w:rPr>
    </w:lvl>
    <w:lvl w:ilvl="3" w:tentative="0">
      <w:start w:val="1"/>
      <w:numFmt w:val="decimal"/>
      <w:lvlText w:val="%4."/>
      <w:lvlJc w:val="left"/>
      <w:pPr>
        <w:tabs>
          <w:tab w:val="left" w:pos="2310"/>
        </w:tabs>
        <w:ind w:left="2310" w:hanging="420"/>
      </w:pPr>
      <w:rPr>
        <w:rFonts w:hint="eastAsia"/>
      </w:rPr>
    </w:lvl>
    <w:lvl w:ilvl="4" w:tentative="0">
      <w:start w:val="1"/>
      <w:numFmt w:val="lowerLetter"/>
      <w:lvlText w:val="%5)"/>
      <w:lvlJc w:val="left"/>
      <w:pPr>
        <w:tabs>
          <w:tab w:val="left" w:pos="2730"/>
        </w:tabs>
        <w:ind w:left="2730" w:hanging="420"/>
      </w:pPr>
      <w:rPr>
        <w:rFonts w:hint="eastAsia"/>
      </w:rPr>
    </w:lvl>
    <w:lvl w:ilvl="5" w:tentative="0">
      <w:start w:val="1"/>
      <w:numFmt w:val="lowerRoman"/>
      <w:lvlText w:val="%6."/>
      <w:lvlJc w:val="right"/>
      <w:pPr>
        <w:tabs>
          <w:tab w:val="left" w:pos="3150"/>
        </w:tabs>
        <w:ind w:left="3150" w:hanging="420"/>
      </w:pPr>
      <w:rPr>
        <w:rFonts w:hint="eastAsia"/>
      </w:rPr>
    </w:lvl>
    <w:lvl w:ilvl="6" w:tentative="0">
      <w:start w:val="1"/>
      <w:numFmt w:val="decimal"/>
      <w:lvlText w:val="%7."/>
      <w:lvlJc w:val="left"/>
      <w:pPr>
        <w:tabs>
          <w:tab w:val="left" w:pos="3570"/>
        </w:tabs>
        <w:ind w:left="3570" w:hanging="420"/>
      </w:pPr>
      <w:rPr>
        <w:rFonts w:hint="eastAsia"/>
      </w:rPr>
    </w:lvl>
    <w:lvl w:ilvl="7" w:tentative="0">
      <w:start w:val="1"/>
      <w:numFmt w:val="lowerLetter"/>
      <w:lvlText w:val="%8)"/>
      <w:lvlJc w:val="left"/>
      <w:pPr>
        <w:tabs>
          <w:tab w:val="left" w:pos="3990"/>
        </w:tabs>
        <w:ind w:left="3990" w:hanging="420"/>
      </w:pPr>
      <w:rPr>
        <w:rFonts w:hint="eastAsia"/>
      </w:rPr>
    </w:lvl>
    <w:lvl w:ilvl="8" w:tentative="0">
      <w:start w:val="1"/>
      <w:numFmt w:val="lowerRoman"/>
      <w:lvlText w:val="%9."/>
      <w:lvlJc w:val="right"/>
      <w:pPr>
        <w:tabs>
          <w:tab w:val="left" w:pos="4410"/>
        </w:tabs>
        <w:ind w:left="4410" w:hanging="420"/>
      </w:pPr>
      <w:rPr>
        <w:rFonts w:hint="eastAsia"/>
      </w:rPr>
    </w:lvl>
  </w:abstractNum>
  <w:abstractNum w:abstractNumId="1">
    <w:nsid w:val="09256FDA"/>
    <w:multiLevelType w:val="multilevel"/>
    <w:tmpl w:val="09256FDA"/>
    <w:lvl w:ilvl="0" w:tentative="0">
      <w:start w:val="1"/>
      <w:numFmt w:val="chineseCountingThousand"/>
      <w:pStyle w:val="100"/>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pStyle w:val="7"/>
      <w:lvlText w:val="%5)"/>
      <w:lvlJc w:val="left"/>
      <w:pPr>
        <w:ind w:left="2580" w:hanging="420"/>
      </w:pPr>
    </w:lvl>
    <w:lvl w:ilvl="5" w:tentative="0">
      <w:start w:val="1"/>
      <w:numFmt w:val="lowerRoman"/>
      <w:pStyle w:val="9"/>
      <w:lvlText w:val="%6."/>
      <w:lvlJc w:val="right"/>
      <w:pPr>
        <w:ind w:left="3000" w:hanging="420"/>
      </w:pPr>
    </w:lvl>
    <w:lvl w:ilvl="6" w:tentative="0">
      <w:start w:val="1"/>
      <w:numFmt w:val="decimal"/>
      <w:pStyle w:val="10"/>
      <w:lvlText w:val="%7."/>
      <w:lvlJc w:val="left"/>
      <w:pPr>
        <w:ind w:left="3420" w:hanging="420"/>
      </w:pPr>
    </w:lvl>
    <w:lvl w:ilvl="7" w:tentative="0">
      <w:start w:val="1"/>
      <w:numFmt w:val="lowerLetter"/>
      <w:pStyle w:val="11"/>
      <w:lvlText w:val="%8)"/>
      <w:lvlJc w:val="left"/>
      <w:pPr>
        <w:ind w:left="3840" w:hanging="420"/>
      </w:pPr>
    </w:lvl>
    <w:lvl w:ilvl="8" w:tentative="0">
      <w:start w:val="1"/>
      <w:numFmt w:val="lowerRoman"/>
      <w:pStyle w:val="12"/>
      <w:lvlText w:val="%9."/>
      <w:lvlJc w:val="right"/>
      <w:pPr>
        <w:ind w:left="4260" w:hanging="420"/>
      </w:pPr>
    </w:lvl>
  </w:abstractNum>
  <w:abstractNum w:abstractNumId="2">
    <w:nsid w:val="25461D6C"/>
    <w:multiLevelType w:val="multilevel"/>
    <w:tmpl w:val="25461D6C"/>
    <w:lvl w:ilvl="0" w:tentative="0">
      <w:start w:val="1"/>
      <w:numFmt w:val="decimal"/>
      <w:lvlText w:val="（%1）"/>
      <w:lvlJc w:val="left"/>
      <w:pPr>
        <w:ind w:left="1200" w:hanging="72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098"/>
    <w:rsid w:val="00000235"/>
    <w:rsid w:val="00000BE6"/>
    <w:rsid w:val="00000F70"/>
    <w:rsid w:val="00001419"/>
    <w:rsid w:val="00001E3D"/>
    <w:rsid w:val="0000234F"/>
    <w:rsid w:val="000031DB"/>
    <w:rsid w:val="0000367B"/>
    <w:rsid w:val="000043C7"/>
    <w:rsid w:val="00004F6D"/>
    <w:rsid w:val="00006D60"/>
    <w:rsid w:val="00007042"/>
    <w:rsid w:val="000070F9"/>
    <w:rsid w:val="00007A45"/>
    <w:rsid w:val="00007B12"/>
    <w:rsid w:val="00007FF7"/>
    <w:rsid w:val="0001002C"/>
    <w:rsid w:val="00010AB6"/>
    <w:rsid w:val="00011112"/>
    <w:rsid w:val="00011DB7"/>
    <w:rsid w:val="000120AA"/>
    <w:rsid w:val="000124DA"/>
    <w:rsid w:val="00012763"/>
    <w:rsid w:val="00013759"/>
    <w:rsid w:val="00014960"/>
    <w:rsid w:val="00015568"/>
    <w:rsid w:val="000157B1"/>
    <w:rsid w:val="00015FB9"/>
    <w:rsid w:val="00016048"/>
    <w:rsid w:val="00016E1D"/>
    <w:rsid w:val="00016E4A"/>
    <w:rsid w:val="00017814"/>
    <w:rsid w:val="00017B02"/>
    <w:rsid w:val="00017C23"/>
    <w:rsid w:val="000210A2"/>
    <w:rsid w:val="000219E7"/>
    <w:rsid w:val="00022A08"/>
    <w:rsid w:val="0002382C"/>
    <w:rsid w:val="000239AF"/>
    <w:rsid w:val="00023AD3"/>
    <w:rsid w:val="00024119"/>
    <w:rsid w:val="0002412E"/>
    <w:rsid w:val="0002485B"/>
    <w:rsid w:val="00024AEC"/>
    <w:rsid w:val="000252EF"/>
    <w:rsid w:val="0002533B"/>
    <w:rsid w:val="000257AA"/>
    <w:rsid w:val="00026874"/>
    <w:rsid w:val="000269D2"/>
    <w:rsid w:val="00026A4B"/>
    <w:rsid w:val="00026E44"/>
    <w:rsid w:val="0002705C"/>
    <w:rsid w:val="0002739D"/>
    <w:rsid w:val="000275A8"/>
    <w:rsid w:val="00030068"/>
    <w:rsid w:val="000303E1"/>
    <w:rsid w:val="00031417"/>
    <w:rsid w:val="000317C1"/>
    <w:rsid w:val="00031C8D"/>
    <w:rsid w:val="0003256E"/>
    <w:rsid w:val="00033587"/>
    <w:rsid w:val="00033A5E"/>
    <w:rsid w:val="000345B3"/>
    <w:rsid w:val="0003560F"/>
    <w:rsid w:val="00035DE8"/>
    <w:rsid w:val="00036947"/>
    <w:rsid w:val="00036DAE"/>
    <w:rsid w:val="00036F4B"/>
    <w:rsid w:val="000374B1"/>
    <w:rsid w:val="00037604"/>
    <w:rsid w:val="00037959"/>
    <w:rsid w:val="00040330"/>
    <w:rsid w:val="00041165"/>
    <w:rsid w:val="000413E7"/>
    <w:rsid w:val="0004189A"/>
    <w:rsid w:val="00041B52"/>
    <w:rsid w:val="000420F5"/>
    <w:rsid w:val="000424E0"/>
    <w:rsid w:val="00043441"/>
    <w:rsid w:val="00043DAB"/>
    <w:rsid w:val="000442D2"/>
    <w:rsid w:val="000448D9"/>
    <w:rsid w:val="00045374"/>
    <w:rsid w:val="00045718"/>
    <w:rsid w:val="00045B7B"/>
    <w:rsid w:val="00045D55"/>
    <w:rsid w:val="00045D9F"/>
    <w:rsid w:val="00045ED7"/>
    <w:rsid w:val="000466B9"/>
    <w:rsid w:val="00046CD4"/>
    <w:rsid w:val="00046F87"/>
    <w:rsid w:val="00047D7E"/>
    <w:rsid w:val="000514DD"/>
    <w:rsid w:val="00051A31"/>
    <w:rsid w:val="000525BC"/>
    <w:rsid w:val="0005300B"/>
    <w:rsid w:val="0005314B"/>
    <w:rsid w:val="000532B5"/>
    <w:rsid w:val="00053582"/>
    <w:rsid w:val="00053BE0"/>
    <w:rsid w:val="00053ECC"/>
    <w:rsid w:val="000542B6"/>
    <w:rsid w:val="00054E25"/>
    <w:rsid w:val="0005591B"/>
    <w:rsid w:val="00056A5C"/>
    <w:rsid w:val="00056AC9"/>
    <w:rsid w:val="00057806"/>
    <w:rsid w:val="00057D70"/>
    <w:rsid w:val="00057E18"/>
    <w:rsid w:val="00057E4E"/>
    <w:rsid w:val="000606E0"/>
    <w:rsid w:val="000614CE"/>
    <w:rsid w:val="00061AB0"/>
    <w:rsid w:val="00061CC0"/>
    <w:rsid w:val="00062121"/>
    <w:rsid w:val="000623FE"/>
    <w:rsid w:val="00062573"/>
    <w:rsid w:val="00062808"/>
    <w:rsid w:val="000630CD"/>
    <w:rsid w:val="00063149"/>
    <w:rsid w:val="00063816"/>
    <w:rsid w:val="0006471C"/>
    <w:rsid w:val="00066221"/>
    <w:rsid w:val="0006731E"/>
    <w:rsid w:val="00070B46"/>
    <w:rsid w:val="00071A83"/>
    <w:rsid w:val="00072BCC"/>
    <w:rsid w:val="00073315"/>
    <w:rsid w:val="000733DE"/>
    <w:rsid w:val="00074052"/>
    <w:rsid w:val="00074393"/>
    <w:rsid w:val="00075F03"/>
    <w:rsid w:val="0007640E"/>
    <w:rsid w:val="000805E3"/>
    <w:rsid w:val="00080A21"/>
    <w:rsid w:val="00080C67"/>
    <w:rsid w:val="00080EB2"/>
    <w:rsid w:val="00080F5E"/>
    <w:rsid w:val="00083B58"/>
    <w:rsid w:val="000847DA"/>
    <w:rsid w:val="0008491C"/>
    <w:rsid w:val="00084BE6"/>
    <w:rsid w:val="00084CBA"/>
    <w:rsid w:val="00085CB2"/>
    <w:rsid w:val="00086CCF"/>
    <w:rsid w:val="00087839"/>
    <w:rsid w:val="00090591"/>
    <w:rsid w:val="000915D8"/>
    <w:rsid w:val="0009163A"/>
    <w:rsid w:val="00091A5B"/>
    <w:rsid w:val="00092194"/>
    <w:rsid w:val="00093209"/>
    <w:rsid w:val="00093BF6"/>
    <w:rsid w:val="00093F42"/>
    <w:rsid w:val="00094599"/>
    <w:rsid w:val="000947E3"/>
    <w:rsid w:val="00095137"/>
    <w:rsid w:val="00095545"/>
    <w:rsid w:val="00095686"/>
    <w:rsid w:val="0009631E"/>
    <w:rsid w:val="00096585"/>
    <w:rsid w:val="0009699D"/>
    <w:rsid w:val="000969C2"/>
    <w:rsid w:val="00096E5F"/>
    <w:rsid w:val="00097250"/>
    <w:rsid w:val="00097575"/>
    <w:rsid w:val="00097FF1"/>
    <w:rsid w:val="000A0086"/>
    <w:rsid w:val="000A05BD"/>
    <w:rsid w:val="000A0C46"/>
    <w:rsid w:val="000A1982"/>
    <w:rsid w:val="000A2813"/>
    <w:rsid w:val="000A2980"/>
    <w:rsid w:val="000A3B7B"/>
    <w:rsid w:val="000A3D56"/>
    <w:rsid w:val="000A4485"/>
    <w:rsid w:val="000A4CF3"/>
    <w:rsid w:val="000A4D42"/>
    <w:rsid w:val="000A5208"/>
    <w:rsid w:val="000A5BAA"/>
    <w:rsid w:val="000A5CA2"/>
    <w:rsid w:val="000A62D8"/>
    <w:rsid w:val="000A649C"/>
    <w:rsid w:val="000A65CD"/>
    <w:rsid w:val="000A71DC"/>
    <w:rsid w:val="000A74C1"/>
    <w:rsid w:val="000A757D"/>
    <w:rsid w:val="000A77C2"/>
    <w:rsid w:val="000B0168"/>
    <w:rsid w:val="000B0C44"/>
    <w:rsid w:val="000B1306"/>
    <w:rsid w:val="000B32EE"/>
    <w:rsid w:val="000B360E"/>
    <w:rsid w:val="000B3B37"/>
    <w:rsid w:val="000B3B9E"/>
    <w:rsid w:val="000B3C9E"/>
    <w:rsid w:val="000B3F01"/>
    <w:rsid w:val="000B4453"/>
    <w:rsid w:val="000B4A85"/>
    <w:rsid w:val="000B5598"/>
    <w:rsid w:val="000B5644"/>
    <w:rsid w:val="000B5B1A"/>
    <w:rsid w:val="000B5B38"/>
    <w:rsid w:val="000B5D37"/>
    <w:rsid w:val="000B6530"/>
    <w:rsid w:val="000B6BF8"/>
    <w:rsid w:val="000C0059"/>
    <w:rsid w:val="000C0454"/>
    <w:rsid w:val="000C09EA"/>
    <w:rsid w:val="000C1070"/>
    <w:rsid w:val="000C12B4"/>
    <w:rsid w:val="000C1CA4"/>
    <w:rsid w:val="000C2FE2"/>
    <w:rsid w:val="000C363F"/>
    <w:rsid w:val="000C53F9"/>
    <w:rsid w:val="000C5F9A"/>
    <w:rsid w:val="000C65E7"/>
    <w:rsid w:val="000C679A"/>
    <w:rsid w:val="000D0DBD"/>
    <w:rsid w:val="000D19B9"/>
    <w:rsid w:val="000D1B36"/>
    <w:rsid w:val="000D24E6"/>
    <w:rsid w:val="000D266C"/>
    <w:rsid w:val="000D27B9"/>
    <w:rsid w:val="000D2ED8"/>
    <w:rsid w:val="000D4981"/>
    <w:rsid w:val="000D4D01"/>
    <w:rsid w:val="000D589B"/>
    <w:rsid w:val="000D5E63"/>
    <w:rsid w:val="000D6747"/>
    <w:rsid w:val="000D6DAD"/>
    <w:rsid w:val="000D75FD"/>
    <w:rsid w:val="000D78A2"/>
    <w:rsid w:val="000D78E1"/>
    <w:rsid w:val="000D7925"/>
    <w:rsid w:val="000D7E20"/>
    <w:rsid w:val="000E0700"/>
    <w:rsid w:val="000E179D"/>
    <w:rsid w:val="000E2962"/>
    <w:rsid w:val="000E2C47"/>
    <w:rsid w:val="000E2DED"/>
    <w:rsid w:val="000E31BF"/>
    <w:rsid w:val="000E321F"/>
    <w:rsid w:val="000E37ED"/>
    <w:rsid w:val="000E37F4"/>
    <w:rsid w:val="000E383E"/>
    <w:rsid w:val="000E3948"/>
    <w:rsid w:val="000E41F0"/>
    <w:rsid w:val="000E4595"/>
    <w:rsid w:val="000E45B8"/>
    <w:rsid w:val="000E4776"/>
    <w:rsid w:val="000E478A"/>
    <w:rsid w:val="000E4E7E"/>
    <w:rsid w:val="000E54B2"/>
    <w:rsid w:val="000E55C0"/>
    <w:rsid w:val="000E5B54"/>
    <w:rsid w:val="000E6995"/>
    <w:rsid w:val="000F0043"/>
    <w:rsid w:val="000F1028"/>
    <w:rsid w:val="000F32BC"/>
    <w:rsid w:val="000F397F"/>
    <w:rsid w:val="000F3B93"/>
    <w:rsid w:val="000F40BA"/>
    <w:rsid w:val="000F43EB"/>
    <w:rsid w:val="000F4885"/>
    <w:rsid w:val="000F53BD"/>
    <w:rsid w:val="000F5D4C"/>
    <w:rsid w:val="000F6A30"/>
    <w:rsid w:val="000F7931"/>
    <w:rsid w:val="000F7C55"/>
    <w:rsid w:val="00100233"/>
    <w:rsid w:val="00100C36"/>
    <w:rsid w:val="00101727"/>
    <w:rsid w:val="00101B32"/>
    <w:rsid w:val="0010269D"/>
    <w:rsid w:val="00102711"/>
    <w:rsid w:val="00102894"/>
    <w:rsid w:val="00102B16"/>
    <w:rsid w:val="00102B75"/>
    <w:rsid w:val="0010348F"/>
    <w:rsid w:val="001034A6"/>
    <w:rsid w:val="0010388D"/>
    <w:rsid w:val="00103D5A"/>
    <w:rsid w:val="00104C63"/>
    <w:rsid w:val="001064D2"/>
    <w:rsid w:val="0010686F"/>
    <w:rsid w:val="0010717F"/>
    <w:rsid w:val="00107881"/>
    <w:rsid w:val="001106E1"/>
    <w:rsid w:val="0011175F"/>
    <w:rsid w:val="00111A85"/>
    <w:rsid w:val="0011312C"/>
    <w:rsid w:val="001132FF"/>
    <w:rsid w:val="001139F7"/>
    <w:rsid w:val="00114253"/>
    <w:rsid w:val="00114844"/>
    <w:rsid w:val="00114E59"/>
    <w:rsid w:val="0011544C"/>
    <w:rsid w:val="00115C23"/>
    <w:rsid w:val="00115EA5"/>
    <w:rsid w:val="00116042"/>
    <w:rsid w:val="001161C6"/>
    <w:rsid w:val="00116772"/>
    <w:rsid w:val="00116AC0"/>
    <w:rsid w:val="00117558"/>
    <w:rsid w:val="0011780D"/>
    <w:rsid w:val="00117BB9"/>
    <w:rsid w:val="0012009A"/>
    <w:rsid w:val="001204FE"/>
    <w:rsid w:val="0012087C"/>
    <w:rsid w:val="00120B9F"/>
    <w:rsid w:val="00120E6A"/>
    <w:rsid w:val="0012216B"/>
    <w:rsid w:val="001223E2"/>
    <w:rsid w:val="0012259A"/>
    <w:rsid w:val="0012444B"/>
    <w:rsid w:val="00125976"/>
    <w:rsid w:val="00126535"/>
    <w:rsid w:val="00126A2C"/>
    <w:rsid w:val="001276BD"/>
    <w:rsid w:val="00127D60"/>
    <w:rsid w:val="00131D50"/>
    <w:rsid w:val="00131D84"/>
    <w:rsid w:val="00131E0E"/>
    <w:rsid w:val="00132238"/>
    <w:rsid w:val="00133A8C"/>
    <w:rsid w:val="00133E96"/>
    <w:rsid w:val="00134C03"/>
    <w:rsid w:val="001353A6"/>
    <w:rsid w:val="001361A9"/>
    <w:rsid w:val="00136235"/>
    <w:rsid w:val="00136A54"/>
    <w:rsid w:val="00136AE6"/>
    <w:rsid w:val="00140691"/>
    <w:rsid w:val="00140BE5"/>
    <w:rsid w:val="0014127E"/>
    <w:rsid w:val="001421C2"/>
    <w:rsid w:val="001423AB"/>
    <w:rsid w:val="0014380F"/>
    <w:rsid w:val="00143C68"/>
    <w:rsid w:val="00143D98"/>
    <w:rsid w:val="00143E53"/>
    <w:rsid w:val="00145440"/>
    <w:rsid w:val="00145754"/>
    <w:rsid w:val="00145F94"/>
    <w:rsid w:val="00145FFF"/>
    <w:rsid w:val="0014656A"/>
    <w:rsid w:val="00146586"/>
    <w:rsid w:val="00147305"/>
    <w:rsid w:val="00147975"/>
    <w:rsid w:val="0015026F"/>
    <w:rsid w:val="00150892"/>
    <w:rsid w:val="0015124C"/>
    <w:rsid w:val="00151300"/>
    <w:rsid w:val="00151D0E"/>
    <w:rsid w:val="00152305"/>
    <w:rsid w:val="001525EC"/>
    <w:rsid w:val="001531A9"/>
    <w:rsid w:val="00153202"/>
    <w:rsid w:val="00153516"/>
    <w:rsid w:val="00153C46"/>
    <w:rsid w:val="001543A4"/>
    <w:rsid w:val="00155647"/>
    <w:rsid w:val="00155704"/>
    <w:rsid w:val="00155CB2"/>
    <w:rsid w:val="001568F0"/>
    <w:rsid w:val="00156C77"/>
    <w:rsid w:val="00157122"/>
    <w:rsid w:val="001571BF"/>
    <w:rsid w:val="001572C3"/>
    <w:rsid w:val="00157C3C"/>
    <w:rsid w:val="00160102"/>
    <w:rsid w:val="001601B3"/>
    <w:rsid w:val="00160649"/>
    <w:rsid w:val="0016070E"/>
    <w:rsid w:val="0016124F"/>
    <w:rsid w:val="00161436"/>
    <w:rsid w:val="001617A1"/>
    <w:rsid w:val="00161BB0"/>
    <w:rsid w:val="0016213C"/>
    <w:rsid w:val="00162310"/>
    <w:rsid w:val="001633E2"/>
    <w:rsid w:val="001642FC"/>
    <w:rsid w:val="00164ACB"/>
    <w:rsid w:val="00164B24"/>
    <w:rsid w:val="00164B39"/>
    <w:rsid w:val="00164C55"/>
    <w:rsid w:val="00164F73"/>
    <w:rsid w:val="00165209"/>
    <w:rsid w:val="00165437"/>
    <w:rsid w:val="00165A0E"/>
    <w:rsid w:val="0016645A"/>
    <w:rsid w:val="00167185"/>
    <w:rsid w:val="00167E04"/>
    <w:rsid w:val="00167EB1"/>
    <w:rsid w:val="0017048B"/>
    <w:rsid w:val="00170FE6"/>
    <w:rsid w:val="001716C5"/>
    <w:rsid w:val="0017196C"/>
    <w:rsid w:val="00171C8D"/>
    <w:rsid w:val="00171F94"/>
    <w:rsid w:val="001720B1"/>
    <w:rsid w:val="00172A27"/>
    <w:rsid w:val="00173927"/>
    <w:rsid w:val="00173BC2"/>
    <w:rsid w:val="00174215"/>
    <w:rsid w:val="00174827"/>
    <w:rsid w:val="0017492B"/>
    <w:rsid w:val="00175156"/>
    <w:rsid w:val="00175800"/>
    <w:rsid w:val="001762C2"/>
    <w:rsid w:val="0017656B"/>
    <w:rsid w:val="00176F1C"/>
    <w:rsid w:val="0017768B"/>
    <w:rsid w:val="00180483"/>
    <w:rsid w:val="00180DC0"/>
    <w:rsid w:val="001816F7"/>
    <w:rsid w:val="00181C17"/>
    <w:rsid w:val="00182090"/>
    <w:rsid w:val="00182986"/>
    <w:rsid w:val="00182C2B"/>
    <w:rsid w:val="001834E5"/>
    <w:rsid w:val="00183B9A"/>
    <w:rsid w:val="00183E42"/>
    <w:rsid w:val="00183EFC"/>
    <w:rsid w:val="00184962"/>
    <w:rsid w:val="00186E9E"/>
    <w:rsid w:val="00187998"/>
    <w:rsid w:val="00187C13"/>
    <w:rsid w:val="00187D3D"/>
    <w:rsid w:val="00191153"/>
    <w:rsid w:val="00191B8A"/>
    <w:rsid w:val="00192F2B"/>
    <w:rsid w:val="0019303A"/>
    <w:rsid w:val="00193238"/>
    <w:rsid w:val="0019436B"/>
    <w:rsid w:val="001946B0"/>
    <w:rsid w:val="00194D99"/>
    <w:rsid w:val="00195327"/>
    <w:rsid w:val="00195BB9"/>
    <w:rsid w:val="00195F1C"/>
    <w:rsid w:val="00196050"/>
    <w:rsid w:val="00196479"/>
    <w:rsid w:val="0019672C"/>
    <w:rsid w:val="00196F4A"/>
    <w:rsid w:val="001975C8"/>
    <w:rsid w:val="001978B8"/>
    <w:rsid w:val="001A00C0"/>
    <w:rsid w:val="001A0933"/>
    <w:rsid w:val="001A16D8"/>
    <w:rsid w:val="001A1907"/>
    <w:rsid w:val="001A1A8D"/>
    <w:rsid w:val="001A2AC9"/>
    <w:rsid w:val="001A3177"/>
    <w:rsid w:val="001A385A"/>
    <w:rsid w:val="001A3ADA"/>
    <w:rsid w:val="001A3F47"/>
    <w:rsid w:val="001A4709"/>
    <w:rsid w:val="001A5246"/>
    <w:rsid w:val="001A54C0"/>
    <w:rsid w:val="001A55F5"/>
    <w:rsid w:val="001A565F"/>
    <w:rsid w:val="001A5EA4"/>
    <w:rsid w:val="001A6204"/>
    <w:rsid w:val="001A67DD"/>
    <w:rsid w:val="001A6E38"/>
    <w:rsid w:val="001A721C"/>
    <w:rsid w:val="001A73A5"/>
    <w:rsid w:val="001B0078"/>
    <w:rsid w:val="001B08C2"/>
    <w:rsid w:val="001B0A0D"/>
    <w:rsid w:val="001B135E"/>
    <w:rsid w:val="001B1E8E"/>
    <w:rsid w:val="001B2988"/>
    <w:rsid w:val="001B2B8F"/>
    <w:rsid w:val="001B5498"/>
    <w:rsid w:val="001B73EF"/>
    <w:rsid w:val="001B7435"/>
    <w:rsid w:val="001B754B"/>
    <w:rsid w:val="001B7A9A"/>
    <w:rsid w:val="001C126D"/>
    <w:rsid w:val="001C20C2"/>
    <w:rsid w:val="001C2180"/>
    <w:rsid w:val="001C28DD"/>
    <w:rsid w:val="001C2D8A"/>
    <w:rsid w:val="001C30A8"/>
    <w:rsid w:val="001C3889"/>
    <w:rsid w:val="001C39E2"/>
    <w:rsid w:val="001C45A6"/>
    <w:rsid w:val="001C4A21"/>
    <w:rsid w:val="001C4FCF"/>
    <w:rsid w:val="001C5B7F"/>
    <w:rsid w:val="001C5E29"/>
    <w:rsid w:val="001C66F0"/>
    <w:rsid w:val="001D00FF"/>
    <w:rsid w:val="001D07EE"/>
    <w:rsid w:val="001D1126"/>
    <w:rsid w:val="001D1635"/>
    <w:rsid w:val="001D1B5F"/>
    <w:rsid w:val="001D257B"/>
    <w:rsid w:val="001D280A"/>
    <w:rsid w:val="001D2EA7"/>
    <w:rsid w:val="001D33CB"/>
    <w:rsid w:val="001D3E7E"/>
    <w:rsid w:val="001D4ED3"/>
    <w:rsid w:val="001D6104"/>
    <w:rsid w:val="001D65CA"/>
    <w:rsid w:val="001D7F37"/>
    <w:rsid w:val="001E0888"/>
    <w:rsid w:val="001E08AC"/>
    <w:rsid w:val="001E2E15"/>
    <w:rsid w:val="001E3547"/>
    <w:rsid w:val="001E4177"/>
    <w:rsid w:val="001E41D3"/>
    <w:rsid w:val="001E424E"/>
    <w:rsid w:val="001E4491"/>
    <w:rsid w:val="001E46AC"/>
    <w:rsid w:val="001E4B32"/>
    <w:rsid w:val="001E59AD"/>
    <w:rsid w:val="001E70E4"/>
    <w:rsid w:val="001E764E"/>
    <w:rsid w:val="001F0973"/>
    <w:rsid w:val="001F18BC"/>
    <w:rsid w:val="001F2518"/>
    <w:rsid w:val="001F25C4"/>
    <w:rsid w:val="001F2B35"/>
    <w:rsid w:val="001F3AC3"/>
    <w:rsid w:val="001F3F32"/>
    <w:rsid w:val="001F4C8B"/>
    <w:rsid w:val="001F502E"/>
    <w:rsid w:val="001F5596"/>
    <w:rsid w:val="001F56B5"/>
    <w:rsid w:val="001F5AA5"/>
    <w:rsid w:val="001F5D09"/>
    <w:rsid w:val="001F611B"/>
    <w:rsid w:val="001F6DD6"/>
    <w:rsid w:val="001F715F"/>
    <w:rsid w:val="001F777F"/>
    <w:rsid w:val="0020068B"/>
    <w:rsid w:val="00201E57"/>
    <w:rsid w:val="00203125"/>
    <w:rsid w:val="002034CD"/>
    <w:rsid w:val="0020361C"/>
    <w:rsid w:val="00203B3F"/>
    <w:rsid w:val="00204053"/>
    <w:rsid w:val="0020446D"/>
    <w:rsid w:val="002050AB"/>
    <w:rsid w:val="0020543A"/>
    <w:rsid w:val="002056BA"/>
    <w:rsid w:val="00206512"/>
    <w:rsid w:val="002072CF"/>
    <w:rsid w:val="002075C3"/>
    <w:rsid w:val="00207A15"/>
    <w:rsid w:val="00210778"/>
    <w:rsid w:val="002111E3"/>
    <w:rsid w:val="002113D1"/>
    <w:rsid w:val="002123FA"/>
    <w:rsid w:val="00212C1C"/>
    <w:rsid w:val="00213F98"/>
    <w:rsid w:val="002140BD"/>
    <w:rsid w:val="00214416"/>
    <w:rsid w:val="0021554B"/>
    <w:rsid w:val="00215F0C"/>
    <w:rsid w:val="00215FF9"/>
    <w:rsid w:val="002161A1"/>
    <w:rsid w:val="00216F6F"/>
    <w:rsid w:val="00217658"/>
    <w:rsid w:val="0022104E"/>
    <w:rsid w:val="00221498"/>
    <w:rsid w:val="00221529"/>
    <w:rsid w:val="00221D6D"/>
    <w:rsid w:val="00222671"/>
    <w:rsid w:val="002226D8"/>
    <w:rsid w:val="00223947"/>
    <w:rsid w:val="00223CC6"/>
    <w:rsid w:val="00223DF4"/>
    <w:rsid w:val="002246F4"/>
    <w:rsid w:val="0022555F"/>
    <w:rsid w:val="002255EB"/>
    <w:rsid w:val="00225E4E"/>
    <w:rsid w:val="0022650F"/>
    <w:rsid w:val="00226800"/>
    <w:rsid w:val="0023284D"/>
    <w:rsid w:val="00232D72"/>
    <w:rsid w:val="0023383D"/>
    <w:rsid w:val="00233DB3"/>
    <w:rsid w:val="00233F41"/>
    <w:rsid w:val="00233F99"/>
    <w:rsid w:val="002341AB"/>
    <w:rsid w:val="00234F6F"/>
    <w:rsid w:val="00236BE8"/>
    <w:rsid w:val="00236E28"/>
    <w:rsid w:val="00237627"/>
    <w:rsid w:val="0023779B"/>
    <w:rsid w:val="00240A82"/>
    <w:rsid w:val="00240AFA"/>
    <w:rsid w:val="00240E70"/>
    <w:rsid w:val="0024301B"/>
    <w:rsid w:val="002436C0"/>
    <w:rsid w:val="00244697"/>
    <w:rsid w:val="00244A63"/>
    <w:rsid w:val="0024527E"/>
    <w:rsid w:val="0024550D"/>
    <w:rsid w:val="00245AFC"/>
    <w:rsid w:val="00245E5C"/>
    <w:rsid w:val="00245FB5"/>
    <w:rsid w:val="00246548"/>
    <w:rsid w:val="00246D33"/>
    <w:rsid w:val="00247100"/>
    <w:rsid w:val="00247A2E"/>
    <w:rsid w:val="00247A40"/>
    <w:rsid w:val="00247C61"/>
    <w:rsid w:val="00247DF3"/>
    <w:rsid w:val="0025069C"/>
    <w:rsid w:val="00250889"/>
    <w:rsid w:val="00251BD0"/>
    <w:rsid w:val="00252C91"/>
    <w:rsid w:val="00252F53"/>
    <w:rsid w:val="00253110"/>
    <w:rsid w:val="00254E9E"/>
    <w:rsid w:val="00256011"/>
    <w:rsid w:val="002575BB"/>
    <w:rsid w:val="00257967"/>
    <w:rsid w:val="00257FB5"/>
    <w:rsid w:val="00260A57"/>
    <w:rsid w:val="002611C7"/>
    <w:rsid w:val="00261536"/>
    <w:rsid w:val="002621B7"/>
    <w:rsid w:val="00262474"/>
    <w:rsid w:val="00262869"/>
    <w:rsid w:val="0026287B"/>
    <w:rsid w:val="002638A0"/>
    <w:rsid w:val="0026494F"/>
    <w:rsid w:val="0026552A"/>
    <w:rsid w:val="00265F0B"/>
    <w:rsid w:val="002702BB"/>
    <w:rsid w:val="00270A0D"/>
    <w:rsid w:val="00270B92"/>
    <w:rsid w:val="00271866"/>
    <w:rsid w:val="002730C4"/>
    <w:rsid w:val="00273525"/>
    <w:rsid w:val="002743CA"/>
    <w:rsid w:val="0027468C"/>
    <w:rsid w:val="002746F5"/>
    <w:rsid w:val="00274BB8"/>
    <w:rsid w:val="002752FA"/>
    <w:rsid w:val="002758C9"/>
    <w:rsid w:val="002759E7"/>
    <w:rsid w:val="002763BA"/>
    <w:rsid w:val="002765AC"/>
    <w:rsid w:val="0027678C"/>
    <w:rsid w:val="002767FA"/>
    <w:rsid w:val="00276BFB"/>
    <w:rsid w:val="002771A4"/>
    <w:rsid w:val="002774C6"/>
    <w:rsid w:val="00277D29"/>
    <w:rsid w:val="00281682"/>
    <w:rsid w:val="00281FD2"/>
    <w:rsid w:val="002825D0"/>
    <w:rsid w:val="00282812"/>
    <w:rsid w:val="00282913"/>
    <w:rsid w:val="00283D06"/>
    <w:rsid w:val="00284152"/>
    <w:rsid w:val="002855CF"/>
    <w:rsid w:val="00285661"/>
    <w:rsid w:val="00285AA7"/>
    <w:rsid w:val="00286A92"/>
    <w:rsid w:val="002877F4"/>
    <w:rsid w:val="00287C65"/>
    <w:rsid w:val="002918DC"/>
    <w:rsid w:val="00291996"/>
    <w:rsid w:val="00291D56"/>
    <w:rsid w:val="00291D83"/>
    <w:rsid w:val="00292030"/>
    <w:rsid w:val="002921DD"/>
    <w:rsid w:val="00292512"/>
    <w:rsid w:val="002928A1"/>
    <w:rsid w:val="00292975"/>
    <w:rsid w:val="0029297B"/>
    <w:rsid w:val="00292A18"/>
    <w:rsid w:val="00292DBA"/>
    <w:rsid w:val="0029364C"/>
    <w:rsid w:val="00293655"/>
    <w:rsid w:val="00293841"/>
    <w:rsid w:val="002943B6"/>
    <w:rsid w:val="00294501"/>
    <w:rsid w:val="002956ED"/>
    <w:rsid w:val="00295D3C"/>
    <w:rsid w:val="00295E73"/>
    <w:rsid w:val="0029600D"/>
    <w:rsid w:val="002962B2"/>
    <w:rsid w:val="00297224"/>
    <w:rsid w:val="002976D1"/>
    <w:rsid w:val="00297F5F"/>
    <w:rsid w:val="002A0AF6"/>
    <w:rsid w:val="002A15B5"/>
    <w:rsid w:val="002A1C3D"/>
    <w:rsid w:val="002A3246"/>
    <w:rsid w:val="002A37F6"/>
    <w:rsid w:val="002A3B3F"/>
    <w:rsid w:val="002A3DEA"/>
    <w:rsid w:val="002A45BD"/>
    <w:rsid w:val="002A4F1D"/>
    <w:rsid w:val="002A5CB2"/>
    <w:rsid w:val="002A6021"/>
    <w:rsid w:val="002A6BAC"/>
    <w:rsid w:val="002A7AD7"/>
    <w:rsid w:val="002A7E3E"/>
    <w:rsid w:val="002B1420"/>
    <w:rsid w:val="002B171E"/>
    <w:rsid w:val="002B21B3"/>
    <w:rsid w:val="002B2986"/>
    <w:rsid w:val="002B2C59"/>
    <w:rsid w:val="002B2F84"/>
    <w:rsid w:val="002B3A2B"/>
    <w:rsid w:val="002B4296"/>
    <w:rsid w:val="002B4306"/>
    <w:rsid w:val="002B463E"/>
    <w:rsid w:val="002B464A"/>
    <w:rsid w:val="002B4721"/>
    <w:rsid w:val="002B4DDD"/>
    <w:rsid w:val="002B50A0"/>
    <w:rsid w:val="002B5C96"/>
    <w:rsid w:val="002B5E09"/>
    <w:rsid w:val="002B6A63"/>
    <w:rsid w:val="002B786D"/>
    <w:rsid w:val="002B7CFF"/>
    <w:rsid w:val="002C0572"/>
    <w:rsid w:val="002C06ED"/>
    <w:rsid w:val="002C1485"/>
    <w:rsid w:val="002C1AFF"/>
    <w:rsid w:val="002C269C"/>
    <w:rsid w:val="002C28DE"/>
    <w:rsid w:val="002C34AA"/>
    <w:rsid w:val="002C3562"/>
    <w:rsid w:val="002C4488"/>
    <w:rsid w:val="002C493F"/>
    <w:rsid w:val="002C51D1"/>
    <w:rsid w:val="002C5495"/>
    <w:rsid w:val="002C6097"/>
    <w:rsid w:val="002C6158"/>
    <w:rsid w:val="002C6BA9"/>
    <w:rsid w:val="002C7665"/>
    <w:rsid w:val="002C7F86"/>
    <w:rsid w:val="002D0B49"/>
    <w:rsid w:val="002D0FDA"/>
    <w:rsid w:val="002D1825"/>
    <w:rsid w:val="002D1C41"/>
    <w:rsid w:val="002D1F2F"/>
    <w:rsid w:val="002D32FB"/>
    <w:rsid w:val="002D3368"/>
    <w:rsid w:val="002D3671"/>
    <w:rsid w:val="002D3EB1"/>
    <w:rsid w:val="002D407F"/>
    <w:rsid w:val="002D414E"/>
    <w:rsid w:val="002D654B"/>
    <w:rsid w:val="002D670D"/>
    <w:rsid w:val="002E010F"/>
    <w:rsid w:val="002E03B2"/>
    <w:rsid w:val="002E051E"/>
    <w:rsid w:val="002E11E5"/>
    <w:rsid w:val="002E156A"/>
    <w:rsid w:val="002E158C"/>
    <w:rsid w:val="002E18A0"/>
    <w:rsid w:val="002E1B50"/>
    <w:rsid w:val="002E2C23"/>
    <w:rsid w:val="002E3044"/>
    <w:rsid w:val="002E352C"/>
    <w:rsid w:val="002E3FCE"/>
    <w:rsid w:val="002E416E"/>
    <w:rsid w:val="002E5478"/>
    <w:rsid w:val="002E5DB2"/>
    <w:rsid w:val="002E6620"/>
    <w:rsid w:val="002E69C7"/>
    <w:rsid w:val="002E6AA9"/>
    <w:rsid w:val="002E6AF0"/>
    <w:rsid w:val="002E7110"/>
    <w:rsid w:val="002E73C7"/>
    <w:rsid w:val="002E74DC"/>
    <w:rsid w:val="002E7A79"/>
    <w:rsid w:val="002E7F24"/>
    <w:rsid w:val="002F0193"/>
    <w:rsid w:val="002F0A2F"/>
    <w:rsid w:val="002F0EBA"/>
    <w:rsid w:val="002F1045"/>
    <w:rsid w:val="002F123E"/>
    <w:rsid w:val="002F15FC"/>
    <w:rsid w:val="002F1B94"/>
    <w:rsid w:val="002F2A27"/>
    <w:rsid w:val="002F2C1A"/>
    <w:rsid w:val="002F3454"/>
    <w:rsid w:val="002F446C"/>
    <w:rsid w:val="002F48F1"/>
    <w:rsid w:val="002F525A"/>
    <w:rsid w:val="002F63F7"/>
    <w:rsid w:val="002F673E"/>
    <w:rsid w:val="002F6A83"/>
    <w:rsid w:val="002F6C21"/>
    <w:rsid w:val="002F784D"/>
    <w:rsid w:val="002F79BD"/>
    <w:rsid w:val="002F7AE1"/>
    <w:rsid w:val="00300A57"/>
    <w:rsid w:val="00300AFD"/>
    <w:rsid w:val="00300DB7"/>
    <w:rsid w:val="0030136E"/>
    <w:rsid w:val="00301CB4"/>
    <w:rsid w:val="00302DFC"/>
    <w:rsid w:val="00303698"/>
    <w:rsid w:val="00303ADC"/>
    <w:rsid w:val="00304059"/>
    <w:rsid w:val="00304365"/>
    <w:rsid w:val="003057E9"/>
    <w:rsid w:val="003060EE"/>
    <w:rsid w:val="00306620"/>
    <w:rsid w:val="00306EEE"/>
    <w:rsid w:val="0030793E"/>
    <w:rsid w:val="00307A8B"/>
    <w:rsid w:val="00307EA1"/>
    <w:rsid w:val="003117F4"/>
    <w:rsid w:val="00312163"/>
    <w:rsid w:val="003139BB"/>
    <w:rsid w:val="00313E9A"/>
    <w:rsid w:val="0031504C"/>
    <w:rsid w:val="00315844"/>
    <w:rsid w:val="00315F6E"/>
    <w:rsid w:val="0031601D"/>
    <w:rsid w:val="00316239"/>
    <w:rsid w:val="00316254"/>
    <w:rsid w:val="00316447"/>
    <w:rsid w:val="00317CAD"/>
    <w:rsid w:val="00320CF1"/>
    <w:rsid w:val="00320F73"/>
    <w:rsid w:val="00321191"/>
    <w:rsid w:val="00321801"/>
    <w:rsid w:val="003218C7"/>
    <w:rsid w:val="00321998"/>
    <w:rsid w:val="00321DED"/>
    <w:rsid w:val="003223D7"/>
    <w:rsid w:val="00323321"/>
    <w:rsid w:val="00323A38"/>
    <w:rsid w:val="003247E0"/>
    <w:rsid w:val="0032632F"/>
    <w:rsid w:val="0032639C"/>
    <w:rsid w:val="00326773"/>
    <w:rsid w:val="00326B01"/>
    <w:rsid w:val="00326F15"/>
    <w:rsid w:val="0032712C"/>
    <w:rsid w:val="003279A9"/>
    <w:rsid w:val="003302F6"/>
    <w:rsid w:val="003304BD"/>
    <w:rsid w:val="0033150C"/>
    <w:rsid w:val="00332572"/>
    <w:rsid w:val="0033258E"/>
    <w:rsid w:val="003333BA"/>
    <w:rsid w:val="0033380F"/>
    <w:rsid w:val="00333D73"/>
    <w:rsid w:val="00333E84"/>
    <w:rsid w:val="00333EE8"/>
    <w:rsid w:val="003341F3"/>
    <w:rsid w:val="00334986"/>
    <w:rsid w:val="00334F74"/>
    <w:rsid w:val="003358B1"/>
    <w:rsid w:val="00335ECB"/>
    <w:rsid w:val="00336829"/>
    <w:rsid w:val="00336F8D"/>
    <w:rsid w:val="003371DE"/>
    <w:rsid w:val="00337571"/>
    <w:rsid w:val="003407A5"/>
    <w:rsid w:val="00340972"/>
    <w:rsid w:val="003409E6"/>
    <w:rsid w:val="00341250"/>
    <w:rsid w:val="003417A7"/>
    <w:rsid w:val="00342562"/>
    <w:rsid w:val="003426EC"/>
    <w:rsid w:val="00342EDC"/>
    <w:rsid w:val="0034355C"/>
    <w:rsid w:val="00343B56"/>
    <w:rsid w:val="00344356"/>
    <w:rsid w:val="00344E1D"/>
    <w:rsid w:val="00345FA2"/>
    <w:rsid w:val="003463BF"/>
    <w:rsid w:val="00346517"/>
    <w:rsid w:val="00346F75"/>
    <w:rsid w:val="00347049"/>
    <w:rsid w:val="0035036B"/>
    <w:rsid w:val="003509DD"/>
    <w:rsid w:val="00350FE4"/>
    <w:rsid w:val="003510D1"/>
    <w:rsid w:val="00351CD1"/>
    <w:rsid w:val="003521C6"/>
    <w:rsid w:val="00352883"/>
    <w:rsid w:val="003529B9"/>
    <w:rsid w:val="00352A74"/>
    <w:rsid w:val="003530DD"/>
    <w:rsid w:val="0035340B"/>
    <w:rsid w:val="00353A39"/>
    <w:rsid w:val="00353C2C"/>
    <w:rsid w:val="00354F72"/>
    <w:rsid w:val="00355668"/>
    <w:rsid w:val="003559F7"/>
    <w:rsid w:val="00355B0A"/>
    <w:rsid w:val="00356D6E"/>
    <w:rsid w:val="0035760F"/>
    <w:rsid w:val="003578FC"/>
    <w:rsid w:val="00357A5C"/>
    <w:rsid w:val="00360F24"/>
    <w:rsid w:val="00362003"/>
    <w:rsid w:val="00362619"/>
    <w:rsid w:val="003629EA"/>
    <w:rsid w:val="00362A11"/>
    <w:rsid w:val="00363365"/>
    <w:rsid w:val="003654D9"/>
    <w:rsid w:val="00366044"/>
    <w:rsid w:val="00366B82"/>
    <w:rsid w:val="003707BD"/>
    <w:rsid w:val="0037262E"/>
    <w:rsid w:val="00373D22"/>
    <w:rsid w:val="00374B60"/>
    <w:rsid w:val="003773B7"/>
    <w:rsid w:val="00380066"/>
    <w:rsid w:val="00380744"/>
    <w:rsid w:val="00380E79"/>
    <w:rsid w:val="003810C1"/>
    <w:rsid w:val="00382074"/>
    <w:rsid w:val="0038216B"/>
    <w:rsid w:val="00382B18"/>
    <w:rsid w:val="003834EA"/>
    <w:rsid w:val="00383C28"/>
    <w:rsid w:val="00384D20"/>
    <w:rsid w:val="00384DD1"/>
    <w:rsid w:val="003879C8"/>
    <w:rsid w:val="003902CF"/>
    <w:rsid w:val="00390B43"/>
    <w:rsid w:val="00390C7B"/>
    <w:rsid w:val="003930BA"/>
    <w:rsid w:val="003937F5"/>
    <w:rsid w:val="0039419A"/>
    <w:rsid w:val="00394206"/>
    <w:rsid w:val="003942B5"/>
    <w:rsid w:val="00394975"/>
    <w:rsid w:val="0039737E"/>
    <w:rsid w:val="00397E53"/>
    <w:rsid w:val="003A0373"/>
    <w:rsid w:val="003A21B5"/>
    <w:rsid w:val="003A225A"/>
    <w:rsid w:val="003A2C1E"/>
    <w:rsid w:val="003A34E1"/>
    <w:rsid w:val="003A3B0B"/>
    <w:rsid w:val="003A3B16"/>
    <w:rsid w:val="003A3B82"/>
    <w:rsid w:val="003A3D05"/>
    <w:rsid w:val="003A464B"/>
    <w:rsid w:val="003A5007"/>
    <w:rsid w:val="003A50C9"/>
    <w:rsid w:val="003A52A2"/>
    <w:rsid w:val="003A564B"/>
    <w:rsid w:val="003A5D47"/>
    <w:rsid w:val="003A6B21"/>
    <w:rsid w:val="003A6FBC"/>
    <w:rsid w:val="003A7116"/>
    <w:rsid w:val="003B02C4"/>
    <w:rsid w:val="003B0497"/>
    <w:rsid w:val="003B0BD3"/>
    <w:rsid w:val="003B1B30"/>
    <w:rsid w:val="003B1CE5"/>
    <w:rsid w:val="003B25B3"/>
    <w:rsid w:val="003B304E"/>
    <w:rsid w:val="003B309A"/>
    <w:rsid w:val="003B3FDC"/>
    <w:rsid w:val="003B4132"/>
    <w:rsid w:val="003B459C"/>
    <w:rsid w:val="003B476F"/>
    <w:rsid w:val="003B4CEC"/>
    <w:rsid w:val="003B4E14"/>
    <w:rsid w:val="003B53FF"/>
    <w:rsid w:val="003B5631"/>
    <w:rsid w:val="003B6EC7"/>
    <w:rsid w:val="003C02BF"/>
    <w:rsid w:val="003C0EDC"/>
    <w:rsid w:val="003C175C"/>
    <w:rsid w:val="003C2105"/>
    <w:rsid w:val="003C2149"/>
    <w:rsid w:val="003C225E"/>
    <w:rsid w:val="003C23B7"/>
    <w:rsid w:val="003C2C23"/>
    <w:rsid w:val="003C3065"/>
    <w:rsid w:val="003C337C"/>
    <w:rsid w:val="003C37FB"/>
    <w:rsid w:val="003C4227"/>
    <w:rsid w:val="003C447F"/>
    <w:rsid w:val="003C5DFF"/>
    <w:rsid w:val="003C7001"/>
    <w:rsid w:val="003C7D07"/>
    <w:rsid w:val="003C7D98"/>
    <w:rsid w:val="003C7EA7"/>
    <w:rsid w:val="003D0C20"/>
    <w:rsid w:val="003D0D9B"/>
    <w:rsid w:val="003D179A"/>
    <w:rsid w:val="003D1935"/>
    <w:rsid w:val="003D3566"/>
    <w:rsid w:val="003D3B13"/>
    <w:rsid w:val="003D3D79"/>
    <w:rsid w:val="003D4381"/>
    <w:rsid w:val="003D4423"/>
    <w:rsid w:val="003D4A54"/>
    <w:rsid w:val="003D4ADC"/>
    <w:rsid w:val="003D4D59"/>
    <w:rsid w:val="003D4E77"/>
    <w:rsid w:val="003D4FDC"/>
    <w:rsid w:val="003E00AD"/>
    <w:rsid w:val="003E107B"/>
    <w:rsid w:val="003E10AB"/>
    <w:rsid w:val="003E248D"/>
    <w:rsid w:val="003E24F5"/>
    <w:rsid w:val="003E3860"/>
    <w:rsid w:val="003E3EA4"/>
    <w:rsid w:val="003E4B1F"/>
    <w:rsid w:val="003E4E9A"/>
    <w:rsid w:val="003E4FB4"/>
    <w:rsid w:val="003E5FB0"/>
    <w:rsid w:val="003E7092"/>
    <w:rsid w:val="003E7A0A"/>
    <w:rsid w:val="003E7C9F"/>
    <w:rsid w:val="003F2075"/>
    <w:rsid w:val="003F253D"/>
    <w:rsid w:val="003F290B"/>
    <w:rsid w:val="003F2F8C"/>
    <w:rsid w:val="003F47D6"/>
    <w:rsid w:val="003F4C1A"/>
    <w:rsid w:val="003F5CCB"/>
    <w:rsid w:val="003F7E2A"/>
    <w:rsid w:val="00400211"/>
    <w:rsid w:val="004008E0"/>
    <w:rsid w:val="00400F46"/>
    <w:rsid w:val="00402154"/>
    <w:rsid w:val="00403825"/>
    <w:rsid w:val="0040439F"/>
    <w:rsid w:val="004055CC"/>
    <w:rsid w:val="00405CEC"/>
    <w:rsid w:val="0040682B"/>
    <w:rsid w:val="00406958"/>
    <w:rsid w:val="00406FD0"/>
    <w:rsid w:val="004100E0"/>
    <w:rsid w:val="00410627"/>
    <w:rsid w:val="0041072A"/>
    <w:rsid w:val="00410A55"/>
    <w:rsid w:val="0041116D"/>
    <w:rsid w:val="004112D2"/>
    <w:rsid w:val="004112E7"/>
    <w:rsid w:val="00411430"/>
    <w:rsid w:val="00411D15"/>
    <w:rsid w:val="00412073"/>
    <w:rsid w:val="00413275"/>
    <w:rsid w:val="00413F82"/>
    <w:rsid w:val="00414275"/>
    <w:rsid w:val="004142F0"/>
    <w:rsid w:val="0041431F"/>
    <w:rsid w:val="004143D9"/>
    <w:rsid w:val="004144DB"/>
    <w:rsid w:val="004145E7"/>
    <w:rsid w:val="00415091"/>
    <w:rsid w:val="00416173"/>
    <w:rsid w:val="00416259"/>
    <w:rsid w:val="00416531"/>
    <w:rsid w:val="00417FE6"/>
    <w:rsid w:val="0042086E"/>
    <w:rsid w:val="00420890"/>
    <w:rsid w:val="00420A26"/>
    <w:rsid w:val="004217B4"/>
    <w:rsid w:val="00421A66"/>
    <w:rsid w:val="00421A9E"/>
    <w:rsid w:val="004225E5"/>
    <w:rsid w:val="00422864"/>
    <w:rsid w:val="00422B70"/>
    <w:rsid w:val="004235F0"/>
    <w:rsid w:val="00423E53"/>
    <w:rsid w:val="0042484B"/>
    <w:rsid w:val="00424B34"/>
    <w:rsid w:val="004252D9"/>
    <w:rsid w:val="00425B9E"/>
    <w:rsid w:val="00426015"/>
    <w:rsid w:val="004263B4"/>
    <w:rsid w:val="004265A9"/>
    <w:rsid w:val="00427520"/>
    <w:rsid w:val="004276EF"/>
    <w:rsid w:val="0043053B"/>
    <w:rsid w:val="00430B7B"/>
    <w:rsid w:val="00430D11"/>
    <w:rsid w:val="00432B0A"/>
    <w:rsid w:val="00432D53"/>
    <w:rsid w:val="0043318B"/>
    <w:rsid w:val="00433631"/>
    <w:rsid w:val="00433633"/>
    <w:rsid w:val="00434340"/>
    <w:rsid w:val="0043449E"/>
    <w:rsid w:val="00434DA0"/>
    <w:rsid w:val="00435E5E"/>
    <w:rsid w:val="0043619E"/>
    <w:rsid w:val="004361E1"/>
    <w:rsid w:val="00436911"/>
    <w:rsid w:val="00436C86"/>
    <w:rsid w:val="00436E5D"/>
    <w:rsid w:val="00436E85"/>
    <w:rsid w:val="0043701D"/>
    <w:rsid w:val="00437DFB"/>
    <w:rsid w:val="004404D3"/>
    <w:rsid w:val="00440A9E"/>
    <w:rsid w:val="00440ADC"/>
    <w:rsid w:val="004417FD"/>
    <w:rsid w:val="004419FF"/>
    <w:rsid w:val="00442FD1"/>
    <w:rsid w:val="00443126"/>
    <w:rsid w:val="00443969"/>
    <w:rsid w:val="0044398C"/>
    <w:rsid w:val="004449A3"/>
    <w:rsid w:val="00444EA9"/>
    <w:rsid w:val="00444EF7"/>
    <w:rsid w:val="00445712"/>
    <w:rsid w:val="00445946"/>
    <w:rsid w:val="00445EB6"/>
    <w:rsid w:val="00446193"/>
    <w:rsid w:val="00446D6F"/>
    <w:rsid w:val="00447543"/>
    <w:rsid w:val="004506F7"/>
    <w:rsid w:val="00450FFC"/>
    <w:rsid w:val="004514BA"/>
    <w:rsid w:val="00451C71"/>
    <w:rsid w:val="00451D18"/>
    <w:rsid w:val="004529AC"/>
    <w:rsid w:val="00452C7A"/>
    <w:rsid w:val="004541BE"/>
    <w:rsid w:val="00454438"/>
    <w:rsid w:val="004561B5"/>
    <w:rsid w:val="004566E8"/>
    <w:rsid w:val="00456DD4"/>
    <w:rsid w:val="004570C1"/>
    <w:rsid w:val="00457495"/>
    <w:rsid w:val="004574D2"/>
    <w:rsid w:val="00457893"/>
    <w:rsid w:val="00457B3C"/>
    <w:rsid w:val="00462797"/>
    <w:rsid w:val="00462BC4"/>
    <w:rsid w:val="00462CA7"/>
    <w:rsid w:val="004636B3"/>
    <w:rsid w:val="004638AE"/>
    <w:rsid w:val="004639D3"/>
    <w:rsid w:val="00463A20"/>
    <w:rsid w:val="004641B4"/>
    <w:rsid w:val="004642CD"/>
    <w:rsid w:val="004643CB"/>
    <w:rsid w:val="0046614A"/>
    <w:rsid w:val="00467A61"/>
    <w:rsid w:val="00467A86"/>
    <w:rsid w:val="00467D33"/>
    <w:rsid w:val="00471176"/>
    <w:rsid w:val="004711FA"/>
    <w:rsid w:val="00471355"/>
    <w:rsid w:val="0047149E"/>
    <w:rsid w:val="0047173E"/>
    <w:rsid w:val="00471DE3"/>
    <w:rsid w:val="00471F6E"/>
    <w:rsid w:val="004722AA"/>
    <w:rsid w:val="004728E1"/>
    <w:rsid w:val="004736EF"/>
    <w:rsid w:val="00473DCB"/>
    <w:rsid w:val="0047496D"/>
    <w:rsid w:val="0047599C"/>
    <w:rsid w:val="0047652D"/>
    <w:rsid w:val="00476741"/>
    <w:rsid w:val="00476991"/>
    <w:rsid w:val="00476FFE"/>
    <w:rsid w:val="00477947"/>
    <w:rsid w:val="00477A17"/>
    <w:rsid w:val="00477B82"/>
    <w:rsid w:val="004800F9"/>
    <w:rsid w:val="0048013E"/>
    <w:rsid w:val="004805D5"/>
    <w:rsid w:val="00481259"/>
    <w:rsid w:val="00481386"/>
    <w:rsid w:val="00481E82"/>
    <w:rsid w:val="00482241"/>
    <w:rsid w:val="00482FE1"/>
    <w:rsid w:val="0048303A"/>
    <w:rsid w:val="00483C2C"/>
    <w:rsid w:val="0048445D"/>
    <w:rsid w:val="00484A78"/>
    <w:rsid w:val="004852EA"/>
    <w:rsid w:val="00485381"/>
    <w:rsid w:val="00485ED2"/>
    <w:rsid w:val="00486140"/>
    <w:rsid w:val="004866BC"/>
    <w:rsid w:val="00486B36"/>
    <w:rsid w:val="00486D60"/>
    <w:rsid w:val="00486F9A"/>
    <w:rsid w:val="00487689"/>
    <w:rsid w:val="00490420"/>
    <w:rsid w:val="00491180"/>
    <w:rsid w:val="00491295"/>
    <w:rsid w:val="004912A6"/>
    <w:rsid w:val="00491881"/>
    <w:rsid w:val="0049224A"/>
    <w:rsid w:val="0049261A"/>
    <w:rsid w:val="00492823"/>
    <w:rsid w:val="00492E57"/>
    <w:rsid w:val="0049376C"/>
    <w:rsid w:val="00494EEA"/>
    <w:rsid w:val="00494F25"/>
    <w:rsid w:val="0049535A"/>
    <w:rsid w:val="00496A5E"/>
    <w:rsid w:val="004975F9"/>
    <w:rsid w:val="004A27CB"/>
    <w:rsid w:val="004A30CB"/>
    <w:rsid w:val="004A31F2"/>
    <w:rsid w:val="004A423A"/>
    <w:rsid w:val="004A4539"/>
    <w:rsid w:val="004A46C3"/>
    <w:rsid w:val="004A501E"/>
    <w:rsid w:val="004A5D26"/>
    <w:rsid w:val="004A6B76"/>
    <w:rsid w:val="004A72A3"/>
    <w:rsid w:val="004B14D7"/>
    <w:rsid w:val="004B2137"/>
    <w:rsid w:val="004B25D5"/>
    <w:rsid w:val="004B2C6C"/>
    <w:rsid w:val="004B4637"/>
    <w:rsid w:val="004B4AED"/>
    <w:rsid w:val="004B4F11"/>
    <w:rsid w:val="004B5A05"/>
    <w:rsid w:val="004B6157"/>
    <w:rsid w:val="004B61E8"/>
    <w:rsid w:val="004B6488"/>
    <w:rsid w:val="004B6E5C"/>
    <w:rsid w:val="004B708A"/>
    <w:rsid w:val="004B7659"/>
    <w:rsid w:val="004B7907"/>
    <w:rsid w:val="004B7D52"/>
    <w:rsid w:val="004B7EB0"/>
    <w:rsid w:val="004C0518"/>
    <w:rsid w:val="004C0F0C"/>
    <w:rsid w:val="004C1AD3"/>
    <w:rsid w:val="004C1C8D"/>
    <w:rsid w:val="004C2E6F"/>
    <w:rsid w:val="004C33FD"/>
    <w:rsid w:val="004C3697"/>
    <w:rsid w:val="004C3976"/>
    <w:rsid w:val="004C3AA3"/>
    <w:rsid w:val="004C4065"/>
    <w:rsid w:val="004C51F6"/>
    <w:rsid w:val="004C624C"/>
    <w:rsid w:val="004C7803"/>
    <w:rsid w:val="004C785E"/>
    <w:rsid w:val="004C797F"/>
    <w:rsid w:val="004D0CF4"/>
    <w:rsid w:val="004D166C"/>
    <w:rsid w:val="004D1843"/>
    <w:rsid w:val="004D1D65"/>
    <w:rsid w:val="004D1F00"/>
    <w:rsid w:val="004D1F1A"/>
    <w:rsid w:val="004D2864"/>
    <w:rsid w:val="004D2A94"/>
    <w:rsid w:val="004D33C3"/>
    <w:rsid w:val="004D3A5F"/>
    <w:rsid w:val="004D489D"/>
    <w:rsid w:val="004D4938"/>
    <w:rsid w:val="004D547B"/>
    <w:rsid w:val="004D797C"/>
    <w:rsid w:val="004E003E"/>
    <w:rsid w:val="004E014B"/>
    <w:rsid w:val="004E067F"/>
    <w:rsid w:val="004E08BA"/>
    <w:rsid w:val="004E0E47"/>
    <w:rsid w:val="004E1098"/>
    <w:rsid w:val="004E10FF"/>
    <w:rsid w:val="004E16BF"/>
    <w:rsid w:val="004E1BA7"/>
    <w:rsid w:val="004E1F19"/>
    <w:rsid w:val="004E2131"/>
    <w:rsid w:val="004E2187"/>
    <w:rsid w:val="004E28FD"/>
    <w:rsid w:val="004E2EF9"/>
    <w:rsid w:val="004E30F8"/>
    <w:rsid w:val="004E30FB"/>
    <w:rsid w:val="004E3139"/>
    <w:rsid w:val="004E3FDB"/>
    <w:rsid w:val="004E4016"/>
    <w:rsid w:val="004E4A11"/>
    <w:rsid w:val="004E5073"/>
    <w:rsid w:val="004E514C"/>
    <w:rsid w:val="004E5363"/>
    <w:rsid w:val="004E5568"/>
    <w:rsid w:val="004E5997"/>
    <w:rsid w:val="004E5D2B"/>
    <w:rsid w:val="004E5D9F"/>
    <w:rsid w:val="004E5EEC"/>
    <w:rsid w:val="004E6645"/>
    <w:rsid w:val="004E7195"/>
    <w:rsid w:val="004E753C"/>
    <w:rsid w:val="004F0624"/>
    <w:rsid w:val="004F0786"/>
    <w:rsid w:val="004F134E"/>
    <w:rsid w:val="004F2376"/>
    <w:rsid w:val="004F322F"/>
    <w:rsid w:val="004F3418"/>
    <w:rsid w:val="004F37AE"/>
    <w:rsid w:val="004F3839"/>
    <w:rsid w:val="004F4108"/>
    <w:rsid w:val="004F4414"/>
    <w:rsid w:val="004F4840"/>
    <w:rsid w:val="004F5161"/>
    <w:rsid w:val="004F518B"/>
    <w:rsid w:val="004F5251"/>
    <w:rsid w:val="004F592C"/>
    <w:rsid w:val="004F5E28"/>
    <w:rsid w:val="004F5FD9"/>
    <w:rsid w:val="004F612D"/>
    <w:rsid w:val="004F615F"/>
    <w:rsid w:val="004F6C1D"/>
    <w:rsid w:val="004F6D33"/>
    <w:rsid w:val="004F6E42"/>
    <w:rsid w:val="004F7447"/>
    <w:rsid w:val="004F76F6"/>
    <w:rsid w:val="004F79D7"/>
    <w:rsid w:val="00500475"/>
    <w:rsid w:val="005004A5"/>
    <w:rsid w:val="00501018"/>
    <w:rsid w:val="005010F5"/>
    <w:rsid w:val="00501AC6"/>
    <w:rsid w:val="00501D18"/>
    <w:rsid w:val="00501DEC"/>
    <w:rsid w:val="00501E56"/>
    <w:rsid w:val="00501EA7"/>
    <w:rsid w:val="00502832"/>
    <w:rsid w:val="00502B36"/>
    <w:rsid w:val="00502FE7"/>
    <w:rsid w:val="00503752"/>
    <w:rsid w:val="00504BC4"/>
    <w:rsid w:val="0050529C"/>
    <w:rsid w:val="005054C4"/>
    <w:rsid w:val="00505E36"/>
    <w:rsid w:val="00505F51"/>
    <w:rsid w:val="005066BE"/>
    <w:rsid w:val="00506A57"/>
    <w:rsid w:val="00507404"/>
    <w:rsid w:val="00512490"/>
    <w:rsid w:val="005124B7"/>
    <w:rsid w:val="00513355"/>
    <w:rsid w:val="00513BDB"/>
    <w:rsid w:val="0051528D"/>
    <w:rsid w:val="005156A6"/>
    <w:rsid w:val="005159C3"/>
    <w:rsid w:val="00515CBC"/>
    <w:rsid w:val="00515E33"/>
    <w:rsid w:val="00516224"/>
    <w:rsid w:val="00516282"/>
    <w:rsid w:val="00516E83"/>
    <w:rsid w:val="0051727A"/>
    <w:rsid w:val="00517D0E"/>
    <w:rsid w:val="00520A6F"/>
    <w:rsid w:val="00521416"/>
    <w:rsid w:val="005234A3"/>
    <w:rsid w:val="005237B9"/>
    <w:rsid w:val="00524684"/>
    <w:rsid w:val="00524C7B"/>
    <w:rsid w:val="005269CC"/>
    <w:rsid w:val="00526E43"/>
    <w:rsid w:val="00527FBE"/>
    <w:rsid w:val="00530BE0"/>
    <w:rsid w:val="0053132E"/>
    <w:rsid w:val="00531F15"/>
    <w:rsid w:val="0053289B"/>
    <w:rsid w:val="00532FB3"/>
    <w:rsid w:val="0053333D"/>
    <w:rsid w:val="005336C2"/>
    <w:rsid w:val="00533922"/>
    <w:rsid w:val="00533B2C"/>
    <w:rsid w:val="00533B37"/>
    <w:rsid w:val="0053425C"/>
    <w:rsid w:val="00534B93"/>
    <w:rsid w:val="00534CE1"/>
    <w:rsid w:val="005354AF"/>
    <w:rsid w:val="0053590F"/>
    <w:rsid w:val="005368B4"/>
    <w:rsid w:val="00536D93"/>
    <w:rsid w:val="00537721"/>
    <w:rsid w:val="00540AC4"/>
    <w:rsid w:val="00541613"/>
    <w:rsid w:val="0054231D"/>
    <w:rsid w:val="0054235F"/>
    <w:rsid w:val="00543BED"/>
    <w:rsid w:val="00543C4A"/>
    <w:rsid w:val="005453C4"/>
    <w:rsid w:val="0054587E"/>
    <w:rsid w:val="00545B71"/>
    <w:rsid w:val="00546081"/>
    <w:rsid w:val="0054668E"/>
    <w:rsid w:val="0054718A"/>
    <w:rsid w:val="00547EB1"/>
    <w:rsid w:val="00550BBE"/>
    <w:rsid w:val="0055135B"/>
    <w:rsid w:val="00551C60"/>
    <w:rsid w:val="00552338"/>
    <w:rsid w:val="00552AFF"/>
    <w:rsid w:val="00553711"/>
    <w:rsid w:val="00553A8F"/>
    <w:rsid w:val="00553AD3"/>
    <w:rsid w:val="00553C94"/>
    <w:rsid w:val="00553E70"/>
    <w:rsid w:val="00554B5A"/>
    <w:rsid w:val="00554E06"/>
    <w:rsid w:val="00555747"/>
    <w:rsid w:val="0055593A"/>
    <w:rsid w:val="005559AA"/>
    <w:rsid w:val="00555F47"/>
    <w:rsid w:val="005561B1"/>
    <w:rsid w:val="005567B6"/>
    <w:rsid w:val="00556AE0"/>
    <w:rsid w:val="00556FB7"/>
    <w:rsid w:val="005573DA"/>
    <w:rsid w:val="00557A93"/>
    <w:rsid w:val="00560067"/>
    <w:rsid w:val="00560593"/>
    <w:rsid w:val="00560F1A"/>
    <w:rsid w:val="00561EB4"/>
    <w:rsid w:val="00563509"/>
    <w:rsid w:val="00564EA5"/>
    <w:rsid w:val="0056589C"/>
    <w:rsid w:val="005669BD"/>
    <w:rsid w:val="00567218"/>
    <w:rsid w:val="005675CA"/>
    <w:rsid w:val="00567886"/>
    <w:rsid w:val="00567B95"/>
    <w:rsid w:val="00567EAB"/>
    <w:rsid w:val="00567F11"/>
    <w:rsid w:val="005702D2"/>
    <w:rsid w:val="00570581"/>
    <w:rsid w:val="0057071B"/>
    <w:rsid w:val="005709DA"/>
    <w:rsid w:val="0057134B"/>
    <w:rsid w:val="00571CD3"/>
    <w:rsid w:val="00571F84"/>
    <w:rsid w:val="005730BB"/>
    <w:rsid w:val="005748E8"/>
    <w:rsid w:val="00574D0D"/>
    <w:rsid w:val="0057529A"/>
    <w:rsid w:val="00575D51"/>
    <w:rsid w:val="005769FC"/>
    <w:rsid w:val="00576B69"/>
    <w:rsid w:val="00576DC7"/>
    <w:rsid w:val="0057713D"/>
    <w:rsid w:val="00577436"/>
    <w:rsid w:val="00577538"/>
    <w:rsid w:val="00580B68"/>
    <w:rsid w:val="0058133E"/>
    <w:rsid w:val="005818F7"/>
    <w:rsid w:val="00581972"/>
    <w:rsid w:val="0058198F"/>
    <w:rsid w:val="00581CE7"/>
    <w:rsid w:val="00581F67"/>
    <w:rsid w:val="00583E3F"/>
    <w:rsid w:val="00584E0C"/>
    <w:rsid w:val="0058522C"/>
    <w:rsid w:val="0058577A"/>
    <w:rsid w:val="005865B5"/>
    <w:rsid w:val="00586818"/>
    <w:rsid w:val="00586C82"/>
    <w:rsid w:val="00586CF4"/>
    <w:rsid w:val="0058758B"/>
    <w:rsid w:val="00587D39"/>
    <w:rsid w:val="00590078"/>
    <w:rsid w:val="00590595"/>
    <w:rsid w:val="00590766"/>
    <w:rsid w:val="00590F89"/>
    <w:rsid w:val="00591226"/>
    <w:rsid w:val="0059220D"/>
    <w:rsid w:val="005922A2"/>
    <w:rsid w:val="00592E28"/>
    <w:rsid w:val="005938B3"/>
    <w:rsid w:val="00593A4B"/>
    <w:rsid w:val="00593D7E"/>
    <w:rsid w:val="0059430A"/>
    <w:rsid w:val="00594503"/>
    <w:rsid w:val="005945C4"/>
    <w:rsid w:val="00594680"/>
    <w:rsid w:val="00595102"/>
    <w:rsid w:val="005952B2"/>
    <w:rsid w:val="00595BBE"/>
    <w:rsid w:val="00595FEB"/>
    <w:rsid w:val="005960ED"/>
    <w:rsid w:val="00596857"/>
    <w:rsid w:val="00596BEA"/>
    <w:rsid w:val="00596C5A"/>
    <w:rsid w:val="00597D69"/>
    <w:rsid w:val="005A066E"/>
    <w:rsid w:val="005A0726"/>
    <w:rsid w:val="005A1CD3"/>
    <w:rsid w:val="005A2123"/>
    <w:rsid w:val="005A2A9F"/>
    <w:rsid w:val="005A42A9"/>
    <w:rsid w:val="005A46A4"/>
    <w:rsid w:val="005A499F"/>
    <w:rsid w:val="005A58C2"/>
    <w:rsid w:val="005A58E7"/>
    <w:rsid w:val="005A6146"/>
    <w:rsid w:val="005A7297"/>
    <w:rsid w:val="005B042B"/>
    <w:rsid w:val="005B0959"/>
    <w:rsid w:val="005B0D86"/>
    <w:rsid w:val="005B13A4"/>
    <w:rsid w:val="005B1492"/>
    <w:rsid w:val="005B1C3D"/>
    <w:rsid w:val="005B29B2"/>
    <w:rsid w:val="005B34A2"/>
    <w:rsid w:val="005B35CC"/>
    <w:rsid w:val="005B36AA"/>
    <w:rsid w:val="005B4019"/>
    <w:rsid w:val="005B5681"/>
    <w:rsid w:val="005B634D"/>
    <w:rsid w:val="005B6A02"/>
    <w:rsid w:val="005B6A11"/>
    <w:rsid w:val="005B6F02"/>
    <w:rsid w:val="005B7651"/>
    <w:rsid w:val="005B7703"/>
    <w:rsid w:val="005B78E3"/>
    <w:rsid w:val="005B7B70"/>
    <w:rsid w:val="005B7F08"/>
    <w:rsid w:val="005B7F4B"/>
    <w:rsid w:val="005C0B74"/>
    <w:rsid w:val="005C122B"/>
    <w:rsid w:val="005C276A"/>
    <w:rsid w:val="005C2B3A"/>
    <w:rsid w:val="005C2BFA"/>
    <w:rsid w:val="005C55A9"/>
    <w:rsid w:val="005C5D14"/>
    <w:rsid w:val="005C6587"/>
    <w:rsid w:val="005C7C43"/>
    <w:rsid w:val="005D04AA"/>
    <w:rsid w:val="005D0ADC"/>
    <w:rsid w:val="005D0C07"/>
    <w:rsid w:val="005D11DB"/>
    <w:rsid w:val="005D156E"/>
    <w:rsid w:val="005D1E89"/>
    <w:rsid w:val="005D2586"/>
    <w:rsid w:val="005D3826"/>
    <w:rsid w:val="005D3B26"/>
    <w:rsid w:val="005D3B3A"/>
    <w:rsid w:val="005D488A"/>
    <w:rsid w:val="005D5566"/>
    <w:rsid w:val="005D670B"/>
    <w:rsid w:val="005D6884"/>
    <w:rsid w:val="005D7B57"/>
    <w:rsid w:val="005D7E7F"/>
    <w:rsid w:val="005E1E32"/>
    <w:rsid w:val="005E2090"/>
    <w:rsid w:val="005E2679"/>
    <w:rsid w:val="005E2D86"/>
    <w:rsid w:val="005E4429"/>
    <w:rsid w:val="005E4AA7"/>
    <w:rsid w:val="005E5292"/>
    <w:rsid w:val="005E6232"/>
    <w:rsid w:val="005E69CF"/>
    <w:rsid w:val="005E6EAB"/>
    <w:rsid w:val="005E7163"/>
    <w:rsid w:val="005E7598"/>
    <w:rsid w:val="005E7C1B"/>
    <w:rsid w:val="005F20DE"/>
    <w:rsid w:val="005F2B6C"/>
    <w:rsid w:val="005F382E"/>
    <w:rsid w:val="005F4115"/>
    <w:rsid w:val="005F46AA"/>
    <w:rsid w:val="005F4A00"/>
    <w:rsid w:val="005F507B"/>
    <w:rsid w:val="005F55D4"/>
    <w:rsid w:val="005F5618"/>
    <w:rsid w:val="005F5B5E"/>
    <w:rsid w:val="005F73F6"/>
    <w:rsid w:val="0060033B"/>
    <w:rsid w:val="00600485"/>
    <w:rsid w:val="006016F3"/>
    <w:rsid w:val="006018A7"/>
    <w:rsid w:val="00602042"/>
    <w:rsid w:val="00602050"/>
    <w:rsid w:val="0060225F"/>
    <w:rsid w:val="00602580"/>
    <w:rsid w:val="006028F8"/>
    <w:rsid w:val="00602A24"/>
    <w:rsid w:val="0060347B"/>
    <w:rsid w:val="0060385D"/>
    <w:rsid w:val="00603C56"/>
    <w:rsid w:val="00603F32"/>
    <w:rsid w:val="0060411C"/>
    <w:rsid w:val="006042EF"/>
    <w:rsid w:val="006044A1"/>
    <w:rsid w:val="00605885"/>
    <w:rsid w:val="00606682"/>
    <w:rsid w:val="00610400"/>
    <w:rsid w:val="00610EC4"/>
    <w:rsid w:val="00611216"/>
    <w:rsid w:val="00611235"/>
    <w:rsid w:val="006116A9"/>
    <w:rsid w:val="00611ABD"/>
    <w:rsid w:val="00611BAC"/>
    <w:rsid w:val="00611BBE"/>
    <w:rsid w:val="0061241B"/>
    <w:rsid w:val="00613075"/>
    <w:rsid w:val="00613B41"/>
    <w:rsid w:val="00613E9A"/>
    <w:rsid w:val="00613F7B"/>
    <w:rsid w:val="00614651"/>
    <w:rsid w:val="00615474"/>
    <w:rsid w:val="006155A1"/>
    <w:rsid w:val="00615C71"/>
    <w:rsid w:val="00615F24"/>
    <w:rsid w:val="006160FB"/>
    <w:rsid w:val="0061622D"/>
    <w:rsid w:val="00616C0C"/>
    <w:rsid w:val="00616C0F"/>
    <w:rsid w:val="00616F7E"/>
    <w:rsid w:val="00617FB1"/>
    <w:rsid w:val="00617FDE"/>
    <w:rsid w:val="0062005F"/>
    <w:rsid w:val="00620AD8"/>
    <w:rsid w:val="00620C8F"/>
    <w:rsid w:val="00620E48"/>
    <w:rsid w:val="00621282"/>
    <w:rsid w:val="00621822"/>
    <w:rsid w:val="00622341"/>
    <w:rsid w:val="00622E44"/>
    <w:rsid w:val="00623728"/>
    <w:rsid w:val="00623896"/>
    <w:rsid w:val="006242AD"/>
    <w:rsid w:val="006246D3"/>
    <w:rsid w:val="00624AA0"/>
    <w:rsid w:val="0062654E"/>
    <w:rsid w:val="00626F4B"/>
    <w:rsid w:val="00627632"/>
    <w:rsid w:val="0063014C"/>
    <w:rsid w:val="00631AB3"/>
    <w:rsid w:val="00631F47"/>
    <w:rsid w:val="006337D8"/>
    <w:rsid w:val="006351E1"/>
    <w:rsid w:val="0063642A"/>
    <w:rsid w:val="00636E98"/>
    <w:rsid w:val="00636F88"/>
    <w:rsid w:val="006371AF"/>
    <w:rsid w:val="00637FAD"/>
    <w:rsid w:val="00640C0C"/>
    <w:rsid w:val="006428A6"/>
    <w:rsid w:val="0064310B"/>
    <w:rsid w:val="00643F9C"/>
    <w:rsid w:val="006442A2"/>
    <w:rsid w:val="0064611C"/>
    <w:rsid w:val="00646459"/>
    <w:rsid w:val="00646CC8"/>
    <w:rsid w:val="00646D32"/>
    <w:rsid w:val="00647AAF"/>
    <w:rsid w:val="00647BAE"/>
    <w:rsid w:val="00647D60"/>
    <w:rsid w:val="006500D3"/>
    <w:rsid w:val="006515AD"/>
    <w:rsid w:val="00652715"/>
    <w:rsid w:val="006528A8"/>
    <w:rsid w:val="0065292D"/>
    <w:rsid w:val="00654447"/>
    <w:rsid w:val="00654583"/>
    <w:rsid w:val="00654A3B"/>
    <w:rsid w:val="00655053"/>
    <w:rsid w:val="006550DB"/>
    <w:rsid w:val="00656319"/>
    <w:rsid w:val="006563EF"/>
    <w:rsid w:val="006565E1"/>
    <w:rsid w:val="00656E6F"/>
    <w:rsid w:val="00657364"/>
    <w:rsid w:val="00657A3F"/>
    <w:rsid w:val="00657D37"/>
    <w:rsid w:val="00661C30"/>
    <w:rsid w:val="00661E30"/>
    <w:rsid w:val="00661F03"/>
    <w:rsid w:val="006625D6"/>
    <w:rsid w:val="00662B6C"/>
    <w:rsid w:val="00662C71"/>
    <w:rsid w:val="006637F7"/>
    <w:rsid w:val="00663A61"/>
    <w:rsid w:val="00663D31"/>
    <w:rsid w:val="0066443D"/>
    <w:rsid w:val="0066536D"/>
    <w:rsid w:val="00665B35"/>
    <w:rsid w:val="00666F2A"/>
    <w:rsid w:val="0066754C"/>
    <w:rsid w:val="00667614"/>
    <w:rsid w:val="006707C7"/>
    <w:rsid w:val="00670CE1"/>
    <w:rsid w:val="00670F03"/>
    <w:rsid w:val="0067172D"/>
    <w:rsid w:val="0067177D"/>
    <w:rsid w:val="00671DD0"/>
    <w:rsid w:val="00672937"/>
    <w:rsid w:val="00673C5E"/>
    <w:rsid w:val="00674107"/>
    <w:rsid w:val="006747D9"/>
    <w:rsid w:val="00674C1F"/>
    <w:rsid w:val="00675C18"/>
    <w:rsid w:val="006765C0"/>
    <w:rsid w:val="006769DF"/>
    <w:rsid w:val="006777EE"/>
    <w:rsid w:val="0068034D"/>
    <w:rsid w:val="00680782"/>
    <w:rsid w:val="00680AEA"/>
    <w:rsid w:val="00680D8C"/>
    <w:rsid w:val="006820D0"/>
    <w:rsid w:val="006828C5"/>
    <w:rsid w:val="0068330D"/>
    <w:rsid w:val="006847A2"/>
    <w:rsid w:val="00684B17"/>
    <w:rsid w:val="00684C14"/>
    <w:rsid w:val="00684D1E"/>
    <w:rsid w:val="0068566E"/>
    <w:rsid w:val="00685753"/>
    <w:rsid w:val="00685852"/>
    <w:rsid w:val="006858BF"/>
    <w:rsid w:val="00685E71"/>
    <w:rsid w:val="0069098B"/>
    <w:rsid w:val="0069118D"/>
    <w:rsid w:val="006915F6"/>
    <w:rsid w:val="006915FA"/>
    <w:rsid w:val="00691BFC"/>
    <w:rsid w:val="00691C3F"/>
    <w:rsid w:val="00691DEE"/>
    <w:rsid w:val="00691DF9"/>
    <w:rsid w:val="0069218D"/>
    <w:rsid w:val="00692891"/>
    <w:rsid w:val="00692C84"/>
    <w:rsid w:val="006932A2"/>
    <w:rsid w:val="00693DCD"/>
    <w:rsid w:val="00694276"/>
    <w:rsid w:val="00694BD1"/>
    <w:rsid w:val="006954F9"/>
    <w:rsid w:val="00695960"/>
    <w:rsid w:val="00695BC7"/>
    <w:rsid w:val="00695C8F"/>
    <w:rsid w:val="00696ED1"/>
    <w:rsid w:val="00697327"/>
    <w:rsid w:val="006977A2"/>
    <w:rsid w:val="006A0446"/>
    <w:rsid w:val="006A0520"/>
    <w:rsid w:val="006A0AC2"/>
    <w:rsid w:val="006A181E"/>
    <w:rsid w:val="006A1F4E"/>
    <w:rsid w:val="006A22A4"/>
    <w:rsid w:val="006A2C98"/>
    <w:rsid w:val="006A2F1D"/>
    <w:rsid w:val="006A37C9"/>
    <w:rsid w:val="006A4065"/>
    <w:rsid w:val="006A4237"/>
    <w:rsid w:val="006A6263"/>
    <w:rsid w:val="006A76C9"/>
    <w:rsid w:val="006B018F"/>
    <w:rsid w:val="006B1151"/>
    <w:rsid w:val="006B19D5"/>
    <w:rsid w:val="006B23E2"/>
    <w:rsid w:val="006B2921"/>
    <w:rsid w:val="006B29C9"/>
    <w:rsid w:val="006B35A4"/>
    <w:rsid w:val="006B3BE9"/>
    <w:rsid w:val="006B3E92"/>
    <w:rsid w:val="006B47BD"/>
    <w:rsid w:val="006B4C22"/>
    <w:rsid w:val="006B547C"/>
    <w:rsid w:val="006B5C01"/>
    <w:rsid w:val="006B64ED"/>
    <w:rsid w:val="006B6CAB"/>
    <w:rsid w:val="006B6E84"/>
    <w:rsid w:val="006B7023"/>
    <w:rsid w:val="006B77C2"/>
    <w:rsid w:val="006C01A7"/>
    <w:rsid w:val="006C0276"/>
    <w:rsid w:val="006C043B"/>
    <w:rsid w:val="006C0CB1"/>
    <w:rsid w:val="006C0E0A"/>
    <w:rsid w:val="006C12E8"/>
    <w:rsid w:val="006C167D"/>
    <w:rsid w:val="006C1E7D"/>
    <w:rsid w:val="006C20B0"/>
    <w:rsid w:val="006C2712"/>
    <w:rsid w:val="006C29E8"/>
    <w:rsid w:val="006C2A91"/>
    <w:rsid w:val="006C2E65"/>
    <w:rsid w:val="006C31A7"/>
    <w:rsid w:val="006C4063"/>
    <w:rsid w:val="006C42C6"/>
    <w:rsid w:val="006C483A"/>
    <w:rsid w:val="006C54A6"/>
    <w:rsid w:val="006C550F"/>
    <w:rsid w:val="006C6191"/>
    <w:rsid w:val="006C6C91"/>
    <w:rsid w:val="006C71AF"/>
    <w:rsid w:val="006C7C19"/>
    <w:rsid w:val="006D003F"/>
    <w:rsid w:val="006D07DD"/>
    <w:rsid w:val="006D0970"/>
    <w:rsid w:val="006D0CE9"/>
    <w:rsid w:val="006D13B7"/>
    <w:rsid w:val="006D15E4"/>
    <w:rsid w:val="006D16E9"/>
    <w:rsid w:val="006D1E6E"/>
    <w:rsid w:val="006D24AC"/>
    <w:rsid w:val="006D3E35"/>
    <w:rsid w:val="006D47C4"/>
    <w:rsid w:val="006D5B34"/>
    <w:rsid w:val="006D5E0A"/>
    <w:rsid w:val="006D6530"/>
    <w:rsid w:val="006D6FB3"/>
    <w:rsid w:val="006D7CEB"/>
    <w:rsid w:val="006D7D96"/>
    <w:rsid w:val="006D7EC8"/>
    <w:rsid w:val="006E0669"/>
    <w:rsid w:val="006E0E16"/>
    <w:rsid w:val="006E1C39"/>
    <w:rsid w:val="006E1CF0"/>
    <w:rsid w:val="006E1CF7"/>
    <w:rsid w:val="006E2464"/>
    <w:rsid w:val="006E3798"/>
    <w:rsid w:val="006E47BE"/>
    <w:rsid w:val="006E55F4"/>
    <w:rsid w:val="006E5DE7"/>
    <w:rsid w:val="006E718B"/>
    <w:rsid w:val="006E7441"/>
    <w:rsid w:val="006E7672"/>
    <w:rsid w:val="006E7E95"/>
    <w:rsid w:val="006F073B"/>
    <w:rsid w:val="006F083D"/>
    <w:rsid w:val="006F0E50"/>
    <w:rsid w:val="006F1502"/>
    <w:rsid w:val="006F19E4"/>
    <w:rsid w:val="006F24C6"/>
    <w:rsid w:val="006F2B76"/>
    <w:rsid w:val="006F2F24"/>
    <w:rsid w:val="006F3CD5"/>
    <w:rsid w:val="006F48C8"/>
    <w:rsid w:val="006F5904"/>
    <w:rsid w:val="006F6851"/>
    <w:rsid w:val="006F6E71"/>
    <w:rsid w:val="006F798A"/>
    <w:rsid w:val="006F7F62"/>
    <w:rsid w:val="006F7FF7"/>
    <w:rsid w:val="007025B7"/>
    <w:rsid w:val="00702D1B"/>
    <w:rsid w:val="0070331E"/>
    <w:rsid w:val="00704F3A"/>
    <w:rsid w:val="00705ED7"/>
    <w:rsid w:val="00706013"/>
    <w:rsid w:val="007069D2"/>
    <w:rsid w:val="00706BEB"/>
    <w:rsid w:val="00710CA3"/>
    <w:rsid w:val="007111F3"/>
    <w:rsid w:val="00711D64"/>
    <w:rsid w:val="00711F51"/>
    <w:rsid w:val="007126F4"/>
    <w:rsid w:val="00712C91"/>
    <w:rsid w:val="00712ECE"/>
    <w:rsid w:val="007133FC"/>
    <w:rsid w:val="00714D44"/>
    <w:rsid w:val="00714DAA"/>
    <w:rsid w:val="00714E5E"/>
    <w:rsid w:val="00715268"/>
    <w:rsid w:val="00715302"/>
    <w:rsid w:val="00715C29"/>
    <w:rsid w:val="0071641B"/>
    <w:rsid w:val="007168E0"/>
    <w:rsid w:val="00716B6D"/>
    <w:rsid w:val="00716F01"/>
    <w:rsid w:val="0071732C"/>
    <w:rsid w:val="00717A0D"/>
    <w:rsid w:val="0072059A"/>
    <w:rsid w:val="0072083A"/>
    <w:rsid w:val="00721039"/>
    <w:rsid w:val="00721519"/>
    <w:rsid w:val="00721FF3"/>
    <w:rsid w:val="00722336"/>
    <w:rsid w:val="00722798"/>
    <w:rsid w:val="00722C6D"/>
    <w:rsid w:val="00723898"/>
    <w:rsid w:val="00723E32"/>
    <w:rsid w:val="00723F5D"/>
    <w:rsid w:val="0072427D"/>
    <w:rsid w:val="0072534A"/>
    <w:rsid w:val="00725802"/>
    <w:rsid w:val="00725AD7"/>
    <w:rsid w:val="00726337"/>
    <w:rsid w:val="007264D6"/>
    <w:rsid w:val="0072699D"/>
    <w:rsid w:val="00726CEB"/>
    <w:rsid w:val="00727B6F"/>
    <w:rsid w:val="00727D40"/>
    <w:rsid w:val="007302A9"/>
    <w:rsid w:val="007302F1"/>
    <w:rsid w:val="00730C28"/>
    <w:rsid w:val="0073151F"/>
    <w:rsid w:val="00731886"/>
    <w:rsid w:val="00731B42"/>
    <w:rsid w:val="00731DF1"/>
    <w:rsid w:val="007329F5"/>
    <w:rsid w:val="0073372C"/>
    <w:rsid w:val="00733CE9"/>
    <w:rsid w:val="00733EF9"/>
    <w:rsid w:val="007346CB"/>
    <w:rsid w:val="007362E9"/>
    <w:rsid w:val="00737277"/>
    <w:rsid w:val="007377D1"/>
    <w:rsid w:val="00740246"/>
    <w:rsid w:val="00740528"/>
    <w:rsid w:val="0074098B"/>
    <w:rsid w:val="00743178"/>
    <w:rsid w:val="00743837"/>
    <w:rsid w:val="007439E9"/>
    <w:rsid w:val="00743D1C"/>
    <w:rsid w:val="00744508"/>
    <w:rsid w:val="0074556C"/>
    <w:rsid w:val="007456C7"/>
    <w:rsid w:val="00745A71"/>
    <w:rsid w:val="00745C00"/>
    <w:rsid w:val="007460B4"/>
    <w:rsid w:val="00746A4A"/>
    <w:rsid w:val="00746E25"/>
    <w:rsid w:val="00747227"/>
    <w:rsid w:val="0074746C"/>
    <w:rsid w:val="00750098"/>
    <w:rsid w:val="00750D28"/>
    <w:rsid w:val="007510DC"/>
    <w:rsid w:val="007518D2"/>
    <w:rsid w:val="00751FA4"/>
    <w:rsid w:val="0075255B"/>
    <w:rsid w:val="007533C6"/>
    <w:rsid w:val="00753E5F"/>
    <w:rsid w:val="00753FEC"/>
    <w:rsid w:val="007569F2"/>
    <w:rsid w:val="007570EC"/>
    <w:rsid w:val="007573DF"/>
    <w:rsid w:val="00760696"/>
    <w:rsid w:val="0076103F"/>
    <w:rsid w:val="0076110F"/>
    <w:rsid w:val="00761693"/>
    <w:rsid w:val="00762312"/>
    <w:rsid w:val="007627DE"/>
    <w:rsid w:val="007629F5"/>
    <w:rsid w:val="00762AF8"/>
    <w:rsid w:val="00762D79"/>
    <w:rsid w:val="00762EE5"/>
    <w:rsid w:val="00762F97"/>
    <w:rsid w:val="00763148"/>
    <w:rsid w:val="0076397D"/>
    <w:rsid w:val="00763ABA"/>
    <w:rsid w:val="00763C07"/>
    <w:rsid w:val="00766040"/>
    <w:rsid w:val="007664B3"/>
    <w:rsid w:val="00766792"/>
    <w:rsid w:val="00766F9A"/>
    <w:rsid w:val="00767759"/>
    <w:rsid w:val="00767DEB"/>
    <w:rsid w:val="00770151"/>
    <w:rsid w:val="00770159"/>
    <w:rsid w:val="007703D4"/>
    <w:rsid w:val="00770C0C"/>
    <w:rsid w:val="00770CD5"/>
    <w:rsid w:val="00771397"/>
    <w:rsid w:val="00771DEA"/>
    <w:rsid w:val="00771E21"/>
    <w:rsid w:val="00772036"/>
    <w:rsid w:val="00772B59"/>
    <w:rsid w:val="00772BD4"/>
    <w:rsid w:val="00772C3B"/>
    <w:rsid w:val="00772C47"/>
    <w:rsid w:val="00772F90"/>
    <w:rsid w:val="00773A6C"/>
    <w:rsid w:val="00773BC8"/>
    <w:rsid w:val="00774AB6"/>
    <w:rsid w:val="007754AF"/>
    <w:rsid w:val="00775586"/>
    <w:rsid w:val="0077576F"/>
    <w:rsid w:val="00775D9B"/>
    <w:rsid w:val="0077696B"/>
    <w:rsid w:val="00777BEF"/>
    <w:rsid w:val="0078133E"/>
    <w:rsid w:val="00781D8E"/>
    <w:rsid w:val="00782494"/>
    <w:rsid w:val="007825D7"/>
    <w:rsid w:val="00782F16"/>
    <w:rsid w:val="007830C8"/>
    <w:rsid w:val="00784836"/>
    <w:rsid w:val="00784DC0"/>
    <w:rsid w:val="00785292"/>
    <w:rsid w:val="0078584E"/>
    <w:rsid w:val="00786497"/>
    <w:rsid w:val="007866D6"/>
    <w:rsid w:val="00786ACA"/>
    <w:rsid w:val="007870CC"/>
    <w:rsid w:val="00790FF9"/>
    <w:rsid w:val="00791752"/>
    <w:rsid w:val="00791BC1"/>
    <w:rsid w:val="00791C9A"/>
    <w:rsid w:val="0079250A"/>
    <w:rsid w:val="007928DB"/>
    <w:rsid w:val="007937AF"/>
    <w:rsid w:val="00794FAB"/>
    <w:rsid w:val="00795080"/>
    <w:rsid w:val="007955F0"/>
    <w:rsid w:val="0079623D"/>
    <w:rsid w:val="00796BB9"/>
    <w:rsid w:val="00796D9C"/>
    <w:rsid w:val="00797782"/>
    <w:rsid w:val="00797A43"/>
    <w:rsid w:val="00797B61"/>
    <w:rsid w:val="00797BC5"/>
    <w:rsid w:val="007A040D"/>
    <w:rsid w:val="007A0A0D"/>
    <w:rsid w:val="007A0E18"/>
    <w:rsid w:val="007A0E77"/>
    <w:rsid w:val="007A247F"/>
    <w:rsid w:val="007A4264"/>
    <w:rsid w:val="007A49D0"/>
    <w:rsid w:val="007A4D12"/>
    <w:rsid w:val="007A5D06"/>
    <w:rsid w:val="007A6304"/>
    <w:rsid w:val="007A68A8"/>
    <w:rsid w:val="007A7DE6"/>
    <w:rsid w:val="007B0041"/>
    <w:rsid w:val="007B073F"/>
    <w:rsid w:val="007B0D9B"/>
    <w:rsid w:val="007B1C22"/>
    <w:rsid w:val="007B2593"/>
    <w:rsid w:val="007B397E"/>
    <w:rsid w:val="007B4B93"/>
    <w:rsid w:val="007B60E5"/>
    <w:rsid w:val="007B63CD"/>
    <w:rsid w:val="007B6410"/>
    <w:rsid w:val="007B6553"/>
    <w:rsid w:val="007B7285"/>
    <w:rsid w:val="007B7DE5"/>
    <w:rsid w:val="007B7ECD"/>
    <w:rsid w:val="007C0953"/>
    <w:rsid w:val="007C0BE7"/>
    <w:rsid w:val="007C0EA6"/>
    <w:rsid w:val="007C1077"/>
    <w:rsid w:val="007C1A0C"/>
    <w:rsid w:val="007C1BBF"/>
    <w:rsid w:val="007C28E3"/>
    <w:rsid w:val="007C294D"/>
    <w:rsid w:val="007C37D4"/>
    <w:rsid w:val="007C401C"/>
    <w:rsid w:val="007C43A0"/>
    <w:rsid w:val="007C44A8"/>
    <w:rsid w:val="007C5A84"/>
    <w:rsid w:val="007C62E5"/>
    <w:rsid w:val="007C6402"/>
    <w:rsid w:val="007C64E5"/>
    <w:rsid w:val="007C6C62"/>
    <w:rsid w:val="007C7147"/>
    <w:rsid w:val="007C7222"/>
    <w:rsid w:val="007C74EB"/>
    <w:rsid w:val="007C7766"/>
    <w:rsid w:val="007C7F65"/>
    <w:rsid w:val="007D00B3"/>
    <w:rsid w:val="007D0FBC"/>
    <w:rsid w:val="007D21F0"/>
    <w:rsid w:val="007D2808"/>
    <w:rsid w:val="007D49B9"/>
    <w:rsid w:val="007D4C48"/>
    <w:rsid w:val="007D515D"/>
    <w:rsid w:val="007D61DD"/>
    <w:rsid w:val="007D7219"/>
    <w:rsid w:val="007D77F4"/>
    <w:rsid w:val="007D7896"/>
    <w:rsid w:val="007D7B02"/>
    <w:rsid w:val="007D7F04"/>
    <w:rsid w:val="007E017B"/>
    <w:rsid w:val="007E0649"/>
    <w:rsid w:val="007E079B"/>
    <w:rsid w:val="007E09D8"/>
    <w:rsid w:val="007E1880"/>
    <w:rsid w:val="007E2142"/>
    <w:rsid w:val="007E2223"/>
    <w:rsid w:val="007E3237"/>
    <w:rsid w:val="007E358B"/>
    <w:rsid w:val="007E37E6"/>
    <w:rsid w:val="007E4556"/>
    <w:rsid w:val="007E45D4"/>
    <w:rsid w:val="007E4AE5"/>
    <w:rsid w:val="007E5011"/>
    <w:rsid w:val="007E53FE"/>
    <w:rsid w:val="007E5716"/>
    <w:rsid w:val="007E57CB"/>
    <w:rsid w:val="007E7BA7"/>
    <w:rsid w:val="007F0450"/>
    <w:rsid w:val="007F0534"/>
    <w:rsid w:val="007F10D5"/>
    <w:rsid w:val="007F1771"/>
    <w:rsid w:val="007F24DB"/>
    <w:rsid w:val="007F353E"/>
    <w:rsid w:val="007F48F2"/>
    <w:rsid w:val="007F5AE9"/>
    <w:rsid w:val="007F606C"/>
    <w:rsid w:val="007F61B5"/>
    <w:rsid w:val="007F7D06"/>
    <w:rsid w:val="008006FF"/>
    <w:rsid w:val="0080111D"/>
    <w:rsid w:val="0080137B"/>
    <w:rsid w:val="0080198A"/>
    <w:rsid w:val="00802118"/>
    <w:rsid w:val="0080231F"/>
    <w:rsid w:val="00802A26"/>
    <w:rsid w:val="00802BCB"/>
    <w:rsid w:val="00802F77"/>
    <w:rsid w:val="00802F93"/>
    <w:rsid w:val="008039A3"/>
    <w:rsid w:val="00803F57"/>
    <w:rsid w:val="008046AA"/>
    <w:rsid w:val="00804897"/>
    <w:rsid w:val="00804C50"/>
    <w:rsid w:val="00805D39"/>
    <w:rsid w:val="00805D4A"/>
    <w:rsid w:val="00805E79"/>
    <w:rsid w:val="00806216"/>
    <w:rsid w:val="0080628C"/>
    <w:rsid w:val="008077B7"/>
    <w:rsid w:val="008077CA"/>
    <w:rsid w:val="00810669"/>
    <w:rsid w:val="008107AF"/>
    <w:rsid w:val="00811CA6"/>
    <w:rsid w:val="008128F9"/>
    <w:rsid w:val="00813478"/>
    <w:rsid w:val="008141C1"/>
    <w:rsid w:val="00815472"/>
    <w:rsid w:val="0081557C"/>
    <w:rsid w:val="008156BB"/>
    <w:rsid w:val="00815EC1"/>
    <w:rsid w:val="0081663E"/>
    <w:rsid w:val="008170ED"/>
    <w:rsid w:val="0081774A"/>
    <w:rsid w:val="00817AC1"/>
    <w:rsid w:val="00820319"/>
    <w:rsid w:val="00821095"/>
    <w:rsid w:val="00821846"/>
    <w:rsid w:val="00821F92"/>
    <w:rsid w:val="00823E51"/>
    <w:rsid w:val="0082447E"/>
    <w:rsid w:val="008244BF"/>
    <w:rsid w:val="00824F4C"/>
    <w:rsid w:val="00824FA1"/>
    <w:rsid w:val="00825A07"/>
    <w:rsid w:val="0083091D"/>
    <w:rsid w:val="00830A92"/>
    <w:rsid w:val="00832440"/>
    <w:rsid w:val="00832637"/>
    <w:rsid w:val="00832C2E"/>
    <w:rsid w:val="00832C70"/>
    <w:rsid w:val="00832CD9"/>
    <w:rsid w:val="00833291"/>
    <w:rsid w:val="008339FE"/>
    <w:rsid w:val="00833B7D"/>
    <w:rsid w:val="00833FA0"/>
    <w:rsid w:val="0083472A"/>
    <w:rsid w:val="00835509"/>
    <w:rsid w:val="008364D7"/>
    <w:rsid w:val="00836AD1"/>
    <w:rsid w:val="00837307"/>
    <w:rsid w:val="00840502"/>
    <w:rsid w:val="00841EB7"/>
    <w:rsid w:val="00842C26"/>
    <w:rsid w:val="0084328E"/>
    <w:rsid w:val="00843F68"/>
    <w:rsid w:val="008450A4"/>
    <w:rsid w:val="00845230"/>
    <w:rsid w:val="00845748"/>
    <w:rsid w:val="00845CB0"/>
    <w:rsid w:val="008468DA"/>
    <w:rsid w:val="00847000"/>
    <w:rsid w:val="008470CB"/>
    <w:rsid w:val="008477D7"/>
    <w:rsid w:val="008503A8"/>
    <w:rsid w:val="0085134D"/>
    <w:rsid w:val="00851D36"/>
    <w:rsid w:val="00851D66"/>
    <w:rsid w:val="008524A5"/>
    <w:rsid w:val="008529D8"/>
    <w:rsid w:val="00852C6B"/>
    <w:rsid w:val="00852E04"/>
    <w:rsid w:val="00853B17"/>
    <w:rsid w:val="00854341"/>
    <w:rsid w:val="0085434D"/>
    <w:rsid w:val="00855AC4"/>
    <w:rsid w:val="00857E72"/>
    <w:rsid w:val="00860451"/>
    <w:rsid w:val="008605DA"/>
    <w:rsid w:val="008606B2"/>
    <w:rsid w:val="00861190"/>
    <w:rsid w:val="00861504"/>
    <w:rsid w:val="00861680"/>
    <w:rsid w:val="00861925"/>
    <w:rsid w:val="00861A20"/>
    <w:rsid w:val="00861C74"/>
    <w:rsid w:val="00861CF3"/>
    <w:rsid w:val="0086231F"/>
    <w:rsid w:val="008624B8"/>
    <w:rsid w:val="00862572"/>
    <w:rsid w:val="00862BF4"/>
    <w:rsid w:val="00863340"/>
    <w:rsid w:val="008633CD"/>
    <w:rsid w:val="008650A9"/>
    <w:rsid w:val="0086524B"/>
    <w:rsid w:val="008655A3"/>
    <w:rsid w:val="00865B4A"/>
    <w:rsid w:val="00865C08"/>
    <w:rsid w:val="00865F9F"/>
    <w:rsid w:val="00866CF3"/>
    <w:rsid w:val="00866CF6"/>
    <w:rsid w:val="00867146"/>
    <w:rsid w:val="00867257"/>
    <w:rsid w:val="00867BBA"/>
    <w:rsid w:val="0087040B"/>
    <w:rsid w:val="00870B95"/>
    <w:rsid w:val="00870E0F"/>
    <w:rsid w:val="0087140F"/>
    <w:rsid w:val="0087141D"/>
    <w:rsid w:val="0087195D"/>
    <w:rsid w:val="00871A89"/>
    <w:rsid w:val="00871C3D"/>
    <w:rsid w:val="00872E6C"/>
    <w:rsid w:val="00873523"/>
    <w:rsid w:val="00874145"/>
    <w:rsid w:val="00874155"/>
    <w:rsid w:val="008749C1"/>
    <w:rsid w:val="00874AD6"/>
    <w:rsid w:val="00874C38"/>
    <w:rsid w:val="00875206"/>
    <w:rsid w:val="008766A6"/>
    <w:rsid w:val="00876ED6"/>
    <w:rsid w:val="00877048"/>
    <w:rsid w:val="008775C4"/>
    <w:rsid w:val="00877814"/>
    <w:rsid w:val="008779AD"/>
    <w:rsid w:val="00877BED"/>
    <w:rsid w:val="0088020C"/>
    <w:rsid w:val="00880D17"/>
    <w:rsid w:val="0088123D"/>
    <w:rsid w:val="00881953"/>
    <w:rsid w:val="0088212B"/>
    <w:rsid w:val="008822BA"/>
    <w:rsid w:val="00882B3E"/>
    <w:rsid w:val="0088349E"/>
    <w:rsid w:val="0088495B"/>
    <w:rsid w:val="0088497A"/>
    <w:rsid w:val="0088509B"/>
    <w:rsid w:val="00885719"/>
    <w:rsid w:val="008862AB"/>
    <w:rsid w:val="00886C02"/>
    <w:rsid w:val="00886FDE"/>
    <w:rsid w:val="008877E3"/>
    <w:rsid w:val="00887EE5"/>
    <w:rsid w:val="008904CC"/>
    <w:rsid w:val="00890CCD"/>
    <w:rsid w:val="00891656"/>
    <w:rsid w:val="00891D6A"/>
    <w:rsid w:val="00892E96"/>
    <w:rsid w:val="0089334C"/>
    <w:rsid w:val="00893A90"/>
    <w:rsid w:val="00894448"/>
    <w:rsid w:val="00895325"/>
    <w:rsid w:val="00895880"/>
    <w:rsid w:val="00896850"/>
    <w:rsid w:val="00897696"/>
    <w:rsid w:val="00897E31"/>
    <w:rsid w:val="00897F3C"/>
    <w:rsid w:val="008A01AC"/>
    <w:rsid w:val="008A032B"/>
    <w:rsid w:val="008A0588"/>
    <w:rsid w:val="008A0675"/>
    <w:rsid w:val="008A1C13"/>
    <w:rsid w:val="008A1C6B"/>
    <w:rsid w:val="008A2FEE"/>
    <w:rsid w:val="008A3860"/>
    <w:rsid w:val="008A4550"/>
    <w:rsid w:val="008A4A15"/>
    <w:rsid w:val="008A4E0D"/>
    <w:rsid w:val="008A544C"/>
    <w:rsid w:val="008A582D"/>
    <w:rsid w:val="008A5A3E"/>
    <w:rsid w:val="008A6D98"/>
    <w:rsid w:val="008A6EC9"/>
    <w:rsid w:val="008A7351"/>
    <w:rsid w:val="008A7A56"/>
    <w:rsid w:val="008A7B69"/>
    <w:rsid w:val="008B01D4"/>
    <w:rsid w:val="008B029C"/>
    <w:rsid w:val="008B0336"/>
    <w:rsid w:val="008B046B"/>
    <w:rsid w:val="008B0D36"/>
    <w:rsid w:val="008B1BA6"/>
    <w:rsid w:val="008B27BC"/>
    <w:rsid w:val="008B29A8"/>
    <w:rsid w:val="008B36EF"/>
    <w:rsid w:val="008B3FAB"/>
    <w:rsid w:val="008B5A61"/>
    <w:rsid w:val="008B6812"/>
    <w:rsid w:val="008B7C63"/>
    <w:rsid w:val="008B7CB8"/>
    <w:rsid w:val="008C012B"/>
    <w:rsid w:val="008C021B"/>
    <w:rsid w:val="008C02E9"/>
    <w:rsid w:val="008C067D"/>
    <w:rsid w:val="008C143F"/>
    <w:rsid w:val="008C2670"/>
    <w:rsid w:val="008C2F78"/>
    <w:rsid w:val="008C3933"/>
    <w:rsid w:val="008C3D2F"/>
    <w:rsid w:val="008C3D41"/>
    <w:rsid w:val="008C3E0C"/>
    <w:rsid w:val="008C429C"/>
    <w:rsid w:val="008C4503"/>
    <w:rsid w:val="008C6827"/>
    <w:rsid w:val="008C6991"/>
    <w:rsid w:val="008C7F51"/>
    <w:rsid w:val="008C7FCA"/>
    <w:rsid w:val="008D00B8"/>
    <w:rsid w:val="008D0B93"/>
    <w:rsid w:val="008D1BB8"/>
    <w:rsid w:val="008D2442"/>
    <w:rsid w:val="008D26C6"/>
    <w:rsid w:val="008D2D5F"/>
    <w:rsid w:val="008D39F7"/>
    <w:rsid w:val="008D4780"/>
    <w:rsid w:val="008D5114"/>
    <w:rsid w:val="008D513A"/>
    <w:rsid w:val="008D543E"/>
    <w:rsid w:val="008D6332"/>
    <w:rsid w:val="008D73CB"/>
    <w:rsid w:val="008D7504"/>
    <w:rsid w:val="008D771C"/>
    <w:rsid w:val="008D78D7"/>
    <w:rsid w:val="008D7B3B"/>
    <w:rsid w:val="008D7F12"/>
    <w:rsid w:val="008E03CC"/>
    <w:rsid w:val="008E06E0"/>
    <w:rsid w:val="008E06E7"/>
    <w:rsid w:val="008E136C"/>
    <w:rsid w:val="008E1C4A"/>
    <w:rsid w:val="008E2186"/>
    <w:rsid w:val="008E4E0A"/>
    <w:rsid w:val="008E5D83"/>
    <w:rsid w:val="008E6924"/>
    <w:rsid w:val="008E6D32"/>
    <w:rsid w:val="008E7005"/>
    <w:rsid w:val="008F043D"/>
    <w:rsid w:val="008F05FE"/>
    <w:rsid w:val="008F0F24"/>
    <w:rsid w:val="008F112D"/>
    <w:rsid w:val="008F1F55"/>
    <w:rsid w:val="008F21E9"/>
    <w:rsid w:val="008F273B"/>
    <w:rsid w:val="008F3665"/>
    <w:rsid w:val="008F4046"/>
    <w:rsid w:val="008F40D7"/>
    <w:rsid w:val="008F4A7D"/>
    <w:rsid w:val="008F4DB1"/>
    <w:rsid w:val="008F506E"/>
    <w:rsid w:val="008F5361"/>
    <w:rsid w:val="008F549E"/>
    <w:rsid w:val="008F6CB4"/>
    <w:rsid w:val="009007F6"/>
    <w:rsid w:val="00901816"/>
    <w:rsid w:val="009021A6"/>
    <w:rsid w:val="00902F17"/>
    <w:rsid w:val="009032BB"/>
    <w:rsid w:val="00903757"/>
    <w:rsid w:val="009037DE"/>
    <w:rsid w:val="00903C91"/>
    <w:rsid w:val="0090405D"/>
    <w:rsid w:val="00904228"/>
    <w:rsid w:val="00904A88"/>
    <w:rsid w:val="00904D5E"/>
    <w:rsid w:val="0090522E"/>
    <w:rsid w:val="00905735"/>
    <w:rsid w:val="00906091"/>
    <w:rsid w:val="009070C5"/>
    <w:rsid w:val="0090726F"/>
    <w:rsid w:val="009113DC"/>
    <w:rsid w:val="0091236E"/>
    <w:rsid w:val="00912376"/>
    <w:rsid w:val="009125EC"/>
    <w:rsid w:val="00913029"/>
    <w:rsid w:val="009137C2"/>
    <w:rsid w:val="00913DF7"/>
    <w:rsid w:val="009140DC"/>
    <w:rsid w:val="0091442E"/>
    <w:rsid w:val="00914819"/>
    <w:rsid w:val="00914B4A"/>
    <w:rsid w:val="00914B80"/>
    <w:rsid w:val="00914C27"/>
    <w:rsid w:val="009150E1"/>
    <w:rsid w:val="00915A34"/>
    <w:rsid w:val="00917CA7"/>
    <w:rsid w:val="00920E6D"/>
    <w:rsid w:val="009216A2"/>
    <w:rsid w:val="00922E97"/>
    <w:rsid w:val="009255AD"/>
    <w:rsid w:val="00925BC4"/>
    <w:rsid w:val="009261E6"/>
    <w:rsid w:val="00927DA2"/>
    <w:rsid w:val="0093027C"/>
    <w:rsid w:val="00930312"/>
    <w:rsid w:val="00930E00"/>
    <w:rsid w:val="0093186F"/>
    <w:rsid w:val="0093187D"/>
    <w:rsid w:val="00931E46"/>
    <w:rsid w:val="00932276"/>
    <w:rsid w:val="0093244B"/>
    <w:rsid w:val="00932479"/>
    <w:rsid w:val="00932B5D"/>
    <w:rsid w:val="00932D82"/>
    <w:rsid w:val="009343AE"/>
    <w:rsid w:val="00934886"/>
    <w:rsid w:val="009349FA"/>
    <w:rsid w:val="00934A14"/>
    <w:rsid w:val="00935470"/>
    <w:rsid w:val="0093547C"/>
    <w:rsid w:val="009354BD"/>
    <w:rsid w:val="00937117"/>
    <w:rsid w:val="00937732"/>
    <w:rsid w:val="009400CF"/>
    <w:rsid w:val="00940617"/>
    <w:rsid w:val="009411B2"/>
    <w:rsid w:val="0094380D"/>
    <w:rsid w:val="009442FA"/>
    <w:rsid w:val="0094439C"/>
    <w:rsid w:val="00944492"/>
    <w:rsid w:val="00945259"/>
    <w:rsid w:val="00945B83"/>
    <w:rsid w:val="009466AC"/>
    <w:rsid w:val="0094758E"/>
    <w:rsid w:val="0095016A"/>
    <w:rsid w:val="009501C4"/>
    <w:rsid w:val="00950657"/>
    <w:rsid w:val="00951399"/>
    <w:rsid w:val="009513EE"/>
    <w:rsid w:val="0095146E"/>
    <w:rsid w:val="0095162A"/>
    <w:rsid w:val="00951F21"/>
    <w:rsid w:val="0095211A"/>
    <w:rsid w:val="0095433D"/>
    <w:rsid w:val="00954609"/>
    <w:rsid w:val="009549CA"/>
    <w:rsid w:val="009549F9"/>
    <w:rsid w:val="00954B49"/>
    <w:rsid w:val="0095511A"/>
    <w:rsid w:val="009560C4"/>
    <w:rsid w:val="00956E69"/>
    <w:rsid w:val="00956F31"/>
    <w:rsid w:val="0095797F"/>
    <w:rsid w:val="009607A2"/>
    <w:rsid w:val="0096083F"/>
    <w:rsid w:val="00961D17"/>
    <w:rsid w:val="00962503"/>
    <w:rsid w:val="00962C4F"/>
    <w:rsid w:val="00963E6D"/>
    <w:rsid w:val="009646B1"/>
    <w:rsid w:val="0096496F"/>
    <w:rsid w:val="0096549F"/>
    <w:rsid w:val="00966466"/>
    <w:rsid w:val="00966A20"/>
    <w:rsid w:val="00967E8B"/>
    <w:rsid w:val="00970AC9"/>
    <w:rsid w:val="00970AD7"/>
    <w:rsid w:val="00970E94"/>
    <w:rsid w:val="00970FC6"/>
    <w:rsid w:val="00971068"/>
    <w:rsid w:val="009712E9"/>
    <w:rsid w:val="00971377"/>
    <w:rsid w:val="00972DEC"/>
    <w:rsid w:val="0097388C"/>
    <w:rsid w:val="00973FF6"/>
    <w:rsid w:val="009749D9"/>
    <w:rsid w:val="00974E45"/>
    <w:rsid w:val="0097548C"/>
    <w:rsid w:val="009765B2"/>
    <w:rsid w:val="009770F4"/>
    <w:rsid w:val="00977E14"/>
    <w:rsid w:val="009803F5"/>
    <w:rsid w:val="00980BF9"/>
    <w:rsid w:val="0098119D"/>
    <w:rsid w:val="0098294C"/>
    <w:rsid w:val="009829B4"/>
    <w:rsid w:val="00982A60"/>
    <w:rsid w:val="00982F8D"/>
    <w:rsid w:val="0098326F"/>
    <w:rsid w:val="0098341E"/>
    <w:rsid w:val="00983910"/>
    <w:rsid w:val="00984168"/>
    <w:rsid w:val="00984255"/>
    <w:rsid w:val="00984DDC"/>
    <w:rsid w:val="00984EBF"/>
    <w:rsid w:val="009858A4"/>
    <w:rsid w:val="00985921"/>
    <w:rsid w:val="00985F8B"/>
    <w:rsid w:val="0098624B"/>
    <w:rsid w:val="00986B97"/>
    <w:rsid w:val="009879C4"/>
    <w:rsid w:val="009901B2"/>
    <w:rsid w:val="0099131C"/>
    <w:rsid w:val="009913ED"/>
    <w:rsid w:val="00992016"/>
    <w:rsid w:val="0099255D"/>
    <w:rsid w:val="0099256B"/>
    <w:rsid w:val="009931F7"/>
    <w:rsid w:val="0099378B"/>
    <w:rsid w:val="0099495B"/>
    <w:rsid w:val="0099588D"/>
    <w:rsid w:val="00996EEB"/>
    <w:rsid w:val="0099735D"/>
    <w:rsid w:val="00997547"/>
    <w:rsid w:val="00997703"/>
    <w:rsid w:val="00997C5E"/>
    <w:rsid w:val="009A0A8D"/>
    <w:rsid w:val="009A0FED"/>
    <w:rsid w:val="009A331B"/>
    <w:rsid w:val="009A33C9"/>
    <w:rsid w:val="009A3B85"/>
    <w:rsid w:val="009A4F28"/>
    <w:rsid w:val="009A7DF2"/>
    <w:rsid w:val="009B0106"/>
    <w:rsid w:val="009B089F"/>
    <w:rsid w:val="009B08D0"/>
    <w:rsid w:val="009B0A68"/>
    <w:rsid w:val="009B0F39"/>
    <w:rsid w:val="009B1E68"/>
    <w:rsid w:val="009B2B5E"/>
    <w:rsid w:val="009B3D41"/>
    <w:rsid w:val="009B3DB1"/>
    <w:rsid w:val="009B3E00"/>
    <w:rsid w:val="009B3EE6"/>
    <w:rsid w:val="009B4231"/>
    <w:rsid w:val="009B457E"/>
    <w:rsid w:val="009B6C3A"/>
    <w:rsid w:val="009B7370"/>
    <w:rsid w:val="009B749E"/>
    <w:rsid w:val="009C0541"/>
    <w:rsid w:val="009C06CC"/>
    <w:rsid w:val="009C078A"/>
    <w:rsid w:val="009C0B36"/>
    <w:rsid w:val="009C1B66"/>
    <w:rsid w:val="009C2B7C"/>
    <w:rsid w:val="009C373F"/>
    <w:rsid w:val="009C40C4"/>
    <w:rsid w:val="009C422B"/>
    <w:rsid w:val="009C4A52"/>
    <w:rsid w:val="009C4C79"/>
    <w:rsid w:val="009C5CBC"/>
    <w:rsid w:val="009C7148"/>
    <w:rsid w:val="009C7307"/>
    <w:rsid w:val="009C74A9"/>
    <w:rsid w:val="009D06CD"/>
    <w:rsid w:val="009D0C95"/>
    <w:rsid w:val="009D155F"/>
    <w:rsid w:val="009D25AB"/>
    <w:rsid w:val="009D2852"/>
    <w:rsid w:val="009D301A"/>
    <w:rsid w:val="009D337A"/>
    <w:rsid w:val="009D3596"/>
    <w:rsid w:val="009D3828"/>
    <w:rsid w:val="009D4800"/>
    <w:rsid w:val="009D497D"/>
    <w:rsid w:val="009D526B"/>
    <w:rsid w:val="009D52D1"/>
    <w:rsid w:val="009D56C6"/>
    <w:rsid w:val="009D62A2"/>
    <w:rsid w:val="009D65B3"/>
    <w:rsid w:val="009D7096"/>
    <w:rsid w:val="009D7AC8"/>
    <w:rsid w:val="009E143B"/>
    <w:rsid w:val="009E1610"/>
    <w:rsid w:val="009E198A"/>
    <w:rsid w:val="009E19DD"/>
    <w:rsid w:val="009E25D4"/>
    <w:rsid w:val="009E328E"/>
    <w:rsid w:val="009E3B83"/>
    <w:rsid w:val="009E4CEE"/>
    <w:rsid w:val="009E5417"/>
    <w:rsid w:val="009E54BF"/>
    <w:rsid w:val="009E5664"/>
    <w:rsid w:val="009E59B9"/>
    <w:rsid w:val="009E5A3D"/>
    <w:rsid w:val="009E6081"/>
    <w:rsid w:val="009E6170"/>
    <w:rsid w:val="009E6854"/>
    <w:rsid w:val="009E7001"/>
    <w:rsid w:val="009E7544"/>
    <w:rsid w:val="009E7EB3"/>
    <w:rsid w:val="009F05C3"/>
    <w:rsid w:val="009F1C93"/>
    <w:rsid w:val="009F2873"/>
    <w:rsid w:val="009F36AA"/>
    <w:rsid w:val="009F4451"/>
    <w:rsid w:val="009F4ADD"/>
    <w:rsid w:val="009F6779"/>
    <w:rsid w:val="009F6F12"/>
    <w:rsid w:val="009F73D5"/>
    <w:rsid w:val="009F7D0C"/>
    <w:rsid w:val="00A00048"/>
    <w:rsid w:val="00A008D5"/>
    <w:rsid w:val="00A00D53"/>
    <w:rsid w:val="00A0268E"/>
    <w:rsid w:val="00A05231"/>
    <w:rsid w:val="00A05824"/>
    <w:rsid w:val="00A06E54"/>
    <w:rsid w:val="00A07D41"/>
    <w:rsid w:val="00A07DCD"/>
    <w:rsid w:val="00A07E93"/>
    <w:rsid w:val="00A1008D"/>
    <w:rsid w:val="00A10245"/>
    <w:rsid w:val="00A10AF8"/>
    <w:rsid w:val="00A1120C"/>
    <w:rsid w:val="00A11240"/>
    <w:rsid w:val="00A114CE"/>
    <w:rsid w:val="00A11F2D"/>
    <w:rsid w:val="00A122F2"/>
    <w:rsid w:val="00A12C3C"/>
    <w:rsid w:val="00A13410"/>
    <w:rsid w:val="00A14212"/>
    <w:rsid w:val="00A144EA"/>
    <w:rsid w:val="00A14B1A"/>
    <w:rsid w:val="00A15636"/>
    <w:rsid w:val="00A156B4"/>
    <w:rsid w:val="00A1644F"/>
    <w:rsid w:val="00A16ECE"/>
    <w:rsid w:val="00A17941"/>
    <w:rsid w:val="00A17B0B"/>
    <w:rsid w:val="00A17F28"/>
    <w:rsid w:val="00A205B4"/>
    <w:rsid w:val="00A20C2D"/>
    <w:rsid w:val="00A23332"/>
    <w:rsid w:val="00A24042"/>
    <w:rsid w:val="00A2642A"/>
    <w:rsid w:val="00A27897"/>
    <w:rsid w:val="00A278BB"/>
    <w:rsid w:val="00A30669"/>
    <w:rsid w:val="00A30D7A"/>
    <w:rsid w:val="00A30DC3"/>
    <w:rsid w:val="00A31204"/>
    <w:rsid w:val="00A31FA7"/>
    <w:rsid w:val="00A327D6"/>
    <w:rsid w:val="00A332EA"/>
    <w:rsid w:val="00A33E0A"/>
    <w:rsid w:val="00A34403"/>
    <w:rsid w:val="00A34581"/>
    <w:rsid w:val="00A34883"/>
    <w:rsid w:val="00A35421"/>
    <w:rsid w:val="00A35A5A"/>
    <w:rsid w:val="00A36AC0"/>
    <w:rsid w:val="00A3736C"/>
    <w:rsid w:val="00A37A85"/>
    <w:rsid w:val="00A37C9F"/>
    <w:rsid w:val="00A406DF"/>
    <w:rsid w:val="00A410E8"/>
    <w:rsid w:val="00A41300"/>
    <w:rsid w:val="00A41D74"/>
    <w:rsid w:val="00A41E15"/>
    <w:rsid w:val="00A45132"/>
    <w:rsid w:val="00A452E5"/>
    <w:rsid w:val="00A453D1"/>
    <w:rsid w:val="00A45589"/>
    <w:rsid w:val="00A46016"/>
    <w:rsid w:val="00A4666A"/>
    <w:rsid w:val="00A46C09"/>
    <w:rsid w:val="00A47BE2"/>
    <w:rsid w:val="00A47C00"/>
    <w:rsid w:val="00A5064A"/>
    <w:rsid w:val="00A528BE"/>
    <w:rsid w:val="00A528CD"/>
    <w:rsid w:val="00A530B5"/>
    <w:rsid w:val="00A5336A"/>
    <w:rsid w:val="00A5380C"/>
    <w:rsid w:val="00A539D5"/>
    <w:rsid w:val="00A53B20"/>
    <w:rsid w:val="00A54B23"/>
    <w:rsid w:val="00A55311"/>
    <w:rsid w:val="00A55376"/>
    <w:rsid w:val="00A553F5"/>
    <w:rsid w:val="00A5574B"/>
    <w:rsid w:val="00A558A3"/>
    <w:rsid w:val="00A5649F"/>
    <w:rsid w:val="00A57B74"/>
    <w:rsid w:val="00A60840"/>
    <w:rsid w:val="00A61353"/>
    <w:rsid w:val="00A613CB"/>
    <w:rsid w:val="00A61658"/>
    <w:rsid w:val="00A620BE"/>
    <w:rsid w:val="00A6223C"/>
    <w:rsid w:val="00A62C9A"/>
    <w:rsid w:val="00A63994"/>
    <w:rsid w:val="00A6416B"/>
    <w:rsid w:val="00A64209"/>
    <w:rsid w:val="00A65023"/>
    <w:rsid w:val="00A65EBC"/>
    <w:rsid w:val="00A66872"/>
    <w:rsid w:val="00A67543"/>
    <w:rsid w:val="00A67DA8"/>
    <w:rsid w:val="00A70BC9"/>
    <w:rsid w:val="00A7122E"/>
    <w:rsid w:val="00A7215B"/>
    <w:rsid w:val="00A729A2"/>
    <w:rsid w:val="00A729E9"/>
    <w:rsid w:val="00A72EAD"/>
    <w:rsid w:val="00A72ECC"/>
    <w:rsid w:val="00A72FED"/>
    <w:rsid w:val="00A73AA4"/>
    <w:rsid w:val="00A73C67"/>
    <w:rsid w:val="00A74225"/>
    <w:rsid w:val="00A74710"/>
    <w:rsid w:val="00A74E90"/>
    <w:rsid w:val="00A74FD7"/>
    <w:rsid w:val="00A75510"/>
    <w:rsid w:val="00A7593B"/>
    <w:rsid w:val="00A760E7"/>
    <w:rsid w:val="00A76103"/>
    <w:rsid w:val="00A766F4"/>
    <w:rsid w:val="00A77162"/>
    <w:rsid w:val="00A776F6"/>
    <w:rsid w:val="00A77A5A"/>
    <w:rsid w:val="00A808F0"/>
    <w:rsid w:val="00A8103F"/>
    <w:rsid w:val="00A81166"/>
    <w:rsid w:val="00A8166D"/>
    <w:rsid w:val="00A82B66"/>
    <w:rsid w:val="00A83EBA"/>
    <w:rsid w:val="00A842B4"/>
    <w:rsid w:val="00A843BD"/>
    <w:rsid w:val="00A84FF7"/>
    <w:rsid w:val="00A85064"/>
    <w:rsid w:val="00A85364"/>
    <w:rsid w:val="00A8541D"/>
    <w:rsid w:val="00A85B0A"/>
    <w:rsid w:val="00A86BDB"/>
    <w:rsid w:val="00A86CE1"/>
    <w:rsid w:val="00A87468"/>
    <w:rsid w:val="00A87B92"/>
    <w:rsid w:val="00A87BE1"/>
    <w:rsid w:val="00A9082C"/>
    <w:rsid w:val="00A90838"/>
    <w:rsid w:val="00A90D68"/>
    <w:rsid w:val="00A911A4"/>
    <w:rsid w:val="00A9222E"/>
    <w:rsid w:val="00A9282E"/>
    <w:rsid w:val="00A939DC"/>
    <w:rsid w:val="00A93A4B"/>
    <w:rsid w:val="00A93D67"/>
    <w:rsid w:val="00A94A2C"/>
    <w:rsid w:val="00A95567"/>
    <w:rsid w:val="00A95F43"/>
    <w:rsid w:val="00A9684A"/>
    <w:rsid w:val="00A96F7E"/>
    <w:rsid w:val="00A9731D"/>
    <w:rsid w:val="00A97C23"/>
    <w:rsid w:val="00A97FD2"/>
    <w:rsid w:val="00AA0097"/>
    <w:rsid w:val="00AA090D"/>
    <w:rsid w:val="00AA173A"/>
    <w:rsid w:val="00AA1937"/>
    <w:rsid w:val="00AA1A4F"/>
    <w:rsid w:val="00AA1C22"/>
    <w:rsid w:val="00AA1F67"/>
    <w:rsid w:val="00AA267F"/>
    <w:rsid w:val="00AA2C7E"/>
    <w:rsid w:val="00AA2CE3"/>
    <w:rsid w:val="00AA3353"/>
    <w:rsid w:val="00AA36F5"/>
    <w:rsid w:val="00AA3845"/>
    <w:rsid w:val="00AA4512"/>
    <w:rsid w:val="00AA4919"/>
    <w:rsid w:val="00AA5366"/>
    <w:rsid w:val="00AA541F"/>
    <w:rsid w:val="00AA59B0"/>
    <w:rsid w:val="00AA60DD"/>
    <w:rsid w:val="00AB037B"/>
    <w:rsid w:val="00AB05C2"/>
    <w:rsid w:val="00AB0EB2"/>
    <w:rsid w:val="00AB0F3A"/>
    <w:rsid w:val="00AB0F47"/>
    <w:rsid w:val="00AB0F9B"/>
    <w:rsid w:val="00AB10A2"/>
    <w:rsid w:val="00AB14A3"/>
    <w:rsid w:val="00AB18A3"/>
    <w:rsid w:val="00AB2A5E"/>
    <w:rsid w:val="00AB2B6D"/>
    <w:rsid w:val="00AB3807"/>
    <w:rsid w:val="00AB3C2D"/>
    <w:rsid w:val="00AB3F1B"/>
    <w:rsid w:val="00AB40EE"/>
    <w:rsid w:val="00AB4542"/>
    <w:rsid w:val="00AB4984"/>
    <w:rsid w:val="00AB4C03"/>
    <w:rsid w:val="00AB5125"/>
    <w:rsid w:val="00AB5525"/>
    <w:rsid w:val="00AB60BB"/>
    <w:rsid w:val="00AB638F"/>
    <w:rsid w:val="00AB64E3"/>
    <w:rsid w:val="00AB6657"/>
    <w:rsid w:val="00AB6A83"/>
    <w:rsid w:val="00AB6C28"/>
    <w:rsid w:val="00AC00A0"/>
    <w:rsid w:val="00AC153D"/>
    <w:rsid w:val="00AC1815"/>
    <w:rsid w:val="00AC1850"/>
    <w:rsid w:val="00AC1A29"/>
    <w:rsid w:val="00AC2365"/>
    <w:rsid w:val="00AC3B33"/>
    <w:rsid w:val="00AC3C32"/>
    <w:rsid w:val="00AC482D"/>
    <w:rsid w:val="00AC4B06"/>
    <w:rsid w:val="00AC4F6F"/>
    <w:rsid w:val="00AC50D3"/>
    <w:rsid w:val="00AC56C9"/>
    <w:rsid w:val="00AC5999"/>
    <w:rsid w:val="00AC5E72"/>
    <w:rsid w:val="00AC64FF"/>
    <w:rsid w:val="00AC7278"/>
    <w:rsid w:val="00AC7673"/>
    <w:rsid w:val="00AC7DF3"/>
    <w:rsid w:val="00AD09DA"/>
    <w:rsid w:val="00AD0C48"/>
    <w:rsid w:val="00AD0E4F"/>
    <w:rsid w:val="00AD1CB3"/>
    <w:rsid w:val="00AD21D3"/>
    <w:rsid w:val="00AD2983"/>
    <w:rsid w:val="00AD2CD1"/>
    <w:rsid w:val="00AD325C"/>
    <w:rsid w:val="00AD34B2"/>
    <w:rsid w:val="00AD4CEB"/>
    <w:rsid w:val="00AD50BE"/>
    <w:rsid w:val="00AD59D4"/>
    <w:rsid w:val="00AD62D1"/>
    <w:rsid w:val="00AD63BB"/>
    <w:rsid w:val="00AD73D4"/>
    <w:rsid w:val="00AD7BF0"/>
    <w:rsid w:val="00AE0981"/>
    <w:rsid w:val="00AE0F22"/>
    <w:rsid w:val="00AE120A"/>
    <w:rsid w:val="00AE14FB"/>
    <w:rsid w:val="00AE1A8A"/>
    <w:rsid w:val="00AE2497"/>
    <w:rsid w:val="00AE252F"/>
    <w:rsid w:val="00AE2B3D"/>
    <w:rsid w:val="00AE3593"/>
    <w:rsid w:val="00AE4105"/>
    <w:rsid w:val="00AE45B9"/>
    <w:rsid w:val="00AE51C7"/>
    <w:rsid w:val="00AE5470"/>
    <w:rsid w:val="00AE5475"/>
    <w:rsid w:val="00AE56EE"/>
    <w:rsid w:val="00AE5A63"/>
    <w:rsid w:val="00AE5D6F"/>
    <w:rsid w:val="00AE6D71"/>
    <w:rsid w:val="00AE7512"/>
    <w:rsid w:val="00AE7929"/>
    <w:rsid w:val="00AF0299"/>
    <w:rsid w:val="00AF0B43"/>
    <w:rsid w:val="00AF144C"/>
    <w:rsid w:val="00AF2B7F"/>
    <w:rsid w:val="00AF2BDF"/>
    <w:rsid w:val="00AF3736"/>
    <w:rsid w:val="00AF384C"/>
    <w:rsid w:val="00AF393B"/>
    <w:rsid w:val="00AF4504"/>
    <w:rsid w:val="00AF4674"/>
    <w:rsid w:val="00AF5B6B"/>
    <w:rsid w:val="00AF5B76"/>
    <w:rsid w:val="00AF724D"/>
    <w:rsid w:val="00AF72AA"/>
    <w:rsid w:val="00AF73EF"/>
    <w:rsid w:val="00AF775E"/>
    <w:rsid w:val="00AF7B67"/>
    <w:rsid w:val="00B00635"/>
    <w:rsid w:val="00B027C6"/>
    <w:rsid w:val="00B03802"/>
    <w:rsid w:val="00B04C47"/>
    <w:rsid w:val="00B050CB"/>
    <w:rsid w:val="00B06A3E"/>
    <w:rsid w:val="00B06E05"/>
    <w:rsid w:val="00B06FA2"/>
    <w:rsid w:val="00B07131"/>
    <w:rsid w:val="00B076A2"/>
    <w:rsid w:val="00B10140"/>
    <w:rsid w:val="00B10756"/>
    <w:rsid w:val="00B11B31"/>
    <w:rsid w:val="00B12180"/>
    <w:rsid w:val="00B1234C"/>
    <w:rsid w:val="00B132BD"/>
    <w:rsid w:val="00B154DC"/>
    <w:rsid w:val="00B16DEA"/>
    <w:rsid w:val="00B16EB4"/>
    <w:rsid w:val="00B17C24"/>
    <w:rsid w:val="00B202AF"/>
    <w:rsid w:val="00B203E1"/>
    <w:rsid w:val="00B205F0"/>
    <w:rsid w:val="00B21B65"/>
    <w:rsid w:val="00B22363"/>
    <w:rsid w:val="00B22C42"/>
    <w:rsid w:val="00B2329E"/>
    <w:rsid w:val="00B23600"/>
    <w:rsid w:val="00B23A23"/>
    <w:rsid w:val="00B23B60"/>
    <w:rsid w:val="00B23E3A"/>
    <w:rsid w:val="00B24948"/>
    <w:rsid w:val="00B2498B"/>
    <w:rsid w:val="00B24DDB"/>
    <w:rsid w:val="00B25287"/>
    <w:rsid w:val="00B25E81"/>
    <w:rsid w:val="00B26649"/>
    <w:rsid w:val="00B26925"/>
    <w:rsid w:val="00B26B7F"/>
    <w:rsid w:val="00B26C46"/>
    <w:rsid w:val="00B27A1C"/>
    <w:rsid w:val="00B304E2"/>
    <w:rsid w:val="00B309B4"/>
    <w:rsid w:val="00B31AA8"/>
    <w:rsid w:val="00B31CAA"/>
    <w:rsid w:val="00B3267F"/>
    <w:rsid w:val="00B32924"/>
    <w:rsid w:val="00B337B2"/>
    <w:rsid w:val="00B33DA1"/>
    <w:rsid w:val="00B34260"/>
    <w:rsid w:val="00B3459F"/>
    <w:rsid w:val="00B35C7F"/>
    <w:rsid w:val="00B35EFE"/>
    <w:rsid w:val="00B36227"/>
    <w:rsid w:val="00B3696E"/>
    <w:rsid w:val="00B372C9"/>
    <w:rsid w:val="00B40A37"/>
    <w:rsid w:val="00B4153F"/>
    <w:rsid w:val="00B42113"/>
    <w:rsid w:val="00B42131"/>
    <w:rsid w:val="00B42BB8"/>
    <w:rsid w:val="00B43244"/>
    <w:rsid w:val="00B438DB"/>
    <w:rsid w:val="00B4446E"/>
    <w:rsid w:val="00B444EF"/>
    <w:rsid w:val="00B446E8"/>
    <w:rsid w:val="00B44C23"/>
    <w:rsid w:val="00B44D72"/>
    <w:rsid w:val="00B44EC8"/>
    <w:rsid w:val="00B45500"/>
    <w:rsid w:val="00B45C9D"/>
    <w:rsid w:val="00B4669A"/>
    <w:rsid w:val="00B46C0B"/>
    <w:rsid w:val="00B47267"/>
    <w:rsid w:val="00B50CEE"/>
    <w:rsid w:val="00B515CA"/>
    <w:rsid w:val="00B515F1"/>
    <w:rsid w:val="00B518DF"/>
    <w:rsid w:val="00B51B35"/>
    <w:rsid w:val="00B5226E"/>
    <w:rsid w:val="00B525ED"/>
    <w:rsid w:val="00B53138"/>
    <w:rsid w:val="00B53B3A"/>
    <w:rsid w:val="00B53E20"/>
    <w:rsid w:val="00B54214"/>
    <w:rsid w:val="00B55076"/>
    <w:rsid w:val="00B551F1"/>
    <w:rsid w:val="00B55276"/>
    <w:rsid w:val="00B578E7"/>
    <w:rsid w:val="00B60087"/>
    <w:rsid w:val="00B60A98"/>
    <w:rsid w:val="00B60CE9"/>
    <w:rsid w:val="00B60EAA"/>
    <w:rsid w:val="00B60FB9"/>
    <w:rsid w:val="00B61874"/>
    <w:rsid w:val="00B63743"/>
    <w:rsid w:val="00B63B26"/>
    <w:rsid w:val="00B64AA3"/>
    <w:rsid w:val="00B64BE5"/>
    <w:rsid w:val="00B64D94"/>
    <w:rsid w:val="00B65B2A"/>
    <w:rsid w:val="00B66D19"/>
    <w:rsid w:val="00B6706B"/>
    <w:rsid w:val="00B67A3D"/>
    <w:rsid w:val="00B67D03"/>
    <w:rsid w:val="00B70138"/>
    <w:rsid w:val="00B709DD"/>
    <w:rsid w:val="00B715A5"/>
    <w:rsid w:val="00B7239B"/>
    <w:rsid w:val="00B72FDB"/>
    <w:rsid w:val="00B76754"/>
    <w:rsid w:val="00B776B2"/>
    <w:rsid w:val="00B77E2B"/>
    <w:rsid w:val="00B803E2"/>
    <w:rsid w:val="00B81314"/>
    <w:rsid w:val="00B8153D"/>
    <w:rsid w:val="00B81BE4"/>
    <w:rsid w:val="00B82CED"/>
    <w:rsid w:val="00B82EA6"/>
    <w:rsid w:val="00B8319D"/>
    <w:rsid w:val="00B83356"/>
    <w:rsid w:val="00B8339C"/>
    <w:rsid w:val="00B838B8"/>
    <w:rsid w:val="00B839B8"/>
    <w:rsid w:val="00B83ABA"/>
    <w:rsid w:val="00B83B34"/>
    <w:rsid w:val="00B83B7E"/>
    <w:rsid w:val="00B83E26"/>
    <w:rsid w:val="00B8412A"/>
    <w:rsid w:val="00B85388"/>
    <w:rsid w:val="00B85F90"/>
    <w:rsid w:val="00B86322"/>
    <w:rsid w:val="00B8760D"/>
    <w:rsid w:val="00B87AD9"/>
    <w:rsid w:val="00B91880"/>
    <w:rsid w:val="00B918B2"/>
    <w:rsid w:val="00B91FCE"/>
    <w:rsid w:val="00B9214C"/>
    <w:rsid w:val="00B9274B"/>
    <w:rsid w:val="00B929A3"/>
    <w:rsid w:val="00B938AF"/>
    <w:rsid w:val="00B940CB"/>
    <w:rsid w:val="00B9453B"/>
    <w:rsid w:val="00B9544C"/>
    <w:rsid w:val="00B95F19"/>
    <w:rsid w:val="00B96F2A"/>
    <w:rsid w:val="00B975A7"/>
    <w:rsid w:val="00B97FE1"/>
    <w:rsid w:val="00BA02A3"/>
    <w:rsid w:val="00BA0F23"/>
    <w:rsid w:val="00BA0FC9"/>
    <w:rsid w:val="00BA163C"/>
    <w:rsid w:val="00BA2133"/>
    <w:rsid w:val="00BA22A2"/>
    <w:rsid w:val="00BA22CE"/>
    <w:rsid w:val="00BA45F5"/>
    <w:rsid w:val="00BA4BE9"/>
    <w:rsid w:val="00BA5373"/>
    <w:rsid w:val="00BA55E6"/>
    <w:rsid w:val="00BA560A"/>
    <w:rsid w:val="00BA626F"/>
    <w:rsid w:val="00BA6E15"/>
    <w:rsid w:val="00BA6E9D"/>
    <w:rsid w:val="00BA6F7A"/>
    <w:rsid w:val="00BA703C"/>
    <w:rsid w:val="00BA77A6"/>
    <w:rsid w:val="00BA78E3"/>
    <w:rsid w:val="00BA796F"/>
    <w:rsid w:val="00BA7F09"/>
    <w:rsid w:val="00BB0036"/>
    <w:rsid w:val="00BB064D"/>
    <w:rsid w:val="00BB0B29"/>
    <w:rsid w:val="00BB18CE"/>
    <w:rsid w:val="00BB1D66"/>
    <w:rsid w:val="00BB254F"/>
    <w:rsid w:val="00BB2A88"/>
    <w:rsid w:val="00BB4ADE"/>
    <w:rsid w:val="00BB5271"/>
    <w:rsid w:val="00BB52C1"/>
    <w:rsid w:val="00BB52F9"/>
    <w:rsid w:val="00BB5EC7"/>
    <w:rsid w:val="00BB67BA"/>
    <w:rsid w:val="00BB7523"/>
    <w:rsid w:val="00BC1D6D"/>
    <w:rsid w:val="00BC2650"/>
    <w:rsid w:val="00BC274B"/>
    <w:rsid w:val="00BC4076"/>
    <w:rsid w:val="00BC4853"/>
    <w:rsid w:val="00BC4857"/>
    <w:rsid w:val="00BC4984"/>
    <w:rsid w:val="00BC612D"/>
    <w:rsid w:val="00BC62A4"/>
    <w:rsid w:val="00BC69AD"/>
    <w:rsid w:val="00BC69C2"/>
    <w:rsid w:val="00BC6BEE"/>
    <w:rsid w:val="00BC6E90"/>
    <w:rsid w:val="00BC70CF"/>
    <w:rsid w:val="00BC7100"/>
    <w:rsid w:val="00BC7419"/>
    <w:rsid w:val="00BD0683"/>
    <w:rsid w:val="00BD0BBB"/>
    <w:rsid w:val="00BD0F2E"/>
    <w:rsid w:val="00BD12B5"/>
    <w:rsid w:val="00BD2B81"/>
    <w:rsid w:val="00BD36C4"/>
    <w:rsid w:val="00BD414F"/>
    <w:rsid w:val="00BD4363"/>
    <w:rsid w:val="00BD54AA"/>
    <w:rsid w:val="00BD5B1D"/>
    <w:rsid w:val="00BD5D12"/>
    <w:rsid w:val="00BD607B"/>
    <w:rsid w:val="00BD61A1"/>
    <w:rsid w:val="00BD67D2"/>
    <w:rsid w:val="00BD7C96"/>
    <w:rsid w:val="00BE00CA"/>
    <w:rsid w:val="00BE04F8"/>
    <w:rsid w:val="00BE065A"/>
    <w:rsid w:val="00BE082C"/>
    <w:rsid w:val="00BE0FBD"/>
    <w:rsid w:val="00BE271F"/>
    <w:rsid w:val="00BE2B71"/>
    <w:rsid w:val="00BE3145"/>
    <w:rsid w:val="00BE3EBE"/>
    <w:rsid w:val="00BE410C"/>
    <w:rsid w:val="00BE49CC"/>
    <w:rsid w:val="00BE4AB9"/>
    <w:rsid w:val="00BE4DDB"/>
    <w:rsid w:val="00BE5797"/>
    <w:rsid w:val="00BE59C0"/>
    <w:rsid w:val="00BE59E1"/>
    <w:rsid w:val="00BE5A59"/>
    <w:rsid w:val="00BE5AD5"/>
    <w:rsid w:val="00BE5EA6"/>
    <w:rsid w:val="00BE6BA2"/>
    <w:rsid w:val="00BE6FCE"/>
    <w:rsid w:val="00BE7828"/>
    <w:rsid w:val="00BE7F71"/>
    <w:rsid w:val="00BF02E5"/>
    <w:rsid w:val="00BF038E"/>
    <w:rsid w:val="00BF08AE"/>
    <w:rsid w:val="00BF0950"/>
    <w:rsid w:val="00BF0A76"/>
    <w:rsid w:val="00BF13BD"/>
    <w:rsid w:val="00BF1E79"/>
    <w:rsid w:val="00BF1ED6"/>
    <w:rsid w:val="00BF2ED3"/>
    <w:rsid w:val="00BF3679"/>
    <w:rsid w:val="00BF377D"/>
    <w:rsid w:val="00BF3CE1"/>
    <w:rsid w:val="00BF4236"/>
    <w:rsid w:val="00BF4372"/>
    <w:rsid w:val="00BF480D"/>
    <w:rsid w:val="00BF4D04"/>
    <w:rsid w:val="00BF4F44"/>
    <w:rsid w:val="00BF54FE"/>
    <w:rsid w:val="00BF581A"/>
    <w:rsid w:val="00BF698B"/>
    <w:rsid w:val="00BF6C54"/>
    <w:rsid w:val="00BF75E7"/>
    <w:rsid w:val="00BF7833"/>
    <w:rsid w:val="00BF789E"/>
    <w:rsid w:val="00BF7BC4"/>
    <w:rsid w:val="00C00ACD"/>
    <w:rsid w:val="00C00B52"/>
    <w:rsid w:val="00C00B96"/>
    <w:rsid w:val="00C00E7F"/>
    <w:rsid w:val="00C02570"/>
    <w:rsid w:val="00C02AED"/>
    <w:rsid w:val="00C0391D"/>
    <w:rsid w:val="00C03BA3"/>
    <w:rsid w:val="00C03C81"/>
    <w:rsid w:val="00C045B5"/>
    <w:rsid w:val="00C04DBA"/>
    <w:rsid w:val="00C05F5D"/>
    <w:rsid w:val="00C06232"/>
    <w:rsid w:val="00C0627F"/>
    <w:rsid w:val="00C063E0"/>
    <w:rsid w:val="00C063EF"/>
    <w:rsid w:val="00C071C5"/>
    <w:rsid w:val="00C075D0"/>
    <w:rsid w:val="00C10AA9"/>
    <w:rsid w:val="00C1301C"/>
    <w:rsid w:val="00C13623"/>
    <w:rsid w:val="00C13C9C"/>
    <w:rsid w:val="00C15032"/>
    <w:rsid w:val="00C15337"/>
    <w:rsid w:val="00C16189"/>
    <w:rsid w:val="00C16C09"/>
    <w:rsid w:val="00C171D6"/>
    <w:rsid w:val="00C17941"/>
    <w:rsid w:val="00C17F48"/>
    <w:rsid w:val="00C17F55"/>
    <w:rsid w:val="00C201D0"/>
    <w:rsid w:val="00C209BC"/>
    <w:rsid w:val="00C20F52"/>
    <w:rsid w:val="00C2158D"/>
    <w:rsid w:val="00C2196F"/>
    <w:rsid w:val="00C21F0C"/>
    <w:rsid w:val="00C23DD4"/>
    <w:rsid w:val="00C24103"/>
    <w:rsid w:val="00C24AE7"/>
    <w:rsid w:val="00C24F15"/>
    <w:rsid w:val="00C2644B"/>
    <w:rsid w:val="00C264BE"/>
    <w:rsid w:val="00C26C0F"/>
    <w:rsid w:val="00C273D9"/>
    <w:rsid w:val="00C3043A"/>
    <w:rsid w:val="00C30D2C"/>
    <w:rsid w:val="00C313C0"/>
    <w:rsid w:val="00C32B2E"/>
    <w:rsid w:val="00C33050"/>
    <w:rsid w:val="00C33F68"/>
    <w:rsid w:val="00C3455F"/>
    <w:rsid w:val="00C34F15"/>
    <w:rsid w:val="00C3530F"/>
    <w:rsid w:val="00C35B56"/>
    <w:rsid w:val="00C36081"/>
    <w:rsid w:val="00C3618F"/>
    <w:rsid w:val="00C36354"/>
    <w:rsid w:val="00C369AC"/>
    <w:rsid w:val="00C40751"/>
    <w:rsid w:val="00C40ACA"/>
    <w:rsid w:val="00C40CF6"/>
    <w:rsid w:val="00C4136A"/>
    <w:rsid w:val="00C41E83"/>
    <w:rsid w:val="00C42595"/>
    <w:rsid w:val="00C42914"/>
    <w:rsid w:val="00C42BEA"/>
    <w:rsid w:val="00C43008"/>
    <w:rsid w:val="00C43674"/>
    <w:rsid w:val="00C44ECF"/>
    <w:rsid w:val="00C451B8"/>
    <w:rsid w:val="00C459C1"/>
    <w:rsid w:val="00C4798E"/>
    <w:rsid w:val="00C47A11"/>
    <w:rsid w:val="00C47B60"/>
    <w:rsid w:val="00C47FEA"/>
    <w:rsid w:val="00C50575"/>
    <w:rsid w:val="00C51149"/>
    <w:rsid w:val="00C513B1"/>
    <w:rsid w:val="00C517E6"/>
    <w:rsid w:val="00C51B43"/>
    <w:rsid w:val="00C51CB1"/>
    <w:rsid w:val="00C52162"/>
    <w:rsid w:val="00C53068"/>
    <w:rsid w:val="00C5313B"/>
    <w:rsid w:val="00C53A23"/>
    <w:rsid w:val="00C53B79"/>
    <w:rsid w:val="00C53E15"/>
    <w:rsid w:val="00C545B0"/>
    <w:rsid w:val="00C547B2"/>
    <w:rsid w:val="00C54A30"/>
    <w:rsid w:val="00C54FCF"/>
    <w:rsid w:val="00C55606"/>
    <w:rsid w:val="00C55F1A"/>
    <w:rsid w:val="00C562E8"/>
    <w:rsid w:val="00C5665C"/>
    <w:rsid w:val="00C56ACF"/>
    <w:rsid w:val="00C56DD8"/>
    <w:rsid w:val="00C570A6"/>
    <w:rsid w:val="00C6059E"/>
    <w:rsid w:val="00C6077E"/>
    <w:rsid w:val="00C60C3B"/>
    <w:rsid w:val="00C60EA1"/>
    <w:rsid w:val="00C61758"/>
    <w:rsid w:val="00C61960"/>
    <w:rsid w:val="00C622D8"/>
    <w:rsid w:val="00C6288A"/>
    <w:rsid w:val="00C62926"/>
    <w:rsid w:val="00C62E1C"/>
    <w:rsid w:val="00C62FFA"/>
    <w:rsid w:val="00C63972"/>
    <w:rsid w:val="00C64BFE"/>
    <w:rsid w:val="00C65D07"/>
    <w:rsid w:val="00C65FDC"/>
    <w:rsid w:val="00C67708"/>
    <w:rsid w:val="00C67EB4"/>
    <w:rsid w:val="00C7019F"/>
    <w:rsid w:val="00C704D4"/>
    <w:rsid w:val="00C70FC4"/>
    <w:rsid w:val="00C72DC8"/>
    <w:rsid w:val="00C742A6"/>
    <w:rsid w:val="00C75683"/>
    <w:rsid w:val="00C75805"/>
    <w:rsid w:val="00C75F22"/>
    <w:rsid w:val="00C765D7"/>
    <w:rsid w:val="00C76886"/>
    <w:rsid w:val="00C774C0"/>
    <w:rsid w:val="00C775E3"/>
    <w:rsid w:val="00C80C0A"/>
    <w:rsid w:val="00C816BD"/>
    <w:rsid w:val="00C819CD"/>
    <w:rsid w:val="00C81AFE"/>
    <w:rsid w:val="00C81C9C"/>
    <w:rsid w:val="00C8235E"/>
    <w:rsid w:val="00C823F0"/>
    <w:rsid w:val="00C8272D"/>
    <w:rsid w:val="00C82DA1"/>
    <w:rsid w:val="00C8309E"/>
    <w:rsid w:val="00C8348D"/>
    <w:rsid w:val="00C83BC0"/>
    <w:rsid w:val="00C83C9F"/>
    <w:rsid w:val="00C84F2F"/>
    <w:rsid w:val="00C86095"/>
    <w:rsid w:val="00C86470"/>
    <w:rsid w:val="00C86CEF"/>
    <w:rsid w:val="00C86D8B"/>
    <w:rsid w:val="00C90058"/>
    <w:rsid w:val="00C905C2"/>
    <w:rsid w:val="00C90C1A"/>
    <w:rsid w:val="00C90F00"/>
    <w:rsid w:val="00C91374"/>
    <w:rsid w:val="00C9164F"/>
    <w:rsid w:val="00C91D10"/>
    <w:rsid w:val="00C91F7C"/>
    <w:rsid w:val="00C92D85"/>
    <w:rsid w:val="00C930A4"/>
    <w:rsid w:val="00C93134"/>
    <w:rsid w:val="00C937E3"/>
    <w:rsid w:val="00C93B86"/>
    <w:rsid w:val="00C94C3C"/>
    <w:rsid w:val="00C955A4"/>
    <w:rsid w:val="00C95647"/>
    <w:rsid w:val="00C966FA"/>
    <w:rsid w:val="00C97226"/>
    <w:rsid w:val="00C97C02"/>
    <w:rsid w:val="00C97C7E"/>
    <w:rsid w:val="00C97C8A"/>
    <w:rsid w:val="00C97E4B"/>
    <w:rsid w:val="00CA0986"/>
    <w:rsid w:val="00CA0CEA"/>
    <w:rsid w:val="00CA1D70"/>
    <w:rsid w:val="00CA2880"/>
    <w:rsid w:val="00CA336A"/>
    <w:rsid w:val="00CA3599"/>
    <w:rsid w:val="00CA362B"/>
    <w:rsid w:val="00CA365C"/>
    <w:rsid w:val="00CA3A91"/>
    <w:rsid w:val="00CA4329"/>
    <w:rsid w:val="00CA5123"/>
    <w:rsid w:val="00CA560E"/>
    <w:rsid w:val="00CA60D7"/>
    <w:rsid w:val="00CA6384"/>
    <w:rsid w:val="00CA63A8"/>
    <w:rsid w:val="00CA74FD"/>
    <w:rsid w:val="00CA7A3F"/>
    <w:rsid w:val="00CB034B"/>
    <w:rsid w:val="00CB0535"/>
    <w:rsid w:val="00CB09E4"/>
    <w:rsid w:val="00CB0D13"/>
    <w:rsid w:val="00CB1ED3"/>
    <w:rsid w:val="00CB2861"/>
    <w:rsid w:val="00CB4D7B"/>
    <w:rsid w:val="00CB50AE"/>
    <w:rsid w:val="00CB63FC"/>
    <w:rsid w:val="00CB71D1"/>
    <w:rsid w:val="00CB746E"/>
    <w:rsid w:val="00CB76AF"/>
    <w:rsid w:val="00CB7E88"/>
    <w:rsid w:val="00CB7F94"/>
    <w:rsid w:val="00CC028D"/>
    <w:rsid w:val="00CC1957"/>
    <w:rsid w:val="00CC2759"/>
    <w:rsid w:val="00CC29A5"/>
    <w:rsid w:val="00CC2E22"/>
    <w:rsid w:val="00CC3300"/>
    <w:rsid w:val="00CC41D2"/>
    <w:rsid w:val="00CC4F74"/>
    <w:rsid w:val="00CC50A0"/>
    <w:rsid w:val="00CC576D"/>
    <w:rsid w:val="00CC6655"/>
    <w:rsid w:val="00CC67E7"/>
    <w:rsid w:val="00CC68A3"/>
    <w:rsid w:val="00CD01BD"/>
    <w:rsid w:val="00CD08CB"/>
    <w:rsid w:val="00CD160D"/>
    <w:rsid w:val="00CD18A3"/>
    <w:rsid w:val="00CD240F"/>
    <w:rsid w:val="00CD27F5"/>
    <w:rsid w:val="00CD3056"/>
    <w:rsid w:val="00CD31CA"/>
    <w:rsid w:val="00CD3706"/>
    <w:rsid w:val="00CD3952"/>
    <w:rsid w:val="00CD395C"/>
    <w:rsid w:val="00CD584A"/>
    <w:rsid w:val="00CD5875"/>
    <w:rsid w:val="00CD6E6B"/>
    <w:rsid w:val="00CE05E7"/>
    <w:rsid w:val="00CE09B9"/>
    <w:rsid w:val="00CE0CF3"/>
    <w:rsid w:val="00CE113D"/>
    <w:rsid w:val="00CE1391"/>
    <w:rsid w:val="00CE16CB"/>
    <w:rsid w:val="00CE1F2E"/>
    <w:rsid w:val="00CE2CFA"/>
    <w:rsid w:val="00CE3816"/>
    <w:rsid w:val="00CE39D8"/>
    <w:rsid w:val="00CE4CC1"/>
    <w:rsid w:val="00CE545C"/>
    <w:rsid w:val="00CE5A77"/>
    <w:rsid w:val="00CE622E"/>
    <w:rsid w:val="00CE62AD"/>
    <w:rsid w:val="00CE636F"/>
    <w:rsid w:val="00CE63F9"/>
    <w:rsid w:val="00CE6994"/>
    <w:rsid w:val="00CE6A97"/>
    <w:rsid w:val="00CE7955"/>
    <w:rsid w:val="00CF007B"/>
    <w:rsid w:val="00CF01EB"/>
    <w:rsid w:val="00CF0528"/>
    <w:rsid w:val="00CF0E8C"/>
    <w:rsid w:val="00CF0EEF"/>
    <w:rsid w:val="00CF107F"/>
    <w:rsid w:val="00CF111F"/>
    <w:rsid w:val="00CF16B1"/>
    <w:rsid w:val="00CF17F4"/>
    <w:rsid w:val="00CF2122"/>
    <w:rsid w:val="00CF226F"/>
    <w:rsid w:val="00CF251D"/>
    <w:rsid w:val="00CF253D"/>
    <w:rsid w:val="00CF255A"/>
    <w:rsid w:val="00CF3758"/>
    <w:rsid w:val="00CF3780"/>
    <w:rsid w:val="00CF3E55"/>
    <w:rsid w:val="00CF40E2"/>
    <w:rsid w:val="00CF50DF"/>
    <w:rsid w:val="00CF5424"/>
    <w:rsid w:val="00CF57A0"/>
    <w:rsid w:val="00CF607A"/>
    <w:rsid w:val="00CF70C1"/>
    <w:rsid w:val="00CF7EE1"/>
    <w:rsid w:val="00D000F5"/>
    <w:rsid w:val="00D012B0"/>
    <w:rsid w:val="00D01A18"/>
    <w:rsid w:val="00D029C9"/>
    <w:rsid w:val="00D02A7B"/>
    <w:rsid w:val="00D0324E"/>
    <w:rsid w:val="00D03ACA"/>
    <w:rsid w:val="00D03D44"/>
    <w:rsid w:val="00D052BB"/>
    <w:rsid w:val="00D054BE"/>
    <w:rsid w:val="00D05525"/>
    <w:rsid w:val="00D0583D"/>
    <w:rsid w:val="00D05BBF"/>
    <w:rsid w:val="00D06DAB"/>
    <w:rsid w:val="00D0729B"/>
    <w:rsid w:val="00D10D0B"/>
    <w:rsid w:val="00D113F5"/>
    <w:rsid w:val="00D12F2F"/>
    <w:rsid w:val="00D13322"/>
    <w:rsid w:val="00D13337"/>
    <w:rsid w:val="00D134F2"/>
    <w:rsid w:val="00D1383D"/>
    <w:rsid w:val="00D1429B"/>
    <w:rsid w:val="00D14BE8"/>
    <w:rsid w:val="00D158FB"/>
    <w:rsid w:val="00D15A4B"/>
    <w:rsid w:val="00D15C8C"/>
    <w:rsid w:val="00D16C92"/>
    <w:rsid w:val="00D16DCF"/>
    <w:rsid w:val="00D172B0"/>
    <w:rsid w:val="00D20200"/>
    <w:rsid w:val="00D20D4B"/>
    <w:rsid w:val="00D2195E"/>
    <w:rsid w:val="00D22133"/>
    <w:rsid w:val="00D2276D"/>
    <w:rsid w:val="00D2294D"/>
    <w:rsid w:val="00D2307B"/>
    <w:rsid w:val="00D23943"/>
    <w:rsid w:val="00D23DF3"/>
    <w:rsid w:val="00D24075"/>
    <w:rsid w:val="00D243AC"/>
    <w:rsid w:val="00D24C30"/>
    <w:rsid w:val="00D25E73"/>
    <w:rsid w:val="00D25F88"/>
    <w:rsid w:val="00D26474"/>
    <w:rsid w:val="00D26E92"/>
    <w:rsid w:val="00D27963"/>
    <w:rsid w:val="00D27D21"/>
    <w:rsid w:val="00D30FA3"/>
    <w:rsid w:val="00D312B0"/>
    <w:rsid w:val="00D31775"/>
    <w:rsid w:val="00D3280E"/>
    <w:rsid w:val="00D32CEB"/>
    <w:rsid w:val="00D337D5"/>
    <w:rsid w:val="00D33CB3"/>
    <w:rsid w:val="00D33D6F"/>
    <w:rsid w:val="00D3501D"/>
    <w:rsid w:val="00D35FB5"/>
    <w:rsid w:val="00D367D0"/>
    <w:rsid w:val="00D369F9"/>
    <w:rsid w:val="00D3739B"/>
    <w:rsid w:val="00D37B0B"/>
    <w:rsid w:val="00D4029B"/>
    <w:rsid w:val="00D40A40"/>
    <w:rsid w:val="00D40DAE"/>
    <w:rsid w:val="00D413E1"/>
    <w:rsid w:val="00D4184A"/>
    <w:rsid w:val="00D41C51"/>
    <w:rsid w:val="00D41E7E"/>
    <w:rsid w:val="00D41FE7"/>
    <w:rsid w:val="00D426DF"/>
    <w:rsid w:val="00D445CE"/>
    <w:rsid w:val="00D44BF7"/>
    <w:rsid w:val="00D452EB"/>
    <w:rsid w:val="00D457E9"/>
    <w:rsid w:val="00D45BF3"/>
    <w:rsid w:val="00D46A3A"/>
    <w:rsid w:val="00D46E07"/>
    <w:rsid w:val="00D47DCF"/>
    <w:rsid w:val="00D47EE6"/>
    <w:rsid w:val="00D508A4"/>
    <w:rsid w:val="00D514B2"/>
    <w:rsid w:val="00D51695"/>
    <w:rsid w:val="00D52E17"/>
    <w:rsid w:val="00D53D94"/>
    <w:rsid w:val="00D54207"/>
    <w:rsid w:val="00D54EB1"/>
    <w:rsid w:val="00D54EF2"/>
    <w:rsid w:val="00D55082"/>
    <w:rsid w:val="00D555D3"/>
    <w:rsid w:val="00D56B6F"/>
    <w:rsid w:val="00D57A95"/>
    <w:rsid w:val="00D61C5F"/>
    <w:rsid w:val="00D630DA"/>
    <w:rsid w:val="00D63FA4"/>
    <w:rsid w:val="00D64C83"/>
    <w:rsid w:val="00D64D35"/>
    <w:rsid w:val="00D65BEA"/>
    <w:rsid w:val="00D65C09"/>
    <w:rsid w:val="00D66AD7"/>
    <w:rsid w:val="00D66C60"/>
    <w:rsid w:val="00D67228"/>
    <w:rsid w:val="00D678DA"/>
    <w:rsid w:val="00D70196"/>
    <w:rsid w:val="00D72B50"/>
    <w:rsid w:val="00D732B1"/>
    <w:rsid w:val="00D736F6"/>
    <w:rsid w:val="00D736F7"/>
    <w:rsid w:val="00D747CE"/>
    <w:rsid w:val="00D756F8"/>
    <w:rsid w:val="00D75BB2"/>
    <w:rsid w:val="00D7642D"/>
    <w:rsid w:val="00D76605"/>
    <w:rsid w:val="00D80732"/>
    <w:rsid w:val="00D80843"/>
    <w:rsid w:val="00D80958"/>
    <w:rsid w:val="00D80D17"/>
    <w:rsid w:val="00D815D8"/>
    <w:rsid w:val="00D81844"/>
    <w:rsid w:val="00D82B70"/>
    <w:rsid w:val="00D83059"/>
    <w:rsid w:val="00D83DA4"/>
    <w:rsid w:val="00D83E5E"/>
    <w:rsid w:val="00D843C1"/>
    <w:rsid w:val="00D84477"/>
    <w:rsid w:val="00D85518"/>
    <w:rsid w:val="00D861F3"/>
    <w:rsid w:val="00D8636B"/>
    <w:rsid w:val="00D868D7"/>
    <w:rsid w:val="00D87628"/>
    <w:rsid w:val="00D87D41"/>
    <w:rsid w:val="00D87F56"/>
    <w:rsid w:val="00D87F8C"/>
    <w:rsid w:val="00D9078B"/>
    <w:rsid w:val="00D90FBF"/>
    <w:rsid w:val="00D915F9"/>
    <w:rsid w:val="00D91FD2"/>
    <w:rsid w:val="00D9232D"/>
    <w:rsid w:val="00D923C5"/>
    <w:rsid w:val="00D92930"/>
    <w:rsid w:val="00D92B52"/>
    <w:rsid w:val="00D933A0"/>
    <w:rsid w:val="00D9374E"/>
    <w:rsid w:val="00D93D9F"/>
    <w:rsid w:val="00D9417B"/>
    <w:rsid w:val="00D9514A"/>
    <w:rsid w:val="00D95475"/>
    <w:rsid w:val="00D95E98"/>
    <w:rsid w:val="00D97A88"/>
    <w:rsid w:val="00D97D4C"/>
    <w:rsid w:val="00D97E4B"/>
    <w:rsid w:val="00DA1C21"/>
    <w:rsid w:val="00DA3990"/>
    <w:rsid w:val="00DA3EB3"/>
    <w:rsid w:val="00DA401E"/>
    <w:rsid w:val="00DA4173"/>
    <w:rsid w:val="00DA471E"/>
    <w:rsid w:val="00DA4C9C"/>
    <w:rsid w:val="00DA5B7A"/>
    <w:rsid w:val="00DA6CC1"/>
    <w:rsid w:val="00DA6F8A"/>
    <w:rsid w:val="00DA6FB1"/>
    <w:rsid w:val="00DA743C"/>
    <w:rsid w:val="00DA7D52"/>
    <w:rsid w:val="00DB118D"/>
    <w:rsid w:val="00DB2C2F"/>
    <w:rsid w:val="00DB2E1F"/>
    <w:rsid w:val="00DB39E7"/>
    <w:rsid w:val="00DB3C8B"/>
    <w:rsid w:val="00DB3DED"/>
    <w:rsid w:val="00DB4339"/>
    <w:rsid w:val="00DB4403"/>
    <w:rsid w:val="00DB46F3"/>
    <w:rsid w:val="00DB4771"/>
    <w:rsid w:val="00DB5454"/>
    <w:rsid w:val="00DB5720"/>
    <w:rsid w:val="00DB6F0A"/>
    <w:rsid w:val="00DB71C8"/>
    <w:rsid w:val="00DB7BAA"/>
    <w:rsid w:val="00DB7E25"/>
    <w:rsid w:val="00DC1006"/>
    <w:rsid w:val="00DC21D5"/>
    <w:rsid w:val="00DC2537"/>
    <w:rsid w:val="00DC272A"/>
    <w:rsid w:val="00DC2E03"/>
    <w:rsid w:val="00DC2EFE"/>
    <w:rsid w:val="00DC3382"/>
    <w:rsid w:val="00DC3B55"/>
    <w:rsid w:val="00DC3EC4"/>
    <w:rsid w:val="00DC4DBA"/>
    <w:rsid w:val="00DC5010"/>
    <w:rsid w:val="00DC7432"/>
    <w:rsid w:val="00DC746B"/>
    <w:rsid w:val="00DD0AB1"/>
    <w:rsid w:val="00DD0AEC"/>
    <w:rsid w:val="00DD15C8"/>
    <w:rsid w:val="00DD4515"/>
    <w:rsid w:val="00DD567C"/>
    <w:rsid w:val="00DD579D"/>
    <w:rsid w:val="00DD5A18"/>
    <w:rsid w:val="00DD7AA5"/>
    <w:rsid w:val="00DE0067"/>
    <w:rsid w:val="00DE05FF"/>
    <w:rsid w:val="00DE063A"/>
    <w:rsid w:val="00DE06FF"/>
    <w:rsid w:val="00DE14FC"/>
    <w:rsid w:val="00DE15CE"/>
    <w:rsid w:val="00DE1C3D"/>
    <w:rsid w:val="00DE3C07"/>
    <w:rsid w:val="00DE4CC8"/>
    <w:rsid w:val="00DE659B"/>
    <w:rsid w:val="00DE7F35"/>
    <w:rsid w:val="00DF0B7A"/>
    <w:rsid w:val="00DF0E8E"/>
    <w:rsid w:val="00DF1434"/>
    <w:rsid w:val="00DF14CD"/>
    <w:rsid w:val="00DF2104"/>
    <w:rsid w:val="00DF26AE"/>
    <w:rsid w:val="00DF2DEB"/>
    <w:rsid w:val="00DF311F"/>
    <w:rsid w:val="00DF3466"/>
    <w:rsid w:val="00DF367C"/>
    <w:rsid w:val="00DF5766"/>
    <w:rsid w:val="00DF5D6B"/>
    <w:rsid w:val="00DF6228"/>
    <w:rsid w:val="00E00083"/>
    <w:rsid w:val="00E0131C"/>
    <w:rsid w:val="00E013FC"/>
    <w:rsid w:val="00E014F3"/>
    <w:rsid w:val="00E01C6E"/>
    <w:rsid w:val="00E0298E"/>
    <w:rsid w:val="00E03400"/>
    <w:rsid w:val="00E036A2"/>
    <w:rsid w:val="00E038AA"/>
    <w:rsid w:val="00E03F58"/>
    <w:rsid w:val="00E042DE"/>
    <w:rsid w:val="00E043FA"/>
    <w:rsid w:val="00E0473D"/>
    <w:rsid w:val="00E047D5"/>
    <w:rsid w:val="00E063B1"/>
    <w:rsid w:val="00E06516"/>
    <w:rsid w:val="00E067CE"/>
    <w:rsid w:val="00E06AAB"/>
    <w:rsid w:val="00E07706"/>
    <w:rsid w:val="00E07BC6"/>
    <w:rsid w:val="00E07E2D"/>
    <w:rsid w:val="00E10372"/>
    <w:rsid w:val="00E11F5D"/>
    <w:rsid w:val="00E1238A"/>
    <w:rsid w:val="00E12DBB"/>
    <w:rsid w:val="00E13A16"/>
    <w:rsid w:val="00E15826"/>
    <w:rsid w:val="00E165D6"/>
    <w:rsid w:val="00E16B76"/>
    <w:rsid w:val="00E170EA"/>
    <w:rsid w:val="00E171AC"/>
    <w:rsid w:val="00E17662"/>
    <w:rsid w:val="00E1783A"/>
    <w:rsid w:val="00E2027A"/>
    <w:rsid w:val="00E2066A"/>
    <w:rsid w:val="00E20C40"/>
    <w:rsid w:val="00E20FCA"/>
    <w:rsid w:val="00E210BF"/>
    <w:rsid w:val="00E212A6"/>
    <w:rsid w:val="00E212B3"/>
    <w:rsid w:val="00E225EB"/>
    <w:rsid w:val="00E22C07"/>
    <w:rsid w:val="00E23580"/>
    <w:rsid w:val="00E23C7B"/>
    <w:rsid w:val="00E242FE"/>
    <w:rsid w:val="00E24522"/>
    <w:rsid w:val="00E24B68"/>
    <w:rsid w:val="00E24E2A"/>
    <w:rsid w:val="00E2562C"/>
    <w:rsid w:val="00E257FB"/>
    <w:rsid w:val="00E2628D"/>
    <w:rsid w:val="00E2731D"/>
    <w:rsid w:val="00E27791"/>
    <w:rsid w:val="00E300CF"/>
    <w:rsid w:val="00E30AB5"/>
    <w:rsid w:val="00E30E36"/>
    <w:rsid w:val="00E31250"/>
    <w:rsid w:val="00E312AB"/>
    <w:rsid w:val="00E325AD"/>
    <w:rsid w:val="00E32849"/>
    <w:rsid w:val="00E33716"/>
    <w:rsid w:val="00E33BC7"/>
    <w:rsid w:val="00E33BFF"/>
    <w:rsid w:val="00E35454"/>
    <w:rsid w:val="00E35725"/>
    <w:rsid w:val="00E35C19"/>
    <w:rsid w:val="00E35C61"/>
    <w:rsid w:val="00E3782E"/>
    <w:rsid w:val="00E378EB"/>
    <w:rsid w:val="00E37F99"/>
    <w:rsid w:val="00E401F6"/>
    <w:rsid w:val="00E40445"/>
    <w:rsid w:val="00E410E7"/>
    <w:rsid w:val="00E41133"/>
    <w:rsid w:val="00E412F1"/>
    <w:rsid w:val="00E42005"/>
    <w:rsid w:val="00E426FB"/>
    <w:rsid w:val="00E42D53"/>
    <w:rsid w:val="00E432FD"/>
    <w:rsid w:val="00E43CDE"/>
    <w:rsid w:val="00E43D4F"/>
    <w:rsid w:val="00E44C0A"/>
    <w:rsid w:val="00E45267"/>
    <w:rsid w:val="00E45497"/>
    <w:rsid w:val="00E459E5"/>
    <w:rsid w:val="00E46544"/>
    <w:rsid w:val="00E473C9"/>
    <w:rsid w:val="00E47A49"/>
    <w:rsid w:val="00E52342"/>
    <w:rsid w:val="00E52BF1"/>
    <w:rsid w:val="00E54011"/>
    <w:rsid w:val="00E5480D"/>
    <w:rsid w:val="00E54DA3"/>
    <w:rsid w:val="00E54F99"/>
    <w:rsid w:val="00E54FB8"/>
    <w:rsid w:val="00E561BB"/>
    <w:rsid w:val="00E576D5"/>
    <w:rsid w:val="00E578AD"/>
    <w:rsid w:val="00E60A23"/>
    <w:rsid w:val="00E60CD0"/>
    <w:rsid w:val="00E60E7B"/>
    <w:rsid w:val="00E61625"/>
    <w:rsid w:val="00E6198F"/>
    <w:rsid w:val="00E62375"/>
    <w:rsid w:val="00E62639"/>
    <w:rsid w:val="00E62BDD"/>
    <w:rsid w:val="00E63A9B"/>
    <w:rsid w:val="00E645B5"/>
    <w:rsid w:val="00E64B5A"/>
    <w:rsid w:val="00E64BDC"/>
    <w:rsid w:val="00E65D30"/>
    <w:rsid w:val="00E6650C"/>
    <w:rsid w:val="00E66844"/>
    <w:rsid w:val="00E66B28"/>
    <w:rsid w:val="00E66EE9"/>
    <w:rsid w:val="00E67946"/>
    <w:rsid w:val="00E67C58"/>
    <w:rsid w:val="00E67E67"/>
    <w:rsid w:val="00E67F6E"/>
    <w:rsid w:val="00E67F8D"/>
    <w:rsid w:val="00E705BC"/>
    <w:rsid w:val="00E708CE"/>
    <w:rsid w:val="00E70B65"/>
    <w:rsid w:val="00E716F4"/>
    <w:rsid w:val="00E71A1F"/>
    <w:rsid w:val="00E71D82"/>
    <w:rsid w:val="00E724FD"/>
    <w:rsid w:val="00E72886"/>
    <w:rsid w:val="00E729C6"/>
    <w:rsid w:val="00E73F00"/>
    <w:rsid w:val="00E7459D"/>
    <w:rsid w:val="00E748DC"/>
    <w:rsid w:val="00E753DF"/>
    <w:rsid w:val="00E763E8"/>
    <w:rsid w:val="00E768E7"/>
    <w:rsid w:val="00E76DC6"/>
    <w:rsid w:val="00E77353"/>
    <w:rsid w:val="00E776A0"/>
    <w:rsid w:val="00E801A0"/>
    <w:rsid w:val="00E8052F"/>
    <w:rsid w:val="00E8120E"/>
    <w:rsid w:val="00E81324"/>
    <w:rsid w:val="00E8135A"/>
    <w:rsid w:val="00E81929"/>
    <w:rsid w:val="00E819A6"/>
    <w:rsid w:val="00E82980"/>
    <w:rsid w:val="00E82D8D"/>
    <w:rsid w:val="00E83808"/>
    <w:rsid w:val="00E8399A"/>
    <w:rsid w:val="00E84EF6"/>
    <w:rsid w:val="00E86766"/>
    <w:rsid w:val="00E86AB6"/>
    <w:rsid w:val="00E86C55"/>
    <w:rsid w:val="00E90AFB"/>
    <w:rsid w:val="00E91349"/>
    <w:rsid w:val="00E914B5"/>
    <w:rsid w:val="00E9301F"/>
    <w:rsid w:val="00E932D0"/>
    <w:rsid w:val="00E9371E"/>
    <w:rsid w:val="00E939E3"/>
    <w:rsid w:val="00E93B15"/>
    <w:rsid w:val="00E95C66"/>
    <w:rsid w:val="00E95E1F"/>
    <w:rsid w:val="00E9608B"/>
    <w:rsid w:val="00E96B92"/>
    <w:rsid w:val="00E96C39"/>
    <w:rsid w:val="00E97133"/>
    <w:rsid w:val="00E97A08"/>
    <w:rsid w:val="00E97B24"/>
    <w:rsid w:val="00E97B55"/>
    <w:rsid w:val="00E97C73"/>
    <w:rsid w:val="00EA1522"/>
    <w:rsid w:val="00EA19F2"/>
    <w:rsid w:val="00EA2633"/>
    <w:rsid w:val="00EA2D49"/>
    <w:rsid w:val="00EA398B"/>
    <w:rsid w:val="00EA5933"/>
    <w:rsid w:val="00EA5E12"/>
    <w:rsid w:val="00EA5F6D"/>
    <w:rsid w:val="00EA6096"/>
    <w:rsid w:val="00EA6B36"/>
    <w:rsid w:val="00EA7941"/>
    <w:rsid w:val="00EB0048"/>
    <w:rsid w:val="00EB01CC"/>
    <w:rsid w:val="00EB0C88"/>
    <w:rsid w:val="00EB0F7E"/>
    <w:rsid w:val="00EB1233"/>
    <w:rsid w:val="00EB1725"/>
    <w:rsid w:val="00EB18D4"/>
    <w:rsid w:val="00EB1A28"/>
    <w:rsid w:val="00EB1CBF"/>
    <w:rsid w:val="00EB1F6A"/>
    <w:rsid w:val="00EB22B6"/>
    <w:rsid w:val="00EB2FB2"/>
    <w:rsid w:val="00EB3642"/>
    <w:rsid w:val="00EB3BE4"/>
    <w:rsid w:val="00EB3CD9"/>
    <w:rsid w:val="00EB4A41"/>
    <w:rsid w:val="00EB5F8A"/>
    <w:rsid w:val="00EB64F8"/>
    <w:rsid w:val="00EB6606"/>
    <w:rsid w:val="00EB77CC"/>
    <w:rsid w:val="00EB79AF"/>
    <w:rsid w:val="00EB7BF3"/>
    <w:rsid w:val="00EB7C53"/>
    <w:rsid w:val="00EB7E18"/>
    <w:rsid w:val="00EB7EF4"/>
    <w:rsid w:val="00EC035C"/>
    <w:rsid w:val="00EC19E3"/>
    <w:rsid w:val="00EC20D2"/>
    <w:rsid w:val="00EC26F2"/>
    <w:rsid w:val="00EC288B"/>
    <w:rsid w:val="00EC2B4A"/>
    <w:rsid w:val="00EC30C8"/>
    <w:rsid w:val="00EC3751"/>
    <w:rsid w:val="00EC4173"/>
    <w:rsid w:val="00EC4A74"/>
    <w:rsid w:val="00EC5003"/>
    <w:rsid w:val="00EC5078"/>
    <w:rsid w:val="00EC50AE"/>
    <w:rsid w:val="00EC5198"/>
    <w:rsid w:val="00EC6695"/>
    <w:rsid w:val="00EC758B"/>
    <w:rsid w:val="00EC784C"/>
    <w:rsid w:val="00ED007A"/>
    <w:rsid w:val="00ED037E"/>
    <w:rsid w:val="00ED09F8"/>
    <w:rsid w:val="00ED0A75"/>
    <w:rsid w:val="00ED101D"/>
    <w:rsid w:val="00ED114C"/>
    <w:rsid w:val="00ED13F1"/>
    <w:rsid w:val="00ED2901"/>
    <w:rsid w:val="00ED2B6F"/>
    <w:rsid w:val="00ED30D8"/>
    <w:rsid w:val="00ED43EB"/>
    <w:rsid w:val="00ED52B1"/>
    <w:rsid w:val="00ED63C8"/>
    <w:rsid w:val="00ED6ED7"/>
    <w:rsid w:val="00ED7562"/>
    <w:rsid w:val="00ED76D2"/>
    <w:rsid w:val="00EE02CD"/>
    <w:rsid w:val="00EE04FC"/>
    <w:rsid w:val="00EE16F1"/>
    <w:rsid w:val="00EE1C96"/>
    <w:rsid w:val="00EE1D08"/>
    <w:rsid w:val="00EE2C75"/>
    <w:rsid w:val="00EE3327"/>
    <w:rsid w:val="00EE5C25"/>
    <w:rsid w:val="00EE75F6"/>
    <w:rsid w:val="00EE78C2"/>
    <w:rsid w:val="00EE79CE"/>
    <w:rsid w:val="00EE7B72"/>
    <w:rsid w:val="00EE7C2C"/>
    <w:rsid w:val="00EE7D36"/>
    <w:rsid w:val="00EF0438"/>
    <w:rsid w:val="00EF07F5"/>
    <w:rsid w:val="00EF0D5E"/>
    <w:rsid w:val="00EF1399"/>
    <w:rsid w:val="00EF1961"/>
    <w:rsid w:val="00EF3D5A"/>
    <w:rsid w:val="00EF46CC"/>
    <w:rsid w:val="00EF4955"/>
    <w:rsid w:val="00EF667D"/>
    <w:rsid w:val="00EF69E9"/>
    <w:rsid w:val="00EF7CC3"/>
    <w:rsid w:val="00F005C7"/>
    <w:rsid w:val="00F010BE"/>
    <w:rsid w:val="00F01153"/>
    <w:rsid w:val="00F01782"/>
    <w:rsid w:val="00F02377"/>
    <w:rsid w:val="00F031D7"/>
    <w:rsid w:val="00F034BE"/>
    <w:rsid w:val="00F0622C"/>
    <w:rsid w:val="00F06A93"/>
    <w:rsid w:val="00F06BF0"/>
    <w:rsid w:val="00F07765"/>
    <w:rsid w:val="00F10067"/>
    <w:rsid w:val="00F101F4"/>
    <w:rsid w:val="00F10643"/>
    <w:rsid w:val="00F10914"/>
    <w:rsid w:val="00F1159D"/>
    <w:rsid w:val="00F11680"/>
    <w:rsid w:val="00F11CFC"/>
    <w:rsid w:val="00F12DB6"/>
    <w:rsid w:val="00F12EFE"/>
    <w:rsid w:val="00F130B1"/>
    <w:rsid w:val="00F147E1"/>
    <w:rsid w:val="00F153B4"/>
    <w:rsid w:val="00F1583D"/>
    <w:rsid w:val="00F166A2"/>
    <w:rsid w:val="00F169A2"/>
    <w:rsid w:val="00F1760E"/>
    <w:rsid w:val="00F212DE"/>
    <w:rsid w:val="00F21E4A"/>
    <w:rsid w:val="00F2232E"/>
    <w:rsid w:val="00F2285B"/>
    <w:rsid w:val="00F2315D"/>
    <w:rsid w:val="00F2356C"/>
    <w:rsid w:val="00F23BBF"/>
    <w:rsid w:val="00F2415B"/>
    <w:rsid w:val="00F250F1"/>
    <w:rsid w:val="00F254E7"/>
    <w:rsid w:val="00F25FD1"/>
    <w:rsid w:val="00F2619F"/>
    <w:rsid w:val="00F261DB"/>
    <w:rsid w:val="00F2693C"/>
    <w:rsid w:val="00F2721E"/>
    <w:rsid w:val="00F272E8"/>
    <w:rsid w:val="00F31AA7"/>
    <w:rsid w:val="00F323BA"/>
    <w:rsid w:val="00F32A9F"/>
    <w:rsid w:val="00F32E91"/>
    <w:rsid w:val="00F32F8E"/>
    <w:rsid w:val="00F334B3"/>
    <w:rsid w:val="00F3396F"/>
    <w:rsid w:val="00F34180"/>
    <w:rsid w:val="00F3485A"/>
    <w:rsid w:val="00F35CFA"/>
    <w:rsid w:val="00F35DDE"/>
    <w:rsid w:val="00F37225"/>
    <w:rsid w:val="00F37507"/>
    <w:rsid w:val="00F375C1"/>
    <w:rsid w:val="00F377D2"/>
    <w:rsid w:val="00F40D35"/>
    <w:rsid w:val="00F40DF0"/>
    <w:rsid w:val="00F416DB"/>
    <w:rsid w:val="00F42624"/>
    <w:rsid w:val="00F4294B"/>
    <w:rsid w:val="00F42AC7"/>
    <w:rsid w:val="00F42D58"/>
    <w:rsid w:val="00F43A1D"/>
    <w:rsid w:val="00F43FDE"/>
    <w:rsid w:val="00F44464"/>
    <w:rsid w:val="00F44D7F"/>
    <w:rsid w:val="00F45366"/>
    <w:rsid w:val="00F45957"/>
    <w:rsid w:val="00F46254"/>
    <w:rsid w:val="00F463F2"/>
    <w:rsid w:val="00F46FE8"/>
    <w:rsid w:val="00F472AD"/>
    <w:rsid w:val="00F50CB8"/>
    <w:rsid w:val="00F51438"/>
    <w:rsid w:val="00F520F2"/>
    <w:rsid w:val="00F529AC"/>
    <w:rsid w:val="00F52E24"/>
    <w:rsid w:val="00F5349F"/>
    <w:rsid w:val="00F5491A"/>
    <w:rsid w:val="00F54E80"/>
    <w:rsid w:val="00F54FE5"/>
    <w:rsid w:val="00F55192"/>
    <w:rsid w:val="00F5548D"/>
    <w:rsid w:val="00F55B92"/>
    <w:rsid w:val="00F55F2B"/>
    <w:rsid w:val="00F5602F"/>
    <w:rsid w:val="00F5618F"/>
    <w:rsid w:val="00F56467"/>
    <w:rsid w:val="00F56617"/>
    <w:rsid w:val="00F567E9"/>
    <w:rsid w:val="00F573CE"/>
    <w:rsid w:val="00F57780"/>
    <w:rsid w:val="00F5795C"/>
    <w:rsid w:val="00F57DD5"/>
    <w:rsid w:val="00F600A7"/>
    <w:rsid w:val="00F60102"/>
    <w:rsid w:val="00F60737"/>
    <w:rsid w:val="00F61663"/>
    <w:rsid w:val="00F617CE"/>
    <w:rsid w:val="00F62482"/>
    <w:rsid w:val="00F62D9E"/>
    <w:rsid w:val="00F6324B"/>
    <w:rsid w:val="00F63CA9"/>
    <w:rsid w:val="00F65044"/>
    <w:rsid w:val="00F6537E"/>
    <w:rsid w:val="00F67028"/>
    <w:rsid w:val="00F670A3"/>
    <w:rsid w:val="00F724CB"/>
    <w:rsid w:val="00F74B38"/>
    <w:rsid w:val="00F75DD7"/>
    <w:rsid w:val="00F765B0"/>
    <w:rsid w:val="00F768AF"/>
    <w:rsid w:val="00F76B8D"/>
    <w:rsid w:val="00F76F9D"/>
    <w:rsid w:val="00F7716B"/>
    <w:rsid w:val="00F774D0"/>
    <w:rsid w:val="00F803A1"/>
    <w:rsid w:val="00F8059D"/>
    <w:rsid w:val="00F805D8"/>
    <w:rsid w:val="00F80EF0"/>
    <w:rsid w:val="00F81C9C"/>
    <w:rsid w:val="00F820B5"/>
    <w:rsid w:val="00F8306F"/>
    <w:rsid w:val="00F83D28"/>
    <w:rsid w:val="00F84312"/>
    <w:rsid w:val="00F849E9"/>
    <w:rsid w:val="00F84C0D"/>
    <w:rsid w:val="00F85236"/>
    <w:rsid w:val="00F86D2C"/>
    <w:rsid w:val="00F87804"/>
    <w:rsid w:val="00F87B87"/>
    <w:rsid w:val="00F9134C"/>
    <w:rsid w:val="00F91BBD"/>
    <w:rsid w:val="00F91EC5"/>
    <w:rsid w:val="00F9238D"/>
    <w:rsid w:val="00F92F6D"/>
    <w:rsid w:val="00F93243"/>
    <w:rsid w:val="00F932B7"/>
    <w:rsid w:val="00F93822"/>
    <w:rsid w:val="00F93A0D"/>
    <w:rsid w:val="00F947D5"/>
    <w:rsid w:val="00F94A49"/>
    <w:rsid w:val="00F95275"/>
    <w:rsid w:val="00F9670A"/>
    <w:rsid w:val="00F96D24"/>
    <w:rsid w:val="00F96D8C"/>
    <w:rsid w:val="00F96F7F"/>
    <w:rsid w:val="00F9780A"/>
    <w:rsid w:val="00F97B01"/>
    <w:rsid w:val="00F97F77"/>
    <w:rsid w:val="00FA0600"/>
    <w:rsid w:val="00FA0DA4"/>
    <w:rsid w:val="00FA0FC8"/>
    <w:rsid w:val="00FA1D2B"/>
    <w:rsid w:val="00FA2A35"/>
    <w:rsid w:val="00FA355E"/>
    <w:rsid w:val="00FA467C"/>
    <w:rsid w:val="00FA4C17"/>
    <w:rsid w:val="00FA5436"/>
    <w:rsid w:val="00FA54AB"/>
    <w:rsid w:val="00FA583E"/>
    <w:rsid w:val="00FA6818"/>
    <w:rsid w:val="00FA73E9"/>
    <w:rsid w:val="00FA77B6"/>
    <w:rsid w:val="00FB03C5"/>
    <w:rsid w:val="00FB06E5"/>
    <w:rsid w:val="00FB0BA3"/>
    <w:rsid w:val="00FB12E4"/>
    <w:rsid w:val="00FB26BE"/>
    <w:rsid w:val="00FB2FEF"/>
    <w:rsid w:val="00FB3088"/>
    <w:rsid w:val="00FB3F6E"/>
    <w:rsid w:val="00FB4447"/>
    <w:rsid w:val="00FB5493"/>
    <w:rsid w:val="00FB5DE9"/>
    <w:rsid w:val="00FB6133"/>
    <w:rsid w:val="00FB63A1"/>
    <w:rsid w:val="00FB68BA"/>
    <w:rsid w:val="00FB6F22"/>
    <w:rsid w:val="00FB78FB"/>
    <w:rsid w:val="00FB7B84"/>
    <w:rsid w:val="00FB7D8E"/>
    <w:rsid w:val="00FC04B5"/>
    <w:rsid w:val="00FC05B9"/>
    <w:rsid w:val="00FC08B8"/>
    <w:rsid w:val="00FC0F00"/>
    <w:rsid w:val="00FC0F41"/>
    <w:rsid w:val="00FC106D"/>
    <w:rsid w:val="00FC1CB0"/>
    <w:rsid w:val="00FC2F5B"/>
    <w:rsid w:val="00FC3B4A"/>
    <w:rsid w:val="00FC4273"/>
    <w:rsid w:val="00FC4889"/>
    <w:rsid w:val="00FC4F48"/>
    <w:rsid w:val="00FC5B5B"/>
    <w:rsid w:val="00FC66B5"/>
    <w:rsid w:val="00FC6842"/>
    <w:rsid w:val="00FC73B8"/>
    <w:rsid w:val="00FC7575"/>
    <w:rsid w:val="00FC7F1E"/>
    <w:rsid w:val="00FD0CE5"/>
    <w:rsid w:val="00FD0DEF"/>
    <w:rsid w:val="00FD0EC5"/>
    <w:rsid w:val="00FD270A"/>
    <w:rsid w:val="00FD37C1"/>
    <w:rsid w:val="00FD41CF"/>
    <w:rsid w:val="00FD472E"/>
    <w:rsid w:val="00FD4CE1"/>
    <w:rsid w:val="00FD5D35"/>
    <w:rsid w:val="00FD6183"/>
    <w:rsid w:val="00FE19EC"/>
    <w:rsid w:val="00FE1C43"/>
    <w:rsid w:val="00FE26F3"/>
    <w:rsid w:val="00FE2A42"/>
    <w:rsid w:val="00FE3D8C"/>
    <w:rsid w:val="00FE4054"/>
    <w:rsid w:val="00FE430E"/>
    <w:rsid w:val="00FE4642"/>
    <w:rsid w:val="00FE65BC"/>
    <w:rsid w:val="00FE6FDE"/>
    <w:rsid w:val="00FE7DC9"/>
    <w:rsid w:val="00FF0198"/>
    <w:rsid w:val="00FF0C52"/>
    <w:rsid w:val="00FF0DED"/>
    <w:rsid w:val="00FF1926"/>
    <w:rsid w:val="00FF2915"/>
    <w:rsid w:val="00FF330C"/>
    <w:rsid w:val="00FF5DBA"/>
    <w:rsid w:val="00FF6696"/>
    <w:rsid w:val="00FF7ADC"/>
    <w:rsid w:val="00FF7B2C"/>
    <w:rsid w:val="01230692"/>
    <w:rsid w:val="012C515B"/>
    <w:rsid w:val="015F33CC"/>
    <w:rsid w:val="016247FA"/>
    <w:rsid w:val="01745EE6"/>
    <w:rsid w:val="018326A3"/>
    <w:rsid w:val="019014C0"/>
    <w:rsid w:val="01A06A8F"/>
    <w:rsid w:val="01AA5217"/>
    <w:rsid w:val="01C6622B"/>
    <w:rsid w:val="01E07CD8"/>
    <w:rsid w:val="01EA671C"/>
    <w:rsid w:val="021673DB"/>
    <w:rsid w:val="022353B4"/>
    <w:rsid w:val="022A3557"/>
    <w:rsid w:val="022B0031"/>
    <w:rsid w:val="024A56F5"/>
    <w:rsid w:val="026E0F2B"/>
    <w:rsid w:val="02727D92"/>
    <w:rsid w:val="027A2F04"/>
    <w:rsid w:val="02845B9C"/>
    <w:rsid w:val="02B1196D"/>
    <w:rsid w:val="02DD55DA"/>
    <w:rsid w:val="030516AD"/>
    <w:rsid w:val="031733E4"/>
    <w:rsid w:val="032A676A"/>
    <w:rsid w:val="032D7D27"/>
    <w:rsid w:val="03415224"/>
    <w:rsid w:val="03652B20"/>
    <w:rsid w:val="03E32C2B"/>
    <w:rsid w:val="03E45FEA"/>
    <w:rsid w:val="03F375BC"/>
    <w:rsid w:val="044C3505"/>
    <w:rsid w:val="04551879"/>
    <w:rsid w:val="04704D33"/>
    <w:rsid w:val="047713FB"/>
    <w:rsid w:val="04874344"/>
    <w:rsid w:val="04C65B16"/>
    <w:rsid w:val="04D769A7"/>
    <w:rsid w:val="05184748"/>
    <w:rsid w:val="053A77BB"/>
    <w:rsid w:val="054D608F"/>
    <w:rsid w:val="055B55D2"/>
    <w:rsid w:val="05DD7507"/>
    <w:rsid w:val="05EF638E"/>
    <w:rsid w:val="05F45A09"/>
    <w:rsid w:val="05FE680E"/>
    <w:rsid w:val="060824FF"/>
    <w:rsid w:val="061A26BE"/>
    <w:rsid w:val="063F11B9"/>
    <w:rsid w:val="065C167B"/>
    <w:rsid w:val="06B12657"/>
    <w:rsid w:val="06B55198"/>
    <w:rsid w:val="06F32700"/>
    <w:rsid w:val="070C0927"/>
    <w:rsid w:val="070C0CAE"/>
    <w:rsid w:val="072C420B"/>
    <w:rsid w:val="075E75DE"/>
    <w:rsid w:val="07725961"/>
    <w:rsid w:val="07B81938"/>
    <w:rsid w:val="07E04069"/>
    <w:rsid w:val="08101121"/>
    <w:rsid w:val="083945D9"/>
    <w:rsid w:val="08A14F57"/>
    <w:rsid w:val="08EE742E"/>
    <w:rsid w:val="09275B42"/>
    <w:rsid w:val="09547520"/>
    <w:rsid w:val="09697C1D"/>
    <w:rsid w:val="09BA7BCA"/>
    <w:rsid w:val="09CA6EA6"/>
    <w:rsid w:val="0A1B7A08"/>
    <w:rsid w:val="0A2B7D2A"/>
    <w:rsid w:val="0A57260B"/>
    <w:rsid w:val="0A9B6453"/>
    <w:rsid w:val="0AC12EB5"/>
    <w:rsid w:val="0ACC1410"/>
    <w:rsid w:val="0B083D6B"/>
    <w:rsid w:val="0B141F1A"/>
    <w:rsid w:val="0B5F4097"/>
    <w:rsid w:val="0B6573F2"/>
    <w:rsid w:val="0B8D1293"/>
    <w:rsid w:val="0BB958B8"/>
    <w:rsid w:val="0BC663BC"/>
    <w:rsid w:val="0BD537C3"/>
    <w:rsid w:val="0BD92474"/>
    <w:rsid w:val="0C1F7B9B"/>
    <w:rsid w:val="0C2854D7"/>
    <w:rsid w:val="0C4067A4"/>
    <w:rsid w:val="0C600AAB"/>
    <w:rsid w:val="0C650670"/>
    <w:rsid w:val="0CDB6F07"/>
    <w:rsid w:val="0D533D7F"/>
    <w:rsid w:val="0D5A60C0"/>
    <w:rsid w:val="0D7F3D36"/>
    <w:rsid w:val="0D882C8D"/>
    <w:rsid w:val="0DCA115E"/>
    <w:rsid w:val="0E115C8A"/>
    <w:rsid w:val="0E8D07A9"/>
    <w:rsid w:val="0E95610D"/>
    <w:rsid w:val="0EA30700"/>
    <w:rsid w:val="0EB31142"/>
    <w:rsid w:val="0EC51CF1"/>
    <w:rsid w:val="0EDA3644"/>
    <w:rsid w:val="0F095504"/>
    <w:rsid w:val="0F16254C"/>
    <w:rsid w:val="0F17622C"/>
    <w:rsid w:val="0F3B2473"/>
    <w:rsid w:val="0F996683"/>
    <w:rsid w:val="0FA71D21"/>
    <w:rsid w:val="0FBA74F6"/>
    <w:rsid w:val="0FC3085C"/>
    <w:rsid w:val="0FE20946"/>
    <w:rsid w:val="0FEF4B78"/>
    <w:rsid w:val="10037C95"/>
    <w:rsid w:val="10111F7C"/>
    <w:rsid w:val="1023263D"/>
    <w:rsid w:val="104F1744"/>
    <w:rsid w:val="106016F3"/>
    <w:rsid w:val="10861BA8"/>
    <w:rsid w:val="1094132B"/>
    <w:rsid w:val="10972147"/>
    <w:rsid w:val="10A52D12"/>
    <w:rsid w:val="10A56E7C"/>
    <w:rsid w:val="10D23A80"/>
    <w:rsid w:val="10F22B45"/>
    <w:rsid w:val="11203590"/>
    <w:rsid w:val="112D6151"/>
    <w:rsid w:val="11402F73"/>
    <w:rsid w:val="11454713"/>
    <w:rsid w:val="114F5A4E"/>
    <w:rsid w:val="11612A9E"/>
    <w:rsid w:val="119A3B84"/>
    <w:rsid w:val="121435F4"/>
    <w:rsid w:val="123D2B5C"/>
    <w:rsid w:val="12671F77"/>
    <w:rsid w:val="127A0FCA"/>
    <w:rsid w:val="127E4ECB"/>
    <w:rsid w:val="12BD152A"/>
    <w:rsid w:val="12D322B2"/>
    <w:rsid w:val="12EF1953"/>
    <w:rsid w:val="12F67447"/>
    <w:rsid w:val="12FF663A"/>
    <w:rsid w:val="13177D05"/>
    <w:rsid w:val="131A0221"/>
    <w:rsid w:val="1335429C"/>
    <w:rsid w:val="13540009"/>
    <w:rsid w:val="136B5D14"/>
    <w:rsid w:val="141D2C0B"/>
    <w:rsid w:val="148A6751"/>
    <w:rsid w:val="14957781"/>
    <w:rsid w:val="149B2A75"/>
    <w:rsid w:val="14A845BA"/>
    <w:rsid w:val="14F21366"/>
    <w:rsid w:val="1537354A"/>
    <w:rsid w:val="1593631A"/>
    <w:rsid w:val="15992D7D"/>
    <w:rsid w:val="159E35DB"/>
    <w:rsid w:val="15EA64E1"/>
    <w:rsid w:val="160D318D"/>
    <w:rsid w:val="16103820"/>
    <w:rsid w:val="161B6B1A"/>
    <w:rsid w:val="16263110"/>
    <w:rsid w:val="164276B5"/>
    <w:rsid w:val="16B0333C"/>
    <w:rsid w:val="16B761A1"/>
    <w:rsid w:val="16CA243A"/>
    <w:rsid w:val="1711684A"/>
    <w:rsid w:val="173516EA"/>
    <w:rsid w:val="173D7D0F"/>
    <w:rsid w:val="17814E1C"/>
    <w:rsid w:val="17965F21"/>
    <w:rsid w:val="17AB20C2"/>
    <w:rsid w:val="17D404BB"/>
    <w:rsid w:val="17D9163C"/>
    <w:rsid w:val="17EC4251"/>
    <w:rsid w:val="17F10953"/>
    <w:rsid w:val="17F13463"/>
    <w:rsid w:val="180B537B"/>
    <w:rsid w:val="18187335"/>
    <w:rsid w:val="187E553C"/>
    <w:rsid w:val="18C23440"/>
    <w:rsid w:val="18E427C8"/>
    <w:rsid w:val="18E436BB"/>
    <w:rsid w:val="18E52B69"/>
    <w:rsid w:val="192223EF"/>
    <w:rsid w:val="19366A5E"/>
    <w:rsid w:val="19523A78"/>
    <w:rsid w:val="195D6994"/>
    <w:rsid w:val="196F2052"/>
    <w:rsid w:val="197449B0"/>
    <w:rsid w:val="19AD7CE7"/>
    <w:rsid w:val="19AE7F28"/>
    <w:rsid w:val="19AF3CC9"/>
    <w:rsid w:val="19B6113F"/>
    <w:rsid w:val="19CA0989"/>
    <w:rsid w:val="19F40797"/>
    <w:rsid w:val="1A213ABD"/>
    <w:rsid w:val="1A467949"/>
    <w:rsid w:val="1A617FFD"/>
    <w:rsid w:val="1AF71523"/>
    <w:rsid w:val="1B1A4A1C"/>
    <w:rsid w:val="1B38030C"/>
    <w:rsid w:val="1B3C1C8E"/>
    <w:rsid w:val="1B674AC7"/>
    <w:rsid w:val="1B695F6C"/>
    <w:rsid w:val="1B746B39"/>
    <w:rsid w:val="1B80541E"/>
    <w:rsid w:val="1BC05A10"/>
    <w:rsid w:val="1BC50187"/>
    <w:rsid w:val="1BCA7842"/>
    <w:rsid w:val="1BF56DB3"/>
    <w:rsid w:val="1C42696B"/>
    <w:rsid w:val="1C427144"/>
    <w:rsid w:val="1C4409AC"/>
    <w:rsid w:val="1C530BD0"/>
    <w:rsid w:val="1C5C2227"/>
    <w:rsid w:val="1C8A5B7B"/>
    <w:rsid w:val="1C8F133C"/>
    <w:rsid w:val="1CA92C52"/>
    <w:rsid w:val="1CC90CBC"/>
    <w:rsid w:val="1D094F9C"/>
    <w:rsid w:val="1D0E23E7"/>
    <w:rsid w:val="1D491EF1"/>
    <w:rsid w:val="1D8C2345"/>
    <w:rsid w:val="1D8D7A52"/>
    <w:rsid w:val="1DAE65F0"/>
    <w:rsid w:val="1DED1874"/>
    <w:rsid w:val="1DEF5D9F"/>
    <w:rsid w:val="1E111767"/>
    <w:rsid w:val="1E117A37"/>
    <w:rsid w:val="1E6257AE"/>
    <w:rsid w:val="1E720322"/>
    <w:rsid w:val="1E8B4AEE"/>
    <w:rsid w:val="1EB142DF"/>
    <w:rsid w:val="1EE1005A"/>
    <w:rsid w:val="1F035E51"/>
    <w:rsid w:val="1F3F3006"/>
    <w:rsid w:val="1F656BFD"/>
    <w:rsid w:val="1F984E09"/>
    <w:rsid w:val="1F9E565E"/>
    <w:rsid w:val="1FA2333B"/>
    <w:rsid w:val="1FB843E7"/>
    <w:rsid w:val="1FE55012"/>
    <w:rsid w:val="1FE81CE3"/>
    <w:rsid w:val="2023550C"/>
    <w:rsid w:val="20377AA9"/>
    <w:rsid w:val="203B4DB3"/>
    <w:rsid w:val="208E77B9"/>
    <w:rsid w:val="20EE3329"/>
    <w:rsid w:val="20F64BEA"/>
    <w:rsid w:val="20F75FD5"/>
    <w:rsid w:val="20FB6AEC"/>
    <w:rsid w:val="2105481C"/>
    <w:rsid w:val="210B5C89"/>
    <w:rsid w:val="210E4642"/>
    <w:rsid w:val="213011D5"/>
    <w:rsid w:val="216D3D2D"/>
    <w:rsid w:val="21A13955"/>
    <w:rsid w:val="21B45DF5"/>
    <w:rsid w:val="21E15853"/>
    <w:rsid w:val="22211C9D"/>
    <w:rsid w:val="224332AE"/>
    <w:rsid w:val="22581B32"/>
    <w:rsid w:val="22605689"/>
    <w:rsid w:val="227D76CE"/>
    <w:rsid w:val="228377FC"/>
    <w:rsid w:val="22AD589A"/>
    <w:rsid w:val="22FB72D8"/>
    <w:rsid w:val="23245B22"/>
    <w:rsid w:val="23272B22"/>
    <w:rsid w:val="23314333"/>
    <w:rsid w:val="23360FD0"/>
    <w:rsid w:val="236718CA"/>
    <w:rsid w:val="23881B4C"/>
    <w:rsid w:val="23C2673F"/>
    <w:rsid w:val="23CC6C6C"/>
    <w:rsid w:val="23FA00FA"/>
    <w:rsid w:val="24105B34"/>
    <w:rsid w:val="24777F0B"/>
    <w:rsid w:val="24975E97"/>
    <w:rsid w:val="249D12EE"/>
    <w:rsid w:val="24D17B32"/>
    <w:rsid w:val="24F2466B"/>
    <w:rsid w:val="24FD13D3"/>
    <w:rsid w:val="250E7B37"/>
    <w:rsid w:val="253C2765"/>
    <w:rsid w:val="256652B4"/>
    <w:rsid w:val="256D377B"/>
    <w:rsid w:val="256F5ACC"/>
    <w:rsid w:val="2581184D"/>
    <w:rsid w:val="25965F7C"/>
    <w:rsid w:val="25A517EF"/>
    <w:rsid w:val="25AE084C"/>
    <w:rsid w:val="26713644"/>
    <w:rsid w:val="2674362D"/>
    <w:rsid w:val="267E514F"/>
    <w:rsid w:val="268F20C6"/>
    <w:rsid w:val="26AB7C7E"/>
    <w:rsid w:val="26AC77C1"/>
    <w:rsid w:val="26C72B6F"/>
    <w:rsid w:val="26DA605D"/>
    <w:rsid w:val="26EC6985"/>
    <w:rsid w:val="2723183D"/>
    <w:rsid w:val="272370CD"/>
    <w:rsid w:val="272F563B"/>
    <w:rsid w:val="273A63A3"/>
    <w:rsid w:val="27411BC8"/>
    <w:rsid w:val="2749444C"/>
    <w:rsid w:val="28197154"/>
    <w:rsid w:val="28214BB3"/>
    <w:rsid w:val="28321D4D"/>
    <w:rsid w:val="28AC5FA3"/>
    <w:rsid w:val="28B2037A"/>
    <w:rsid w:val="28B65382"/>
    <w:rsid w:val="28B97B41"/>
    <w:rsid w:val="28BB2CC8"/>
    <w:rsid w:val="28DE02D2"/>
    <w:rsid w:val="28F84B93"/>
    <w:rsid w:val="29077D29"/>
    <w:rsid w:val="29165004"/>
    <w:rsid w:val="2918419C"/>
    <w:rsid w:val="294616FD"/>
    <w:rsid w:val="29AB330F"/>
    <w:rsid w:val="29AC5FBF"/>
    <w:rsid w:val="29F8157A"/>
    <w:rsid w:val="2A1E335D"/>
    <w:rsid w:val="2A524FDF"/>
    <w:rsid w:val="2A753158"/>
    <w:rsid w:val="2A965B0A"/>
    <w:rsid w:val="2AAC37FB"/>
    <w:rsid w:val="2ADB2BD5"/>
    <w:rsid w:val="2B212549"/>
    <w:rsid w:val="2BA519D8"/>
    <w:rsid w:val="2BCA5DFF"/>
    <w:rsid w:val="2BCB7C94"/>
    <w:rsid w:val="2BCE0689"/>
    <w:rsid w:val="2C250B14"/>
    <w:rsid w:val="2C3B5405"/>
    <w:rsid w:val="2C4B2FA5"/>
    <w:rsid w:val="2C4C55F8"/>
    <w:rsid w:val="2C59031C"/>
    <w:rsid w:val="2C5907E9"/>
    <w:rsid w:val="2C650E64"/>
    <w:rsid w:val="2C6579B8"/>
    <w:rsid w:val="2CD56F5D"/>
    <w:rsid w:val="2CD72733"/>
    <w:rsid w:val="2CE47E6F"/>
    <w:rsid w:val="2CF00EAC"/>
    <w:rsid w:val="2D400379"/>
    <w:rsid w:val="2DAC19F5"/>
    <w:rsid w:val="2DBB4485"/>
    <w:rsid w:val="2DE03CE6"/>
    <w:rsid w:val="2E0470F3"/>
    <w:rsid w:val="2E0D253C"/>
    <w:rsid w:val="2E486DD2"/>
    <w:rsid w:val="2E4C4378"/>
    <w:rsid w:val="2E57306B"/>
    <w:rsid w:val="2E9A4AF0"/>
    <w:rsid w:val="2EF52DE8"/>
    <w:rsid w:val="2F1B7500"/>
    <w:rsid w:val="2F4C544D"/>
    <w:rsid w:val="2F7067E6"/>
    <w:rsid w:val="2F757199"/>
    <w:rsid w:val="2F885A73"/>
    <w:rsid w:val="2F8922A1"/>
    <w:rsid w:val="2F9C3511"/>
    <w:rsid w:val="2FDF791C"/>
    <w:rsid w:val="2FE34720"/>
    <w:rsid w:val="2FE9521D"/>
    <w:rsid w:val="2FEA60CD"/>
    <w:rsid w:val="302D0419"/>
    <w:rsid w:val="30341FA2"/>
    <w:rsid w:val="303E25B2"/>
    <w:rsid w:val="307E7C38"/>
    <w:rsid w:val="30F1651D"/>
    <w:rsid w:val="3106378E"/>
    <w:rsid w:val="312E2219"/>
    <w:rsid w:val="31EF1640"/>
    <w:rsid w:val="321C5403"/>
    <w:rsid w:val="321F5EE6"/>
    <w:rsid w:val="32E22E40"/>
    <w:rsid w:val="33280090"/>
    <w:rsid w:val="33307F8D"/>
    <w:rsid w:val="333C43C8"/>
    <w:rsid w:val="334249CD"/>
    <w:rsid w:val="33523FD2"/>
    <w:rsid w:val="3381102E"/>
    <w:rsid w:val="33982369"/>
    <w:rsid w:val="33A201DA"/>
    <w:rsid w:val="33A32A64"/>
    <w:rsid w:val="33B64C0D"/>
    <w:rsid w:val="33D1015A"/>
    <w:rsid w:val="33D25DFC"/>
    <w:rsid w:val="33E022C5"/>
    <w:rsid w:val="33E32220"/>
    <w:rsid w:val="33E41B9C"/>
    <w:rsid w:val="342B3CB6"/>
    <w:rsid w:val="346B5F4A"/>
    <w:rsid w:val="346D28AC"/>
    <w:rsid w:val="34986757"/>
    <w:rsid w:val="34C834CB"/>
    <w:rsid w:val="34DF211F"/>
    <w:rsid w:val="34FF56AD"/>
    <w:rsid w:val="35154E98"/>
    <w:rsid w:val="35186016"/>
    <w:rsid w:val="35245E9E"/>
    <w:rsid w:val="353B77E2"/>
    <w:rsid w:val="35613352"/>
    <w:rsid w:val="35763E94"/>
    <w:rsid w:val="358D5119"/>
    <w:rsid w:val="358E350E"/>
    <w:rsid w:val="35B01E4A"/>
    <w:rsid w:val="35F1149A"/>
    <w:rsid w:val="361E2AC3"/>
    <w:rsid w:val="36496066"/>
    <w:rsid w:val="368C58E1"/>
    <w:rsid w:val="369D517D"/>
    <w:rsid w:val="36C2714B"/>
    <w:rsid w:val="36EA2872"/>
    <w:rsid w:val="37021DBA"/>
    <w:rsid w:val="372A4537"/>
    <w:rsid w:val="37905BEB"/>
    <w:rsid w:val="37B55A13"/>
    <w:rsid w:val="37D44F73"/>
    <w:rsid w:val="38556DEE"/>
    <w:rsid w:val="388E70B3"/>
    <w:rsid w:val="38CF612C"/>
    <w:rsid w:val="38E5008F"/>
    <w:rsid w:val="39D92970"/>
    <w:rsid w:val="3A277620"/>
    <w:rsid w:val="3A2D21AE"/>
    <w:rsid w:val="3A41153E"/>
    <w:rsid w:val="3A476958"/>
    <w:rsid w:val="3A5E004A"/>
    <w:rsid w:val="3A6409FF"/>
    <w:rsid w:val="3A9D283C"/>
    <w:rsid w:val="3AA24F6A"/>
    <w:rsid w:val="3AEA6C56"/>
    <w:rsid w:val="3AED0349"/>
    <w:rsid w:val="3B027B15"/>
    <w:rsid w:val="3B097DA7"/>
    <w:rsid w:val="3B146EA0"/>
    <w:rsid w:val="3B1A6358"/>
    <w:rsid w:val="3B1C7208"/>
    <w:rsid w:val="3B26064F"/>
    <w:rsid w:val="3BB47D76"/>
    <w:rsid w:val="3BC8316F"/>
    <w:rsid w:val="3BCA3D2B"/>
    <w:rsid w:val="3BDD3D31"/>
    <w:rsid w:val="3C0C24D0"/>
    <w:rsid w:val="3C0E2DE1"/>
    <w:rsid w:val="3C2329DE"/>
    <w:rsid w:val="3C387C13"/>
    <w:rsid w:val="3C3C148C"/>
    <w:rsid w:val="3C566D4D"/>
    <w:rsid w:val="3CCE60A1"/>
    <w:rsid w:val="3CF51FB8"/>
    <w:rsid w:val="3D1F45F0"/>
    <w:rsid w:val="3D254AE0"/>
    <w:rsid w:val="3D271561"/>
    <w:rsid w:val="3D676C4F"/>
    <w:rsid w:val="3D6D42D8"/>
    <w:rsid w:val="3D6F0EF6"/>
    <w:rsid w:val="3D82706F"/>
    <w:rsid w:val="3D9764AF"/>
    <w:rsid w:val="3DBC072A"/>
    <w:rsid w:val="3DCD5673"/>
    <w:rsid w:val="3DD86B5F"/>
    <w:rsid w:val="3DDC6D05"/>
    <w:rsid w:val="3DEB3817"/>
    <w:rsid w:val="3E01510C"/>
    <w:rsid w:val="3E6E6B8D"/>
    <w:rsid w:val="3ECD1262"/>
    <w:rsid w:val="3F05741A"/>
    <w:rsid w:val="3F216D3E"/>
    <w:rsid w:val="3F397A0D"/>
    <w:rsid w:val="3F69603F"/>
    <w:rsid w:val="3FB535F7"/>
    <w:rsid w:val="3FBF2718"/>
    <w:rsid w:val="3FD95300"/>
    <w:rsid w:val="3FE8458F"/>
    <w:rsid w:val="3FE93DFA"/>
    <w:rsid w:val="402D5CEE"/>
    <w:rsid w:val="403C2513"/>
    <w:rsid w:val="40437411"/>
    <w:rsid w:val="406A7E41"/>
    <w:rsid w:val="407767B1"/>
    <w:rsid w:val="407F56D8"/>
    <w:rsid w:val="40DC1DD0"/>
    <w:rsid w:val="40EB305C"/>
    <w:rsid w:val="40FA2DBD"/>
    <w:rsid w:val="40FA6902"/>
    <w:rsid w:val="412B5154"/>
    <w:rsid w:val="4137798B"/>
    <w:rsid w:val="413C07FF"/>
    <w:rsid w:val="414423C4"/>
    <w:rsid w:val="416845DA"/>
    <w:rsid w:val="41755597"/>
    <w:rsid w:val="41794841"/>
    <w:rsid w:val="418878EA"/>
    <w:rsid w:val="418C30D5"/>
    <w:rsid w:val="41A30C6B"/>
    <w:rsid w:val="41BF5814"/>
    <w:rsid w:val="42247208"/>
    <w:rsid w:val="425B616B"/>
    <w:rsid w:val="42815EC9"/>
    <w:rsid w:val="42A950BB"/>
    <w:rsid w:val="42B34FB0"/>
    <w:rsid w:val="42F47F65"/>
    <w:rsid w:val="430E62A6"/>
    <w:rsid w:val="43255A95"/>
    <w:rsid w:val="43256988"/>
    <w:rsid w:val="433444B4"/>
    <w:rsid w:val="433E181F"/>
    <w:rsid w:val="434F194C"/>
    <w:rsid w:val="437D5F38"/>
    <w:rsid w:val="43851473"/>
    <w:rsid w:val="43900BE6"/>
    <w:rsid w:val="43E91D25"/>
    <w:rsid w:val="43F63A9A"/>
    <w:rsid w:val="440D168C"/>
    <w:rsid w:val="441A5719"/>
    <w:rsid w:val="44440DC3"/>
    <w:rsid w:val="44454911"/>
    <w:rsid w:val="444570D7"/>
    <w:rsid w:val="44687A88"/>
    <w:rsid w:val="44693328"/>
    <w:rsid w:val="449F6AD2"/>
    <w:rsid w:val="44B741BA"/>
    <w:rsid w:val="450C6F50"/>
    <w:rsid w:val="451106FD"/>
    <w:rsid w:val="454F554E"/>
    <w:rsid w:val="45616555"/>
    <w:rsid w:val="45801D20"/>
    <w:rsid w:val="45966907"/>
    <w:rsid w:val="459906E4"/>
    <w:rsid w:val="45A76D4B"/>
    <w:rsid w:val="45AE2F45"/>
    <w:rsid w:val="45BA501A"/>
    <w:rsid w:val="45CB251C"/>
    <w:rsid w:val="45F22775"/>
    <w:rsid w:val="46010907"/>
    <w:rsid w:val="462D281F"/>
    <w:rsid w:val="46386346"/>
    <w:rsid w:val="464D29C5"/>
    <w:rsid w:val="466E4440"/>
    <w:rsid w:val="4682042B"/>
    <w:rsid w:val="46857774"/>
    <w:rsid w:val="46BD2CD2"/>
    <w:rsid w:val="46C45A77"/>
    <w:rsid w:val="46CC5899"/>
    <w:rsid w:val="46D149CF"/>
    <w:rsid w:val="46E20A9A"/>
    <w:rsid w:val="46FD130F"/>
    <w:rsid w:val="473258A5"/>
    <w:rsid w:val="47993A99"/>
    <w:rsid w:val="47A130F5"/>
    <w:rsid w:val="47A42777"/>
    <w:rsid w:val="47AA6410"/>
    <w:rsid w:val="47E8192D"/>
    <w:rsid w:val="47F05DD2"/>
    <w:rsid w:val="47FA1031"/>
    <w:rsid w:val="481C5609"/>
    <w:rsid w:val="481E0C0D"/>
    <w:rsid w:val="48382758"/>
    <w:rsid w:val="48403B96"/>
    <w:rsid w:val="485754EA"/>
    <w:rsid w:val="487C3FC9"/>
    <w:rsid w:val="487F367A"/>
    <w:rsid w:val="48BB4C17"/>
    <w:rsid w:val="48DD7E3B"/>
    <w:rsid w:val="490307B5"/>
    <w:rsid w:val="49270A0E"/>
    <w:rsid w:val="492C319F"/>
    <w:rsid w:val="4950491D"/>
    <w:rsid w:val="496F4763"/>
    <w:rsid w:val="49963007"/>
    <w:rsid w:val="49B10DCB"/>
    <w:rsid w:val="49F112D9"/>
    <w:rsid w:val="4ABD2EEB"/>
    <w:rsid w:val="4AC27530"/>
    <w:rsid w:val="4ADC327B"/>
    <w:rsid w:val="4AE43E3C"/>
    <w:rsid w:val="4B1A6945"/>
    <w:rsid w:val="4B2D7D1E"/>
    <w:rsid w:val="4B323E0F"/>
    <w:rsid w:val="4B64236F"/>
    <w:rsid w:val="4B977869"/>
    <w:rsid w:val="4BA86EA2"/>
    <w:rsid w:val="4BA97B00"/>
    <w:rsid w:val="4BB369F5"/>
    <w:rsid w:val="4BC87E09"/>
    <w:rsid w:val="4BED7415"/>
    <w:rsid w:val="4BF40E3E"/>
    <w:rsid w:val="4C084CA1"/>
    <w:rsid w:val="4C28492A"/>
    <w:rsid w:val="4C56200A"/>
    <w:rsid w:val="4C572BCB"/>
    <w:rsid w:val="4C8D360A"/>
    <w:rsid w:val="4CA14229"/>
    <w:rsid w:val="4CC35913"/>
    <w:rsid w:val="4CD16286"/>
    <w:rsid w:val="4CEA78A8"/>
    <w:rsid w:val="4D04633E"/>
    <w:rsid w:val="4D0C3224"/>
    <w:rsid w:val="4D2219B9"/>
    <w:rsid w:val="4D221CD7"/>
    <w:rsid w:val="4D6C41D0"/>
    <w:rsid w:val="4D6F32C7"/>
    <w:rsid w:val="4D8656DA"/>
    <w:rsid w:val="4D9A01DA"/>
    <w:rsid w:val="4DA40E96"/>
    <w:rsid w:val="4DAF0F0C"/>
    <w:rsid w:val="4DDC7AE7"/>
    <w:rsid w:val="4DE4323A"/>
    <w:rsid w:val="4DED05FC"/>
    <w:rsid w:val="4DF36CCF"/>
    <w:rsid w:val="4E0F02B7"/>
    <w:rsid w:val="4E1A38B1"/>
    <w:rsid w:val="4E300C55"/>
    <w:rsid w:val="4E3852C6"/>
    <w:rsid w:val="4E4478F5"/>
    <w:rsid w:val="4E72484B"/>
    <w:rsid w:val="4E7D41AC"/>
    <w:rsid w:val="4EA3285D"/>
    <w:rsid w:val="4EBC7A0C"/>
    <w:rsid w:val="4EE03A01"/>
    <w:rsid w:val="4EE42C59"/>
    <w:rsid w:val="4EF223F7"/>
    <w:rsid w:val="4F236AC7"/>
    <w:rsid w:val="4F2D6FE8"/>
    <w:rsid w:val="4F5370C0"/>
    <w:rsid w:val="4F5438DD"/>
    <w:rsid w:val="4F581010"/>
    <w:rsid w:val="4F5B3392"/>
    <w:rsid w:val="4F726AC9"/>
    <w:rsid w:val="4FA03191"/>
    <w:rsid w:val="4FDD1914"/>
    <w:rsid w:val="50045AC3"/>
    <w:rsid w:val="50244C57"/>
    <w:rsid w:val="50245C76"/>
    <w:rsid w:val="50AB3096"/>
    <w:rsid w:val="50AD2C9D"/>
    <w:rsid w:val="50DB3A7B"/>
    <w:rsid w:val="50F02B8B"/>
    <w:rsid w:val="51347986"/>
    <w:rsid w:val="517717CD"/>
    <w:rsid w:val="52030F03"/>
    <w:rsid w:val="52091678"/>
    <w:rsid w:val="5212572E"/>
    <w:rsid w:val="521469DC"/>
    <w:rsid w:val="522C74B0"/>
    <w:rsid w:val="527B7A70"/>
    <w:rsid w:val="528662F8"/>
    <w:rsid w:val="52E67AB2"/>
    <w:rsid w:val="52FA6F7C"/>
    <w:rsid w:val="53130BF7"/>
    <w:rsid w:val="531B1423"/>
    <w:rsid w:val="53202F66"/>
    <w:rsid w:val="5322600D"/>
    <w:rsid w:val="53394028"/>
    <w:rsid w:val="533E1D0F"/>
    <w:rsid w:val="534479FE"/>
    <w:rsid w:val="5363180D"/>
    <w:rsid w:val="537137C2"/>
    <w:rsid w:val="537B1F4B"/>
    <w:rsid w:val="53AC65A8"/>
    <w:rsid w:val="53B136F9"/>
    <w:rsid w:val="53B35F17"/>
    <w:rsid w:val="540D783D"/>
    <w:rsid w:val="541B65F4"/>
    <w:rsid w:val="543A748D"/>
    <w:rsid w:val="54796FFD"/>
    <w:rsid w:val="549D73AB"/>
    <w:rsid w:val="54A02E19"/>
    <w:rsid w:val="54A414C7"/>
    <w:rsid w:val="54A746AA"/>
    <w:rsid w:val="54BC0A6D"/>
    <w:rsid w:val="54D0545F"/>
    <w:rsid w:val="54E83AEB"/>
    <w:rsid w:val="55135D8A"/>
    <w:rsid w:val="5552691D"/>
    <w:rsid w:val="55566A4B"/>
    <w:rsid w:val="555A7C6A"/>
    <w:rsid w:val="55833339"/>
    <w:rsid w:val="55A44BCF"/>
    <w:rsid w:val="55A60A43"/>
    <w:rsid w:val="55CD33DF"/>
    <w:rsid w:val="55E23B6E"/>
    <w:rsid w:val="55E8379E"/>
    <w:rsid w:val="55FC278C"/>
    <w:rsid w:val="56011DF0"/>
    <w:rsid w:val="56180A5E"/>
    <w:rsid w:val="56197F4D"/>
    <w:rsid w:val="566E5F0D"/>
    <w:rsid w:val="56B0015D"/>
    <w:rsid w:val="56E6151A"/>
    <w:rsid w:val="575F25C1"/>
    <w:rsid w:val="576D19D8"/>
    <w:rsid w:val="57970859"/>
    <w:rsid w:val="579F3D83"/>
    <w:rsid w:val="57A03881"/>
    <w:rsid w:val="57B66DF8"/>
    <w:rsid w:val="57E2605D"/>
    <w:rsid w:val="57E46504"/>
    <w:rsid w:val="57FD1792"/>
    <w:rsid w:val="583B339B"/>
    <w:rsid w:val="58415193"/>
    <w:rsid w:val="58481CE4"/>
    <w:rsid w:val="5898636D"/>
    <w:rsid w:val="58B73B3C"/>
    <w:rsid w:val="58BA34DE"/>
    <w:rsid w:val="58BC5859"/>
    <w:rsid w:val="58C953BB"/>
    <w:rsid w:val="58D17C96"/>
    <w:rsid w:val="591D3954"/>
    <w:rsid w:val="5926651D"/>
    <w:rsid w:val="593D497F"/>
    <w:rsid w:val="59830BF8"/>
    <w:rsid w:val="59D5057A"/>
    <w:rsid w:val="5A024091"/>
    <w:rsid w:val="5A4B3D7D"/>
    <w:rsid w:val="5A897643"/>
    <w:rsid w:val="5A8A6DE2"/>
    <w:rsid w:val="5A8E6A07"/>
    <w:rsid w:val="5ACB7C5C"/>
    <w:rsid w:val="5AFC5479"/>
    <w:rsid w:val="5B353327"/>
    <w:rsid w:val="5B3A4EE7"/>
    <w:rsid w:val="5B3C12B8"/>
    <w:rsid w:val="5B40336D"/>
    <w:rsid w:val="5B436457"/>
    <w:rsid w:val="5B4E4486"/>
    <w:rsid w:val="5B5F2152"/>
    <w:rsid w:val="5B8C5D73"/>
    <w:rsid w:val="5B9F1E05"/>
    <w:rsid w:val="5BEE65FC"/>
    <w:rsid w:val="5BFA36D3"/>
    <w:rsid w:val="5BFD58A1"/>
    <w:rsid w:val="5C0351D3"/>
    <w:rsid w:val="5C084732"/>
    <w:rsid w:val="5C125816"/>
    <w:rsid w:val="5C13465C"/>
    <w:rsid w:val="5C2115FE"/>
    <w:rsid w:val="5C474329"/>
    <w:rsid w:val="5C566B5C"/>
    <w:rsid w:val="5CB36BF9"/>
    <w:rsid w:val="5CCD7D10"/>
    <w:rsid w:val="5CE00C23"/>
    <w:rsid w:val="5CE16196"/>
    <w:rsid w:val="5D720F98"/>
    <w:rsid w:val="5DBC673A"/>
    <w:rsid w:val="5DCE0AA9"/>
    <w:rsid w:val="5DD07523"/>
    <w:rsid w:val="5DDA0FE2"/>
    <w:rsid w:val="5DE227D8"/>
    <w:rsid w:val="5DE73D28"/>
    <w:rsid w:val="5DFE0455"/>
    <w:rsid w:val="5E527C50"/>
    <w:rsid w:val="5E550B8D"/>
    <w:rsid w:val="5E8C14B0"/>
    <w:rsid w:val="5EC703E6"/>
    <w:rsid w:val="5ECB0068"/>
    <w:rsid w:val="5EDB4F20"/>
    <w:rsid w:val="5EE44E48"/>
    <w:rsid w:val="5F0C558A"/>
    <w:rsid w:val="5F284E40"/>
    <w:rsid w:val="5F5641FA"/>
    <w:rsid w:val="5F6426C7"/>
    <w:rsid w:val="5F754BEE"/>
    <w:rsid w:val="5F767C43"/>
    <w:rsid w:val="5F89287F"/>
    <w:rsid w:val="5F8A7C0D"/>
    <w:rsid w:val="5FBE3315"/>
    <w:rsid w:val="602148BA"/>
    <w:rsid w:val="6043627C"/>
    <w:rsid w:val="606317CC"/>
    <w:rsid w:val="607625F6"/>
    <w:rsid w:val="60A832D2"/>
    <w:rsid w:val="60EA14E8"/>
    <w:rsid w:val="61145E0F"/>
    <w:rsid w:val="611709C0"/>
    <w:rsid w:val="61242B7D"/>
    <w:rsid w:val="61586AE7"/>
    <w:rsid w:val="61624FEF"/>
    <w:rsid w:val="61997B21"/>
    <w:rsid w:val="61BB2F63"/>
    <w:rsid w:val="61D01A99"/>
    <w:rsid w:val="61E25761"/>
    <w:rsid w:val="62030D09"/>
    <w:rsid w:val="622D4EEC"/>
    <w:rsid w:val="623D546B"/>
    <w:rsid w:val="626271F8"/>
    <w:rsid w:val="62746729"/>
    <w:rsid w:val="629275AC"/>
    <w:rsid w:val="62B46A9A"/>
    <w:rsid w:val="62B603BE"/>
    <w:rsid w:val="62B836E7"/>
    <w:rsid w:val="62CD3163"/>
    <w:rsid w:val="62F53AC8"/>
    <w:rsid w:val="62F55F13"/>
    <w:rsid w:val="636E3A96"/>
    <w:rsid w:val="63951267"/>
    <w:rsid w:val="63BE1A11"/>
    <w:rsid w:val="63FF7ADB"/>
    <w:rsid w:val="64224B50"/>
    <w:rsid w:val="642E62DB"/>
    <w:rsid w:val="642E73B7"/>
    <w:rsid w:val="642E7C43"/>
    <w:rsid w:val="646F4906"/>
    <w:rsid w:val="648B7B8F"/>
    <w:rsid w:val="64EF1EE4"/>
    <w:rsid w:val="64F8164D"/>
    <w:rsid w:val="654A3F98"/>
    <w:rsid w:val="655167DB"/>
    <w:rsid w:val="655820EC"/>
    <w:rsid w:val="65611DD3"/>
    <w:rsid w:val="658F1C8B"/>
    <w:rsid w:val="65922382"/>
    <w:rsid w:val="659A53D5"/>
    <w:rsid w:val="65C60DEB"/>
    <w:rsid w:val="661C031E"/>
    <w:rsid w:val="662841B4"/>
    <w:rsid w:val="663300E7"/>
    <w:rsid w:val="665D1497"/>
    <w:rsid w:val="6667127F"/>
    <w:rsid w:val="66C877B0"/>
    <w:rsid w:val="66EC609B"/>
    <w:rsid w:val="67054BC5"/>
    <w:rsid w:val="67072FFE"/>
    <w:rsid w:val="671477D7"/>
    <w:rsid w:val="67163FCC"/>
    <w:rsid w:val="672958C3"/>
    <w:rsid w:val="674928AC"/>
    <w:rsid w:val="675240C2"/>
    <w:rsid w:val="67645240"/>
    <w:rsid w:val="67DF2416"/>
    <w:rsid w:val="67F61CED"/>
    <w:rsid w:val="682777AA"/>
    <w:rsid w:val="68294213"/>
    <w:rsid w:val="682B3158"/>
    <w:rsid w:val="683449CB"/>
    <w:rsid w:val="6887014C"/>
    <w:rsid w:val="688A62C1"/>
    <w:rsid w:val="68A7765D"/>
    <w:rsid w:val="68B61ACB"/>
    <w:rsid w:val="68D61FD5"/>
    <w:rsid w:val="690136CB"/>
    <w:rsid w:val="690F3D82"/>
    <w:rsid w:val="694834FE"/>
    <w:rsid w:val="695745BC"/>
    <w:rsid w:val="696B0E3F"/>
    <w:rsid w:val="69A84119"/>
    <w:rsid w:val="69AA3560"/>
    <w:rsid w:val="69AB4CF2"/>
    <w:rsid w:val="69AE3FA6"/>
    <w:rsid w:val="69B72FBF"/>
    <w:rsid w:val="69C94CCC"/>
    <w:rsid w:val="69D96939"/>
    <w:rsid w:val="69F53BBD"/>
    <w:rsid w:val="69F86402"/>
    <w:rsid w:val="6A060264"/>
    <w:rsid w:val="6A476AE4"/>
    <w:rsid w:val="6A517BC2"/>
    <w:rsid w:val="6A640B3B"/>
    <w:rsid w:val="6A65224D"/>
    <w:rsid w:val="6AD03CA4"/>
    <w:rsid w:val="6AD172CA"/>
    <w:rsid w:val="6AD22940"/>
    <w:rsid w:val="6AED6BFB"/>
    <w:rsid w:val="6B015F03"/>
    <w:rsid w:val="6B730D8D"/>
    <w:rsid w:val="6B7A5E67"/>
    <w:rsid w:val="6B7F036E"/>
    <w:rsid w:val="6BC45011"/>
    <w:rsid w:val="6C3F19FF"/>
    <w:rsid w:val="6C4F0A89"/>
    <w:rsid w:val="6C57134F"/>
    <w:rsid w:val="6C663340"/>
    <w:rsid w:val="6C9735EF"/>
    <w:rsid w:val="6C9B33DD"/>
    <w:rsid w:val="6CBF65FB"/>
    <w:rsid w:val="6CC1445E"/>
    <w:rsid w:val="6CFB6AE7"/>
    <w:rsid w:val="6D3C62EF"/>
    <w:rsid w:val="6D3E020C"/>
    <w:rsid w:val="6D5B7C22"/>
    <w:rsid w:val="6D6D47E3"/>
    <w:rsid w:val="6D7C6C89"/>
    <w:rsid w:val="6D7F34AE"/>
    <w:rsid w:val="6D8536B7"/>
    <w:rsid w:val="6D96073B"/>
    <w:rsid w:val="6D9F6F97"/>
    <w:rsid w:val="6DA57781"/>
    <w:rsid w:val="6DD803C3"/>
    <w:rsid w:val="6DDD49E0"/>
    <w:rsid w:val="6E0A70F2"/>
    <w:rsid w:val="6E2A03E1"/>
    <w:rsid w:val="6E3217E2"/>
    <w:rsid w:val="6E46523A"/>
    <w:rsid w:val="6E4E02CB"/>
    <w:rsid w:val="6E806B2F"/>
    <w:rsid w:val="6E946524"/>
    <w:rsid w:val="6EA64761"/>
    <w:rsid w:val="6EAA6406"/>
    <w:rsid w:val="6EC801D0"/>
    <w:rsid w:val="6ECF3895"/>
    <w:rsid w:val="6EF32E85"/>
    <w:rsid w:val="6F0F37DA"/>
    <w:rsid w:val="6F345DED"/>
    <w:rsid w:val="6F4A4CF9"/>
    <w:rsid w:val="6F4E6D96"/>
    <w:rsid w:val="6F5D6566"/>
    <w:rsid w:val="6F647671"/>
    <w:rsid w:val="6F713328"/>
    <w:rsid w:val="6FD553A6"/>
    <w:rsid w:val="6FF675BD"/>
    <w:rsid w:val="702173D8"/>
    <w:rsid w:val="705F6AE0"/>
    <w:rsid w:val="70C31947"/>
    <w:rsid w:val="70DA5CBA"/>
    <w:rsid w:val="71106340"/>
    <w:rsid w:val="71B04CB7"/>
    <w:rsid w:val="71D14601"/>
    <w:rsid w:val="71E6401D"/>
    <w:rsid w:val="71EC6C57"/>
    <w:rsid w:val="71FB43B2"/>
    <w:rsid w:val="720A1AEC"/>
    <w:rsid w:val="72377A68"/>
    <w:rsid w:val="724F6160"/>
    <w:rsid w:val="72AA2522"/>
    <w:rsid w:val="72C23555"/>
    <w:rsid w:val="72D0311E"/>
    <w:rsid w:val="72D60AF4"/>
    <w:rsid w:val="72E15C27"/>
    <w:rsid w:val="7306039D"/>
    <w:rsid w:val="733D3771"/>
    <w:rsid w:val="73470CFE"/>
    <w:rsid w:val="73550956"/>
    <w:rsid w:val="73871497"/>
    <w:rsid w:val="73D3670A"/>
    <w:rsid w:val="73EC4408"/>
    <w:rsid w:val="74006B47"/>
    <w:rsid w:val="741874AC"/>
    <w:rsid w:val="741E7F6E"/>
    <w:rsid w:val="74327C85"/>
    <w:rsid w:val="743D2DD4"/>
    <w:rsid w:val="744C66E2"/>
    <w:rsid w:val="74613231"/>
    <w:rsid w:val="74C81B3F"/>
    <w:rsid w:val="74EC3944"/>
    <w:rsid w:val="75076AED"/>
    <w:rsid w:val="752D39CB"/>
    <w:rsid w:val="75495541"/>
    <w:rsid w:val="755A3C5E"/>
    <w:rsid w:val="75741257"/>
    <w:rsid w:val="759B20C5"/>
    <w:rsid w:val="75BE243F"/>
    <w:rsid w:val="75C62F7B"/>
    <w:rsid w:val="76565CF8"/>
    <w:rsid w:val="765D6AD9"/>
    <w:rsid w:val="765E267A"/>
    <w:rsid w:val="767D5E56"/>
    <w:rsid w:val="768C18A5"/>
    <w:rsid w:val="771C2B72"/>
    <w:rsid w:val="773D399C"/>
    <w:rsid w:val="77611433"/>
    <w:rsid w:val="776E2CBE"/>
    <w:rsid w:val="778236D6"/>
    <w:rsid w:val="778B4C48"/>
    <w:rsid w:val="77AE64E8"/>
    <w:rsid w:val="77B072BC"/>
    <w:rsid w:val="77CB2BF1"/>
    <w:rsid w:val="77EC2AF8"/>
    <w:rsid w:val="77F80F61"/>
    <w:rsid w:val="78031D58"/>
    <w:rsid w:val="78207259"/>
    <w:rsid w:val="7832110C"/>
    <w:rsid w:val="78546EFA"/>
    <w:rsid w:val="78627FD0"/>
    <w:rsid w:val="78D81144"/>
    <w:rsid w:val="78E32DDE"/>
    <w:rsid w:val="78EF05F9"/>
    <w:rsid w:val="792A77D2"/>
    <w:rsid w:val="79310743"/>
    <w:rsid w:val="79386064"/>
    <w:rsid w:val="793F27C8"/>
    <w:rsid w:val="796163F5"/>
    <w:rsid w:val="79645141"/>
    <w:rsid w:val="79661EFB"/>
    <w:rsid w:val="796A7017"/>
    <w:rsid w:val="796C2017"/>
    <w:rsid w:val="797125E2"/>
    <w:rsid w:val="799D2830"/>
    <w:rsid w:val="79A37060"/>
    <w:rsid w:val="79DF25E2"/>
    <w:rsid w:val="7A3644D3"/>
    <w:rsid w:val="7A591AD6"/>
    <w:rsid w:val="7A5E1396"/>
    <w:rsid w:val="7A8A0B42"/>
    <w:rsid w:val="7AB6219B"/>
    <w:rsid w:val="7AEB20F3"/>
    <w:rsid w:val="7B097CF6"/>
    <w:rsid w:val="7B1448AF"/>
    <w:rsid w:val="7B1D7B50"/>
    <w:rsid w:val="7B2A639A"/>
    <w:rsid w:val="7B3E5E19"/>
    <w:rsid w:val="7B8D25BC"/>
    <w:rsid w:val="7BBF0C53"/>
    <w:rsid w:val="7C08113B"/>
    <w:rsid w:val="7C344213"/>
    <w:rsid w:val="7C6712B6"/>
    <w:rsid w:val="7C754C18"/>
    <w:rsid w:val="7CBE0399"/>
    <w:rsid w:val="7CC30918"/>
    <w:rsid w:val="7CC806D1"/>
    <w:rsid w:val="7CFA0158"/>
    <w:rsid w:val="7CFF1633"/>
    <w:rsid w:val="7D1F2AE3"/>
    <w:rsid w:val="7D2232B3"/>
    <w:rsid w:val="7D2E4F75"/>
    <w:rsid w:val="7D322D1E"/>
    <w:rsid w:val="7D362C5F"/>
    <w:rsid w:val="7D4C467F"/>
    <w:rsid w:val="7D5C3D26"/>
    <w:rsid w:val="7D722FEE"/>
    <w:rsid w:val="7DE63809"/>
    <w:rsid w:val="7E723B52"/>
    <w:rsid w:val="7E782E0A"/>
    <w:rsid w:val="7E8D29AE"/>
    <w:rsid w:val="7EBB7B93"/>
    <w:rsid w:val="7EE80CA9"/>
    <w:rsid w:val="7F1D01D6"/>
    <w:rsid w:val="7F3B0A52"/>
    <w:rsid w:val="7F57165A"/>
    <w:rsid w:val="7F791185"/>
    <w:rsid w:val="7F7B72FB"/>
    <w:rsid w:val="7FCA3453"/>
    <w:rsid w:val="7FE51643"/>
    <w:rsid w:val="7FFF13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0" w:semiHidden="0" w:name="toc 9"/>
    <w:lsdException w:qFormat="1" w:unhideWhenUsed="0" w:uiPriority="0" w:semiHidden="0" w:name="Normal Indent"/>
    <w:lsdException w:uiPriority="0" w:name="footnote text"/>
    <w:lsdException w:qFormat="1" w:uiPriority="99"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qFormat="1" w:unhideWhenUsed="0" w:uiPriority="99" w:semiHidden="0" w:name="macro"/>
    <w:lsdException w:uiPriority="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iPriority="0" w:name="List 3"/>
    <w:lsdException w:uiPriority="0" w:name="List 4"/>
    <w:lsdException w:qFormat="1"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qFormat="1" w:unhideWhenUsed="0" w:uiPriority="0" w:semiHidden="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qFormat="1" w:unhideWhenUsed="0" w:uiPriority="0" w:semiHidden="0" w:name="Date"/>
    <w:lsdException w:uiPriority="0" w:name="Body Text First Indent"/>
    <w:lsdException w:qFormat="1"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iPriority="99" w:semiHidden="0" w:name="HTML Preformatted"/>
    <w:lsdException w:uiPriority="0" w:name="HTML Sample"/>
    <w:lsdException w:uiPriority="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809"/>
    <w:qFormat/>
    <w:uiPriority w:val="0"/>
    <w:pPr>
      <w:keepNext/>
      <w:keepLines/>
      <w:spacing w:before="340" w:after="330" w:line="578" w:lineRule="auto"/>
      <w:outlineLvl w:val="0"/>
    </w:pPr>
    <w:rPr>
      <w:b/>
      <w:bCs/>
      <w:kern w:val="44"/>
      <w:sz w:val="44"/>
      <w:szCs w:val="44"/>
    </w:rPr>
  </w:style>
  <w:style w:type="paragraph" w:styleId="4">
    <w:name w:val="heading 2"/>
    <w:basedOn w:val="1"/>
    <w:next w:val="1"/>
    <w:link w:val="810"/>
    <w:qFormat/>
    <w:uiPriority w:val="0"/>
    <w:pPr>
      <w:keepNext/>
      <w:adjustRightInd w:val="0"/>
      <w:spacing w:before="120" w:line="360" w:lineRule="auto"/>
      <w:jc w:val="center"/>
      <w:outlineLvl w:val="1"/>
    </w:pPr>
    <w:rPr>
      <w:rFonts w:eastAsia="隶书"/>
      <w:b/>
      <w:kern w:val="0"/>
      <w:sz w:val="44"/>
      <w:szCs w:val="20"/>
    </w:rPr>
  </w:style>
  <w:style w:type="paragraph" w:styleId="5">
    <w:name w:val="heading 3"/>
    <w:basedOn w:val="1"/>
    <w:next w:val="1"/>
    <w:link w:val="811"/>
    <w:qFormat/>
    <w:uiPriority w:val="0"/>
    <w:pPr>
      <w:keepNext/>
      <w:keepLines/>
      <w:spacing w:before="260" w:after="260" w:line="416" w:lineRule="auto"/>
      <w:outlineLvl w:val="2"/>
    </w:pPr>
    <w:rPr>
      <w:b/>
      <w:bCs/>
      <w:sz w:val="32"/>
      <w:szCs w:val="32"/>
    </w:rPr>
  </w:style>
  <w:style w:type="paragraph" w:styleId="6">
    <w:name w:val="heading 4"/>
    <w:basedOn w:val="1"/>
    <w:next w:val="1"/>
    <w:link w:val="812"/>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link w:val="813"/>
    <w:qFormat/>
    <w:uiPriority w:val="0"/>
    <w:pPr>
      <w:keepNext/>
      <w:keepLines/>
      <w:numPr>
        <w:ilvl w:val="4"/>
        <w:numId w:val="1"/>
      </w:numPr>
      <w:spacing w:before="280" w:after="290" w:line="376" w:lineRule="auto"/>
      <w:outlineLvl w:val="4"/>
    </w:pPr>
    <w:rPr>
      <w:b/>
      <w:sz w:val="28"/>
    </w:rPr>
  </w:style>
  <w:style w:type="paragraph" w:styleId="9">
    <w:name w:val="heading 6"/>
    <w:basedOn w:val="1"/>
    <w:next w:val="8"/>
    <w:link w:val="814"/>
    <w:qFormat/>
    <w:uiPriority w:val="0"/>
    <w:pPr>
      <w:keepNext/>
      <w:keepLines/>
      <w:numPr>
        <w:ilvl w:val="5"/>
        <w:numId w:val="1"/>
      </w:numPr>
      <w:spacing w:before="240" w:after="64" w:line="320" w:lineRule="auto"/>
      <w:outlineLvl w:val="5"/>
    </w:pPr>
    <w:rPr>
      <w:rFonts w:ascii="Arial" w:hAnsi="Arial" w:eastAsia="黑体"/>
      <w:b/>
      <w:sz w:val="24"/>
    </w:rPr>
  </w:style>
  <w:style w:type="paragraph" w:styleId="10">
    <w:name w:val="heading 7"/>
    <w:basedOn w:val="1"/>
    <w:next w:val="8"/>
    <w:link w:val="87"/>
    <w:qFormat/>
    <w:uiPriority w:val="0"/>
    <w:pPr>
      <w:keepNext/>
      <w:keepLines/>
      <w:numPr>
        <w:ilvl w:val="6"/>
        <w:numId w:val="1"/>
      </w:numPr>
      <w:spacing w:before="240" w:after="64" w:line="320" w:lineRule="auto"/>
      <w:outlineLvl w:val="6"/>
    </w:pPr>
    <w:rPr>
      <w:b/>
      <w:sz w:val="24"/>
    </w:rPr>
  </w:style>
  <w:style w:type="paragraph" w:styleId="11">
    <w:name w:val="heading 8"/>
    <w:basedOn w:val="1"/>
    <w:next w:val="8"/>
    <w:link w:val="134"/>
    <w:qFormat/>
    <w:uiPriority w:val="0"/>
    <w:pPr>
      <w:keepNext/>
      <w:keepLines/>
      <w:numPr>
        <w:ilvl w:val="7"/>
        <w:numId w:val="1"/>
      </w:numPr>
      <w:spacing w:before="240" w:after="64" w:line="320" w:lineRule="auto"/>
      <w:outlineLvl w:val="7"/>
    </w:pPr>
    <w:rPr>
      <w:rFonts w:ascii="Arial" w:hAnsi="Arial" w:eastAsia="黑体"/>
      <w:sz w:val="24"/>
    </w:rPr>
  </w:style>
  <w:style w:type="paragraph" w:styleId="12">
    <w:name w:val="heading 9"/>
    <w:basedOn w:val="1"/>
    <w:next w:val="8"/>
    <w:link w:val="63"/>
    <w:qFormat/>
    <w:uiPriority w:val="0"/>
    <w:pPr>
      <w:keepNext/>
      <w:keepLines/>
      <w:numPr>
        <w:ilvl w:val="8"/>
        <w:numId w:val="1"/>
      </w:numPr>
      <w:spacing w:before="240" w:after="64" w:line="320" w:lineRule="auto"/>
      <w:outlineLvl w:val="8"/>
    </w:pPr>
    <w:rPr>
      <w:rFonts w:ascii="Arial" w:hAnsi="Arial" w:eastAsia="黑体"/>
    </w:rPr>
  </w:style>
  <w:style w:type="character" w:default="1" w:styleId="50">
    <w:name w:val="Default Paragraph Font"/>
    <w:semiHidden/>
    <w:unhideWhenUsed/>
    <w:qFormat/>
    <w:uiPriority w:val="1"/>
  </w:style>
  <w:style w:type="table" w:default="1" w:styleId="48">
    <w:name w:val="Normal Table"/>
    <w:semiHidden/>
    <w:unhideWhenUsed/>
    <w:qFormat/>
    <w:uiPriority w:val="99"/>
    <w:tblPr>
      <w:tblCellMar>
        <w:top w:w="0" w:type="dxa"/>
        <w:left w:w="108" w:type="dxa"/>
        <w:bottom w:w="0" w:type="dxa"/>
        <w:right w:w="108" w:type="dxa"/>
      </w:tblCellMar>
    </w:tblPr>
  </w:style>
  <w:style w:type="paragraph" w:styleId="2">
    <w:name w:val="macro"/>
    <w:link w:val="92"/>
    <w:qFormat/>
    <w:uiPriority w:val="99"/>
    <w:pPr>
      <w:widowControl w:val="0"/>
      <w:tabs>
        <w:tab w:val="left" w:pos="480"/>
        <w:tab w:val="left" w:pos="960"/>
        <w:tab w:val="left" w:pos="1440"/>
        <w:tab w:val="left" w:pos="1920"/>
        <w:tab w:val="left" w:pos="2400"/>
        <w:tab w:val="left" w:pos="2880"/>
        <w:tab w:val="left" w:pos="3360"/>
        <w:tab w:val="left" w:pos="3840"/>
        <w:tab w:val="left" w:pos="4320"/>
      </w:tabs>
      <w:autoSpaceDE w:val="0"/>
      <w:autoSpaceDN w:val="0"/>
      <w:adjustRightInd w:val="0"/>
      <w:textAlignment w:val="baseline"/>
    </w:pPr>
    <w:rPr>
      <w:rFonts w:ascii="Courier New" w:hAnsi="Courier New" w:eastAsia="宋体" w:cs="Times New Roman"/>
      <w:kern w:val="2"/>
      <w:sz w:val="24"/>
      <w:szCs w:val="24"/>
      <w:lang w:val="en-US" w:eastAsia="zh-CN" w:bidi="ar-SA"/>
    </w:rPr>
  </w:style>
  <w:style w:type="paragraph" w:styleId="8">
    <w:name w:val="Normal Indent"/>
    <w:basedOn w:val="1"/>
    <w:link w:val="86"/>
    <w:qFormat/>
    <w:uiPriority w:val="0"/>
    <w:pPr>
      <w:spacing w:line="240" w:lineRule="atLeast"/>
      <w:ind w:left="900" w:hanging="900"/>
      <w:jc w:val="left"/>
    </w:pPr>
    <w:rPr>
      <w:rFonts w:ascii="宋体"/>
      <w:snapToGrid w:val="0"/>
      <w:kern w:val="0"/>
      <w:sz w:val="20"/>
      <w:szCs w:val="20"/>
    </w:rPr>
  </w:style>
  <w:style w:type="paragraph" w:styleId="13">
    <w:name w:val="toc 7"/>
    <w:basedOn w:val="1"/>
    <w:next w:val="1"/>
    <w:qFormat/>
    <w:uiPriority w:val="39"/>
    <w:pPr>
      <w:ind w:left="1260"/>
      <w:jc w:val="left"/>
    </w:pPr>
    <w:rPr>
      <w:rFonts w:ascii="Calibri" w:hAnsi="Calibri"/>
      <w:sz w:val="18"/>
      <w:szCs w:val="18"/>
    </w:rPr>
  </w:style>
  <w:style w:type="paragraph" w:styleId="14">
    <w:name w:val="List Number"/>
    <w:basedOn w:val="1"/>
    <w:qFormat/>
    <w:uiPriority w:val="0"/>
    <w:pPr>
      <w:widowControl/>
      <w:tabs>
        <w:tab w:val="left" w:pos="454"/>
        <w:tab w:val="left" w:pos="720"/>
        <w:tab w:val="left" w:pos="840"/>
      </w:tabs>
      <w:spacing w:after="156" w:afterLines="50"/>
      <w:ind w:left="454" w:hanging="284"/>
      <w:jc w:val="left"/>
    </w:pPr>
    <w:rPr>
      <w:kern w:val="0"/>
      <w:sz w:val="24"/>
      <w:szCs w:val="20"/>
    </w:rPr>
  </w:style>
  <w:style w:type="paragraph" w:styleId="15">
    <w:name w:val="caption"/>
    <w:basedOn w:val="1"/>
    <w:next w:val="1"/>
    <w:link w:val="64"/>
    <w:qFormat/>
    <w:uiPriority w:val="0"/>
    <w:pPr>
      <w:spacing w:before="152" w:after="160"/>
    </w:pPr>
    <w:rPr>
      <w:rFonts w:ascii="Arial" w:hAnsi="Arial" w:eastAsia="黑体"/>
      <w:sz w:val="20"/>
      <w:szCs w:val="20"/>
    </w:rPr>
  </w:style>
  <w:style w:type="paragraph" w:styleId="16">
    <w:name w:val="Document Map"/>
    <w:basedOn w:val="1"/>
    <w:link w:val="130"/>
    <w:qFormat/>
    <w:uiPriority w:val="0"/>
    <w:pPr>
      <w:shd w:val="clear" w:color="auto" w:fill="000080"/>
    </w:pPr>
  </w:style>
  <w:style w:type="paragraph" w:styleId="17">
    <w:name w:val="annotation text"/>
    <w:basedOn w:val="1"/>
    <w:link w:val="103"/>
    <w:unhideWhenUsed/>
    <w:qFormat/>
    <w:uiPriority w:val="99"/>
    <w:pPr>
      <w:jc w:val="left"/>
    </w:pPr>
  </w:style>
  <w:style w:type="paragraph" w:styleId="18">
    <w:name w:val="Body Text 3"/>
    <w:basedOn w:val="1"/>
    <w:link w:val="84"/>
    <w:qFormat/>
    <w:uiPriority w:val="0"/>
    <w:pPr>
      <w:spacing w:line="500" w:lineRule="exact"/>
    </w:pPr>
    <w:rPr>
      <w:b/>
      <w:bCs/>
      <w:kern w:val="0"/>
      <w:sz w:val="24"/>
    </w:rPr>
  </w:style>
  <w:style w:type="paragraph" w:styleId="19">
    <w:name w:val="Body Text"/>
    <w:basedOn w:val="1"/>
    <w:link w:val="120"/>
    <w:qFormat/>
    <w:uiPriority w:val="0"/>
    <w:pPr>
      <w:spacing w:line="420" w:lineRule="exact"/>
    </w:pPr>
    <w:rPr>
      <w:sz w:val="24"/>
    </w:rPr>
  </w:style>
  <w:style w:type="paragraph" w:styleId="20">
    <w:name w:val="Body Text Indent"/>
    <w:basedOn w:val="1"/>
    <w:link w:val="70"/>
    <w:qFormat/>
    <w:uiPriority w:val="0"/>
    <w:pPr>
      <w:spacing w:after="120"/>
      <w:ind w:left="420" w:leftChars="200"/>
    </w:pPr>
  </w:style>
  <w:style w:type="paragraph" w:styleId="21">
    <w:name w:val="List Number 3"/>
    <w:basedOn w:val="1"/>
    <w:qFormat/>
    <w:uiPriority w:val="0"/>
    <w:pPr>
      <w:tabs>
        <w:tab w:val="left" w:pos="1200"/>
      </w:tabs>
      <w:ind w:left="900" w:hanging="420"/>
    </w:pPr>
  </w:style>
  <w:style w:type="paragraph" w:styleId="22">
    <w:name w:val="List 2"/>
    <w:basedOn w:val="1"/>
    <w:qFormat/>
    <w:uiPriority w:val="0"/>
    <w:pPr>
      <w:ind w:left="100" w:leftChars="200" w:hanging="200" w:hangingChars="200"/>
    </w:pPr>
    <w:rPr>
      <w:sz w:val="28"/>
    </w:rPr>
  </w:style>
  <w:style w:type="paragraph" w:styleId="23">
    <w:name w:val="Block Text"/>
    <w:basedOn w:val="1"/>
    <w:qFormat/>
    <w:uiPriority w:val="0"/>
    <w:pPr>
      <w:adjustRightInd w:val="0"/>
      <w:ind w:left="420" w:right="33"/>
      <w:jc w:val="left"/>
      <w:textAlignment w:val="baseline"/>
    </w:pPr>
    <w:rPr>
      <w:kern w:val="0"/>
      <w:sz w:val="24"/>
      <w:szCs w:val="20"/>
    </w:rPr>
  </w:style>
  <w:style w:type="paragraph" w:styleId="24">
    <w:name w:val="toc 5"/>
    <w:basedOn w:val="1"/>
    <w:next w:val="1"/>
    <w:qFormat/>
    <w:uiPriority w:val="39"/>
    <w:pPr>
      <w:ind w:left="840"/>
      <w:jc w:val="left"/>
    </w:pPr>
    <w:rPr>
      <w:rFonts w:ascii="Calibri" w:hAnsi="Calibri"/>
      <w:sz w:val="18"/>
      <w:szCs w:val="18"/>
    </w:rPr>
  </w:style>
  <w:style w:type="paragraph" w:styleId="25">
    <w:name w:val="toc 3"/>
    <w:basedOn w:val="1"/>
    <w:next w:val="1"/>
    <w:qFormat/>
    <w:uiPriority w:val="39"/>
    <w:pPr>
      <w:ind w:left="420"/>
      <w:jc w:val="left"/>
    </w:pPr>
    <w:rPr>
      <w:rFonts w:ascii="Calibri" w:hAnsi="Calibri"/>
      <w:i/>
      <w:iCs/>
      <w:sz w:val="20"/>
      <w:szCs w:val="20"/>
    </w:rPr>
  </w:style>
  <w:style w:type="paragraph" w:styleId="26">
    <w:name w:val="Plain Text"/>
    <w:basedOn w:val="1"/>
    <w:link w:val="131"/>
    <w:qFormat/>
    <w:uiPriority w:val="0"/>
    <w:rPr>
      <w:rFonts w:ascii="宋体" w:hAnsi="Courier New" w:cs="Courier New"/>
      <w:szCs w:val="21"/>
    </w:rPr>
  </w:style>
  <w:style w:type="paragraph" w:styleId="27">
    <w:name w:val="toc 8"/>
    <w:basedOn w:val="1"/>
    <w:next w:val="1"/>
    <w:qFormat/>
    <w:uiPriority w:val="39"/>
    <w:pPr>
      <w:ind w:left="1470"/>
      <w:jc w:val="left"/>
    </w:pPr>
    <w:rPr>
      <w:rFonts w:ascii="Calibri" w:hAnsi="Calibri"/>
      <w:sz w:val="18"/>
      <w:szCs w:val="18"/>
    </w:rPr>
  </w:style>
  <w:style w:type="paragraph" w:styleId="28">
    <w:name w:val="Date"/>
    <w:basedOn w:val="1"/>
    <w:next w:val="1"/>
    <w:link w:val="94"/>
    <w:qFormat/>
    <w:uiPriority w:val="0"/>
    <w:pPr>
      <w:ind w:left="100" w:leftChars="2500"/>
    </w:pPr>
    <w:rPr>
      <w:sz w:val="24"/>
    </w:rPr>
  </w:style>
  <w:style w:type="paragraph" w:styleId="29">
    <w:name w:val="Body Text Indent 2"/>
    <w:basedOn w:val="1"/>
    <w:link w:val="140"/>
    <w:qFormat/>
    <w:uiPriority w:val="0"/>
    <w:pPr>
      <w:spacing w:after="120" w:line="480" w:lineRule="auto"/>
      <w:ind w:left="420" w:leftChars="200"/>
    </w:pPr>
  </w:style>
  <w:style w:type="paragraph" w:styleId="30">
    <w:name w:val="Balloon Text"/>
    <w:basedOn w:val="1"/>
    <w:link w:val="141"/>
    <w:qFormat/>
    <w:uiPriority w:val="0"/>
    <w:rPr>
      <w:sz w:val="18"/>
      <w:szCs w:val="18"/>
    </w:rPr>
  </w:style>
  <w:style w:type="paragraph" w:styleId="31">
    <w:name w:val="footer"/>
    <w:basedOn w:val="1"/>
    <w:link w:val="133"/>
    <w:qFormat/>
    <w:uiPriority w:val="99"/>
    <w:pPr>
      <w:tabs>
        <w:tab w:val="center" w:pos="4153"/>
        <w:tab w:val="right" w:pos="8306"/>
      </w:tabs>
      <w:snapToGrid w:val="0"/>
      <w:jc w:val="left"/>
    </w:pPr>
    <w:rPr>
      <w:sz w:val="18"/>
      <w:szCs w:val="18"/>
    </w:rPr>
  </w:style>
  <w:style w:type="paragraph" w:styleId="32">
    <w:name w:val="header"/>
    <w:basedOn w:val="1"/>
    <w:link w:val="127"/>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qFormat/>
    <w:uiPriority w:val="39"/>
    <w:pPr>
      <w:spacing w:before="120" w:after="120"/>
      <w:jc w:val="left"/>
    </w:pPr>
    <w:rPr>
      <w:rFonts w:ascii="Calibri" w:hAnsi="Calibri"/>
      <w:b/>
      <w:bCs/>
      <w:caps/>
      <w:sz w:val="20"/>
      <w:szCs w:val="20"/>
    </w:rPr>
  </w:style>
  <w:style w:type="paragraph" w:styleId="34">
    <w:name w:val="toc 4"/>
    <w:basedOn w:val="1"/>
    <w:next w:val="1"/>
    <w:qFormat/>
    <w:uiPriority w:val="39"/>
    <w:pPr>
      <w:ind w:left="630"/>
      <w:jc w:val="left"/>
    </w:pPr>
    <w:rPr>
      <w:rFonts w:ascii="Calibri" w:hAnsi="Calibri"/>
      <w:sz w:val="18"/>
      <w:szCs w:val="18"/>
    </w:rPr>
  </w:style>
  <w:style w:type="paragraph" w:styleId="35">
    <w:name w:val="List"/>
    <w:basedOn w:val="1"/>
    <w:qFormat/>
    <w:uiPriority w:val="0"/>
    <w:pPr>
      <w:ind w:left="200" w:hanging="200" w:hangingChars="200"/>
    </w:pPr>
    <w:rPr>
      <w:sz w:val="28"/>
    </w:rPr>
  </w:style>
  <w:style w:type="paragraph" w:styleId="36">
    <w:name w:val="toc 6"/>
    <w:basedOn w:val="1"/>
    <w:next w:val="1"/>
    <w:qFormat/>
    <w:uiPriority w:val="39"/>
    <w:pPr>
      <w:ind w:left="1050"/>
      <w:jc w:val="left"/>
    </w:pPr>
    <w:rPr>
      <w:rFonts w:ascii="Calibri" w:hAnsi="Calibri"/>
      <w:sz w:val="18"/>
      <w:szCs w:val="18"/>
    </w:rPr>
  </w:style>
  <w:style w:type="paragraph" w:styleId="37">
    <w:name w:val="List 5"/>
    <w:basedOn w:val="1"/>
    <w:qFormat/>
    <w:uiPriority w:val="0"/>
    <w:pPr>
      <w:ind w:left="2100" w:hanging="420"/>
    </w:pPr>
    <w:rPr>
      <w:szCs w:val="20"/>
    </w:rPr>
  </w:style>
  <w:style w:type="paragraph" w:styleId="38">
    <w:name w:val="Body Text Indent 3"/>
    <w:basedOn w:val="1"/>
    <w:link w:val="101"/>
    <w:qFormat/>
    <w:uiPriority w:val="0"/>
    <w:pPr>
      <w:spacing w:after="120"/>
      <w:ind w:left="420" w:leftChars="200"/>
    </w:pPr>
    <w:rPr>
      <w:sz w:val="16"/>
      <w:szCs w:val="16"/>
    </w:rPr>
  </w:style>
  <w:style w:type="paragraph" w:styleId="39">
    <w:name w:val="toc 2"/>
    <w:basedOn w:val="1"/>
    <w:next w:val="1"/>
    <w:qFormat/>
    <w:uiPriority w:val="39"/>
    <w:pPr>
      <w:ind w:left="210"/>
      <w:jc w:val="left"/>
    </w:pPr>
    <w:rPr>
      <w:rFonts w:ascii="Calibri" w:hAnsi="Calibri"/>
      <w:smallCaps/>
      <w:sz w:val="20"/>
      <w:szCs w:val="20"/>
    </w:rPr>
  </w:style>
  <w:style w:type="paragraph" w:styleId="40">
    <w:name w:val="toc 9"/>
    <w:basedOn w:val="1"/>
    <w:next w:val="1"/>
    <w:qFormat/>
    <w:uiPriority w:val="0"/>
    <w:pPr>
      <w:ind w:left="1680"/>
      <w:jc w:val="left"/>
    </w:pPr>
    <w:rPr>
      <w:rFonts w:ascii="Calibri" w:hAnsi="Calibri"/>
      <w:sz w:val="18"/>
      <w:szCs w:val="18"/>
    </w:rPr>
  </w:style>
  <w:style w:type="paragraph" w:styleId="41">
    <w:name w:val="Body Text 2"/>
    <w:basedOn w:val="1"/>
    <w:link w:val="157"/>
    <w:qFormat/>
    <w:uiPriority w:val="0"/>
    <w:pPr>
      <w:spacing w:after="120" w:line="480" w:lineRule="auto"/>
    </w:pPr>
    <w:rPr>
      <w:kern w:val="0"/>
      <w:sz w:val="20"/>
    </w:rPr>
  </w:style>
  <w:style w:type="paragraph" w:styleId="42">
    <w:name w:val="HTML Preformatted"/>
    <w:basedOn w:val="1"/>
    <w:link w:val="112"/>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43">
    <w:name w:val="Normal (Web)"/>
    <w:basedOn w:val="1"/>
    <w:qFormat/>
    <w:uiPriority w:val="0"/>
    <w:pPr>
      <w:widowControl/>
      <w:spacing w:before="100" w:beforeAutospacing="1" w:after="100" w:afterAutospacing="1"/>
      <w:jc w:val="left"/>
    </w:pPr>
    <w:rPr>
      <w:rFonts w:hint="eastAsia" w:ascii="宋体" w:hAnsi="宋体"/>
      <w:kern w:val="0"/>
      <w:sz w:val="24"/>
      <w:szCs w:val="20"/>
    </w:rPr>
  </w:style>
  <w:style w:type="paragraph" w:styleId="44">
    <w:name w:val="index 1"/>
    <w:basedOn w:val="1"/>
    <w:next w:val="1"/>
    <w:qFormat/>
    <w:uiPriority w:val="0"/>
    <w:pPr>
      <w:spacing w:line="360" w:lineRule="auto"/>
    </w:pPr>
    <w:rPr>
      <w:rFonts w:ascii="宋体" w:hAnsi="宋体"/>
      <w:bCs/>
      <w:szCs w:val="21"/>
    </w:rPr>
  </w:style>
  <w:style w:type="paragraph" w:styleId="45">
    <w:name w:val="Title"/>
    <w:basedOn w:val="1"/>
    <w:next w:val="1"/>
    <w:qFormat/>
    <w:uiPriority w:val="0"/>
    <w:pPr>
      <w:jc w:val="center"/>
    </w:pPr>
    <w:rPr>
      <w:rFonts w:ascii="宋体"/>
      <w:b/>
      <w:snapToGrid w:val="0"/>
      <w:kern w:val="0"/>
      <w:sz w:val="36"/>
      <w:szCs w:val="20"/>
    </w:rPr>
  </w:style>
  <w:style w:type="paragraph" w:styleId="46">
    <w:name w:val="annotation subject"/>
    <w:basedOn w:val="17"/>
    <w:next w:val="17"/>
    <w:link w:val="122"/>
    <w:unhideWhenUsed/>
    <w:qFormat/>
    <w:uiPriority w:val="0"/>
    <w:rPr>
      <w:b/>
      <w:bCs/>
    </w:rPr>
  </w:style>
  <w:style w:type="paragraph" w:styleId="47">
    <w:name w:val="Body Text First Indent 2"/>
    <w:basedOn w:val="20"/>
    <w:link w:val="233"/>
    <w:semiHidden/>
    <w:unhideWhenUsed/>
    <w:qFormat/>
    <w:uiPriority w:val="0"/>
    <w:pPr>
      <w:ind w:firstLine="420" w:firstLineChars="200"/>
    </w:pPr>
  </w:style>
  <w:style w:type="table" w:styleId="49">
    <w:name w:val="Table Grid"/>
    <w:basedOn w:val="48"/>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1">
    <w:name w:val="Strong"/>
    <w:basedOn w:val="50"/>
    <w:qFormat/>
    <w:uiPriority w:val="0"/>
    <w:rPr>
      <w:b/>
      <w:bCs/>
    </w:rPr>
  </w:style>
  <w:style w:type="character" w:styleId="52">
    <w:name w:val="page number"/>
    <w:basedOn w:val="50"/>
    <w:qFormat/>
    <w:uiPriority w:val="0"/>
  </w:style>
  <w:style w:type="character" w:styleId="53">
    <w:name w:val="FollowedHyperlink"/>
    <w:qFormat/>
    <w:uiPriority w:val="99"/>
    <w:rPr>
      <w:color w:val="800080"/>
      <w:u w:val="single"/>
    </w:rPr>
  </w:style>
  <w:style w:type="character" w:styleId="54">
    <w:name w:val="Emphasis"/>
    <w:qFormat/>
    <w:uiPriority w:val="0"/>
    <w:rPr>
      <w:color w:val="CC0000"/>
    </w:rPr>
  </w:style>
  <w:style w:type="character" w:styleId="55">
    <w:name w:val="Hyperlink"/>
    <w:qFormat/>
    <w:uiPriority w:val="99"/>
    <w:rPr>
      <w:color w:val="0000FF"/>
      <w:u w:val="single"/>
    </w:rPr>
  </w:style>
  <w:style w:type="character" w:styleId="56">
    <w:name w:val="annotation reference"/>
    <w:unhideWhenUsed/>
    <w:qFormat/>
    <w:uiPriority w:val="0"/>
    <w:rPr>
      <w:sz w:val="21"/>
      <w:szCs w:val="21"/>
    </w:rPr>
  </w:style>
  <w:style w:type="character" w:customStyle="1" w:styleId="57">
    <w:name w:val="font51"/>
    <w:qFormat/>
    <w:uiPriority w:val="0"/>
    <w:rPr>
      <w:rFonts w:hint="eastAsia" w:ascii="宋体" w:hAnsi="宋体" w:eastAsia="宋体" w:cs="宋体"/>
      <w:color w:val="000000"/>
      <w:sz w:val="20"/>
      <w:szCs w:val="20"/>
      <w:u w:val="none"/>
    </w:rPr>
  </w:style>
  <w:style w:type="character" w:customStyle="1" w:styleId="58">
    <w:name w:val="正文文本缩进 2 Char2"/>
    <w:semiHidden/>
    <w:qFormat/>
    <w:uiPriority w:val="99"/>
    <w:rPr>
      <w:kern w:val="2"/>
      <w:sz w:val="21"/>
      <w:szCs w:val="24"/>
    </w:rPr>
  </w:style>
  <w:style w:type="character" w:customStyle="1" w:styleId="59">
    <w:name w:val="宏文本 Char1"/>
    <w:qFormat/>
    <w:uiPriority w:val="99"/>
    <w:rPr>
      <w:rFonts w:ascii="Courier New" w:hAnsi="Courier New" w:cs="Courier New"/>
      <w:kern w:val="2"/>
      <w:sz w:val="24"/>
      <w:szCs w:val="24"/>
    </w:rPr>
  </w:style>
  <w:style w:type="character" w:customStyle="1" w:styleId="60">
    <w:name w:val="正文文本缩进 2 Char1"/>
    <w:semiHidden/>
    <w:qFormat/>
    <w:uiPriority w:val="99"/>
    <w:rPr>
      <w:rFonts w:ascii="Times New Roman" w:hAnsi="Times New Roman" w:eastAsia="宋体" w:cs="Times New Roman"/>
      <w:szCs w:val="24"/>
    </w:rPr>
  </w:style>
  <w:style w:type="character" w:customStyle="1" w:styleId="61">
    <w:name w:val="样式2"/>
    <w:qFormat/>
    <w:uiPriority w:val="0"/>
    <w:rPr>
      <w:rFonts w:ascii="宋体" w:hAnsi="宋体"/>
      <w:b/>
      <w:szCs w:val="21"/>
    </w:rPr>
  </w:style>
  <w:style w:type="character" w:customStyle="1" w:styleId="62">
    <w:name w:val="apple-converted-space"/>
    <w:basedOn w:val="50"/>
    <w:qFormat/>
    <w:uiPriority w:val="0"/>
  </w:style>
  <w:style w:type="character" w:customStyle="1" w:styleId="63">
    <w:name w:val="标题 9 字符"/>
    <w:link w:val="12"/>
    <w:qFormat/>
    <w:uiPriority w:val="0"/>
    <w:rPr>
      <w:rFonts w:ascii="Arial" w:hAnsi="Arial" w:eastAsia="黑体"/>
      <w:kern w:val="2"/>
      <w:sz w:val="21"/>
      <w:szCs w:val="24"/>
    </w:rPr>
  </w:style>
  <w:style w:type="character" w:customStyle="1" w:styleId="64">
    <w:name w:val="题注 字符"/>
    <w:link w:val="15"/>
    <w:qFormat/>
    <w:uiPriority w:val="0"/>
    <w:rPr>
      <w:rFonts w:ascii="Arial" w:hAnsi="Arial" w:eastAsia="黑体" w:cs="Arial"/>
      <w:kern w:val="2"/>
    </w:rPr>
  </w:style>
  <w:style w:type="character" w:customStyle="1" w:styleId="65">
    <w:name w:val="标题 5 字符"/>
    <w:qFormat/>
    <w:uiPriority w:val="0"/>
    <w:rPr>
      <w:b/>
      <w:kern w:val="2"/>
      <w:sz w:val="28"/>
      <w:szCs w:val="24"/>
    </w:rPr>
  </w:style>
  <w:style w:type="character" w:customStyle="1" w:styleId="66">
    <w:name w:val="正文文本 3 Char1"/>
    <w:qFormat/>
    <w:uiPriority w:val="99"/>
    <w:rPr>
      <w:kern w:val="2"/>
      <w:sz w:val="16"/>
      <w:szCs w:val="16"/>
    </w:rPr>
  </w:style>
  <w:style w:type="character" w:customStyle="1" w:styleId="67">
    <w:name w:val="标题 3 字符"/>
    <w:qFormat/>
    <w:uiPriority w:val="0"/>
    <w:rPr>
      <w:b/>
      <w:bCs/>
      <w:kern w:val="2"/>
      <w:sz w:val="32"/>
      <w:szCs w:val="32"/>
    </w:rPr>
  </w:style>
  <w:style w:type="character" w:customStyle="1" w:styleId="68">
    <w:name w:val="样式1"/>
    <w:qFormat/>
    <w:uiPriority w:val="0"/>
    <w:rPr>
      <w:rFonts w:ascii="宋体" w:hAnsi="宋体"/>
      <w:szCs w:val="21"/>
    </w:rPr>
  </w:style>
  <w:style w:type="character" w:customStyle="1" w:styleId="69">
    <w:name w:val="标题 2 字符"/>
    <w:qFormat/>
    <w:uiPriority w:val="0"/>
    <w:rPr>
      <w:rFonts w:eastAsia="隶书"/>
      <w:b/>
      <w:sz w:val="44"/>
    </w:rPr>
  </w:style>
  <w:style w:type="character" w:customStyle="1" w:styleId="70">
    <w:name w:val="正文文本缩进 字符"/>
    <w:link w:val="20"/>
    <w:qFormat/>
    <w:uiPriority w:val="0"/>
    <w:rPr>
      <w:kern w:val="2"/>
      <w:sz w:val="21"/>
      <w:szCs w:val="24"/>
    </w:rPr>
  </w:style>
  <w:style w:type="character" w:customStyle="1" w:styleId="71">
    <w:name w:val="页脚 Char2"/>
    <w:semiHidden/>
    <w:qFormat/>
    <w:uiPriority w:val="99"/>
    <w:rPr>
      <w:kern w:val="2"/>
      <w:sz w:val="18"/>
      <w:szCs w:val="18"/>
    </w:rPr>
  </w:style>
  <w:style w:type="character" w:customStyle="1" w:styleId="72">
    <w:name w:val="列表段落 字符"/>
    <w:link w:val="73"/>
    <w:qFormat/>
    <w:locked/>
    <w:uiPriority w:val="34"/>
    <w:rPr>
      <w:rFonts w:ascii="Calibri" w:hAnsi="Calibri"/>
      <w:kern w:val="2"/>
      <w:sz w:val="21"/>
      <w:szCs w:val="22"/>
    </w:rPr>
  </w:style>
  <w:style w:type="paragraph" w:styleId="73">
    <w:name w:val="List Paragraph"/>
    <w:basedOn w:val="1"/>
    <w:link w:val="72"/>
    <w:qFormat/>
    <w:uiPriority w:val="34"/>
    <w:pPr>
      <w:ind w:firstLine="420" w:firstLineChars="200"/>
    </w:pPr>
    <w:rPr>
      <w:rFonts w:ascii="Calibri" w:hAnsi="Calibri"/>
      <w:szCs w:val="22"/>
    </w:rPr>
  </w:style>
  <w:style w:type="character" w:customStyle="1" w:styleId="74">
    <w:name w:val="gray"/>
    <w:qFormat/>
    <w:uiPriority w:val="0"/>
    <w:rPr>
      <w:rFonts w:ascii="Tahoma" w:hAnsi="Tahoma" w:eastAsia="宋体"/>
      <w:kern w:val="2"/>
      <w:sz w:val="24"/>
      <w:szCs w:val="24"/>
      <w:lang w:val="en-US" w:eastAsia="zh-CN" w:bidi="ar-SA"/>
    </w:rPr>
  </w:style>
  <w:style w:type="character" w:customStyle="1" w:styleId="75">
    <w:name w:val="HTML 预设格式 Char1"/>
    <w:qFormat/>
    <w:uiPriority w:val="99"/>
    <w:rPr>
      <w:rFonts w:ascii="Courier New" w:hAnsi="Courier New" w:cs="Courier New"/>
      <w:kern w:val="2"/>
    </w:rPr>
  </w:style>
  <w:style w:type="character" w:customStyle="1" w:styleId="76">
    <w:name w:val="mark"/>
    <w:basedOn w:val="50"/>
    <w:qFormat/>
    <w:uiPriority w:val="0"/>
  </w:style>
  <w:style w:type="character" w:customStyle="1" w:styleId="77">
    <w:name w:val="A15"/>
    <w:qFormat/>
    <w:uiPriority w:val="0"/>
    <w:rPr>
      <w:rFonts w:ascii="Times New Roman" w:hAnsi="Times New Roman"/>
      <w:color w:val="000000"/>
      <w:sz w:val="14"/>
      <w:szCs w:val="14"/>
    </w:rPr>
  </w:style>
  <w:style w:type="character" w:customStyle="1" w:styleId="78">
    <w:name w:val="日期 Char1"/>
    <w:semiHidden/>
    <w:qFormat/>
    <w:uiPriority w:val="99"/>
    <w:rPr>
      <w:rFonts w:ascii="Times New Roman" w:hAnsi="Times New Roman" w:eastAsia="宋体" w:cs="Times New Roman"/>
      <w:szCs w:val="24"/>
    </w:rPr>
  </w:style>
  <w:style w:type="character" w:customStyle="1" w:styleId="79">
    <w:name w:val="引用 字符"/>
    <w:link w:val="80"/>
    <w:qFormat/>
    <w:uiPriority w:val="29"/>
    <w:rPr>
      <w:i/>
      <w:iCs/>
      <w:color w:val="404040"/>
      <w:kern w:val="2"/>
      <w:sz w:val="21"/>
      <w:szCs w:val="24"/>
    </w:rPr>
  </w:style>
  <w:style w:type="paragraph" w:styleId="80">
    <w:name w:val="Quote"/>
    <w:basedOn w:val="1"/>
    <w:next w:val="1"/>
    <w:link w:val="79"/>
    <w:qFormat/>
    <w:uiPriority w:val="29"/>
    <w:pPr>
      <w:spacing w:before="200" w:after="160"/>
      <w:ind w:left="864" w:right="864"/>
      <w:jc w:val="center"/>
    </w:pPr>
    <w:rPr>
      <w:i/>
      <w:iCs/>
      <w:color w:val="404040"/>
    </w:rPr>
  </w:style>
  <w:style w:type="character" w:customStyle="1" w:styleId="81">
    <w:name w:val="超链接2"/>
    <w:qFormat/>
    <w:uiPriority w:val="0"/>
    <w:rPr>
      <w:rFonts w:hint="eastAsia" w:ascii="宋体" w:hAnsi="宋体" w:eastAsia="宋体"/>
      <w:color w:val="FFFFFF"/>
      <w:sz w:val="18"/>
      <w:szCs w:val="18"/>
      <w:u w:val="none"/>
    </w:rPr>
  </w:style>
  <w:style w:type="character" w:customStyle="1" w:styleId="82">
    <w:name w:val="ca-2"/>
    <w:basedOn w:val="50"/>
    <w:qFormat/>
    <w:uiPriority w:val="0"/>
  </w:style>
  <w:style w:type="character" w:customStyle="1" w:styleId="83">
    <w:name w:val="页脚 Char1"/>
    <w:semiHidden/>
    <w:qFormat/>
    <w:uiPriority w:val="99"/>
    <w:rPr>
      <w:rFonts w:ascii="Times New Roman" w:hAnsi="Times New Roman" w:eastAsia="宋体" w:cs="Times New Roman"/>
      <w:sz w:val="18"/>
      <w:szCs w:val="18"/>
    </w:rPr>
  </w:style>
  <w:style w:type="character" w:customStyle="1" w:styleId="84">
    <w:name w:val="正文文本 3 字符"/>
    <w:link w:val="18"/>
    <w:qFormat/>
    <w:uiPriority w:val="0"/>
    <w:rPr>
      <w:b/>
      <w:bCs/>
      <w:sz w:val="24"/>
      <w:szCs w:val="24"/>
    </w:rPr>
  </w:style>
  <w:style w:type="character" w:customStyle="1" w:styleId="85">
    <w:name w:val="引用 Char1"/>
    <w:qFormat/>
    <w:uiPriority w:val="99"/>
    <w:rPr>
      <w:rFonts w:ascii="Times New Roman" w:hAnsi="Times New Roman"/>
      <w:i/>
      <w:iCs/>
      <w:color w:val="000000"/>
      <w:kern w:val="2"/>
      <w:sz w:val="21"/>
      <w:szCs w:val="24"/>
    </w:rPr>
  </w:style>
  <w:style w:type="character" w:customStyle="1" w:styleId="86">
    <w:name w:val="正文缩进 字符"/>
    <w:link w:val="8"/>
    <w:qFormat/>
    <w:uiPriority w:val="0"/>
    <w:rPr>
      <w:rFonts w:ascii="宋体"/>
      <w:snapToGrid w:val="0"/>
    </w:rPr>
  </w:style>
  <w:style w:type="character" w:customStyle="1" w:styleId="87">
    <w:name w:val="标题 7 字符"/>
    <w:link w:val="10"/>
    <w:qFormat/>
    <w:uiPriority w:val="0"/>
    <w:rPr>
      <w:b/>
      <w:kern w:val="2"/>
      <w:sz w:val="24"/>
      <w:szCs w:val="24"/>
    </w:rPr>
  </w:style>
  <w:style w:type="character" w:customStyle="1" w:styleId="88">
    <w:name w:val="style21"/>
    <w:qFormat/>
    <w:uiPriority w:val="0"/>
    <w:rPr>
      <w:sz w:val="22"/>
      <w:szCs w:val="22"/>
    </w:rPr>
  </w:style>
  <w:style w:type="character" w:customStyle="1" w:styleId="89">
    <w:name w:val="A4"/>
    <w:qFormat/>
    <w:uiPriority w:val="0"/>
    <w:rPr>
      <w:rFonts w:ascii="新宋体" w:eastAsia="新宋体" w:cs="新宋体"/>
      <w:color w:val="000000"/>
      <w:lang w:bidi="ar-SA"/>
    </w:rPr>
  </w:style>
  <w:style w:type="character" w:customStyle="1" w:styleId="90">
    <w:name w:val="纯文本 字符1"/>
    <w:qFormat/>
    <w:uiPriority w:val="0"/>
    <w:rPr>
      <w:rFonts w:ascii="宋体" w:hAnsi="Courier New" w:eastAsia="宋体" w:cs="Courier New"/>
      <w:szCs w:val="21"/>
    </w:rPr>
  </w:style>
  <w:style w:type="character" w:customStyle="1" w:styleId="91">
    <w:name w:val="不明显强调1"/>
    <w:qFormat/>
    <w:uiPriority w:val="19"/>
    <w:rPr>
      <w:i/>
      <w:iCs/>
      <w:color w:val="808080"/>
    </w:rPr>
  </w:style>
  <w:style w:type="character" w:customStyle="1" w:styleId="92">
    <w:name w:val="宏文本 字符"/>
    <w:link w:val="2"/>
    <w:qFormat/>
    <w:uiPriority w:val="99"/>
    <w:rPr>
      <w:rFonts w:ascii="Courier New" w:hAnsi="Courier New"/>
      <w:kern w:val="2"/>
      <w:sz w:val="24"/>
      <w:szCs w:val="24"/>
      <w:lang w:val="en-US" w:eastAsia="zh-CN" w:bidi="ar-SA"/>
    </w:rPr>
  </w:style>
  <w:style w:type="character" w:customStyle="1" w:styleId="93">
    <w:name w:val="正文文本缩进 3 Char2"/>
    <w:semiHidden/>
    <w:qFormat/>
    <w:uiPriority w:val="99"/>
    <w:rPr>
      <w:kern w:val="2"/>
      <w:sz w:val="16"/>
      <w:szCs w:val="16"/>
    </w:rPr>
  </w:style>
  <w:style w:type="character" w:customStyle="1" w:styleId="94">
    <w:name w:val="日期 字符"/>
    <w:link w:val="28"/>
    <w:qFormat/>
    <w:uiPriority w:val="0"/>
    <w:rPr>
      <w:kern w:val="2"/>
      <w:sz w:val="24"/>
      <w:szCs w:val="24"/>
    </w:rPr>
  </w:style>
  <w:style w:type="character" w:customStyle="1" w:styleId="95">
    <w:name w:val="正文文本缩进 3 Char1"/>
    <w:semiHidden/>
    <w:qFormat/>
    <w:uiPriority w:val="99"/>
    <w:rPr>
      <w:rFonts w:ascii="Times New Roman" w:hAnsi="Times New Roman" w:eastAsia="宋体" w:cs="Times New Roman"/>
      <w:sz w:val="16"/>
      <w:szCs w:val="16"/>
    </w:rPr>
  </w:style>
  <w:style w:type="character" w:customStyle="1" w:styleId="96">
    <w:name w:val="普通文字 Char Char4"/>
    <w:qFormat/>
    <w:uiPriority w:val="0"/>
    <w:rPr>
      <w:rFonts w:ascii="宋体" w:hAnsi="Courier New" w:eastAsia="宋体" w:cs="Courier New"/>
      <w:szCs w:val="21"/>
    </w:rPr>
  </w:style>
  <w:style w:type="character" w:customStyle="1" w:styleId="97">
    <w:name w:val="text1"/>
    <w:basedOn w:val="50"/>
    <w:qFormat/>
    <w:uiPriority w:val="0"/>
  </w:style>
  <w:style w:type="character" w:customStyle="1" w:styleId="98">
    <w:name w:val="表正文 Char2"/>
    <w:qFormat/>
    <w:uiPriority w:val="0"/>
    <w:rPr>
      <w:rFonts w:ascii="Times New Roman" w:hAnsi="Times New Roman"/>
      <w:kern w:val="2"/>
      <w:sz w:val="21"/>
    </w:rPr>
  </w:style>
  <w:style w:type="character" w:customStyle="1" w:styleId="99">
    <w:name w:val="项目排列 Char Char"/>
    <w:link w:val="100"/>
    <w:qFormat/>
    <w:uiPriority w:val="0"/>
    <w:rPr>
      <w:kern w:val="2"/>
      <w:sz w:val="24"/>
      <w:szCs w:val="24"/>
    </w:rPr>
  </w:style>
  <w:style w:type="paragraph" w:customStyle="1" w:styleId="100">
    <w:name w:val="项目排列"/>
    <w:basedOn w:val="1"/>
    <w:link w:val="99"/>
    <w:qFormat/>
    <w:uiPriority w:val="0"/>
    <w:pPr>
      <w:numPr>
        <w:ilvl w:val="0"/>
        <w:numId w:val="1"/>
      </w:numPr>
      <w:tabs>
        <w:tab w:val="left" w:pos="1200"/>
      </w:tabs>
      <w:spacing w:before="156" w:beforeLines="50" w:after="156" w:afterLines="50" w:line="300" w:lineRule="auto"/>
    </w:pPr>
    <w:rPr>
      <w:sz w:val="24"/>
    </w:rPr>
  </w:style>
  <w:style w:type="character" w:customStyle="1" w:styleId="101">
    <w:name w:val="正文文本缩进 3 字符"/>
    <w:link w:val="38"/>
    <w:qFormat/>
    <w:uiPriority w:val="0"/>
    <w:rPr>
      <w:kern w:val="2"/>
      <w:sz w:val="16"/>
      <w:szCs w:val="16"/>
    </w:rPr>
  </w:style>
  <w:style w:type="character" w:customStyle="1" w:styleId="102">
    <w:name w:val="text11"/>
    <w:qFormat/>
    <w:uiPriority w:val="0"/>
    <w:rPr>
      <w:rFonts w:hint="default" w:ascii="Verdana" w:hAnsi="Verdana"/>
      <w:color w:val="4E4E4E"/>
      <w:sz w:val="18"/>
      <w:szCs w:val="18"/>
    </w:rPr>
  </w:style>
  <w:style w:type="character" w:customStyle="1" w:styleId="103">
    <w:name w:val="批注文字 字符"/>
    <w:link w:val="17"/>
    <w:qFormat/>
    <w:uiPriority w:val="99"/>
    <w:rPr>
      <w:kern w:val="2"/>
      <w:sz w:val="21"/>
      <w:szCs w:val="24"/>
    </w:rPr>
  </w:style>
  <w:style w:type="character" w:customStyle="1" w:styleId="104">
    <w:name w:val="lmain1"/>
    <w:qFormat/>
    <w:uiPriority w:val="0"/>
    <w:rPr>
      <w:color w:val="407AAB"/>
      <w:sz w:val="30"/>
      <w:szCs w:val="30"/>
    </w:rPr>
  </w:style>
  <w:style w:type="character" w:customStyle="1" w:styleId="105">
    <w:name w:val="case31"/>
    <w:qFormat/>
    <w:uiPriority w:val="0"/>
    <w:rPr>
      <w:rFonts w:hint="default"/>
      <w:sz w:val="21"/>
      <w:szCs w:val="21"/>
    </w:rPr>
  </w:style>
  <w:style w:type="character" w:customStyle="1" w:styleId="106">
    <w:name w:val="ca-11"/>
    <w:qFormat/>
    <w:uiPriority w:val="0"/>
    <w:rPr>
      <w:rFonts w:hint="eastAsia" w:ascii="宋体" w:hAnsi="宋体" w:eastAsia="宋体"/>
      <w:b/>
      <w:bCs/>
      <w:spacing w:val="-20"/>
      <w:sz w:val="21"/>
      <w:szCs w:val="21"/>
    </w:rPr>
  </w:style>
  <w:style w:type="character" w:customStyle="1" w:styleId="107">
    <w:name w:val="f161"/>
    <w:qFormat/>
    <w:uiPriority w:val="0"/>
    <w:rPr>
      <w:b/>
      <w:bCs/>
      <w:sz w:val="24"/>
      <w:szCs w:val="24"/>
    </w:rPr>
  </w:style>
  <w:style w:type="character" w:customStyle="1" w:styleId="108">
    <w:name w:val="标题 4 字符"/>
    <w:qFormat/>
    <w:uiPriority w:val="0"/>
    <w:rPr>
      <w:rFonts w:ascii="Arial" w:hAnsi="Arial" w:eastAsia="黑体"/>
      <w:b/>
      <w:bCs/>
      <w:kern w:val="2"/>
      <w:sz w:val="28"/>
      <w:szCs w:val="28"/>
    </w:rPr>
  </w:style>
  <w:style w:type="character" w:customStyle="1" w:styleId="109">
    <w:name w:val="正文文本 2 Char2"/>
    <w:qFormat/>
    <w:uiPriority w:val="99"/>
    <w:rPr>
      <w:kern w:val="2"/>
      <w:sz w:val="21"/>
      <w:szCs w:val="24"/>
    </w:rPr>
  </w:style>
  <w:style w:type="character" w:customStyle="1" w:styleId="110">
    <w:name w:val="style1"/>
    <w:basedOn w:val="50"/>
    <w:qFormat/>
    <w:uiPriority w:val="0"/>
  </w:style>
  <w:style w:type="character" w:customStyle="1" w:styleId="111">
    <w:name w:val="ca-21"/>
    <w:qFormat/>
    <w:uiPriority w:val="0"/>
    <w:rPr>
      <w:rFonts w:hint="eastAsia" w:ascii="宋体" w:hAnsi="宋体" w:eastAsia="宋体"/>
      <w:sz w:val="21"/>
      <w:szCs w:val="21"/>
    </w:rPr>
  </w:style>
  <w:style w:type="character" w:customStyle="1" w:styleId="112">
    <w:name w:val="HTML 预设格式 字符"/>
    <w:link w:val="42"/>
    <w:qFormat/>
    <w:uiPriority w:val="99"/>
    <w:rPr>
      <w:rFonts w:ascii="宋体" w:hAnsi="宋体" w:cs="宋体"/>
      <w:sz w:val="24"/>
      <w:szCs w:val="24"/>
    </w:rPr>
  </w:style>
  <w:style w:type="character" w:customStyle="1" w:styleId="113">
    <w:name w:val="Char Char11"/>
    <w:qFormat/>
    <w:uiPriority w:val="0"/>
    <w:rPr>
      <w:rFonts w:ascii="宋体" w:hAnsi="Courier New" w:eastAsia="宋体" w:cs="Courier New"/>
      <w:szCs w:val="21"/>
    </w:rPr>
  </w:style>
  <w:style w:type="character" w:customStyle="1" w:styleId="114">
    <w:name w:val="日期 Char2"/>
    <w:semiHidden/>
    <w:qFormat/>
    <w:uiPriority w:val="99"/>
    <w:rPr>
      <w:kern w:val="2"/>
      <w:sz w:val="21"/>
      <w:szCs w:val="24"/>
    </w:rPr>
  </w:style>
  <w:style w:type="character" w:customStyle="1" w:styleId="115">
    <w:name w:val="hei16b"/>
    <w:basedOn w:val="50"/>
    <w:qFormat/>
    <w:uiPriority w:val="0"/>
  </w:style>
  <w:style w:type="character" w:customStyle="1" w:styleId="116">
    <w:name w:val="标题 1 字符"/>
    <w:qFormat/>
    <w:uiPriority w:val="0"/>
    <w:rPr>
      <w:b/>
      <w:bCs/>
      <w:kern w:val="44"/>
      <w:sz w:val="44"/>
      <w:szCs w:val="44"/>
    </w:rPr>
  </w:style>
  <w:style w:type="character" w:customStyle="1" w:styleId="117">
    <w:name w:val="页眉 Char1"/>
    <w:semiHidden/>
    <w:qFormat/>
    <w:uiPriority w:val="99"/>
    <w:rPr>
      <w:kern w:val="2"/>
      <w:sz w:val="18"/>
      <w:szCs w:val="18"/>
    </w:rPr>
  </w:style>
  <w:style w:type="character" w:customStyle="1" w:styleId="118">
    <w:name w:val="正文缩进 Char1"/>
    <w:qFormat/>
    <w:uiPriority w:val="0"/>
    <w:rPr>
      <w:rFonts w:ascii="Times New Roman" w:hAnsi="Times New Roman"/>
      <w:kern w:val="2"/>
      <w:sz w:val="21"/>
    </w:rPr>
  </w:style>
  <w:style w:type="character" w:customStyle="1" w:styleId="119">
    <w:name w:val="font12-blue-bold1"/>
    <w:qFormat/>
    <w:uiPriority w:val="0"/>
    <w:rPr>
      <w:b/>
      <w:bCs/>
      <w:color w:val="0249A5"/>
      <w:sz w:val="14"/>
      <w:szCs w:val="14"/>
      <w:u w:val="none"/>
    </w:rPr>
  </w:style>
  <w:style w:type="character" w:customStyle="1" w:styleId="120">
    <w:name w:val="正文文本 字符"/>
    <w:link w:val="19"/>
    <w:qFormat/>
    <w:uiPriority w:val="0"/>
    <w:rPr>
      <w:kern w:val="2"/>
      <w:sz w:val="24"/>
      <w:szCs w:val="24"/>
    </w:rPr>
  </w:style>
  <w:style w:type="character" w:customStyle="1" w:styleId="121">
    <w:name w:val="Body Text Indent 3 Char"/>
    <w:qFormat/>
    <w:locked/>
    <w:uiPriority w:val="99"/>
    <w:rPr>
      <w:rFonts w:eastAsia="宋体"/>
      <w:sz w:val="16"/>
    </w:rPr>
  </w:style>
  <w:style w:type="character" w:customStyle="1" w:styleId="122">
    <w:name w:val="批注主题 字符"/>
    <w:link w:val="46"/>
    <w:qFormat/>
    <w:uiPriority w:val="0"/>
    <w:rPr>
      <w:b/>
      <w:bCs/>
      <w:kern w:val="2"/>
      <w:sz w:val="21"/>
      <w:szCs w:val="24"/>
    </w:rPr>
  </w:style>
  <w:style w:type="character" w:customStyle="1" w:styleId="123">
    <w:name w:val="bold1"/>
    <w:qFormat/>
    <w:uiPriority w:val="0"/>
    <w:rPr>
      <w:rFonts w:hint="default"/>
      <w:b/>
      <w:bCs/>
      <w:color w:val="000000"/>
      <w:sz w:val="18"/>
      <w:szCs w:val="18"/>
    </w:rPr>
  </w:style>
  <w:style w:type="character" w:customStyle="1" w:styleId="124">
    <w:name w:val="标题 6 字符"/>
    <w:qFormat/>
    <w:uiPriority w:val="0"/>
    <w:rPr>
      <w:rFonts w:ascii="Arial" w:hAnsi="Arial" w:eastAsia="黑体"/>
      <w:b/>
      <w:kern w:val="2"/>
      <w:sz w:val="24"/>
      <w:szCs w:val="24"/>
    </w:rPr>
  </w:style>
  <w:style w:type="character" w:customStyle="1" w:styleId="125">
    <w:name w:val="文档结构图 Char1"/>
    <w:qFormat/>
    <w:uiPriority w:val="99"/>
    <w:rPr>
      <w:rFonts w:ascii="宋体"/>
      <w:kern w:val="2"/>
      <w:sz w:val="18"/>
      <w:szCs w:val="18"/>
    </w:rPr>
  </w:style>
  <w:style w:type="character" w:customStyle="1" w:styleId="126">
    <w:name w:val="正文文本 Char1"/>
    <w:semiHidden/>
    <w:qFormat/>
    <w:uiPriority w:val="99"/>
    <w:rPr>
      <w:rFonts w:ascii="Times New Roman" w:hAnsi="Times New Roman" w:eastAsia="宋体" w:cs="Times New Roman"/>
      <w:szCs w:val="24"/>
    </w:rPr>
  </w:style>
  <w:style w:type="character" w:customStyle="1" w:styleId="127">
    <w:name w:val="页眉 字符"/>
    <w:link w:val="32"/>
    <w:qFormat/>
    <w:uiPriority w:val="0"/>
    <w:rPr>
      <w:kern w:val="2"/>
      <w:sz w:val="18"/>
      <w:szCs w:val="18"/>
    </w:rPr>
  </w:style>
  <w:style w:type="character" w:customStyle="1" w:styleId="128">
    <w:name w:val="正文文本缩进 Char1"/>
    <w:semiHidden/>
    <w:qFormat/>
    <w:uiPriority w:val="99"/>
    <w:rPr>
      <w:kern w:val="2"/>
      <w:sz w:val="21"/>
      <w:szCs w:val="24"/>
    </w:rPr>
  </w:style>
  <w:style w:type="character" w:customStyle="1" w:styleId="129">
    <w:name w:val="正文文本 2 Char1"/>
    <w:semiHidden/>
    <w:qFormat/>
    <w:uiPriority w:val="99"/>
    <w:rPr>
      <w:rFonts w:ascii="Times New Roman" w:hAnsi="Times New Roman" w:eastAsia="宋体" w:cs="Times New Roman"/>
      <w:szCs w:val="24"/>
    </w:rPr>
  </w:style>
  <w:style w:type="character" w:customStyle="1" w:styleId="130">
    <w:name w:val="文档结构图 字符"/>
    <w:link w:val="16"/>
    <w:qFormat/>
    <w:uiPriority w:val="0"/>
    <w:rPr>
      <w:kern w:val="2"/>
      <w:sz w:val="21"/>
      <w:szCs w:val="24"/>
      <w:shd w:val="clear" w:color="auto" w:fill="000080"/>
    </w:rPr>
  </w:style>
  <w:style w:type="character" w:customStyle="1" w:styleId="131">
    <w:name w:val="纯文本 字符"/>
    <w:link w:val="26"/>
    <w:qFormat/>
    <w:uiPriority w:val="0"/>
    <w:rPr>
      <w:rFonts w:ascii="宋体" w:hAnsi="Courier New" w:eastAsia="宋体" w:cs="Courier New"/>
      <w:kern w:val="2"/>
      <w:sz w:val="21"/>
      <w:szCs w:val="21"/>
      <w:lang w:val="en-US" w:eastAsia="zh-CN" w:bidi="ar-SA"/>
    </w:rPr>
  </w:style>
  <w:style w:type="character" w:customStyle="1" w:styleId="132">
    <w:name w:val="apple-style-span"/>
    <w:qFormat/>
    <w:uiPriority w:val="0"/>
  </w:style>
  <w:style w:type="character" w:customStyle="1" w:styleId="133">
    <w:name w:val="页脚 字符"/>
    <w:link w:val="31"/>
    <w:qFormat/>
    <w:uiPriority w:val="99"/>
    <w:rPr>
      <w:kern w:val="2"/>
      <w:sz w:val="18"/>
      <w:szCs w:val="18"/>
    </w:rPr>
  </w:style>
  <w:style w:type="character" w:customStyle="1" w:styleId="134">
    <w:name w:val="标题 8 字符"/>
    <w:link w:val="11"/>
    <w:qFormat/>
    <w:uiPriority w:val="0"/>
    <w:rPr>
      <w:rFonts w:ascii="Arial" w:hAnsi="Arial" w:eastAsia="黑体"/>
      <w:kern w:val="2"/>
      <w:sz w:val="24"/>
      <w:szCs w:val="24"/>
    </w:rPr>
  </w:style>
  <w:style w:type="character" w:customStyle="1" w:styleId="135">
    <w:name w:val="Char Char4"/>
    <w:semiHidden/>
    <w:qFormat/>
    <w:uiPriority w:val="0"/>
    <w:rPr>
      <w:rFonts w:ascii="Times New Roman" w:hAnsi="Times New Roman" w:eastAsia="宋体" w:cs="Times New Roman"/>
      <w:sz w:val="16"/>
      <w:szCs w:val="16"/>
    </w:rPr>
  </w:style>
  <w:style w:type="character" w:customStyle="1" w:styleId="136">
    <w:name w:val="Plain Text Char"/>
    <w:qFormat/>
    <w:locked/>
    <w:uiPriority w:val="0"/>
    <w:rPr>
      <w:rFonts w:ascii="宋体" w:hAnsi="Courier New" w:eastAsia="宋体"/>
    </w:rPr>
  </w:style>
  <w:style w:type="character" w:customStyle="1" w:styleId="137">
    <w:name w:val="ca-41"/>
    <w:qFormat/>
    <w:uiPriority w:val="0"/>
    <w:rPr>
      <w:rFonts w:hint="eastAsia" w:ascii="宋体" w:hAnsi="宋体" w:eastAsia="宋体"/>
      <w:color w:val="FF0000"/>
      <w:sz w:val="21"/>
      <w:szCs w:val="21"/>
    </w:rPr>
  </w:style>
  <w:style w:type="character" w:customStyle="1" w:styleId="138">
    <w:name w:val="无间隔 字符"/>
    <w:link w:val="139"/>
    <w:qFormat/>
    <w:uiPriority w:val="1"/>
    <w:rPr>
      <w:rFonts w:hAnsi="Courier New"/>
      <w:kern w:val="2"/>
      <w:sz w:val="21"/>
      <w:lang w:val="en-US" w:eastAsia="zh-CN" w:bidi="ar-SA"/>
    </w:rPr>
  </w:style>
  <w:style w:type="paragraph" w:styleId="139">
    <w:name w:val="No Spacing"/>
    <w:link w:val="138"/>
    <w:qFormat/>
    <w:uiPriority w:val="1"/>
    <w:pPr>
      <w:widowControl w:val="0"/>
      <w:jc w:val="both"/>
    </w:pPr>
    <w:rPr>
      <w:rFonts w:ascii="Times New Roman" w:hAnsi="Courier New" w:eastAsia="宋体" w:cs="Times New Roman"/>
      <w:kern w:val="2"/>
      <w:sz w:val="21"/>
      <w:lang w:val="en-US" w:eastAsia="zh-CN" w:bidi="ar-SA"/>
    </w:rPr>
  </w:style>
  <w:style w:type="character" w:customStyle="1" w:styleId="140">
    <w:name w:val="正文文本缩进 2 字符"/>
    <w:link w:val="29"/>
    <w:qFormat/>
    <w:uiPriority w:val="0"/>
    <w:rPr>
      <w:kern w:val="2"/>
      <w:sz w:val="21"/>
      <w:szCs w:val="24"/>
    </w:rPr>
  </w:style>
  <w:style w:type="character" w:customStyle="1" w:styleId="141">
    <w:name w:val="批注框文本 字符"/>
    <w:link w:val="30"/>
    <w:qFormat/>
    <w:uiPriority w:val="0"/>
    <w:rPr>
      <w:kern w:val="2"/>
      <w:sz w:val="18"/>
      <w:szCs w:val="18"/>
    </w:rPr>
  </w:style>
  <w:style w:type="character" w:customStyle="1" w:styleId="142">
    <w:name w:val="文档正文 Char Char"/>
    <w:link w:val="143"/>
    <w:qFormat/>
    <w:locked/>
    <w:uiPriority w:val="0"/>
    <w:rPr>
      <w:rFonts w:ascii="华文细黑" w:hAnsi="华文细黑" w:eastAsia="华文细黑"/>
      <w:color w:val="000000"/>
      <w:sz w:val="24"/>
    </w:rPr>
  </w:style>
  <w:style w:type="paragraph" w:customStyle="1" w:styleId="143">
    <w:name w:val="文档正文"/>
    <w:basedOn w:val="1"/>
    <w:link w:val="142"/>
    <w:qFormat/>
    <w:uiPriority w:val="0"/>
    <w:pPr>
      <w:adjustRightInd w:val="0"/>
      <w:spacing w:after="120" w:line="360" w:lineRule="auto"/>
      <w:ind w:firstLine="480" w:firstLineChars="200"/>
    </w:pPr>
    <w:rPr>
      <w:rFonts w:ascii="华文细黑" w:hAnsi="华文细黑" w:eastAsia="华文细黑"/>
      <w:color w:val="000000"/>
      <w:kern w:val="0"/>
      <w:sz w:val="24"/>
      <w:szCs w:val="20"/>
    </w:rPr>
  </w:style>
  <w:style w:type="character" w:customStyle="1" w:styleId="144">
    <w:name w:val="纯文本 Char2"/>
    <w:qFormat/>
    <w:uiPriority w:val="0"/>
    <w:rPr>
      <w:rFonts w:ascii="宋体" w:hAnsi="Courier New" w:eastAsia="宋体" w:cs="Courier New"/>
      <w:kern w:val="2"/>
      <w:sz w:val="21"/>
      <w:szCs w:val="21"/>
      <w:lang w:val="en-US" w:eastAsia="zh-CN" w:bidi="ar-SA"/>
    </w:rPr>
  </w:style>
  <w:style w:type="character" w:customStyle="1" w:styleId="145">
    <w:name w:val="font91"/>
    <w:qFormat/>
    <w:uiPriority w:val="0"/>
    <w:rPr>
      <w:rFonts w:hint="default" w:ascii="Times New Roman" w:hAnsi="Times New Roman" w:cs="Times New Roman"/>
      <w:color w:val="000000"/>
      <w:sz w:val="20"/>
      <w:szCs w:val="20"/>
      <w:u w:val="none"/>
    </w:rPr>
  </w:style>
  <w:style w:type="character" w:customStyle="1" w:styleId="146">
    <w:name w:val="062"/>
    <w:qFormat/>
    <w:uiPriority w:val="0"/>
    <w:rPr>
      <w:rFonts w:ascii="宋体" w:hAnsi="宋体"/>
      <w:b/>
      <w:bCs/>
      <w:sz w:val="32"/>
    </w:rPr>
  </w:style>
  <w:style w:type="character" w:customStyle="1" w:styleId="147">
    <w:name w:val="纯文本 Char3"/>
    <w:qFormat/>
    <w:uiPriority w:val="0"/>
    <w:rPr>
      <w:rFonts w:ascii="宋体" w:hAnsi="Courier New" w:eastAsia="宋体" w:cs="Courier New"/>
      <w:szCs w:val="21"/>
    </w:rPr>
  </w:style>
  <w:style w:type="character" w:customStyle="1" w:styleId="148">
    <w:name w:val="正文文本 Char2"/>
    <w:semiHidden/>
    <w:qFormat/>
    <w:uiPriority w:val="99"/>
    <w:rPr>
      <w:kern w:val="2"/>
      <w:sz w:val="21"/>
      <w:szCs w:val="24"/>
    </w:rPr>
  </w:style>
  <w:style w:type="character" w:customStyle="1" w:styleId="149">
    <w:name w:val="纯文本 Char1"/>
    <w:qFormat/>
    <w:uiPriority w:val="0"/>
    <w:rPr>
      <w:rFonts w:ascii="宋体" w:hAnsi="Courier New" w:eastAsia="宋体" w:cs="Courier New"/>
      <w:szCs w:val="21"/>
    </w:rPr>
  </w:style>
  <w:style w:type="character" w:customStyle="1" w:styleId="150">
    <w:name w:val="Char Char1"/>
    <w:qFormat/>
    <w:uiPriority w:val="0"/>
    <w:rPr>
      <w:rFonts w:eastAsia="宋体"/>
      <w:kern w:val="2"/>
      <w:sz w:val="21"/>
      <w:szCs w:val="24"/>
      <w:lang w:bidi="ar-SA"/>
    </w:rPr>
  </w:style>
  <w:style w:type="character" w:customStyle="1" w:styleId="151">
    <w:name w:val="1ji Char"/>
    <w:link w:val="152"/>
    <w:qFormat/>
    <w:uiPriority w:val="0"/>
    <w:rPr>
      <w:rFonts w:ascii="宋体" w:hAnsi="宋体"/>
      <w:b/>
      <w:bCs/>
      <w:kern w:val="44"/>
      <w:sz w:val="36"/>
      <w:szCs w:val="44"/>
    </w:rPr>
  </w:style>
  <w:style w:type="paragraph" w:customStyle="1" w:styleId="152">
    <w:name w:val="1ji"/>
    <w:basedOn w:val="3"/>
    <w:link w:val="151"/>
    <w:qFormat/>
    <w:uiPriority w:val="0"/>
    <w:pPr>
      <w:keepLines w:val="0"/>
      <w:widowControl/>
      <w:spacing w:before="0" w:after="0" w:line="240" w:lineRule="auto"/>
      <w:jc w:val="center"/>
    </w:pPr>
    <w:rPr>
      <w:rFonts w:ascii="宋体" w:hAnsi="宋体"/>
      <w:sz w:val="36"/>
    </w:rPr>
  </w:style>
  <w:style w:type="character" w:customStyle="1" w:styleId="153">
    <w:name w:val="批注主题 Char1"/>
    <w:qFormat/>
    <w:uiPriority w:val="99"/>
    <w:rPr>
      <w:b/>
      <w:bCs/>
      <w:kern w:val="2"/>
      <w:sz w:val="21"/>
      <w:szCs w:val="24"/>
    </w:rPr>
  </w:style>
  <w:style w:type="character" w:customStyle="1" w:styleId="154">
    <w:name w:val="标题3 Char Char"/>
    <w:link w:val="155"/>
    <w:qFormat/>
    <w:uiPriority w:val="0"/>
    <w:rPr>
      <w:rFonts w:eastAsia="仿宋_GB2312"/>
      <w:bCs/>
      <w:kern w:val="2"/>
      <w:sz w:val="30"/>
      <w:szCs w:val="32"/>
    </w:rPr>
  </w:style>
  <w:style w:type="paragraph" w:customStyle="1" w:styleId="155">
    <w:name w:val="标题3"/>
    <w:basedOn w:val="5"/>
    <w:link w:val="154"/>
    <w:qFormat/>
    <w:uiPriority w:val="0"/>
    <w:pPr>
      <w:keepNext w:val="0"/>
      <w:keepLines w:val="0"/>
      <w:spacing w:before="0" w:after="0" w:line="360" w:lineRule="auto"/>
    </w:pPr>
    <w:rPr>
      <w:rFonts w:eastAsia="仿宋_GB2312"/>
      <w:b w:val="0"/>
      <w:sz w:val="30"/>
    </w:rPr>
  </w:style>
  <w:style w:type="character" w:customStyle="1" w:styleId="156">
    <w:name w:val="批注框文本 Char1"/>
    <w:semiHidden/>
    <w:qFormat/>
    <w:uiPriority w:val="99"/>
    <w:rPr>
      <w:kern w:val="2"/>
      <w:sz w:val="18"/>
      <w:szCs w:val="18"/>
    </w:rPr>
  </w:style>
  <w:style w:type="character" w:customStyle="1" w:styleId="157">
    <w:name w:val="正文文本 2 字符"/>
    <w:link w:val="41"/>
    <w:qFormat/>
    <w:uiPriority w:val="0"/>
    <w:rPr>
      <w:szCs w:val="24"/>
    </w:rPr>
  </w:style>
  <w:style w:type="character" w:customStyle="1" w:styleId="158">
    <w:name w:val="引用 Char2"/>
    <w:qFormat/>
    <w:uiPriority w:val="29"/>
    <w:rPr>
      <w:i/>
      <w:iCs/>
      <w:color w:val="000000"/>
      <w:kern w:val="2"/>
      <w:sz w:val="21"/>
      <w:szCs w:val="24"/>
    </w:rPr>
  </w:style>
  <w:style w:type="paragraph" w:customStyle="1" w:styleId="159">
    <w:name w:val="Char Char Char"/>
    <w:basedOn w:val="1"/>
    <w:qFormat/>
    <w:uiPriority w:val="0"/>
    <w:rPr>
      <w:rFonts w:ascii="Tahoma" w:hAnsi="Tahoma"/>
      <w:sz w:val="24"/>
      <w:szCs w:val="20"/>
    </w:rPr>
  </w:style>
  <w:style w:type="paragraph" w:customStyle="1" w:styleId="160">
    <w:name w:val="Char11"/>
    <w:basedOn w:val="1"/>
    <w:qFormat/>
    <w:uiPriority w:val="0"/>
    <w:rPr>
      <w:szCs w:val="21"/>
    </w:rPr>
  </w:style>
  <w:style w:type="paragraph" w:customStyle="1" w:styleId="161">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162">
    <w:name w:val="n-正文级"/>
    <w:basedOn w:val="1"/>
    <w:qFormat/>
    <w:uiPriority w:val="0"/>
    <w:pPr>
      <w:spacing w:line="360" w:lineRule="auto"/>
      <w:ind w:firstLine="480" w:firstLineChars="200"/>
    </w:pPr>
    <w:rPr>
      <w:rFonts w:ascii="仿宋_GB2312" w:hAnsi="宋体" w:eastAsia="仿宋_GB2312"/>
      <w:sz w:val="24"/>
    </w:rPr>
  </w:style>
  <w:style w:type="paragraph" w:customStyle="1" w:styleId="163">
    <w:name w:val="z-窗体顶端1"/>
    <w:basedOn w:val="1"/>
    <w:next w:val="1"/>
    <w:qFormat/>
    <w:uiPriority w:val="0"/>
    <w:pPr>
      <w:widowControl/>
      <w:pBdr>
        <w:bottom w:val="single" w:color="auto" w:sz="6" w:space="1"/>
      </w:pBdr>
      <w:jc w:val="center"/>
    </w:pPr>
    <w:rPr>
      <w:rFonts w:ascii="Arial" w:hAnsi="Arial" w:cs="Arial"/>
      <w:vanish/>
      <w:kern w:val="0"/>
      <w:sz w:val="16"/>
      <w:szCs w:val="16"/>
    </w:rPr>
  </w:style>
  <w:style w:type="paragraph" w:customStyle="1" w:styleId="164">
    <w:name w:val="msolistparagraph"/>
    <w:basedOn w:val="1"/>
    <w:qFormat/>
    <w:uiPriority w:val="0"/>
    <w:pPr>
      <w:widowControl/>
      <w:spacing w:before="100" w:beforeAutospacing="1" w:after="100" w:afterAutospacing="1"/>
      <w:jc w:val="left"/>
    </w:pPr>
    <w:rPr>
      <w:rFonts w:ascii="宋体" w:hAnsi="宋体" w:cs="宋体"/>
      <w:kern w:val="0"/>
      <w:sz w:val="24"/>
    </w:rPr>
  </w:style>
  <w:style w:type="paragraph" w:customStyle="1" w:styleId="165">
    <w:name w:val="2ji"/>
    <w:basedOn w:val="4"/>
    <w:qFormat/>
    <w:uiPriority w:val="0"/>
    <w:pPr>
      <w:keepLines/>
      <w:spacing w:before="0"/>
      <w:jc w:val="both"/>
      <w:textAlignment w:val="baseline"/>
    </w:pPr>
    <w:rPr>
      <w:rFonts w:ascii="宋体" w:hAnsi="宋体" w:eastAsia="宋体"/>
      <w:bCs/>
      <w:sz w:val="21"/>
      <w:szCs w:val="21"/>
    </w:rPr>
  </w:style>
  <w:style w:type="paragraph" w:customStyle="1" w:styleId="166">
    <w:name w:val="Default"/>
    <w:basedOn w:val="45"/>
    <w:next w:val="3"/>
    <w:qFormat/>
    <w:uiPriority w:val="0"/>
    <w:pPr>
      <w:autoSpaceDE w:val="0"/>
      <w:autoSpaceDN w:val="0"/>
      <w:adjustRightInd w:val="0"/>
    </w:pPr>
    <w:rPr>
      <w:rFonts w:ascii="方正大黑简体2." w:eastAsia="方正大黑简体2." w:cs="方正大黑简体2."/>
      <w:color w:val="000000"/>
      <w:sz w:val="24"/>
      <w:szCs w:val="24"/>
    </w:rPr>
  </w:style>
  <w:style w:type="paragraph" w:customStyle="1" w:styleId="167">
    <w:name w:val="正文--2字符首行缩进"/>
    <w:basedOn w:val="1"/>
    <w:qFormat/>
    <w:uiPriority w:val="0"/>
    <w:pPr>
      <w:snapToGrid w:val="0"/>
      <w:spacing w:line="360" w:lineRule="auto"/>
      <w:ind w:firstLine="560" w:firstLineChars="200"/>
      <w:contextualSpacing/>
    </w:pPr>
    <w:rPr>
      <w:rFonts w:ascii="仿宋_GB2312" w:eastAsia="仿宋_GB2312"/>
      <w:sz w:val="28"/>
    </w:rPr>
  </w:style>
  <w:style w:type="paragraph" w:customStyle="1" w:styleId="168">
    <w:name w:val="正文段"/>
    <w:basedOn w:val="1"/>
    <w:qFormat/>
    <w:uiPriority w:val="0"/>
    <w:pPr>
      <w:widowControl/>
      <w:snapToGrid w:val="0"/>
      <w:spacing w:after="156" w:afterLines="50"/>
      <w:ind w:firstLine="200" w:firstLineChars="200"/>
    </w:pPr>
    <w:rPr>
      <w:kern w:val="0"/>
      <w:sz w:val="24"/>
      <w:szCs w:val="20"/>
    </w:rPr>
  </w:style>
  <w:style w:type="paragraph" w:customStyle="1" w:styleId="169">
    <w:name w:val="五级条标题"/>
    <w:basedOn w:val="170"/>
    <w:next w:val="173"/>
    <w:qFormat/>
    <w:uiPriority w:val="0"/>
    <w:pPr>
      <w:outlineLvl w:val="6"/>
    </w:pPr>
  </w:style>
  <w:style w:type="paragraph" w:customStyle="1" w:styleId="170">
    <w:name w:val="四级条标题"/>
    <w:basedOn w:val="171"/>
    <w:next w:val="173"/>
    <w:qFormat/>
    <w:uiPriority w:val="0"/>
    <w:pPr>
      <w:outlineLvl w:val="5"/>
    </w:pPr>
  </w:style>
  <w:style w:type="paragraph" w:customStyle="1" w:styleId="171">
    <w:name w:val="三级条标题"/>
    <w:basedOn w:val="172"/>
    <w:next w:val="173"/>
    <w:qFormat/>
    <w:uiPriority w:val="0"/>
    <w:pPr>
      <w:outlineLvl w:val="4"/>
    </w:pPr>
  </w:style>
  <w:style w:type="paragraph" w:customStyle="1" w:styleId="172">
    <w:name w:val="二级条标题"/>
    <w:basedOn w:val="1"/>
    <w:next w:val="1"/>
    <w:qFormat/>
    <w:uiPriority w:val="0"/>
    <w:pPr>
      <w:widowControl/>
      <w:jc w:val="left"/>
      <w:outlineLvl w:val="3"/>
    </w:pPr>
    <w:rPr>
      <w:rFonts w:ascii="宋体" w:hAnsi="宋体"/>
      <w:color w:val="000000"/>
      <w:kern w:val="0"/>
      <w:szCs w:val="20"/>
    </w:rPr>
  </w:style>
  <w:style w:type="paragraph" w:customStyle="1" w:styleId="173">
    <w:name w:val="段"/>
    <w:qFormat/>
    <w:uiPriority w:val="0"/>
    <w:pPr>
      <w:autoSpaceDE w:val="0"/>
      <w:autoSpaceDN w:val="0"/>
      <w:ind w:firstLine="200" w:firstLineChars="200"/>
      <w:jc w:val="both"/>
    </w:pPr>
    <w:rPr>
      <w:rFonts w:ascii="Times New Roman" w:hAnsi="Times New Roman" w:eastAsia="宋体" w:cs="Times New Roman"/>
      <w:sz w:val="21"/>
      <w:lang w:val="en-US" w:eastAsia="zh-CN" w:bidi="ar-SA"/>
    </w:rPr>
  </w:style>
  <w:style w:type="paragraph" w:customStyle="1" w:styleId="174">
    <w:name w:val="表格"/>
    <w:basedOn w:val="1"/>
    <w:qFormat/>
    <w:uiPriority w:val="0"/>
    <w:pPr>
      <w:spacing w:line="400" w:lineRule="exact"/>
    </w:pPr>
    <w:rPr>
      <w:sz w:val="24"/>
    </w:rPr>
  </w:style>
  <w:style w:type="paragraph" w:customStyle="1" w:styleId="175">
    <w:name w:val="列表段落1"/>
    <w:basedOn w:val="1"/>
    <w:qFormat/>
    <w:uiPriority w:val="0"/>
    <w:pPr>
      <w:ind w:firstLine="420" w:firstLineChars="200"/>
    </w:pPr>
    <w:rPr>
      <w:rFonts w:ascii="Calibri" w:hAnsi="Calibri"/>
      <w:szCs w:val="22"/>
    </w:rPr>
  </w:style>
  <w:style w:type="paragraph" w:customStyle="1" w:styleId="176">
    <w:name w:val="Char1 Char Char Char Char Char Char Char Char Char Char Char Char"/>
    <w:basedOn w:val="1"/>
    <w:qFormat/>
    <w:uiPriority w:val="0"/>
    <w:rPr>
      <w:rFonts w:ascii="Tahoma" w:hAnsi="Tahoma"/>
      <w:sz w:val="24"/>
      <w:szCs w:val="20"/>
    </w:rPr>
  </w:style>
  <w:style w:type="paragraph" w:customStyle="1" w:styleId="177">
    <w:name w:val="_Style 65"/>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8">
    <w:name w:val="p0"/>
    <w:basedOn w:val="1"/>
    <w:qFormat/>
    <w:uiPriority w:val="0"/>
    <w:pPr>
      <w:widowControl/>
    </w:pPr>
    <w:rPr>
      <w:kern w:val="0"/>
      <w:szCs w:val="21"/>
    </w:rPr>
  </w:style>
  <w:style w:type="paragraph" w:customStyle="1" w:styleId="179">
    <w:name w:val="style2"/>
    <w:basedOn w:val="1"/>
    <w:qFormat/>
    <w:uiPriority w:val="0"/>
    <w:pPr>
      <w:widowControl/>
      <w:spacing w:before="100" w:beforeAutospacing="1" w:after="100" w:afterAutospacing="1"/>
    </w:pPr>
    <w:rPr>
      <w:rFonts w:hint="eastAsia" w:ascii="宋体" w:hAnsi="宋体" w:cs="Arial"/>
      <w:kern w:val="0"/>
      <w:sz w:val="18"/>
      <w:szCs w:val="18"/>
    </w:rPr>
  </w:style>
  <w:style w:type="paragraph" w:customStyle="1" w:styleId="180">
    <w:name w:val="正文 A"/>
    <w:qFormat/>
    <w:uiPriority w:val="0"/>
    <w:pPr>
      <w:widowControl w:val="0"/>
      <w:jc w:val="both"/>
    </w:pPr>
    <w:rPr>
      <w:rFonts w:ascii="Times New Roman" w:hAnsi="Times New Roman" w:eastAsia="Arial Unicode MS" w:cs="Arial Unicode MS"/>
      <w:color w:val="000000"/>
      <w:kern w:val="2"/>
      <w:sz w:val="21"/>
      <w:szCs w:val="21"/>
      <w:lang w:val="en-US" w:eastAsia="zh-CN" w:bidi="ar-SA"/>
    </w:rPr>
  </w:style>
  <w:style w:type="paragraph" w:customStyle="1" w:styleId="181">
    <w:name w:val="无间隔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2">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83">
    <w:name w:val="pa-5"/>
    <w:basedOn w:val="1"/>
    <w:qFormat/>
    <w:uiPriority w:val="0"/>
    <w:pPr>
      <w:widowControl/>
      <w:spacing w:line="240" w:lineRule="atLeast"/>
      <w:ind w:firstLine="420"/>
    </w:pPr>
    <w:rPr>
      <w:rFonts w:ascii="宋体" w:hAnsi="宋体" w:cs="宋体"/>
      <w:kern w:val="0"/>
      <w:sz w:val="24"/>
    </w:rPr>
  </w:style>
  <w:style w:type="paragraph" w:customStyle="1" w:styleId="184">
    <w:name w:val="默认段落字体 Para Char Char Char1 Char"/>
    <w:basedOn w:val="1"/>
    <w:qFormat/>
    <w:uiPriority w:val="0"/>
    <w:rPr>
      <w:rFonts w:ascii="Tahoma" w:hAnsi="Tahoma"/>
      <w:sz w:val="24"/>
      <w:szCs w:val="20"/>
    </w:rPr>
  </w:style>
  <w:style w:type="paragraph" w:customStyle="1" w:styleId="185">
    <w:name w:val="列项——"/>
    <w:qFormat/>
    <w:uiPriority w:val="0"/>
    <w:pPr>
      <w:widowControl w:val="0"/>
      <w:tabs>
        <w:tab w:val="left" w:pos="854"/>
      </w:tabs>
      <w:ind w:left="840" w:leftChars="200" w:hanging="420" w:hangingChars="200"/>
      <w:jc w:val="both"/>
    </w:pPr>
    <w:rPr>
      <w:rFonts w:ascii="Times New Roman" w:hAnsi="Times New Roman" w:eastAsia="宋体" w:cs="Times New Roman"/>
      <w:sz w:val="21"/>
      <w:lang w:val="en-US" w:eastAsia="zh-CN" w:bidi="ar-SA"/>
    </w:rPr>
  </w:style>
  <w:style w:type="paragraph" w:customStyle="1" w:styleId="186">
    <w:name w:val="_Style 86"/>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87">
    <w:name w:val="444"/>
    <w:basedOn w:val="1"/>
    <w:qFormat/>
    <w:uiPriority w:val="0"/>
    <w:pPr>
      <w:adjustRightInd w:val="0"/>
      <w:spacing w:line="312" w:lineRule="atLeast"/>
      <w:jc w:val="center"/>
      <w:textAlignment w:val="baseline"/>
    </w:pPr>
    <w:rPr>
      <w:b/>
      <w:kern w:val="0"/>
      <w:sz w:val="36"/>
      <w:szCs w:val="36"/>
    </w:rPr>
  </w:style>
  <w:style w:type="paragraph" w:customStyle="1" w:styleId="188">
    <w:name w:val="列表1"/>
    <w:basedOn w:val="189"/>
    <w:qFormat/>
    <w:uiPriority w:val="0"/>
    <w:pPr>
      <w:tabs>
        <w:tab w:val="left" w:pos="900"/>
      </w:tabs>
      <w:ind w:left="900" w:hanging="420"/>
    </w:pPr>
    <w:rPr>
      <w:rFonts w:ascii="Times New Roman" w:hAnsi="Times New Roman"/>
      <w:szCs w:val="20"/>
    </w:rPr>
  </w:style>
  <w:style w:type="paragraph" w:customStyle="1" w:styleId="189">
    <w:name w:val="标准正文"/>
    <w:basedOn w:val="20"/>
    <w:qFormat/>
    <w:uiPriority w:val="0"/>
    <w:pPr>
      <w:spacing w:before="60" w:after="60" w:line="360" w:lineRule="auto"/>
      <w:ind w:left="0" w:leftChars="0" w:firstLine="482"/>
    </w:pPr>
    <w:rPr>
      <w:rFonts w:ascii="宋体" w:hAnsi="宋体"/>
      <w:kern w:val="0"/>
      <w:sz w:val="24"/>
      <w:szCs w:val="28"/>
    </w:rPr>
  </w:style>
  <w:style w:type="paragraph" w:customStyle="1" w:styleId="190">
    <w:name w:val="默认段落字体 Para Char1"/>
    <w:next w:val="1"/>
    <w:qFormat/>
    <w:uiPriority w:val="0"/>
    <w:pPr>
      <w:keepNext/>
      <w:keepLines/>
      <w:tabs>
        <w:tab w:val="left" w:pos="360"/>
      </w:tabs>
      <w:snapToGrid w:val="0"/>
      <w:spacing w:before="240" w:after="240"/>
      <w:outlineLvl w:val="7"/>
    </w:pPr>
    <w:rPr>
      <w:rFonts w:ascii="Arial" w:hAnsi="Arial" w:eastAsia="宋体" w:cs="Arial"/>
      <w:kern w:val="2"/>
      <w:lang w:val="en-US" w:eastAsia="zh-CN" w:bidi="ar-SA"/>
    </w:rPr>
  </w:style>
  <w:style w:type="paragraph" w:customStyle="1" w:styleId="191">
    <w:name w:val="样式 标题 2 + Times New Roman 四号 非加粗 段前: 5 磅 段后: 0 磅 行距: 固定值 20..."/>
    <w:basedOn w:val="4"/>
    <w:qFormat/>
    <w:uiPriority w:val="0"/>
    <w:pPr>
      <w:keepLines/>
      <w:adjustRightInd/>
      <w:spacing w:before="100" w:line="400" w:lineRule="exact"/>
      <w:jc w:val="both"/>
    </w:pPr>
    <w:rPr>
      <w:rFonts w:eastAsia="黑体" w:cs="宋体"/>
      <w:b w:val="0"/>
      <w:sz w:val="28"/>
    </w:rPr>
  </w:style>
  <w:style w:type="paragraph" w:customStyle="1" w:styleId="192">
    <w:name w:val="表内文字"/>
    <w:basedOn w:val="1"/>
    <w:qFormat/>
    <w:uiPriority w:val="0"/>
    <w:pPr>
      <w:snapToGrid w:val="0"/>
      <w:spacing w:before="50" w:after="50"/>
      <w:jc w:val="center"/>
    </w:pPr>
    <w:rPr>
      <w:rFonts w:ascii="仿宋_GB2312" w:hAnsi="宋体" w:eastAsia="仿宋_GB2312"/>
      <w:b/>
      <w:color w:val="000000"/>
      <w:sz w:val="32"/>
      <w:szCs w:val="32"/>
    </w:rPr>
  </w:style>
  <w:style w:type="paragraph" w:customStyle="1" w:styleId="193">
    <w:name w:val="样式 Verdana 首行缩进:  0.74 厘米"/>
    <w:basedOn w:val="1"/>
    <w:qFormat/>
    <w:uiPriority w:val="0"/>
    <w:pPr>
      <w:spacing w:line="360" w:lineRule="auto"/>
      <w:ind w:firstLine="420"/>
    </w:pPr>
    <w:rPr>
      <w:rFonts w:ascii="Verdana" w:hAnsi="Verdana"/>
      <w:sz w:val="24"/>
      <w:szCs w:val="20"/>
    </w:rPr>
  </w:style>
  <w:style w:type="paragraph" w:customStyle="1" w:styleId="194">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2"/>
      <w:szCs w:val="22"/>
    </w:rPr>
  </w:style>
  <w:style w:type="paragraph" w:customStyle="1" w:styleId="195">
    <w:name w:val="1 Char"/>
    <w:basedOn w:val="8"/>
    <w:qFormat/>
    <w:uiPriority w:val="0"/>
    <w:pPr>
      <w:spacing w:line="360" w:lineRule="auto"/>
      <w:ind w:left="0" w:firstLine="200" w:firstLineChars="200"/>
      <w:jc w:val="both"/>
    </w:pPr>
    <w:rPr>
      <w:rFonts w:ascii="Times New Roman"/>
      <w:snapToGrid/>
      <w:kern w:val="2"/>
      <w:sz w:val="21"/>
    </w:rPr>
  </w:style>
  <w:style w:type="paragraph" w:customStyle="1" w:styleId="196">
    <w:name w:val="列出段落1"/>
    <w:basedOn w:val="1"/>
    <w:qFormat/>
    <w:uiPriority w:val="0"/>
    <w:pPr>
      <w:ind w:firstLine="420" w:firstLineChars="200"/>
    </w:pPr>
    <w:rPr>
      <w:rFonts w:ascii="Calibri" w:hAnsi="Calibri"/>
      <w:szCs w:val="22"/>
    </w:rPr>
  </w:style>
  <w:style w:type="paragraph" w:customStyle="1" w:styleId="197">
    <w:name w:val="_Style 2"/>
    <w:basedOn w:val="1"/>
    <w:qFormat/>
    <w:uiPriority w:val="0"/>
    <w:pPr>
      <w:ind w:firstLine="420" w:firstLineChars="200"/>
    </w:pPr>
  </w:style>
  <w:style w:type="paragraph" w:customStyle="1" w:styleId="198">
    <w:name w:val="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199">
    <w:name w:val="Char"/>
    <w:basedOn w:val="1"/>
    <w:qFormat/>
    <w:uiPriority w:val="0"/>
  </w:style>
  <w:style w:type="paragraph" w:customStyle="1" w:styleId="200">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01">
    <w:name w:val="_Style 861"/>
    <w:next w:val="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02">
    <w:name w:val="Char3"/>
    <w:basedOn w:val="1"/>
    <w:qFormat/>
    <w:uiPriority w:val="0"/>
    <w:pPr>
      <w:widowControl/>
      <w:spacing w:after="160" w:line="240" w:lineRule="exact"/>
      <w:jc w:val="left"/>
    </w:pPr>
    <w:rPr>
      <w:rFonts w:ascii="Verdana" w:hAnsi="Verdana"/>
      <w:kern w:val="0"/>
      <w:sz w:val="20"/>
      <w:szCs w:val="20"/>
      <w:lang w:eastAsia="en-US"/>
    </w:rPr>
  </w:style>
  <w:style w:type="paragraph" w:customStyle="1" w:styleId="203">
    <w:name w:val="Char Char Char Char"/>
    <w:basedOn w:val="1"/>
    <w:qFormat/>
    <w:uiPriority w:val="0"/>
  </w:style>
  <w:style w:type="paragraph" w:customStyle="1" w:styleId="204">
    <w:name w:val="1"/>
    <w:basedOn w:val="1"/>
    <w:next w:val="26"/>
    <w:qFormat/>
    <w:uiPriority w:val="0"/>
    <w:rPr>
      <w:rFonts w:ascii="宋体" w:hAnsi="Courier New"/>
      <w:szCs w:val="20"/>
    </w:rPr>
  </w:style>
  <w:style w:type="paragraph" w:customStyle="1" w:styleId="205">
    <w:name w:val="Char Char Char Char1"/>
    <w:basedOn w:val="1"/>
    <w:qFormat/>
    <w:uiPriority w:val="0"/>
  </w:style>
  <w:style w:type="paragraph" w:customStyle="1" w:styleId="206">
    <w:name w:val="z-窗体底端1"/>
    <w:basedOn w:val="1"/>
    <w:next w:val="1"/>
    <w:qFormat/>
    <w:uiPriority w:val="0"/>
    <w:pPr>
      <w:widowControl/>
      <w:pBdr>
        <w:top w:val="single" w:color="auto" w:sz="6" w:space="1"/>
      </w:pBdr>
      <w:jc w:val="center"/>
    </w:pPr>
    <w:rPr>
      <w:rFonts w:ascii="Arial" w:hAnsi="Arial" w:cs="Arial"/>
      <w:vanish/>
      <w:kern w:val="0"/>
      <w:sz w:val="16"/>
      <w:szCs w:val="16"/>
    </w:rPr>
  </w:style>
  <w:style w:type="paragraph" w:customStyle="1" w:styleId="207">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208">
    <w:name w:val="pa-3"/>
    <w:basedOn w:val="1"/>
    <w:qFormat/>
    <w:uiPriority w:val="0"/>
    <w:pPr>
      <w:widowControl/>
      <w:spacing w:line="240" w:lineRule="atLeast"/>
    </w:pPr>
    <w:rPr>
      <w:rFonts w:ascii="宋体" w:hAnsi="宋体" w:cs="宋体"/>
      <w:kern w:val="0"/>
      <w:sz w:val="24"/>
    </w:rPr>
  </w:style>
  <w:style w:type="paragraph" w:customStyle="1" w:styleId="209">
    <w:name w:val="规范正文"/>
    <w:basedOn w:val="1"/>
    <w:qFormat/>
    <w:uiPriority w:val="0"/>
    <w:pPr>
      <w:adjustRightInd w:val="0"/>
      <w:spacing w:line="360" w:lineRule="auto"/>
      <w:ind w:left="480"/>
      <w:textAlignment w:val="baseline"/>
    </w:pPr>
    <w:rPr>
      <w:kern w:val="0"/>
      <w:sz w:val="24"/>
      <w:szCs w:val="20"/>
    </w:rPr>
  </w:style>
  <w:style w:type="paragraph" w:customStyle="1" w:styleId="210">
    <w:name w:val="about_main1"/>
    <w:basedOn w:val="1"/>
    <w:qFormat/>
    <w:uiPriority w:val="0"/>
    <w:pPr>
      <w:widowControl/>
      <w:spacing w:before="30" w:after="100" w:afterAutospacing="1"/>
      <w:jc w:val="left"/>
    </w:pPr>
    <w:rPr>
      <w:rFonts w:ascii="宋体" w:hAnsi="宋体" w:cs="宋体"/>
      <w:kern w:val="0"/>
      <w:sz w:val="24"/>
    </w:rPr>
  </w:style>
  <w:style w:type="paragraph" w:customStyle="1" w:styleId="211">
    <w:name w:val="pa-2"/>
    <w:basedOn w:val="1"/>
    <w:qFormat/>
    <w:uiPriority w:val="0"/>
    <w:pPr>
      <w:widowControl/>
      <w:spacing w:line="280" w:lineRule="atLeast"/>
      <w:ind w:firstLine="420"/>
    </w:pPr>
    <w:rPr>
      <w:rFonts w:ascii="宋体" w:hAnsi="宋体" w:cs="宋体"/>
      <w:kern w:val="0"/>
      <w:sz w:val="24"/>
    </w:rPr>
  </w:style>
  <w:style w:type="paragraph" w:customStyle="1" w:styleId="212">
    <w:name w:val="Char1"/>
    <w:basedOn w:val="16"/>
    <w:qFormat/>
    <w:uiPriority w:val="0"/>
    <w:pPr>
      <w:widowControl/>
      <w:ind w:firstLine="454"/>
      <w:jc w:val="left"/>
    </w:pPr>
    <w:rPr>
      <w:rFonts w:ascii="Tahoma" w:hAnsi="Tahoma" w:cs="宋体"/>
      <w:kern w:val="0"/>
      <w:sz w:val="24"/>
      <w:szCs w:val="20"/>
    </w:rPr>
  </w:style>
  <w:style w:type="paragraph" w:customStyle="1" w:styleId="213">
    <w:name w:val="xl24"/>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hint="eastAsia" w:ascii="楷体_GB2312" w:hAnsi="宋体" w:eastAsia="楷体_GB2312"/>
      <w:kern w:val="0"/>
      <w:sz w:val="24"/>
    </w:rPr>
  </w:style>
  <w:style w:type="paragraph" w:customStyle="1" w:styleId="214">
    <w:name w:val="正文1"/>
    <w:basedOn w:val="1"/>
    <w:qFormat/>
    <w:uiPriority w:val="0"/>
    <w:pPr>
      <w:widowControl/>
      <w:overflowPunct w:val="0"/>
      <w:autoSpaceDE w:val="0"/>
      <w:autoSpaceDN w:val="0"/>
      <w:adjustRightInd w:val="0"/>
    </w:pPr>
    <w:rPr>
      <w:rFonts w:ascii="宋体"/>
      <w:kern w:val="0"/>
      <w:szCs w:val="20"/>
    </w:rPr>
  </w:style>
  <w:style w:type="paragraph" w:customStyle="1" w:styleId="215">
    <w:name w:val="样式 标题 3 + (中文) 黑体 小四 非加粗 段前: 7.8 磅 段后: 0 磅 行距: 固定值 20 磅"/>
    <w:basedOn w:val="5"/>
    <w:qFormat/>
    <w:uiPriority w:val="0"/>
    <w:pPr>
      <w:spacing w:before="0" w:after="0" w:line="400" w:lineRule="exact"/>
    </w:pPr>
    <w:rPr>
      <w:rFonts w:eastAsia="黑体" w:cs="宋体"/>
      <w:b w:val="0"/>
      <w:bCs w:val="0"/>
      <w:kern w:val="0"/>
      <w:sz w:val="24"/>
      <w:szCs w:val="20"/>
    </w:rPr>
  </w:style>
  <w:style w:type="paragraph" w:customStyle="1" w:styleId="216">
    <w:name w:val="正文首行缩进两字符"/>
    <w:basedOn w:val="1"/>
    <w:qFormat/>
    <w:uiPriority w:val="0"/>
    <w:pPr>
      <w:spacing w:line="360" w:lineRule="auto"/>
      <w:ind w:firstLine="200" w:firstLineChars="200"/>
    </w:pPr>
  </w:style>
  <w:style w:type="paragraph" w:customStyle="1" w:styleId="217">
    <w:name w:val="一级条标题"/>
    <w:next w:val="173"/>
    <w:qFormat/>
    <w:uiPriority w:val="0"/>
    <w:pPr>
      <w:ind w:left="284"/>
      <w:outlineLvl w:val="2"/>
    </w:pPr>
    <w:rPr>
      <w:rFonts w:ascii="Times New Roman" w:hAnsi="Times New Roman" w:eastAsia="黑体" w:cs="Times New Roman"/>
      <w:sz w:val="21"/>
      <w:lang w:val="en-US" w:eastAsia="zh-CN" w:bidi="ar-SA"/>
    </w:rPr>
  </w:style>
  <w:style w:type="paragraph" w:customStyle="1" w:styleId="218">
    <w:name w:val="1."/>
    <w:basedOn w:val="1"/>
    <w:qFormat/>
    <w:uiPriority w:val="0"/>
    <w:pPr>
      <w:spacing w:line="360" w:lineRule="auto"/>
      <w:ind w:firstLine="480" w:firstLineChars="200"/>
    </w:pPr>
    <w:rPr>
      <w:rFonts w:ascii="宋体" w:hAnsi="宋体"/>
      <w:sz w:val="24"/>
    </w:rPr>
  </w:style>
  <w:style w:type="paragraph" w:customStyle="1" w:styleId="219">
    <w:name w:val="样式 首行缩进:  2 字符"/>
    <w:basedOn w:val="1"/>
    <w:qFormat/>
    <w:uiPriority w:val="0"/>
    <w:pPr>
      <w:spacing w:line="400" w:lineRule="exact"/>
      <w:ind w:firstLine="200" w:firstLineChars="200"/>
    </w:pPr>
    <w:rPr>
      <w:rFonts w:cs="宋体"/>
      <w:sz w:val="24"/>
    </w:rPr>
  </w:style>
  <w:style w:type="paragraph" w:customStyle="1" w:styleId="220">
    <w:name w:val="Char Char3 Char Char"/>
    <w:basedOn w:val="1"/>
    <w:qFormat/>
    <w:uiPriority w:val="0"/>
  </w:style>
  <w:style w:type="paragraph" w:customStyle="1" w:styleId="221">
    <w:name w:val="Char12"/>
    <w:basedOn w:val="1"/>
    <w:qFormat/>
    <w:uiPriority w:val="0"/>
    <w:rPr>
      <w:szCs w:val="21"/>
    </w:rPr>
  </w:style>
  <w:style w:type="paragraph" w:customStyle="1" w:styleId="222">
    <w:name w:val="F2"/>
    <w:basedOn w:val="1"/>
    <w:qFormat/>
    <w:uiPriority w:val="0"/>
    <w:pPr>
      <w:autoSpaceDE w:val="0"/>
      <w:autoSpaceDN w:val="0"/>
      <w:adjustRightInd w:val="0"/>
      <w:ind w:firstLine="601"/>
      <w:textAlignment w:val="baseline"/>
    </w:pPr>
    <w:rPr>
      <w:kern w:val="0"/>
      <w:sz w:val="24"/>
      <w:szCs w:val="20"/>
    </w:rPr>
  </w:style>
  <w:style w:type="paragraph" w:customStyle="1" w:styleId="223">
    <w:name w:val="默认段落字体 Para Char Char Char Char Char Char Char Char Char Char Char Char Char Char Char Char Char Char Char"/>
    <w:basedOn w:val="1"/>
    <w:qFormat/>
    <w:uiPriority w:val="0"/>
    <w:rPr>
      <w:rFonts w:ascii="Calibri" w:hAnsi="Calibri"/>
      <w:szCs w:val="22"/>
    </w:rPr>
  </w:style>
  <w:style w:type="paragraph" w:customStyle="1" w:styleId="224">
    <w:name w:val="样式6"/>
    <w:basedOn w:val="7"/>
    <w:qFormat/>
    <w:uiPriority w:val="0"/>
    <w:pPr>
      <w:numPr>
        <w:numId w:val="0"/>
      </w:numPr>
      <w:spacing w:line="360" w:lineRule="auto"/>
      <w:ind w:left="210" w:leftChars="100"/>
    </w:pPr>
    <w:rPr>
      <w:rFonts w:ascii="宋体" w:hAnsi="宋体" w:cs="Arial"/>
      <w:bCs/>
      <w:sz w:val="24"/>
    </w:rPr>
  </w:style>
  <w:style w:type="paragraph" w:customStyle="1" w:styleId="225">
    <w:name w:val="前言、引言标题"/>
    <w:next w:val="1"/>
    <w:qFormat/>
    <w:uiPriority w:val="0"/>
    <w:pPr>
      <w:shd w:val="clear" w:color="FFFFFF" w:fill="FFFFFF"/>
      <w:spacing w:before="640" w:after="560"/>
      <w:ind w:left="900" w:hanging="420"/>
      <w:jc w:val="center"/>
      <w:outlineLvl w:val="0"/>
    </w:pPr>
    <w:rPr>
      <w:rFonts w:ascii="黑体" w:hAnsi="Times New Roman" w:eastAsia="黑体" w:cs="Times New Roman"/>
      <w:sz w:val="32"/>
      <w:lang w:val="en-US" w:eastAsia="zh-CN" w:bidi="ar-SA"/>
    </w:rPr>
  </w:style>
  <w:style w:type="paragraph" w:customStyle="1" w:styleId="226">
    <w:name w:val="Tabletext"/>
    <w:basedOn w:val="1"/>
    <w:qFormat/>
    <w:uiPriority w:val="0"/>
    <w:pPr>
      <w:keepLines/>
      <w:spacing w:after="120" w:line="240" w:lineRule="atLeast"/>
      <w:jc w:val="left"/>
    </w:pPr>
    <w:rPr>
      <w:rFonts w:ascii="宋体"/>
      <w:snapToGrid w:val="0"/>
      <w:kern w:val="0"/>
      <w:sz w:val="20"/>
      <w:szCs w:val="20"/>
    </w:rPr>
  </w:style>
  <w:style w:type="paragraph" w:customStyle="1" w:styleId="227">
    <w:name w:val="修订1"/>
    <w:unhideWhenUsed/>
    <w:qFormat/>
    <w:uiPriority w:val="99"/>
    <w:rPr>
      <w:rFonts w:ascii="Times New Roman" w:hAnsi="Times New Roman" w:eastAsia="宋体" w:cs="Times New Roman"/>
      <w:kern w:val="2"/>
      <w:sz w:val="21"/>
      <w:szCs w:val="24"/>
      <w:lang w:val="en-US" w:eastAsia="zh-CN" w:bidi="ar-SA"/>
    </w:rPr>
  </w:style>
  <w:style w:type="paragraph" w:customStyle="1" w:styleId="228">
    <w:name w:val="样式5"/>
    <w:basedOn w:val="4"/>
    <w:qFormat/>
    <w:uiPriority w:val="0"/>
    <w:pPr>
      <w:keepLines/>
      <w:adjustRightInd/>
      <w:spacing w:before="260" w:after="260"/>
      <w:ind w:left="420" w:leftChars="200"/>
      <w:jc w:val="both"/>
    </w:pPr>
    <w:rPr>
      <w:rFonts w:ascii="宋体" w:hAnsi="宋体" w:eastAsia="宋体"/>
      <w:bCs/>
      <w:sz w:val="24"/>
      <w:szCs w:val="24"/>
    </w:rPr>
  </w:style>
  <w:style w:type="paragraph" w:customStyle="1" w:styleId="229">
    <w:name w:val="默认段落字体 Para Char Char Char Char Char Char Char Char Char1 Char Char Char Char"/>
    <w:basedOn w:val="1"/>
    <w:qFormat/>
    <w:uiPriority w:val="0"/>
    <w:rPr>
      <w:rFonts w:ascii="Tahoma" w:hAnsi="Tahoma"/>
      <w:sz w:val="24"/>
      <w:szCs w:val="20"/>
    </w:rPr>
  </w:style>
  <w:style w:type="paragraph" w:customStyle="1" w:styleId="230">
    <w:name w:val="2-2ji"/>
    <w:basedOn w:val="4"/>
    <w:qFormat/>
    <w:uiPriority w:val="0"/>
    <w:pPr>
      <w:keepLines/>
      <w:spacing w:before="0"/>
      <w:textAlignment w:val="baseline"/>
    </w:pPr>
    <w:rPr>
      <w:rFonts w:ascii="宋体" w:hAnsi="宋体" w:eastAsia="宋体"/>
      <w:sz w:val="36"/>
      <w:szCs w:val="32"/>
    </w:rPr>
  </w:style>
  <w:style w:type="paragraph" w:customStyle="1" w:styleId="231">
    <w:name w:val="表格文字"/>
    <w:basedOn w:val="1"/>
    <w:qFormat/>
    <w:uiPriority w:val="99"/>
    <w:pPr>
      <w:spacing w:before="25" w:after="25"/>
      <w:jc w:val="left"/>
    </w:pPr>
    <w:rPr>
      <w:bCs/>
      <w:spacing w:val="10"/>
      <w:kern w:val="0"/>
      <w:sz w:val="24"/>
    </w:rPr>
  </w:style>
  <w:style w:type="paragraph" w:customStyle="1" w:styleId="232">
    <w:name w:val="Normal (Web)_file_872_file_882"/>
    <w:basedOn w:val="1"/>
    <w:semiHidden/>
    <w:unhideWhenUsed/>
    <w:qFormat/>
    <w:uiPriority w:val="99"/>
    <w:pPr>
      <w:widowControl/>
      <w:spacing w:before="100" w:beforeAutospacing="1" w:after="100" w:afterAutospacing="1"/>
      <w:jc w:val="left"/>
    </w:pPr>
    <w:rPr>
      <w:rFonts w:ascii="宋体" w:hAnsi="宋体" w:cs="宋体"/>
      <w:kern w:val="0"/>
      <w:sz w:val="24"/>
    </w:rPr>
  </w:style>
  <w:style w:type="character" w:customStyle="1" w:styleId="233">
    <w:name w:val="正文文本首行缩进 2 字符"/>
    <w:basedOn w:val="70"/>
    <w:link w:val="47"/>
    <w:semiHidden/>
    <w:qFormat/>
    <w:uiPriority w:val="0"/>
    <w:rPr>
      <w:kern w:val="2"/>
      <w:sz w:val="21"/>
      <w:szCs w:val="24"/>
    </w:rPr>
  </w:style>
  <w:style w:type="paragraph" w:customStyle="1" w:styleId="234">
    <w:name w:val="Table Text"/>
    <w:basedOn w:val="1"/>
    <w:semiHidden/>
    <w:qFormat/>
    <w:uiPriority w:val="0"/>
    <w:rPr>
      <w:rFonts w:ascii="宋体" w:hAnsi="宋体" w:cs="宋体"/>
      <w:sz w:val="19"/>
      <w:szCs w:val="19"/>
      <w:lang w:eastAsia="en-US"/>
    </w:rPr>
  </w:style>
  <w:style w:type="table" w:customStyle="1" w:styleId="235">
    <w:name w:val="Table Normal"/>
    <w:semiHidden/>
    <w:unhideWhenUsed/>
    <w:qFormat/>
    <w:uiPriority w:val="0"/>
    <w:tblPr>
      <w:tblCellMar>
        <w:top w:w="0" w:type="dxa"/>
        <w:left w:w="0" w:type="dxa"/>
        <w:bottom w:w="0" w:type="dxa"/>
        <w:right w:w="0" w:type="dxa"/>
      </w:tblCellMar>
    </w:tblPr>
  </w:style>
  <w:style w:type="paragraph" w:customStyle="1" w:styleId="236">
    <w:name w:val="Normal_file_8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37">
    <w:name w:val="heading 3_file_873"/>
    <w:basedOn w:val="236"/>
    <w:next w:val="3"/>
    <w:qFormat/>
    <w:uiPriority w:val="0"/>
    <w:pPr>
      <w:keepNext/>
      <w:keepLines/>
      <w:spacing w:before="260" w:after="260" w:line="416" w:lineRule="auto"/>
      <w:outlineLvl w:val="2"/>
    </w:pPr>
    <w:rPr>
      <w:b/>
      <w:bCs/>
      <w:sz w:val="32"/>
      <w:szCs w:val="32"/>
    </w:rPr>
  </w:style>
  <w:style w:type="character" w:customStyle="1" w:styleId="238">
    <w:name w:val="Default Paragraph Font_file_873"/>
    <w:semiHidden/>
    <w:qFormat/>
    <w:uiPriority w:val="0"/>
  </w:style>
  <w:style w:type="table" w:customStyle="1" w:styleId="239">
    <w:name w:val="Normal Table_file_873"/>
    <w:semiHidden/>
    <w:qFormat/>
    <w:uiPriority w:val="0"/>
    <w:tblPr>
      <w:tblCellMar>
        <w:top w:w="0" w:type="dxa"/>
        <w:left w:w="108" w:type="dxa"/>
        <w:bottom w:w="0" w:type="dxa"/>
        <w:right w:w="108" w:type="dxa"/>
      </w:tblCellMar>
    </w:tblPr>
  </w:style>
  <w:style w:type="paragraph" w:customStyle="1" w:styleId="240">
    <w:name w:val="annotation text_file_873"/>
    <w:basedOn w:val="236"/>
    <w:qFormat/>
    <w:uiPriority w:val="0"/>
    <w:pPr>
      <w:jc w:val="left"/>
    </w:pPr>
  </w:style>
  <w:style w:type="paragraph" w:customStyle="1" w:styleId="241">
    <w:name w:val="Body Text_file_873"/>
    <w:basedOn w:val="236"/>
    <w:qFormat/>
    <w:uiPriority w:val="0"/>
    <w:pPr>
      <w:spacing w:line="420" w:lineRule="exact"/>
    </w:pPr>
    <w:rPr>
      <w:sz w:val="24"/>
    </w:rPr>
  </w:style>
  <w:style w:type="paragraph" w:customStyle="1" w:styleId="242">
    <w:name w:val="footer_file_873"/>
    <w:basedOn w:val="236"/>
    <w:next w:val="3"/>
    <w:qFormat/>
    <w:uiPriority w:val="99"/>
    <w:pPr>
      <w:tabs>
        <w:tab w:val="center" w:pos="4153"/>
        <w:tab w:val="right" w:pos="8306"/>
      </w:tabs>
      <w:snapToGrid w:val="0"/>
      <w:jc w:val="left"/>
    </w:pPr>
    <w:rPr>
      <w:sz w:val="18"/>
      <w:szCs w:val="18"/>
    </w:rPr>
  </w:style>
  <w:style w:type="table" w:customStyle="1" w:styleId="243">
    <w:name w:val="Normal Table_file_322_file_615_file_300_file_873"/>
    <w:semiHidden/>
    <w:qFormat/>
    <w:uiPriority w:val="0"/>
    <w:tblPr>
      <w:tblCellMar>
        <w:top w:w="0" w:type="dxa"/>
        <w:left w:w="108" w:type="dxa"/>
        <w:bottom w:w="0" w:type="dxa"/>
        <w:right w:w="108" w:type="dxa"/>
      </w:tblCellMar>
    </w:tblPr>
  </w:style>
  <w:style w:type="paragraph" w:customStyle="1" w:styleId="244">
    <w:name w:val="Plain Text_file_322_file_615_file_300_file_873"/>
    <w:basedOn w:val="245"/>
    <w:qFormat/>
    <w:uiPriority w:val="0"/>
    <w:rPr>
      <w:rFonts w:ascii="宋体" w:hAnsi="Courier New" w:cs="Courier New"/>
      <w:szCs w:val="21"/>
    </w:rPr>
  </w:style>
  <w:style w:type="paragraph" w:customStyle="1" w:styleId="245">
    <w:name w:val="Normal_file_322_file_615_file_300_file_873"/>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6">
    <w:name w:val="Table Paragraph_file_2846_file_873"/>
    <w:basedOn w:val="247"/>
    <w:qFormat/>
    <w:uiPriority w:val="1"/>
    <w:pPr>
      <w:autoSpaceDE w:val="0"/>
      <w:autoSpaceDN w:val="0"/>
      <w:adjustRightInd w:val="0"/>
      <w:jc w:val="left"/>
    </w:pPr>
    <w:rPr>
      <w:rFonts w:ascii="黑体" w:eastAsia="黑体" w:cs="黑体"/>
      <w:kern w:val="0"/>
      <w:sz w:val="24"/>
    </w:rPr>
  </w:style>
  <w:style w:type="paragraph" w:customStyle="1" w:styleId="247">
    <w:name w:val="Normal_file_2846_file_87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48">
    <w:name w:val="Normal_file_87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49">
    <w:name w:val="heading 1_file_874"/>
    <w:basedOn w:val="248"/>
    <w:qFormat/>
    <w:uiPriority w:val="9"/>
    <w:pPr>
      <w:outlineLvl w:val="0"/>
    </w:pPr>
    <w:rPr>
      <w:kern w:val="36"/>
      <w:sz w:val="48"/>
      <w:szCs w:val="48"/>
    </w:rPr>
  </w:style>
  <w:style w:type="paragraph" w:customStyle="1" w:styleId="250">
    <w:name w:val="heading 2_file_874"/>
    <w:basedOn w:val="248"/>
    <w:qFormat/>
    <w:uiPriority w:val="9"/>
    <w:pPr>
      <w:outlineLvl w:val="1"/>
    </w:pPr>
    <w:rPr>
      <w:sz w:val="36"/>
      <w:szCs w:val="36"/>
    </w:rPr>
  </w:style>
  <w:style w:type="paragraph" w:customStyle="1" w:styleId="251">
    <w:name w:val="heading 3_file_874"/>
    <w:basedOn w:val="248"/>
    <w:qFormat/>
    <w:uiPriority w:val="9"/>
    <w:pPr>
      <w:outlineLvl w:val="2"/>
    </w:pPr>
    <w:rPr>
      <w:sz w:val="27"/>
      <w:szCs w:val="27"/>
    </w:rPr>
  </w:style>
  <w:style w:type="paragraph" w:customStyle="1" w:styleId="252">
    <w:name w:val="heading 4_file_874"/>
    <w:basedOn w:val="248"/>
    <w:qFormat/>
    <w:uiPriority w:val="9"/>
    <w:pPr>
      <w:outlineLvl w:val="3"/>
    </w:pPr>
  </w:style>
  <w:style w:type="paragraph" w:customStyle="1" w:styleId="253">
    <w:name w:val="heading 5_file_874"/>
    <w:basedOn w:val="248"/>
    <w:qFormat/>
    <w:uiPriority w:val="9"/>
    <w:pPr>
      <w:outlineLvl w:val="4"/>
    </w:pPr>
    <w:rPr>
      <w:sz w:val="20"/>
      <w:szCs w:val="20"/>
    </w:rPr>
  </w:style>
  <w:style w:type="paragraph" w:customStyle="1" w:styleId="254">
    <w:name w:val="heading 6_file_874"/>
    <w:basedOn w:val="248"/>
    <w:qFormat/>
    <w:uiPriority w:val="9"/>
    <w:pPr>
      <w:outlineLvl w:val="5"/>
    </w:pPr>
    <w:rPr>
      <w:sz w:val="15"/>
      <w:szCs w:val="15"/>
    </w:rPr>
  </w:style>
  <w:style w:type="character" w:customStyle="1" w:styleId="255">
    <w:name w:val="Default Paragraph Font_file_874"/>
    <w:semiHidden/>
    <w:unhideWhenUsed/>
    <w:qFormat/>
    <w:uiPriority w:val="1"/>
  </w:style>
  <w:style w:type="table" w:customStyle="1" w:styleId="256">
    <w:name w:val="Normal Table_file_874"/>
    <w:semiHidden/>
    <w:unhideWhenUsed/>
    <w:qFormat/>
    <w:uiPriority w:val="99"/>
    <w:tblPr>
      <w:tblCellMar>
        <w:top w:w="0" w:type="dxa"/>
        <w:left w:w="108" w:type="dxa"/>
        <w:bottom w:w="0" w:type="dxa"/>
        <w:right w:w="108" w:type="dxa"/>
      </w:tblCellMar>
    </w:tblPr>
  </w:style>
  <w:style w:type="character" w:customStyle="1" w:styleId="257">
    <w:name w:val="Hyperlink_file_874"/>
    <w:basedOn w:val="255"/>
    <w:semiHidden/>
    <w:unhideWhenUsed/>
    <w:qFormat/>
    <w:uiPriority w:val="99"/>
    <w:rPr>
      <w:color w:val="0782C1"/>
      <w:u w:val="single"/>
    </w:rPr>
  </w:style>
  <w:style w:type="character" w:customStyle="1" w:styleId="258">
    <w:name w:val="FollowedHyperlink_file_874"/>
    <w:basedOn w:val="255"/>
    <w:semiHidden/>
    <w:unhideWhenUsed/>
    <w:qFormat/>
    <w:uiPriority w:val="99"/>
    <w:rPr>
      <w:color w:val="0782C1"/>
      <w:u w:val="single"/>
    </w:rPr>
  </w:style>
  <w:style w:type="character" w:customStyle="1" w:styleId="259">
    <w:name w:val="标题 1 Char_file_874"/>
    <w:basedOn w:val="255"/>
    <w:qFormat/>
    <w:uiPriority w:val="9"/>
    <w:rPr>
      <w:rFonts w:ascii="宋体" w:hAnsi="宋体" w:eastAsia="宋体" w:cs="宋体"/>
      <w:b/>
      <w:bCs/>
      <w:kern w:val="44"/>
      <w:sz w:val="44"/>
      <w:szCs w:val="44"/>
    </w:rPr>
  </w:style>
  <w:style w:type="character" w:customStyle="1" w:styleId="260">
    <w:name w:val="标题 2 Char_file_874"/>
    <w:basedOn w:val="255"/>
    <w:semiHidden/>
    <w:qFormat/>
    <w:uiPriority w:val="9"/>
    <w:rPr>
      <w:rFonts w:asciiTheme="majorHAnsi" w:hAnsiTheme="majorHAnsi" w:eastAsiaTheme="majorEastAsia" w:cstheme="majorBidi"/>
      <w:b/>
      <w:bCs/>
      <w:sz w:val="32"/>
      <w:szCs w:val="32"/>
    </w:rPr>
  </w:style>
  <w:style w:type="character" w:customStyle="1" w:styleId="261">
    <w:name w:val="标题 3 Char_file_874"/>
    <w:basedOn w:val="255"/>
    <w:semiHidden/>
    <w:qFormat/>
    <w:uiPriority w:val="9"/>
    <w:rPr>
      <w:rFonts w:ascii="宋体" w:hAnsi="宋体" w:eastAsia="宋体" w:cs="宋体"/>
      <w:b/>
      <w:bCs/>
      <w:sz w:val="32"/>
      <w:szCs w:val="32"/>
    </w:rPr>
  </w:style>
  <w:style w:type="character" w:customStyle="1" w:styleId="262">
    <w:name w:val="标题 4 Char_file_874"/>
    <w:basedOn w:val="255"/>
    <w:semiHidden/>
    <w:qFormat/>
    <w:uiPriority w:val="9"/>
    <w:rPr>
      <w:rFonts w:asciiTheme="majorHAnsi" w:hAnsiTheme="majorHAnsi" w:eastAsiaTheme="majorEastAsia" w:cstheme="majorBidi"/>
      <w:b/>
      <w:bCs/>
      <w:sz w:val="28"/>
      <w:szCs w:val="28"/>
    </w:rPr>
  </w:style>
  <w:style w:type="character" w:customStyle="1" w:styleId="263">
    <w:name w:val="标题 5 Char_file_874"/>
    <w:basedOn w:val="255"/>
    <w:semiHidden/>
    <w:qFormat/>
    <w:uiPriority w:val="9"/>
    <w:rPr>
      <w:rFonts w:ascii="宋体" w:hAnsi="宋体" w:eastAsia="宋体" w:cs="宋体"/>
      <w:b/>
      <w:bCs/>
      <w:sz w:val="28"/>
      <w:szCs w:val="28"/>
    </w:rPr>
  </w:style>
  <w:style w:type="character" w:customStyle="1" w:styleId="264">
    <w:name w:val="标题 6 Char_file_874"/>
    <w:basedOn w:val="255"/>
    <w:semiHidden/>
    <w:qFormat/>
    <w:uiPriority w:val="9"/>
    <w:rPr>
      <w:rFonts w:asciiTheme="majorHAnsi" w:hAnsiTheme="majorHAnsi" w:eastAsiaTheme="majorEastAsia" w:cstheme="majorBidi"/>
      <w:b/>
      <w:bCs/>
      <w:sz w:val="24"/>
      <w:szCs w:val="24"/>
    </w:rPr>
  </w:style>
  <w:style w:type="paragraph" w:customStyle="1" w:styleId="265">
    <w:name w:val="cke_editable_file_874"/>
    <w:basedOn w:val="248"/>
    <w:qFormat/>
    <w:uiPriority w:val="0"/>
    <w:rPr>
      <w:rFonts w:ascii="仿宋_GB2312" w:eastAsia="仿宋_GB2312"/>
    </w:rPr>
  </w:style>
  <w:style w:type="paragraph" w:customStyle="1" w:styleId="266">
    <w:name w:val="marker_file_874"/>
    <w:basedOn w:val="248"/>
    <w:qFormat/>
    <w:uiPriority w:val="0"/>
    <w:pPr>
      <w:shd w:val="clear" w:color="auto" w:fill="FFFF00"/>
    </w:pPr>
  </w:style>
  <w:style w:type="paragraph" w:customStyle="1" w:styleId="267">
    <w:name w:val="Normal (Web)_file_874"/>
    <w:basedOn w:val="248"/>
    <w:semiHidden/>
    <w:unhideWhenUsed/>
    <w:qFormat/>
    <w:uiPriority w:val="99"/>
  </w:style>
  <w:style w:type="paragraph" w:customStyle="1" w:styleId="268">
    <w:name w:val="Normal_file_87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269">
    <w:name w:val="heading 1_file_875"/>
    <w:basedOn w:val="268"/>
    <w:qFormat/>
    <w:uiPriority w:val="9"/>
    <w:pPr>
      <w:outlineLvl w:val="0"/>
    </w:pPr>
    <w:rPr>
      <w:kern w:val="36"/>
      <w:sz w:val="48"/>
      <w:szCs w:val="48"/>
    </w:rPr>
  </w:style>
  <w:style w:type="paragraph" w:customStyle="1" w:styleId="270">
    <w:name w:val="heading 2_file_875"/>
    <w:basedOn w:val="268"/>
    <w:qFormat/>
    <w:uiPriority w:val="9"/>
    <w:pPr>
      <w:outlineLvl w:val="1"/>
    </w:pPr>
    <w:rPr>
      <w:sz w:val="36"/>
      <w:szCs w:val="36"/>
    </w:rPr>
  </w:style>
  <w:style w:type="paragraph" w:customStyle="1" w:styleId="271">
    <w:name w:val="heading 3_file_875"/>
    <w:basedOn w:val="268"/>
    <w:qFormat/>
    <w:uiPriority w:val="9"/>
    <w:pPr>
      <w:outlineLvl w:val="2"/>
    </w:pPr>
    <w:rPr>
      <w:sz w:val="27"/>
      <w:szCs w:val="27"/>
    </w:rPr>
  </w:style>
  <w:style w:type="paragraph" w:customStyle="1" w:styleId="272">
    <w:name w:val="heading 4_file_875"/>
    <w:basedOn w:val="268"/>
    <w:qFormat/>
    <w:uiPriority w:val="9"/>
    <w:pPr>
      <w:outlineLvl w:val="3"/>
    </w:pPr>
  </w:style>
  <w:style w:type="paragraph" w:customStyle="1" w:styleId="273">
    <w:name w:val="heading 5_file_875"/>
    <w:basedOn w:val="268"/>
    <w:qFormat/>
    <w:uiPriority w:val="9"/>
    <w:pPr>
      <w:outlineLvl w:val="4"/>
    </w:pPr>
    <w:rPr>
      <w:sz w:val="20"/>
      <w:szCs w:val="20"/>
    </w:rPr>
  </w:style>
  <w:style w:type="paragraph" w:customStyle="1" w:styleId="274">
    <w:name w:val="heading 6_file_875"/>
    <w:basedOn w:val="268"/>
    <w:qFormat/>
    <w:uiPriority w:val="9"/>
    <w:pPr>
      <w:outlineLvl w:val="5"/>
    </w:pPr>
    <w:rPr>
      <w:sz w:val="15"/>
      <w:szCs w:val="15"/>
    </w:rPr>
  </w:style>
  <w:style w:type="character" w:customStyle="1" w:styleId="275">
    <w:name w:val="Default Paragraph Font_file_875"/>
    <w:semiHidden/>
    <w:unhideWhenUsed/>
    <w:qFormat/>
    <w:uiPriority w:val="1"/>
  </w:style>
  <w:style w:type="table" w:customStyle="1" w:styleId="276">
    <w:name w:val="Normal Table_file_875"/>
    <w:semiHidden/>
    <w:unhideWhenUsed/>
    <w:qFormat/>
    <w:uiPriority w:val="99"/>
    <w:tblPr>
      <w:tblCellMar>
        <w:top w:w="0" w:type="dxa"/>
        <w:left w:w="108" w:type="dxa"/>
        <w:bottom w:w="0" w:type="dxa"/>
        <w:right w:w="108" w:type="dxa"/>
      </w:tblCellMar>
    </w:tblPr>
  </w:style>
  <w:style w:type="character" w:customStyle="1" w:styleId="277">
    <w:name w:val="Hyperlink_file_875"/>
    <w:basedOn w:val="275"/>
    <w:semiHidden/>
    <w:unhideWhenUsed/>
    <w:qFormat/>
    <w:uiPriority w:val="99"/>
    <w:rPr>
      <w:color w:val="0782C1"/>
      <w:u w:val="single"/>
    </w:rPr>
  </w:style>
  <w:style w:type="character" w:customStyle="1" w:styleId="278">
    <w:name w:val="FollowedHyperlink_file_875"/>
    <w:basedOn w:val="275"/>
    <w:semiHidden/>
    <w:unhideWhenUsed/>
    <w:qFormat/>
    <w:uiPriority w:val="99"/>
    <w:rPr>
      <w:color w:val="0782C1"/>
      <w:u w:val="single"/>
    </w:rPr>
  </w:style>
  <w:style w:type="character" w:customStyle="1" w:styleId="279">
    <w:name w:val="标题 1 Char_file_875"/>
    <w:basedOn w:val="275"/>
    <w:qFormat/>
    <w:uiPriority w:val="9"/>
    <w:rPr>
      <w:rFonts w:ascii="宋体" w:hAnsi="宋体" w:eastAsia="宋体" w:cs="宋体"/>
      <w:b/>
      <w:bCs/>
      <w:kern w:val="44"/>
      <w:sz w:val="44"/>
      <w:szCs w:val="44"/>
    </w:rPr>
  </w:style>
  <w:style w:type="character" w:customStyle="1" w:styleId="280">
    <w:name w:val="标题 2 Char_file_875"/>
    <w:basedOn w:val="275"/>
    <w:semiHidden/>
    <w:qFormat/>
    <w:uiPriority w:val="9"/>
    <w:rPr>
      <w:rFonts w:asciiTheme="majorHAnsi" w:hAnsiTheme="majorHAnsi" w:eastAsiaTheme="majorEastAsia" w:cstheme="majorBidi"/>
      <w:b/>
      <w:bCs/>
      <w:sz w:val="32"/>
      <w:szCs w:val="32"/>
    </w:rPr>
  </w:style>
  <w:style w:type="character" w:customStyle="1" w:styleId="281">
    <w:name w:val="标题 3 Char_file_875"/>
    <w:basedOn w:val="275"/>
    <w:semiHidden/>
    <w:qFormat/>
    <w:uiPriority w:val="9"/>
    <w:rPr>
      <w:rFonts w:ascii="宋体" w:hAnsi="宋体" w:eastAsia="宋体" w:cs="宋体"/>
      <w:b/>
      <w:bCs/>
      <w:sz w:val="32"/>
      <w:szCs w:val="32"/>
    </w:rPr>
  </w:style>
  <w:style w:type="character" w:customStyle="1" w:styleId="282">
    <w:name w:val="标题 4 Char_file_875"/>
    <w:basedOn w:val="275"/>
    <w:semiHidden/>
    <w:qFormat/>
    <w:uiPriority w:val="9"/>
    <w:rPr>
      <w:rFonts w:asciiTheme="majorHAnsi" w:hAnsiTheme="majorHAnsi" w:eastAsiaTheme="majorEastAsia" w:cstheme="majorBidi"/>
      <w:b/>
      <w:bCs/>
      <w:sz w:val="28"/>
      <w:szCs w:val="28"/>
    </w:rPr>
  </w:style>
  <w:style w:type="character" w:customStyle="1" w:styleId="283">
    <w:name w:val="标题 5 Char_file_875"/>
    <w:basedOn w:val="275"/>
    <w:semiHidden/>
    <w:qFormat/>
    <w:uiPriority w:val="9"/>
    <w:rPr>
      <w:rFonts w:ascii="宋体" w:hAnsi="宋体" w:eastAsia="宋体" w:cs="宋体"/>
      <w:b/>
      <w:bCs/>
      <w:sz w:val="28"/>
      <w:szCs w:val="28"/>
    </w:rPr>
  </w:style>
  <w:style w:type="character" w:customStyle="1" w:styleId="284">
    <w:name w:val="标题 6 Char_file_875"/>
    <w:basedOn w:val="275"/>
    <w:semiHidden/>
    <w:qFormat/>
    <w:uiPriority w:val="9"/>
    <w:rPr>
      <w:rFonts w:asciiTheme="majorHAnsi" w:hAnsiTheme="majorHAnsi" w:eastAsiaTheme="majorEastAsia" w:cstheme="majorBidi"/>
      <w:b/>
      <w:bCs/>
      <w:sz w:val="24"/>
      <w:szCs w:val="24"/>
    </w:rPr>
  </w:style>
  <w:style w:type="paragraph" w:customStyle="1" w:styleId="285">
    <w:name w:val="cke_editable_file_875"/>
    <w:basedOn w:val="268"/>
    <w:qFormat/>
    <w:uiPriority w:val="0"/>
    <w:rPr>
      <w:rFonts w:ascii="仿宋_GB2312" w:eastAsia="仿宋_GB2312"/>
    </w:rPr>
  </w:style>
  <w:style w:type="paragraph" w:customStyle="1" w:styleId="286">
    <w:name w:val="marker_file_875"/>
    <w:basedOn w:val="268"/>
    <w:qFormat/>
    <w:uiPriority w:val="0"/>
    <w:pPr>
      <w:shd w:val="clear" w:color="auto" w:fill="FFFF00"/>
    </w:pPr>
  </w:style>
  <w:style w:type="paragraph" w:customStyle="1" w:styleId="287">
    <w:name w:val="Normal (Web)_file_875"/>
    <w:basedOn w:val="268"/>
    <w:semiHidden/>
    <w:unhideWhenUsed/>
    <w:qFormat/>
    <w:uiPriority w:val="99"/>
  </w:style>
  <w:style w:type="paragraph" w:customStyle="1" w:styleId="288">
    <w:name w:val="Normal_file_876"/>
    <w:next w:val="4"/>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89">
    <w:name w:val="heading 2_file_876"/>
    <w:basedOn w:val="288"/>
    <w:next w:val="3"/>
    <w:qFormat/>
    <w:uiPriority w:val="0"/>
    <w:pPr>
      <w:keepNext/>
      <w:adjustRightInd w:val="0"/>
      <w:spacing w:before="120" w:line="360" w:lineRule="auto"/>
      <w:jc w:val="center"/>
      <w:outlineLvl w:val="1"/>
    </w:pPr>
    <w:rPr>
      <w:rFonts w:eastAsia="隶书"/>
      <w:b/>
      <w:kern w:val="0"/>
      <w:sz w:val="44"/>
      <w:szCs w:val="20"/>
    </w:rPr>
  </w:style>
  <w:style w:type="paragraph" w:customStyle="1" w:styleId="290">
    <w:name w:val="heading 3_file_876"/>
    <w:basedOn w:val="288"/>
    <w:next w:val="3"/>
    <w:qFormat/>
    <w:uiPriority w:val="0"/>
    <w:pPr>
      <w:keepNext/>
      <w:keepLines/>
      <w:spacing w:before="260" w:after="260" w:line="416" w:lineRule="auto"/>
      <w:outlineLvl w:val="2"/>
    </w:pPr>
    <w:rPr>
      <w:b/>
      <w:bCs/>
      <w:sz w:val="32"/>
      <w:szCs w:val="32"/>
    </w:rPr>
  </w:style>
  <w:style w:type="paragraph" w:customStyle="1" w:styleId="291">
    <w:name w:val="heading 5_file_876"/>
    <w:basedOn w:val="288"/>
    <w:next w:val="9"/>
    <w:qFormat/>
    <w:uiPriority w:val="0"/>
    <w:pPr>
      <w:keepNext/>
      <w:keepLines/>
      <w:spacing w:before="280" w:after="290" w:line="376" w:lineRule="auto"/>
      <w:ind w:left="2580" w:hanging="420"/>
      <w:outlineLvl w:val="4"/>
    </w:pPr>
    <w:rPr>
      <w:b/>
      <w:sz w:val="28"/>
    </w:rPr>
  </w:style>
  <w:style w:type="paragraph" w:customStyle="1" w:styleId="292">
    <w:name w:val="heading 6_file_876"/>
    <w:basedOn w:val="288"/>
    <w:next w:val="9"/>
    <w:qFormat/>
    <w:uiPriority w:val="0"/>
    <w:pPr>
      <w:keepNext/>
      <w:keepLines/>
      <w:spacing w:before="240" w:after="64" w:line="320" w:lineRule="auto"/>
      <w:ind w:left="3000" w:hanging="420"/>
      <w:outlineLvl w:val="5"/>
    </w:pPr>
    <w:rPr>
      <w:rFonts w:ascii="Arial" w:hAnsi="Arial" w:eastAsia="黑体"/>
      <w:b/>
      <w:sz w:val="24"/>
    </w:rPr>
  </w:style>
  <w:style w:type="character" w:customStyle="1" w:styleId="293">
    <w:name w:val="Default Paragraph Font_file_876"/>
    <w:semiHidden/>
    <w:qFormat/>
    <w:uiPriority w:val="0"/>
  </w:style>
  <w:style w:type="table" w:customStyle="1" w:styleId="294">
    <w:name w:val="Normal Table_file_876"/>
    <w:semiHidden/>
    <w:qFormat/>
    <w:uiPriority w:val="0"/>
    <w:tblPr>
      <w:tblCellMar>
        <w:top w:w="0" w:type="dxa"/>
        <w:left w:w="108" w:type="dxa"/>
        <w:bottom w:w="0" w:type="dxa"/>
        <w:right w:w="108" w:type="dxa"/>
      </w:tblCellMar>
    </w:tblPr>
  </w:style>
  <w:style w:type="paragraph" w:customStyle="1" w:styleId="295">
    <w:name w:val="Body Text Indent 3_file_876"/>
    <w:basedOn w:val="288"/>
    <w:qFormat/>
    <w:uiPriority w:val="0"/>
    <w:pPr>
      <w:spacing w:after="120"/>
      <w:ind w:left="420" w:leftChars="200"/>
    </w:pPr>
    <w:rPr>
      <w:sz w:val="16"/>
      <w:szCs w:val="16"/>
    </w:rPr>
  </w:style>
  <w:style w:type="paragraph" w:customStyle="1" w:styleId="296">
    <w:name w:val="Normal Indent_file_876"/>
    <w:basedOn w:val="288"/>
    <w:qFormat/>
    <w:uiPriority w:val="0"/>
    <w:pPr>
      <w:spacing w:line="240" w:lineRule="atLeast"/>
      <w:ind w:left="900" w:hanging="900"/>
      <w:jc w:val="left"/>
    </w:pPr>
    <w:rPr>
      <w:rFonts w:ascii="宋体"/>
      <w:snapToGrid w:val="0"/>
      <w:kern w:val="0"/>
      <w:sz w:val="20"/>
      <w:szCs w:val="20"/>
    </w:rPr>
  </w:style>
  <w:style w:type="table" w:customStyle="1" w:styleId="297">
    <w:name w:val="Normal Table_file_592_file_509_file_669_file_674_file_3138_file_2436_file_876"/>
    <w:semiHidden/>
    <w:qFormat/>
    <w:uiPriority w:val="0"/>
    <w:tblPr>
      <w:tblCellMar>
        <w:top w:w="0" w:type="dxa"/>
        <w:left w:w="108" w:type="dxa"/>
        <w:bottom w:w="0" w:type="dxa"/>
        <w:right w:w="108" w:type="dxa"/>
      </w:tblCellMar>
    </w:tblPr>
  </w:style>
  <w:style w:type="paragraph" w:customStyle="1" w:styleId="298">
    <w:name w:val="Plain Text_file_592_file_509_file_669_file_674_file_3138_file_2436_file_876"/>
    <w:basedOn w:val="299"/>
    <w:qFormat/>
    <w:uiPriority w:val="0"/>
    <w:rPr>
      <w:rFonts w:ascii="宋体" w:hAnsi="Courier New" w:cs="Courier New"/>
      <w:szCs w:val="21"/>
    </w:rPr>
  </w:style>
  <w:style w:type="paragraph" w:customStyle="1" w:styleId="299">
    <w:name w:val="Normal_file_592_file_509_file_669_file_674_file_3138_file_2436_file_876"/>
    <w:qFormat/>
    <w:uiPriority w:val="0"/>
    <w:pPr>
      <w:widowControl w:val="0"/>
      <w:jc w:val="both"/>
    </w:pPr>
    <w:rPr>
      <w:rFonts w:ascii="Times New Roman" w:hAnsi="Times New Roman" w:eastAsia="宋体" w:cs="Times New Roman"/>
      <w:kern w:val="2"/>
      <w:sz w:val="21"/>
      <w:szCs w:val="24"/>
      <w:lang w:val="en-US" w:eastAsia="zh-CN" w:bidi="ar-SA"/>
    </w:rPr>
  </w:style>
  <w:style w:type="table" w:customStyle="1" w:styleId="300">
    <w:name w:val="Normal Table_file_2436_file_876"/>
    <w:semiHidden/>
    <w:qFormat/>
    <w:uiPriority w:val="0"/>
    <w:tblPr>
      <w:tblCellMar>
        <w:top w:w="0" w:type="dxa"/>
        <w:left w:w="108" w:type="dxa"/>
        <w:bottom w:w="0" w:type="dxa"/>
        <w:right w:w="108" w:type="dxa"/>
      </w:tblCellMar>
    </w:tblPr>
  </w:style>
  <w:style w:type="paragraph" w:customStyle="1" w:styleId="301">
    <w:name w:val="表格文字_file_1251_file_2792_file_2436_file_876"/>
    <w:basedOn w:val="302"/>
    <w:qFormat/>
    <w:uiPriority w:val="0"/>
    <w:pPr>
      <w:spacing w:before="25" w:after="25"/>
      <w:jc w:val="left"/>
    </w:pPr>
    <w:rPr>
      <w:rFonts w:ascii="Calibri" w:hAnsi="Calibri"/>
      <w:bCs/>
      <w:spacing w:val="10"/>
      <w:kern w:val="0"/>
      <w:sz w:val="24"/>
    </w:rPr>
  </w:style>
  <w:style w:type="paragraph" w:customStyle="1" w:styleId="302">
    <w:name w:val="Normal_file_1251_file_2792_file_2436_file_876"/>
    <w:next w:val="6"/>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3">
    <w:name w:val="表格文字_file_423_file_342_file_1251_file_2792_file_2436_file_876"/>
    <w:basedOn w:val="302"/>
    <w:qFormat/>
    <w:uiPriority w:val="0"/>
    <w:pPr>
      <w:spacing w:before="25" w:after="25"/>
      <w:jc w:val="left"/>
    </w:pPr>
    <w:rPr>
      <w:rFonts w:ascii="Calibri" w:hAnsi="Calibri"/>
      <w:bCs/>
      <w:spacing w:val="10"/>
      <w:kern w:val="0"/>
      <w:sz w:val="24"/>
    </w:rPr>
  </w:style>
  <w:style w:type="paragraph" w:customStyle="1" w:styleId="304">
    <w:name w:val="Plain Text_file_1251_file_2792_file_2436_file_876"/>
    <w:basedOn w:val="302"/>
    <w:qFormat/>
    <w:uiPriority w:val="0"/>
    <w:rPr>
      <w:rFonts w:ascii="宋体" w:hAnsi="Courier New" w:cs="Courier New"/>
      <w:szCs w:val="21"/>
    </w:rPr>
  </w:style>
  <w:style w:type="paragraph" w:customStyle="1" w:styleId="305">
    <w:name w:val="Plain Text_file_423_file_1527_file_1194_file_3008_file_1207_file_253_file_2436_file_876"/>
    <w:basedOn w:val="306"/>
    <w:qFormat/>
    <w:uiPriority w:val="0"/>
    <w:rPr>
      <w:rFonts w:ascii="宋体" w:hAnsi="Courier New" w:cs="Courier New"/>
      <w:szCs w:val="21"/>
    </w:rPr>
  </w:style>
  <w:style w:type="paragraph" w:customStyle="1" w:styleId="306">
    <w:name w:val="Normal_file_423_file_1527_file_1194_file_3008_file_1207_file_253_file_2436_file_876"/>
    <w:next w:val="1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7">
    <w:name w:val="Plain Text_file_3008_file_1207_file_253_file_2436_file_876"/>
    <w:basedOn w:val="308"/>
    <w:qFormat/>
    <w:uiPriority w:val="0"/>
    <w:rPr>
      <w:rFonts w:ascii="宋体" w:hAnsi="Courier New" w:cs="Courier New"/>
      <w:szCs w:val="21"/>
    </w:rPr>
  </w:style>
  <w:style w:type="paragraph" w:customStyle="1" w:styleId="308">
    <w:name w:val="Normal_file_3008_file_1207_file_253_file_2436_file_876"/>
    <w:next w:val="7"/>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9">
    <w:name w:val="Plain Text_file_423_file_342_file_1251_file_2792_file_2436_file_876"/>
    <w:basedOn w:val="302"/>
    <w:qFormat/>
    <w:uiPriority w:val="0"/>
    <w:rPr>
      <w:rFonts w:ascii="宋体" w:hAnsi="Courier New" w:cs="Courier New"/>
      <w:szCs w:val="21"/>
    </w:rPr>
  </w:style>
  <w:style w:type="paragraph" w:customStyle="1" w:styleId="310">
    <w:name w:val="Normal_file_8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11">
    <w:name w:val="heading 1_file_877"/>
    <w:basedOn w:val="310"/>
    <w:qFormat/>
    <w:uiPriority w:val="9"/>
    <w:pPr>
      <w:outlineLvl w:val="0"/>
    </w:pPr>
    <w:rPr>
      <w:kern w:val="36"/>
      <w:sz w:val="48"/>
      <w:szCs w:val="48"/>
    </w:rPr>
  </w:style>
  <w:style w:type="paragraph" w:customStyle="1" w:styleId="312">
    <w:name w:val="heading 2_file_877"/>
    <w:basedOn w:val="310"/>
    <w:qFormat/>
    <w:uiPriority w:val="9"/>
    <w:pPr>
      <w:outlineLvl w:val="1"/>
    </w:pPr>
    <w:rPr>
      <w:sz w:val="36"/>
      <w:szCs w:val="36"/>
    </w:rPr>
  </w:style>
  <w:style w:type="paragraph" w:customStyle="1" w:styleId="313">
    <w:name w:val="heading 3_file_877"/>
    <w:basedOn w:val="310"/>
    <w:qFormat/>
    <w:uiPriority w:val="9"/>
    <w:pPr>
      <w:outlineLvl w:val="2"/>
    </w:pPr>
    <w:rPr>
      <w:sz w:val="27"/>
      <w:szCs w:val="27"/>
    </w:rPr>
  </w:style>
  <w:style w:type="paragraph" w:customStyle="1" w:styleId="314">
    <w:name w:val="heading 4_file_877"/>
    <w:basedOn w:val="310"/>
    <w:qFormat/>
    <w:uiPriority w:val="9"/>
    <w:pPr>
      <w:outlineLvl w:val="3"/>
    </w:pPr>
  </w:style>
  <w:style w:type="paragraph" w:customStyle="1" w:styleId="315">
    <w:name w:val="heading 5_file_877"/>
    <w:basedOn w:val="310"/>
    <w:qFormat/>
    <w:uiPriority w:val="9"/>
    <w:pPr>
      <w:outlineLvl w:val="4"/>
    </w:pPr>
    <w:rPr>
      <w:sz w:val="20"/>
      <w:szCs w:val="20"/>
    </w:rPr>
  </w:style>
  <w:style w:type="paragraph" w:customStyle="1" w:styleId="316">
    <w:name w:val="heading 6_file_877"/>
    <w:basedOn w:val="310"/>
    <w:qFormat/>
    <w:uiPriority w:val="9"/>
    <w:pPr>
      <w:outlineLvl w:val="5"/>
    </w:pPr>
    <w:rPr>
      <w:sz w:val="15"/>
      <w:szCs w:val="15"/>
    </w:rPr>
  </w:style>
  <w:style w:type="character" w:customStyle="1" w:styleId="317">
    <w:name w:val="Default Paragraph Font_file_877"/>
    <w:semiHidden/>
    <w:unhideWhenUsed/>
    <w:qFormat/>
    <w:uiPriority w:val="1"/>
  </w:style>
  <w:style w:type="table" w:customStyle="1" w:styleId="318">
    <w:name w:val="Normal Table_file_877"/>
    <w:semiHidden/>
    <w:unhideWhenUsed/>
    <w:qFormat/>
    <w:uiPriority w:val="99"/>
    <w:tblPr>
      <w:tblCellMar>
        <w:top w:w="0" w:type="dxa"/>
        <w:left w:w="108" w:type="dxa"/>
        <w:bottom w:w="0" w:type="dxa"/>
        <w:right w:w="108" w:type="dxa"/>
      </w:tblCellMar>
    </w:tblPr>
  </w:style>
  <w:style w:type="character" w:customStyle="1" w:styleId="319">
    <w:name w:val="Hyperlink_file_877"/>
    <w:basedOn w:val="317"/>
    <w:semiHidden/>
    <w:unhideWhenUsed/>
    <w:qFormat/>
    <w:uiPriority w:val="99"/>
    <w:rPr>
      <w:color w:val="0782C1"/>
      <w:u w:val="single"/>
    </w:rPr>
  </w:style>
  <w:style w:type="character" w:customStyle="1" w:styleId="320">
    <w:name w:val="FollowedHyperlink_file_877"/>
    <w:basedOn w:val="317"/>
    <w:semiHidden/>
    <w:unhideWhenUsed/>
    <w:qFormat/>
    <w:uiPriority w:val="99"/>
    <w:rPr>
      <w:color w:val="0782C1"/>
      <w:u w:val="single"/>
    </w:rPr>
  </w:style>
  <w:style w:type="character" w:customStyle="1" w:styleId="321">
    <w:name w:val="标题 1 Char_file_877"/>
    <w:basedOn w:val="317"/>
    <w:qFormat/>
    <w:uiPriority w:val="9"/>
    <w:rPr>
      <w:rFonts w:ascii="宋体" w:hAnsi="宋体" w:eastAsia="宋体" w:cs="宋体"/>
      <w:b/>
      <w:bCs/>
      <w:kern w:val="44"/>
      <w:sz w:val="44"/>
      <w:szCs w:val="44"/>
    </w:rPr>
  </w:style>
  <w:style w:type="character" w:customStyle="1" w:styleId="322">
    <w:name w:val="标题 2 Char_file_877"/>
    <w:basedOn w:val="317"/>
    <w:semiHidden/>
    <w:qFormat/>
    <w:uiPriority w:val="9"/>
    <w:rPr>
      <w:rFonts w:asciiTheme="majorHAnsi" w:hAnsiTheme="majorHAnsi" w:eastAsiaTheme="majorEastAsia" w:cstheme="majorBidi"/>
      <w:b/>
      <w:bCs/>
      <w:sz w:val="32"/>
      <w:szCs w:val="32"/>
    </w:rPr>
  </w:style>
  <w:style w:type="character" w:customStyle="1" w:styleId="323">
    <w:name w:val="标题 3 Char_file_877"/>
    <w:basedOn w:val="317"/>
    <w:semiHidden/>
    <w:qFormat/>
    <w:uiPriority w:val="9"/>
    <w:rPr>
      <w:rFonts w:ascii="宋体" w:hAnsi="宋体" w:eastAsia="宋体" w:cs="宋体"/>
      <w:b/>
      <w:bCs/>
      <w:sz w:val="32"/>
      <w:szCs w:val="32"/>
    </w:rPr>
  </w:style>
  <w:style w:type="character" w:customStyle="1" w:styleId="324">
    <w:name w:val="标题 4 Char_file_877"/>
    <w:basedOn w:val="317"/>
    <w:semiHidden/>
    <w:qFormat/>
    <w:uiPriority w:val="9"/>
    <w:rPr>
      <w:rFonts w:asciiTheme="majorHAnsi" w:hAnsiTheme="majorHAnsi" w:eastAsiaTheme="majorEastAsia" w:cstheme="majorBidi"/>
      <w:b/>
      <w:bCs/>
      <w:sz w:val="28"/>
      <w:szCs w:val="28"/>
    </w:rPr>
  </w:style>
  <w:style w:type="character" w:customStyle="1" w:styleId="325">
    <w:name w:val="标题 5 Char_file_877"/>
    <w:basedOn w:val="317"/>
    <w:semiHidden/>
    <w:qFormat/>
    <w:uiPriority w:val="9"/>
    <w:rPr>
      <w:rFonts w:ascii="宋体" w:hAnsi="宋体" w:eastAsia="宋体" w:cs="宋体"/>
      <w:b/>
      <w:bCs/>
      <w:sz w:val="28"/>
      <w:szCs w:val="28"/>
    </w:rPr>
  </w:style>
  <w:style w:type="character" w:customStyle="1" w:styleId="326">
    <w:name w:val="标题 6 Char_file_877"/>
    <w:basedOn w:val="317"/>
    <w:semiHidden/>
    <w:qFormat/>
    <w:uiPriority w:val="9"/>
    <w:rPr>
      <w:rFonts w:asciiTheme="majorHAnsi" w:hAnsiTheme="majorHAnsi" w:eastAsiaTheme="majorEastAsia" w:cstheme="majorBidi"/>
      <w:b/>
      <w:bCs/>
      <w:sz w:val="24"/>
      <w:szCs w:val="24"/>
    </w:rPr>
  </w:style>
  <w:style w:type="paragraph" w:customStyle="1" w:styleId="327">
    <w:name w:val="cke_editable_file_877"/>
    <w:basedOn w:val="310"/>
    <w:qFormat/>
    <w:uiPriority w:val="0"/>
    <w:rPr>
      <w:rFonts w:ascii="仿宋_GB2312" w:eastAsia="仿宋_GB2312"/>
    </w:rPr>
  </w:style>
  <w:style w:type="paragraph" w:customStyle="1" w:styleId="328">
    <w:name w:val="marker_file_877"/>
    <w:basedOn w:val="310"/>
    <w:qFormat/>
    <w:uiPriority w:val="0"/>
    <w:pPr>
      <w:shd w:val="clear" w:color="auto" w:fill="FFFF00"/>
    </w:pPr>
  </w:style>
  <w:style w:type="paragraph" w:customStyle="1" w:styleId="329">
    <w:name w:val="Normal (Web)_file_877"/>
    <w:basedOn w:val="310"/>
    <w:semiHidden/>
    <w:unhideWhenUsed/>
    <w:qFormat/>
    <w:uiPriority w:val="99"/>
  </w:style>
  <w:style w:type="paragraph" w:customStyle="1" w:styleId="330">
    <w:name w:val="Normal_file_87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31">
    <w:name w:val="heading 1_file_878"/>
    <w:basedOn w:val="330"/>
    <w:qFormat/>
    <w:uiPriority w:val="9"/>
    <w:pPr>
      <w:outlineLvl w:val="0"/>
    </w:pPr>
    <w:rPr>
      <w:kern w:val="36"/>
      <w:sz w:val="48"/>
      <w:szCs w:val="48"/>
    </w:rPr>
  </w:style>
  <w:style w:type="paragraph" w:customStyle="1" w:styleId="332">
    <w:name w:val="heading 2_file_878"/>
    <w:basedOn w:val="330"/>
    <w:qFormat/>
    <w:uiPriority w:val="9"/>
    <w:pPr>
      <w:outlineLvl w:val="1"/>
    </w:pPr>
    <w:rPr>
      <w:sz w:val="36"/>
      <w:szCs w:val="36"/>
    </w:rPr>
  </w:style>
  <w:style w:type="paragraph" w:customStyle="1" w:styleId="333">
    <w:name w:val="heading 3_file_878"/>
    <w:basedOn w:val="330"/>
    <w:qFormat/>
    <w:uiPriority w:val="9"/>
    <w:pPr>
      <w:outlineLvl w:val="2"/>
    </w:pPr>
    <w:rPr>
      <w:sz w:val="27"/>
      <w:szCs w:val="27"/>
    </w:rPr>
  </w:style>
  <w:style w:type="paragraph" w:customStyle="1" w:styleId="334">
    <w:name w:val="heading 4_file_878"/>
    <w:basedOn w:val="330"/>
    <w:qFormat/>
    <w:uiPriority w:val="9"/>
    <w:pPr>
      <w:outlineLvl w:val="3"/>
    </w:pPr>
  </w:style>
  <w:style w:type="paragraph" w:customStyle="1" w:styleId="335">
    <w:name w:val="heading 5_file_878"/>
    <w:basedOn w:val="330"/>
    <w:qFormat/>
    <w:uiPriority w:val="9"/>
    <w:pPr>
      <w:outlineLvl w:val="4"/>
    </w:pPr>
    <w:rPr>
      <w:sz w:val="20"/>
      <w:szCs w:val="20"/>
    </w:rPr>
  </w:style>
  <w:style w:type="paragraph" w:customStyle="1" w:styleId="336">
    <w:name w:val="heading 6_file_878"/>
    <w:basedOn w:val="330"/>
    <w:qFormat/>
    <w:uiPriority w:val="9"/>
    <w:pPr>
      <w:outlineLvl w:val="5"/>
    </w:pPr>
    <w:rPr>
      <w:sz w:val="15"/>
      <w:szCs w:val="15"/>
    </w:rPr>
  </w:style>
  <w:style w:type="character" w:customStyle="1" w:styleId="337">
    <w:name w:val="Default Paragraph Font_file_878"/>
    <w:semiHidden/>
    <w:unhideWhenUsed/>
    <w:qFormat/>
    <w:uiPriority w:val="1"/>
  </w:style>
  <w:style w:type="table" w:customStyle="1" w:styleId="338">
    <w:name w:val="Normal Table_file_878"/>
    <w:semiHidden/>
    <w:unhideWhenUsed/>
    <w:qFormat/>
    <w:uiPriority w:val="99"/>
    <w:tblPr>
      <w:tblCellMar>
        <w:top w:w="0" w:type="dxa"/>
        <w:left w:w="108" w:type="dxa"/>
        <w:bottom w:w="0" w:type="dxa"/>
        <w:right w:w="108" w:type="dxa"/>
      </w:tblCellMar>
    </w:tblPr>
  </w:style>
  <w:style w:type="character" w:customStyle="1" w:styleId="339">
    <w:name w:val="Hyperlink_file_878"/>
    <w:basedOn w:val="337"/>
    <w:semiHidden/>
    <w:unhideWhenUsed/>
    <w:qFormat/>
    <w:uiPriority w:val="99"/>
    <w:rPr>
      <w:color w:val="0782C1"/>
      <w:u w:val="single"/>
    </w:rPr>
  </w:style>
  <w:style w:type="character" w:customStyle="1" w:styleId="340">
    <w:name w:val="FollowedHyperlink_file_878"/>
    <w:basedOn w:val="337"/>
    <w:semiHidden/>
    <w:unhideWhenUsed/>
    <w:qFormat/>
    <w:uiPriority w:val="99"/>
    <w:rPr>
      <w:color w:val="0782C1"/>
      <w:u w:val="single"/>
    </w:rPr>
  </w:style>
  <w:style w:type="character" w:customStyle="1" w:styleId="341">
    <w:name w:val="标题 1 Char_file_878"/>
    <w:basedOn w:val="337"/>
    <w:qFormat/>
    <w:uiPriority w:val="9"/>
    <w:rPr>
      <w:rFonts w:ascii="宋体" w:hAnsi="宋体" w:eastAsia="宋体" w:cs="宋体"/>
      <w:b/>
      <w:bCs/>
      <w:kern w:val="44"/>
      <w:sz w:val="44"/>
      <w:szCs w:val="44"/>
    </w:rPr>
  </w:style>
  <w:style w:type="character" w:customStyle="1" w:styleId="342">
    <w:name w:val="标题 2 Char_file_878"/>
    <w:basedOn w:val="337"/>
    <w:semiHidden/>
    <w:qFormat/>
    <w:uiPriority w:val="9"/>
    <w:rPr>
      <w:rFonts w:asciiTheme="majorHAnsi" w:hAnsiTheme="majorHAnsi" w:eastAsiaTheme="majorEastAsia" w:cstheme="majorBidi"/>
      <w:b/>
      <w:bCs/>
      <w:sz w:val="32"/>
      <w:szCs w:val="32"/>
    </w:rPr>
  </w:style>
  <w:style w:type="character" w:customStyle="1" w:styleId="343">
    <w:name w:val="标题 3 Char_file_878"/>
    <w:basedOn w:val="337"/>
    <w:semiHidden/>
    <w:qFormat/>
    <w:uiPriority w:val="9"/>
    <w:rPr>
      <w:rFonts w:ascii="宋体" w:hAnsi="宋体" w:eastAsia="宋体" w:cs="宋体"/>
      <w:b/>
      <w:bCs/>
      <w:sz w:val="32"/>
      <w:szCs w:val="32"/>
    </w:rPr>
  </w:style>
  <w:style w:type="character" w:customStyle="1" w:styleId="344">
    <w:name w:val="标题 4 Char_file_878"/>
    <w:basedOn w:val="337"/>
    <w:semiHidden/>
    <w:qFormat/>
    <w:uiPriority w:val="9"/>
    <w:rPr>
      <w:rFonts w:asciiTheme="majorHAnsi" w:hAnsiTheme="majorHAnsi" w:eastAsiaTheme="majorEastAsia" w:cstheme="majorBidi"/>
      <w:b/>
      <w:bCs/>
      <w:sz w:val="28"/>
      <w:szCs w:val="28"/>
    </w:rPr>
  </w:style>
  <w:style w:type="character" w:customStyle="1" w:styleId="345">
    <w:name w:val="标题 5 Char_file_878"/>
    <w:basedOn w:val="337"/>
    <w:semiHidden/>
    <w:qFormat/>
    <w:uiPriority w:val="9"/>
    <w:rPr>
      <w:rFonts w:ascii="宋体" w:hAnsi="宋体" w:eastAsia="宋体" w:cs="宋体"/>
      <w:b/>
      <w:bCs/>
      <w:sz w:val="28"/>
      <w:szCs w:val="28"/>
    </w:rPr>
  </w:style>
  <w:style w:type="character" w:customStyle="1" w:styleId="346">
    <w:name w:val="标题 6 Char_file_878"/>
    <w:basedOn w:val="337"/>
    <w:semiHidden/>
    <w:qFormat/>
    <w:uiPriority w:val="9"/>
    <w:rPr>
      <w:rFonts w:asciiTheme="majorHAnsi" w:hAnsiTheme="majorHAnsi" w:eastAsiaTheme="majorEastAsia" w:cstheme="majorBidi"/>
      <w:b/>
      <w:bCs/>
      <w:sz w:val="24"/>
      <w:szCs w:val="24"/>
    </w:rPr>
  </w:style>
  <w:style w:type="paragraph" w:customStyle="1" w:styleId="347">
    <w:name w:val="cke_editable_file_878"/>
    <w:basedOn w:val="330"/>
    <w:qFormat/>
    <w:uiPriority w:val="0"/>
    <w:rPr>
      <w:rFonts w:ascii="仿宋_GB2312" w:eastAsia="仿宋_GB2312"/>
    </w:rPr>
  </w:style>
  <w:style w:type="paragraph" w:customStyle="1" w:styleId="348">
    <w:name w:val="marker_file_878"/>
    <w:basedOn w:val="330"/>
    <w:qFormat/>
    <w:uiPriority w:val="0"/>
    <w:pPr>
      <w:shd w:val="clear" w:color="auto" w:fill="FFFF00"/>
    </w:pPr>
  </w:style>
  <w:style w:type="paragraph" w:customStyle="1" w:styleId="349">
    <w:name w:val="Normal (Web)_file_878"/>
    <w:basedOn w:val="330"/>
    <w:semiHidden/>
    <w:unhideWhenUsed/>
    <w:qFormat/>
    <w:uiPriority w:val="99"/>
  </w:style>
  <w:style w:type="paragraph" w:customStyle="1" w:styleId="350">
    <w:name w:val="Normal_file_87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51">
    <w:name w:val="heading 1_file_879"/>
    <w:basedOn w:val="350"/>
    <w:qFormat/>
    <w:uiPriority w:val="9"/>
    <w:pPr>
      <w:outlineLvl w:val="0"/>
    </w:pPr>
    <w:rPr>
      <w:kern w:val="36"/>
      <w:sz w:val="48"/>
      <w:szCs w:val="48"/>
    </w:rPr>
  </w:style>
  <w:style w:type="paragraph" w:customStyle="1" w:styleId="352">
    <w:name w:val="heading 2_file_879"/>
    <w:basedOn w:val="350"/>
    <w:qFormat/>
    <w:uiPriority w:val="9"/>
    <w:pPr>
      <w:outlineLvl w:val="1"/>
    </w:pPr>
    <w:rPr>
      <w:sz w:val="36"/>
      <w:szCs w:val="36"/>
    </w:rPr>
  </w:style>
  <w:style w:type="paragraph" w:customStyle="1" w:styleId="353">
    <w:name w:val="heading 3_file_879"/>
    <w:basedOn w:val="350"/>
    <w:qFormat/>
    <w:uiPriority w:val="9"/>
    <w:pPr>
      <w:outlineLvl w:val="2"/>
    </w:pPr>
    <w:rPr>
      <w:sz w:val="27"/>
      <w:szCs w:val="27"/>
    </w:rPr>
  </w:style>
  <w:style w:type="paragraph" w:customStyle="1" w:styleId="354">
    <w:name w:val="heading 4_file_879"/>
    <w:basedOn w:val="350"/>
    <w:qFormat/>
    <w:uiPriority w:val="9"/>
    <w:pPr>
      <w:outlineLvl w:val="3"/>
    </w:pPr>
  </w:style>
  <w:style w:type="paragraph" w:customStyle="1" w:styleId="355">
    <w:name w:val="heading 5_file_879"/>
    <w:basedOn w:val="350"/>
    <w:qFormat/>
    <w:uiPriority w:val="9"/>
    <w:pPr>
      <w:outlineLvl w:val="4"/>
    </w:pPr>
    <w:rPr>
      <w:sz w:val="20"/>
      <w:szCs w:val="20"/>
    </w:rPr>
  </w:style>
  <w:style w:type="paragraph" w:customStyle="1" w:styleId="356">
    <w:name w:val="heading 6_file_879"/>
    <w:basedOn w:val="350"/>
    <w:qFormat/>
    <w:uiPriority w:val="9"/>
    <w:pPr>
      <w:outlineLvl w:val="5"/>
    </w:pPr>
    <w:rPr>
      <w:sz w:val="15"/>
      <w:szCs w:val="15"/>
    </w:rPr>
  </w:style>
  <w:style w:type="character" w:customStyle="1" w:styleId="357">
    <w:name w:val="Default Paragraph Font_file_879"/>
    <w:semiHidden/>
    <w:unhideWhenUsed/>
    <w:qFormat/>
    <w:uiPriority w:val="1"/>
  </w:style>
  <w:style w:type="table" w:customStyle="1" w:styleId="358">
    <w:name w:val="Normal Table_file_879"/>
    <w:semiHidden/>
    <w:unhideWhenUsed/>
    <w:qFormat/>
    <w:uiPriority w:val="99"/>
    <w:tblPr>
      <w:tblCellMar>
        <w:top w:w="0" w:type="dxa"/>
        <w:left w:w="108" w:type="dxa"/>
        <w:bottom w:w="0" w:type="dxa"/>
        <w:right w:w="108" w:type="dxa"/>
      </w:tblCellMar>
    </w:tblPr>
  </w:style>
  <w:style w:type="character" w:customStyle="1" w:styleId="359">
    <w:name w:val="Hyperlink_file_879"/>
    <w:basedOn w:val="357"/>
    <w:semiHidden/>
    <w:unhideWhenUsed/>
    <w:qFormat/>
    <w:uiPriority w:val="99"/>
    <w:rPr>
      <w:color w:val="0782C1"/>
      <w:u w:val="single"/>
    </w:rPr>
  </w:style>
  <w:style w:type="character" w:customStyle="1" w:styleId="360">
    <w:name w:val="FollowedHyperlink_file_879"/>
    <w:basedOn w:val="357"/>
    <w:semiHidden/>
    <w:unhideWhenUsed/>
    <w:qFormat/>
    <w:uiPriority w:val="99"/>
    <w:rPr>
      <w:color w:val="0782C1"/>
      <w:u w:val="single"/>
    </w:rPr>
  </w:style>
  <w:style w:type="character" w:customStyle="1" w:styleId="361">
    <w:name w:val="标题 1 Char_file_879"/>
    <w:basedOn w:val="357"/>
    <w:qFormat/>
    <w:uiPriority w:val="9"/>
    <w:rPr>
      <w:rFonts w:ascii="宋体" w:hAnsi="宋体" w:eastAsia="宋体" w:cs="宋体"/>
      <w:b/>
      <w:bCs/>
      <w:kern w:val="44"/>
      <w:sz w:val="44"/>
      <w:szCs w:val="44"/>
    </w:rPr>
  </w:style>
  <w:style w:type="character" w:customStyle="1" w:styleId="362">
    <w:name w:val="标题 2 Char_file_879"/>
    <w:basedOn w:val="357"/>
    <w:semiHidden/>
    <w:qFormat/>
    <w:uiPriority w:val="9"/>
    <w:rPr>
      <w:rFonts w:asciiTheme="majorHAnsi" w:hAnsiTheme="majorHAnsi" w:eastAsiaTheme="majorEastAsia" w:cstheme="majorBidi"/>
      <w:b/>
      <w:bCs/>
      <w:sz w:val="32"/>
      <w:szCs w:val="32"/>
    </w:rPr>
  </w:style>
  <w:style w:type="character" w:customStyle="1" w:styleId="363">
    <w:name w:val="标题 3 Char_file_879"/>
    <w:basedOn w:val="357"/>
    <w:semiHidden/>
    <w:qFormat/>
    <w:uiPriority w:val="9"/>
    <w:rPr>
      <w:rFonts w:ascii="宋体" w:hAnsi="宋体" w:eastAsia="宋体" w:cs="宋体"/>
      <w:b/>
      <w:bCs/>
      <w:sz w:val="32"/>
      <w:szCs w:val="32"/>
    </w:rPr>
  </w:style>
  <w:style w:type="character" w:customStyle="1" w:styleId="364">
    <w:name w:val="标题 4 Char_file_879"/>
    <w:basedOn w:val="357"/>
    <w:semiHidden/>
    <w:qFormat/>
    <w:uiPriority w:val="9"/>
    <w:rPr>
      <w:rFonts w:asciiTheme="majorHAnsi" w:hAnsiTheme="majorHAnsi" w:eastAsiaTheme="majorEastAsia" w:cstheme="majorBidi"/>
      <w:b/>
      <w:bCs/>
      <w:sz w:val="28"/>
      <w:szCs w:val="28"/>
    </w:rPr>
  </w:style>
  <w:style w:type="character" w:customStyle="1" w:styleId="365">
    <w:name w:val="标题 5 Char_file_879"/>
    <w:basedOn w:val="357"/>
    <w:semiHidden/>
    <w:qFormat/>
    <w:uiPriority w:val="9"/>
    <w:rPr>
      <w:rFonts w:ascii="宋体" w:hAnsi="宋体" w:eastAsia="宋体" w:cs="宋体"/>
      <w:b/>
      <w:bCs/>
      <w:sz w:val="28"/>
      <w:szCs w:val="28"/>
    </w:rPr>
  </w:style>
  <w:style w:type="character" w:customStyle="1" w:styleId="366">
    <w:name w:val="标题 6 Char_file_879"/>
    <w:basedOn w:val="357"/>
    <w:semiHidden/>
    <w:qFormat/>
    <w:uiPriority w:val="9"/>
    <w:rPr>
      <w:rFonts w:asciiTheme="majorHAnsi" w:hAnsiTheme="majorHAnsi" w:eastAsiaTheme="majorEastAsia" w:cstheme="majorBidi"/>
      <w:b/>
      <w:bCs/>
      <w:sz w:val="24"/>
      <w:szCs w:val="24"/>
    </w:rPr>
  </w:style>
  <w:style w:type="paragraph" w:customStyle="1" w:styleId="367">
    <w:name w:val="cke_editable_file_879"/>
    <w:basedOn w:val="350"/>
    <w:qFormat/>
    <w:uiPriority w:val="0"/>
    <w:rPr>
      <w:rFonts w:ascii="仿宋_GB2312" w:eastAsia="仿宋_GB2312"/>
    </w:rPr>
  </w:style>
  <w:style w:type="paragraph" w:customStyle="1" w:styleId="368">
    <w:name w:val="marker_file_879"/>
    <w:basedOn w:val="350"/>
    <w:qFormat/>
    <w:uiPriority w:val="0"/>
    <w:pPr>
      <w:shd w:val="clear" w:color="auto" w:fill="FFFF00"/>
    </w:pPr>
  </w:style>
  <w:style w:type="paragraph" w:customStyle="1" w:styleId="369">
    <w:name w:val="Normal (Web)_file_879"/>
    <w:basedOn w:val="350"/>
    <w:semiHidden/>
    <w:unhideWhenUsed/>
    <w:qFormat/>
    <w:uiPriority w:val="99"/>
  </w:style>
  <w:style w:type="character" w:customStyle="1" w:styleId="370">
    <w:name w:val="Emphasis_file_879"/>
    <w:basedOn w:val="357"/>
    <w:qFormat/>
    <w:uiPriority w:val="20"/>
    <w:rPr>
      <w:i/>
      <w:iCs/>
    </w:rPr>
  </w:style>
  <w:style w:type="paragraph" w:customStyle="1" w:styleId="371">
    <w:name w:val="Normal_file_88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72">
    <w:name w:val="heading 1_file_880"/>
    <w:basedOn w:val="371"/>
    <w:qFormat/>
    <w:uiPriority w:val="9"/>
    <w:pPr>
      <w:outlineLvl w:val="0"/>
    </w:pPr>
    <w:rPr>
      <w:kern w:val="36"/>
      <w:sz w:val="48"/>
      <w:szCs w:val="48"/>
    </w:rPr>
  </w:style>
  <w:style w:type="paragraph" w:customStyle="1" w:styleId="373">
    <w:name w:val="heading 2_file_880"/>
    <w:basedOn w:val="371"/>
    <w:qFormat/>
    <w:uiPriority w:val="9"/>
    <w:pPr>
      <w:outlineLvl w:val="1"/>
    </w:pPr>
    <w:rPr>
      <w:sz w:val="36"/>
      <w:szCs w:val="36"/>
    </w:rPr>
  </w:style>
  <w:style w:type="paragraph" w:customStyle="1" w:styleId="374">
    <w:name w:val="heading 3_file_880"/>
    <w:basedOn w:val="371"/>
    <w:qFormat/>
    <w:uiPriority w:val="9"/>
    <w:pPr>
      <w:outlineLvl w:val="2"/>
    </w:pPr>
    <w:rPr>
      <w:sz w:val="27"/>
      <w:szCs w:val="27"/>
    </w:rPr>
  </w:style>
  <w:style w:type="paragraph" w:customStyle="1" w:styleId="375">
    <w:name w:val="heading 4_file_880"/>
    <w:basedOn w:val="371"/>
    <w:qFormat/>
    <w:uiPriority w:val="9"/>
    <w:pPr>
      <w:outlineLvl w:val="3"/>
    </w:pPr>
  </w:style>
  <w:style w:type="paragraph" w:customStyle="1" w:styleId="376">
    <w:name w:val="heading 5_file_880"/>
    <w:basedOn w:val="371"/>
    <w:qFormat/>
    <w:uiPriority w:val="9"/>
    <w:pPr>
      <w:outlineLvl w:val="4"/>
    </w:pPr>
    <w:rPr>
      <w:sz w:val="20"/>
      <w:szCs w:val="20"/>
    </w:rPr>
  </w:style>
  <w:style w:type="paragraph" w:customStyle="1" w:styleId="377">
    <w:name w:val="heading 6_file_880"/>
    <w:basedOn w:val="371"/>
    <w:qFormat/>
    <w:uiPriority w:val="9"/>
    <w:pPr>
      <w:outlineLvl w:val="5"/>
    </w:pPr>
    <w:rPr>
      <w:sz w:val="15"/>
      <w:szCs w:val="15"/>
    </w:rPr>
  </w:style>
  <w:style w:type="character" w:customStyle="1" w:styleId="378">
    <w:name w:val="Default Paragraph Font_file_880"/>
    <w:semiHidden/>
    <w:unhideWhenUsed/>
    <w:qFormat/>
    <w:uiPriority w:val="1"/>
  </w:style>
  <w:style w:type="table" w:customStyle="1" w:styleId="379">
    <w:name w:val="Normal Table_file_880"/>
    <w:semiHidden/>
    <w:unhideWhenUsed/>
    <w:qFormat/>
    <w:uiPriority w:val="99"/>
    <w:tblPr>
      <w:tblCellMar>
        <w:top w:w="0" w:type="dxa"/>
        <w:left w:w="108" w:type="dxa"/>
        <w:bottom w:w="0" w:type="dxa"/>
        <w:right w:w="108" w:type="dxa"/>
      </w:tblCellMar>
    </w:tblPr>
  </w:style>
  <w:style w:type="character" w:customStyle="1" w:styleId="380">
    <w:name w:val="Hyperlink_file_880"/>
    <w:basedOn w:val="378"/>
    <w:semiHidden/>
    <w:unhideWhenUsed/>
    <w:qFormat/>
    <w:uiPriority w:val="99"/>
    <w:rPr>
      <w:color w:val="0782C1"/>
      <w:u w:val="single"/>
    </w:rPr>
  </w:style>
  <w:style w:type="character" w:customStyle="1" w:styleId="381">
    <w:name w:val="FollowedHyperlink_file_880"/>
    <w:basedOn w:val="378"/>
    <w:semiHidden/>
    <w:unhideWhenUsed/>
    <w:qFormat/>
    <w:uiPriority w:val="99"/>
    <w:rPr>
      <w:color w:val="0782C1"/>
      <w:u w:val="single"/>
    </w:rPr>
  </w:style>
  <w:style w:type="character" w:customStyle="1" w:styleId="382">
    <w:name w:val="标题 1 Char_file_880"/>
    <w:basedOn w:val="378"/>
    <w:qFormat/>
    <w:uiPriority w:val="9"/>
    <w:rPr>
      <w:rFonts w:ascii="宋体" w:hAnsi="宋体" w:eastAsia="宋体" w:cs="宋体"/>
      <w:b/>
      <w:bCs/>
      <w:kern w:val="44"/>
      <w:sz w:val="44"/>
      <w:szCs w:val="44"/>
    </w:rPr>
  </w:style>
  <w:style w:type="character" w:customStyle="1" w:styleId="383">
    <w:name w:val="标题 2 Char_file_880"/>
    <w:basedOn w:val="378"/>
    <w:semiHidden/>
    <w:qFormat/>
    <w:uiPriority w:val="9"/>
    <w:rPr>
      <w:rFonts w:asciiTheme="majorHAnsi" w:hAnsiTheme="majorHAnsi" w:eastAsiaTheme="majorEastAsia" w:cstheme="majorBidi"/>
      <w:b/>
      <w:bCs/>
      <w:sz w:val="32"/>
      <w:szCs w:val="32"/>
    </w:rPr>
  </w:style>
  <w:style w:type="character" w:customStyle="1" w:styleId="384">
    <w:name w:val="标题 3 Char_file_880"/>
    <w:basedOn w:val="378"/>
    <w:semiHidden/>
    <w:qFormat/>
    <w:uiPriority w:val="9"/>
    <w:rPr>
      <w:rFonts w:ascii="宋体" w:hAnsi="宋体" w:eastAsia="宋体" w:cs="宋体"/>
      <w:b/>
      <w:bCs/>
      <w:sz w:val="32"/>
      <w:szCs w:val="32"/>
    </w:rPr>
  </w:style>
  <w:style w:type="character" w:customStyle="1" w:styleId="385">
    <w:name w:val="标题 4 Char_file_880"/>
    <w:basedOn w:val="378"/>
    <w:semiHidden/>
    <w:qFormat/>
    <w:uiPriority w:val="9"/>
    <w:rPr>
      <w:rFonts w:asciiTheme="majorHAnsi" w:hAnsiTheme="majorHAnsi" w:eastAsiaTheme="majorEastAsia" w:cstheme="majorBidi"/>
      <w:b/>
      <w:bCs/>
      <w:sz w:val="28"/>
      <w:szCs w:val="28"/>
    </w:rPr>
  </w:style>
  <w:style w:type="character" w:customStyle="1" w:styleId="386">
    <w:name w:val="标题 5 Char_file_880"/>
    <w:basedOn w:val="378"/>
    <w:semiHidden/>
    <w:qFormat/>
    <w:uiPriority w:val="9"/>
    <w:rPr>
      <w:rFonts w:ascii="宋体" w:hAnsi="宋体" w:eastAsia="宋体" w:cs="宋体"/>
      <w:b/>
      <w:bCs/>
      <w:sz w:val="28"/>
      <w:szCs w:val="28"/>
    </w:rPr>
  </w:style>
  <w:style w:type="character" w:customStyle="1" w:styleId="387">
    <w:name w:val="标题 6 Char_file_880"/>
    <w:basedOn w:val="378"/>
    <w:semiHidden/>
    <w:qFormat/>
    <w:uiPriority w:val="9"/>
    <w:rPr>
      <w:rFonts w:asciiTheme="majorHAnsi" w:hAnsiTheme="majorHAnsi" w:eastAsiaTheme="majorEastAsia" w:cstheme="majorBidi"/>
      <w:b/>
      <w:bCs/>
      <w:sz w:val="24"/>
      <w:szCs w:val="24"/>
    </w:rPr>
  </w:style>
  <w:style w:type="paragraph" w:customStyle="1" w:styleId="388">
    <w:name w:val="cke_editable_file_880"/>
    <w:basedOn w:val="371"/>
    <w:qFormat/>
    <w:uiPriority w:val="0"/>
    <w:rPr>
      <w:rFonts w:ascii="仿宋_GB2312" w:eastAsia="仿宋_GB2312"/>
    </w:rPr>
  </w:style>
  <w:style w:type="paragraph" w:customStyle="1" w:styleId="389">
    <w:name w:val="marker_file_880"/>
    <w:basedOn w:val="371"/>
    <w:qFormat/>
    <w:uiPriority w:val="0"/>
    <w:pPr>
      <w:shd w:val="clear" w:color="auto" w:fill="FFFF00"/>
    </w:pPr>
  </w:style>
  <w:style w:type="paragraph" w:customStyle="1" w:styleId="390">
    <w:name w:val="Normal (Web)_file_880"/>
    <w:basedOn w:val="371"/>
    <w:semiHidden/>
    <w:unhideWhenUsed/>
    <w:qFormat/>
    <w:uiPriority w:val="99"/>
  </w:style>
  <w:style w:type="paragraph" w:customStyle="1" w:styleId="391">
    <w:name w:val="Normal_file_88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392">
    <w:name w:val="heading 1_file_881"/>
    <w:basedOn w:val="391"/>
    <w:qFormat/>
    <w:uiPriority w:val="9"/>
    <w:pPr>
      <w:outlineLvl w:val="0"/>
    </w:pPr>
    <w:rPr>
      <w:kern w:val="36"/>
      <w:sz w:val="48"/>
      <w:szCs w:val="48"/>
    </w:rPr>
  </w:style>
  <w:style w:type="paragraph" w:customStyle="1" w:styleId="393">
    <w:name w:val="heading 2_file_881"/>
    <w:basedOn w:val="391"/>
    <w:qFormat/>
    <w:uiPriority w:val="9"/>
    <w:pPr>
      <w:outlineLvl w:val="1"/>
    </w:pPr>
    <w:rPr>
      <w:sz w:val="36"/>
      <w:szCs w:val="36"/>
    </w:rPr>
  </w:style>
  <w:style w:type="paragraph" w:customStyle="1" w:styleId="394">
    <w:name w:val="heading 3_file_881"/>
    <w:basedOn w:val="391"/>
    <w:qFormat/>
    <w:uiPriority w:val="9"/>
    <w:pPr>
      <w:outlineLvl w:val="2"/>
    </w:pPr>
    <w:rPr>
      <w:sz w:val="27"/>
      <w:szCs w:val="27"/>
    </w:rPr>
  </w:style>
  <w:style w:type="paragraph" w:customStyle="1" w:styleId="395">
    <w:name w:val="heading 4_file_881"/>
    <w:basedOn w:val="391"/>
    <w:qFormat/>
    <w:uiPriority w:val="9"/>
    <w:pPr>
      <w:outlineLvl w:val="3"/>
    </w:pPr>
  </w:style>
  <w:style w:type="paragraph" w:customStyle="1" w:styleId="396">
    <w:name w:val="heading 5_file_881"/>
    <w:basedOn w:val="391"/>
    <w:qFormat/>
    <w:uiPriority w:val="9"/>
    <w:pPr>
      <w:outlineLvl w:val="4"/>
    </w:pPr>
    <w:rPr>
      <w:sz w:val="20"/>
      <w:szCs w:val="20"/>
    </w:rPr>
  </w:style>
  <w:style w:type="paragraph" w:customStyle="1" w:styleId="397">
    <w:name w:val="heading 6_file_881"/>
    <w:basedOn w:val="391"/>
    <w:qFormat/>
    <w:uiPriority w:val="9"/>
    <w:pPr>
      <w:outlineLvl w:val="5"/>
    </w:pPr>
    <w:rPr>
      <w:sz w:val="15"/>
      <w:szCs w:val="15"/>
    </w:rPr>
  </w:style>
  <w:style w:type="character" w:customStyle="1" w:styleId="398">
    <w:name w:val="Default Paragraph Font_file_881"/>
    <w:semiHidden/>
    <w:unhideWhenUsed/>
    <w:qFormat/>
    <w:uiPriority w:val="1"/>
  </w:style>
  <w:style w:type="table" w:customStyle="1" w:styleId="399">
    <w:name w:val="Normal Table_file_881"/>
    <w:semiHidden/>
    <w:unhideWhenUsed/>
    <w:qFormat/>
    <w:uiPriority w:val="99"/>
    <w:tblPr>
      <w:tblCellMar>
        <w:top w:w="0" w:type="dxa"/>
        <w:left w:w="108" w:type="dxa"/>
        <w:bottom w:w="0" w:type="dxa"/>
        <w:right w:w="108" w:type="dxa"/>
      </w:tblCellMar>
    </w:tblPr>
  </w:style>
  <w:style w:type="character" w:customStyle="1" w:styleId="400">
    <w:name w:val="Hyperlink_file_881"/>
    <w:basedOn w:val="398"/>
    <w:semiHidden/>
    <w:unhideWhenUsed/>
    <w:qFormat/>
    <w:uiPriority w:val="99"/>
    <w:rPr>
      <w:color w:val="0782C1"/>
      <w:u w:val="single"/>
    </w:rPr>
  </w:style>
  <w:style w:type="character" w:customStyle="1" w:styleId="401">
    <w:name w:val="FollowedHyperlink_file_881"/>
    <w:basedOn w:val="398"/>
    <w:semiHidden/>
    <w:unhideWhenUsed/>
    <w:qFormat/>
    <w:uiPriority w:val="99"/>
    <w:rPr>
      <w:color w:val="0782C1"/>
      <w:u w:val="single"/>
    </w:rPr>
  </w:style>
  <w:style w:type="character" w:customStyle="1" w:styleId="402">
    <w:name w:val="标题 1 Char_file_881"/>
    <w:basedOn w:val="398"/>
    <w:qFormat/>
    <w:uiPriority w:val="9"/>
    <w:rPr>
      <w:rFonts w:ascii="宋体" w:hAnsi="宋体" w:eastAsia="宋体" w:cs="宋体"/>
      <w:b/>
      <w:bCs/>
      <w:kern w:val="44"/>
      <w:sz w:val="44"/>
      <w:szCs w:val="44"/>
    </w:rPr>
  </w:style>
  <w:style w:type="character" w:customStyle="1" w:styleId="403">
    <w:name w:val="标题 2 Char_file_881"/>
    <w:basedOn w:val="398"/>
    <w:semiHidden/>
    <w:qFormat/>
    <w:uiPriority w:val="9"/>
    <w:rPr>
      <w:rFonts w:asciiTheme="majorHAnsi" w:hAnsiTheme="majorHAnsi" w:eastAsiaTheme="majorEastAsia" w:cstheme="majorBidi"/>
      <w:b/>
      <w:bCs/>
      <w:sz w:val="32"/>
      <w:szCs w:val="32"/>
    </w:rPr>
  </w:style>
  <w:style w:type="character" w:customStyle="1" w:styleId="404">
    <w:name w:val="标题 3 Char_file_881"/>
    <w:basedOn w:val="398"/>
    <w:semiHidden/>
    <w:qFormat/>
    <w:uiPriority w:val="9"/>
    <w:rPr>
      <w:rFonts w:ascii="宋体" w:hAnsi="宋体" w:eastAsia="宋体" w:cs="宋体"/>
      <w:b/>
      <w:bCs/>
      <w:sz w:val="32"/>
      <w:szCs w:val="32"/>
    </w:rPr>
  </w:style>
  <w:style w:type="character" w:customStyle="1" w:styleId="405">
    <w:name w:val="标题 4 Char_file_881"/>
    <w:basedOn w:val="398"/>
    <w:semiHidden/>
    <w:qFormat/>
    <w:uiPriority w:val="9"/>
    <w:rPr>
      <w:rFonts w:asciiTheme="majorHAnsi" w:hAnsiTheme="majorHAnsi" w:eastAsiaTheme="majorEastAsia" w:cstheme="majorBidi"/>
      <w:b/>
      <w:bCs/>
      <w:sz w:val="28"/>
      <w:szCs w:val="28"/>
    </w:rPr>
  </w:style>
  <w:style w:type="character" w:customStyle="1" w:styleId="406">
    <w:name w:val="标题 5 Char_file_881"/>
    <w:basedOn w:val="398"/>
    <w:semiHidden/>
    <w:qFormat/>
    <w:uiPriority w:val="9"/>
    <w:rPr>
      <w:rFonts w:ascii="宋体" w:hAnsi="宋体" w:eastAsia="宋体" w:cs="宋体"/>
      <w:b/>
      <w:bCs/>
      <w:sz w:val="28"/>
      <w:szCs w:val="28"/>
    </w:rPr>
  </w:style>
  <w:style w:type="character" w:customStyle="1" w:styleId="407">
    <w:name w:val="标题 6 Char_file_881"/>
    <w:basedOn w:val="398"/>
    <w:semiHidden/>
    <w:qFormat/>
    <w:uiPriority w:val="9"/>
    <w:rPr>
      <w:rFonts w:asciiTheme="majorHAnsi" w:hAnsiTheme="majorHAnsi" w:eastAsiaTheme="majorEastAsia" w:cstheme="majorBidi"/>
      <w:b/>
      <w:bCs/>
      <w:sz w:val="24"/>
      <w:szCs w:val="24"/>
    </w:rPr>
  </w:style>
  <w:style w:type="paragraph" w:customStyle="1" w:styleId="408">
    <w:name w:val="cke_editable_file_881"/>
    <w:basedOn w:val="391"/>
    <w:qFormat/>
    <w:uiPriority w:val="0"/>
    <w:rPr>
      <w:rFonts w:ascii="仿宋_GB2312" w:eastAsia="仿宋_GB2312"/>
    </w:rPr>
  </w:style>
  <w:style w:type="paragraph" w:customStyle="1" w:styleId="409">
    <w:name w:val="marker_file_881"/>
    <w:basedOn w:val="391"/>
    <w:qFormat/>
    <w:uiPriority w:val="0"/>
    <w:pPr>
      <w:shd w:val="clear" w:color="auto" w:fill="FFFF00"/>
    </w:pPr>
  </w:style>
  <w:style w:type="paragraph" w:customStyle="1" w:styleId="410">
    <w:name w:val="Normal (Web)_file_881"/>
    <w:basedOn w:val="391"/>
    <w:semiHidden/>
    <w:unhideWhenUsed/>
    <w:qFormat/>
    <w:uiPriority w:val="99"/>
  </w:style>
  <w:style w:type="paragraph" w:customStyle="1" w:styleId="411">
    <w:name w:val="Normal_file_88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12">
    <w:name w:val="heading 1_file_882"/>
    <w:basedOn w:val="411"/>
    <w:qFormat/>
    <w:uiPriority w:val="9"/>
    <w:pPr>
      <w:outlineLvl w:val="0"/>
    </w:pPr>
    <w:rPr>
      <w:kern w:val="36"/>
      <w:sz w:val="48"/>
      <w:szCs w:val="48"/>
    </w:rPr>
  </w:style>
  <w:style w:type="paragraph" w:customStyle="1" w:styleId="413">
    <w:name w:val="heading 2_file_882"/>
    <w:basedOn w:val="411"/>
    <w:qFormat/>
    <w:uiPriority w:val="9"/>
    <w:pPr>
      <w:outlineLvl w:val="1"/>
    </w:pPr>
    <w:rPr>
      <w:sz w:val="36"/>
      <w:szCs w:val="36"/>
    </w:rPr>
  </w:style>
  <w:style w:type="paragraph" w:customStyle="1" w:styleId="414">
    <w:name w:val="heading 3_file_882"/>
    <w:basedOn w:val="411"/>
    <w:qFormat/>
    <w:uiPriority w:val="9"/>
    <w:pPr>
      <w:outlineLvl w:val="2"/>
    </w:pPr>
    <w:rPr>
      <w:sz w:val="27"/>
      <w:szCs w:val="27"/>
    </w:rPr>
  </w:style>
  <w:style w:type="paragraph" w:customStyle="1" w:styleId="415">
    <w:name w:val="heading 4_file_882"/>
    <w:basedOn w:val="411"/>
    <w:qFormat/>
    <w:uiPriority w:val="9"/>
    <w:pPr>
      <w:outlineLvl w:val="3"/>
    </w:pPr>
  </w:style>
  <w:style w:type="paragraph" w:customStyle="1" w:styleId="416">
    <w:name w:val="heading 5_file_882"/>
    <w:basedOn w:val="411"/>
    <w:qFormat/>
    <w:uiPriority w:val="9"/>
    <w:pPr>
      <w:outlineLvl w:val="4"/>
    </w:pPr>
    <w:rPr>
      <w:sz w:val="20"/>
      <w:szCs w:val="20"/>
    </w:rPr>
  </w:style>
  <w:style w:type="paragraph" w:customStyle="1" w:styleId="417">
    <w:name w:val="heading 6_file_882"/>
    <w:basedOn w:val="411"/>
    <w:qFormat/>
    <w:uiPriority w:val="9"/>
    <w:pPr>
      <w:outlineLvl w:val="5"/>
    </w:pPr>
    <w:rPr>
      <w:sz w:val="15"/>
      <w:szCs w:val="15"/>
    </w:rPr>
  </w:style>
  <w:style w:type="character" w:customStyle="1" w:styleId="418">
    <w:name w:val="Default Paragraph Font_file_882"/>
    <w:semiHidden/>
    <w:unhideWhenUsed/>
    <w:qFormat/>
    <w:uiPriority w:val="1"/>
  </w:style>
  <w:style w:type="table" w:customStyle="1" w:styleId="419">
    <w:name w:val="Normal Table_file_882"/>
    <w:semiHidden/>
    <w:unhideWhenUsed/>
    <w:qFormat/>
    <w:uiPriority w:val="99"/>
    <w:tblPr>
      <w:tblCellMar>
        <w:top w:w="0" w:type="dxa"/>
        <w:left w:w="108" w:type="dxa"/>
        <w:bottom w:w="0" w:type="dxa"/>
        <w:right w:w="108" w:type="dxa"/>
      </w:tblCellMar>
    </w:tblPr>
  </w:style>
  <w:style w:type="character" w:customStyle="1" w:styleId="420">
    <w:name w:val="Hyperlink_file_882"/>
    <w:basedOn w:val="418"/>
    <w:semiHidden/>
    <w:unhideWhenUsed/>
    <w:qFormat/>
    <w:uiPriority w:val="99"/>
    <w:rPr>
      <w:color w:val="0782C1"/>
      <w:u w:val="single"/>
    </w:rPr>
  </w:style>
  <w:style w:type="character" w:customStyle="1" w:styleId="421">
    <w:name w:val="FollowedHyperlink_file_882"/>
    <w:basedOn w:val="418"/>
    <w:semiHidden/>
    <w:unhideWhenUsed/>
    <w:qFormat/>
    <w:uiPriority w:val="99"/>
    <w:rPr>
      <w:color w:val="0782C1"/>
      <w:u w:val="single"/>
    </w:rPr>
  </w:style>
  <w:style w:type="character" w:customStyle="1" w:styleId="422">
    <w:name w:val="标题 1 Char_file_882"/>
    <w:basedOn w:val="418"/>
    <w:qFormat/>
    <w:uiPriority w:val="9"/>
    <w:rPr>
      <w:rFonts w:ascii="宋体" w:hAnsi="宋体" w:eastAsia="宋体" w:cs="宋体"/>
      <w:b/>
      <w:bCs/>
      <w:kern w:val="44"/>
      <w:sz w:val="44"/>
      <w:szCs w:val="44"/>
    </w:rPr>
  </w:style>
  <w:style w:type="character" w:customStyle="1" w:styleId="423">
    <w:name w:val="标题 2 Char_file_882"/>
    <w:basedOn w:val="418"/>
    <w:semiHidden/>
    <w:qFormat/>
    <w:uiPriority w:val="9"/>
    <w:rPr>
      <w:rFonts w:asciiTheme="majorHAnsi" w:hAnsiTheme="majorHAnsi" w:eastAsiaTheme="majorEastAsia" w:cstheme="majorBidi"/>
      <w:b/>
      <w:bCs/>
      <w:sz w:val="32"/>
      <w:szCs w:val="32"/>
    </w:rPr>
  </w:style>
  <w:style w:type="character" w:customStyle="1" w:styleId="424">
    <w:name w:val="标题 3 Char_file_882"/>
    <w:basedOn w:val="418"/>
    <w:semiHidden/>
    <w:qFormat/>
    <w:uiPriority w:val="9"/>
    <w:rPr>
      <w:rFonts w:ascii="宋体" w:hAnsi="宋体" w:eastAsia="宋体" w:cs="宋体"/>
      <w:b/>
      <w:bCs/>
      <w:sz w:val="32"/>
      <w:szCs w:val="32"/>
    </w:rPr>
  </w:style>
  <w:style w:type="character" w:customStyle="1" w:styleId="425">
    <w:name w:val="标题 4 Char_file_882"/>
    <w:basedOn w:val="418"/>
    <w:semiHidden/>
    <w:qFormat/>
    <w:uiPriority w:val="9"/>
    <w:rPr>
      <w:rFonts w:asciiTheme="majorHAnsi" w:hAnsiTheme="majorHAnsi" w:eastAsiaTheme="majorEastAsia" w:cstheme="majorBidi"/>
      <w:b/>
      <w:bCs/>
      <w:sz w:val="28"/>
      <w:szCs w:val="28"/>
    </w:rPr>
  </w:style>
  <w:style w:type="character" w:customStyle="1" w:styleId="426">
    <w:name w:val="标题 5 Char_file_882"/>
    <w:basedOn w:val="418"/>
    <w:semiHidden/>
    <w:qFormat/>
    <w:uiPriority w:val="9"/>
    <w:rPr>
      <w:rFonts w:ascii="宋体" w:hAnsi="宋体" w:eastAsia="宋体" w:cs="宋体"/>
      <w:b/>
      <w:bCs/>
      <w:sz w:val="28"/>
      <w:szCs w:val="28"/>
    </w:rPr>
  </w:style>
  <w:style w:type="character" w:customStyle="1" w:styleId="427">
    <w:name w:val="标题 6 Char_file_882"/>
    <w:basedOn w:val="418"/>
    <w:semiHidden/>
    <w:qFormat/>
    <w:uiPriority w:val="9"/>
    <w:rPr>
      <w:rFonts w:asciiTheme="majorHAnsi" w:hAnsiTheme="majorHAnsi" w:eastAsiaTheme="majorEastAsia" w:cstheme="majorBidi"/>
      <w:b/>
      <w:bCs/>
      <w:sz w:val="24"/>
      <w:szCs w:val="24"/>
    </w:rPr>
  </w:style>
  <w:style w:type="paragraph" w:customStyle="1" w:styleId="428">
    <w:name w:val="cke_editable_file_882"/>
    <w:basedOn w:val="411"/>
    <w:qFormat/>
    <w:uiPriority w:val="0"/>
    <w:rPr>
      <w:rFonts w:ascii="仿宋_GB2312" w:eastAsia="仿宋_GB2312"/>
    </w:rPr>
  </w:style>
  <w:style w:type="paragraph" w:customStyle="1" w:styleId="429">
    <w:name w:val="marker_file_882"/>
    <w:basedOn w:val="411"/>
    <w:qFormat/>
    <w:uiPriority w:val="0"/>
    <w:pPr>
      <w:shd w:val="clear" w:color="auto" w:fill="FFFF00"/>
    </w:pPr>
  </w:style>
  <w:style w:type="paragraph" w:customStyle="1" w:styleId="430">
    <w:name w:val="Normal (Web)_file_882"/>
    <w:basedOn w:val="411"/>
    <w:semiHidden/>
    <w:unhideWhenUsed/>
    <w:qFormat/>
    <w:uiPriority w:val="99"/>
  </w:style>
  <w:style w:type="paragraph" w:customStyle="1" w:styleId="431">
    <w:name w:val="Normal_file_883"/>
    <w:qFormat/>
    <w:uiPriority w:val="0"/>
    <w:pPr>
      <w:widowControl w:val="0"/>
      <w:jc w:val="both"/>
    </w:pPr>
    <w:rPr>
      <w:rFonts w:ascii="Times New Roman" w:hAnsi="Times New Roman" w:eastAsia="宋体" w:cs="Times New Roman"/>
      <w:szCs w:val="24"/>
      <w:lang w:val="en-US" w:eastAsia="zh-CN" w:bidi="ar-SA"/>
    </w:rPr>
  </w:style>
  <w:style w:type="character" w:customStyle="1" w:styleId="432">
    <w:name w:val="Default Paragraph Font_file_883"/>
    <w:semiHidden/>
    <w:unhideWhenUsed/>
    <w:qFormat/>
    <w:uiPriority w:val="1"/>
  </w:style>
  <w:style w:type="table" w:customStyle="1" w:styleId="433">
    <w:name w:val="Normal Table_file_883"/>
    <w:semiHidden/>
    <w:unhideWhenUsed/>
    <w:qFormat/>
    <w:uiPriority w:val="99"/>
    <w:tblPr>
      <w:tblCellMar>
        <w:top w:w="0" w:type="dxa"/>
        <w:left w:w="108" w:type="dxa"/>
        <w:bottom w:w="0" w:type="dxa"/>
        <w:right w:w="108" w:type="dxa"/>
      </w:tblCellMar>
    </w:tblPr>
  </w:style>
  <w:style w:type="paragraph" w:customStyle="1" w:styleId="434">
    <w:name w:val="Normal_file_872_file_88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35">
    <w:name w:val="heading 1_file_872_file_883"/>
    <w:basedOn w:val="434"/>
    <w:qFormat/>
    <w:uiPriority w:val="9"/>
    <w:pPr>
      <w:outlineLvl w:val="0"/>
    </w:pPr>
    <w:rPr>
      <w:kern w:val="36"/>
      <w:sz w:val="48"/>
      <w:szCs w:val="48"/>
    </w:rPr>
  </w:style>
  <w:style w:type="paragraph" w:customStyle="1" w:styleId="436">
    <w:name w:val="heading 2_file_872_file_883"/>
    <w:basedOn w:val="434"/>
    <w:qFormat/>
    <w:uiPriority w:val="9"/>
    <w:pPr>
      <w:outlineLvl w:val="1"/>
    </w:pPr>
    <w:rPr>
      <w:sz w:val="36"/>
      <w:szCs w:val="36"/>
    </w:rPr>
  </w:style>
  <w:style w:type="paragraph" w:customStyle="1" w:styleId="437">
    <w:name w:val="heading 3_file_872_file_883"/>
    <w:basedOn w:val="434"/>
    <w:qFormat/>
    <w:uiPriority w:val="9"/>
    <w:pPr>
      <w:outlineLvl w:val="2"/>
    </w:pPr>
    <w:rPr>
      <w:sz w:val="27"/>
      <w:szCs w:val="27"/>
    </w:rPr>
  </w:style>
  <w:style w:type="paragraph" w:customStyle="1" w:styleId="438">
    <w:name w:val="heading 4_file_872_file_883"/>
    <w:basedOn w:val="434"/>
    <w:qFormat/>
    <w:uiPriority w:val="9"/>
    <w:pPr>
      <w:outlineLvl w:val="3"/>
    </w:pPr>
  </w:style>
  <w:style w:type="paragraph" w:customStyle="1" w:styleId="439">
    <w:name w:val="heading 5_file_872_file_883"/>
    <w:basedOn w:val="434"/>
    <w:qFormat/>
    <w:uiPriority w:val="9"/>
    <w:pPr>
      <w:outlineLvl w:val="4"/>
    </w:pPr>
    <w:rPr>
      <w:sz w:val="20"/>
      <w:szCs w:val="20"/>
    </w:rPr>
  </w:style>
  <w:style w:type="paragraph" w:customStyle="1" w:styleId="440">
    <w:name w:val="heading 6_file_872_file_883"/>
    <w:basedOn w:val="434"/>
    <w:qFormat/>
    <w:uiPriority w:val="9"/>
    <w:pPr>
      <w:outlineLvl w:val="5"/>
    </w:pPr>
    <w:rPr>
      <w:sz w:val="15"/>
      <w:szCs w:val="15"/>
    </w:rPr>
  </w:style>
  <w:style w:type="character" w:customStyle="1" w:styleId="441">
    <w:name w:val="Default Paragraph Font_file_872_file_883"/>
    <w:semiHidden/>
    <w:unhideWhenUsed/>
    <w:qFormat/>
    <w:uiPriority w:val="1"/>
  </w:style>
  <w:style w:type="table" w:customStyle="1" w:styleId="442">
    <w:name w:val="Normal Table_file_872_file_883"/>
    <w:semiHidden/>
    <w:unhideWhenUsed/>
    <w:qFormat/>
    <w:uiPriority w:val="99"/>
    <w:tblPr>
      <w:tblCellMar>
        <w:top w:w="0" w:type="dxa"/>
        <w:left w:w="108" w:type="dxa"/>
        <w:bottom w:w="0" w:type="dxa"/>
        <w:right w:w="108" w:type="dxa"/>
      </w:tblCellMar>
    </w:tblPr>
  </w:style>
  <w:style w:type="character" w:customStyle="1" w:styleId="443">
    <w:name w:val="Hyperlink_file_872_file_883"/>
    <w:basedOn w:val="441"/>
    <w:semiHidden/>
    <w:unhideWhenUsed/>
    <w:qFormat/>
    <w:uiPriority w:val="99"/>
    <w:rPr>
      <w:color w:val="0782C1"/>
      <w:u w:val="single"/>
    </w:rPr>
  </w:style>
  <w:style w:type="character" w:customStyle="1" w:styleId="444">
    <w:name w:val="FollowedHyperlink_file_872_file_883"/>
    <w:basedOn w:val="441"/>
    <w:semiHidden/>
    <w:unhideWhenUsed/>
    <w:qFormat/>
    <w:uiPriority w:val="99"/>
    <w:rPr>
      <w:color w:val="0782C1"/>
      <w:u w:val="single"/>
    </w:rPr>
  </w:style>
  <w:style w:type="character" w:customStyle="1" w:styleId="445">
    <w:name w:val="标题 1 Char_file_872_file_883"/>
    <w:basedOn w:val="441"/>
    <w:qFormat/>
    <w:uiPriority w:val="9"/>
    <w:rPr>
      <w:rFonts w:ascii="宋体" w:hAnsi="宋体" w:eastAsia="宋体" w:cs="宋体"/>
      <w:b/>
      <w:bCs/>
      <w:kern w:val="44"/>
      <w:sz w:val="44"/>
      <w:szCs w:val="44"/>
    </w:rPr>
  </w:style>
  <w:style w:type="character" w:customStyle="1" w:styleId="446">
    <w:name w:val="标题 2 Char_file_872_file_883"/>
    <w:basedOn w:val="441"/>
    <w:semiHidden/>
    <w:qFormat/>
    <w:uiPriority w:val="9"/>
    <w:rPr>
      <w:rFonts w:asciiTheme="majorHAnsi" w:hAnsiTheme="majorHAnsi" w:eastAsiaTheme="majorEastAsia" w:cstheme="majorBidi"/>
      <w:b/>
      <w:bCs/>
      <w:sz w:val="32"/>
      <w:szCs w:val="32"/>
    </w:rPr>
  </w:style>
  <w:style w:type="character" w:customStyle="1" w:styleId="447">
    <w:name w:val="标题 3 Char_file_872_file_883"/>
    <w:basedOn w:val="441"/>
    <w:semiHidden/>
    <w:qFormat/>
    <w:uiPriority w:val="9"/>
    <w:rPr>
      <w:rFonts w:ascii="宋体" w:hAnsi="宋体" w:eastAsia="宋体" w:cs="宋体"/>
      <w:b/>
      <w:bCs/>
      <w:sz w:val="32"/>
      <w:szCs w:val="32"/>
    </w:rPr>
  </w:style>
  <w:style w:type="character" w:customStyle="1" w:styleId="448">
    <w:name w:val="标题 4 Char_file_872_file_883"/>
    <w:basedOn w:val="441"/>
    <w:semiHidden/>
    <w:qFormat/>
    <w:uiPriority w:val="9"/>
    <w:rPr>
      <w:rFonts w:asciiTheme="majorHAnsi" w:hAnsiTheme="majorHAnsi" w:eastAsiaTheme="majorEastAsia" w:cstheme="majorBidi"/>
      <w:b/>
      <w:bCs/>
      <w:sz w:val="28"/>
      <w:szCs w:val="28"/>
    </w:rPr>
  </w:style>
  <w:style w:type="character" w:customStyle="1" w:styleId="449">
    <w:name w:val="标题 5 Char_file_872_file_883"/>
    <w:basedOn w:val="441"/>
    <w:semiHidden/>
    <w:qFormat/>
    <w:uiPriority w:val="9"/>
    <w:rPr>
      <w:rFonts w:ascii="宋体" w:hAnsi="宋体" w:eastAsia="宋体" w:cs="宋体"/>
      <w:b/>
      <w:bCs/>
      <w:sz w:val="28"/>
      <w:szCs w:val="28"/>
    </w:rPr>
  </w:style>
  <w:style w:type="character" w:customStyle="1" w:styleId="450">
    <w:name w:val="标题 6 Char_file_872_file_883"/>
    <w:basedOn w:val="441"/>
    <w:semiHidden/>
    <w:qFormat/>
    <w:uiPriority w:val="9"/>
    <w:rPr>
      <w:rFonts w:asciiTheme="majorHAnsi" w:hAnsiTheme="majorHAnsi" w:eastAsiaTheme="majorEastAsia" w:cstheme="majorBidi"/>
      <w:b/>
      <w:bCs/>
      <w:sz w:val="24"/>
      <w:szCs w:val="24"/>
    </w:rPr>
  </w:style>
  <w:style w:type="paragraph" w:customStyle="1" w:styleId="451">
    <w:name w:val="cke_editable_file_872_file_883"/>
    <w:basedOn w:val="434"/>
    <w:qFormat/>
    <w:uiPriority w:val="0"/>
    <w:rPr>
      <w:rFonts w:ascii="仿宋_GB2312" w:eastAsia="仿宋_GB2312"/>
    </w:rPr>
  </w:style>
  <w:style w:type="paragraph" w:customStyle="1" w:styleId="452">
    <w:name w:val="marker_file_872_file_883"/>
    <w:basedOn w:val="434"/>
    <w:qFormat/>
    <w:uiPriority w:val="0"/>
    <w:pPr>
      <w:shd w:val="clear" w:color="auto" w:fill="FFFF00"/>
    </w:pPr>
  </w:style>
  <w:style w:type="paragraph" w:customStyle="1" w:styleId="453">
    <w:name w:val="Normal (Web)_file_872_file_883"/>
    <w:basedOn w:val="434"/>
    <w:semiHidden/>
    <w:unhideWhenUsed/>
    <w:qFormat/>
    <w:uiPriority w:val="99"/>
  </w:style>
  <w:style w:type="paragraph" w:customStyle="1" w:styleId="454">
    <w:name w:val="Normal_file_88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55">
    <w:name w:val="heading 1_file_884"/>
    <w:basedOn w:val="454"/>
    <w:qFormat/>
    <w:uiPriority w:val="9"/>
    <w:pPr>
      <w:outlineLvl w:val="0"/>
    </w:pPr>
    <w:rPr>
      <w:kern w:val="36"/>
      <w:sz w:val="48"/>
      <w:szCs w:val="48"/>
    </w:rPr>
  </w:style>
  <w:style w:type="paragraph" w:customStyle="1" w:styleId="456">
    <w:name w:val="heading 2_file_884"/>
    <w:basedOn w:val="454"/>
    <w:qFormat/>
    <w:uiPriority w:val="9"/>
    <w:pPr>
      <w:outlineLvl w:val="1"/>
    </w:pPr>
    <w:rPr>
      <w:sz w:val="36"/>
      <w:szCs w:val="36"/>
    </w:rPr>
  </w:style>
  <w:style w:type="paragraph" w:customStyle="1" w:styleId="457">
    <w:name w:val="heading 3_file_884"/>
    <w:basedOn w:val="454"/>
    <w:qFormat/>
    <w:uiPriority w:val="9"/>
    <w:pPr>
      <w:outlineLvl w:val="2"/>
    </w:pPr>
    <w:rPr>
      <w:sz w:val="27"/>
      <w:szCs w:val="27"/>
    </w:rPr>
  </w:style>
  <w:style w:type="paragraph" w:customStyle="1" w:styleId="458">
    <w:name w:val="heading 4_file_884"/>
    <w:basedOn w:val="454"/>
    <w:qFormat/>
    <w:uiPriority w:val="9"/>
    <w:pPr>
      <w:outlineLvl w:val="3"/>
    </w:pPr>
  </w:style>
  <w:style w:type="paragraph" w:customStyle="1" w:styleId="459">
    <w:name w:val="heading 5_file_884"/>
    <w:basedOn w:val="454"/>
    <w:qFormat/>
    <w:uiPriority w:val="9"/>
    <w:pPr>
      <w:outlineLvl w:val="4"/>
    </w:pPr>
    <w:rPr>
      <w:sz w:val="20"/>
      <w:szCs w:val="20"/>
    </w:rPr>
  </w:style>
  <w:style w:type="paragraph" w:customStyle="1" w:styleId="460">
    <w:name w:val="heading 6_file_884"/>
    <w:basedOn w:val="454"/>
    <w:qFormat/>
    <w:uiPriority w:val="9"/>
    <w:pPr>
      <w:outlineLvl w:val="5"/>
    </w:pPr>
    <w:rPr>
      <w:sz w:val="15"/>
      <w:szCs w:val="15"/>
    </w:rPr>
  </w:style>
  <w:style w:type="character" w:customStyle="1" w:styleId="461">
    <w:name w:val="Default Paragraph Font_file_884"/>
    <w:semiHidden/>
    <w:unhideWhenUsed/>
    <w:qFormat/>
    <w:uiPriority w:val="1"/>
  </w:style>
  <w:style w:type="table" w:customStyle="1" w:styleId="462">
    <w:name w:val="Normal Table_file_884"/>
    <w:semiHidden/>
    <w:unhideWhenUsed/>
    <w:qFormat/>
    <w:uiPriority w:val="99"/>
    <w:tblPr>
      <w:tblCellMar>
        <w:top w:w="0" w:type="dxa"/>
        <w:left w:w="108" w:type="dxa"/>
        <w:bottom w:w="0" w:type="dxa"/>
        <w:right w:w="108" w:type="dxa"/>
      </w:tblCellMar>
    </w:tblPr>
  </w:style>
  <w:style w:type="character" w:customStyle="1" w:styleId="463">
    <w:name w:val="Hyperlink_file_884"/>
    <w:basedOn w:val="461"/>
    <w:semiHidden/>
    <w:unhideWhenUsed/>
    <w:qFormat/>
    <w:uiPriority w:val="99"/>
    <w:rPr>
      <w:color w:val="0782C1"/>
      <w:u w:val="single"/>
    </w:rPr>
  </w:style>
  <w:style w:type="character" w:customStyle="1" w:styleId="464">
    <w:name w:val="FollowedHyperlink_file_884"/>
    <w:basedOn w:val="461"/>
    <w:semiHidden/>
    <w:unhideWhenUsed/>
    <w:qFormat/>
    <w:uiPriority w:val="99"/>
    <w:rPr>
      <w:color w:val="0782C1"/>
      <w:u w:val="single"/>
    </w:rPr>
  </w:style>
  <w:style w:type="character" w:customStyle="1" w:styleId="465">
    <w:name w:val="标题 1 Char_file_884"/>
    <w:basedOn w:val="461"/>
    <w:qFormat/>
    <w:uiPriority w:val="9"/>
    <w:rPr>
      <w:rFonts w:ascii="宋体" w:hAnsi="宋体" w:eastAsia="宋体" w:cs="宋体"/>
      <w:b/>
      <w:bCs/>
      <w:kern w:val="44"/>
      <w:sz w:val="44"/>
      <w:szCs w:val="44"/>
    </w:rPr>
  </w:style>
  <w:style w:type="character" w:customStyle="1" w:styleId="466">
    <w:name w:val="标题 2 Char_file_884"/>
    <w:basedOn w:val="461"/>
    <w:semiHidden/>
    <w:qFormat/>
    <w:uiPriority w:val="9"/>
    <w:rPr>
      <w:rFonts w:asciiTheme="majorHAnsi" w:hAnsiTheme="majorHAnsi" w:eastAsiaTheme="majorEastAsia" w:cstheme="majorBidi"/>
      <w:b/>
      <w:bCs/>
      <w:sz w:val="32"/>
      <w:szCs w:val="32"/>
    </w:rPr>
  </w:style>
  <w:style w:type="character" w:customStyle="1" w:styleId="467">
    <w:name w:val="标题 3 Char_file_884"/>
    <w:basedOn w:val="461"/>
    <w:semiHidden/>
    <w:qFormat/>
    <w:uiPriority w:val="9"/>
    <w:rPr>
      <w:rFonts w:ascii="宋体" w:hAnsi="宋体" w:eastAsia="宋体" w:cs="宋体"/>
      <w:b/>
      <w:bCs/>
      <w:sz w:val="32"/>
      <w:szCs w:val="32"/>
    </w:rPr>
  </w:style>
  <w:style w:type="character" w:customStyle="1" w:styleId="468">
    <w:name w:val="标题 4 Char_file_884"/>
    <w:basedOn w:val="461"/>
    <w:semiHidden/>
    <w:qFormat/>
    <w:uiPriority w:val="9"/>
    <w:rPr>
      <w:rFonts w:asciiTheme="majorHAnsi" w:hAnsiTheme="majorHAnsi" w:eastAsiaTheme="majorEastAsia" w:cstheme="majorBidi"/>
      <w:b/>
      <w:bCs/>
      <w:sz w:val="28"/>
      <w:szCs w:val="28"/>
    </w:rPr>
  </w:style>
  <w:style w:type="character" w:customStyle="1" w:styleId="469">
    <w:name w:val="标题 5 Char_file_884"/>
    <w:basedOn w:val="461"/>
    <w:semiHidden/>
    <w:qFormat/>
    <w:uiPriority w:val="9"/>
    <w:rPr>
      <w:rFonts w:ascii="宋体" w:hAnsi="宋体" w:eastAsia="宋体" w:cs="宋体"/>
      <w:b/>
      <w:bCs/>
      <w:sz w:val="28"/>
      <w:szCs w:val="28"/>
    </w:rPr>
  </w:style>
  <w:style w:type="character" w:customStyle="1" w:styleId="470">
    <w:name w:val="标题 6 Char_file_884"/>
    <w:basedOn w:val="461"/>
    <w:semiHidden/>
    <w:qFormat/>
    <w:uiPriority w:val="9"/>
    <w:rPr>
      <w:rFonts w:asciiTheme="majorHAnsi" w:hAnsiTheme="majorHAnsi" w:eastAsiaTheme="majorEastAsia" w:cstheme="majorBidi"/>
      <w:b/>
      <w:bCs/>
      <w:sz w:val="24"/>
      <w:szCs w:val="24"/>
    </w:rPr>
  </w:style>
  <w:style w:type="paragraph" w:customStyle="1" w:styleId="471">
    <w:name w:val="cke_editable_file_884"/>
    <w:basedOn w:val="454"/>
    <w:qFormat/>
    <w:uiPriority w:val="0"/>
    <w:rPr>
      <w:rFonts w:ascii="仿宋_GB2312" w:eastAsia="仿宋_GB2312"/>
    </w:rPr>
  </w:style>
  <w:style w:type="paragraph" w:customStyle="1" w:styleId="472">
    <w:name w:val="marker_file_884"/>
    <w:basedOn w:val="454"/>
    <w:qFormat/>
    <w:uiPriority w:val="0"/>
    <w:pPr>
      <w:shd w:val="clear" w:color="auto" w:fill="FFFF00"/>
    </w:pPr>
  </w:style>
  <w:style w:type="paragraph" w:customStyle="1" w:styleId="473">
    <w:name w:val="Normal (Web)_file_884"/>
    <w:basedOn w:val="454"/>
    <w:semiHidden/>
    <w:unhideWhenUsed/>
    <w:qFormat/>
    <w:uiPriority w:val="99"/>
  </w:style>
  <w:style w:type="paragraph" w:customStyle="1" w:styleId="474">
    <w:name w:val="Normal_file_88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75">
    <w:name w:val="heading 1_file_885"/>
    <w:basedOn w:val="474"/>
    <w:qFormat/>
    <w:uiPriority w:val="9"/>
    <w:pPr>
      <w:outlineLvl w:val="0"/>
    </w:pPr>
    <w:rPr>
      <w:kern w:val="36"/>
      <w:sz w:val="48"/>
      <w:szCs w:val="48"/>
    </w:rPr>
  </w:style>
  <w:style w:type="paragraph" w:customStyle="1" w:styleId="476">
    <w:name w:val="heading 2_file_885"/>
    <w:basedOn w:val="474"/>
    <w:qFormat/>
    <w:uiPriority w:val="9"/>
    <w:pPr>
      <w:outlineLvl w:val="1"/>
    </w:pPr>
    <w:rPr>
      <w:sz w:val="36"/>
      <w:szCs w:val="36"/>
    </w:rPr>
  </w:style>
  <w:style w:type="paragraph" w:customStyle="1" w:styleId="477">
    <w:name w:val="heading 3_file_885"/>
    <w:basedOn w:val="474"/>
    <w:qFormat/>
    <w:uiPriority w:val="9"/>
    <w:pPr>
      <w:outlineLvl w:val="2"/>
    </w:pPr>
    <w:rPr>
      <w:sz w:val="27"/>
      <w:szCs w:val="27"/>
    </w:rPr>
  </w:style>
  <w:style w:type="paragraph" w:customStyle="1" w:styleId="478">
    <w:name w:val="heading 4_file_885"/>
    <w:basedOn w:val="474"/>
    <w:qFormat/>
    <w:uiPriority w:val="9"/>
    <w:pPr>
      <w:outlineLvl w:val="3"/>
    </w:pPr>
  </w:style>
  <w:style w:type="paragraph" w:customStyle="1" w:styleId="479">
    <w:name w:val="heading 5_file_885"/>
    <w:basedOn w:val="474"/>
    <w:qFormat/>
    <w:uiPriority w:val="9"/>
    <w:pPr>
      <w:outlineLvl w:val="4"/>
    </w:pPr>
    <w:rPr>
      <w:sz w:val="20"/>
      <w:szCs w:val="20"/>
    </w:rPr>
  </w:style>
  <w:style w:type="paragraph" w:customStyle="1" w:styleId="480">
    <w:name w:val="heading 6_file_885"/>
    <w:basedOn w:val="474"/>
    <w:qFormat/>
    <w:uiPriority w:val="9"/>
    <w:pPr>
      <w:outlineLvl w:val="5"/>
    </w:pPr>
    <w:rPr>
      <w:sz w:val="15"/>
      <w:szCs w:val="15"/>
    </w:rPr>
  </w:style>
  <w:style w:type="character" w:customStyle="1" w:styleId="481">
    <w:name w:val="Default Paragraph Font_file_885"/>
    <w:semiHidden/>
    <w:unhideWhenUsed/>
    <w:qFormat/>
    <w:uiPriority w:val="1"/>
  </w:style>
  <w:style w:type="table" w:customStyle="1" w:styleId="482">
    <w:name w:val="Normal Table_file_885"/>
    <w:semiHidden/>
    <w:unhideWhenUsed/>
    <w:qFormat/>
    <w:uiPriority w:val="99"/>
    <w:tblPr>
      <w:tblCellMar>
        <w:top w:w="0" w:type="dxa"/>
        <w:left w:w="108" w:type="dxa"/>
        <w:bottom w:w="0" w:type="dxa"/>
        <w:right w:w="108" w:type="dxa"/>
      </w:tblCellMar>
    </w:tblPr>
  </w:style>
  <w:style w:type="character" w:customStyle="1" w:styleId="483">
    <w:name w:val="Hyperlink_file_885"/>
    <w:basedOn w:val="481"/>
    <w:semiHidden/>
    <w:unhideWhenUsed/>
    <w:qFormat/>
    <w:uiPriority w:val="99"/>
    <w:rPr>
      <w:color w:val="0782C1"/>
      <w:u w:val="single"/>
    </w:rPr>
  </w:style>
  <w:style w:type="character" w:customStyle="1" w:styleId="484">
    <w:name w:val="FollowedHyperlink_file_885"/>
    <w:basedOn w:val="481"/>
    <w:semiHidden/>
    <w:unhideWhenUsed/>
    <w:qFormat/>
    <w:uiPriority w:val="99"/>
    <w:rPr>
      <w:color w:val="0782C1"/>
      <w:u w:val="single"/>
    </w:rPr>
  </w:style>
  <w:style w:type="character" w:customStyle="1" w:styleId="485">
    <w:name w:val="标题 1 Char_file_885"/>
    <w:basedOn w:val="481"/>
    <w:qFormat/>
    <w:uiPriority w:val="9"/>
    <w:rPr>
      <w:rFonts w:ascii="宋体" w:hAnsi="宋体" w:eastAsia="宋体" w:cs="宋体"/>
      <w:b/>
      <w:bCs/>
      <w:kern w:val="44"/>
      <w:sz w:val="44"/>
      <w:szCs w:val="44"/>
    </w:rPr>
  </w:style>
  <w:style w:type="character" w:customStyle="1" w:styleId="486">
    <w:name w:val="标题 2 Char_file_885"/>
    <w:basedOn w:val="481"/>
    <w:semiHidden/>
    <w:qFormat/>
    <w:uiPriority w:val="9"/>
    <w:rPr>
      <w:rFonts w:asciiTheme="majorHAnsi" w:hAnsiTheme="majorHAnsi" w:eastAsiaTheme="majorEastAsia" w:cstheme="majorBidi"/>
      <w:b/>
      <w:bCs/>
      <w:sz w:val="32"/>
      <w:szCs w:val="32"/>
    </w:rPr>
  </w:style>
  <w:style w:type="character" w:customStyle="1" w:styleId="487">
    <w:name w:val="标题 3 Char_file_885"/>
    <w:basedOn w:val="481"/>
    <w:semiHidden/>
    <w:qFormat/>
    <w:uiPriority w:val="9"/>
    <w:rPr>
      <w:rFonts w:ascii="宋体" w:hAnsi="宋体" w:eastAsia="宋体" w:cs="宋体"/>
      <w:b/>
      <w:bCs/>
      <w:sz w:val="32"/>
      <w:szCs w:val="32"/>
    </w:rPr>
  </w:style>
  <w:style w:type="character" w:customStyle="1" w:styleId="488">
    <w:name w:val="标题 4 Char_file_885"/>
    <w:basedOn w:val="481"/>
    <w:semiHidden/>
    <w:qFormat/>
    <w:uiPriority w:val="9"/>
    <w:rPr>
      <w:rFonts w:asciiTheme="majorHAnsi" w:hAnsiTheme="majorHAnsi" w:eastAsiaTheme="majorEastAsia" w:cstheme="majorBidi"/>
      <w:b/>
      <w:bCs/>
      <w:sz w:val="28"/>
      <w:szCs w:val="28"/>
    </w:rPr>
  </w:style>
  <w:style w:type="character" w:customStyle="1" w:styleId="489">
    <w:name w:val="标题 5 Char_file_885"/>
    <w:basedOn w:val="481"/>
    <w:semiHidden/>
    <w:qFormat/>
    <w:uiPriority w:val="9"/>
    <w:rPr>
      <w:rFonts w:ascii="宋体" w:hAnsi="宋体" w:eastAsia="宋体" w:cs="宋体"/>
      <w:b/>
      <w:bCs/>
      <w:sz w:val="28"/>
      <w:szCs w:val="28"/>
    </w:rPr>
  </w:style>
  <w:style w:type="character" w:customStyle="1" w:styleId="490">
    <w:name w:val="标题 6 Char_file_885"/>
    <w:basedOn w:val="481"/>
    <w:semiHidden/>
    <w:qFormat/>
    <w:uiPriority w:val="9"/>
    <w:rPr>
      <w:rFonts w:asciiTheme="majorHAnsi" w:hAnsiTheme="majorHAnsi" w:eastAsiaTheme="majorEastAsia" w:cstheme="majorBidi"/>
      <w:b/>
      <w:bCs/>
      <w:sz w:val="24"/>
      <w:szCs w:val="24"/>
    </w:rPr>
  </w:style>
  <w:style w:type="paragraph" w:customStyle="1" w:styleId="491">
    <w:name w:val="cke_editable_file_885"/>
    <w:basedOn w:val="474"/>
    <w:qFormat/>
    <w:uiPriority w:val="0"/>
    <w:rPr>
      <w:rFonts w:ascii="仿宋_GB2312" w:eastAsia="仿宋_GB2312"/>
    </w:rPr>
  </w:style>
  <w:style w:type="paragraph" w:customStyle="1" w:styleId="492">
    <w:name w:val="marker_file_885"/>
    <w:basedOn w:val="474"/>
    <w:qFormat/>
    <w:uiPriority w:val="0"/>
    <w:pPr>
      <w:shd w:val="clear" w:color="auto" w:fill="FFFF00"/>
    </w:pPr>
  </w:style>
  <w:style w:type="paragraph" w:customStyle="1" w:styleId="493">
    <w:name w:val="Normal (Web)_file_885"/>
    <w:basedOn w:val="474"/>
    <w:semiHidden/>
    <w:unhideWhenUsed/>
    <w:qFormat/>
    <w:uiPriority w:val="99"/>
  </w:style>
  <w:style w:type="character" w:customStyle="1" w:styleId="494">
    <w:name w:val="Strong_file_885"/>
    <w:basedOn w:val="481"/>
    <w:qFormat/>
    <w:uiPriority w:val="22"/>
    <w:rPr>
      <w:b/>
      <w:bCs/>
    </w:rPr>
  </w:style>
  <w:style w:type="paragraph" w:customStyle="1" w:styleId="495">
    <w:name w:val="Normal_file_8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496">
    <w:name w:val="heading 1_file_886"/>
    <w:basedOn w:val="495"/>
    <w:qFormat/>
    <w:uiPriority w:val="9"/>
    <w:pPr>
      <w:outlineLvl w:val="0"/>
    </w:pPr>
    <w:rPr>
      <w:kern w:val="36"/>
      <w:sz w:val="48"/>
      <w:szCs w:val="48"/>
    </w:rPr>
  </w:style>
  <w:style w:type="paragraph" w:customStyle="1" w:styleId="497">
    <w:name w:val="heading 2_file_886"/>
    <w:basedOn w:val="495"/>
    <w:qFormat/>
    <w:uiPriority w:val="9"/>
    <w:pPr>
      <w:outlineLvl w:val="1"/>
    </w:pPr>
    <w:rPr>
      <w:sz w:val="36"/>
      <w:szCs w:val="36"/>
    </w:rPr>
  </w:style>
  <w:style w:type="paragraph" w:customStyle="1" w:styleId="498">
    <w:name w:val="heading 3_file_886"/>
    <w:basedOn w:val="495"/>
    <w:qFormat/>
    <w:uiPriority w:val="9"/>
    <w:pPr>
      <w:outlineLvl w:val="2"/>
    </w:pPr>
    <w:rPr>
      <w:sz w:val="27"/>
      <w:szCs w:val="27"/>
    </w:rPr>
  </w:style>
  <w:style w:type="paragraph" w:customStyle="1" w:styleId="499">
    <w:name w:val="heading 4_file_886"/>
    <w:basedOn w:val="495"/>
    <w:qFormat/>
    <w:uiPriority w:val="9"/>
    <w:pPr>
      <w:outlineLvl w:val="3"/>
    </w:pPr>
  </w:style>
  <w:style w:type="paragraph" w:customStyle="1" w:styleId="500">
    <w:name w:val="heading 5_file_886"/>
    <w:basedOn w:val="495"/>
    <w:qFormat/>
    <w:uiPriority w:val="9"/>
    <w:pPr>
      <w:outlineLvl w:val="4"/>
    </w:pPr>
    <w:rPr>
      <w:sz w:val="20"/>
      <w:szCs w:val="20"/>
    </w:rPr>
  </w:style>
  <w:style w:type="paragraph" w:customStyle="1" w:styleId="501">
    <w:name w:val="heading 6_file_886"/>
    <w:basedOn w:val="495"/>
    <w:qFormat/>
    <w:uiPriority w:val="9"/>
    <w:pPr>
      <w:outlineLvl w:val="5"/>
    </w:pPr>
    <w:rPr>
      <w:sz w:val="15"/>
      <w:szCs w:val="15"/>
    </w:rPr>
  </w:style>
  <w:style w:type="character" w:customStyle="1" w:styleId="502">
    <w:name w:val="Default Paragraph Font_file_886"/>
    <w:semiHidden/>
    <w:unhideWhenUsed/>
    <w:qFormat/>
    <w:uiPriority w:val="1"/>
  </w:style>
  <w:style w:type="table" w:customStyle="1" w:styleId="503">
    <w:name w:val="Normal Table_file_886"/>
    <w:semiHidden/>
    <w:unhideWhenUsed/>
    <w:qFormat/>
    <w:uiPriority w:val="99"/>
    <w:tblPr>
      <w:tblCellMar>
        <w:top w:w="0" w:type="dxa"/>
        <w:left w:w="108" w:type="dxa"/>
        <w:bottom w:w="0" w:type="dxa"/>
        <w:right w:w="108" w:type="dxa"/>
      </w:tblCellMar>
    </w:tblPr>
  </w:style>
  <w:style w:type="character" w:customStyle="1" w:styleId="504">
    <w:name w:val="Hyperlink_file_886"/>
    <w:basedOn w:val="502"/>
    <w:semiHidden/>
    <w:unhideWhenUsed/>
    <w:qFormat/>
    <w:uiPriority w:val="99"/>
    <w:rPr>
      <w:color w:val="0782C1"/>
      <w:u w:val="single"/>
    </w:rPr>
  </w:style>
  <w:style w:type="character" w:customStyle="1" w:styleId="505">
    <w:name w:val="FollowedHyperlink_file_886"/>
    <w:basedOn w:val="502"/>
    <w:semiHidden/>
    <w:unhideWhenUsed/>
    <w:qFormat/>
    <w:uiPriority w:val="99"/>
    <w:rPr>
      <w:color w:val="0782C1"/>
      <w:u w:val="single"/>
    </w:rPr>
  </w:style>
  <w:style w:type="character" w:customStyle="1" w:styleId="506">
    <w:name w:val="标题 1 Char_file_886"/>
    <w:basedOn w:val="502"/>
    <w:qFormat/>
    <w:uiPriority w:val="9"/>
    <w:rPr>
      <w:rFonts w:ascii="宋体" w:hAnsi="宋体" w:eastAsia="宋体" w:cs="宋体"/>
      <w:b/>
      <w:bCs/>
      <w:kern w:val="44"/>
      <w:sz w:val="44"/>
      <w:szCs w:val="44"/>
    </w:rPr>
  </w:style>
  <w:style w:type="character" w:customStyle="1" w:styleId="507">
    <w:name w:val="标题 2 Char_file_886"/>
    <w:basedOn w:val="502"/>
    <w:semiHidden/>
    <w:qFormat/>
    <w:uiPriority w:val="9"/>
    <w:rPr>
      <w:rFonts w:asciiTheme="majorHAnsi" w:hAnsiTheme="majorHAnsi" w:eastAsiaTheme="majorEastAsia" w:cstheme="majorBidi"/>
      <w:b/>
      <w:bCs/>
      <w:sz w:val="32"/>
      <w:szCs w:val="32"/>
    </w:rPr>
  </w:style>
  <w:style w:type="character" w:customStyle="1" w:styleId="508">
    <w:name w:val="标题 3 Char_file_886"/>
    <w:basedOn w:val="502"/>
    <w:semiHidden/>
    <w:qFormat/>
    <w:uiPriority w:val="9"/>
    <w:rPr>
      <w:rFonts w:ascii="宋体" w:hAnsi="宋体" w:eastAsia="宋体" w:cs="宋体"/>
      <w:b/>
      <w:bCs/>
      <w:sz w:val="32"/>
      <w:szCs w:val="32"/>
    </w:rPr>
  </w:style>
  <w:style w:type="character" w:customStyle="1" w:styleId="509">
    <w:name w:val="标题 4 Char_file_886"/>
    <w:basedOn w:val="502"/>
    <w:semiHidden/>
    <w:qFormat/>
    <w:uiPriority w:val="9"/>
    <w:rPr>
      <w:rFonts w:asciiTheme="majorHAnsi" w:hAnsiTheme="majorHAnsi" w:eastAsiaTheme="majorEastAsia" w:cstheme="majorBidi"/>
      <w:b/>
      <w:bCs/>
      <w:sz w:val="28"/>
      <w:szCs w:val="28"/>
    </w:rPr>
  </w:style>
  <w:style w:type="character" w:customStyle="1" w:styleId="510">
    <w:name w:val="标题 5 Char_file_886"/>
    <w:basedOn w:val="502"/>
    <w:semiHidden/>
    <w:qFormat/>
    <w:uiPriority w:val="9"/>
    <w:rPr>
      <w:rFonts w:ascii="宋体" w:hAnsi="宋体" w:eastAsia="宋体" w:cs="宋体"/>
      <w:b/>
      <w:bCs/>
      <w:sz w:val="28"/>
      <w:szCs w:val="28"/>
    </w:rPr>
  </w:style>
  <w:style w:type="character" w:customStyle="1" w:styleId="511">
    <w:name w:val="标题 6 Char_file_886"/>
    <w:basedOn w:val="502"/>
    <w:semiHidden/>
    <w:qFormat/>
    <w:uiPriority w:val="9"/>
    <w:rPr>
      <w:rFonts w:asciiTheme="majorHAnsi" w:hAnsiTheme="majorHAnsi" w:eastAsiaTheme="majorEastAsia" w:cstheme="majorBidi"/>
      <w:b/>
      <w:bCs/>
      <w:sz w:val="24"/>
      <w:szCs w:val="24"/>
    </w:rPr>
  </w:style>
  <w:style w:type="paragraph" w:customStyle="1" w:styleId="512">
    <w:name w:val="cke_editable_file_886"/>
    <w:basedOn w:val="495"/>
    <w:qFormat/>
    <w:uiPriority w:val="0"/>
    <w:rPr>
      <w:rFonts w:ascii="仿宋_GB2312" w:eastAsia="仿宋_GB2312"/>
    </w:rPr>
  </w:style>
  <w:style w:type="paragraph" w:customStyle="1" w:styleId="513">
    <w:name w:val="marker_file_886"/>
    <w:basedOn w:val="495"/>
    <w:qFormat/>
    <w:uiPriority w:val="0"/>
    <w:pPr>
      <w:shd w:val="clear" w:color="auto" w:fill="FFFF00"/>
    </w:pPr>
  </w:style>
  <w:style w:type="paragraph" w:customStyle="1" w:styleId="514">
    <w:name w:val="Normal (Web)_file_886"/>
    <w:basedOn w:val="495"/>
    <w:semiHidden/>
    <w:unhideWhenUsed/>
    <w:qFormat/>
    <w:uiPriority w:val="99"/>
  </w:style>
  <w:style w:type="paragraph" w:customStyle="1" w:styleId="515">
    <w:name w:val="Normal_file_88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16">
    <w:name w:val="heading 1_file_887"/>
    <w:basedOn w:val="515"/>
    <w:qFormat/>
    <w:uiPriority w:val="9"/>
    <w:pPr>
      <w:outlineLvl w:val="0"/>
    </w:pPr>
    <w:rPr>
      <w:kern w:val="36"/>
      <w:sz w:val="48"/>
      <w:szCs w:val="48"/>
    </w:rPr>
  </w:style>
  <w:style w:type="paragraph" w:customStyle="1" w:styleId="517">
    <w:name w:val="heading 2_file_887"/>
    <w:basedOn w:val="515"/>
    <w:qFormat/>
    <w:uiPriority w:val="9"/>
    <w:pPr>
      <w:outlineLvl w:val="1"/>
    </w:pPr>
    <w:rPr>
      <w:sz w:val="36"/>
      <w:szCs w:val="36"/>
    </w:rPr>
  </w:style>
  <w:style w:type="paragraph" w:customStyle="1" w:styleId="518">
    <w:name w:val="heading 3_file_887"/>
    <w:basedOn w:val="515"/>
    <w:qFormat/>
    <w:uiPriority w:val="9"/>
    <w:pPr>
      <w:outlineLvl w:val="2"/>
    </w:pPr>
    <w:rPr>
      <w:sz w:val="27"/>
      <w:szCs w:val="27"/>
    </w:rPr>
  </w:style>
  <w:style w:type="paragraph" w:customStyle="1" w:styleId="519">
    <w:name w:val="heading 4_file_887"/>
    <w:basedOn w:val="515"/>
    <w:qFormat/>
    <w:uiPriority w:val="9"/>
    <w:pPr>
      <w:outlineLvl w:val="3"/>
    </w:pPr>
  </w:style>
  <w:style w:type="paragraph" w:customStyle="1" w:styleId="520">
    <w:name w:val="heading 5_file_887"/>
    <w:basedOn w:val="515"/>
    <w:qFormat/>
    <w:uiPriority w:val="9"/>
    <w:pPr>
      <w:outlineLvl w:val="4"/>
    </w:pPr>
    <w:rPr>
      <w:sz w:val="20"/>
      <w:szCs w:val="20"/>
    </w:rPr>
  </w:style>
  <w:style w:type="paragraph" w:customStyle="1" w:styleId="521">
    <w:name w:val="heading 6_file_887"/>
    <w:basedOn w:val="515"/>
    <w:qFormat/>
    <w:uiPriority w:val="9"/>
    <w:pPr>
      <w:outlineLvl w:val="5"/>
    </w:pPr>
    <w:rPr>
      <w:sz w:val="15"/>
      <w:szCs w:val="15"/>
    </w:rPr>
  </w:style>
  <w:style w:type="character" w:customStyle="1" w:styleId="522">
    <w:name w:val="Default Paragraph Font_file_887"/>
    <w:semiHidden/>
    <w:unhideWhenUsed/>
    <w:qFormat/>
    <w:uiPriority w:val="1"/>
  </w:style>
  <w:style w:type="table" w:customStyle="1" w:styleId="523">
    <w:name w:val="Normal Table_file_887"/>
    <w:semiHidden/>
    <w:unhideWhenUsed/>
    <w:qFormat/>
    <w:uiPriority w:val="99"/>
    <w:tblPr>
      <w:tblCellMar>
        <w:top w:w="0" w:type="dxa"/>
        <w:left w:w="108" w:type="dxa"/>
        <w:bottom w:w="0" w:type="dxa"/>
        <w:right w:w="108" w:type="dxa"/>
      </w:tblCellMar>
    </w:tblPr>
  </w:style>
  <w:style w:type="character" w:customStyle="1" w:styleId="524">
    <w:name w:val="Hyperlink_file_887"/>
    <w:basedOn w:val="522"/>
    <w:semiHidden/>
    <w:unhideWhenUsed/>
    <w:qFormat/>
    <w:uiPriority w:val="99"/>
    <w:rPr>
      <w:color w:val="0782C1"/>
      <w:u w:val="single"/>
    </w:rPr>
  </w:style>
  <w:style w:type="character" w:customStyle="1" w:styleId="525">
    <w:name w:val="FollowedHyperlink_file_887"/>
    <w:basedOn w:val="522"/>
    <w:semiHidden/>
    <w:unhideWhenUsed/>
    <w:qFormat/>
    <w:uiPriority w:val="99"/>
    <w:rPr>
      <w:color w:val="0782C1"/>
      <w:u w:val="single"/>
    </w:rPr>
  </w:style>
  <w:style w:type="character" w:customStyle="1" w:styleId="526">
    <w:name w:val="标题 1 Char_file_887"/>
    <w:basedOn w:val="522"/>
    <w:qFormat/>
    <w:uiPriority w:val="9"/>
    <w:rPr>
      <w:rFonts w:ascii="宋体" w:hAnsi="宋体" w:eastAsia="宋体" w:cs="宋体"/>
      <w:b/>
      <w:bCs/>
      <w:kern w:val="44"/>
      <w:sz w:val="44"/>
      <w:szCs w:val="44"/>
    </w:rPr>
  </w:style>
  <w:style w:type="character" w:customStyle="1" w:styleId="527">
    <w:name w:val="标题 2 Char_file_887"/>
    <w:basedOn w:val="522"/>
    <w:semiHidden/>
    <w:qFormat/>
    <w:uiPriority w:val="9"/>
    <w:rPr>
      <w:rFonts w:asciiTheme="majorHAnsi" w:hAnsiTheme="majorHAnsi" w:eastAsiaTheme="majorEastAsia" w:cstheme="majorBidi"/>
      <w:b/>
      <w:bCs/>
      <w:sz w:val="32"/>
      <w:szCs w:val="32"/>
    </w:rPr>
  </w:style>
  <w:style w:type="character" w:customStyle="1" w:styleId="528">
    <w:name w:val="标题 3 Char_file_887"/>
    <w:basedOn w:val="522"/>
    <w:semiHidden/>
    <w:qFormat/>
    <w:uiPriority w:val="9"/>
    <w:rPr>
      <w:rFonts w:ascii="宋体" w:hAnsi="宋体" w:eastAsia="宋体" w:cs="宋体"/>
      <w:b/>
      <w:bCs/>
      <w:sz w:val="32"/>
      <w:szCs w:val="32"/>
    </w:rPr>
  </w:style>
  <w:style w:type="character" w:customStyle="1" w:styleId="529">
    <w:name w:val="标题 4 Char_file_887"/>
    <w:basedOn w:val="522"/>
    <w:semiHidden/>
    <w:qFormat/>
    <w:uiPriority w:val="9"/>
    <w:rPr>
      <w:rFonts w:asciiTheme="majorHAnsi" w:hAnsiTheme="majorHAnsi" w:eastAsiaTheme="majorEastAsia" w:cstheme="majorBidi"/>
      <w:b/>
      <w:bCs/>
      <w:sz w:val="28"/>
      <w:szCs w:val="28"/>
    </w:rPr>
  </w:style>
  <w:style w:type="character" w:customStyle="1" w:styleId="530">
    <w:name w:val="标题 5 Char_file_887"/>
    <w:basedOn w:val="522"/>
    <w:semiHidden/>
    <w:qFormat/>
    <w:uiPriority w:val="9"/>
    <w:rPr>
      <w:rFonts w:ascii="宋体" w:hAnsi="宋体" w:eastAsia="宋体" w:cs="宋体"/>
      <w:b/>
      <w:bCs/>
      <w:sz w:val="28"/>
      <w:szCs w:val="28"/>
    </w:rPr>
  </w:style>
  <w:style w:type="character" w:customStyle="1" w:styleId="531">
    <w:name w:val="标题 6 Char_file_887"/>
    <w:basedOn w:val="522"/>
    <w:semiHidden/>
    <w:qFormat/>
    <w:uiPriority w:val="9"/>
    <w:rPr>
      <w:rFonts w:asciiTheme="majorHAnsi" w:hAnsiTheme="majorHAnsi" w:eastAsiaTheme="majorEastAsia" w:cstheme="majorBidi"/>
      <w:b/>
      <w:bCs/>
      <w:sz w:val="24"/>
      <w:szCs w:val="24"/>
    </w:rPr>
  </w:style>
  <w:style w:type="paragraph" w:customStyle="1" w:styleId="532">
    <w:name w:val="cke_editable_file_887"/>
    <w:basedOn w:val="515"/>
    <w:qFormat/>
    <w:uiPriority w:val="0"/>
    <w:rPr>
      <w:rFonts w:ascii="仿宋_GB2312" w:eastAsia="仿宋_GB2312"/>
    </w:rPr>
  </w:style>
  <w:style w:type="paragraph" w:customStyle="1" w:styleId="533">
    <w:name w:val="marker_file_887"/>
    <w:basedOn w:val="515"/>
    <w:qFormat/>
    <w:uiPriority w:val="0"/>
    <w:pPr>
      <w:shd w:val="clear" w:color="auto" w:fill="FFFF00"/>
    </w:pPr>
  </w:style>
  <w:style w:type="paragraph" w:customStyle="1" w:styleId="534">
    <w:name w:val="Normal (Web)_file_887"/>
    <w:basedOn w:val="515"/>
    <w:semiHidden/>
    <w:unhideWhenUsed/>
    <w:qFormat/>
    <w:uiPriority w:val="99"/>
  </w:style>
  <w:style w:type="paragraph" w:customStyle="1" w:styleId="535">
    <w:name w:val="Normal_file_88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36">
    <w:name w:val="heading 1_file_888"/>
    <w:basedOn w:val="535"/>
    <w:qFormat/>
    <w:uiPriority w:val="9"/>
    <w:pPr>
      <w:outlineLvl w:val="0"/>
    </w:pPr>
    <w:rPr>
      <w:kern w:val="36"/>
      <w:sz w:val="48"/>
      <w:szCs w:val="48"/>
    </w:rPr>
  </w:style>
  <w:style w:type="paragraph" w:customStyle="1" w:styleId="537">
    <w:name w:val="heading 2_file_888"/>
    <w:basedOn w:val="535"/>
    <w:qFormat/>
    <w:uiPriority w:val="9"/>
    <w:pPr>
      <w:outlineLvl w:val="1"/>
    </w:pPr>
    <w:rPr>
      <w:sz w:val="36"/>
      <w:szCs w:val="36"/>
    </w:rPr>
  </w:style>
  <w:style w:type="paragraph" w:customStyle="1" w:styleId="538">
    <w:name w:val="heading 3_file_888"/>
    <w:basedOn w:val="535"/>
    <w:qFormat/>
    <w:uiPriority w:val="9"/>
    <w:pPr>
      <w:outlineLvl w:val="2"/>
    </w:pPr>
    <w:rPr>
      <w:sz w:val="27"/>
      <w:szCs w:val="27"/>
    </w:rPr>
  </w:style>
  <w:style w:type="paragraph" w:customStyle="1" w:styleId="539">
    <w:name w:val="heading 4_file_888"/>
    <w:basedOn w:val="535"/>
    <w:qFormat/>
    <w:uiPriority w:val="9"/>
    <w:pPr>
      <w:outlineLvl w:val="3"/>
    </w:pPr>
  </w:style>
  <w:style w:type="paragraph" w:customStyle="1" w:styleId="540">
    <w:name w:val="heading 5_file_888"/>
    <w:basedOn w:val="535"/>
    <w:qFormat/>
    <w:uiPriority w:val="9"/>
    <w:pPr>
      <w:outlineLvl w:val="4"/>
    </w:pPr>
    <w:rPr>
      <w:sz w:val="20"/>
      <w:szCs w:val="20"/>
    </w:rPr>
  </w:style>
  <w:style w:type="paragraph" w:customStyle="1" w:styleId="541">
    <w:name w:val="heading 6_file_888"/>
    <w:basedOn w:val="535"/>
    <w:qFormat/>
    <w:uiPriority w:val="9"/>
    <w:pPr>
      <w:outlineLvl w:val="5"/>
    </w:pPr>
    <w:rPr>
      <w:sz w:val="15"/>
      <w:szCs w:val="15"/>
    </w:rPr>
  </w:style>
  <w:style w:type="character" w:customStyle="1" w:styleId="542">
    <w:name w:val="Default Paragraph Font_file_888"/>
    <w:semiHidden/>
    <w:unhideWhenUsed/>
    <w:qFormat/>
    <w:uiPriority w:val="1"/>
  </w:style>
  <w:style w:type="table" w:customStyle="1" w:styleId="543">
    <w:name w:val="Normal Table_file_888"/>
    <w:semiHidden/>
    <w:unhideWhenUsed/>
    <w:qFormat/>
    <w:uiPriority w:val="99"/>
    <w:tblPr>
      <w:tblCellMar>
        <w:top w:w="0" w:type="dxa"/>
        <w:left w:w="108" w:type="dxa"/>
        <w:bottom w:w="0" w:type="dxa"/>
        <w:right w:w="108" w:type="dxa"/>
      </w:tblCellMar>
    </w:tblPr>
  </w:style>
  <w:style w:type="character" w:customStyle="1" w:styleId="544">
    <w:name w:val="Hyperlink_file_888"/>
    <w:basedOn w:val="542"/>
    <w:semiHidden/>
    <w:unhideWhenUsed/>
    <w:qFormat/>
    <w:uiPriority w:val="99"/>
    <w:rPr>
      <w:color w:val="0782C1"/>
      <w:u w:val="single"/>
    </w:rPr>
  </w:style>
  <w:style w:type="character" w:customStyle="1" w:styleId="545">
    <w:name w:val="FollowedHyperlink_file_888"/>
    <w:basedOn w:val="542"/>
    <w:semiHidden/>
    <w:unhideWhenUsed/>
    <w:qFormat/>
    <w:uiPriority w:val="99"/>
    <w:rPr>
      <w:color w:val="0782C1"/>
      <w:u w:val="single"/>
    </w:rPr>
  </w:style>
  <w:style w:type="character" w:customStyle="1" w:styleId="546">
    <w:name w:val="标题 1 Char_file_888"/>
    <w:basedOn w:val="542"/>
    <w:qFormat/>
    <w:uiPriority w:val="9"/>
    <w:rPr>
      <w:rFonts w:ascii="宋体" w:hAnsi="宋体" w:eastAsia="宋体" w:cs="宋体"/>
      <w:b/>
      <w:bCs/>
      <w:kern w:val="44"/>
      <w:sz w:val="44"/>
      <w:szCs w:val="44"/>
    </w:rPr>
  </w:style>
  <w:style w:type="character" w:customStyle="1" w:styleId="547">
    <w:name w:val="标题 2 Char_file_888"/>
    <w:basedOn w:val="542"/>
    <w:semiHidden/>
    <w:qFormat/>
    <w:uiPriority w:val="9"/>
    <w:rPr>
      <w:rFonts w:asciiTheme="majorHAnsi" w:hAnsiTheme="majorHAnsi" w:eastAsiaTheme="majorEastAsia" w:cstheme="majorBidi"/>
      <w:b/>
      <w:bCs/>
      <w:sz w:val="32"/>
      <w:szCs w:val="32"/>
    </w:rPr>
  </w:style>
  <w:style w:type="character" w:customStyle="1" w:styleId="548">
    <w:name w:val="标题 3 Char_file_888"/>
    <w:basedOn w:val="542"/>
    <w:semiHidden/>
    <w:qFormat/>
    <w:uiPriority w:val="9"/>
    <w:rPr>
      <w:rFonts w:ascii="宋体" w:hAnsi="宋体" w:eastAsia="宋体" w:cs="宋体"/>
      <w:b/>
      <w:bCs/>
      <w:sz w:val="32"/>
      <w:szCs w:val="32"/>
    </w:rPr>
  </w:style>
  <w:style w:type="character" w:customStyle="1" w:styleId="549">
    <w:name w:val="标题 4 Char_file_888"/>
    <w:basedOn w:val="542"/>
    <w:semiHidden/>
    <w:qFormat/>
    <w:uiPriority w:val="9"/>
    <w:rPr>
      <w:rFonts w:asciiTheme="majorHAnsi" w:hAnsiTheme="majorHAnsi" w:eastAsiaTheme="majorEastAsia" w:cstheme="majorBidi"/>
      <w:b/>
      <w:bCs/>
      <w:sz w:val="28"/>
      <w:szCs w:val="28"/>
    </w:rPr>
  </w:style>
  <w:style w:type="character" w:customStyle="1" w:styleId="550">
    <w:name w:val="标题 5 Char_file_888"/>
    <w:basedOn w:val="542"/>
    <w:semiHidden/>
    <w:qFormat/>
    <w:uiPriority w:val="9"/>
    <w:rPr>
      <w:rFonts w:ascii="宋体" w:hAnsi="宋体" w:eastAsia="宋体" w:cs="宋体"/>
      <w:b/>
      <w:bCs/>
      <w:sz w:val="28"/>
      <w:szCs w:val="28"/>
    </w:rPr>
  </w:style>
  <w:style w:type="character" w:customStyle="1" w:styleId="551">
    <w:name w:val="标题 6 Char_file_888"/>
    <w:basedOn w:val="542"/>
    <w:semiHidden/>
    <w:qFormat/>
    <w:uiPriority w:val="9"/>
    <w:rPr>
      <w:rFonts w:asciiTheme="majorHAnsi" w:hAnsiTheme="majorHAnsi" w:eastAsiaTheme="majorEastAsia" w:cstheme="majorBidi"/>
      <w:b/>
      <w:bCs/>
      <w:sz w:val="24"/>
      <w:szCs w:val="24"/>
    </w:rPr>
  </w:style>
  <w:style w:type="paragraph" w:customStyle="1" w:styleId="552">
    <w:name w:val="cke_editable_file_888"/>
    <w:basedOn w:val="535"/>
    <w:qFormat/>
    <w:uiPriority w:val="0"/>
    <w:rPr>
      <w:rFonts w:ascii="仿宋_GB2312" w:eastAsia="仿宋_GB2312"/>
    </w:rPr>
  </w:style>
  <w:style w:type="paragraph" w:customStyle="1" w:styleId="553">
    <w:name w:val="marker_file_888"/>
    <w:basedOn w:val="535"/>
    <w:qFormat/>
    <w:uiPriority w:val="0"/>
    <w:pPr>
      <w:shd w:val="clear" w:color="auto" w:fill="FFFF00"/>
    </w:pPr>
  </w:style>
  <w:style w:type="paragraph" w:customStyle="1" w:styleId="554">
    <w:name w:val="Normal_file_88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55">
    <w:name w:val="heading 1_file_889"/>
    <w:basedOn w:val="554"/>
    <w:qFormat/>
    <w:uiPriority w:val="9"/>
    <w:pPr>
      <w:outlineLvl w:val="0"/>
    </w:pPr>
    <w:rPr>
      <w:kern w:val="36"/>
      <w:sz w:val="48"/>
      <w:szCs w:val="48"/>
    </w:rPr>
  </w:style>
  <w:style w:type="paragraph" w:customStyle="1" w:styleId="556">
    <w:name w:val="heading 2_file_889"/>
    <w:basedOn w:val="554"/>
    <w:qFormat/>
    <w:uiPriority w:val="9"/>
    <w:pPr>
      <w:outlineLvl w:val="1"/>
    </w:pPr>
    <w:rPr>
      <w:sz w:val="36"/>
      <w:szCs w:val="36"/>
    </w:rPr>
  </w:style>
  <w:style w:type="paragraph" w:customStyle="1" w:styleId="557">
    <w:name w:val="heading 3_file_889"/>
    <w:basedOn w:val="554"/>
    <w:qFormat/>
    <w:uiPriority w:val="9"/>
    <w:pPr>
      <w:outlineLvl w:val="2"/>
    </w:pPr>
    <w:rPr>
      <w:sz w:val="27"/>
      <w:szCs w:val="27"/>
    </w:rPr>
  </w:style>
  <w:style w:type="paragraph" w:customStyle="1" w:styleId="558">
    <w:name w:val="heading 4_file_889"/>
    <w:basedOn w:val="554"/>
    <w:qFormat/>
    <w:uiPriority w:val="9"/>
    <w:pPr>
      <w:outlineLvl w:val="3"/>
    </w:pPr>
  </w:style>
  <w:style w:type="paragraph" w:customStyle="1" w:styleId="559">
    <w:name w:val="heading 5_file_889"/>
    <w:basedOn w:val="554"/>
    <w:qFormat/>
    <w:uiPriority w:val="9"/>
    <w:pPr>
      <w:outlineLvl w:val="4"/>
    </w:pPr>
    <w:rPr>
      <w:sz w:val="20"/>
      <w:szCs w:val="20"/>
    </w:rPr>
  </w:style>
  <w:style w:type="paragraph" w:customStyle="1" w:styleId="560">
    <w:name w:val="heading 6_file_889"/>
    <w:basedOn w:val="554"/>
    <w:qFormat/>
    <w:uiPriority w:val="9"/>
    <w:pPr>
      <w:outlineLvl w:val="5"/>
    </w:pPr>
    <w:rPr>
      <w:sz w:val="15"/>
      <w:szCs w:val="15"/>
    </w:rPr>
  </w:style>
  <w:style w:type="character" w:customStyle="1" w:styleId="561">
    <w:name w:val="Default Paragraph Font_file_889"/>
    <w:semiHidden/>
    <w:unhideWhenUsed/>
    <w:qFormat/>
    <w:uiPriority w:val="1"/>
  </w:style>
  <w:style w:type="table" w:customStyle="1" w:styleId="562">
    <w:name w:val="Normal Table_file_889"/>
    <w:semiHidden/>
    <w:unhideWhenUsed/>
    <w:qFormat/>
    <w:uiPriority w:val="99"/>
    <w:tblPr>
      <w:tblCellMar>
        <w:top w:w="0" w:type="dxa"/>
        <w:left w:w="108" w:type="dxa"/>
        <w:bottom w:w="0" w:type="dxa"/>
        <w:right w:w="108" w:type="dxa"/>
      </w:tblCellMar>
    </w:tblPr>
  </w:style>
  <w:style w:type="character" w:customStyle="1" w:styleId="563">
    <w:name w:val="Hyperlink_file_889"/>
    <w:basedOn w:val="561"/>
    <w:semiHidden/>
    <w:unhideWhenUsed/>
    <w:qFormat/>
    <w:uiPriority w:val="99"/>
    <w:rPr>
      <w:color w:val="0782C1"/>
      <w:u w:val="single"/>
    </w:rPr>
  </w:style>
  <w:style w:type="character" w:customStyle="1" w:styleId="564">
    <w:name w:val="FollowedHyperlink_file_889"/>
    <w:basedOn w:val="561"/>
    <w:semiHidden/>
    <w:unhideWhenUsed/>
    <w:qFormat/>
    <w:uiPriority w:val="99"/>
    <w:rPr>
      <w:color w:val="0782C1"/>
      <w:u w:val="single"/>
    </w:rPr>
  </w:style>
  <w:style w:type="character" w:customStyle="1" w:styleId="565">
    <w:name w:val="标题 1 Char_file_889"/>
    <w:basedOn w:val="561"/>
    <w:qFormat/>
    <w:uiPriority w:val="9"/>
    <w:rPr>
      <w:rFonts w:ascii="宋体" w:hAnsi="宋体" w:eastAsia="宋体" w:cs="宋体"/>
      <w:b/>
      <w:bCs/>
      <w:kern w:val="44"/>
      <w:sz w:val="44"/>
      <w:szCs w:val="44"/>
    </w:rPr>
  </w:style>
  <w:style w:type="character" w:customStyle="1" w:styleId="566">
    <w:name w:val="标题 2 Char_file_889"/>
    <w:basedOn w:val="561"/>
    <w:semiHidden/>
    <w:qFormat/>
    <w:uiPriority w:val="9"/>
    <w:rPr>
      <w:rFonts w:asciiTheme="majorHAnsi" w:hAnsiTheme="majorHAnsi" w:eastAsiaTheme="majorEastAsia" w:cstheme="majorBidi"/>
      <w:b/>
      <w:bCs/>
      <w:sz w:val="32"/>
      <w:szCs w:val="32"/>
    </w:rPr>
  </w:style>
  <w:style w:type="character" w:customStyle="1" w:styleId="567">
    <w:name w:val="标题 3 Char_file_889"/>
    <w:basedOn w:val="561"/>
    <w:semiHidden/>
    <w:qFormat/>
    <w:uiPriority w:val="9"/>
    <w:rPr>
      <w:rFonts w:ascii="宋体" w:hAnsi="宋体" w:eastAsia="宋体" w:cs="宋体"/>
      <w:b/>
      <w:bCs/>
      <w:sz w:val="32"/>
      <w:szCs w:val="32"/>
    </w:rPr>
  </w:style>
  <w:style w:type="character" w:customStyle="1" w:styleId="568">
    <w:name w:val="标题 4 Char_file_889"/>
    <w:basedOn w:val="561"/>
    <w:semiHidden/>
    <w:qFormat/>
    <w:uiPriority w:val="9"/>
    <w:rPr>
      <w:rFonts w:asciiTheme="majorHAnsi" w:hAnsiTheme="majorHAnsi" w:eastAsiaTheme="majorEastAsia" w:cstheme="majorBidi"/>
      <w:b/>
      <w:bCs/>
      <w:sz w:val="28"/>
      <w:szCs w:val="28"/>
    </w:rPr>
  </w:style>
  <w:style w:type="character" w:customStyle="1" w:styleId="569">
    <w:name w:val="标题 5 Char_file_889"/>
    <w:basedOn w:val="561"/>
    <w:semiHidden/>
    <w:qFormat/>
    <w:uiPriority w:val="9"/>
    <w:rPr>
      <w:rFonts w:ascii="宋体" w:hAnsi="宋体" w:eastAsia="宋体" w:cs="宋体"/>
      <w:b/>
      <w:bCs/>
      <w:sz w:val="28"/>
      <w:szCs w:val="28"/>
    </w:rPr>
  </w:style>
  <w:style w:type="character" w:customStyle="1" w:styleId="570">
    <w:name w:val="标题 6 Char_file_889"/>
    <w:basedOn w:val="561"/>
    <w:semiHidden/>
    <w:qFormat/>
    <w:uiPriority w:val="9"/>
    <w:rPr>
      <w:rFonts w:asciiTheme="majorHAnsi" w:hAnsiTheme="majorHAnsi" w:eastAsiaTheme="majorEastAsia" w:cstheme="majorBidi"/>
      <w:b/>
      <w:bCs/>
      <w:sz w:val="24"/>
      <w:szCs w:val="24"/>
    </w:rPr>
  </w:style>
  <w:style w:type="paragraph" w:customStyle="1" w:styleId="571">
    <w:name w:val="cke_editable_file_889"/>
    <w:basedOn w:val="554"/>
    <w:qFormat/>
    <w:uiPriority w:val="0"/>
    <w:rPr>
      <w:rFonts w:ascii="仿宋_GB2312" w:eastAsia="仿宋_GB2312"/>
    </w:rPr>
  </w:style>
  <w:style w:type="paragraph" w:customStyle="1" w:styleId="572">
    <w:name w:val="marker_file_889"/>
    <w:basedOn w:val="554"/>
    <w:qFormat/>
    <w:uiPriority w:val="0"/>
    <w:pPr>
      <w:shd w:val="clear" w:color="auto" w:fill="FFFF00"/>
    </w:pPr>
  </w:style>
  <w:style w:type="paragraph" w:customStyle="1" w:styleId="573">
    <w:name w:val="Normal (Web)_file_889"/>
    <w:basedOn w:val="554"/>
    <w:semiHidden/>
    <w:unhideWhenUsed/>
    <w:qFormat/>
    <w:uiPriority w:val="99"/>
  </w:style>
  <w:style w:type="character" w:customStyle="1" w:styleId="574">
    <w:name w:val="Strong_file_889"/>
    <w:basedOn w:val="561"/>
    <w:qFormat/>
    <w:uiPriority w:val="22"/>
    <w:rPr>
      <w:b/>
      <w:bCs/>
    </w:rPr>
  </w:style>
  <w:style w:type="paragraph" w:customStyle="1" w:styleId="575">
    <w:name w:val="Normal_file_89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76">
    <w:name w:val="heading 1_file_890"/>
    <w:basedOn w:val="575"/>
    <w:qFormat/>
    <w:uiPriority w:val="9"/>
    <w:pPr>
      <w:outlineLvl w:val="0"/>
    </w:pPr>
    <w:rPr>
      <w:kern w:val="36"/>
      <w:sz w:val="48"/>
      <w:szCs w:val="48"/>
    </w:rPr>
  </w:style>
  <w:style w:type="paragraph" w:customStyle="1" w:styleId="577">
    <w:name w:val="heading 2_file_890"/>
    <w:basedOn w:val="575"/>
    <w:qFormat/>
    <w:uiPriority w:val="9"/>
    <w:pPr>
      <w:outlineLvl w:val="1"/>
    </w:pPr>
    <w:rPr>
      <w:sz w:val="36"/>
      <w:szCs w:val="36"/>
    </w:rPr>
  </w:style>
  <w:style w:type="paragraph" w:customStyle="1" w:styleId="578">
    <w:name w:val="heading 3_file_890"/>
    <w:basedOn w:val="575"/>
    <w:qFormat/>
    <w:uiPriority w:val="9"/>
    <w:pPr>
      <w:outlineLvl w:val="2"/>
    </w:pPr>
    <w:rPr>
      <w:sz w:val="27"/>
      <w:szCs w:val="27"/>
    </w:rPr>
  </w:style>
  <w:style w:type="paragraph" w:customStyle="1" w:styleId="579">
    <w:name w:val="heading 4_file_890"/>
    <w:basedOn w:val="575"/>
    <w:qFormat/>
    <w:uiPriority w:val="9"/>
    <w:pPr>
      <w:outlineLvl w:val="3"/>
    </w:pPr>
  </w:style>
  <w:style w:type="paragraph" w:customStyle="1" w:styleId="580">
    <w:name w:val="heading 5_file_890"/>
    <w:basedOn w:val="575"/>
    <w:qFormat/>
    <w:uiPriority w:val="9"/>
    <w:pPr>
      <w:outlineLvl w:val="4"/>
    </w:pPr>
    <w:rPr>
      <w:sz w:val="20"/>
      <w:szCs w:val="20"/>
    </w:rPr>
  </w:style>
  <w:style w:type="paragraph" w:customStyle="1" w:styleId="581">
    <w:name w:val="heading 6_file_890"/>
    <w:basedOn w:val="575"/>
    <w:qFormat/>
    <w:uiPriority w:val="9"/>
    <w:pPr>
      <w:outlineLvl w:val="5"/>
    </w:pPr>
    <w:rPr>
      <w:sz w:val="15"/>
      <w:szCs w:val="15"/>
    </w:rPr>
  </w:style>
  <w:style w:type="character" w:customStyle="1" w:styleId="582">
    <w:name w:val="Default Paragraph Font_file_890"/>
    <w:semiHidden/>
    <w:unhideWhenUsed/>
    <w:qFormat/>
    <w:uiPriority w:val="1"/>
  </w:style>
  <w:style w:type="table" w:customStyle="1" w:styleId="583">
    <w:name w:val="Normal Table_file_890"/>
    <w:semiHidden/>
    <w:unhideWhenUsed/>
    <w:qFormat/>
    <w:uiPriority w:val="99"/>
    <w:tblPr>
      <w:tblCellMar>
        <w:top w:w="0" w:type="dxa"/>
        <w:left w:w="108" w:type="dxa"/>
        <w:bottom w:w="0" w:type="dxa"/>
        <w:right w:w="108" w:type="dxa"/>
      </w:tblCellMar>
    </w:tblPr>
  </w:style>
  <w:style w:type="character" w:customStyle="1" w:styleId="584">
    <w:name w:val="Hyperlink_file_890"/>
    <w:basedOn w:val="582"/>
    <w:semiHidden/>
    <w:unhideWhenUsed/>
    <w:qFormat/>
    <w:uiPriority w:val="99"/>
    <w:rPr>
      <w:color w:val="0782C1"/>
      <w:u w:val="single"/>
    </w:rPr>
  </w:style>
  <w:style w:type="character" w:customStyle="1" w:styleId="585">
    <w:name w:val="FollowedHyperlink_file_890"/>
    <w:basedOn w:val="582"/>
    <w:semiHidden/>
    <w:unhideWhenUsed/>
    <w:qFormat/>
    <w:uiPriority w:val="99"/>
    <w:rPr>
      <w:color w:val="0782C1"/>
      <w:u w:val="single"/>
    </w:rPr>
  </w:style>
  <w:style w:type="character" w:customStyle="1" w:styleId="586">
    <w:name w:val="标题 1 Char_file_890"/>
    <w:basedOn w:val="582"/>
    <w:qFormat/>
    <w:uiPriority w:val="9"/>
    <w:rPr>
      <w:rFonts w:ascii="宋体" w:hAnsi="宋体" w:eastAsia="宋体" w:cs="宋体"/>
      <w:b/>
      <w:bCs/>
      <w:kern w:val="44"/>
      <w:sz w:val="44"/>
      <w:szCs w:val="44"/>
    </w:rPr>
  </w:style>
  <w:style w:type="character" w:customStyle="1" w:styleId="587">
    <w:name w:val="标题 2 Char_file_890"/>
    <w:basedOn w:val="582"/>
    <w:semiHidden/>
    <w:qFormat/>
    <w:uiPriority w:val="9"/>
    <w:rPr>
      <w:rFonts w:asciiTheme="majorHAnsi" w:hAnsiTheme="majorHAnsi" w:eastAsiaTheme="majorEastAsia" w:cstheme="majorBidi"/>
      <w:b/>
      <w:bCs/>
      <w:sz w:val="32"/>
      <w:szCs w:val="32"/>
    </w:rPr>
  </w:style>
  <w:style w:type="character" w:customStyle="1" w:styleId="588">
    <w:name w:val="标题 3 Char_file_890"/>
    <w:basedOn w:val="582"/>
    <w:semiHidden/>
    <w:qFormat/>
    <w:uiPriority w:val="9"/>
    <w:rPr>
      <w:rFonts w:ascii="宋体" w:hAnsi="宋体" w:eastAsia="宋体" w:cs="宋体"/>
      <w:b/>
      <w:bCs/>
      <w:sz w:val="32"/>
      <w:szCs w:val="32"/>
    </w:rPr>
  </w:style>
  <w:style w:type="character" w:customStyle="1" w:styleId="589">
    <w:name w:val="标题 4 Char_file_890"/>
    <w:basedOn w:val="582"/>
    <w:semiHidden/>
    <w:qFormat/>
    <w:uiPriority w:val="9"/>
    <w:rPr>
      <w:rFonts w:asciiTheme="majorHAnsi" w:hAnsiTheme="majorHAnsi" w:eastAsiaTheme="majorEastAsia" w:cstheme="majorBidi"/>
      <w:b/>
      <w:bCs/>
      <w:sz w:val="28"/>
      <w:szCs w:val="28"/>
    </w:rPr>
  </w:style>
  <w:style w:type="character" w:customStyle="1" w:styleId="590">
    <w:name w:val="标题 5 Char_file_890"/>
    <w:basedOn w:val="582"/>
    <w:semiHidden/>
    <w:qFormat/>
    <w:uiPriority w:val="9"/>
    <w:rPr>
      <w:rFonts w:ascii="宋体" w:hAnsi="宋体" w:eastAsia="宋体" w:cs="宋体"/>
      <w:b/>
      <w:bCs/>
      <w:sz w:val="28"/>
      <w:szCs w:val="28"/>
    </w:rPr>
  </w:style>
  <w:style w:type="character" w:customStyle="1" w:styleId="591">
    <w:name w:val="标题 6 Char_file_890"/>
    <w:basedOn w:val="582"/>
    <w:semiHidden/>
    <w:qFormat/>
    <w:uiPriority w:val="9"/>
    <w:rPr>
      <w:rFonts w:asciiTheme="majorHAnsi" w:hAnsiTheme="majorHAnsi" w:eastAsiaTheme="majorEastAsia" w:cstheme="majorBidi"/>
      <w:b/>
      <w:bCs/>
      <w:sz w:val="24"/>
      <w:szCs w:val="24"/>
    </w:rPr>
  </w:style>
  <w:style w:type="paragraph" w:customStyle="1" w:styleId="592">
    <w:name w:val="cke_editable_file_890"/>
    <w:basedOn w:val="575"/>
    <w:qFormat/>
    <w:uiPriority w:val="0"/>
    <w:rPr>
      <w:rFonts w:ascii="仿宋_GB2312" w:eastAsia="仿宋_GB2312"/>
    </w:rPr>
  </w:style>
  <w:style w:type="paragraph" w:customStyle="1" w:styleId="593">
    <w:name w:val="marker_file_890"/>
    <w:basedOn w:val="575"/>
    <w:qFormat/>
    <w:uiPriority w:val="0"/>
    <w:pPr>
      <w:shd w:val="clear" w:color="auto" w:fill="FFFF00"/>
    </w:pPr>
  </w:style>
  <w:style w:type="paragraph" w:customStyle="1" w:styleId="594">
    <w:name w:val="Normal (Web)_file_890"/>
    <w:basedOn w:val="575"/>
    <w:semiHidden/>
    <w:unhideWhenUsed/>
    <w:qFormat/>
    <w:uiPriority w:val="99"/>
  </w:style>
  <w:style w:type="paragraph" w:customStyle="1" w:styleId="595">
    <w:name w:val="Normal_file_89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596">
    <w:name w:val="heading 1_file_891"/>
    <w:basedOn w:val="595"/>
    <w:qFormat/>
    <w:uiPriority w:val="9"/>
    <w:pPr>
      <w:outlineLvl w:val="0"/>
    </w:pPr>
    <w:rPr>
      <w:kern w:val="36"/>
      <w:sz w:val="48"/>
      <w:szCs w:val="48"/>
    </w:rPr>
  </w:style>
  <w:style w:type="paragraph" w:customStyle="1" w:styleId="597">
    <w:name w:val="heading 2_file_891"/>
    <w:basedOn w:val="595"/>
    <w:qFormat/>
    <w:uiPriority w:val="9"/>
    <w:pPr>
      <w:outlineLvl w:val="1"/>
    </w:pPr>
    <w:rPr>
      <w:sz w:val="36"/>
      <w:szCs w:val="36"/>
    </w:rPr>
  </w:style>
  <w:style w:type="paragraph" w:customStyle="1" w:styleId="598">
    <w:name w:val="heading 3_file_891"/>
    <w:basedOn w:val="595"/>
    <w:qFormat/>
    <w:uiPriority w:val="9"/>
    <w:pPr>
      <w:outlineLvl w:val="2"/>
    </w:pPr>
    <w:rPr>
      <w:sz w:val="27"/>
      <w:szCs w:val="27"/>
    </w:rPr>
  </w:style>
  <w:style w:type="paragraph" w:customStyle="1" w:styleId="599">
    <w:name w:val="heading 4_file_891"/>
    <w:basedOn w:val="595"/>
    <w:qFormat/>
    <w:uiPriority w:val="9"/>
    <w:pPr>
      <w:outlineLvl w:val="3"/>
    </w:pPr>
  </w:style>
  <w:style w:type="paragraph" w:customStyle="1" w:styleId="600">
    <w:name w:val="heading 5_file_891"/>
    <w:basedOn w:val="595"/>
    <w:qFormat/>
    <w:uiPriority w:val="9"/>
    <w:pPr>
      <w:outlineLvl w:val="4"/>
    </w:pPr>
    <w:rPr>
      <w:sz w:val="20"/>
      <w:szCs w:val="20"/>
    </w:rPr>
  </w:style>
  <w:style w:type="paragraph" w:customStyle="1" w:styleId="601">
    <w:name w:val="heading 6_file_891"/>
    <w:basedOn w:val="595"/>
    <w:qFormat/>
    <w:uiPriority w:val="9"/>
    <w:pPr>
      <w:outlineLvl w:val="5"/>
    </w:pPr>
    <w:rPr>
      <w:sz w:val="15"/>
      <w:szCs w:val="15"/>
    </w:rPr>
  </w:style>
  <w:style w:type="character" w:customStyle="1" w:styleId="602">
    <w:name w:val="Default Paragraph Font_file_891"/>
    <w:semiHidden/>
    <w:unhideWhenUsed/>
    <w:qFormat/>
    <w:uiPriority w:val="1"/>
  </w:style>
  <w:style w:type="table" w:customStyle="1" w:styleId="603">
    <w:name w:val="Normal Table_file_891"/>
    <w:semiHidden/>
    <w:unhideWhenUsed/>
    <w:qFormat/>
    <w:uiPriority w:val="99"/>
    <w:tblPr>
      <w:tblCellMar>
        <w:top w:w="0" w:type="dxa"/>
        <w:left w:w="108" w:type="dxa"/>
        <w:bottom w:w="0" w:type="dxa"/>
        <w:right w:w="108" w:type="dxa"/>
      </w:tblCellMar>
    </w:tblPr>
  </w:style>
  <w:style w:type="character" w:customStyle="1" w:styleId="604">
    <w:name w:val="Hyperlink_file_891"/>
    <w:basedOn w:val="602"/>
    <w:semiHidden/>
    <w:unhideWhenUsed/>
    <w:qFormat/>
    <w:uiPriority w:val="99"/>
    <w:rPr>
      <w:color w:val="0782C1"/>
      <w:u w:val="single"/>
    </w:rPr>
  </w:style>
  <w:style w:type="character" w:customStyle="1" w:styleId="605">
    <w:name w:val="FollowedHyperlink_file_891"/>
    <w:basedOn w:val="602"/>
    <w:semiHidden/>
    <w:unhideWhenUsed/>
    <w:qFormat/>
    <w:uiPriority w:val="99"/>
    <w:rPr>
      <w:color w:val="0782C1"/>
      <w:u w:val="single"/>
    </w:rPr>
  </w:style>
  <w:style w:type="character" w:customStyle="1" w:styleId="606">
    <w:name w:val="标题 1 Char_file_891"/>
    <w:basedOn w:val="602"/>
    <w:qFormat/>
    <w:uiPriority w:val="9"/>
    <w:rPr>
      <w:rFonts w:ascii="宋体" w:hAnsi="宋体" w:eastAsia="宋体" w:cs="宋体"/>
      <w:b/>
      <w:bCs/>
      <w:kern w:val="44"/>
      <w:sz w:val="44"/>
      <w:szCs w:val="44"/>
    </w:rPr>
  </w:style>
  <w:style w:type="character" w:customStyle="1" w:styleId="607">
    <w:name w:val="标题 2 Char_file_891"/>
    <w:basedOn w:val="602"/>
    <w:semiHidden/>
    <w:qFormat/>
    <w:uiPriority w:val="9"/>
    <w:rPr>
      <w:rFonts w:asciiTheme="majorHAnsi" w:hAnsiTheme="majorHAnsi" w:eastAsiaTheme="majorEastAsia" w:cstheme="majorBidi"/>
      <w:b/>
      <w:bCs/>
      <w:sz w:val="32"/>
      <w:szCs w:val="32"/>
    </w:rPr>
  </w:style>
  <w:style w:type="character" w:customStyle="1" w:styleId="608">
    <w:name w:val="标题 3 Char_file_891"/>
    <w:basedOn w:val="602"/>
    <w:semiHidden/>
    <w:qFormat/>
    <w:uiPriority w:val="9"/>
    <w:rPr>
      <w:rFonts w:ascii="宋体" w:hAnsi="宋体" w:eastAsia="宋体" w:cs="宋体"/>
      <w:b/>
      <w:bCs/>
      <w:sz w:val="32"/>
      <w:szCs w:val="32"/>
    </w:rPr>
  </w:style>
  <w:style w:type="character" w:customStyle="1" w:styleId="609">
    <w:name w:val="标题 4 Char_file_891"/>
    <w:basedOn w:val="602"/>
    <w:semiHidden/>
    <w:qFormat/>
    <w:uiPriority w:val="9"/>
    <w:rPr>
      <w:rFonts w:asciiTheme="majorHAnsi" w:hAnsiTheme="majorHAnsi" w:eastAsiaTheme="majorEastAsia" w:cstheme="majorBidi"/>
      <w:b/>
      <w:bCs/>
      <w:sz w:val="28"/>
      <w:szCs w:val="28"/>
    </w:rPr>
  </w:style>
  <w:style w:type="character" w:customStyle="1" w:styleId="610">
    <w:name w:val="标题 5 Char_file_891"/>
    <w:basedOn w:val="602"/>
    <w:semiHidden/>
    <w:qFormat/>
    <w:uiPriority w:val="9"/>
    <w:rPr>
      <w:rFonts w:ascii="宋体" w:hAnsi="宋体" w:eastAsia="宋体" w:cs="宋体"/>
      <w:b/>
      <w:bCs/>
      <w:sz w:val="28"/>
      <w:szCs w:val="28"/>
    </w:rPr>
  </w:style>
  <w:style w:type="character" w:customStyle="1" w:styleId="611">
    <w:name w:val="标题 6 Char_file_891"/>
    <w:basedOn w:val="602"/>
    <w:semiHidden/>
    <w:qFormat/>
    <w:uiPriority w:val="9"/>
    <w:rPr>
      <w:rFonts w:asciiTheme="majorHAnsi" w:hAnsiTheme="majorHAnsi" w:eastAsiaTheme="majorEastAsia" w:cstheme="majorBidi"/>
      <w:b/>
      <w:bCs/>
      <w:sz w:val="24"/>
      <w:szCs w:val="24"/>
    </w:rPr>
  </w:style>
  <w:style w:type="paragraph" w:customStyle="1" w:styleId="612">
    <w:name w:val="cke_editable_file_891"/>
    <w:basedOn w:val="595"/>
    <w:qFormat/>
    <w:uiPriority w:val="0"/>
    <w:rPr>
      <w:rFonts w:ascii="仿宋_GB2312" w:eastAsia="仿宋_GB2312"/>
    </w:rPr>
  </w:style>
  <w:style w:type="paragraph" w:customStyle="1" w:styleId="613">
    <w:name w:val="marker_file_891"/>
    <w:basedOn w:val="595"/>
    <w:qFormat/>
    <w:uiPriority w:val="0"/>
    <w:pPr>
      <w:shd w:val="clear" w:color="auto" w:fill="FFFF00"/>
    </w:pPr>
  </w:style>
  <w:style w:type="paragraph" w:customStyle="1" w:styleId="614">
    <w:name w:val="Normal (Web)_file_891"/>
    <w:basedOn w:val="595"/>
    <w:semiHidden/>
    <w:unhideWhenUsed/>
    <w:qFormat/>
    <w:uiPriority w:val="99"/>
  </w:style>
  <w:style w:type="paragraph" w:customStyle="1" w:styleId="615">
    <w:name w:val="Normal_file_892"/>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16">
    <w:name w:val="heading 1_file_892"/>
    <w:basedOn w:val="615"/>
    <w:qFormat/>
    <w:uiPriority w:val="9"/>
    <w:pPr>
      <w:outlineLvl w:val="0"/>
    </w:pPr>
    <w:rPr>
      <w:kern w:val="36"/>
      <w:sz w:val="48"/>
      <w:szCs w:val="48"/>
    </w:rPr>
  </w:style>
  <w:style w:type="paragraph" w:customStyle="1" w:styleId="617">
    <w:name w:val="heading 2_file_892"/>
    <w:basedOn w:val="615"/>
    <w:qFormat/>
    <w:uiPriority w:val="9"/>
    <w:pPr>
      <w:outlineLvl w:val="1"/>
    </w:pPr>
    <w:rPr>
      <w:sz w:val="36"/>
      <w:szCs w:val="36"/>
    </w:rPr>
  </w:style>
  <w:style w:type="paragraph" w:customStyle="1" w:styleId="618">
    <w:name w:val="heading 3_file_892"/>
    <w:basedOn w:val="615"/>
    <w:qFormat/>
    <w:uiPriority w:val="9"/>
    <w:pPr>
      <w:outlineLvl w:val="2"/>
    </w:pPr>
    <w:rPr>
      <w:sz w:val="27"/>
      <w:szCs w:val="27"/>
    </w:rPr>
  </w:style>
  <w:style w:type="paragraph" w:customStyle="1" w:styleId="619">
    <w:name w:val="heading 4_file_892"/>
    <w:basedOn w:val="615"/>
    <w:qFormat/>
    <w:uiPriority w:val="9"/>
    <w:pPr>
      <w:outlineLvl w:val="3"/>
    </w:pPr>
  </w:style>
  <w:style w:type="paragraph" w:customStyle="1" w:styleId="620">
    <w:name w:val="heading 5_file_892"/>
    <w:basedOn w:val="615"/>
    <w:qFormat/>
    <w:uiPriority w:val="9"/>
    <w:pPr>
      <w:outlineLvl w:val="4"/>
    </w:pPr>
    <w:rPr>
      <w:sz w:val="20"/>
      <w:szCs w:val="20"/>
    </w:rPr>
  </w:style>
  <w:style w:type="paragraph" w:customStyle="1" w:styleId="621">
    <w:name w:val="heading 6_file_892"/>
    <w:basedOn w:val="615"/>
    <w:qFormat/>
    <w:uiPriority w:val="9"/>
    <w:pPr>
      <w:outlineLvl w:val="5"/>
    </w:pPr>
    <w:rPr>
      <w:sz w:val="15"/>
      <w:szCs w:val="15"/>
    </w:rPr>
  </w:style>
  <w:style w:type="character" w:customStyle="1" w:styleId="622">
    <w:name w:val="Default Paragraph Font_file_892"/>
    <w:semiHidden/>
    <w:unhideWhenUsed/>
    <w:qFormat/>
    <w:uiPriority w:val="1"/>
  </w:style>
  <w:style w:type="table" w:customStyle="1" w:styleId="623">
    <w:name w:val="Normal Table_file_892"/>
    <w:semiHidden/>
    <w:unhideWhenUsed/>
    <w:qFormat/>
    <w:uiPriority w:val="99"/>
    <w:tblPr>
      <w:tblCellMar>
        <w:top w:w="0" w:type="dxa"/>
        <w:left w:w="108" w:type="dxa"/>
        <w:bottom w:w="0" w:type="dxa"/>
        <w:right w:w="108" w:type="dxa"/>
      </w:tblCellMar>
    </w:tblPr>
  </w:style>
  <w:style w:type="character" w:customStyle="1" w:styleId="624">
    <w:name w:val="Hyperlink_file_892"/>
    <w:basedOn w:val="622"/>
    <w:semiHidden/>
    <w:unhideWhenUsed/>
    <w:qFormat/>
    <w:uiPriority w:val="99"/>
    <w:rPr>
      <w:color w:val="0782C1"/>
      <w:u w:val="single"/>
    </w:rPr>
  </w:style>
  <w:style w:type="character" w:customStyle="1" w:styleId="625">
    <w:name w:val="FollowedHyperlink_file_892"/>
    <w:basedOn w:val="622"/>
    <w:semiHidden/>
    <w:unhideWhenUsed/>
    <w:qFormat/>
    <w:uiPriority w:val="99"/>
    <w:rPr>
      <w:color w:val="0782C1"/>
      <w:u w:val="single"/>
    </w:rPr>
  </w:style>
  <w:style w:type="character" w:customStyle="1" w:styleId="626">
    <w:name w:val="标题 1 Char_file_892"/>
    <w:basedOn w:val="622"/>
    <w:qFormat/>
    <w:uiPriority w:val="9"/>
    <w:rPr>
      <w:rFonts w:ascii="宋体" w:hAnsi="宋体" w:eastAsia="宋体" w:cs="宋体"/>
      <w:b/>
      <w:bCs/>
      <w:kern w:val="44"/>
      <w:sz w:val="44"/>
      <w:szCs w:val="44"/>
    </w:rPr>
  </w:style>
  <w:style w:type="character" w:customStyle="1" w:styleId="627">
    <w:name w:val="标题 2 Char_file_892"/>
    <w:basedOn w:val="622"/>
    <w:semiHidden/>
    <w:qFormat/>
    <w:uiPriority w:val="9"/>
    <w:rPr>
      <w:rFonts w:asciiTheme="majorHAnsi" w:hAnsiTheme="majorHAnsi" w:eastAsiaTheme="majorEastAsia" w:cstheme="majorBidi"/>
      <w:b/>
      <w:bCs/>
      <w:sz w:val="32"/>
      <w:szCs w:val="32"/>
    </w:rPr>
  </w:style>
  <w:style w:type="character" w:customStyle="1" w:styleId="628">
    <w:name w:val="标题 3 Char_file_892"/>
    <w:basedOn w:val="622"/>
    <w:semiHidden/>
    <w:qFormat/>
    <w:uiPriority w:val="9"/>
    <w:rPr>
      <w:rFonts w:ascii="宋体" w:hAnsi="宋体" w:eastAsia="宋体" w:cs="宋体"/>
      <w:b/>
      <w:bCs/>
      <w:sz w:val="32"/>
      <w:szCs w:val="32"/>
    </w:rPr>
  </w:style>
  <w:style w:type="character" w:customStyle="1" w:styleId="629">
    <w:name w:val="标题 4 Char_file_892"/>
    <w:basedOn w:val="622"/>
    <w:semiHidden/>
    <w:qFormat/>
    <w:uiPriority w:val="9"/>
    <w:rPr>
      <w:rFonts w:asciiTheme="majorHAnsi" w:hAnsiTheme="majorHAnsi" w:eastAsiaTheme="majorEastAsia" w:cstheme="majorBidi"/>
      <w:b/>
      <w:bCs/>
      <w:sz w:val="28"/>
      <w:szCs w:val="28"/>
    </w:rPr>
  </w:style>
  <w:style w:type="character" w:customStyle="1" w:styleId="630">
    <w:name w:val="标题 5 Char_file_892"/>
    <w:basedOn w:val="622"/>
    <w:semiHidden/>
    <w:qFormat/>
    <w:uiPriority w:val="9"/>
    <w:rPr>
      <w:rFonts w:ascii="宋体" w:hAnsi="宋体" w:eastAsia="宋体" w:cs="宋体"/>
      <w:b/>
      <w:bCs/>
      <w:sz w:val="28"/>
      <w:szCs w:val="28"/>
    </w:rPr>
  </w:style>
  <w:style w:type="character" w:customStyle="1" w:styleId="631">
    <w:name w:val="标题 6 Char_file_892"/>
    <w:basedOn w:val="622"/>
    <w:semiHidden/>
    <w:qFormat/>
    <w:uiPriority w:val="9"/>
    <w:rPr>
      <w:rFonts w:asciiTheme="majorHAnsi" w:hAnsiTheme="majorHAnsi" w:eastAsiaTheme="majorEastAsia" w:cstheme="majorBidi"/>
      <w:b/>
      <w:bCs/>
      <w:sz w:val="24"/>
      <w:szCs w:val="24"/>
    </w:rPr>
  </w:style>
  <w:style w:type="paragraph" w:customStyle="1" w:styleId="632">
    <w:name w:val="cke_editable_file_892"/>
    <w:basedOn w:val="615"/>
    <w:qFormat/>
    <w:uiPriority w:val="0"/>
    <w:rPr>
      <w:rFonts w:ascii="仿宋_GB2312" w:eastAsia="仿宋_GB2312"/>
    </w:rPr>
  </w:style>
  <w:style w:type="paragraph" w:customStyle="1" w:styleId="633">
    <w:name w:val="marker_file_892"/>
    <w:basedOn w:val="615"/>
    <w:qFormat/>
    <w:uiPriority w:val="0"/>
    <w:pPr>
      <w:shd w:val="clear" w:color="auto" w:fill="FFFF00"/>
    </w:pPr>
  </w:style>
  <w:style w:type="paragraph" w:customStyle="1" w:styleId="634">
    <w:name w:val="Normal (Web)_file_892"/>
    <w:basedOn w:val="615"/>
    <w:semiHidden/>
    <w:unhideWhenUsed/>
    <w:qFormat/>
    <w:uiPriority w:val="99"/>
  </w:style>
  <w:style w:type="paragraph" w:customStyle="1" w:styleId="635">
    <w:name w:val="Normal_file_89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36">
    <w:name w:val="heading 1_file_893"/>
    <w:basedOn w:val="635"/>
    <w:qFormat/>
    <w:uiPriority w:val="9"/>
    <w:pPr>
      <w:outlineLvl w:val="0"/>
    </w:pPr>
    <w:rPr>
      <w:kern w:val="36"/>
      <w:sz w:val="48"/>
      <w:szCs w:val="48"/>
    </w:rPr>
  </w:style>
  <w:style w:type="paragraph" w:customStyle="1" w:styleId="637">
    <w:name w:val="heading 2_file_893"/>
    <w:basedOn w:val="635"/>
    <w:qFormat/>
    <w:uiPriority w:val="9"/>
    <w:pPr>
      <w:outlineLvl w:val="1"/>
    </w:pPr>
    <w:rPr>
      <w:sz w:val="36"/>
      <w:szCs w:val="36"/>
    </w:rPr>
  </w:style>
  <w:style w:type="paragraph" w:customStyle="1" w:styleId="638">
    <w:name w:val="heading 3_file_893"/>
    <w:basedOn w:val="635"/>
    <w:qFormat/>
    <w:uiPriority w:val="9"/>
    <w:pPr>
      <w:outlineLvl w:val="2"/>
    </w:pPr>
    <w:rPr>
      <w:sz w:val="27"/>
      <w:szCs w:val="27"/>
    </w:rPr>
  </w:style>
  <w:style w:type="paragraph" w:customStyle="1" w:styleId="639">
    <w:name w:val="heading 4_file_893"/>
    <w:basedOn w:val="635"/>
    <w:qFormat/>
    <w:uiPriority w:val="9"/>
    <w:pPr>
      <w:outlineLvl w:val="3"/>
    </w:pPr>
  </w:style>
  <w:style w:type="paragraph" w:customStyle="1" w:styleId="640">
    <w:name w:val="heading 5_file_893"/>
    <w:basedOn w:val="635"/>
    <w:qFormat/>
    <w:uiPriority w:val="9"/>
    <w:pPr>
      <w:outlineLvl w:val="4"/>
    </w:pPr>
    <w:rPr>
      <w:sz w:val="20"/>
      <w:szCs w:val="20"/>
    </w:rPr>
  </w:style>
  <w:style w:type="paragraph" w:customStyle="1" w:styleId="641">
    <w:name w:val="heading 6_file_893"/>
    <w:basedOn w:val="635"/>
    <w:qFormat/>
    <w:uiPriority w:val="9"/>
    <w:pPr>
      <w:outlineLvl w:val="5"/>
    </w:pPr>
    <w:rPr>
      <w:sz w:val="15"/>
      <w:szCs w:val="15"/>
    </w:rPr>
  </w:style>
  <w:style w:type="character" w:customStyle="1" w:styleId="642">
    <w:name w:val="Default Paragraph Font_file_893"/>
    <w:semiHidden/>
    <w:unhideWhenUsed/>
    <w:qFormat/>
    <w:uiPriority w:val="1"/>
  </w:style>
  <w:style w:type="table" w:customStyle="1" w:styleId="643">
    <w:name w:val="Normal Table_file_893"/>
    <w:semiHidden/>
    <w:unhideWhenUsed/>
    <w:qFormat/>
    <w:uiPriority w:val="99"/>
    <w:tblPr>
      <w:tblCellMar>
        <w:top w:w="0" w:type="dxa"/>
        <w:left w:w="108" w:type="dxa"/>
        <w:bottom w:w="0" w:type="dxa"/>
        <w:right w:w="108" w:type="dxa"/>
      </w:tblCellMar>
    </w:tblPr>
  </w:style>
  <w:style w:type="character" w:customStyle="1" w:styleId="644">
    <w:name w:val="Hyperlink_file_893"/>
    <w:basedOn w:val="642"/>
    <w:semiHidden/>
    <w:unhideWhenUsed/>
    <w:qFormat/>
    <w:uiPriority w:val="99"/>
    <w:rPr>
      <w:color w:val="0782C1"/>
      <w:u w:val="single"/>
    </w:rPr>
  </w:style>
  <w:style w:type="character" w:customStyle="1" w:styleId="645">
    <w:name w:val="FollowedHyperlink_file_893"/>
    <w:basedOn w:val="642"/>
    <w:semiHidden/>
    <w:unhideWhenUsed/>
    <w:qFormat/>
    <w:uiPriority w:val="99"/>
    <w:rPr>
      <w:color w:val="0782C1"/>
      <w:u w:val="single"/>
    </w:rPr>
  </w:style>
  <w:style w:type="character" w:customStyle="1" w:styleId="646">
    <w:name w:val="标题 1 Char_file_893"/>
    <w:basedOn w:val="642"/>
    <w:qFormat/>
    <w:uiPriority w:val="9"/>
    <w:rPr>
      <w:rFonts w:ascii="宋体" w:hAnsi="宋体" w:eastAsia="宋体" w:cs="宋体"/>
      <w:b/>
      <w:bCs/>
      <w:kern w:val="44"/>
      <w:sz w:val="44"/>
      <w:szCs w:val="44"/>
    </w:rPr>
  </w:style>
  <w:style w:type="character" w:customStyle="1" w:styleId="647">
    <w:name w:val="标题 2 Char_file_893"/>
    <w:basedOn w:val="642"/>
    <w:semiHidden/>
    <w:qFormat/>
    <w:uiPriority w:val="9"/>
    <w:rPr>
      <w:rFonts w:asciiTheme="majorHAnsi" w:hAnsiTheme="majorHAnsi" w:eastAsiaTheme="majorEastAsia" w:cstheme="majorBidi"/>
      <w:b/>
      <w:bCs/>
      <w:sz w:val="32"/>
      <w:szCs w:val="32"/>
    </w:rPr>
  </w:style>
  <w:style w:type="character" w:customStyle="1" w:styleId="648">
    <w:name w:val="标题 3 Char_file_893"/>
    <w:basedOn w:val="642"/>
    <w:semiHidden/>
    <w:qFormat/>
    <w:uiPriority w:val="9"/>
    <w:rPr>
      <w:rFonts w:ascii="宋体" w:hAnsi="宋体" w:eastAsia="宋体" w:cs="宋体"/>
      <w:b/>
      <w:bCs/>
      <w:sz w:val="32"/>
      <w:szCs w:val="32"/>
    </w:rPr>
  </w:style>
  <w:style w:type="character" w:customStyle="1" w:styleId="649">
    <w:name w:val="标题 4 Char_file_893"/>
    <w:basedOn w:val="642"/>
    <w:semiHidden/>
    <w:qFormat/>
    <w:uiPriority w:val="9"/>
    <w:rPr>
      <w:rFonts w:asciiTheme="majorHAnsi" w:hAnsiTheme="majorHAnsi" w:eastAsiaTheme="majorEastAsia" w:cstheme="majorBidi"/>
      <w:b/>
      <w:bCs/>
      <w:sz w:val="28"/>
      <w:szCs w:val="28"/>
    </w:rPr>
  </w:style>
  <w:style w:type="character" w:customStyle="1" w:styleId="650">
    <w:name w:val="标题 5 Char_file_893"/>
    <w:basedOn w:val="642"/>
    <w:semiHidden/>
    <w:qFormat/>
    <w:uiPriority w:val="9"/>
    <w:rPr>
      <w:rFonts w:ascii="宋体" w:hAnsi="宋体" w:eastAsia="宋体" w:cs="宋体"/>
      <w:b/>
      <w:bCs/>
      <w:sz w:val="28"/>
      <w:szCs w:val="28"/>
    </w:rPr>
  </w:style>
  <w:style w:type="character" w:customStyle="1" w:styleId="651">
    <w:name w:val="标题 6 Char_file_893"/>
    <w:basedOn w:val="642"/>
    <w:semiHidden/>
    <w:qFormat/>
    <w:uiPriority w:val="9"/>
    <w:rPr>
      <w:rFonts w:asciiTheme="majorHAnsi" w:hAnsiTheme="majorHAnsi" w:eastAsiaTheme="majorEastAsia" w:cstheme="majorBidi"/>
      <w:b/>
      <w:bCs/>
      <w:sz w:val="24"/>
      <w:szCs w:val="24"/>
    </w:rPr>
  </w:style>
  <w:style w:type="paragraph" w:customStyle="1" w:styleId="652">
    <w:name w:val="cke_editable_file_893"/>
    <w:basedOn w:val="635"/>
    <w:qFormat/>
    <w:uiPriority w:val="0"/>
    <w:rPr>
      <w:rFonts w:ascii="仿宋_GB2312" w:eastAsia="仿宋_GB2312"/>
    </w:rPr>
  </w:style>
  <w:style w:type="paragraph" w:customStyle="1" w:styleId="653">
    <w:name w:val="marker_file_893"/>
    <w:basedOn w:val="635"/>
    <w:qFormat/>
    <w:uiPriority w:val="0"/>
    <w:pPr>
      <w:shd w:val="clear" w:color="auto" w:fill="FFFF00"/>
    </w:pPr>
  </w:style>
  <w:style w:type="paragraph" w:customStyle="1" w:styleId="654">
    <w:name w:val="Normal (Web)_file_893"/>
    <w:basedOn w:val="635"/>
    <w:semiHidden/>
    <w:unhideWhenUsed/>
    <w:qFormat/>
    <w:uiPriority w:val="99"/>
  </w:style>
  <w:style w:type="paragraph" w:customStyle="1" w:styleId="655">
    <w:name w:val="Normal_file_894"/>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56">
    <w:name w:val="heading 1_file_894"/>
    <w:basedOn w:val="655"/>
    <w:qFormat/>
    <w:uiPriority w:val="9"/>
    <w:pPr>
      <w:outlineLvl w:val="0"/>
    </w:pPr>
    <w:rPr>
      <w:kern w:val="36"/>
      <w:sz w:val="48"/>
      <w:szCs w:val="48"/>
    </w:rPr>
  </w:style>
  <w:style w:type="paragraph" w:customStyle="1" w:styleId="657">
    <w:name w:val="heading 2_file_894"/>
    <w:basedOn w:val="655"/>
    <w:qFormat/>
    <w:uiPriority w:val="9"/>
    <w:pPr>
      <w:outlineLvl w:val="1"/>
    </w:pPr>
    <w:rPr>
      <w:sz w:val="36"/>
      <w:szCs w:val="36"/>
    </w:rPr>
  </w:style>
  <w:style w:type="paragraph" w:customStyle="1" w:styleId="658">
    <w:name w:val="heading 3_file_894"/>
    <w:basedOn w:val="655"/>
    <w:qFormat/>
    <w:uiPriority w:val="9"/>
    <w:pPr>
      <w:outlineLvl w:val="2"/>
    </w:pPr>
    <w:rPr>
      <w:sz w:val="27"/>
      <w:szCs w:val="27"/>
    </w:rPr>
  </w:style>
  <w:style w:type="paragraph" w:customStyle="1" w:styleId="659">
    <w:name w:val="heading 4_file_894"/>
    <w:basedOn w:val="655"/>
    <w:qFormat/>
    <w:uiPriority w:val="9"/>
    <w:pPr>
      <w:outlineLvl w:val="3"/>
    </w:pPr>
  </w:style>
  <w:style w:type="paragraph" w:customStyle="1" w:styleId="660">
    <w:name w:val="heading 5_file_894"/>
    <w:basedOn w:val="655"/>
    <w:qFormat/>
    <w:uiPriority w:val="9"/>
    <w:pPr>
      <w:outlineLvl w:val="4"/>
    </w:pPr>
    <w:rPr>
      <w:sz w:val="20"/>
      <w:szCs w:val="20"/>
    </w:rPr>
  </w:style>
  <w:style w:type="paragraph" w:customStyle="1" w:styleId="661">
    <w:name w:val="heading 6_file_894"/>
    <w:basedOn w:val="655"/>
    <w:qFormat/>
    <w:uiPriority w:val="9"/>
    <w:pPr>
      <w:outlineLvl w:val="5"/>
    </w:pPr>
    <w:rPr>
      <w:sz w:val="15"/>
      <w:szCs w:val="15"/>
    </w:rPr>
  </w:style>
  <w:style w:type="character" w:customStyle="1" w:styleId="662">
    <w:name w:val="Default Paragraph Font_file_894"/>
    <w:semiHidden/>
    <w:unhideWhenUsed/>
    <w:qFormat/>
    <w:uiPriority w:val="1"/>
  </w:style>
  <w:style w:type="table" w:customStyle="1" w:styleId="663">
    <w:name w:val="Normal Table_file_894"/>
    <w:semiHidden/>
    <w:unhideWhenUsed/>
    <w:qFormat/>
    <w:uiPriority w:val="99"/>
    <w:tblPr>
      <w:tblCellMar>
        <w:top w:w="0" w:type="dxa"/>
        <w:left w:w="108" w:type="dxa"/>
        <w:bottom w:w="0" w:type="dxa"/>
        <w:right w:w="108" w:type="dxa"/>
      </w:tblCellMar>
    </w:tblPr>
  </w:style>
  <w:style w:type="character" w:customStyle="1" w:styleId="664">
    <w:name w:val="Hyperlink_file_894"/>
    <w:basedOn w:val="662"/>
    <w:semiHidden/>
    <w:unhideWhenUsed/>
    <w:qFormat/>
    <w:uiPriority w:val="99"/>
    <w:rPr>
      <w:color w:val="0782C1"/>
      <w:u w:val="single"/>
    </w:rPr>
  </w:style>
  <w:style w:type="character" w:customStyle="1" w:styleId="665">
    <w:name w:val="FollowedHyperlink_file_894"/>
    <w:basedOn w:val="662"/>
    <w:semiHidden/>
    <w:unhideWhenUsed/>
    <w:qFormat/>
    <w:uiPriority w:val="99"/>
    <w:rPr>
      <w:color w:val="0782C1"/>
      <w:u w:val="single"/>
    </w:rPr>
  </w:style>
  <w:style w:type="character" w:customStyle="1" w:styleId="666">
    <w:name w:val="标题 1 Char_file_894"/>
    <w:basedOn w:val="662"/>
    <w:qFormat/>
    <w:uiPriority w:val="9"/>
    <w:rPr>
      <w:rFonts w:ascii="宋体" w:hAnsi="宋体" w:eastAsia="宋体" w:cs="宋体"/>
      <w:b/>
      <w:bCs/>
      <w:kern w:val="44"/>
      <w:sz w:val="44"/>
      <w:szCs w:val="44"/>
    </w:rPr>
  </w:style>
  <w:style w:type="character" w:customStyle="1" w:styleId="667">
    <w:name w:val="标题 2 Char_file_894"/>
    <w:basedOn w:val="662"/>
    <w:semiHidden/>
    <w:qFormat/>
    <w:uiPriority w:val="9"/>
    <w:rPr>
      <w:rFonts w:asciiTheme="majorHAnsi" w:hAnsiTheme="majorHAnsi" w:eastAsiaTheme="majorEastAsia" w:cstheme="majorBidi"/>
      <w:b/>
      <w:bCs/>
      <w:sz w:val="32"/>
      <w:szCs w:val="32"/>
    </w:rPr>
  </w:style>
  <w:style w:type="character" w:customStyle="1" w:styleId="668">
    <w:name w:val="标题 3 Char_file_894"/>
    <w:basedOn w:val="662"/>
    <w:semiHidden/>
    <w:qFormat/>
    <w:uiPriority w:val="9"/>
    <w:rPr>
      <w:rFonts w:ascii="宋体" w:hAnsi="宋体" w:eastAsia="宋体" w:cs="宋体"/>
      <w:b/>
      <w:bCs/>
      <w:sz w:val="32"/>
      <w:szCs w:val="32"/>
    </w:rPr>
  </w:style>
  <w:style w:type="character" w:customStyle="1" w:styleId="669">
    <w:name w:val="标题 4 Char_file_894"/>
    <w:basedOn w:val="662"/>
    <w:semiHidden/>
    <w:qFormat/>
    <w:uiPriority w:val="9"/>
    <w:rPr>
      <w:rFonts w:asciiTheme="majorHAnsi" w:hAnsiTheme="majorHAnsi" w:eastAsiaTheme="majorEastAsia" w:cstheme="majorBidi"/>
      <w:b/>
      <w:bCs/>
      <w:sz w:val="28"/>
      <w:szCs w:val="28"/>
    </w:rPr>
  </w:style>
  <w:style w:type="character" w:customStyle="1" w:styleId="670">
    <w:name w:val="标题 5 Char_file_894"/>
    <w:basedOn w:val="662"/>
    <w:semiHidden/>
    <w:qFormat/>
    <w:uiPriority w:val="9"/>
    <w:rPr>
      <w:rFonts w:ascii="宋体" w:hAnsi="宋体" w:eastAsia="宋体" w:cs="宋体"/>
      <w:b/>
      <w:bCs/>
      <w:sz w:val="28"/>
      <w:szCs w:val="28"/>
    </w:rPr>
  </w:style>
  <w:style w:type="character" w:customStyle="1" w:styleId="671">
    <w:name w:val="标题 6 Char_file_894"/>
    <w:basedOn w:val="662"/>
    <w:semiHidden/>
    <w:qFormat/>
    <w:uiPriority w:val="9"/>
    <w:rPr>
      <w:rFonts w:asciiTheme="majorHAnsi" w:hAnsiTheme="majorHAnsi" w:eastAsiaTheme="majorEastAsia" w:cstheme="majorBidi"/>
      <w:b/>
      <w:bCs/>
      <w:sz w:val="24"/>
      <w:szCs w:val="24"/>
    </w:rPr>
  </w:style>
  <w:style w:type="paragraph" w:customStyle="1" w:styleId="672">
    <w:name w:val="cke_editable_file_894"/>
    <w:basedOn w:val="655"/>
    <w:qFormat/>
    <w:uiPriority w:val="0"/>
    <w:rPr>
      <w:rFonts w:ascii="仿宋_GB2312" w:eastAsia="仿宋_GB2312"/>
    </w:rPr>
  </w:style>
  <w:style w:type="paragraph" w:customStyle="1" w:styleId="673">
    <w:name w:val="marker_file_894"/>
    <w:basedOn w:val="655"/>
    <w:qFormat/>
    <w:uiPriority w:val="0"/>
    <w:pPr>
      <w:shd w:val="clear" w:color="auto" w:fill="FFFF00"/>
    </w:pPr>
  </w:style>
  <w:style w:type="paragraph" w:customStyle="1" w:styleId="674">
    <w:name w:val="Normal (Web)_file_894"/>
    <w:basedOn w:val="655"/>
    <w:semiHidden/>
    <w:unhideWhenUsed/>
    <w:qFormat/>
    <w:uiPriority w:val="99"/>
  </w:style>
  <w:style w:type="paragraph" w:customStyle="1" w:styleId="675">
    <w:name w:val="Normal_file_895"/>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76">
    <w:name w:val="heading 1_file_895"/>
    <w:basedOn w:val="675"/>
    <w:qFormat/>
    <w:uiPriority w:val="9"/>
    <w:pPr>
      <w:outlineLvl w:val="0"/>
    </w:pPr>
    <w:rPr>
      <w:kern w:val="36"/>
      <w:sz w:val="48"/>
      <w:szCs w:val="48"/>
    </w:rPr>
  </w:style>
  <w:style w:type="paragraph" w:customStyle="1" w:styleId="677">
    <w:name w:val="heading 2_file_895"/>
    <w:basedOn w:val="675"/>
    <w:qFormat/>
    <w:uiPriority w:val="9"/>
    <w:pPr>
      <w:outlineLvl w:val="1"/>
    </w:pPr>
    <w:rPr>
      <w:sz w:val="36"/>
      <w:szCs w:val="36"/>
    </w:rPr>
  </w:style>
  <w:style w:type="paragraph" w:customStyle="1" w:styleId="678">
    <w:name w:val="heading 3_file_895"/>
    <w:basedOn w:val="675"/>
    <w:qFormat/>
    <w:uiPriority w:val="9"/>
    <w:pPr>
      <w:outlineLvl w:val="2"/>
    </w:pPr>
    <w:rPr>
      <w:sz w:val="27"/>
      <w:szCs w:val="27"/>
    </w:rPr>
  </w:style>
  <w:style w:type="paragraph" w:customStyle="1" w:styleId="679">
    <w:name w:val="heading 4_file_895"/>
    <w:basedOn w:val="675"/>
    <w:qFormat/>
    <w:uiPriority w:val="9"/>
    <w:pPr>
      <w:outlineLvl w:val="3"/>
    </w:pPr>
  </w:style>
  <w:style w:type="paragraph" w:customStyle="1" w:styleId="680">
    <w:name w:val="heading 5_file_895"/>
    <w:basedOn w:val="675"/>
    <w:qFormat/>
    <w:uiPriority w:val="9"/>
    <w:pPr>
      <w:outlineLvl w:val="4"/>
    </w:pPr>
    <w:rPr>
      <w:sz w:val="20"/>
      <w:szCs w:val="20"/>
    </w:rPr>
  </w:style>
  <w:style w:type="paragraph" w:customStyle="1" w:styleId="681">
    <w:name w:val="heading 6_file_895"/>
    <w:basedOn w:val="675"/>
    <w:qFormat/>
    <w:uiPriority w:val="9"/>
    <w:pPr>
      <w:outlineLvl w:val="5"/>
    </w:pPr>
    <w:rPr>
      <w:sz w:val="15"/>
      <w:szCs w:val="15"/>
    </w:rPr>
  </w:style>
  <w:style w:type="character" w:customStyle="1" w:styleId="682">
    <w:name w:val="Default Paragraph Font_file_895"/>
    <w:semiHidden/>
    <w:unhideWhenUsed/>
    <w:qFormat/>
    <w:uiPriority w:val="1"/>
  </w:style>
  <w:style w:type="table" w:customStyle="1" w:styleId="683">
    <w:name w:val="Normal Table_file_895"/>
    <w:semiHidden/>
    <w:unhideWhenUsed/>
    <w:qFormat/>
    <w:uiPriority w:val="99"/>
    <w:tblPr>
      <w:tblCellMar>
        <w:top w:w="0" w:type="dxa"/>
        <w:left w:w="108" w:type="dxa"/>
        <w:bottom w:w="0" w:type="dxa"/>
        <w:right w:w="108" w:type="dxa"/>
      </w:tblCellMar>
    </w:tblPr>
  </w:style>
  <w:style w:type="character" w:customStyle="1" w:styleId="684">
    <w:name w:val="Hyperlink_file_895"/>
    <w:basedOn w:val="682"/>
    <w:semiHidden/>
    <w:unhideWhenUsed/>
    <w:qFormat/>
    <w:uiPriority w:val="99"/>
    <w:rPr>
      <w:color w:val="0782C1"/>
      <w:u w:val="single"/>
    </w:rPr>
  </w:style>
  <w:style w:type="character" w:customStyle="1" w:styleId="685">
    <w:name w:val="FollowedHyperlink_file_895"/>
    <w:basedOn w:val="682"/>
    <w:semiHidden/>
    <w:unhideWhenUsed/>
    <w:qFormat/>
    <w:uiPriority w:val="99"/>
    <w:rPr>
      <w:color w:val="0782C1"/>
      <w:u w:val="single"/>
    </w:rPr>
  </w:style>
  <w:style w:type="character" w:customStyle="1" w:styleId="686">
    <w:name w:val="标题 1 Char_file_895"/>
    <w:basedOn w:val="682"/>
    <w:qFormat/>
    <w:uiPriority w:val="9"/>
    <w:rPr>
      <w:rFonts w:ascii="宋体" w:hAnsi="宋体" w:eastAsia="宋体" w:cs="宋体"/>
      <w:b/>
      <w:bCs/>
      <w:kern w:val="44"/>
      <w:sz w:val="44"/>
      <w:szCs w:val="44"/>
    </w:rPr>
  </w:style>
  <w:style w:type="character" w:customStyle="1" w:styleId="687">
    <w:name w:val="标题 2 Char_file_895"/>
    <w:basedOn w:val="682"/>
    <w:semiHidden/>
    <w:qFormat/>
    <w:uiPriority w:val="9"/>
    <w:rPr>
      <w:rFonts w:asciiTheme="majorHAnsi" w:hAnsiTheme="majorHAnsi" w:eastAsiaTheme="majorEastAsia" w:cstheme="majorBidi"/>
      <w:b/>
      <w:bCs/>
      <w:sz w:val="32"/>
      <w:szCs w:val="32"/>
    </w:rPr>
  </w:style>
  <w:style w:type="character" w:customStyle="1" w:styleId="688">
    <w:name w:val="标题 3 Char_file_895"/>
    <w:basedOn w:val="682"/>
    <w:semiHidden/>
    <w:qFormat/>
    <w:uiPriority w:val="9"/>
    <w:rPr>
      <w:rFonts w:ascii="宋体" w:hAnsi="宋体" w:eastAsia="宋体" w:cs="宋体"/>
      <w:b/>
      <w:bCs/>
      <w:sz w:val="32"/>
      <w:szCs w:val="32"/>
    </w:rPr>
  </w:style>
  <w:style w:type="character" w:customStyle="1" w:styleId="689">
    <w:name w:val="标题 4 Char_file_895"/>
    <w:basedOn w:val="682"/>
    <w:semiHidden/>
    <w:qFormat/>
    <w:uiPriority w:val="9"/>
    <w:rPr>
      <w:rFonts w:asciiTheme="majorHAnsi" w:hAnsiTheme="majorHAnsi" w:eastAsiaTheme="majorEastAsia" w:cstheme="majorBidi"/>
      <w:b/>
      <w:bCs/>
      <w:sz w:val="28"/>
      <w:szCs w:val="28"/>
    </w:rPr>
  </w:style>
  <w:style w:type="character" w:customStyle="1" w:styleId="690">
    <w:name w:val="标题 5 Char_file_895"/>
    <w:basedOn w:val="682"/>
    <w:semiHidden/>
    <w:qFormat/>
    <w:uiPriority w:val="9"/>
    <w:rPr>
      <w:rFonts w:ascii="宋体" w:hAnsi="宋体" w:eastAsia="宋体" w:cs="宋体"/>
      <w:b/>
      <w:bCs/>
      <w:sz w:val="28"/>
      <w:szCs w:val="28"/>
    </w:rPr>
  </w:style>
  <w:style w:type="character" w:customStyle="1" w:styleId="691">
    <w:name w:val="标题 6 Char_file_895"/>
    <w:basedOn w:val="682"/>
    <w:semiHidden/>
    <w:qFormat/>
    <w:uiPriority w:val="9"/>
    <w:rPr>
      <w:rFonts w:asciiTheme="majorHAnsi" w:hAnsiTheme="majorHAnsi" w:eastAsiaTheme="majorEastAsia" w:cstheme="majorBidi"/>
      <w:b/>
      <w:bCs/>
      <w:sz w:val="24"/>
      <w:szCs w:val="24"/>
    </w:rPr>
  </w:style>
  <w:style w:type="paragraph" w:customStyle="1" w:styleId="692">
    <w:name w:val="cke_editable_file_895"/>
    <w:basedOn w:val="675"/>
    <w:qFormat/>
    <w:uiPriority w:val="0"/>
    <w:rPr>
      <w:rFonts w:ascii="仿宋_GB2312" w:eastAsia="仿宋_GB2312"/>
    </w:rPr>
  </w:style>
  <w:style w:type="paragraph" w:customStyle="1" w:styleId="693">
    <w:name w:val="marker_file_895"/>
    <w:basedOn w:val="675"/>
    <w:qFormat/>
    <w:uiPriority w:val="0"/>
    <w:pPr>
      <w:shd w:val="clear" w:color="auto" w:fill="FFFF00"/>
    </w:pPr>
  </w:style>
  <w:style w:type="paragraph" w:customStyle="1" w:styleId="694">
    <w:name w:val="Normal (Web)_file_895"/>
    <w:basedOn w:val="675"/>
    <w:semiHidden/>
    <w:unhideWhenUsed/>
    <w:qFormat/>
    <w:uiPriority w:val="99"/>
  </w:style>
  <w:style w:type="character" w:customStyle="1" w:styleId="695">
    <w:name w:val="Strong_file_895"/>
    <w:basedOn w:val="682"/>
    <w:qFormat/>
    <w:uiPriority w:val="22"/>
    <w:rPr>
      <w:b/>
      <w:bCs/>
    </w:rPr>
  </w:style>
  <w:style w:type="paragraph" w:customStyle="1" w:styleId="696">
    <w:name w:val="Normal_file_89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697">
    <w:name w:val="heading 1_file_896"/>
    <w:basedOn w:val="696"/>
    <w:qFormat/>
    <w:uiPriority w:val="9"/>
    <w:pPr>
      <w:outlineLvl w:val="0"/>
    </w:pPr>
    <w:rPr>
      <w:kern w:val="36"/>
      <w:sz w:val="48"/>
      <w:szCs w:val="48"/>
    </w:rPr>
  </w:style>
  <w:style w:type="paragraph" w:customStyle="1" w:styleId="698">
    <w:name w:val="heading 2_file_896"/>
    <w:basedOn w:val="696"/>
    <w:qFormat/>
    <w:uiPriority w:val="9"/>
    <w:pPr>
      <w:outlineLvl w:val="1"/>
    </w:pPr>
    <w:rPr>
      <w:sz w:val="36"/>
      <w:szCs w:val="36"/>
    </w:rPr>
  </w:style>
  <w:style w:type="paragraph" w:customStyle="1" w:styleId="699">
    <w:name w:val="heading 3_file_896"/>
    <w:basedOn w:val="696"/>
    <w:qFormat/>
    <w:uiPriority w:val="9"/>
    <w:pPr>
      <w:outlineLvl w:val="2"/>
    </w:pPr>
    <w:rPr>
      <w:sz w:val="27"/>
      <w:szCs w:val="27"/>
    </w:rPr>
  </w:style>
  <w:style w:type="paragraph" w:customStyle="1" w:styleId="700">
    <w:name w:val="heading 4_file_896"/>
    <w:basedOn w:val="696"/>
    <w:qFormat/>
    <w:uiPriority w:val="9"/>
    <w:pPr>
      <w:outlineLvl w:val="3"/>
    </w:pPr>
  </w:style>
  <w:style w:type="paragraph" w:customStyle="1" w:styleId="701">
    <w:name w:val="heading 5_file_896"/>
    <w:basedOn w:val="696"/>
    <w:qFormat/>
    <w:uiPriority w:val="9"/>
    <w:pPr>
      <w:outlineLvl w:val="4"/>
    </w:pPr>
    <w:rPr>
      <w:sz w:val="20"/>
      <w:szCs w:val="20"/>
    </w:rPr>
  </w:style>
  <w:style w:type="paragraph" w:customStyle="1" w:styleId="702">
    <w:name w:val="heading 6_file_896"/>
    <w:basedOn w:val="696"/>
    <w:qFormat/>
    <w:uiPriority w:val="9"/>
    <w:pPr>
      <w:outlineLvl w:val="5"/>
    </w:pPr>
    <w:rPr>
      <w:sz w:val="15"/>
      <w:szCs w:val="15"/>
    </w:rPr>
  </w:style>
  <w:style w:type="character" w:customStyle="1" w:styleId="703">
    <w:name w:val="Default Paragraph Font_file_896"/>
    <w:semiHidden/>
    <w:unhideWhenUsed/>
    <w:qFormat/>
    <w:uiPriority w:val="1"/>
  </w:style>
  <w:style w:type="table" w:customStyle="1" w:styleId="704">
    <w:name w:val="Normal Table_file_896"/>
    <w:semiHidden/>
    <w:unhideWhenUsed/>
    <w:qFormat/>
    <w:uiPriority w:val="99"/>
    <w:tblPr>
      <w:tblCellMar>
        <w:top w:w="0" w:type="dxa"/>
        <w:left w:w="108" w:type="dxa"/>
        <w:bottom w:w="0" w:type="dxa"/>
        <w:right w:w="108" w:type="dxa"/>
      </w:tblCellMar>
    </w:tblPr>
  </w:style>
  <w:style w:type="character" w:customStyle="1" w:styleId="705">
    <w:name w:val="Hyperlink_file_896"/>
    <w:basedOn w:val="703"/>
    <w:semiHidden/>
    <w:unhideWhenUsed/>
    <w:qFormat/>
    <w:uiPriority w:val="99"/>
    <w:rPr>
      <w:color w:val="0782C1"/>
      <w:u w:val="single"/>
    </w:rPr>
  </w:style>
  <w:style w:type="character" w:customStyle="1" w:styleId="706">
    <w:name w:val="FollowedHyperlink_file_896"/>
    <w:basedOn w:val="703"/>
    <w:semiHidden/>
    <w:unhideWhenUsed/>
    <w:qFormat/>
    <w:uiPriority w:val="99"/>
    <w:rPr>
      <w:color w:val="0782C1"/>
      <w:u w:val="single"/>
    </w:rPr>
  </w:style>
  <w:style w:type="character" w:customStyle="1" w:styleId="707">
    <w:name w:val="标题 1 Char_file_896"/>
    <w:basedOn w:val="703"/>
    <w:qFormat/>
    <w:uiPriority w:val="9"/>
    <w:rPr>
      <w:rFonts w:ascii="宋体" w:hAnsi="宋体" w:eastAsia="宋体" w:cs="宋体"/>
      <w:b/>
      <w:bCs/>
      <w:kern w:val="44"/>
      <w:sz w:val="44"/>
      <w:szCs w:val="44"/>
    </w:rPr>
  </w:style>
  <w:style w:type="character" w:customStyle="1" w:styleId="708">
    <w:name w:val="标题 2 Char_file_896"/>
    <w:basedOn w:val="703"/>
    <w:semiHidden/>
    <w:qFormat/>
    <w:uiPriority w:val="9"/>
    <w:rPr>
      <w:rFonts w:asciiTheme="majorHAnsi" w:hAnsiTheme="majorHAnsi" w:eastAsiaTheme="majorEastAsia" w:cstheme="majorBidi"/>
      <w:b/>
      <w:bCs/>
      <w:sz w:val="32"/>
      <w:szCs w:val="32"/>
    </w:rPr>
  </w:style>
  <w:style w:type="character" w:customStyle="1" w:styleId="709">
    <w:name w:val="标题 3 Char_file_896"/>
    <w:basedOn w:val="703"/>
    <w:semiHidden/>
    <w:qFormat/>
    <w:uiPriority w:val="9"/>
    <w:rPr>
      <w:rFonts w:ascii="宋体" w:hAnsi="宋体" w:eastAsia="宋体" w:cs="宋体"/>
      <w:b/>
      <w:bCs/>
      <w:sz w:val="32"/>
      <w:szCs w:val="32"/>
    </w:rPr>
  </w:style>
  <w:style w:type="character" w:customStyle="1" w:styleId="710">
    <w:name w:val="标题 4 Char_file_896"/>
    <w:basedOn w:val="703"/>
    <w:semiHidden/>
    <w:qFormat/>
    <w:uiPriority w:val="9"/>
    <w:rPr>
      <w:rFonts w:asciiTheme="majorHAnsi" w:hAnsiTheme="majorHAnsi" w:eastAsiaTheme="majorEastAsia" w:cstheme="majorBidi"/>
      <w:b/>
      <w:bCs/>
      <w:sz w:val="28"/>
      <w:szCs w:val="28"/>
    </w:rPr>
  </w:style>
  <w:style w:type="character" w:customStyle="1" w:styleId="711">
    <w:name w:val="标题 5 Char_file_896"/>
    <w:basedOn w:val="703"/>
    <w:semiHidden/>
    <w:qFormat/>
    <w:uiPriority w:val="9"/>
    <w:rPr>
      <w:rFonts w:ascii="宋体" w:hAnsi="宋体" w:eastAsia="宋体" w:cs="宋体"/>
      <w:b/>
      <w:bCs/>
      <w:sz w:val="28"/>
      <w:szCs w:val="28"/>
    </w:rPr>
  </w:style>
  <w:style w:type="character" w:customStyle="1" w:styleId="712">
    <w:name w:val="标题 6 Char_file_896"/>
    <w:basedOn w:val="703"/>
    <w:semiHidden/>
    <w:qFormat/>
    <w:uiPriority w:val="9"/>
    <w:rPr>
      <w:rFonts w:asciiTheme="majorHAnsi" w:hAnsiTheme="majorHAnsi" w:eastAsiaTheme="majorEastAsia" w:cstheme="majorBidi"/>
      <w:b/>
      <w:bCs/>
      <w:sz w:val="24"/>
      <w:szCs w:val="24"/>
    </w:rPr>
  </w:style>
  <w:style w:type="paragraph" w:customStyle="1" w:styleId="713">
    <w:name w:val="cke_editable_file_896"/>
    <w:basedOn w:val="696"/>
    <w:qFormat/>
    <w:uiPriority w:val="0"/>
    <w:rPr>
      <w:rFonts w:ascii="仿宋_GB2312" w:eastAsia="仿宋_GB2312"/>
    </w:rPr>
  </w:style>
  <w:style w:type="paragraph" w:customStyle="1" w:styleId="714">
    <w:name w:val="marker_file_896"/>
    <w:basedOn w:val="696"/>
    <w:qFormat/>
    <w:uiPriority w:val="0"/>
    <w:pPr>
      <w:shd w:val="clear" w:color="auto" w:fill="FFFF00"/>
    </w:pPr>
  </w:style>
  <w:style w:type="paragraph" w:customStyle="1" w:styleId="715">
    <w:name w:val="Normal (Web)_file_896"/>
    <w:basedOn w:val="696"/>
    <w:semiHidden/>
    <w:unhideWhenUsed/>
    <w:qFormat/>
    <w:uiPriority w:val="99"/>
  </w:style>
  <w:style w:type="character" w:customStyle="1" w:styleId="716">
    <w:name w:val="Strong_file_896"/>
    <w:basedOn w:val="703"/>
    <w:qFormat/>
    <w:uiPriority w:val="22"/>
    <w:rPr>
      <w:b/>
      <w:bCs/>
    </w:rPr>
  </w:style>
  <w:style w:type="paragraph" w:customStyle="1" w:styleId="717">
    <w:name w:val="Normal_file_89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18">
    <w:name w:val="heading 1_file_897"/>
    <w:basedOn w:val="717"/>
    <w:qFormat/>
    <w:uiPriority w:val="9"/>
    <w:pPr>
      <w:outlineLvl w:val="0"/>
    </w:pPr>
    <w:rPr>
      <w:kern w:val="36"/>
      <w:sz w:val="48"/>
      <w:szCs w:val="48"/>
    </w:rPr>
  </w:style>
  <w:style w:type="paragraph" w:customStyle="1" w:styleId="719">
    <w:name w:val="heading 2_file_897"/>
    <w:basedOn w:val="717"/>
    <w:qFormat/>
    <w:uiPriority w:val="9"/>
    <w:pPr>
      <w:outlineLvl w:val="1"/>
    </w:pPr>
    <w:rPr>
      <w:sz w:val="36"/>
      <w:szCs w:val="36"/>
    </w:rPr>
  </w:style>
  <w:style w:type="paragraph" w:customStyle="1" w:styleId="720">
    <w:name w:val="heading 3_file_897"/>
    <w:basedOn w:val="717"/>
    <w:qFormat/>
    <w:uiPriority w:val="9"/>
    <w:pPr>
      <w:outlineLvl w:val="2"/>
    </w:pPr>
    <w:rPr>
      <w:sz w:val="27"/>
      <w:szCs w:val="27"/>
    </w:rPr>
  </w:style>
  <w:style w:type="paragraph" w:customStyle="1" w:styleId="721">
    <w:name w:val="heading 4_file_897"/>
    <w:basedOn w:val="717"/>
    <w:qFormat/>
    <w:uiPriority w:val="9"/>
    <w:pPr>
      <w:outlineLvl w:val="3"/>
    </w:pPr>
  </w:style>
  <w:style w:type="paragraph" w:customStyle="1" w:styleId="722">
    <w:name w:val="heading 5_file_897"/>
    <w:basedOn w:val="717"/>
    <w:qFormat/>
    <w:uiPriority w:val="9"/>
    <w:pPr>
      <w:outlineLvl w:val="4"/>
    </w:pPr>
    <w:rPr>
      <w:sz w:val="20"/>
      <w:szCs w:val="20"/>
    </w:rPr>
  </w:style>
  <w:style w:type="paragraph" w:customStyle="1" w:styleId="723">
    <w:name w:val="heading 6_file_897"/>
    <w:basedOn w:val="717"/>
    <w:qFormat/>
    <w:uiPriority w:val="9"/>
    <w:pPr>
      <w:outlineLvl w:val="5"/>
    </w:pPr>
    <w:rPr>
      <w:sz w:val="15"/>
      <w:szCs w:val="15"/>
    </w:rPr>
  </w:style>
  <w:style w:type="character" w:customStyle="1" w:styleId="724">
    <w:name w:val="Default Paragraph Font_file_897"/>
    <w:semiHidden/>
    <w:unhideWhenUsed/>
    <w:qFormat/>
    <w:uiPriority w:val="1"/>
  </w:style>
  <w:style w:type="table" w:customStyle="1" w:styleId="725">
    <w:name w:val="Normal Table_file_897"/>
    <w:semiHidden/>
    <w:unhideWhenUsed/>
    <w:qFormat/>
    <w:uiPriority w:val="99"/>
    <w:tblPr>
      <w:tblCellMar>
        <w:top w:w="0" w:type="dxa"/>
        <w:left w:w="108" w:type="dxa"/>
        <w:bottom w:w="0" w:type="dxa"/>
        <w:right w:w="108" w:type="dxa"/>
      </w:tblCellMar>
    </w:tblPr>
  </w:style>
  <w:style w:type="character" w:customStyle="1" w:styleId="726">
    <w:name w:val="Hyperlink_file_897"/>
    <w:basedOn w:val="724"/>
    <w:semiHidden/>
    <w:unhideWhenUsed/>
    <w:qFormat/>
    <w:uiPriority w:val="99"/>
    <w:rPr>
      <w:color w:val="0782C1"/>
      <w:u w:val="single"/>
    </w:rPr>
  </w:style>
  <w:style w:type="character" w:customStyle="1" w:styleId="727">
    <w:name w:val="FollowedHyperlink_file_897"/>
    <w:basedOn w:val="724"/>
    <w:semiHidden/>
    <w:unhideWhenUsed/>
    <w:qFormat/>
    <w:uiPriority w:val="99"/>
    <w:rPr>
      <w:color w:val="0782C1"/>
      <w:u w:val="single"/>
    </w:rPr>
  </w:style>
  <w:style w:type="character" w:customStyle="1" w:styleId="728">
    <w:name w:val="标题 1 Char_file_897"/>
    <w:basedOn w:val="724"/>
    <w:qFormat/>
    <w:uiPriority w:val="9"/>
    <w:rPr>
      <w:rFonts w:ascii="宋体" w:hAnsi="宋体" w:eastAsia="宋体" w:cs="宋体"/>
      <w:b/>
      <w:bCs/>
      <w:kern w:val="44"/>
      <w:sz w:val="44"/>
      <w:szCs w:val="44"/>
    </w:rPr>
  </w:style>
  <w:style w:type="character" w:customStyle="1" w:styleId="729">
    <w:name w:val="标题 2 Char_file_897"/>
    <w:basedOn w:val="724"/>
    <w:semiHidden/>
    <w:qFormat/>
    <w:uiPriority w:val="9"/>
    <w:rPr>
      <w:rFonts w:asciiTheme="majorHAnsi" w:hAnsiTheme="majorHAnsi" w:eastAsiaTheme="majorEastAsia" w:cstheme="majorBidi"/>
      <w:b/>
      <w:bCs/>
      <w:sz w:val="32"/>
      <w:szCs w:val="32"/>
    </w:rPr>
  </w:style>
  <w:style w:type="character" w:customStyle="1" w:styleId="730">
    <w:name w:val="标题 3 Char_file_897"/>
    <w:basedOn w:val="724"/>
    <w:semiHidden/>
    <w:qFormat/>
    <w:uiPriority w:val="9"/>
    <w:rPr>
      <w:rFonts w:ascii="宋体" w:hAnsi="宋体" w:eastAsia="宋体" w:cs="宋体"/>
      <w:b/>
      <w:bCs/>
      <w:sz w:val="32"/>
      <w:szCs w:val="32"/>
    </w:rPr>
  </w:style>
  <w:style w:type="character" w:customStyle="1" w:styleId="731">
    <w:name w:val="标题 4 Char_file_897"/>
    <w:basedOn w:val="724"/>
    <w:semiHidden/>
    <w:qFormat/>
    <w:uiPriority w:val="9"/>
    <w:rPr>
      <w:rFonts w:asciiTheme="majorHAnsi" w:hAnsiTheme="majorHAnsi" w:eastAsiaTheme="majorEastAsia" w:cstheme="majorBidi"/>
      <w:b/>
      <w:bCs/>
      <w:sz w:val="28"/>
      <w:szCs w:val="28"/>
    </w:rPr>
  </w:style>
  <w:style w:type="character" w:customStyle="1" w:styleId="732">
    <w:name w:val="标题 5 Char_file_897"/>
    <w:basedOn w:val="724"/>
    <w:semiHidden/>
    <w:qFormat/>
    <w:uiPriority w:val="9"/>
    <w:rPr>
      <w:rFonts w:ascii="宋体" w:hAnsi="宋体" w:eastAsia="宋体" w:cs="宋体"/>
      <w:b/>
      <w:bCs/>
      <w:sz w:val="28"/>
      <w:szCs w:val="28"/>
    </w:rPr>
  </w:style>
  <w:style w:type="character" w:customStyle="1" w:styleId="733">
    <w:name w:val="标题 6 Char_file_897"/>
    <w:basedOn w:val="724"/>
    <w:semiHidden/>
    <w:qFormat/>
    <w:uiPriority w:val="9"/>
    <w:rPr>
      <w:rFonts w:asciiTheme="majorHAnsi" w:hAnsiTheme="majorHAnsi" w:eastAsiaTheme="majorEastAsia" w:cstheme="majorBidi"/>
      <w:b/>
      <w:bCs/>
      <w:sz w:val="24"/>
      <w:szCs w:val="24"/>
    </w:rPr>
  </w:style>
  <w:style w:type="paragraph" w:customStyle="1" w:styleId="734">
    <w:name w:val="cke_editable_file_897"/>
    <w:basedOn w:val="717"/>
    <w:qFormat/>
    <w:uiPriority w:val="0"/>
    <w:rPr>
      <w:rFonts w:ascii="仿宋_GB2312" w:eastAsia="仿宋_GB2312"/>
    </w:rPr>
  </w:style>
  <w:style w:type="paragraph" w:customStyle="1" w:styleId="735">
    <w:name w:val="marker_file_897"/>
    <w:basedOn w:val="717"/>
    <w:qFormat/>
    <w:uiPriority w:val="0"/>
    <w:pPr>
      <w:shd w:val="clear" w:color="auto" w:fill="FFFF00"/>
    </w:pPr>
  </w:style>
  <w:style w:type="paragraph" w:customStyle="1" w:styleId="736">
    <w:name w:val="Normal (Web)_file_897"/>
    <w:basedOn w:val="717"/>
    <w:semiHidden/>
    <w:unhideWhenUsed/>
    <w:qFormat/>
    <w:uiPriority w:val="99"/>
  </w:style>
  <w:style w:type="character" w:customStyle="1" w:styleId="737">
    <w:name w:val="Strong_file_897"/>
    <w:basedOn w:val="724"/>
    <w:qFormat/>
    <w:uiPriority w:val="22"/>
    <w:rPr>
      <w:b/>
      <w:bCs/>
    </w:rPr>
  </w:style>
  <w:style w:type="paragraph" w:customStyle="1" w:styleId="738">
    <w:name w:val="Normal_file_898"/>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39">
    <w:name w:val="heading 1_file_898"/>
    <w:basedOn w:val="738"/>
    <w:qFormat/>
    <w:uiPriority w:val="9"/>
    <w:pPr>
      <w:outlineLvl w:val="0"/>
    </w:pPr>
    <w:rPr>
      <w:kern w:val="36"/>
      <w:sz w:val="48"/>
      <w:szCs w:val="48"/>
    </w:rPr>
  </w:style>
  <w:style w:type="paragraph" w:customStyle="1" w:styleId="740">
    <w:name w:val="heading 2_file_898"/>
    <w:basedOn w:val="738"/>
    <w:qFormat/>
    <w:uiPriority w:val="9"/>
    <w:pPr>
      <w:outlineLvl w:val="1"/>
    </w:pPr>
    <w:rPr>
      <w:sz w:val="36"/>
      <w:szCs w:val="36"/>
    </w:rPr>
  </w:style>
  <w:style w:type="paragraph" w:customStyle="1" w:styleId="741">
    <w:name w:val="heading 3_file_898"/>
    <w:basedOn w:val="738"/>
    <w:qFormat/>
    <w:uiPriority w:val="9"/>
    <w:pPr>
      <w:outlineLvl w:val="2"/>
    </w:pPr>
    <w:rPr>
      <w:sz w:val="27"/>
      <w:szCs w:val="27"/>
    </w:rPr>
  </w:style>
  <w:style w:type="paragraph" w:customStyle="1" w:styleId="742">
    <w:name w:val="heading 4_file_898"/>
    <w:basedOn w:val="738"/>
    <w:qFormat/>
    <w:uiPriority w:val="9"/>
    <w:pPr>
      <w:outlineLvl w:val="3"/>
    </w:pPr>
  </w:style>
  <w:style w:type="paragraph" w:customStyle="1" w:styleId="743">
    <w:name w:val="heading 5_file_898"/>
    <w:basedOn w:val="738"/>
    <w:qFormat/>
    <w:uiPriority w:val="9"/>
    <w:pPr>
      <w:outlineLvl w:val="4"/>
    </w:pPr>
    <w:rPr>
      <w:sz w:val="20"/>
      <w:szCs w:val="20"/>
    </w:rPr>
  </w:style>
  <w:style w:type="paragraph" w:customStyle="1" w:styleId="744">
    <w:name w:val="heading 6_file_898"/>
    <w:basedOn w:val="738"/>
    <w:qFormat/>
    <w:uiPriority w:val="9"/>
    <w:pPr>
      <w:outlineLvl w:val="5"/>
    </w:pPr>
    <w:rPr>
      <w:sz w:val="15"/>
      <w:szCs w:val="15"/>
    </w:rPr>
  </w:style>
  <w:style w:type="character" w:customStyle="1" w:styleId="745">
    <w:name w:val="Default Paragraph Font_file_898"/>
    <w:semiHidden/>
    <w:unhideWhenUsed/>
    <w:qFormat/>
    <w:uiPriority w:val="1"/>
  </w:style>
  <w:style w:type="table" w:customStyle="1" w:styleId="746">
    <w:name w:val="Normal Table_file_898"/>
    <w:semiHidden/>
    <w:unhideWhenUsed/>
    <w:qFormat/>
    <w:uiPriority w:val="99"/>
    <w:tblPr>
      <w:tblCellMar>
        <w:top w:w="0" w:type="dxa"/>
        <w:left w:w="108" w:type="dxa"/>
        <w:bottom w:w="0" w:type="dxa"/>
        <w:right w:w="108" w:type="dxa"/>
      </w:tblCellMar>
    </w:tblPr>
  </w:style>
  <w:style w:type="character" w:customStyle="1" w:styleId="747">
    <w:name w:val="Hyperlink_file_898"/>
    <w:basedOn w:val="745"/>
    <w:semiHidden/>
    <w:unhideWhenUsed/>
    <w:qFormat/>
    <w:uiPriority w:val="99"/>
    <w:rPr>
      <w:color w:val="0782C1"/>
      <w:u w:val="single"/>
    </w:rPr>
  </w:style>
  <w:style w:type="character" w:customStyle="1" w:styleId="748">
    <w:name w:val="FollowedHyperlink_file_898"/>
    <w:basedOn w:val="745"/>
    <w:semiHidden/>
    <w:unhideWhenUsed/>
    <w:qFormat/>
    <w:uiPriority w:val="99"/>
    <w:rPr>
      <w:color w:val="0782C1"/>
      <w:u w:val="single"/>
    </w:rPr>
  </w:style>
  <w:style w:type="character" w:customStyle="1" w:styleId="749">
    <w:name w:val="标题 1 Char_file_898"/>
    <w:basedOn w:val="745"/>
    <w:qFormat/>
    <w:uiPriority w:val="9"/>
    <w:rPr>
      <w:rFonts w:ascii="宋体" w:hAnsi="宋体" w:eastAsia="宋体" w:cs="宋体"/>
      <w:b/>
      <w:bCs/>
      <w:kern w:val="44"/>
      <w:sz w:val="44"/>
      <w:szCs w:val="44"/>
    </w:rPr>
  </w:style>
  <w:style w:type="character" w:customStyle="1" w:styleId="750">
    <w:name w:val="标题 2 Char_file_898"/>
    <w:basedOn w:val="745"/>
    <w:semiHidden/>
    <w:qFormat/>
    <w:uiPriority w:val="9"/>
    <w:rPr>
      <w:rFonts w:asciiTheme="majorHAnsi" w:hAnsiTheme="majorHAnsi" w:eastAsiaTheme="majorEastAsia" w:cstheme="majorBidi"/>
      <w:b/>
      <w:bCs/>
      <w:sz w:val="32"/>
      <w:szCs w:val="32"/>
    </w:rPr>
  </w:style>
  <w:style w:type="character" w:customStyle="1" w:styleId="751">
    <w:name w:val="标题 3 Char_file_898"/>
    <w:basedOn w:val="745"/>
    <w:semiHidden/>
    <w:qFormat/>
    <w:uiPriority w:val="9"/>
    <w:rPr>
      <w:rFonts w:ascii="宋体" w:hAnsi="宋体" w:eastAsia="宋体" w:cs="宋体"/>
      <w:b/>
      <w:bCs/>
      <w:sz w:val="32"/>
      <w:szCs w:val="32"/>
    </w:rPr>
  </w:style>
  <w:style w:type="character" w:customStyle="1" w:styleId="752">
    <w:name w:val="标题 4 Char_file_898"/>
    <w:basedOn w:val="745"/>
    <w:semiHidden/>
    <w:qFormat/>
    <w:uiPriority w:val="9"/>
    <w:rPr>
      <w:rFonts w:asciiTheme="majorHAnsi" w:hAnsiTheme="majorHAnsi" w:eastAsiaTheme="majorEastAsia" w:cstheme="majorBidi"/>
      <w:b/>
      <w:bCs/>
      <w:sz w:val="28"/>
      <w:szCs w:val="28"/>
    </w:rPr>
  </w:style>
  <w:style w:type="character" w:customStyle="1" w:styleId="753">
    <w:name w:val="标题 5 Char_file_898"/>
    <w:basedOn w:val="745"/>
    <w:semiHidden/>
    <w:qFormat/>
    <w:uiPriority w:val="9"/>
    <w:rPr>
      <w:rFonts w:ascii="宋体" w:hAnsi="宋体" w:eastAsia="宋体" w:cs="宋体"/>
      <w:b/>
      <w:bCs/>
      <w:sz w:val="28"/>
      <w:szCs w:val="28"/>
    </w:rPr>
  </w:style>
  <w:style w:type="character" w:customStyle="1" w:styleId="754">
    <w:name w:val="标题 6 Char_file_898"/>
    <w:basedOn w:val="745"/>
    <w:semiHidden/>
    <w:qFormat/>
    <w:uiPriority w:val="9"/>
    <w:rPr>
      <w:rFonts w:asciiTheme="majorHAnsi" w:hAnsiTheme="majorHAnsi" w:eastAsiaTheme="majorEastAsia" w:cstheme="majorBidi"/>
      <w:b/>
      <w:bCs/>
      <w:sz w:val="24"/>
      <w:szCs w:val="24"/>
    </w:rPr>
  </w:style>
  <w:style w:type="paragraph" w:customStyle="1" w:styleId="755">
    <w:name w:val="cke_editable_file_898"/>
    <w:basedOn w:val="738"/>
    <w:qFormat/>
    <w:uiPriority w:val="0"/>
    <w:rPr>
      <w:rFonts w:ascii="仿宋_GB2312" w:eastAsia="仿宋_GB2312"/>
    </w:rPr>
  </w:style>
  <w:style w:type="paragraph" w:customStyle="1" w:styleId="756">
    <w:name w:val="marker_file_898"/>
    <w:basedOn w:val="738"/>
    <w:qFormat/>
    <w:uiPriority w:val="0"/>
    <w:pPr>
      <w:shd w:val="clear" w:color="auto" w:fill="FFFF00"/>
    </w:pPr>
  </w:style>
  <w:style w:type="paragraph" w:customStyle="1" w:styleId="757">
    <w:name w:val="Normal (Web)_file_898"/>
    <w:basedOn w:val="738"/>
    <w:semiHidden/>
    <w:unhideWhenUsed/>
    <w:qFormat/>
    <w:uiPriority w:val="99"/>
  </w:style>
  <w:style w:type="paragraph" w:customStyle="1" w:styleId="758">
    <w:name w:val="Normal_file_89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59">
    <w:name w:val="heading 1_file_899"/>
    <w:basedOn w:val="758"/>
    <w:qFormat/>
    <w:uiPriority w:val="9"/>
    <w:pPr>
      <w:outlineLvl w:val="0"/>
    </w:pPr>
    <w:rPr>
      <w:kern w:val="36"/>
      <w:sz w:val="48"/>
      <w:szCs w:val="48"/>
    </w:rPr>
  </w:style>
  <w:style w:type="paragraph" w:customStyle="1" w:styleId="760">
    <w:name w:val="heading 2_file_899"/>
    <w:basedOn w:val="758"/>
    <w:qFormat/>
    <w:uiPriority w:val="9"/>
    <w:pPr>
      <w:outlineLvl w:val="1"/>
    </w:pPr>
    <w:rPr>
      <w:sz w:val="36"/>
      <w:szCs w:val="36"/>
    </w:rPr>
  </w:style>
  <w:style w:type="paragraph" w:customStyle="1" w:styleId="761">
    <w:name w:val="heading 3_file_899"/>
    <w:basedOn w:val="758"/>
    <w:qFormat/>
    <w:uiPriority w:val="9"/>
    <w:pPr>
      <w:outlineLvl w:val="2"/>
    </w:pPr>
    <w:rPr>
      <w:sz w:val="27"/>
      <w:szCs w:val="27"/>
    </w:rPr>
  </w:style>
  <w:style w:type="paragraph" w:customStyle="1" w:styleId="762">
    <w:name w:val="heading 4_file_899"/>
    <w:basedOn w:val="758"/>
    <w:qFormat/>
    <w:uiPriority w:val="9"/>
    <w:pPr>
      <w:outlineLvl w:val="3"/>
    </w:pPr>
  </w:style>
  <w:style w:type="paragraph" w:customStyle="1" w:styleId="763">
    <w:name w:val="heading 5_file_899"/>
    <w:basedOn w:val="758"/>
    <w:qFormat/>
    <w:uiPriority w:val="9"/>
    <w:pPr>
      <w:outlineLvl w:val="4"/>
    </w:pPr>
    <w:rPr>
      <w:sz w:val="20"/>
      <w:szCs w:val="20"/>
    </w:rPr>
  </w:style>
  <w:style w:type="paragraph" w:customStyle="1" w:styleId="764">
    <w:name w:val="heading 6_file_899"/>
    <w:basedOn w:val="758"/>
    <w:qFormat/>
    <w:uiPriority w:val="9"/>
    <w:pPr>
      <w:outlineLvl w:val="5"/>
    </w:pPr>
    <w:rPr>
      <w:sz w:val="15"/>
      <w:szCs w:val="15"/>
    </w:rPr>
  </w:style>
  <w:style w:type="character" w:customStyle="1" w:styleId="765">
    <w:name w:val="Default Paragraph Font_file_899"/>
    <w:semiHidden/>
    <w:unhideWhenUsed/>
    <w:qFormat/>
    <w:uiPriority w:val="1"/>
  </w:style>
  <w:style w:type="table" w:customStyle="1" w:styleId="766">
    <w:name w:val="Normal Table_file_899"/>
    <w:semiHidden/>
    <w:unhideWhenUsed/>
    <w:qFormat/>
    <w:uiPriority w:val="99"/>
    <w:tblPr>
      <w:tblCellMar>
        <w:top w:w="0" w:type="dxa"/>
        <w:left w:w="108" w:type="dxa"/>
        <w:bottom w:w="0" w:type="dxa"/>
        <w:right w:w="108" w:type="dxa"/>
      </w:tblCellMar>
    </w:tblPr>
  </w:style>
  <w:style w:type="character" w:customStyle="1" w:styleId="767">
    <w:name w:val="Hyperlink_file_899"/>
    <w:basedOn w:val="765"/>
    <w:semiHidden/>
    <w:unhideWhenUsed/>
    <w:qFormat/>
    <w:uiPriority w:val="99"/>
    <w:rPr>
      <w:color w:val="0782C1"/>
      <w:u w:val="single"/>
    </w:rPr>
  </w:style>
  <w:style w:type="character" w:customStyle="1" w:styleId="768">
    <w:name w:val="FollowedHyperlink_file_899"/>
    <w:basedOn w:val="765"/>
    <w:semiHidden/>
    <w:unhideWhenUsed/>
    <w:qFormat/>
    <w:uiPriority w:val="99"/>
    <w:rPr>
      <w:color w:val="0782C1"/>
      <w:u w:val="single"/>
    </w:rPr>
  </w:style>
  <w:style w:type="character" w:customStyle="1" w:styleId="769">
    <w:name w:val="标题 1 Char_file_899"/>
    <w:basedOn w:val="765"/>
    <w:qFormat/>
    <w:uiPriority w:val="9"/>
    <w:rPr>
      <w:rFonts w:ascii="宋体" w:hAnsi="宋体" w:eastAsia="宋体" w:cs="宋体"/>
      <w:b/>
      <w:bCs/>
      <w:kern w:val="44"/>
      <w:sz w:val="44"/>
      <w:szCs w:val="44"/>
    </w:rPr>
  </w:style>
  <w:style w:type="character" w:customStyle="1" w:styleId="770">
    <w:name w:val="标题 2 Char_file_899"/>
    <w:basedOn w:val="765"/>
    <w:semiHidden/>
    <w:qFormat/>
    <w:uiPriority w:val="9"/>
    <w:rPr>
      <w:rFonts w:asciiTheme="majorHAnsi" w:hAnsiTheme="majorHAnsi" w:eastAsiaTheme="majorEastAsia" w:cstheme="majorBidi"/>
      <w:b/>
      <w:bCs/>
      <w:sz w:val="32"/>
      <w:szCs w:val="32"/>
    </w:rPr>
  </w:style>
  <w:style w:type="character" w:customStyle="1" w:styleId="771">
    <w:name w:val="标题 3 Char_file_899"/>
    <w:basedOn w:val="765"/>
    <w:semiHidden/>
    <w:qFormat/>
    <w:uiPriority w:val="9"/>
    <w:rPr>
      <w:rFonts w:ascii="宋体" w:hAnsi="宋体" w:eastAsia="宋体" w:cs="宋体"/>
      <w:b/>
      <w:bCs/>
      <w:sz w:val="32"/>
      <w:szCs w:val="32"/>
    </w:rPr>
  </w:style>
  <w:style w:type="character" w:customStyle="1" w:styleId="772">
    <w:name w:val="标题 4 Char_file_899"/>
    <w:basedOn w:val="765"/>
    <w:semiHidden/>
    <w:qFormat/>
    <w:uiPriority w:val="9"/>
    <w:rPr>
      <w:rFonts w:asciiTheme="majorHAnsi" w:hAnsiTheme="majorHAnsi" w:eastAsiaTheme="majorEastAsia" w:cstheme="majorBidi"/>
      <w:b/>
      <w:bCs/>
      <w:sz w:val="28"/>
      <w:szCs w:val="28"/>
    </w:rPr>
  </w:style>
  <w:style w:type="character" w:customStyle="1" w:styleId="773">
    <w:name w:val="标题 5 Char_file_899"/>
    <w:basedOn w:val="765"/>
    <w:semiHidden/>
    <w:qFormat/>
    <w:uiPriority w:val="9"/>
    <w:rPr>
      <w:rFonts w:ascii="宋体" w:hAnsi="宋体" w:eastAsia="宋体" w:cs="宋体"/>
      <w:b/>
      <w:bCs/>
      <w:sz w:val="28"/>
      <w:szCs w:val="28"/>
    </w:rPr>
  </w:style>
  <w:style w:type="character" w:customStyle="1" w:styleId="774">
    <w:name w:val="标题 6 Char_file_899"/>
    <w:basedOn w:val="765"/>
    <w:semiHidden/>
    <w:qFormat/>
    <w:uiPriority w:val="9"/>
    <w:rPr>
      <w:rFonts w:asciiTheme="majorHAnsi" w:hAnsiTheme="majorHAnsi" w:eastAsiaTheme="majorEastAsia" w:cstheme="majorBidi"/>
      <w:b/>
      <w:bCs/>
      <w:sz w:val="24"/>
      <w:szCs w:val="24"/>
    </w:rPr>
  </w:style>
  <w:style w:type="paragraph" w:customStyle="1" w:styleId="775">
    <w:name w:val="cke_editable_file_899"/>
    <w:basedOn w:val="758"/>
    <w:qFormat/>
    <w:uiPriority w:val="0"/>
    <w:rPr>
      <w:rFonts w:ascii="仿宋_GB2312" w:eastAsia="仿宋_GB2312"/>
    </w:rPr>
  </w:style>
  <w:style w:type="paragraph" w:customStyle="1" w:styleId="776">
    <w:name w:val="marker_file_899"/>
    <w:basedOn w:val="758"/>
    <w:qFormat/>
    <w:uiPriority w:val="0"/>
    <w:pPr>
      <w:shd w:val="clear" w:color="auto" w:fill="FFFF00"/>
    </w:pPr>
  </w:style>
  <w:style w:type="paragraph" w:customStyle="1" w:styleId="777">
    <w:name w:val="Normal (Web)_file_899"/>
    <w:basedOn w:val="758"/>
    <w:semiHidden/>
    <w:unhideWhenUsed/>
    <w:qFormat/>
    <w:uiPriority w:val="99"/>
  </w:style>
  <w:style w:type="paragraph" w:customStyle="1" w:styleId="778">
    <w:name w:val="Normal_file_900"/>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79">
    <w:name w:val="heading 1_file_900"/>
    <w:basedOn w:val="778"/>
    <w:qFormat/>
    <w:uiPriority w:val="9"/>
    <w:pPr>
      <w:outlineLvl w:val="0"/>
    </w:pPr>
    <w:rPr>
      <w:kern w:val="36"/>
      <w:sz w:val="48"/>
      <w:szCs w:val="48"/>
    </w:rPr>
  </w:style>
  <w:style w:type="paragraph" w:customStyle="1" w:styleId="780">
    <w:name w:val="heading 2_file_900"/>
    <w:basedOn w:val="778"/>
    <w:qFormat/>
    <w:uiPriority w:val="9"/>
    <w:pPr>
      <w:outlineLvl w:val="1"/>
    </w:pPr>
    <w:rPr>
      <w:sz w:val="36"/>
      <w:szCs w:val="36"/>
    </w:rPr>
  </w:style>
  <w:style w:type="paragraph" w:customStyle="1" w:styleId="781">
    <w:name w:val="heading 3_file_900"/>
    <w:basedOn w:val="778"/>
    <w:qFormat/>
    <w:uiPriority w:val="9"/>
    <w:pPr>
      <w:outlineLvl w:val="2"/>
    </w:pPr>
    <w:rPr>
      <w:sz w:val="27"/>
      <w:szCs w:val="27"/>
    </w:rPr>
  </w:style>
  <w:style w:type="paragraph" w:customStyle="1" w:styleId="782">
    <w:name w:val="heading 4_file_900"/>
    <w:basedOn w:val="778"/>
    <w:qFormat/>
    <w:uiPriority w:val="9"/>
    <w:pPr>
      <w:outlineLvl w:val="3"/>
    </w:pPr>
  </w:style>
  <w:style w:type="paragraph" w:customStyle="1" w:styleId="783">
    <w:name w:val="heading 5_file_900"/>
    <w:basedOn w:val="778"/>
    <w:qFormat/>
    <w:uiPriority w:val="9"/>
    <w:pPr>
      <w:outlineLvl w:val="4"/>
    </w:pPr>
    <w:rPr>
      <w:sz w:val="20"/>
      <w:szCs w:val="20"/>
    </w:rPr>
  </w:style>
  <w:style w:type="paragraph" w:customStyle="1" w:styleId="784">
    <w:name w:val="heading 6_file_900"/>
    <w:basedOn w:val="778"/>
    <w:qFormat/>
    <w:uiPriority w:val="9"/>
    <w:pPr>
      <w:outlineLvl w:val="5"/>
    </w:pPr>
    <w:rPr>
      <w:sz w:val="15"/>
      <w:szCs w:val="15"/>
    </w:rPr>
  </w:style>
  <w:style w:type="character" w:customStyle="1" w:styleId="785">
    <w:name w:val="Default Paragraph Font_file_900"/>
    <w:semiHidden/>
    <w:unhideWhenUsed/>
    <w:qFormat/>
    <w:uiPriority w:val="1"/>
  </w:style>
  <w:style w:type="table" w:customStyle="1" w:styleId="786">
    <w:name w:val="Normal Table_file_900"/>
    <w:semiHidden/>
    <w:unhideWhenUsed/>
    <w:qFormat/>
    <w:uiPriority w:val="99"/>
    <w:tblPr>
      <w:tblCellMar>
        <w:top w:w="0" w:type="dxa"/>
        <w:left w:w="108" w:type="dxa"/>
        <w:bottom w:w="0" w:type="dxa"/>
        <w:right w:w="108" w:type="dxa"/>
      </w:tblCellMar>
    </w:tblPr>
  </w:style>
  <w:style w:type="character" w:customStyle="1" w:styleId="787">
    <w:name w:val="Hyperlink_file_900"/>
    <w:basedOn w:val="785"/>
    <w:semiHidden/>
    <w:unhideWhenUsed/>
    <w:qFormat/>
    <w:uiPriority w:val="99"/>
    <w:rPr>
      <w:color w:val="0782C1"/>
      <w:u w:val="single"/>
    </w:rPr>
  </w:style>
  <w:style w:type="character" w:customStyle="1" w:styleId="788">
    <w:name w:val="FollowedHyperlink_file_900"/>
    <w:basedOn w:val="785"/>
    <w:semiHidden/>
    <w:unhideWhenUsed/>
    <w:qFormat/>
    <w:uiPriority w:val="99"/>
    <w:rPr>
      <w:color w:val="0782C1"/>
      <w:u w:val="single"/>
    </w:rPr>
  </w:style>
  <w:style w:type="character" w:customStyle="1" w:styleId="789">
    <w:name w:val="标题 1 Char_file_900"/>
    <w:basedOn w:val="785"/>
    <w:qFormat/>
    <w:uiPriority w:val="9"/>
    <w:rPr>
      <w:rFonts w:ascii="宋体" w:hAnsi="宋体" w:eastAsia="宋体" w:cs="宋体"/>
      <w:b/>
      <w:bCs/>
      <w:kern w:val="44"/>
      <w:sz w:val="44"/>
      <w:szCs w:val="44"/>
    </w:rPr>
  </w:style>
  <w:style w:type="character" w:customStyle="1" w:styleId="790">
    <w:name w:val="标题 2 Char_file_900"/>
    <w:basedOn w:val="785"/>
    <w:semiHidden/>
    <w:qFormat/>
    <w:uiPriority w:val="9"/>
    <w:rPr>
      <w:rFonts w:asciiTheme="majorHAnsi" w:hAnsiTheme="majorHAnsi" w:eastAsiaTheme="majorEastAsia" w:cstheme="majorBidi"/>
      <w:b/>
      <w:bCs/>
      <w:sz w:val="32"/>
      <w:szCs w:val="32"/>
    </w:rPr>
  </w:style>
  <w:style w:type="character" w:customStyle="1" w:styleId="791">
    <w:name w:val="标题 3 Char_file_900"/>
    <w:basedOn w:val="785"/>
    <w:semiHidden/>
    <w:qFormat/>
    <w:uiPriority w:val="9"/>
    <w:rPr>
      <w:rFonts w:ascii="宋体" w:hAnsi="宋体" w:eastAsia="宋体" w:cs="宋体"/>
      <w:b/>
      <w:bCs/>
      <w:sz w:val="32"/>
      <w:szCs w:val="32"/>
    </w:rPr>
  </w:style>
  <w:style w:type="character" w:customStyle="1" w:styleId="792">
    <w:name w:val="标题 4 Char_file_900"/>
    <w:basedOn w:val="785"/>
    <w:semiHidden/>
    <w:qFormat/>
    <w:uiPriority w:val="9"/>
    <w:rPr>
      <w:rFonts w:asciiTheme="majorHAnsi" w:hAnsiTheme="majorHAnsi" w:eastAsiaTheme="majorEastAsia" w:cstheme="majorBidi"/>
      <w:b/>
      <w:bCs/>
      <w:sz w:val="28"/>
      <w:szCs w:val="28"/>
    </w:rPr>
  </w:style>
  <w:style w:type="character" w:customStyle="1" w:styleId="793">
    <w:name w:val="标题 5 Char_file_900"/>
    <w:basedOn w:val="785"/>
    <w:semiHidden/>
    <w:qFormat/>
    <w:uiPriority w:val="9"/>
    <w:rPr>
      <w:rFonts w:ascii="宋体" w:hAnsi="宋体" w:eastAsia="宋体" w:cs="宋体"/>
      <w:b/>
      <w:bCs/>
      <w:sz w:val="28"/>
      <w:szCs w:val="28"/>
    </w:rPr>
  </w:style>
  <w:style w:type="character" w:customStyle="1" w:styleId="794">
    <w:name w:val="标题 6 Char_file_900"/>
    <w:basedOn w:val="785"/>
    <w:semiHidden/>
    <w:qFormat/>
    <w:uiPriority w:val="9"/>
    <w:rPr>
      <w:rFonts w:asciiTheme="majorHAnsi" w:hAnsiTheme="majorHAnsi" w:eastAsiaTheme="majorEastAsia" w:cstheme="majorBidi"/>
      <w:b/>
      <w:bCs/>
      <w:sz w:val="24"/>
      <w:szCs w:val="24"/>
    </w:rPr>
  </w:style>
  <w:style w:type="paragraph" w:customStyle="1" w:styleId="795">
    <w:name w:val="cke_editable_file_900"/>
    <w:basedOn w:val="778"/>
    <w:qFormat/>
    <w:uiPriority w:val="0"/>
    <w:rPr>
      <w:rFonts w:ascii="仿宋_GB2312" w:eastAsia="仿宋_GB2312"/>
    </w:rPr>
  </w:style>
  <w:style w:type="paragraph" w:customStyle="1" w:styleId="796">
    <w:name w:val="marker_file_900"/>
    <w:basedOn w:val="778"/>
    <w:qFormat/>
    <w:uiPriority w:val="0"/>
    <w:pPr>
      <w:shd w:val="clear" w:color="auto" w:fill="FFFF00"/>
    </w:pPr>
  </w:style>
  <w:style w:type="paragraph" w:customStyle="1" w:styleId="797">
    <w:name w:val="Normal (Web)_file_900"/>
    <w:basedOn w:val="778"/>
    <w:semiHidden/>
    <w:unhideWhenUsed/>
    <w:qFormat/>
    <w:uiPriority w:val="99"/>
  </w:style>
  <w:style w:type="paragraph" w:customStyle="1" w:styleId="798">
    <w:name w:val="Normal_file_901"/>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799">
    <w:name w:val="heading 1_file_901"/>
    <w:basedOn w:val="798"/>
    <w:qFormat/>
    <w:uiPriority w:val="9"/>
    <w:pPr>
      <w:outlineLvl w:val="0"/>
    </w:pPr>
    <w:rPr>
      <w:kern w:val="36"/>
      <w:sz w:val="48"/>
      <w:szCs w:val="48"/>
    </w:rPr>
  </w:style>
  <w:style w:type="paragraph" w:customStyle="1" w:styleId="800">
    <w:name w:val="heading 2_file_901"/>
    <w:basedOn w:val="798"/>
    <w:qFormat/>
    <w:uiPriority w:val="9"/>
    <w:pPr>
      <w:outlineLvl w:val="1"/>
    </w:pPr>
    <w:rPr>
      <w:sz w:val="36"/>
      <w:szCs w:val="36"/>
    </w:rPr>
  </w:style>
  <w:style w:type="paragraph" w:customStyle="1" w:styleId="801">
    <w:name w:val="heading 3_file_901"/>
    <w:basedOn w:val="798"/>
    <w:qFormat/>
    <w:uiPriority w:val="9"/>
    <w:pPr>
      <w:outlineLvl w:val="2"/>
    </w:pPr>
    <w:rPr>
      <w:sz w:val="27"/>
      <w:szCs w:val="27"/>
    </w:rPr>
  </w:style>
  <w:style w:type="paragraph" w:customStyle="1" w:styleId="802">
    <w:name w:val="heading 4_file_901"/>
    <w:basedOn w:val="798"/>
    <w:qFormat/>
    <w:uiPriority w:val="9"/>
    <w:pPr>
      <w:outlineLvl w:val="3"/>
    </w:pPr>
  </w:style>
  <w:style w:type="paragraph" w:customStyle="1" w:styleId="803">
    <w:name w:val="heading 5_file_901"/>
    <w:basedOn w:val="798"/>
    <w:qFormat/>
    <w:uiPriority w:val="9"/>
    <w:pPr>
      <w:outlineLvl w:val="4"/>
    </w:pPr>
    <w:rPr>
      <w:sz w:val="20"/>
      <w:szCs w:val="20"/>
    </w:rPr>
  </w:style>
  <w:style w:type="paragraph" w:customStyle="1" w:styleId="804">
    <w:name w:val="heading 6_file_901"/>
    <w:basedOn w:val="798"/>
    <w:qFormat/>
    <w:uiPriority w:val="9"/>
    <w:pPr>
      <w:outlineLvl w:val="5"/>
    </w:pPr>
    <w:rPr>
      <w:sz w:val="15"/>
      <w:szCs w:val="15"/>
    </w:rPr>
  </w:style>
  <w:style w:type="character" w:customStyle="1" w:styleId="805">
    <w:name w:val="Default Paragraph Font_file_901"/>
    <w:semiHidden/>
    <w:unhideWhenUsed/>
    <w:qFormat/>
    <w:uiPriority w:val="1"/>
  </w:style>
  <w:style w:type="table" w:customStyle="1" w:styleId="806">
    <w:name w:val="Normal Table_file_901"/>
    <w:semiHidden/>
    <w:unhideWhenUsed/>
    <w:qFormat/>
    <w:uiPriority w:val="99"/>
    <w:tblPr>
      <w:tblCellMar>
        <w:top w:w="0" w:type="dxa"/>
        <w:left w:w="108" w:type="dxa"/>
        <w:bottom w:w="0" w:type="dxa"/>
        <w:right w:w="108" w:type="dxa"/>
      </w:tblCellMar>
    </w:tblPr>
  </w:style>
  <w:style w:type="character" w:customStyle="1" w:styleId="807">
    <w:name w:val="Hyperlink_file_901"/>
    <w:basedOn w:val="805"/>
    <w:semiHidden/>
    <w:unhideWhenUsed/>
    <w:qFormat/>
    <w:uiPriority w:val="99"/>
    <w:rPr>
      <w:color w:val="0782C1"/>
      <w:u w:val="single"/>
    </w:rPr>
  </w:style>
  <w:style w:type="character" w:customStyle="1" w:styleId="808">
    <w:name w:val="FollowedHyperlink_file_901"/>
    <w:basedOn w:val="805"/>
    <w:semiHidden/>
    <w:unhideWhenUsed/>
    <w:qFormat/>
    <w:uiPriority w:val="99"/>
    <w:rPr>
      <w:color w:val="0782C1"/>
      <w:u w:val="single"/>
    </w:rPr>
  </w:style>
  <w:style w:type="character" w:customStyle="1" w:styleId="809">
    <w:name w:val="标题 1 字符1"/>
    <w:basedOn w:val="805"/>
    <w:link w:val="3"/>
    <w:qFormat/>
    <w:uiPriority w:val="9"/>
    <w:rPr>
      <w:rFonts w:ascii="宋体" w:hAnsi="宋体" w:eastAsia="宋体" w:cs="宋体"/>
      <w:b/>
      <w:bCs/>
      <w:kern w:val="44"/>
      <w:sz w:val="44"/>
      <w:szCs w:val="44"/>
    </w:rPr>
  </w:style>
  <w:style w:type="character" w:customStyle="1" w:styleId="810">
    <w:name w:val="标题 2 字符1"/>
    <w:basedOn w:val="805"/>
    <w:link w:val="4"/>
    <w:semiHidden/>
    <w:qFormat/>
    <w:uiPriority w:val="9"/>
    <w:rPr>
      <w:rFonts w:asciiTheme="majorHAnsi" w:hAnsiTheme="majorHAnsi" w:eastAsiaTheme="majorEastAsia" w:cstheme="majorBidi"/>
      <w:b/>
      <w:bCs/>
      <w:sz w:val="32"/>
      <w:szCs w:val="32"/>
    </w:rPr>
  </w:style>
  <w:style w:type="character" w:customStyle="1" w:styleId="811">
    <w:name w:val="标题 3 字符1"/>
    <w:basedOn w:val="805"/>
    <w:link w:val="5"/>
    <w:semiHidden/>
    <w:qFormat/>
    <w:uiPriority w:val="9"/>
    <w:rPr>
      <w:rFonts w:ascii="宋体" w:hAnsi="宋体" w:eastAsia="宋体" w:cs="宋体"/>
      <w:b/>
      <w:bCs/>
      <w:sz w:val="32"/>
      <w:szCs w:val="32"/>
    </w:rPr>
  </w:style>
  <w:style w:type="character" w:customStyle="1" w:styleId="812">
    <w:name w:val="标题 4 字符1"/>
    <w:basedOn w:val="805"/>
    <w:link w:val="6"/>
    <w:semiHidden/>
    <w:qFormat/>
    <w:uiPriority w:val="9"/>
    <w:rPr>
      <w:rFonts w:asciiTheme="majorHAnsi" w:hAnsiTheme="majorHAnsi" w:eastAsiaTheme="majorEastAsia" w:cstheme="majorBidi"/>
      <w:b/>
      <w:bCs/>
      <w:sz w:val="28"/>
      <w:szCs w:val="28"/>
    </w:rPr>
  </w:style>
  <w:style w:type="character" w:customStyle="1" w:styleId="813">
    <w:name w:val="标题 5 字符1"/>
    <w:basedOn w:val="805"/>
    <w:link w:val="7"/>
    <w:semiHidden/>
    <w:qFormat/>
    <w:uiPriority w:val="9"/>
    <w:rPr>
      <w:rFonts w:ascii="宋体" w:hAnsi="宋体" w:eastAsia="宋体" w:cs="宋体"/>
      <w:b/>
      <w:bCs/>
      <w:sz w:val="28"/>
      <w:szCs w:val="28"/>
    </w:rPr>
  </w:style>
  <w:style w:type="character" w:customStyle="1" w:styleId="814">
    <w:name w:val="标题 6 字符1"/>
    <w:basedOn w:val="805"/>
    <w:link w:val="9"/>
    <w:semiHidden/>
    <w:qFormat/>
    <w:uiPriority w:val="9"/>
    <w:rPr>
      <w:rFonts w:asciiTheme="majorHAnsi" w:hAnsiTheme="majorHAnsi" w:eastAsiaTheme="majorEastAsia" w:cstheme="majorBidi"/>
      <w:b/>
      <w:bCs/>
      <w:sz w:val="24"/>
      <w:szCs w:val="24"/>
    </w:rPr>
  </w:style>
  <w:style w:type="paragraph" w:customStyle="1" w:styleId="815">
    <w:name w:val="cke_editable_file_901"/>
    <w:basedOn w:val="798"/>
    <w:qFormat/>
    <w:uiPriority w:val="0"/>
    <w:rPr>
      <w:rFonts w:ascii="仿宋_GB2312" w:eastAsia="仿宋_GB2312"/>
    </w:rPr>
  </w:style>
  <w:style w:type="paragraph" w:customStyle="1" w:styleId="816">
    <w:name w:val="marker_file_901"/>
    <w:basedOn w:val="798"/>
    <w:qFormat/>
    <w:uiPriority w:val="0"/>
    <w:pPr>
      <w:shd w:val="clear" w:color="auto" w:fill="FFFF00"/>
    </w:pPr>
  </w:style>
  <w:style w:type="paragraph" w:customStyle="1" w:styleId="817">
    <w:name w:val="Normal (Web)_file_901"/>
    <w:basedOn w:val="798"/>
    <w:semiHidden/>
    <w:unhideWhenUsed/>
    <w:qFormat/>
    <w:uiPriority w:val="99"/>
  </w:style>
  <w:style w:type="character" w:customStyle="1" w:styleId="818">
    <w:name w:val="Strong_file_627"/>
    <w:basedOn w:val="819"/>
    <w:qFormat/>
    <w:uiPriority w:val="22"/>
    <w:rPr>
      <w:b/>
      <w:bCs/>
    </w:rPr>
  </w:style>
  <w:style w:type="character" w:customStyle="1" w:styleId="819">
    <w:name w:val="Default Paragraph Font_file_627"/>
    <w:unhideWhenUsed/>
    <w:qFormat/>
    <w:uiPriority w:val="1"/>
  </w:style>
  <w:style w:type="paragraph" w:customStyle="1" w:styleId="820">
    <w:name w:val="Normal (Web)_file_2377"/>
    <w:basedOn w:val="821"/>
    <w:semiHidden/>
    <w:unhideWhenUsed/>
    <w:qFormat/>
    <w:uiPriority w:val="99"/>
  </w:style>
  <w:style w:type="paragraph" w:customStyle="1" w:styleId="821">
    <w:name w:val="Normal_file_2377"/>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2">
    <w:name w:val="Normal (Web)_file_933"/>
    <w:basedOn w:val="823"/>
    <w:unhideWhenUsed/>
    <w:qFormat/>
    <w:uiPriority w:val="99"/>
  </w:style>
  <w:style w:type="paragraph" w:customStyle="1" w:styleId="823">
    <w:name w:val="Normal_file_93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4">
    <w:name w:val="Normal (Web)_file_1386"/>
    <w:basedOn w:val="825"/>
    <w:semiHidden/>
    <w:unhideWhenUsed/>
    <w:qFormat/>
    <w:uiPriority w:val="99"/>
  </w:style>
  <w:style w:type="paragraph" w:customStyle="1" w:styleId="825">
    <w:name w:val="Normal_file_1386"/>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6">
    <w:name w:val="Normal (Web)_file_939"/>
    <w:basedOn w:val="827"/>
    <w:unhideWhenUsed/>
    <w:qFormat/>
    <w:uiPriority w:val="99"/>
  </w:style>
  <w:style w:type="paragraph" w:customStyle="1" w:styleId="827">
    <w:name w:val="Normal_file_939"/>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28">
    <w:name w:val="Normal (Web)_file_3383"/>
    <w:basedOn w:val="829"/>
    <w:semiHidden/>
    <w:unhideWhenUsed/>
    <w:qFormat/>
    <w:uiPriority w:val="99"/>
  </w:style>
  <w:style w:type="paragraph" w:customStyle="1" w:styleId="829">
    <w:name w:val="Normal_file_3383"/>
    <w:qFormat/>
    <w:uiPriority w:val="0"/>
    <w:pPr>
      <w:spacing w:before="100" w:beforeAutospacing="1" w:after="100" w:afterAutospacing="1"/>
    </w:pPr>
    <w:rPr>
      <w:rFonts w:ascii="宋体" w:hAnsi="宋体" w:eastAsia="宋体" w:cs="宋体"/>
      <w:sz w:val="24"/>
      <w:szCs w:val="24"/>
      <w:lang w:val="en-US" w:eastAsia="zh-CN" w:bidi="ar-SA"/>
    </w:rPr>
  </w:style>
  <w:style w:type="paragraph" w:customStyle="1" w:styleId="830">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微软公司</Company>
  <Pages>153</Pages>
  <Words>24248</Words>
  <Characters>26314</Characters>
  <Lines>878</Lines>
  <Paragraphs>247</Paragraphs>
  <TotalTime>266</TotalTime>
  <ScaleCrop>false</ScaleCrop>
  <LinksUpToDate>false</LinksUpToDate>
  <CharactersWithSpaces>26432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2026-03-11T01:23:00Z</dcterms:created>
  <dc:creator>集采中心260612</dc:creator>
  <cp:lastModifiedBy>何可</cp:lastModifiedBy>
  <cp:lastPrinted>2018-11-29T07:27:00Z</cp:lastPrinted>
  <dcterms:modified xsi:type="dcterms:W3CDTF">2026-09-30T01:41:21Z</dcterms:modified>
  <dc:title>公招_货物模板_保证金_否_20260612</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16A0F616F4F043F2A99251CC277E39DE_13</vt:lpwstr>
  </property>
  <property fmtid="{D5CDD505-2E9C-101B-9397-08002B2CF9AE}" pid="4" name="KSOTemplateDocerSaveRecord">
    <vt:lpwstr>eyJoZGlkIjoiNzI5MzQ0MjFjYmIwODVmM2Y2ZTgzODAzZjE2NDU5Y2MiLCJ1c2VySWQiOiI2MjUxNjE2NzEifQ==</vt:lpwstr>
  </property>
  <property fmtid="{D5CDD505-2E9C-101B-9397-08002B2CF9AE}" pid="5" name="CWM93ec48a09d0111f180000d6200000c62">
    <vt:lpwstr>CWMgsReeQ6UU+8yT8cQiP8n6eTf2eKboGauGaI4SSMUudwRH91yFWFAZ45rL82gyUuLvXSpPn3p2AQi3+LwkRlj5g==</vt:lpwstr>
  </property>
</Properties>
</file>