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1CDF5">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eastAsia" w:ascii="华文新魏" w:eastAsia="华文新魏"/>
          <w:b/>
          <w:bCs/>
          <w:color w:val="auto"/>
          <w:spacing w:val="80"/>
          <w:sz w:val="64"/>
          <w:highlight w:val="none"/>
        </w:rPr>
      </w:pPr>
    </w:p>
    <w:p w14:paraId="6FCC1A52">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eastAsia" w:ascii="宋体" w:hAnsi="宋体" w:eastAsia="宋体" w:cs="Times New Roman"/>
          <w:b/>
          <w:bCs/>
          <w:color w:val="auto"/>
          <w:kern w:val="0"/>
          <w:sz w:val="60"/>
          <w:szCs w:val="60"/>
          <w:highlight w:val="none"/>
          <w:lang w:eastAsia="zh-CN"/>
        </w:rPr>
      </w:pPr>
      <w:r>
        <w:rPr>
          <w:rFonts w:hint="eastAsia" w:ascii="宋体" w:hAnsi="宋体" w:cs="Times New Roman"/>
          <w:b/>
          <w:bCs/>
          <w:color w:val="auto"/>
          <w:kern w:val="0"/>
          <w:sz w:val="60"/>
          <w:szCs w:val="60"/>
          <w:highlight w:val="none"/>
          <w:lang w:eastAsia="zh-CN"/>
        </w:rPr>
        <w:t>广西国喆项目管理有限公司</w:t>
      </w:r>
    </w:p>
    <w:p w14:paraId="7676B48D">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eastAsia" w:ascii="文鼎中隶简" w:eastAsia="文鼎中隶简"/>
          <w:color w:val="auto"/>
          <w:sz w:val="52"/>
          <w:highlight w:val="none"/>
        </w:rPr>
      </w:pPr>
    </w:p>
    <w:p w14:paraId="6D81050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color w:val="auto"/>
          <w:highlight w:val="none"/>
          <w:lang w:eastAsia="zh-CN"/>
        </w:rPr>
      </w:pPr>
      <w:r>
        <w:rPr>
          <w:rFonts w:hint="eastAsia" w:ascii="文鼎中隶简" w:hAnsi="Times New Roman" w:eastAsia="文鼎中隶简" w:cs="Times New Roman"/>
          <w:color w:val="auto"/>
          <w:sz w:val="52"/>
          <w:highlight w:val="none"/>
        </w:rPr>
        <w:cr/>
      </w:r>
      <w:r>
        <w:rPr>
          <w:rFonts w:hint="eastAsia"/>
          <w:color w:val="auto"/>
          <w:sz w:val="72"/>
          <w:highlight w:val="none"/>
        </w:rPr>
        <w:cr/>
      </w:r>
      <w:r>
        <w:rPr>
          <w:rFonts w:hint="eastAsia" w:ascii="宋体" w:hAnsi="宋体" w:eastAsia="宋体" w:cs="宋体"/>
          <w:b/>
          <w:color w:val="auto"/>
          <w:kern w:val="0"/>
          <w:sz w:val="84"/>
          <w:szCs w:val="84"/>
          <w:highlight w:val="none"/>
        </w:rPr>
        <w:t>竞争性磋商文件</w:t>
      </w:r>
    </w:p>
    <w:p w14:paraId="5BA81CA6">
      <w:pPr>
        <w:keepNext w:val="0"/>
        <w:keepLines w:val="0"/>
        <w:pageBreakBefore w:val="0"/>
        <w:widowControl w:val="0"/>
        <w:kinsoku/>
        <w:wordWrap/>
        <w:overflowPunct/>
        <w:topLinePunct w:val="0"/>
        <w:autoSpaceDE/>
        <w:autoSpaceDN/>
        <w:bidi w:val="0"/>
        <w:snapToGrid/>
        <w:ind w:left="0" w:right="0" w:firstLine="0" w:firstLineChars="0"/>
        <w:jc w:val="both"/>
        <w:rPr>
          <w:rFonts w:hint="eastAsia"/>
          <w:color w:val="auto"/>
          <w:highlight w:val="none"/>
        </w:rPr>
      </w:pPr>
    </w:p>
    <w:p w14:paraId="606E17E9">
      <w:pPr>
        <w:pStyle w:val="24"/>
        <w:keepNext w:val="0"/>
        <w:keepLines w:val="0"/>
        <w:pageBreakBefore w:val="0"/>
        <w:widowControl w:val="0"/>
        <w:kinsoku/>
        <w:wordWrap/>
        <w:overflowPunct/>
        <w:topLinePunct w:val="0"/>
        <w:autoSpaceDE/>
        <w:autoSpaceDN/>
        <w:bidi w:val="0"/>
        <w:snapToGrid/>
        <w:ind w:left="0" w:right="0" w:firstLine="0" w:firstLineChars="0"/>
        <w:jc w:val="both"/>
        <w:rPr>
          <w:rFonts w:hint="eastAsia"/>
          <w:color w:val="auto"/>
          <w:highlight w:val="none"/>
        </w:rPr>
      </w:pPr>
    </w:p>
    <w:p w14:paraId="4DF20D87">
      <w:pPr>
        <w:pStyle w:val="24"/>
        <w:keepNext w:val="0"/>
        <w:keepLines w:val="0"/>
        <w:pageBreakBefore w:val="0"/>
        <w:widowControl w:val="0"/>
        <w:kinsoku/>
        <w:wordWrap/>
        <w:overflowPunct/>
        <w:topLinePunct w:val="0"/>
        <w:autoSpaceDE/>
        <w:autoSpaceDN/>
        <w:bidi w:val="0"/>
        <w:snapToGrid/>
        <w:ind w:left="0" w:right="0" w:firstLine="0" w:firstLineChars="0"/>
        <w:jc w:val="both"/>
        <w:rPr>
          <w:rFonts w:hint="eastAsia"/>
          <w:color w:val="auto"/>
          <w:highlight w:val="none"/>
        </w:rPr>
      </w:pPr>
    </w:p>
    <w:p w14:paraId="4C5F4758">
      <w:pPr>
        <w:pStyle w:val="499"/>
        <w:keepNext w:val="0"/>
        <w:keepLines w:val="0"/>
        <w:pageBreakBefore w:val="0"/>
        <w:widowControl w:val="0"/>
        <w:kinsoku/>
        <w:wordWrap/>
        <w:overflowPunct/>
        <w:topLinePunct w:val="0"/>
        <w:autoSpaceDE/>
        <w:autoSpaceDN/>
        <w:bidi w:val="0"/>
        <w:adjustRightInd/>
        <w:snapToGrid/>
        <w:ind w:left="2886" w:leftChars="456" w:hanging="1928" w:hangingChars="600"/>
        <w:jc w:val="both"/>
        <w:textAlignment w:val="auto"/>
        <w:rPr>
          <w:rFonts w:hint="eastAsia"/>
          <w:color w:val="auto"/>
          <w:highlight w:val="none"/>
        </w:rPr>
      </w:pPr>
      <w:r>
        <w:rPr>
          <w:rFonts w:hint="eastAsia" w:ascii="宋体" w:hAnsi="宋体" w:cs="宋体"/>
          <w:b/>
          <w:bCs/>
          <w:color w:val="auto"/>
          <w:sz w:val="32"/>
          <w:szCs w:val="32"/>
          <w:highlight w:val="none"/>
          <w:lang w:val="en-US" w:eastAsia="zh-CN"/>
        </w:rPr>
        <w:t xml:space="preserve">  </w:t>
      </w:r>
      <w:r>
        <w:rPr>
          <w:rFonts w:hint="eastAsia" w:ascii="宋体" w:hAnsi="宋体" w:cs="宋体"/>
          <w:b/>
          <w:bCs/>
          <w:color w:val="auto"/>
          <w:sz w:val="32"/>
          <w:szCs w:val="32"/>
          <w:highlight w:val="none"/>
        </w:rPr>
        <w:t>项目名称：</w:t>
      </w:r>
      <w:r>
        <w:rPr>
          <w:rFonts w:hint="eastAsia" w:ascii="宋体" w:hAnsi="宋体" w:cs="宋体"/>
          <w:b/>
          <w:bCs/>
          <w:color w:val="auto"/>
          <w:sz w:val="32"/>
          <w:szCs w:val="32"/>
          <w:highlight w:val="none"/>
          <w:lang w:val="en-US" w:eastAsia="zh-CN"/>
        </w:rPr>
        <w:fldChar w:fldCharType="begin"/>
      </w:r>
      <w:r>
        <w:rPr>
          <w:rFonts w:hint="eastAsia" w:ascii="宋体" w:hAnsi="宋体" w:cs="宋体"/>
          <w:b/>
          <w:bCs/>
          <w:color w:val="auto"/>
          <w:sz w:val="32"/>
          <w:szCs w:val="32"/>
          <w:highlight w:val="none"/>
          <w:lang w:val="en-US" w:eastAsia="zh-CN"/>
        </w:rPr>
        <w:instrText xml:space="preserve"> HYPERLINK "https://www.zcygov.cn/proj-procurement/project-result-detail/5ee91e3b852a171e" \t "https://www.zcygov.cn/bid-inviting/purchaseFileMake/_blank" </w:instrText>
      </w:r>
      <w:r>
        <w:rPr>
          <w:rFonts w:hint="eastAsia" w:ascii="宋体" w:hAnsi="宋体" w:cs="宋体"/>
          <w:b/>
          <w:bCs/>
          <w:color w:val="auto"/>
          <w:sz w:val="32"/>
          <w:szCs w:val="32"/>
          <w:highlight w:val="none"/>
          <w:lang w:val="en-US" w:eastAsia="zh-CN"/>
        </w:rPr>
        <w:fldChar w:fldCharType="separate"/>
      </w:r>
      <w:r>
        <w:rPr>
          <w:rFonts w:hint="eastAsia" w:ascii="宋体" w:hAnsi="宋体" w:cs="宋体"/>
          <w:b/>
          <w:bCs/>
          <w:color w:val="auto"/>
          <w:sz w:val="32"/>
          <w:szCs w:val="32"/>
          <w:highlight w:val="none"/>
          <w:lang w:val="en-US" w:eastAsia="zh-CN"/>
        </w:rPr>
        <w:t>资源县资源镇林下经济示范基地道路改扩建工程以工代赈项目</w:t>
      </w:r>
      <w:r>
        <w:rPr>
          <w:rFonts w:hint="eastAsia" w:ascii="宋体" w:hAnsi="宋体" w:cs="宋体"/>
          <w:b/>
          <w:bCs/>
          <w:color w:val="auto"/>
          <w:sz w:val="32"/>
          <w:szCs w:val="32"/>
          <w:highlight w:val="none"/>
          <w:lang w:val="en-US" w:eastAsia="zh-CN"/>
        </w:rPr>
        <w:fldChar w:fldCharType="end"/>
      </w:r>
    </w:p>
    <w:p w14:paraId="4F463000">
      <w:pPr>
        <w:ind w:firstLine="1285" w:firstLineChars="4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项目编号：GLZC2026-C2-290070-GXGZ</w:t>
      </w:r>
    </w:p>
    <w:p w14:paraId="3BF2D6EB">
      <w:pPr>
        <w:ind w:left="1260" w:leftChars="600"/>
        <w:rPr>
          <w:rFonts w:hint="eastAsia" w:ascii="宋体" w:hAnsi="宋体" w:eastAsia="宋体" w:cs="宋体"/>
          <w:b/>
          <w:bCs/>
          <w:color w:val="auto"/>
          <w:sz w:val="32"/>
          <w:szCs w:val="32"/>
          <w:highlight w:val="none"/>
          <w:lang w:eastAsia="zh-CN"/>
        </w:rPr>
      </w:pPr>
    </w:p>
    <w:p w14:paraId="717C6FC1">
      <w:pPr>
        <w:jc w:val="center"/>
        <w:rPr>
          <w:rFonts w:ascii="宋体" w:hAnsi="宋体" w:cs="宋体"/>
          <w:color w:val="auto"/>
          <w:sz w:val="32"/>
          <w:szCs w:val="32"/>
          <w:highlight w:val="none"/>
        </w:rPr>
      </w:pPr>
    </w:p>
    <w:p w14:paraId="1F5DF462">
      <w:pPr>
        <w:spacing w:line="480" w:lineRule="auto"/>
        <w:ind w:firstLine="1285" w:firstLineChars="400"/>
        <w:rPr>
          <w:rStyle w:val="277"/>
          <w:rFonts w:ascii="宋体" w:hAnsi="宋体"/>
          <w:b/>
          <w:bCs/>
          <w:color w:val="auto"/>
          <w:sz w:val="32"/>
          <w:highlight w:val="none"/>
        </w:rPr>
      </w:pPr>
    </w:p>
    <w:p w14:paraId="4404C287">
      <w:pPr>
        <w:spacing w:line="480" w:lineRule="auto"/>
        <w:ind w:firstLine="1285" w:firstLineChars="400"/>
        <w:rPr>
          <w:rStyle w:val="277"/>
          <w:rFonts w:ascii="宋体" w:hAnsi="宋体"/>
          <w:b/>
          <w:bCs/>
          <w:color w:val="auto"/>
          <w:sz w:val="32"/>
          <w:highlight w:val="none"/>
        </w:rPr>
      </w:pPr>
    </w:p>
    <w:p w14:paraId="64818C9B">
      <w:pPr>
        <w:spacing w:line="480" w:lineRule="auto"/>
        <w:rPr>
          <w:rStyle w:val="277"/>
          <w:rFonts w:ascii="宋体" w:hAnsi="宋体"/>
          <w:b/>
          <w:bCs/>
          <w:color w:val="auto"/>
          <w:sz w:val="32"/>
          <w:highlight w:val="none"/>
        </w:rPr>
      </w:pPr>
    </w:p>
    <w:p w14:paraId="7F924C4A">
      <w:pPr>
        <w:spacing w:line="480" w:lineRule="auto"/>
        <w:ind w:firstLine="1285" w:firstLineChars="400"/>
        <w:rPr>
          <w:rStyle w:val="277"/>
          <w:rFonts w:hint="eastAsia" w:ascii="宋体" w:hAnsi="宋体" w:eastAsia="宋体"/>
          <w:b/>
          <w:bCs/>
          <w:color w:val="auto"/>
          <w:sz w:val="32"/>
          <w:highlight w:val="none"/>
          <w:lang w:eastAsia="zh-CN"/>
        </w:rPr>
      </w:pPr>
      <w:r>
        <w:rPr>
          <w:rStyle w:val="277"/>
          <w:rFonts w:ascii="宋体" w:hAnsi="宋体"/>
          <w:b/>
          <w:bCs/>
          <w:color w:val="auto"/>
          <w:sz w:val="32"/>
          <w:highlight w:val="none"/>
        </w:rPr>
        <w:t>采购人：</w:t>
      </w:r>
      <w:r>
        <w:rPr>
          <w:rStyle w:val="277"/>
          <w:rFonts w:hint="eastAsia" w:ascii="宋体" w:hAnsi="宋体"/>
          <w:b/>
          <w:bCs/>
          <w:color w:val="auto"/>
          <w:sz w:val="32"/>
          <w:highlight w:val="none"/>
          <w:lang w:eastAsia="zh-CN"/>
        </w:rPr>
        <w:t>资源县资源镇人民政府</w:t>
      </w:r>
    </w:p>
    <w:p w14:paraId="2119497E">
      <w:pPr>
        <w:spacing w:line="480" w:lineRule="auto"/>
        <w:ind w:firstLine="1285" w:firstLineChars="400"/>
        <w:jc w:val="both"/>
        <w:rPr>
          <w:rStyle w:val="277"/>
          <w:rFonts w:hint="eastAsia" w:ascii="宋体" w:hAnsi="宋体" w:eastAsia="宋体"/>
          <w:b/>
          <w:bCs/>
          <w:color w:val="auto"/>
          <w:spacing w:val="40"/>
          <w:sz w:val="24"/>
          <w:highlight w:val="none"/>
          <w:lang w:eastAsia="zh-CN"/>
        </w:rPr>
      </w:pPr>
      <w:r>
        <w:rPr>
          <w:rStyle w:val="277"/>
          <w:rFonts w:ascii="宋体" w:hAnsi="宋体"/>
          <w:b/>
          <w:bCs/>
          <w:color w:val="auto"/>
          <w:sz w:val="32"/>
          <w:highlight w:val="none"/>
        </w:rPr>
        <w:t>采购代理机构：</w:t>
      </w:r>
      <w:r>
        <w:rPr>
          <w:rStyle w:val="277"/>
          <w:rFonts w:hint="eastAsia" w:ascii="宋体" w:hAnsi="宋体"/>
          <w:b/>
          <w:bCs/>
          <w:color w:val="auto"/>
          <w:sz w:val="32"/>
          <w:highlight w:val="none"/>
          <w:lang w:eastAsia="zh-CN"/>
        </w:rPr>
        <w:t>广西国喆项目管理有限公司</w:t>
      </w:r>
    </w:p>
    <w:p w14:paraId="52DCA15F">
      <w:pPr>
        <w:spacing w:line="480" w:lineRule="auto"/>
        <w:ind w:firstLine="2891" w:firstLineChars="900"/>
        <w:jc w:val="both"/>
        <w:rPr>
          <w:rStyle w:val="277"/>
          <w:rFonts w:hint="eastAsia" w:ascii="黑体" w:eastAsia="宋体"/>
          <w:color w:val="auto"/>
          <w:sz w:val="32"/>
          <w:highlight w:val="none"/>
          <w:lang w:eastAsia="zh-CN"/>
        </w:rPr>
      </w:pPr>
      <w:r>
        <w:rPr>
          <w:rStyle w:val="277"/>
          <w:rFonts w:hint="eastAsia" w:ascii="宋体" w:hAnsi="宋体"/>
          <w:b/>
          <w:bCs/>
          <w:color w:val="auto"/>
          <w:sz w:val="32"/>
          <w:highlight w:val="none"/>
          <w:lang w:val="en-US" w:eastAsia="zh-CN"/>
        </w:rPr>
        <w:t>日期：</w:t>
      </w:r>
      <w:r>
        <w:rPr>
          <w:rStyle w:val="277"/>
          <w:rFonts w:hint="eastAsia" w:ascii="宋体" w:hAnsi="宋体"/>
          <w:b/>
          <w:bCs/>
          <w:color w:val="auto"/>
          <w:sz w:val="32"/>
          <w:highlight w:val="none"/>
          <w:lang w:eastAsia="zh-CN"/>
        </w:rPr>
        <w:t>202</w:t>
      </w:r>
      <w:r>
        <w:rPr>
          <w:rStyle w:val="277"/>
          <w:rFonts w:hint="eastAsia" w:ascii="宋体" w:hAnsi="宋体"/>
          <w:b/>
          <w:bCs/>
          <w:color w:val="auto"/>
          <w:sz w:val="32"/>
          <w:highlight w:val="none"/>
          <w:lang w:val="en-US" w:eastAsia="zh-CN"/>
        </w:rPr>
        <w:t>6</w:t>
      </w:r>
      <w:r>
        <w:rPr>
          <w:rStyle w:val="277"/>
          <w:rFonts w:hint="eastAsia" w:ascii="宋体" w:hAnsi="宋体"/>
          <w:b/>
          <w:bCs/>
          <w:color w:val="auto"/>
          <w:sz w:val="32"/>
          <w:highlight w:val="none"/>
          <w:lang w:eastAsia="zh-CN"/>
        </w:rPr>
        <w:t>年</w:t>
      </w:r>
      <w:r>
        <w:rPr>
          <w:rStyle w:val="277"/>
          <w:rFonts w:hint="eastAsia" w:ascii="宋体" w:hAnsi="宋体"/>
          <w:b/>
          <w:bCs/>
          <w:color w:val="auto"/>
          <w:sz w:val="32"/>
          <w:highlight w:val="none"/>
          <w:lang w:val="en-US" w:eastAsia="zh-CN"/>
        </w:rPr>
        <w:t>8</w:t>
      </w:r>
      <w:r>
        <w:rPr>
          <w:rStyle w:val="277"/>
          <w:rFonts w:hint="eastAsia" w:ascii="宋体" w:hAnsi="宋体"/>
          <w:b/>
          <w:bCs/>
          <w:color w:val="auto"/>
          <w:sz w:val="32"/>
          <w:highlight w:val="none"/>
          <w:lang w:eastAsia="zh-CN"/>
        </w:rPr>
        <w:t>月</w:t>
      </w:r>
    </w:p>
    <w:p w14:paraId="1F9B087E">
      <w:pPr>
        <w:pStyle w:val="28"/>
        <w:spacing w:line="420" w:lineRule="exact"/>
        <w:jc w:val="center"/>
        <w:rPr>
          <w:rFonts w:hint="eastAsia" w:ascii="宋体" w:hAnsi="宋体" w:eastAsia="宋体"/>
          <w:b/>
          <w:bCs/>
          <w:color w:val="auto"/>
          <w:sz w:val="44"/>
          <w:szCs w:val="20"/>
          <w:highlight w:val="none"/>
          <w:lang w:val="en-US" w:eastAsia="zh-CN"/>
        </w:rPr>
        <w:sectPr>
          <w:pgSz w:w="11906" w:h="16838"/>
          <w:pgMar w:top="1418" w:right="1115" w:bottom="1418" w:left="1131" w:header="851" w:footer="992" w:gutter="0"/>
          <w:pgNumType w:fmt="upperRoman" w:start="1"/>
          <w:cols w:space="720" w:num="1"/>
          <w:titlePg/>
          <w:docGrid w:type="lines" w:linePitch="312" w:charSpace="0"/>
        </w:sectPr>
      </w:pPr>
    </w:p>
    <w:p w14:paraId="4F44D8E8">
      <w:pPr>
        <w:pStyle w:val="28"/>
        <w:spacing w:line="420" w:lineRule="exact"/>
        <w:jc w:val="center"/>
        <w:rPr>
          <w:rFonts w:hint="eastAsia" w:ascii="宋体" w:hAnsi="宋体" w:eastAsia="宋体"/>
          <w:b/>
          <w:bCs/>
          <w:color w:val="auto"/>
          <w:sz w:val="44"/>
          <w:szCs w:val="20"/>
          <w:highlight w:val="none"/>
          <w:lang w:val="en-US" w:eastAsia="zh-CN"/>
        </w:rPr>
      </w:pPr>
      <w:r>
        <w:rPr>
          <w:rFonts w:hint="eastAsia" w:ascii="宋体" w:hAnsi="宋体" w:eastAsia="宋体"/>
          <w:b/>
          <w:bCs/>
          <w:color w:val="auto"/>
          <w:sz w:val="44"/>
          <w:szCs w:val="20"/>
          <w:highlight w:val="none"/>
          <w:lang w:val="en-US" w:eastAsia="zh-CN"/>
        </w:rPr>
        <w:t>目   录</w:t>
      </w:r>
    </w:p>
    <w:p w14:paraId="0E4E27A4">
      <w:pPr>
        <w:pStyle w:val="12"/>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color w:val="auto"/>
          <w:highlight w:val="none"/>
          <w:lang w:val="en-US" w:eastAsia="zh-CN"/>
        </w:rPr>
      </w:pPr>
    </w:p>
    <w:p w14:paraId="36CD9EB9">
      <w:pPr>
        <w:pStyle w:val="36"/>
        <w:keepNext w:val="0"/>
        <w:keepLines w:val="0"/>
        <w:pageBreakBefore w:val="0"/>
        <w:widowControl w:val="0"/>
        <w:tabs>
          <w:tab w:val="right" w:leader="dot" w:pos="9660"/>
        </w:tabs>
        <w:kinsoku/>
        <w:wordWrap/>
        <w:overflowPunct/>
        <w:topLinePunct w:val="0"/>
        <w:autoSpaceDE/>
        <w:autoSpaceDN/>
        <w:bidi w:val="0"/>
        <w:adjustRightInd/>
        <w:snapToGrid/>
        <w:spacing w:line="600" w:lineRule="exact"/>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pacing w:val="-6"/>
          <w:kern w:val="0"/>
          <w:sz w:val="32"/>
          <w:szCs w:val="32"/>
          <w:highlight w:val="none"/>
        </w:rPr>
        <w:fldChar w:fldCharType="begin"/>
      </w:r>
      <w:r>
        <w:rPr>
          <w:rFonts w:hint="eastAsia" w:ascii="宋体" w:hAnsi="宋体" w:eastAsia="宋体" w:cs="宋体"/>
          <w:b/>
          <w:bCs/>
          <w:color w:val="auto"/>
          <w:spacing w:val="-6"/>
          <w:kern w:val="0"/>
          <w:sz w:val="32"/>
          <w:szCs w:val="32"/>
          <w:highlight w:val="none"/>
        </w:rPr>
        <w:instrText xml:space="preserve">TOC \o "1-3" \h \u </w:instrText>
      </w:r>
      <w:r>
        <w:rPr>
          <w:rFonts w:hint="eastAsia" w:ascii="宋体" w:hAnsi="宋体" w:eastAsia="宋体" w:cs="宋体"/>
          <w:b/>
          <w:bCs/>
          <w:color w:val="auto"/>
          <w:spacing w:val="-6"/>
          <w:kern w:val="0"/>
          <w:sz w:val="32"/>
          <w:szCs w:val="32"/>
          <w:highlight w:val="none"/>
        </w:rPr>
        <w:fldChar w:fldCharType="separate"/>
      </w:r>
      <w:r>
        <w:rPr>
          <w:rFonts w:hint="eastAsia" w:ascii="宋体" w:hAnsi="宋体" w:eastAsia="宋体" w:cs="宋体"/>
          <w:b/>
          <w:bCs/>
          <w:color w:val="auto"/>
          <w:spacing w:val="-6"/>
          <w:kern w:val="0"/>
          <w:sz w:val="32"/>
          <w:szCs w:val="32"/>
          <w:highlight w:val="none"/>
        </w:rPr>
        <w:fldChar w:fldCharType="begin"/>
      </w:r>
      <w:r>
        <w:rPr>
          <w:rFonts w:hint="eastAsia" w:ascii="宋体" w:hAnsi="宋体" w:eastAsia="宋体" w:cs="宋体"/>
          <w:b/>
          <w:bCs/>
          <w:color w:val="auto"/>
          <w:spacing w:val="-6"/>
          <w:kern w:val="0"/>
          <w:sz w:val="32"/>
          <w:szCs w:val="32"/>
          <w:highlight w:val="none"/>
        </w:rPr>
        <w:instrText xml:space="preserve"> HYPERLINK \l _Toc8415 </w:instrText>
      </w:r>
      <w:r>
        <w:rPr>
          <w:rFonts w:hint="eastAsia" w:ascii="宋体" w:hAnsi="宋体" w:eastAsia="宋体" w:cs="宋体"/>
          <w:b/>
          <w:bCs/>
          <w:color w:val="auto"/>
          <w:spacing w:val="-6"/>
          <w:kern w:val="0"/>
          <w:sz w:val="32"/>
          <w:szCs w:val="32"/>
          <w:highlight w:val="none"/>
        </w:rPr>
        <w:fldChar w:fldCharType="separate"/>
      </w:r>
      <w:r>
        <w:rPr>
          <w:rFonts w:hint="eastAsia" w:ascii="宋体" w:hAnsi="宋体" w:eastAsia="宋体" w:cs="宋体"/>
          <w:b/>
          <w:bCs/>
          <w:color w:val="auto"/>
          <w:sz w:val="32"/>
          <w:szCs w:val="32"/>
          <w:highlight w:val="none"/>
          <w:lang w:val="en-US" w:eastAsia="zh-CN"/>
        </w:rPr>
        <w:t>第一章  竞争性磋商公告</w:t>
      </w:r>
      <w:r>
        <w:rPr>
          <w:rFonts w:hint="eastAsia" w:ascii="宋体" w:hAnsi="宋体" w:eastAsia="宋体" w:cs="宋体"/>
          <w:b/>
          <w:bCs/>
          <w:color w:val="auto"/>
          <w:sz w:val="32"/>
          <w:szCs w:val="32"/>
          <w:highlight w:val="none"/>
        </w:rPr>
        <w:tab/>
      </w: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 PAGEREF _Toc8415 \h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
          <w:bCs/>
          <w:color w:val="auto"/>
          <w:sz w:val="32"/>
          <w:szCs w:val="32"/>
          <w:highlight w:val="none"/>
        </w:rPr>
        <w:t>2</w:t>
      </w:r>
      <w:r>
        <w:rPr>
          <w:rFonts w:hint="eastAsia" w:ascii="宋体" w:hAnsi="宋体" w:eastAsia="宋体" w:cs="宋体"/>
          <w:b/>
          <w:bCs/>
          <w:color w:val="auto"/>
          <w:sz w:val="32"/>
          <w:szCs w:val="32"/>
          <w:highlight w:val="none"/>
        </w:rPr>
        <w:fldChar w:fldCharType="end"/>
      </w:r>
      <w:r>
        <w:rPr>
          <w:rFonts w:hint="eastAsia" w:ascii="宋体" w:hAnsi="宋体" w:eastAsia="宋体" w:cs="宋体"/>
          <w:b/>
          <w:bCs/>
          <w:color w:val="auto"/>
          <w:spacing w:val="-6"/>
          <w:kern w:val="0"/>
          <w:sz w:val="32"/>
          <w:szCs w:val="32"/>
          <w:highlight w:val="none"/>
        </w:rPr>
        <w:fldChar w:fldCharType="end"/>
      </w:r>
    </w:p>
    <w:p w14:paraId="64C9D27E">
      <w:pPr>
        <w:pStyle w:val="36"/>
        <w:keepNext w:val="0"/>
        <w:keepLines w:val="0"/>
        <w:pageBreakBefore w:val="0"/>
        <w:widowControl w:val="0"/>
        <w:tabs>
          <w:tab w:val="right" w:leader="dot" w:pos="9660"/>
        </w:tabs>
        <w:kinsoku/>
        <w:wordWrap/>
        <w:overflowPunct/>
        <w:topLinePunct w:val="0"/>
        <w:autoSpaceDE/>
        <w:autoSpaceDN/>
        <w:bidi w:val="0"/>
        <w:adjustRightInd/>
        <w:snapToGrid/>
        <w:spacing w:line="600" w:lineRule="exact"/>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pacing w:val="-6"/>
          <w:kern w:val="0"/>
          <w:sz w:val="32"/>
          <w:szCs w:val="32"/>
          <w:highlight w:val="none"/>
        </w:rPr>
        <w:fldChar w:fldCharType="begin"/>
      </w:r>
      <w:r>
        <w:rPr>
          <w:rFonts w:hint="eastAsia" w:ascii="宋体" w:hAnsi="宋体" w:eastAsia="宋体" w:cs="宋体"/>
          <w:b/>
          <w:bCs/>
          <w:color w:val="auto"/>
          <w:spacing w:val="-6"/>
          <w:kern w:val="0"/>
          <w:sz w:val="32"/>
          <w:szCs w:val="32"/>
          <w:highlight w:val="none"/>
        </w:rPr>
        <w:instrText xml:space="preserve"> HYPERLINK \l _Toc25758 </w:instrText>
      </w:r>
      <w:r>
        <w:rPr>
          <w:rFonts w:hint="eastAsia" w:ascii="宋体" w:hAnsi="宋体" w:eastAsia="宋体" w:cs="宋体"/>
          <w:b/>
          <w:bCs/>
          <w:color w:val="auto"/>
          <w:spacing w:val="-6"/>
          <w:kern w:val="0"/>
          <w:sz w:val="32"/>
          <w:szCs w:val="32"/>
          <w:highlight w:val="none"/>
        </w:rPr>
        <w:fldChar w:fldCharType="separate"/>
      </w:r>
      <w:r>
        <w:rPr>
          <w:rFonts w:hint="eastAsia" w:ascii="宋体" w:hAnsi="宋体" w:eastAsia="宋体" w:cs="宋体"/>
          <w:b/>
          <w:bCs/>
          <w:color w:val="auto"/>
          <w:sz w:val="32"/>
          <w:szCs w:val="32"/>
          <w:highlight w:val="none"/>
          <w:lang w:val="en-US" w:eastAsia="zh-CN"/>
        </w:rPr>
        <w:t>第二章  供应商须知</w:t>
      </w:r>
      <w:r>
        <w:rPr>
          <w:rFonts w:hint="eastAsia" w:ascii="宋体" w:hAnsi="宋体" w:eastAsia="宋体" w:cs="宋体"/>
          <w:b/>
          <w:bCs/>
          <w:color w:val="auto"/>
          <w:sz w:val="32"/>
          <w:szCs w:val="32"/>
          <w:highlight w:val="none"/>
        </w:rPr>
        <w:tab/>
      </w: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 PAGEREF _Toc25758 \h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
          <w:bCs/>
          <w:color w:val="auto"/>
          <w:sz w:val="32"/>
          <w:szCs w:val="32"/>
          <w:highlight w:val="none"/>
        </w:rPr>
        <w:t>6</w:t>
      </w:r>
      <w:r>
        <w:rPr>
          <w:rFonts w:hint="eastAsia" w:ascii="宋体" w:hAnsi="宋体" w:eastAsia="宋体" w:cs="宋体"/>
          <w:b/>
          <w:bCs/>
          <w:color w:val="auto"/>
          <w:sz w:val="32"/>
          <w:szCs w:val="32"/>
          <w:highlight w:val="none"/>
        </w:rPr>
        <w:fldChar w:fldCharType="end"/>
      </w:r>
      <w:r>
        <w:rPr>
          <w:rFonts w:hint="eastAsia" w:ascii="宋体" w:hAnsi="宋体" w:eastAsia="宋体" w:cs="宋体"/>
          <w:b/>
          <w:bCs/>
          <w:color w:val="auto"/>
          <w:spacing w:val="-6"/>
          <w:kern w:val="0"/>
          <w:sz w:val="32"/>
          <w:szCs w:val="32"/>
          <w:highlight w:val="none"/>
        </w:rPr>
        <w:fldChar w:fldCharType="end"/>
      </w:r>
    </w:p>
    <w:p w14:paraId="6AA072A4">
      <w:pPr>
        <w:pStyle w:val="36"/>
        <w:keepNext w:val="0"/>
        <w:keepLines w:val="0"/>
        <w:pageBreakBefore w:val="0"/>
        <w:widowControl w:val="0"/>
        <w:tabs>
          <w:tab w:val="right" w:leader="dot" w:pos="9660"/>
        </w:tabs>
        <w:kinsoku/>
        <w:wordWrap/>
        <w:overflowPunct/>
        <w:topLinePunct w:val="0"/>
        <w:autoSpaceDE/>
        <w:autoSpaceDN/>
        <w:bidi w:val="0"/>
        <w:adjustRightInd/>
        <w:snapToGrid/>
        <w:spacing w:line="600" w:lineRule="exact"/>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pacing w:val="-6"/>
          <w:kern w:val="0"/>
          <w:sz w:val="32"/>
          <w:szCs w:val="32"/>
          <w:highlight w:val="none"/>
        </w:rPr>
        <w:fldChar w:fldCharType="begin"/>
      </w:r>
      <w:r>
        <w:rPr>
          <w:rFonts w:hint="eastAsia" w:ascii="宋体" w:hAnsi="宋体" w:eastAsia="宋体" w:cs="宋体"/>
          <w:b/>
          <w:bCs/>
          <w:color w:val="auto"/>
          <w:spacing w:val="-6"/>
          <w:kern w:val="0"/>
          <w:sz w:val="32"/>
          <w:szCs w:val="32"/>
          <w:highlight w:val="none"/>
        </w:rPr>
        <w:instrText xml:space="preserve"> HYPERLINK \l _Toc22630 </w:instrText>
      </w:r>
      <w:r>
        <w:rPr>
          <w:rFonts w:hint="eastAsia" w:ascii="宋体" w:hAnsi="宋体" w:eastAsia="宋体" w:cs="宋体"/>
          <w:b/>
          <w:bCs/>
          <w:color w:val="auto"/>
          <w:spacing w:val="-6"/>
          <w:kern w:val="0"/>
          <w:sz w:val="32"/>
          <w:szCs w:val="32"/>
          <w:highlight w:val="none"/>
        </w:rPr>
        <w:fldChar w:fldCharType="separate"/>
      </w:r>
      <w:r>
        <w:rPr>
          <w:rFonts w:hint="eastAsia" w:ascii="宋体" w:hAnsi="宋体" w:eastAsia="宋体" w:cs="宋体"/>
          <w:b/>
          <w:bCs/>
          <w:color w:val="auto"/>
          <w:kern w:val="2"/>
          <w:sz w:val="32"/>
          <w:szCs w:val="32"/>
          <w:highlight w:val="none"/>
          <w:lang w:val="en-US" w:eastAsia="zh-CN" w:bidi="ar-SA"/>
        </w:rPr>
        <w:t xml:space="preserve">第三章  </w:t>
      </w:r>
      <w:r>
        <w:rPr>
          <w:rFonts w:hint="eastAsia" w:ascii="宋体" w:hAnsi="宋体" w:eastAsia="宋体" w:cs="宋体"/>
          <w:b/>
          <w:bCs/>
          <w:color w:val="auto"/>
          <w:sz w:val="32"/>
          <w:szCs w:val="32"/>
          <w:highlight w:val="none"/>
          <w:lang w:val="en-US" w:eastAsia="zh-CN"/>
        </w:rPr>
        <w:t>工程量</w:t>
      </w:r>
      <w:r>
        <w:rPr>
          <w:rFonts w:hint="eastAsia" w:ascii="宋体" w:hAnsi="宋体" w:eastAsia="宋体" w:cs="宋体"/>
          <w:b/>
          <w:bCs/>
          <w:color w:val="auto"/>
          <w:kern w:val="2"/>
          <w:sz w:val="32"/>
          <w:szCs w:val="32"/>
          <w:highlight w:val="none"/>
          <w:lang w:val="en-US" w:eastAsia="zh-CN" w:bidi="ar-SA"/>
        </w:rPr>
        <w:t>清单</w:t>
      </w:r>
      <w:r>
        <w:rPr>
          <w:rFonts w:hint="eastAsia" w:ascii="宋体" w:hAnsi="宋体" w:eastAsia="宋体" w:cs="宋体"/>
          <w:b/>
          <w:bCs/>
          <w:color w:val="auto"/>
          <w:sz w:val="32"/>
          <w:szCs w:val="32"/>
          <w:highlight w:val="none"/>
        </w:rPr>
        <w:tab/>
      </w:r>
      <w:r>
        <w:rPr>
          <w:rFonts w:hint="eastAsia" w:ascii="宋体" w:hAnsi="宋体" w:cs="宋体"/>
          <w:b/>
          <w:bCs/>
          <w:color w:val="auto"/>
          <w:sz w:val="32"/>
          <w:szCs w:val="32"/>
          <w:highlight w:val="none"/>
          <w:lang w:val="en-US" w:eastAsia="zh-CN"/>
        </w:rPr>
        <w:t>3</w:t>
      </w:r>
      <w:r>
        <w:rPr>
          <w:rFonts w:hint="eastAsia" w:ascii="宋体" w:hAnsi="宋体" w:eastAsia="宋体" w:cs="宋体"/>
          <w:b/>
          <w:bCs/>
          <w:color w:val="auto"/>
          <w:spacing w:val="-6"/>
          <w:kern w:val="0"/>
          <w:sz w:val="32"/>
          <w:szCs w:val="32"/>
          <w:highlight w:val="none"/>
        </w:rPr>
        <w:fldChar w:fldCharType="end"/>
      </w:r>
      <w:r>
        <w:rPr>
          <w:rFonts w:hint="eastAsia" w:ascii="宋体" w:hAnsi="宋体" w:cs="宋体"/>
          <w:b/>
          <w:bCs/>
          <w:color w:val="auto"/>
          <w:spacing w:val="-6"/>
          <w:kern w:val="0"/>
          <w:sz w:val="32"/>
          <w:szCs w:val="32"/>
          <w:highlight w:val="none"/>
          <w:lang w:val="en-US" w:eastAsia="zh-CN"/>
        </w:rPr>
        <w:t>0</w:t>
      </w:r>
    </w:p>
    <w:p w14:paraId="53EB1379">
      <w:pPr>
        <w:pStyle w:val="36"/>
        <w:keepNext w:val="0"/>
        <w:keepLines w:val="0"/>
        <w:pageBreakBefore w:val="0"/>
        <w:widowControl w:val="0"/>
        <w:tabs>
          <w:tab w:val="right" w:leader="dot" w:pos="9660"/>
        </w:tabs>
        <w:kinsoku/>
        <w:wordWrap/>
        <w:overflowPunct/>
        <w:topLinePunct w:val="0"/>
        <w:autoSpaceDE/>
        <w:autoSpaceDN/>
        <w:bidi w:val="0"/>
        <w:adjustRightInd/>
        <w:snapToGrid/>
        <w:spacing w:line="600" w:lineRule="exact"/>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pacing w:val="-6"/>
          <w:kern w:val="0"/>
          <w:sz w:val="32"/>
          <w:szCs w:val="32"/>
          <w:highlight w:val="none"/>
        </w:rPr>
        <w:fldChar w:fldCharType="begin"/>
      </w:r>
      <w:r>
        <w:rPr>
          <w:rFonts w:hint="eastAsia" w:ascii="宋体" w:hAnsi="宋体" w:eastAsia="宋体" w:cs="宋体"/>
          <w:b/>
          <w:bCs/>
          <w:color w:val="auto"/>
          <w:spacing w:val="-6"/>
          <w:kern w:val="0"/>
          <w:sz w:val="32"/>
          <w:szCs w:val="32"/>
          <w:highlight w:val="none"/>
        </w:rPr>
        <w:instrText xml:space="preserve"> HYPERLINK \l _Toc8615 </w:instrText>
      </w:r>
      <w:r>
        <w:rPr>
          <w:rFonts w:hint="eastAsia" w:ascii="宋体" w:hAnsi="宋体" w:eastAsia="宋体" w:cs="宋体"/>
          <w:b/>
          <w:bCs/>
          <w:color w:val="auto"/>
          <w:spacing w:val="-6"/>
          <w:kern w:val="0"/>
          <w:sz w:val="32"/>
          <w:szCs w:val="32"/>
          <w:highlight w:val="none"/>
        </w:rPr>
        <w:fldChar w:fldCharType="separate"/>
      </w:r>
      <w:r>
        <w:rPr>
          <w:rFonts w:hint="eastAsia" w:ascii="宋体" w:hAnsi="宋体" w:eastAsia="宋体" w:cs="宋体"/>
          <w:b/>
          <w:bCs/>
          <w:color w:val="auto"/>
          <w:sz w:val="32"/>
          <w:szCs w:val="32"/>
          <w:highlight w:val="none"/>
          <w:lang w:eastAsia="zh-CN"/>
        </w:rPr>
        <w:t>第四章</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评审办法</w:t>
      </w:r>
      <w:r>
        <w:rPr>
          <w:rFonts w:hint="eastAsia" w:ascii="宋体" w:hAnsi="宋体" w:eastAsia="宋体" w:cs="宋体"/>
          <w:b/>
          <w:bCs/>
          <w:color w:val="auto"/>
          <w:sz w:val="32"/>
          <w:szCs w:val="32"/>
          <w:highlight w:val="none"/>
        </w:rPr>
        <w:tab/>
      </w:r>
      <w:r>
        <w:rPr>
          <w:rFonts w:hint="eastAsia" w:ascii="宋体" w:hAnsi="宋体" w:cs="宋体"/>
          <w:b/>
          <w:bCs/>
          <w:color w:val="auto"/>
          <w:sz w:val="32"/>
          <w:szCs w:val="32"/>
          <w:highlight w:val="none"/>
          <w:lang w:val="en-US" w:eastAsia="zh-CN"/>
        </w:rPr>
        <w:t>3</w:t>
      </w:r>
      <w:r>
        <w:rPr>
          <w:rFonts w:hint="eastAsia" w:ascii="宋体" w:hAnsi="宋体" w:eastAsia="宋体" w:cs="宋体"/>
          <w:b/>
          <w:bCs/>
          <w:color w:val="auto"/>
          <w:spacing w:val="-6"/>
          <w:kern w:val="0"/>
          <w:sz w:val="32"/>
          <w:szCs w:val="32"/>
          <w:highlight w:val="none"/>
        </w:rPr>
        <w:fldChar w:fldCharType="end"/>
      </w:r>
      <w:r>
        <w:rPr>
          <w:rFonts w:hint="eastAsia" w:ascii="宋体" w:hAnsi="宋体" w:cs="宋体"/>
          <w:b/>
          <w:bCs/>
          <w:color w:val="auto"/>
          <w:spacing w:val="-6"/>
          <w:kern w:val="0"/>
          <w:sz w:val="32"/>
          <w:szCs w:val="32"/>
          <w:highlight w:val="none"/>
          <w:lang w:val="en-US" w:eastAsia="zh-CN"/>
        </w:rPr>
        <w:t>1</w:t>
      </w:r>
    </w:p>
    <w:p w14:paraId="5C8DAAEE">
      <w:pPr>
        <w:pStyle w:val="36"/>
        <w:keepNext w:val="0"/>
        <w:keepLines w:val="0"/>
        <w:pageBreakBefore w:val="0"/>
        <w:widowControl w:val="0"/>
        <w:tabs>
          <w:tab w:val="right" w:leader="dot" w:pos="9660"/>
        </w:tabs>
        <w:kinsoku/>
        <w:wordWrap/>
        <w:overflowPunct/>
        <w:topLinePunct w:val="0"/>
        <w:autoSpaceDE/>
        <w:autoSpaceDN/>
        <w:bidi w:val="0"/>
        <w:adjustRightInd/>
        <w:snapToGrid/>
        <w:spacing w:line="600" w:lineRule="exact"/>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pacing w:val="-6"/>
          <w:kern w:val="0"/>
          <w:sz w:val="32"/>
          <w:szCs w:val="32"/>
          <w:highlight w:val="none"/>
        </w:rPr>
        <w:fldChar w:fldCharType="begin"/>
      </w:r>
      <w:r>
        <w:rPr>
          <w:rFonts w:hint="eastAsia" w:ascii="宋体" w:hAnsi="宋体" w:eastAsia="宋体" w:cs="宋体"/>
          <w:b/>
          <w:bCs/>
          <w:color w:val="auto"/>
          <w:spacing w:val="-6"/>
          <w:kern w:val="0"/>
          <w:sz w:val="32"/>
          <w:szCs w:val="32"/>
          <w:highlight w:val="none"/>
        </w:rPr>
        <w:instrText xml:space="preserve"> HYPERLINK \l _Toc2913 </w:instrText>
      </w:r>
      <w:r>
        <w:rPr>
          <w:rFonts w:hint="eastAsia" w:ascii="宋体" w:hAnsi="宋体" w:eastAsia="宋体" w:cs="宋体"/>
          <w:b/>
          <w:bCs/>
          <w:color w:val="auto"/>
          <w:spacing w:val="-6"/>
          <w:kern w:val="0"/>
          <w:sz w:val="32"/>
          <w:szCs w:val="32"/>
          <w:highlight w:val="none"/>
        </w:rPr>
        <w:fldChar w:fldCharType="separate"/>
      </w:r>
      <w:r>
        <w:rPr>
          <w:rFonts w:hint="eastAsia" w:ascii="宋体" w:hAnsi="宋体" w:eastAsia="宋体" w:cs="宋体"/>
          <w:b/>
          <w:bCs/>
          <w:color w:val="auto"/>
          <w:sz w:val="32"/>
          <w:szCs w:val="32"/>
          <w:highlight w:val="none"/>
          <w:lang w:eastAsia="zh-CN"/>
        </w:rPr>
        <w:t>第五章</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采购合同（合同主要条款及格式）</w:t>
      </w:r>
      <w:r>
        <w:rPr>
          <w:rFonts w:hint="eastAsia" w:ascii="宋体" w:hAnsi="宋体" w:eastAsia="宋体" w:cs="宋体"/>
          <w:b/>
          <w:bCs/>
          <w:color w:val="auto"/>
          <w:sz w:val="32"/>
          <w:szCs w:val="32"/>
          <w:highlight w:val="none"/>
        </w:rPr>
        <w:tab/>
      </w: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 PAGEREF _Toc2913 \h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
          <w:bCs/>
          <w:color w:val="auto"/>
          <w:sz w:val="32"/>
          <w:szCs w:val="32"/>
          <w:highlight w:val="none"/>
        </w:rPr>
        <w:t>38</w:t>
      </w:r>
      <w:r>
        <w:rPr>
          <w:rFonts w:hint="eastAsia" w:ascii="宋体" w:hAnsi="宋体" w:eastAsia="宋体" w:cs="宋体"/>
          <w:b/>
          <w:bCs/>
          <w:color w:val="auto"/>
          <w:sz w:val="32"/>
          <w:szCs w:val="32"/>
          <w:highlight w:val="none"/>
        </w:rPr>
        <w:fldChar w:fldCharType="end"/>
      </w:r>
      <w:r>
        <w:rPr>
          <w:rFonts w:hint="eastAsia" w:ascii="宋体" w:hAnsi="宋体" w:eastAsia="宋体" w:cs="宋体"/>
          <w:b/>
          <w:bCs/>
          <w:color w:val="auto"/>
          <w:spacing w:val="-6"/>
          <w:kern w:val="0"/>
          <w:sz w:val="32"/>
          <w:szCs w:val="32"/>
          <w:highlight w:val="none"/>
        </w:rPr>
        <w:fldChar w:fldCharType="end"/>
      </w:r>
    </w:p>
    <w:p w14:paraId="2EEADBDD">
      <w:pPr>
        <w:pStyle w:val="36"/>
        <w:keepNext w:val="0"/>
        <w:keepLines w:val="0"/>
        <w:pageBreakBefore w:val="0"/>
        <w:widowControl w:val="0"/>
        <w:tabs>
          <w:tab w:val="right" w:leader="dot" w:pos="9660"/>
        </w:tabs>
        <w:kinsoku/>
        <w:wordWrap/>
        <w:overflowPunct/>
        <w:topLinePunct w:val="0"/>
        <w:autoSpaceDE/>
        <w:autoSpaceDN/>
        <w:bidi w:val="0"/>
        <w:adjustRightInd/>
        <w:snapToGrid/>
        <w:spacing w:line="600" w:lineRule="exact"/>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pacing w:val="-6"/>
          <w:kern w:val="0"/>
          <w:sz w:val="32"/>
          <w:szCs w:val="32"/>
          <w:highlight w:val="none"/>
        </w:rPr>
        <w:fldChar w:fldCharType="begin"/>
      </w:r>
      <w:r>
        <w:rPr>
          <w:rFonts w:hint="eastAsia" w:ascii="宋体" w:hAnsi="宋体" w:eastAsia="宋体" w:cs="宋体"/>
          <w:b/>
          <w:bCs/>
          <w:color w:val="auto"/>
          <w:spacing w:val="-6"/>
          <w:kern w:val="0"/>
          <w:sz w:val="32"/>
          <w:szCs w:val="32"/>
          <w:highlight w:val="none"/>
        </w:rPr>
        <w:instrText xml:space="preserve"> HYPERLINK \l _Toc31864 </w:instrText>
      </w:r>
      <w:r>
        <w:rPr>
          <w:rFonts w:hint="eastAsia" w:ascii="宋体" w:hAnsi="宋体" w:eastAsia="宋体" w:cs="宋体"/>
          <w:b/>
          <w:bCs/>
          <w:color w:val="auto"/>
          <w:spacing w:val="-6"/>
          <w:kern w:val="0"/>
          <w:sz w:val="32"/>
          <w:szCs w:val="32"/>
          <w:highlight w:val="none"/>
        </w:rPr>
        <w:fldChar w:fldCharType="separate"/>
      </w:r>
      <w:r>
        <w:rPr>
          <w:rFonts w:hint="eastAsia" w:ascii="宋体" w:hAnsi="宋体" w:eastAsia="宋体" w:cs="宋体"/>
          <w:b/>
          <w:bCs/>
          <w:color w:val="auto"/>
          <w:sz w:val="32"/>
          <w:szCs w:val="32"/>
          <w:highlight w:val="none"/>
        </w:rPr>
        <w:t>第六章  响应文件（格式）</w:t>
      </w:r>
      <w:r>
        <w:rPr>
          <w:rFonts w:hint="eastAsia" w:ascii="宋体" w:hAnsi="宋体" w:eastAsia="宋体" w:cs="宋体"/>
          <w:b/>
          <w:bCs/>
          <w:color w:val="auto"/>
          <w:sz w:val="32"/>
          <w:szCs w:val="32"/>
          <w:highlight w:val="none"/>
        </w:rPr>
        <w:tab/>
      </w:r>
      <w:r>
        <w:rPr>
          <w:rFonts w:hint="eastAsia" w:ascii="宋体" w:hAnsi="宋体" w:cs="宋体"/>
          <w:b/>
          <w:bCs/>
          <w:color w:val="auto"/>
          <w:sz w:val="32"/>
          <w:szCs w:val="32"/>
          <w:highlight w:val="none"/>
          <w:lang w:val="en-US" w:eastAsia="zh-CN"/>
        </w:rPr>
        <w:t>8</w:t>
      </w:r>
      <w:r>
        <w:rPr>
          <w:rFonts w:hint="eastAsia" w:ascii="宋体" w:hAnsi="宋体" w:eastAsia="宋体" w:cs="宋体"/>
          <w:b/>
          <w:bCs/>
          <w:color w:val="auto"/>
          <w:spacing w:val="-6"/>
          <w:kern w:val="0"/>
          <w:sz w:val="32"/>
          <w:szCs w:val="32"/>
          <w:highlight w:val="none"/>
        </w:rPr>
        <w:fldChar w:fldCharType="end"/>
      </w:r>
      <w:r>
        <w:rPr>
          <w:rFonts w:hint="eastAsia" w:ascii="宋体" w:hAnsi="宋体" w:cs="宋体"/>
          <w:b/>
          <w:bCs/>
          <w:color w:val="auto"/>
          <w:spacing w:val="-6"/>
          <w:kern w:val="0"/>
          <w:sz w:val="32"/>
          <w:szCs w:val="32"/>
          <w:highlight w:val="none"/>
          <w:lang w:val="en-US" w:eastAsia="zh-CN"/>
        </w:rPr>
        <w:t>5</w:t>
      </w:r>
    </w:p>
    <w:p w14:paraId="5CC7415E">
      <w:pPr>
        <w:pStyle w:val="36"/>
        <w:keepNext w:val="0"/>
        <w:keepLines w:val="0"/>
        <w:pageBreakBefore w:val="0"/>
        <w:widowControl w:val="0"/>
        <w:tabs>
          <w:tab w:val="right" w:leader="dot" w:pos="9660"/>
        </w:tabs>
        <w:kinsoku/>
        <w:wordWrap/>
        <w:overflowPunct/>
        <w:topLinePunct w:val="0"/>
        <w:autoSpaceDE/>
        <w:autoSpaceDN/>
        <w:bidi w:val="0"/>
        <w:adjustRightInd/>
        <w:snapToGrid/>
        <w:spacing w:line="600" w:lineRule="exact"/>
        <w:textAlignment w:val="auto"/>
        <w:rPr>
          <w:rFonts w:hint="default"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 HYPERLINK \l _Toc13075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
          <w:bCs/>
          <w:color w:val="auto"/>
          <w:sz w:val="32"/>
          <w:szCs w:val="32"/>
          <w:highlight w:val="none"/>
          <w:lang w:val="en-US" w:eastAsia="zh-CN"/>
        </w:rPr>
        <w:t>第七章  图纸</w:t>
      </w:r>
      <w:r>
        <w:rPr>
          <w:rFonts w:hint="eastAsia" w:ascii="宋体" w:hAnsi="宋体" w:eastAsia="宋体" w:cs="宋体"/>
          <w:b/>
          <w:bCs/>
          <w:color w:val="auto"/>
          <w:sz w:val="32"/>
          <w:szCs w:val="32"/>
          <w:highlight w:val="none"/>
        </w:rPr>
        <w:tab/>
      </w:r>
      <w:r>
        <w:rPr>
          <w:rFonts w:hint="eastAsia" w:ascii="宋体" w:hAnsi="宋体" w:cs="宋体"/>
          <w:b/>
          <w:bCs/>
          <w:color w:val="auto"/>
          <w:sz w:val="32"/>
          <w:szCs w:val="32"/>
          <w:highlight w:val="none"/>
          <w:lang w:val="en-US" w:eastAsia="zh-CN"/>
        </w:rPr>
        <w:t>1</w:t>
      </w:r>
      <w:r>
        <w:rPr>
          <w:rFonts w:hint="eastAsia" w:ascii="宋体" w:hAnsi="宋体" w:eastAsia="宋体" w:cs="宋体"/>
          <w:b/>
          <w:bCs/>
          <w:color w:val="auto"/>
          <w:sz w:val="32"/>
          <w:szCs w:val="32"/>
          <w:highlight w:val="none"/>
        </w:rPr>
        <w:fldChar w:fldCharType="end"/>
      </w:r>
      <w:r>
        <w:rPr>
          <w:rFonts w:hint="eastAsia" w:ascii="宋体" w:hAnsi="宋体" w:cs="宋体"/>
          <w:b/>
          <w:bCs/>
          <w:color w:val="auto"/>
          <w:sz w:val="32"/>
          <w:szCs w:val="32"/>
          <w:highlight w:val="none"/>
          <w:lang w:val="en-US" w:eastAsia="zh-CN"/>
        </w:rPr>
        <w:t>05</w:t>
      </w:r>
    </w:p>
    <w:p w14:paraId="5E0D4C0F">
      <w:pPr>
        <w:pStyle w:val="36"/>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32"/>
          <w:szCs w:val="32"/>
          <w:highlight w:val="none"/>
        </w:rPr>
      </w:pPr>
    </w:p>
    <w:p w14:paraId="7A19FF07">
      <w:pPr>
        <w:pStyle w:val="36"/>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eastAsia="宋体" w:cs="宋体"/>
          <w:b/>
          <w:bCs/>
          <w:color w:val="auto"/>
          <w:spacing w:val="-6"/>
          <w:kern w:val="0"/>
          <w:sz w:val="32"/>
          <w:szCs w:val="32"/>
          <w:highlight w:val="none"/>
        </w:rPr>
        <w:fldChar w:fldCharType="end"/>
      </w:r>
    </w:p>
    <w:p w14:paraId="01A6B651">
      <w:pPr>
        <w:pStyle w:val="2"/>
        <w:numPr>
          <w:ilvl w:val="0"/>
          <w:numId w:val="1"/>
        </w:numPr>
        <w:tabs>
          <w:tab w:val="left" w:pos="0"/>
        </w:tabs>
        <w:autoSpaceDE w:val="0"/>
        <w:autoSpaceDN w:val="0"/>
        <w:adjustRightInd w:val="0"/>
        <w:spacing w:before="0" w:after="0" w:line="360" w:lineRule="auto"/>
        <w:ind w:firstLine="425"/>
        <w:jc w:val="center"/>
        <w:rPr>
          <w:rFonts w:hint="eastAsia" w:ascii="宋体" w:hAnsi="宋体" w:eastAsia="宋体" w:cs="宋体"/>
          <w:color w:val="auto"/>
          <w:sz w:val="32"/>
          <w:szCs w:val="32"/>
          <w:highlight w:val="none"/>
        </w:rPr>
        <w:sectPr>
          <w:footerReference r:id="rId4" w:type="first"/>
          <w:footerReference r:id="rId3" w:type="default"/>
          <w:pgSz w:w="11906" w:h="16838"/>
          <w:pgMar w:top="1418" w:right="1115" w:bottom="1418" w:left="1131" w:header="851" w:footer="992" w:gutter="0"/>
          <w:pgNumType w:fmt="upperRoman" w:start="1"/>
          <w:cols w:space="720" w:num="1"/>
          <w:titlePg/>
          <w:docGrid w:type="lines" w:linePitch="312" w:charSpace="0"/>
        </w:sectPr>
      </w:pPr>
      <w:bookmarkStart w:id="0" w:name="_Toc1752"/>
      <w:bookmarkStart w:id="1" w:name="_Toc30170"/>
      <w:bookmarkStart w:id="2" w:name="_Toc21930"/>
      <w:bookmarkStart w:id="3" w:name="_Toc35393797"/>
      <w:bookmarkStart w:id="4" w:name="_Toc26809"/>
      <w:bookmarkStart w:id="5" w:name="_Toc28359011"/>
    </w:p>
    <w:p w14:paraId="2A887EEB">
      <w:pPr>
        <w:pStyle w:val="2"/>
        <w:pageBreakBefore w:val="0"/>
        <w:widowControl w:val="0"/>
        <w:kinsoku/>
        <w:overflowPunct/>
        <w:topLinePunct w:val="0"/>
        <w:bidi w:val="0"/>
        <w:snapToGrid/>
        <w:spacing w:before="0" w:after="0" w:line="440" w:lineRule="exact"/>
        <w:jc w:val="center"/>
        <w:textAlignment w:val="auto"/>
        <w:rPr>
          <w:rFonts w:hint="default" w:eastAsia="宋体"/>
          <w:color w:val="auto"/>
          <w:sz w:val="24"/>
          <w:szCs w:val="24"/>
          <w:highlight w:val="none"/>
          <w:lang w:val="en-US" w:eastAsia="zh-CN"/>
        </w:rPr>
      </w:pPr>
      <w:bookmarkStart w:id="6" w:name="_Toc8415"/>
      <w:r>
        <w:rPr>
          <w:rFonts w:hint="default" w:eastAsia="宋体"/>
          <w:color w:val="auto"/>
          <w:sz w:val="32"/>
          <w:szCs w:val="32"/>
          <w:highlight w:val="none"/>
          <w:lang w:val="en-US" w:eastAsia="zh-CN"/>
        </w:rPr>
        <w:t>第一章 竞争性磋商公告</w:t>
      </w:r>
      <w:bookmarkEnd w:id="0"/>
      <w:bookmarkEnd w:id="1"/>
      <w:bookmarkEnd w:id="2"/>
      <w:bookmarkEnd w:id="3"/>
      <w:bookmarkEnd w:id="4"/>
      <w:bookmarkEnd w:id="5"/>
      <w:bookmarkEnd w:id="6"/>
    </w:p>
    <w:tbl>
      <w:tblPr>
        <w:tblStyle w:val="55"/>
        <w:tblpPr w:leftFromText="180" w:rightFromText="180" w:vertAnchor="text" w:tblpX="38" w:tblpY="134"/>
        <w:tblOverlap w:val="never"/>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0"/>
      </w:tblGrid>
      <w:tr w14:paraId="4A70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00" w:type="dxa"/>
            <w:noWrap w:val="0"/>
            <w:vAlign w:val="top"/>
          </w:tcPr>
          <w:p w14:paraId="3B8E4C17">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项目概况</w:t>
            </w:r>
          </w:p>
          <w:p w14:paraId="20373B1E">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宋体" w:hAnsi="宋体" w:cs="宋体"/>
                <w:b w:val="0"/>
                <w:bCs w:val="0"/>
                <w:color w:val="auto"/>
                <w:kern w:val="2"/>
                <w:sz w:val="24"/>
                <w:szCs w:val="24"/>
                <w:highlight w:val="none"/>
                <w:u w:val="single"/>
                <w:lang w:val="en-US" w:eastAsia="zh-CN" w:bidi="ar-SA"/>
              </w:rPr>
              <w:t>资源县资源镇林下经济示范基地道路改扩建工程以工代赈项目</w:t>
            </w:r>
            <w:r>
              <w:rPr>
                <w:rFonts w:hint="eastAsia" w:ascii="宋体" w:hAnsi="宋体" w:eastAsia="宋体" w:cs="宋体"/>
                <w:b w:val="0"/>
                <w:bCs w:val="0"/>
                <w:color w:val="auto"/>
                <w:kern w:val="2"/>
                <w:sz w:val="24"/>
                <w:szCs w:val="24"/>
                <w:highlight w:val="none"/>
                <w:u w:val="none"/>
                <w:lang w:val="en-US" w:eastAsia="zh-CN" w:bidi="ar-SA"/>
              </w:rPr>
              <w:t>采购项目的潜在供应商应在</w:t>
            </w:r>
            <w:r>
              <w:rPr>
                <w:rFonts w:hint="eastAsia" w:ascii="宋体" w:hAnsi="宋体" w:eastAsia="宋体" w:cs="宋体"/>
                <w:bCs/>
                <w:color w:val="auto"/>
                <w:sz w:val="24"/>
                <w:szCs w:val="24"/>
                <w:highlight w:val="none"/>
                <w:u w:val="single"/>
              </w:rPr>
              <w:t>广西政府采购云平台（https://www.gcy.zfcg.gxzf.gov.cn/）</w:t>
            </w:r>
            <w:r>
              <w:rPr>
                <w:rFonts w:hint="eastAsia" w:ascii="宋体" w:hAnsi="宋体" w:eastAsia="宋体" w:cs="宋体"/>
                <w:color w:val="auto"/>
                <w:sz w:val="24"/>
                <w:szCs w:val="24"/>
                <w:highlight w:val="none"/>
              </w:rPr>
              <w:t>获取采购文件，并于</w:t>
            </w:r>
            <w:r>
              <w:rPr>
                <w:rFonts w:hint="eastAsia" w:ascii="宋体" w:hAnsi="宋体" w:cs="宋体"/>
                <w:color w:val="auto"/>
                <w:sz w:val="24"/>
                <w:szCs w:val="24"/>
                <w:highlight w:val="none"/>
                <w:u w:val="single"/>
                <w:lang w:val="en-US" w:eastAsia="zh-CN"/>
              </w:rPr>
              <w:t>2026年8月31日9</w:t>
            </w:r>
            <w:r>
              <w:rPr>
                <w:rFonts w:hint="eastAsia" w:ascii="宋体" w:hAnsi="宋体" w:cs="宋体"/>
                <w:color w:val="auto"/>
                <w:sz w:val="24"/>
                <w:szCs w:val="24"/>
                <w:highlight w:val="none"/>
                <w:u w:val="single"/>
                <w:lang w:eastAsia="zh-CN"/>
              </w:rPr>
              <w:t>时30分</w:t>
            </w:r>
            <w:r>
              <w:rPr>
                <w:rFonts w:hint="eastAsia" w:ascii="宋体" w:hAnsi="宋体" w:eastAsia="宋体" w:cs="宋体"/>
                <w:color w:val="auto"/>
                <w:sz w:val="24"/>
                <w:szCs w:val="24"/>
                <w:highlight w:val="none"/>
              </w:rPr>
              <w:t>（北京时间）前提交响应文件。</w:t>
            </w:r>
          </w:p>
        </w:tc>
      </w:tr>
    </w:tbl>
    <w:p w14:paraId="0F5EF64A">
      <w:pPr>
        <w:keepNext w:val="0"/>
        <w:keepLines w:val="0"/>
        <w:pageBreakBefore w:val="0"/>
        <w:widowControl w:val="0"/>
        <w:kinsoku/>
        <w:wordWrap w:val="0"/>
        <w:overflowPunct/>
        <w:topLinePunct w:val="0"/>
        <w:autoSpaceDE/>
        <w:autoSpaceDN/>
        <w:bidi w:val="0"/>
        <w:adjustRightInd/>
        <w:snapToGrid/>
        <w:spacing w:line="440" w:lineRule="exact"/>
        <w:jc w:val="both"/>
        <w:textAlignment w:val="auto"/>
        <w:outlineLvl w:val="1"/>
        <w:rPr>
          <w:rFonts w:hint="eastAsia" w:ascii="宋体" w:hAnsi="宋体" w:eastAsia="宋体" w:cs="宋体"/>
          <w:b/>
          <w:bCs/>
          <w:color w:val="auto"/>
          <w:sz w:val="24"/>
          <w:szCs w:val="24"/>
          <w:highlight w:val="none"/>
        </w:rPr>
      </w:pPr>
      <w:bookmarkStart w:id="7" w:name="_Toc35393629"/>
      <w:bookmarkStart w:id="8" w:name="_Toc28343"/>
      <w:bookmarkStart w:id="9" w:name="_Toc28359089"/>
      <w:bookmarkStart w:id="10" w:name="_Toc24797"/>
      <w:bookmarkStart w:id="11" w:name="_Toc35393798"/>
      <w:bookmarkStart w:id="12" w:name="_Toc28359012"/>
      <w:bookmarkStart w:id="13" w:name="_Toc23416"/>
      <w:bookmarkStart w:id="14" w:name="_Toc15564"/>
      <w:r>
        <w:rPr>
          <w:rFonts w:hint="eastAsia" w:ascii="宋体" w:hAnsi="宋体" w:eastAsia="宋体" w:cs="宋体"/>
          <w:b/>
          <w:bCs/>
          <w:color w:val="auto"/>
          <w:sz w:val="24"/>
          <w:szCs w:val="24"/>
          <w:highlight w:val="none"/>
        </w:rPr>
        <w:t>一、项目基本情况</w:t>
      </w:r>
      <w:bookmarkEnd w:id="7"/>
      <w:bookmarkEnd w:id="8"/>
      <w:bookmarkEnd w:id="9"/>
      <w:bookmarkEnd w:id="10"/>
      <w:bookmarkEnd w:id="11"/>
      <w:bookmarkEnd w:id="12"/>
      <w:bookmarkEnd w:id="13"/>
      <w:bookmarkEnd w:id="14"/>
    </w:p>
    <w:p w14:paraId="5F84599B">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项目编号：</w:t>
      </w:r>
    </w:p>
    <w:p w14:paraId="50CFF11F">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资源县资源镇林下经济示范基地道路改扩建工程以工代赈项目</w:t>
      </w:r>
    </w:p>
    <w:p w14:paraId="01B0FC94">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采购方式：竞争性磋商</w:t>
      </w:r>
    </w:p>
    <w:p w14:paraId="1A55193F">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val="none"/>
          <w:lang w:eastAsia="zh-CN"/>
        </w:rPr>
        <w:t>预算总金额（元）：</w:t>
      </w:r>
      <w:r>
        <w:rPr>
          <w:rFonts w:hint="eastAsia" w:ascii="宋体" w:hAnsi="宋体" w:cs="宋体"/>
          <w:color w:val="auto"/>
          <w:sz w:val="24"/>
          <w:szCs w:val="24"/>
          <w:highlight w:val="none"/>
          <w:u w:val="none"/>
          <w:lang w:eastAsia="zh-CN"/>
        </w:rPr>
        <w:t>2954944.89</w:t>
      </w:r>
    </w:p>
    <w:p w14:paraId="57067C1F">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标项名称：</w:t>
      </w:r>
      <w:r>
        <w:rPr>
          <w:rFonts w:hint="eastAsia" w:ascii="宋体" w:hAnsi="宋体" w:cs="宋体"/>
          <w:color w:val="auto"/>
          <w:sz w:val="24"/>
          <w:szCs w:val="24"/>
          <w:highlight w:val="none"/>
          <w:lang w:eastAsia="zh-CN"/>
        </w:rPr>
        <w:t>资源县资源镇林下经济示范基地道路改扩建工程以工代赈项目</w:t>
      </w:r>
    </w:p>
    <w:p w14:paraId="45F744B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数量：1</w:t>
      </w:r>
    </w:p>
    <w:p w14:paraId="23022C62">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简要规格描述或项目基本概况介绍、用途：</w:t>
      </w:r>
    </w:p>
    <w:p w14:paraId="57917436">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建设地点：</w:t>
      </w:r>
      <w:r>
        <w:rPr>
          <w:rFonts w:hint="eastAsia" w:ascii="宋体" w:hAnsi="宋体" w:eastAsia="宋体" w:cs="宋体"/>
          <w:color w:val="auto"/>
          <w:sz w:val="24"/>
          <w:szCs w:val="24"/>
          <w:highlight w:val="none"/>
          <w:lang w:val="en-US" w:eastAsia="zh-CN"/>
        </w:rPr>
        <w:t>桂林市</w:t>
      </w:r>
      <w:r>
        <w:rPr>
          <w:rFonts w:hint="eastAsia" w:ascii="宋体" w:hAnsi="宋体" w:cs="宋体"/>
          <w:color w:val="auto"/>
          <w:sz w:val="24"/>
          <w:szCs w:val="24"/>
          <w:highlight w:val="none"/>
          <w:lang w:val="en-US" w:eastAsia="zh-CN"/>
        </w:rPr>
        <w:t>资源县</w:t>
      </w:r>
      <w:r>
        <w:rPr>
          <w:rFonts w:hint="eastAsia" w:ascii="宋体" w:hAnsi="宋体" w:eastAsia="宋体" w:cs="宋体"/>
          <w:color w:val="auto"/>
          <w:sz w:val="24"/>
          <w:szCs w:val="24"/>
          <w:highlight w:val="none"/>
          <w:lang w:val="en-US" w:eastAsia="zh-CN"/>
        </w:rPr>
        <w:t xml:space="preserve"> </w:t>
      </w:r>
    </w:p>
    <w:p w14:paraId="347A55F7">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）建设规模</w:t>
      </w:r>
      <w:r>
        <w:rPr>
          <w:rFonts w:hint="eastAsia" w:ascii="宋体" w:hAnsi="宋体" w:eastAsia="宋体" w:cs="宋体"/>
          <w:color w:val="auto"/>
          <w:sz w:val="24"/>
          <w:szCs w:val="24"/>
          <w:highlight w:val="none"/>
        </w:rPr>
        <w:t>：永兴村建设道路A长1924.97m、永兴村建设道路B长420.00m、永兴村建设道路C长306.57m、天门村牛塘坪建设道路长932.70m，道路结构层为10cm厚级配碎石基层+20cm厚C30水泥混凝土路面，DN600单孔钢筋混凝土圆管涵111.00m，钢筋混凝土盖板涵8.00m，混凝土排水沟780.00m，新建浆砌片石挡土墙等工程。</w:t>
      </w:r>
    </w:p>
    <w:p w14:paraId="4BDEF583">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FF0000"/>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施工</w:t>
      </w:r>
      <w:r>
        <w:rPr>
          <w:rFonts w:hint="eastAsia" w:ascii="宋体" w:hAnsi="宋体" w:eastAsia="宋体" w:cs="宋体"/>
          <w:color w:val="auto"/>
          <w:sz w:val="24"/>
          <w:szCs w:val="24"/>
          <w:highlight w:val="none"/>
        </w:rPr>
        <w:t>工期：</w:t>
      </w:r>
      <w:r>
        <w:rPr>
          <w:rFonts w:hint="eastAsia" w:ascii="宋体" w:hAnsi="宋体" w:cs="宋体"/>
          <w:color w:val="auto"/>
          <w:sz w:val="24"/>
          <w:szCs w:val="24"/>
          <w:highlight w:val="none"/>
          <w:lang w:val="en-US" w:eastAsia="zh-CN"/>
        </w:rPr>
        <w:t>180日历天</w:t>
      </w:r>
    </w:p>
    <w:p w14:paraId="18188AFB">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质量要求：</w:t>
      </w:r>
      <w:r>
        <w:rPr>
          <w:rFonts w:hint="eastAsia" w:ascii="宋体" w:hAnsi="宋体" w:cs="宋体"/>
          <w:color w:val="auto"/>
          <w:sz w:val="24"/>
          <w:szCs w:val="24"/>
          <w:highlight w:val="none"/>
          <w:lang w:eastAsia="zh-CN"/>
        </w:rPr>
        <w:t>达到国家施工验收规范合格标准</w:t>
      </w:r>
      <w:r>
        <w:rPr>
          <w:rFonts w:hint="eastAsia" w:ascii="宋体" w:hAnsi="宋体" w:eastAsia="宋体" w:cs="宋体"/>
          <w:color w:val="auto"/>
          <w:sz w:val="24"/>
          <w:szCs w:val="24"/>
          <w:highlight w:val="none"/>
          <w:lang w:eastAsia="zh-CN"/>
        </w:rPr>
        <w:t>。</w:t>
      </w:r>
    </w:p>
    <w:p w14:paraId="4802E068">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采购范围：施工图纸范围内的工程，具体情况详见施工图纸及工程量清单</w:t>
      </w:r>
      <w:r>
        <w:rPr>
          <w:rFonts w:hint="eastAsia" w:ascii="宋体" w:hAnsi="宋体" w:eastAsia="宋体" w:cs="宋体"/>
          <w:color w:val="auto"/>
          <w:sz w:val="24"/>
          <w:szCs w:val="24"/>
          <w:highlight w:val="none"/>
          <w:lang w:eastAsia="zh-CN"/>
        </w:rPr>
        <w:t>。</w:t>
      </w:r>
    </w:p>
    <w:p w14:paraId="368D1077">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标段划分：</w:t>
      </w:r>
      <w:r>
        <w:rPr>
          <w:rFonts w:hint="eastAsia" w:ascii="宋体" w:hAnsi="宋体" w:eastAsia="宋体" w:cs="宋体"/>
          <w:color w:val="auto"/>
          <w:sz w:val="24"/>
          <w:szCs w:val="24"/>
          <w:highlight w:val="none"/>
          <w:lang w:val="zh-CN"/>
        </w:rPr>
        <w:t>本工程划分为1个标段</w:t>
      </w:r>
      <w:r>
        <w:rPr>
          <w:rFonts w:hint="eastAsia" w:ascii="宋体" w:hAnsi="宋体" w:eastAsia="宋体" w:cs="宋体"/>
          <w:color w:val="auto"/>
          <w:sz w:val="24"/>
          <w:szCs w:val="24"/>
          <w:highlight w:val="none"/>
        </w:rPr>
        <w:t>。</w:t>
      </w:r>
    </w:p>
    <w:p w14:paraId="75A120FB">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最高限价（如有）：</w:t>
      </w:r>
      <w:r>
        <w:rPr>
          <w:rFonts w:hint="eastAsia" w:ascii="宋体" w:hAnsi="宋体" w:cs="宋体"/>
          <w:color w:val="auto"/>
          <w:sz w:val="24"/>
          <w:szCs w:val="24"/>
          <w:highlight w:val="none"/>
          <w:u w:val="none"/>
          <w:lang w:eastAsia="zh-CN"/>
        </w:rPr>
        <w:t>2954944.89</w:t>
      </w:r>
      <w:r>
        <w:rPr>
          <w:rFonts w:hint="eastAsia" w:ascii="宋体" w:hAnsi="宋体" w:eastAsia="宋体" w:cs="宋体"/>
          <w:color w:val="auto"/>
          <w:sz w:val="24"/>
          <w:szCs w:val="24"/>
          <w:highlight w:val="none"/>
          <w:lang w:val="en-US" w:eastAsia="zh-CN"/>
        </w:rPr>
        <w:t>元</w:t>
      </w:r>
    </w:p>
    <w:p w14:paraId="01C4D4C6">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本项目</w:t>
      </w:r>
      <w:r>
        <w:rPr>
          <w:rFonts w:hint="eastAsia" w:ascii="宋体" w:hAnsi="宋体" w:eastAsia="宋体" w:cs="宋体"/>
          <w:b w:val="0"/>
          <w:bCs w:val="0"/>
          <w:color w:val="auto"/>
          <w:sz w:val="24"/>
          <w:szCs w:val="24"/>
          <w:highlight w:val="none"/>
          <w:u w:val="single"/>
        </w:rPr>
        <w:t>不接受</w:t>
      </w:r>
      <w:r>
        <w:rPr>
          <w:rFonts w:hint="eastAsia" w:ascii="宋体" w:hAnsi="宋体" w:eastAsia="宋体" w:cs="宋体"/>
          <w:b w:val="0"/>
          <w:bCs w:val="0"/>
          <w:color w:val="auto"/>
          <w:sz w:val="24"/>
          <w:szCs w:val="24"/>
          <w:highlight w:val="none"/>
        </w:rPr>
        <w:t>联合体参与磋商。</w:t>
      </w:r>
    </w:p>
    <w:p w14:paraId="16F5A76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备注：本项目为线上电子标项目，有意向参与本项目的供应商应当做好参与全流程电子标交易的充分准备。</w:t>
      </w:r>
    </w:p>
    <w:p w14:paraId="488B987F">
      <w:pPr>
        <w:keepNext w:val="0"/>
        <w:keepLines w:val="0"/>
        <w:pageBreakBefore w:val="0"/>
        <w:widowControl w:val="0"/>
        <w:kinsoku/>
        <w:wordWrap w:val="0"/>
        <w:overflowPunct/>
        <w:topLinePunct w:val="0"/>
        <w:autoSpaceDE/>
        <w:autoSpaceDN/>
        <w:bidi w:val="0"/>
        <w:adjustRightInd/>
        <w:snapToGrid/>
        <w:spacing w:line="440" w:lineRule="exact"/>
        <w:jc w:val="both"/>
        <w:textAlignment w:val="auto"/>
        <w:outlineLvl w:val="1"/>
        <w:rPr>
          <w:rFonts w:hint="eastAsia" w:ascii="宋体" w:hAnsi="宋体" w:eastAsia="宋体" w:cs="宋体"/>
          <w:b/>
          <w:bCs/>
          <w:color w:val="auto"/>
          <w:sz w:val="24"/>
          <w:szCs w:val="24"/>
          <w:highlight w:val="none"/>
        </w:rPr>
      </w:pPr>
      <w:bookmarkStart w:id="15" w:name="_Toc35393630"/>
      <w:bookmarkStart w:id="16" w:name="_Toc4719"/>
      <w:bookmarkStart w:id="17" w:name="_Toc35393799"/>
      <w:bookmarkStart w:id="18" w:name="_Toc28359013"/>
      <w:bookmarkStart w:id="19" w:name="_Toc21853"/>
      <w:bookmarkStart w:id="20" w:name="_Toc13592"/>
      <w:bookmarkStart w:id="21" w:name="_Toc28359090"/>
      <w:bookmarkStart w:id="22" w:name="_Toc4261"/>
      <w:r>
        <w:rPr>
          <w:rFonts w:hint="eastAsia" w:ascii="宋体" w:hAnsi="宋体" w:eastAsia="宋体" w:cs="宋体"/>
          <w:b/>
          <w:bCs/>
          <w:color w:val="auto"/>
          <w:sz w:val="24"/>
          <w:szCs w:val="24"/>
          <w:highlight w:val="none"/>
        </w:rPr>
        <w:t>二、申请人的资格要求</w:t>
      </w:r>
      <w:bookmarkEnd w:id="15"/>
      <w:bookmarkEnd w:id="16"/>
      <w:bookmarkEnd w:id="17"/>
      <w:bookmarkEnd w:id="18"/>
      <w:bookmarkEnd w:id="19"/>
      <w:bookmarkEnd w:id="20"/>
      <w:bookmarkEnd w:id="21"/>
      <w:bookmarkEnd w:id="22"/>
    </w:p>
    <w:p w14:paraId="06895AF1">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满足《中华人民共和国政府采购法》第二十二条规定；</w:t>
      </w:r>
    </w:p>
    <w:p w14:paraId="1E3DA100">
      <w:pPr>
        <w:spacing w:line="400" w:lineRule="exact"/>
        <w:ind w:firstLine="482" w:firstLineChars="200"/>
        <w:rPr>
          <w:rFonts w:hint="eastAsia" w:ascii="宋体" w:hAnsi="宋体" w:eastAsia="宋体" w:cs="宋体"/>
          <w:b w:val="0"/>
          <w:bCs w:val="0"/>
          <w:color w:val="auto"/>
          <w:sz w:val="24"/>
          <w:szCs w:val="24"/>
          <w:highlight w:val="none"/>
        </w:rPr>
      </w:pPr>
      <w:bookmarkStart w:id="23" w:name="_Toc28359014"/>
      <w:bookmarkStart w:id="24" w:name="_Toc28359091"/>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落实政府采购政策需满足的资格要求：</w:t>
      </w:r>
      <w:r>
        <w:rPr>
          <w:rFonts w:hint="eastAsia" w:ascii="宋体" w:hAnsi="宋体" w:eastAsia="宋体" w:cs="宋体"/>
          <w:b w:val="0"/>
          <w:bCs w:val="0"/>
          <w:color w:val="auto"/>
          <w:sz w:val="24"/>
          <w:szCs w:val="24"/>
          <w:highlight w:val="none"/>
        </w:rPr>
        <w:t>本项目为专门面向中小企业采购的项目（供应商应为中小企业、监狱企业、残疾人福利性单位)；</w:t>
      </w:r>
    </w:p>
    <w:p w14:paraId="702DE3FF">
      <w:pPr>
        <w:spacing w:line="40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本项目的特定资格要求：</w:t>
      </w:r>
      <w:bookmarkStart w:id="25" w:name="_Toc35393631"/>
      <w:bookmarkStart w:id="26" w:name="_Toc35393800"/>
    </w:p>
    <w:bookmarkEnd w:id="23"/>
    <w:bookmarkEnd w:id="24"/>
    <w:bookmarkEnd w:id="25"/>
    <w:bookmarkEnd w:id="26"/>
    <w:p w14:paraId="09A85CD3">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bCs/>
          <w:color w:val="auto"/>
          <w:sz w:val="24"/>
          <w:szCs w:val="24"/>
          <w:highlight w:val="none"/>
          <w:u w:val="none"/>
          <w:lang w:val="en-US" w:eastAsia="zh-CN"/>
        </w:rPr>
      </w:pPr>
      <w:bookmarkStart w:id="27" w:name="_Toc35393792"/>
      <w:bookmarkStart w:id="28" w:name="_Toc30267"/>
      <w:bookmarkStart w:id="29" w:name="_Toc35393623"/>
      <w:bookmarkStart w:id="30" w:name="_Toc30519"/>
      <w:bookmarkStart w:id="31" w:name="_Toc17532"/>
      <w:bookmarkStart w:id="32" w:name="_Toc25397"/>
      <w:bookmarkStart w:id="33" w:name="_Toc28359018"/>
      <w:bookmarkStart w:id="34" w:name="_Toc28359095"/>
      <w:bookmarkStart w:id="35" w:name="_Toc35393805"/>
      <w:bookmarkStart w:id="36" w:name="_Toc35393636"/>
      <w:r>
        <w:rPr>
          <w:rFonts w:hint="eastAsia" w:ascii="宋体" w:hAnsi="宋体" w:eastAsia="宋体" w:cs="宋体"/>
          <w:bCs/>
          <w:color w:val="auto"/>
          <w:sz w:val="24"/>
          <w:szCs w:val="24"/>
          <w:highlight w:val="none"/>
          <w:u w:val="none"/>
          <w:lang w:val="en-US" w:eastAsia="zh-CN"/>
        </w:rPr>
        <w:t>具备市政公用工程施工总承包或公路工程施工总承包的三级（含三级）及以上资质，并在人员、设备、资金等方面具备相应的施工能力；具备有效的安全生产许可证；同时项目经理须具备市政公用工程专业或公路工程专业的贰级（含贰级）及以上注册建造师资格，具有安全生产考核B证。</w:t>
      </w:r>
    </w:p>
    <w:p w14:paraId="218003EA">
      <w:pPr>
        <w:keepNext w:val="0"/>
        <w:keepLines w:val="0"/>
        <w:pageBreakBefore w:val="0"/>
        <w:widowControl w:val="0"/>
        <w:kinsoku/>
        <w:wordWrap w:val="0"/>
        <w:overflowPunct/>
        <w:topLinePunct w:val="0"/>
        <w:autoSpaceDE/>
        <w:autoSpaceDN/>
        <w:bidi w:val="0"/>
        <w:adjustRightInd/>
        <w:snapToGrid/>
        <w:spacing w:line="440" w:lineRule="exact"/>
        <w:jc w:val="both"/>
        <w:textAlignment w:val="auto"/>
        <w:outlineLvl w:val="1"/>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三、获取</w:t>
      </w:r>
      <w:r>
        <w:rPr>
          <w:rFonts w:hint="eastAsia" w:ascii="宋体" w:hAnsi="宋体" w:eastAsia="宋体" w:cs="宋体"/>
          <w:b/>
          <w:bCs/>
          <w:color w:val="auto"/>
          <w:sz w:val="24"/>
          <w:szCs w:val="24"/>
          <w:highlight w:val="none"/>
          <w:lang w:eastAsia="zh-CN"/>
        </w:rPr>
        <w:t>采购</w:t>
      </w:r>
      <w:r>
        <w:rPr>
          <w:rFonts w:hint="eastAsia" w:ascii="宋体" w:hAnsi="宋体" w:eastAsia="宋体" w:cs="宋体"/>
          <w:b/>
          <w:bCs/>
          <w:color w:val="auto"/>
          <w:sz w:val="24"/>
          <w:szCs w:val="24"/>
          <w:highlight w:val="none"/>
        </w:rPr>
        <w:t>文件</w:t>
      </w:r>
      <w:bookmarkEnd w:id="27"/>
      <w:bookmarkEnd w:id="28"/>
      <w:bookmarkEnd w:id="29"/>
      <w:bookmarkEnd w:id="30"/>
      <w:bookmarkEnd w:id="31"/>
      <w:bookmarkEnd w:id="32"/>
    </w:p>
    <w:p w14:paraId="39BD1A96">
      <w:pPr>
        <w:keepNext w:val="0"/>
        <w:keepLines w:val="0"/>
        <w:pageBreakBefore w:val="0"/>
        <w:widowControl w:val="0"/>
        <w:kinsoku/>
        <w:wordWrap w:val="0"/>
        <w:overflowPunct/>
        <w:topLinePunct w:val="0"/>
        <w:autoSpaceDE/>
        <w:autoSpaceDN/>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cs="宋体"/>
          <w:color w:val="auto"/>
          <w:sz w:val="24"/>
          <w:szCs w:val="24"/>
          <w:highlight w:val="none"/>
          <w:u w:val="none"/>
          <w:lang w:val="en-US" w:eastAsia="zh-CN"/>
        </w:rPr>
        <w:t xml:space="preserve">2026年8月20日 </w:t>
      </w:r>
      <w:r>
        <w:rPr>
          <w:rFonts w:hint="eastAsia" w:ascii="宋体" w:hAnsi="宋体" w:eastAsia="宋体" w:cs="宋体"/>
          <w:color w:val="auto"/>
          <w:sz w:val="24"/>
          <w:szCs w:val="24"/>
          <w:highlight w:val="none"/>
        </w:rPr>
        <w:t>至</w:t>
      </w:r>
      <w:r>
        <w:rPr>
          <w:rFonts w:hint="eastAsia" w:ascii="宋体" w:hAnsi="宋体" w:cs="宋体"/>
          <w:color w:val="auto"/>
          <w:sz w:val="24"/>
          <w:szCs w:val="24"/>
          <w:highlight w:val="none"/>
          <w:u w:val="none"/>
          <w:lang w:val="en-US" w:eastAsia="zh-CN"/>
        </w:rPr>
        <w:t>2026年8月30日</w:t>
      </w:r>
      <w:r>
        <w:rPr>
          <w:rFonts w:hint="eastAsia" w:ascii="宋体" w:hAnsi="宋体" w:eastAsia="宋体" w:cs="宋体"/>
          <w:color w:val="auto"/>
          <w:sz w:val="24"/>
          <w:szCs w:val="24"/>
          <w:highlight w:val="none"/>
        </w:rPr>
        <w:t>，每天上午00:00至12:00，下午12:00至23:59（北京时间，法定节假日除外）</w:t>
      </w:r>
    </w:p>
    <w:p w14:paraId="12E9EEA6">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地点（网址）：</w:t>
      </w:r>
      <w:r>
        <w:rPr>
          <w:rFonts w:hint="eastAsia" w:ascii="宋体" w:hAnsi="宋体" w:cs="宋体"/>
          <w:bCs/>
          <w:color w:val="auto"/>
          <w:sz w:val="24"/>
          <w:szCs w:val="24"/>
          <w:highlight w:val="none"/>
          <w:lang w:eastAsia="zh-CN"/>
        </w:rPr>
        <w:t>广西政府采购云平台（https://www.gcy.zfcg.gxzf.gov.cn/）</w:t>
      </w:r>
    </w:p>
    <w:p w14:paraId="00DCB8E6">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方式：供应商登录</w:t>
      </w:r>
      <w:r>
        <w:rPr>
          <w:rFonts w:hint="eastAsia" w:ascii="宋体" w:hAnsi="宋体" w:cs="宋体"/>
          <w:bCs/>
          <w:color w:val="auto"/>
          <w:sz w:val="24"/>
          <w:szCs w:val="24"/>
          <w:highlight w:val="none"/>
          <w:lang w:eastAsia="zh-CN"/>
        </w:rPr>
        <w:t>广西政府采购云平台（https://www.gcy.zfcg.gxzf.gov.cn/）</w:t>
      </w:r>
      <w:r>
        <w:rPr>
          <w:rFonts w:hint="eastAsia" w:ascii="宋体" w:hAnsi="宋体" w:eastAsia="宋体" w:cs="宋体"/>
          <w:color w:val="auto"/>
          <w:sz w:val="24"/>
          <w:szCs w:val="24"/>
          <w:highlight w:val="none"/>
        </w:rPr>
        <w:t>在线申请获取采购文件（进入“项目采购”应用，在获取采购文件菜单中选择项目，申请获取采购文件）</w:t>
      </w:r>
    </w:p>
    <w:p w14:paraId="0CDB476F">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售价(元)：0</w:t>
      </w:r>
    </w:p>
    <w:p w14:paraId="5DE23955">
      <w:pPr>
        <w:keepNext w:val="0"/>
        <w:keepLines w:val="0"/>
        <w:pageBreakBefore w:val="0"/>
        <w:widowControl w:val="0"/>
        <w:kinsoku/>
        <w:wordWrap w:val="0"/>
        <w:overflowPunct/>
        <w:topLinePunct w:val="0"/>
        <w:bidi w:val="0"/>
        <w:snapToGrid/>
        <w:spacing w:line="440" w:lineRule="exact"/>
        <w:jc w:val="both"/>
        <w:textAlignment w:val="auto"/>
        <w:rPr>
          <w:rFonts w:hint="eastAsia" w:ascii="宋体" w:hAnsi="宋体" w:eastAsia="宋体" w:cs="宋体"/>
          <w:b/>
          <w:color w:val="auto"/>
          <w:sz w:val="24"/>
          <w:szCs w:val="24"/>
          <w:highlight w:val="none"/>
        </w:rPr>
      </w:pPr>
      <w:bookmarkStart w:id="37" w:name="_Toc2690"/>
      <w:bookmarkStart w:id="38" w:name="_Toc15803"/>
      <w:bookmarkStart w:id="39" w:name="_Toc23691"/>
      <w:bookmarkStart w:id="40" w:name="_Toc1323"/>
      <w:bookmarkStart w:id="41" w:name="_Toc35393626"/>
      <w:bookmarkStart w:id="42" w:name="_Toc35393795"/>
      <w:r>
        <w:rPr>
          <w:rFonts w:hint="eastAsia" w:ascii="宋体" w:hAnsi="宋体" w:eastAsia="宋体" w:cs="宋体"/>
          <w:b/>
          <w:color w:val="auto"/>
          <w:sz w:val="24"/>
          <w:szCs w:val="24"/>
          <w:highlight w:val="none"/>
        </w:rPr>
        <w:t>四、响应文件提交</w:t>
      </w:r>
    </w:p>
    <w:p w14:paraId="476516F2">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截止时间：</w:t>
      </w:r>
      <w:r>
        <w:rPr>
          <w:rFonts w:hint="eastAsia" w:ascii="宋体" w:hAnsi="宋体" w:cs="宋体"/>
          <w:color w:val="auto"/>
          <w:sz w:val="24"/>
          <w:szCs w:val="24"/>
          <w:highlight w:val="none"/>
          <w:lang w:val="en-US" w:eastAsia="zh-CN"/>
        </w:rPr>
        <w:t>2026年</w:t>
      </w:r>
      <w:r>
        <w:rPr>
          <w:rFonts w:hint="eastAsia" w:ascii="宋体" w:hAnsi="宋体" w:cs="宋体"/>
          <w:color w:val="auto"/>
          <w:sz w:val="24"/>
          <w:szCs w:val="24"/>
          <w:highlight w:val="none"/>
          <w:u w:val="none"/>
          <w:lang w:val="en-US" w:eastAsia="zh-CN"/>
        </w:rPr>
        <w:t xml:space="preserve">8月31日 </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lang w:eastAsia="zh-CN"/>
        </w:rPr>
        <w:t>时30分</w:t>
      </w:r>
      <w:r>
        <w:rPr>
          <w:rFonts w:hint="eastAsia" w:ascii="宋体" w:hAnsi="宋体" w:eastAsia="宋体" w:cs="宋体"/>
          <w:color w:val="auto"/>
          <w:sz w:val="24"/>
          <w:szCs w:val="24"/>
          <w:highlight w:val="none"/>
        </w:rPr>
        <w:t>（北京时间）</w:t>
      </w:r>
    </w:p>
    <w:p w14:paraId="786B5150">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地点（网址）：登录</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在线提交。</w:t>
      </w:r>
    </w:p>
    <w:p w14:paraId="28D59576">
      <w:pPr>
        <w:keepNext w:val="0"/>
        <w:keepLines w:val="0"/>
        <w:pageBreakBefore w:val="0"/>
        <w:widowControl w:val="0"/>
        <w:kinsoku/>
        <w:wordWrap w:val="0"/>
        <w:overflowPunct/>
        <w:topLinePunct w:val="0"/>
        <w:bidi w:val="0"/>
        <w:snapToGrid/>
        <w:spacing w:line="440" w:lineRule="exact"/>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五、响应文件开启</w:t>
      </w:r>
    </w:p>
    <w:p w14:paraId="4E12941B">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开启时间：</w:t>
      </w:r>
      <w:r>
        <w:rPr>
          <w:rFonts w:hint="eastAsia" w:ascii="宋体" w:hAnsi="宋体" w:cs="宋体"/>
          <w:color w:val="auto"/>
          <w:sz w:val="24"/>
          <w:szCs w:val="24"/>
          <w:highlight w:val="none"/>
          <w:lang w:val="en-US" w:eastAsia="zh-CN"/>
        </w:rPr>
        <w:t>2026年</w:t>
      </w:r>
      <w:r>
        <w:rPr>
          <w:rFonts w:hint="eastAsia" w:ascii="宋体" w:hAnsi="宋体" w:cs="宋体"/>
          <w:color w:val="auto"/>
          <w:sz w:val="24"/>
          <w:szCs w:val="24"/>
          <w:highlight w:val="none"/>
          <w:u w:val="none"/>
          <w:lang w:val="en-US" w:eastAsia="zh-CN"/>
        </w:rPr>
        <w:t xml:space="preserve">8月31日 </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点30分（北京时间）截标后</w:t>
      </w:r>
      <w:r>
        <w:rPr>
          <w:rFonts w:hint="eastAsia" w:ascii="宋体" w:hAnsi="宋体" w:eastAsia="宋体" w:cs="宋体"/>
          <w:bCs/>
          <w:color w:val="auto"/>
          <w:sz w:val="24"/>
          <w:szCs w:val="24"/>
          <w:highlight w:val="none"/>
        </w:rPr>
        <w:t>。</w:t>
      </w:r>
    </w:p>
    <w:p w14:paraId="4C5AFA00">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地点：通过</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在线解密开启。</w:t>
      </w:r>
    </w:p>
    <w:p w14:paraId="1C8A3745">
      <w:pPr>
        <w:keepNext w:val="0"/>
        <w:keepLines w:val="0"/>
        <w:pageBreakBefore w:val="0"/>
        <w:widowControl w:val="0"/>
        <w:kinsoku/>
        <w:wordWrap w:val="0"/>
        <w:overflowPunct/>
        <w:topLinePunct w:val="0"/>
        <w:bidi w:val="0"/>
        <w:snapToGrid/>
        <w:spacing w:line="440" w:lineRule="exact"/>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六、公告期限</w:t>
      </w:r>
    </w:p>
    <w:p w14:paraId="309B76E9">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自本公告发布之日起</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个工作日。</w:t>
      </w:r>
    </w:p>
    <w:p w14:paraId="6C38616F">
      <w:pPr>
        <w:keepNext w:val="0"/>
        <w:keepLines w:val="0"/>
        <w:pageBreakBefore w:val="0"/>
        <w:widowControl w:val="0"/>
        <w:kinsoku/>
        <w:wordWrap w:val="0"/>
        <w:overflowPunct/>
        <w:topLinePunct w:val="0"/>
        <w:autoSpaceDE/>
        <w:autoSpaceDN/>
        <w:bidi w:val="0"/>
        <w:adjustRightInd/>
        <w:snapToGrid/>
        <w:spacing w:line="440" w:lineRule="exact"/>
        <w:jc w:val="both"/>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七</w:t>
      </w:r>
      <w:r>
        <w:rPr>
          <w:rFonts w:hint="eastAsia" w:ascii="宋体" w:hAnsi="宋体" w:eastAsia="宋体" w:cs="宋体"/>
          <w:b/>
          <w:bCs/>
          <w:color w:val="auto"/>
          <w:sz w:val="24"/>
          <w:szCs w:val="24"/>
          <w:highlight w:val="none"/>
        </w:rPr>
        <w:t>、其他补充事宜</w:t>
      </w:r>
      <w:bookmarkEnd w:id="37"/>
      <w:bookmarkEnd w:id="38"/>
      <w:bookmarkEnd w:id="39"/>
      <w:bookmarkEnd w:id="40"/>
      <w:bookmarkEnd w:id="41"/>
      <w:bookmarkEnd w:id="42"/>
    </w:p>
    <w:p w14:paraId="31A9133A">
      <w:pPr>
        <w:keepNext w:val="0"/>
        <w:keepLines w:val="0"/>
        <w:pageBreakBefore w:val="0"/>
        <w:widowControl w:val="0"/>
        <w:kinsoku/>
        <w:wordWrap w:val="0"/>
        <w:overflowPunct/>
        <w:topLinePunct w:val="0"/>
        <w:bidi w:val="0"/>
        <w:snapToGrid/>
        <w:spacing w:line="440" w:lineRule="exact"/>
        <w:ind w:firstLine="482" w:firstLineChars="200"/>
        <w:jc w:val="both"/>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1.</w:t>
      </w:r>
      <w:r>
        <w:rPr>
          <w:rFonts w:hint="eastAsia" w:ascii="宋体" w:hAnsi="宋体" w:eastAsia="宋体" w:cs="宋体"/>
          <w:b/>
          <w:bCs w:val="0"/>
          <w:color w:val="auto"/>
          <w:sz w:val="24"/>
          <w:szCs w:val="24"/>
          <w:highlight w:val="none"/>
        </w:rPr>
        <w:t>资格条件特别说明：</w:t>
      </w:r>
    </w:p>
    <w:p w14:paraId="543A07EA">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6EC68490">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E963531">
      <w:pPr>
        <w:keepNext w:val="0"/>
        <w:keepLines w:val="0"/>
        <w:pageBreakBefore w:val="0"/>
        <w:widowControl w:val="0"/>
        <w:kinsoku/>
        <w:wordWrap w:val="0"/>
        <w:overflowPunct/>
        <w:topLinePunct w:val="0"/>
        <w:bidi w:val="0"/>
        <w:snapToGrid/>
        <w:spacing w:line="440" w:lineRule="exact"/>
        <w:ind w:firstLine="482" w:firstLineChars="200"/>
        <w:jc w:val="both"/>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2.本项目需要落实的政府采购政策：</w:t>
      </w:r>
    </w:p>
    <w:p w14:paraId="3BC2291A">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（1）《政府采购促进中小企业发展管理办法》（财库〔2020〕46号）。</w:t>
      </w:r>
    </w:p>
    <w:p w14:paraId="2A4B75E0">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（2）《关于进一步加大政府采购支持中小企业力度的通知》（财库〔2022〕19号）。</w:t>
      </w:r>
    </w:p>
    <w:p w14:paraId="69A57F77">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（3）《关于政府采购支持监狱企业发展有关问题的通知》（财库〔2014〕68号）。</w:t>
      </w:r>
    </w:p>
    <w:p w14:paraId="1C0A001B">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（4）《关于促进残疾人就业政府采购政策的通知》（财库〔2017〕141号）。</w:t>
      </w:r>
    </w:p>
    <w:p w14:paraId="0A2740E8">
      <w:pPr>
        <w:keepNext w:val="0"/>
        <w:keepLines w:val="0"/>
        <w:pageBreakBefore w:val="0"/>
        <w:widowControl w:val="0"/>
        <w:tabs>
          <w:tab w:val="left" w:pos="1553"/>
        </w:tabs>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）本项目专门面向中小企业采购。</w:t>
      </w:r>
    </w:p>
    <w:p w14:paraId="7D91D4FC">
      <w:pPr>
        <w:keepNext w:val="0"/>
        <w:keepLines w:val="0"/>
        <w:pageBreakBefore w:val="0"/>
        <w:widowControl w:val="0"/>
        <w:tabs>
          <w:tab w:val="left" w:pos="1553"/>
        </w:tabs>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）中小企业划分标准所属行业：“</w:t>
      </w:r>
      <w:r>
        <w:rPr>
          <w:rFonts w:hint="eastAsia" w:ascii="宋体" w:hAnsi="宋体" w:eastAsia="宋体" w:cs="宋体"/>
          <w:color w:val="auto"/>
          <w:sz w:val="24"/>
          <w:szCs w:val="24"/>
          <w:highlight w:val="none"/>
          <w:lang w:val="en-US" w:eastAsia="zh-CN"/>
        </w:rPr>
        <w:t>建筑业</w:t>
      </w:r>
      <w:r>
        <w:rPr>
          <w:rFonts w:hint="eastAsia" w:ascii="宋体" w:hAnsi="宋体" w:eastAsia="宋体" w:cs="宋体"/>
          <w:color w:val="auto"/>
          <w:sz w:val="24"/>
          <w:szCs w:val="24"/>
          <w:highlight w:val="none"/>
        </w:rPr>
        <w:t>”。</w:t>
      </w:r>
    </w:p>
    <w:p w14:paraId="550A9531">
      <w:pPr>
        <w:keepNext w:val="0"/>
        <w:keepLines w:val="0"/>
        <w:pageBreakBefore w:val="0"/>
        <w:widowControl w:val="0"/>
        <w:kinsoku/>
        <w:wordWrap w:val="0"/>
        <w:overflowPunct/>
        <w:topLinePunct w:val="0"/>
        <w:bidi w:val="0"/>
        <w:snapToGrid/>
        <w:spacing w:line="440" w:lineRule="exact"/>
        <w:ind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val="0"/>
          <w:color w:val="auto"/>
          <w:sz w:val="24"/>
          <w:szCs w:val="24"/>
          <w:highlight w:val="none"/>
        </w:rPr>
        <w:t>3.信息公告发布媒体：</w:t>
      </w:r>
      <w:r>
        <w:rPr>
          <w:rFonts w:hint="eastAsia" w:ascii="宋体" w:hAnsi="宋体" w:eastAsia="宋体" w:cs="宋体"/>
          <w:color w:val="auto"/>
          <w:sz w:val="24"/>
          <w:szCs w:val="24"/>
          <w:highlight w:val="none"/>
        </w:rPr>
        <w:t>中国政府采购网（www.ccgp.gov.cn）、广西壮族自治区政府采购网（www.ccgp-guangxi.gov.cn）、桂林市政府采购网（zfcg.czj.guilin.gov.cn）。</w:t>
      </w:r>
    </w:p>
    <w:p w14:paraId="3F395D28">
      <w:pPr>
        <w:keepNext w:val="0"/>
        <w:keepLines w:val="0"/>
        <w:pageBreakBefore w:val="0"/>
        <w:widowControl w:val="0"/>
        <w:kinsoku/>
        <w:wordWrap w:val="0"/>
        <w:overflowPunct/>
        <w:topLinePunct w:val="0"/>
        <w:bidi w:val="0"/>
        <w:snapToGrid/>
        <w:spacing w:line="440" w:lineRule="exact"/>
        <w:ind w:firstLine="482" w:firstLineChars="20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.在线投标响应（电子投标）说明</w:t>
      </w:r>
    </w:p>
    <w:p w14:paraId="24068817">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（1）本项目通过</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实行在线投标响应（电子投标），供应商需要先安装</w:t>
      </w:r>
      <w:r>
        <w:rPr>
          <w:rFonts w:hint="eastAsia" w:ascii="宋体" w:hAnsi="宋体" w:cs="宋体"/>
          <w:color w:val="auto"/>
          <w:sz w:val="24"/>
          <w:szCs w:val="24"/>
          <w:highlight w:val="none"/>
          <w:lang w:eastAsia="zh-CN"/>
        </w:rPr>
        <w:t>广西政府采购云平台新版客户端</w:t>
      </w:r>
      <w:r>
        <w:rPr>
          <w:rFonts w:hint="eastAsia" w:ascii="宋体" w:hAnsi="宋体" w:eastAsia="宋体" w:cs="宋体"/>
          <w:color w:val="auto"/>
          <w:sz w:val="24"/>
          <w:szCs w:val="24"/>
          <w:highlight w:val="none"/>
        </w:rPr>
        <w:t>，并按照本竞争性</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文件和</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的要求，通过</w:t>
      </w:r>
      <w:r>
        <w:rPr>
          <w:rFonts w:hint="eastAsia" w:ascii="宋体" w:hAnsi="宋体" w:cs="宋体"/>
          <w:color w:val="auto"/>
          <w:sz w:val="24"/>
          <w:szCs w:val="24"/>
          <w:highlight w:val="none"/>
          <w:lang w:eastAsia="zh-CN"/>
        </w:rPr>
        <w:t>广西政府采购云平台新版客户端</w:t>
      </w:r>
      <w:r>
        <w:rPr>
          <w:rFonts w:hint="eastAsia" w:ascii="宋体" w:hAnsi="宋体" w:eastAsia="宋体" w:cs="宋体"/>
          <w:color w:val="auto"/>
          <w:sz w:val="24"/>
          <w:szCs w:val="24"/>
          <w:highlight w:val="none"/>
        </w:rPr>
        <w:t>编制并加密电子响应文件。供应商未按规定编制并加密的电子响应文件，</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将予以拒收。</w:t>
      </w:r>
      <w:r>
        <w:rPr>
          <w:rFonts w:hint="eastAsia" w:ascii="宋体" w:hAnsi="宋体" w:cs="宋体"/>
          <w:color w:val="auto"/>
          <w:sz w:val="24"/>
          <w:szCs w:val="24"/>
          <w:highlight w:val="none"/>
          <w:lang w:eastAsia="zh-CN"/>
        </w:rPr>
        <w:t>广西政府采购云平台新版客户端（新版客户端请自行前往广西政府采购云平台或广西政府采购网依次进入“办事服务—下载专区”）下载</w:t>
      </w:r>
      <w:r>
        <w:rPr>
          <w:rFonts w:hint="eastAsia" w:ascii="宋体" w:hAnsi="宋体" w:eastAsia="宋体" w:cs="宋体"/>
          <w:color w:val="auto"/>
          <w:sz w:val="24"/>
          <w:szCs w:val="24"/>
          <w:highlight w:val="none"/>
        </w:rPr>
        <w:t>并安装；电子投标具体操作流程参考《政府采购项目电子交易管理操作指南-供应商》；</w:t>
      </w:r>
    </w:p>
    <w:p w14:paraId="2E886D3C">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（2）投标人应当在提交投标文件截止时间前完成广西政府采购云平台注册，并完成 CA 数字证书申领。未进行网上注册并办理数字证书（CA认证）的投标人将无法参与本项目政府采购活动，投标人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广西政府采购云平台客服热线：</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95763）。完成CA数字证书办理预计一周左右，投标人只需办理其中一家CA数字证书及签章，建议各投标人抓紧时间办理。为确保网上操作合法、有效和安全，请投标人确保在电子投标过程中能够对相关数据电文进行加密和使用电子签章，妥善保管CA数字证书并使用有效的CA数字证书参与整个采购活动。</w:t>
      </w:r>
    </w:p>
    <w:p w14:paraId="7411B016">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（3）供应商应当在响应文件递交截止时间前，将生成的“电子响应文件”上传递交至</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。响应文件递交截止时间前可以撤回电子响应文件。补充或者修改电子响应文件的，应当先行撤回原文件，补充、修改后重新传输递交，响应文件递交截止时间前未完成传输的，视为撤回电子响应文件。</w:t>
      </w:r>
    </w:p>
    <w:p w14:paraId="768A7030">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bCs/>
          <w:color w:val="auto"/>
          <w:sz w:val="24"/>
          <w:szCs w:val="24"/>
          <w:highlight w:val="none"/>
        </w:rPr>
        <w:t>本项目需要供应商代表在截标当天截标后，按</w:t>
      </w:r>
      <w:r>
        <w:rPr>
          <w:rFonts w:hint="eastAsia" w:ascii="宋体" w:hAnsi="宋体" w:eastAsia="宋体" w:cs="宋体"/>
          <w:color w:val="auto"/>
          <w:sz w:val="24"/>
          <w:szCs w:val="24"/>
          <w:highlight w:val="none"/>
          <w:lang w:eastAsia="zh-CN"/>
        </w:rPr>
        <w:t>磋商</w:t>
      </w:r>
      <w:r>
        <w:rPr>
          <w:rFonts w:hint="eastAsia" w:ascii="宋体" w:hAnsi="宋体" w:eastAsia="宋体" w:cs="宋体"/>
          <w:bCs/>
          <w:color w:val="auto"/>
          <w:sz w:val="24"/>
          <w:szCs w:val="24"/>
          <w:highlight w:val="none"/>
        </w:rPr>
        <w:t>小组要求及时登陆</w:t>
      </w:r>
      <w:r>
        <w:rPr>
          <w:rFonts w:hint="eastAsia" w:ascii="宋体" w:hAnsi="宋体" w:cs="宋体"/>
          <w:bCs/>
          <w:color w:val="auto"/>
          <w:sz w:val="24"/>
          <w:szCs w:val="24"/>
          <w:highlight w:val="none"/>
          <w:lang w:eastAsia="zh-CN"/>
        </w:rPr>
        <w:t>广西政府采购云平台</w:t>
      </w:r>
      <w:r>
        <w:rPr>
          <w:rFonts w:hint="eastAsia" w:ascii="宋体" w:hAnsi="宋体" w:eastAsia="宋体" w:cs="宋体"/>
          <w:bCs/>
          <w:color w:val="auto"/>
          <w:sz w:val="24"/>
          <w:szCs w:val="24"/>
          <w:highlight w:val="none"/>
        </w:rPr>
        <w:t>等候在线</w:t>
      </w:r>
      <w:r>
        <w:rPr>
          <w:rFonts w:hint="eastAsia" w:ascii="宋体" w:hAnsi="宋体" w:eastAsia="宋体" w:cs="宋体"/>
          <w:color w:val="auto"/>
          <w:sz w:val="24"/>
          <w:szCs w:val="24"/>
          <w:highlight w:val="none"/>
          <w:lang w:eastAsia="zh-CN"/>
        </w:rPr>
        <w:t>磋商</w:t>
      </w:r>
      <w:r>
        <w:rPr>
          <w:rFonts w:hint="eastAsia" w:ascii="宋体" w:hAnsi="宋体" w:eastAsia="宋体" w:cs="宋体"/>
          <w:bCs/>
          <w:color w:val="auto"/>
          <w:sz w:val="24"/>
          <w:szCs w:val="24"/>
          <w:highlight w:val="none"/>
        </w:rPr>
        <w:t>及提交最后报价。</w:t>
      </w:r>
    </w:p>
    <w:p w14:paraId="45B908B0">
      <w:pPr>
        <w:keepNext w:val="0"/>
        <w:keepLines w:val="0"/>
        <w:pageBreakBefore w:val="0"/>
        <w:widowControl w:val="0"/>
        <w:kinsoku/>
        <w:wordWrap w:val="0"/>
        <w:overflowPunct/>
        <w:topLinePunct w:val="0"/>
        <w:autoSpaceDE w:val="0"/>
        <w:autoSpaceDN w:val="0"/>
        <w:bidi w:val="0"/>
        <w:adjustRightInd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）本采购项目为政采云全流程电子化操作，参与</w:t>
      </w:r>
      <w:r>
        <w:rPr>
          <w:rFonts w:hint="eastAsia" w:ascii="宋体" w:hAnsi="宋体" w:eastAsia="宋体" w:cs="宋体"/>
          <w:color w:val="auto"/>
          <w:sz w:val="24"/>
          <w:szCs w:val="24"/>
          <w:highlight w:val="none"/>
          <w:lang w:eastAsia="zh-CN"/>
        </w:rPr>
        <w:t>磋商</w:t>
      </w:r>
      <w:r>
        <w:rPr>
          <w:rFonts w:hint="eastAsia" w:ascii="宋体" w:hAnsi="宋体" w:eastAsia="宋体" w:cs="宋体"/>
          <w:bCs/>
          <w:color w:val="auto"/>
          <w:sz w:val="24"/>
          <w:szCs w:val="24"/>
          <w:highlight w:val="none"/>
        </w:rPr>
        <w:t>的供应商需自备计算机和网络设备（设备需可视频通话和读取政采云CA数字证书），确保</w:t>
      </w:r>
      <w:r>
        <w:rPr>
          <w:rFonts w:hint="eastAsia" w:ascii="宋体" w:hAnsi="宋体" w:eastAsia="宋体" w:cs="宋体"/>
          <w:color w:val="auto"/>
          <w:sz w:val="24"/>
          <w:szCs w:val="24"/>
          <w:highlight w:val="none"/>
          <w:lang w:eastAsia="zh-CN"/>
        </w:rPr>
        <w:t>磋商</w:t>
      </w:r>
      <w:r>
        <w:rPr>
          <w:rFonts w:hint="eastAsia" w:ascii="宋体" w:hAnsi="宋体" w:eastAsia="宋体" w:cs="宋体"/>
          <w:bCs/>
          <w:color w:val="auto"/>
          <w:sz w:val="24"/>
          <w:szCs w:val="24"/>
          <w:highlight w:val="none"/>
        </w:rPr>
        <w:t>过程顺利进行；因供应商自身设备或网络原因造成的一切后果，由供应商自行承担。</w:t>
      </w:r>
    </w:p>
    <w:p w14:paraId="1E8714EA">
      <w:pPr>
        <w:keepNext w:val="0"/>
        <w:keepLines w:val="0"/>
        <w:pageBreakBefore w:val="0"/>
        <w:widowControl w:val="0"/>
        <w:kinsoku/>
        <w:wordWrap w:val="0"/>
        <w:overflowPunct/>
        <w:topLinePunct w:val="0"/>
        <w:autoSpaceDE/>
        <w:autoSpaceDN/>
        <w:bidi w:val="0"/>
        <w:adjustRightInd/>
        <w:snapToGrid/>
        <w:spacing w:line="420" w:lineRule="exact"/>
        <w:ind w:firstLine="482" w:firstLineChars="20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5.</w:t>
      </w:r>
      <w:r>
        <w:rPr>
          <w:rStyle w:val="104"/>
          <w:rFonts w:hint="eastAsia" w:ascii="宋体" w:hAnsi="宋体" w:eastAsia="宋体" w:cs="宋体"/>
          <w:b w:val="0"/>
          <w:bCs/>
          <w:color w:val="auto"/>
          <w:sz w:val="24"/>
          <w:szCs w:val="24"/>
          <w:highlight w:val="none"/>
          <w:lang w:eastAsia="zh-CN"/>
        </w:rPr>
        <w:t>监督管理机构</w:t>
      </w:r>
      <w:r>
        <w:rPr>
          <w:rStyle w:val="104"/>
          <w:rFonts w:hint="eastAsia" w:ascii="宋体" w:hAnsi="宋体" w:cs="宋体"/>
          <w:b w:val="0"/>
          <w:bCs/>
          <w:color w:val="auto"/>
          <w:sz w:val="24"/>
          <w:szCs w:val="24"/>
          <w:highlight w:val="none"/>
          <w:lang w:eastAsia="zh-CN"/>
        </w:rPr>
        <w:t>：资源县财政局</w:t>
      </w:r>
      <w:r>
        <w:rPr>
          <w:rStyle w:val="104"/>
          <w:rFonts w:hint="eastAsia" w:ascii="宋体" w:hAnsi="宋体" w:eastAsia="宋体" w:cs="宋体"/>
          <w:b w:val="0"/>
          <w:bCs/>
          <w:color w:val="auto"/>
          <w:sz w:val="24"/>
          <w:szCs w:val="24"/>
          <w:highlight w:val="none"/>
          <w:lang w:eastAsia="zh-CN"/>
        </w:rPr>
        <w:t xml:space="preserve">    联系电话：0773-4315648</w:t>
      </w:r>
    </w:p>
    <w:bookmarkEnd w:id="33"/>
    <w:bookmarkEnd w:id="34"/>
    <w:bookmarkEnd w:id="35"/>
    <w:bookmarkEnd w:id="36"/>
    <w:p w14:paraId="45701DB6">
      <w:pPr>
        <w:keepNext w:val="0"/>
        <w:keepLines w:val="0"/>
        <w:pageBreakBefore w:val="0"/>
        <w:widowControl w:val="0"/>
        <w:kinsoku/>
        <w:wordWrap w:val="0"/>
        <w:overflowPunct/>
        <w:topLinePunct w:val="0"/>
        <w:autoSpaceDE/>
        <w:autoSpaceDN/>
        <w:bidi w:val="0"/>
        <w:adjustRightInd/>
        <w:snapToGrid/>
        <w:spacing w:line="440" w:lineRule="exact"/>
        <w:jc w:val="both"/>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八、凡对本次招标提出询问，请按以下方式联系</w:t>
      </w:r>
    </w:p>
    <w:p w14:paraId="0F388A8D">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1.采购人信息</w:t>
      </w:r>
    </w:p>
    <w:p w14:paraId="43C2477C">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名    称：</w:t>
      </w:r>
      <w:r>
        <w:rPr>
          <w:rFonts w:hint="eastAsia" w:ascii="宋体" w:hAnsi="宋体" w:cs="宋体"/>
          <w:bCs/>
          <w:color w:val="auto"/>
          <w:sz w:val="24"/>
          <w:szCs w:val="24"/>
          <w:highlight w:val="none"/>
          <w:lang w:eastAsia="zh-CN"/>
        </w:rPr>
        <w:t>资源县资源镇人民政府</w:t>
      </w:r>
      <w:r>
        <w:rPr>
          <w:rFonts w:hint="eastAsia" w:ascii="宋体" w:hAnsi="宋体" w:cs="宋体"/>
          <w:bCs/>
          <w:color w:val="auto"/>
          <w:sz w:val="24"/>
          <w:szCs w:val="24"/>
          <w:highlight w:val="none"/>
          <w:lang w:val="en-US" w:eastAsia="zh-CN"/>
        </w:rPr>
        <w:t xml:space="preserve"> </w:t>
      </w:r>
    </w:p>
    <w:p w14:paraId="2F17F053">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地    址：资源县资源镇镇中路33号</w:t>
      </w:r>
    </w:p>
    <w:p w14:paraId="624DDC9D">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项目联系人：王艺蓉</w:t>
      </w:r>
    </w:p>
    <w:p w14:paraId="431951FC">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项目联系方式：18407739816</w:t>
      </w:r>
    </w:p>
    <w:p w14:paraId="4C99D8DA">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bookmarkStart w:id="43" w:name="_Toc28359009"/>
      <w:bookmarkStart w:id="44" w:name="_Toc28359086"/>
      <w:r>
        <w:rPr>
          <w:rFonts w:hint="eastAsia" w:ascii="宋体" w:hAnsi="宋体" w:eastAsia="宋体" w:cs="宋体"/>
          <w:bCs/>
          <w:color w:val="auto"/>
          <w:sz w:val="24"/>
          <w:szCs w:val="24"/>
          <w:highlight w:val="none"/>
        </w:rPr>
        <w:t>2.采购代理机构信息</w:t>
      </w:r>
      <w:bookmarkEnd w:id="43"/>
      <w:bookmarkEnd w:id="44"/>
    </w:p>
    <w:p w14:paraId="341727AD">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名    称：</w:t>
      </w:r>
      <w:r>
        <w:rPr>
          <w:rFonts w:hint="eastAsia" w:ascii="宋体" w:hAnsi="宋体" w:cs="宋体"/>
          <w:bCs/>
          <w:color w:val="auto"/>
          <w:sz w:val="24"/>
          <w:szCs w:val="24"/>
          <w:highlight w:val="none"/>
          <w:lang w:eastAsia="zh-CN"/>
        </w:rPr>
        <w:t>广西国喆项目管理有限公司</w:t>
      </w:r>
    </w:p>
    <w:p w14:paraId="5A1C880A">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地　  址</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桂林市雁山区雁山镇雁中路18号公租房一楼7号门店</w:t>
      </w:r>
    </w:p>
    <w:p w14:paraId="28E26DBA">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项目联系人：</w:t>
      </w:r>
      <w:r>
        <w:rPr>
          <w:rFonts w:hint="eastAsia" w:ascii="宋体" w:hAnsi="宋体" w:cs="宋体"/>
          <w:bCs/>
          <w:color w:val="auto"/>
          <w:sz w:val="24"/>
          <w:szCs w:val="24"/>
          <w:highlight w:val="none"/>
          <w:lang w:val="en-US" w:eastAsia="zh-CN"/>
        </w:rPr>
        <w:t>曾工、李工</w:t>
      </w:r>
    </w:p>
    <w:p w14:paraId="046A8627">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项目联系方式：18077394456</w:t>
      </w:r>
    </w:p>
    <w:p w14:paraId="4345D4F7">
      <w:pPr>
        <w:keepNext w:val="0"/>
        <w:keepLines w:val="0"/>
        <w:pageBreakBefore w:val="0"/>
        <w:widowControl w:val="0"/>
        <w:kinsoku/>
        <w:wordWrap w:val="0"/>
        <w:overflowPunct/>
        <w:topLinePunct w:val="0"/>
        <w:autoSpaceDE/>
        <w:autoSpaceDN/>
        <w:bidi w:val="0"/>
        <w:adjustRightInd/>
        <w:snapToGrid/>
        <w:spacing w:line="360" w:lineRule="exact"/>
        <w:ind w:firstLine="600" w:firstLineChars="250"/>
        <w:jc w:val="both"/>
        <w:textAlignment w:val="auto"/>
        <w:outlineLvl w:val="9"/>
        <w:rPr>
          <w:rFonts w:hint="eastAsia" w:ascii="宋体" w:hAnsi="宋体" w:eastAsia="宋体" w:cs="宋体"/>
          <w:color w:val="auto"/>
          <w:sz w:val="24"/>
          <w:szCs w:val="24"/>
          <w:highlight w:val="none"/>
          <w:lang w:val="en-US" w:eastAsia="zh-CN"/>
        </w:rPr>
      </w:pPr>
    </w:p>
    <w:p w14:paraId="7ABF6F6C">
      <w:pPr>
        <w:keepNext w:val="0"/>
        <w:keepLines w:val="0"/>
        <w:pageBreakBefore w:val="0"/>
        <w:widowControl w:val="0"/>
        <w:kinsoku/>
        <w:wordWrap w:val="0"/>
        <w:overflowPunct/>
        <w:topLinePunct w:val="0"/>
        <w:autoSpaceDE/>
        <w:autoSpaceDN/>
        <w:bidi w:val="0"/>
        <w:adjustRightInd/>
        <w:snapToGrid/>
        <w:spacing w:line="360" w:lineRule="exact"/>
        <w:ind w:firstLine="600" w:firstLineChars="250"/>
        <w:jc w:val="both"/>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p>
    <w:p w14:paraId="00C195F8">
      <w:pPr>
        <w:keepNext w:val="0"/>
        <w:keepLines w:val="0"/>
        <w:pageBreakBefore w:val="0"/>
        <w:widowControl w:val="0"/>
        <w:kinsoku/>
        <w:wordWrap/>
        <w:overflowPunct/>
        <w:topLinePunct w:val="0"/>
        <w:bidi w:val="0"/>
        <w:snapToGrid/>
        <w:spacing w:line="360" w:lineRule="exact"/>
        <w:jc w:val="right"/>
        <w:textAlignment w:val="auto"/>
        <w:rPr>
          <w:rFonts w:hint="eastAsia" w:ascii="宋体" w:hAnsi="宋体" w:eastAsia="宋体" w:cs="宋体"/>
          <w:color w:val="auto"/>
          <w:szCs w:val="21"/>
          <w:highlight w:val="none"/>
        </w:rPr>
      </w:pPr>
      <w:r>
        <w:rPr>
          <w:rFonts w:hint="eastAsia" w:ascii="宋体" w:hAnsi="宋体" w:cs="宋体"/>
          <w:color w:val="auto"/>
          <w:sz w:val="24"/>
          <w:szCs w:val="24"/>
          <w:highlight w:val="none"/>
          <w:lang w:val="en-US" w:eastAsia="zh-CN"/>
        </w:rPr>
        <w:t>2026年8月20日</w:t>
      </w:r>
    </w:p>
    <w:p w14:paraId="6BB8BF5B">
      <w:pPr>
        <w:rPr>
          <w:rFonts w:hint="eastAsia" w:ascii="宋体" w:hAnsi="宋体" w:eastAsia="宋体" w:cs="宋体"/>
          <w:color w:val="auto"/>
          <w:highlight w:val="none"/>
        </w:rPr>
      </w:pPr>
    </w:p>
    <w:p w14:paraId="2B2EA85A">
      <w:pPr>
        <w:pStyle w:val="24"/>
        <w:rPr>
          <w:rFonts w:hint="eastAsia"/>
          <w:color w:val="auto"/>
          <w:highlight w:val="none"/>
        </w:rPr>
      </w:pPr>
    </w:p>
    <w:p w14:paraId="652C11C6">
      <w:pPr>
        <w:jc w:val="center"/>
        <w:outlineLvl w:val="0"/>
        <w:rPr>
          <w:rFonts w:hint="eastAsia" w:ascii="华文中宋" w:hAnsi="华文中宋" w:eastAsia="华文中宋" w:cs="华文中宋"/>
          <w:b/>
          <w:bCs/>
          <w:color w:val="auto"/>
          <w:sz w:val="32"/>
          <w:szCs w:val="32"/>
          <w:highlight w:val="none"/>
          <w:lang w:val="en-US" w:eastAsia="zh-CN"/>
        </w:rPr>
      </w:pPr>
      <w:bookmarkStart w:id="45" w:name="_Toc26924"/>
      <w:bookmarkStart w:id="46" w:name="_Toc31707"/>
      <w:r>
        <w:rPr>
          <w:rFonts w:hint="eastAsia" w:ascii="华文中宋" w:hAnsi="华文中宋" w:eastAsia="华文中宋" w:cs="华文中宋"/>
          <w:b/>
          <w:bCs/>
          <w:color w:val="auto"/>
          <w:sz w:val="32"/>
          <w:szCs w:val="32"/>
          <w:highlight w:val="none"/>
          <w:lang w:val="en-US" w:eastAsia="zh-CN"/>
        </w:rPr>
        <w:br w:type="page"/>
      </w:r>
      <w:bookmarkStart w:id="47" w:name="_Toc25758"/>
      <w:r>
        <w:rPr>
          <w:rFonts w:hint="eastAsia" w:ascii="Times New Roman" w:hAnsi="Times New Roman" w:eastAsia="宋体" w:cs="Times New Roman"/>
          <w:b/>
          <w:bCs/>
          <w:color w:val="auto"/>
          <w:kern w:val="44"/>
          <w:sz w:val="32"/>
          <w:szCs w:val="32"/>
          <w:highlight w:val="none"/>
          <w:lang w:val="en-US" w:eastAsia="zh-CN" w:bidi="ar-SA"/>
        </w:rPr>
        <w:t>第二章</w:t>
      </w:r>
      <w:r>
        <w:rPr>
          <w:rFonts w:hint="eastAsia" w:eastAsia="宋体" w:cs="Times New Roman"/>
          <w:b/>
          <w:bCs/>
          <w:color w:val="auto"/>
          <w:kern w:val="44"/>
          <w:sz w:val="32"/>
          <w:szCs w:val="32"/>
          <w:highlight w:val="none"/>
          <w:lang w:val="en-US" w:eastAsia="zh-CN" w:bidi="ar-SA"/>
        </w:rPr>
        <w:t xml:space="preserve"> </w:t>
      </w:r>
      <w:r>
        <w:rPr>
          <w:rFonts w:hint="eastAsia" w:ascii="Times New Roman" w:hAnsi="Times New Roman" w:eastAsia="宋体" w:cs="Times New Roman"/>
          <w:b/>
          <w:bCs/>
          <w:color w:val="auto"/>
          <w:kern w:val="44"/>
          <w:sz w:val="32"/>
          <w:szCs w:val="32"/>
          <w:highlight w:val="none"/>
          <w:lang w:val="en-US" w:eastAsia="zh-CN" w:bidi="ar-SA"/>
        </w:rPr>
        <w:t>供应商须知</w:t>
      </w:r>
      <w:bookmarkEnd w:id="45"/>
      <w:bookmarkEnd w:id="46"/>
      <w:bookmarkEnd w:id="47"/>
    </w:p>
    <w:p w14:paraId="3B1C0CCD">
      <w:pPr>
        <w:tabs>
          <w:tab w:val="left" w:pos="1065"/>
          <w:tab w:val="center" w:pos="4411"/>
        </w:tabs>
        <w:spacing w:line="340" w:lineRule="exact"/>
        <w:jc w:val="center"/>
        <w:rPr>
          <w:rFonts w:hint="eastAsia" w:eastAsia="宋体"/>
          <w:b/>
          <w:color w:val="auto"/>
          <w:sz w:val="28"/>
          <w:szCs w:val="28"/>
          <w:highlight w:val="none"/>
        </w:rPr>
      </w:pPr>
      <w:bookmarkStart w:id="48" w:name="_Toc9508"/>
      <w:bookmarkStart w:id="49" w:name="_Toc13800"/>
      <w:bookmarkStart w:id="50" w:name="_Toc13547"/>
      <w:bookmarkStart w:id="51" w:name="_Toc25063"/>
      <w:bookmarkStart w:id="52" w:name="_Toc10555"/>
      <w:bookmarkStart w:id="53" w:name="_Toc1585"/>
      <w:r>
        <w:rPr>
          <w:rFonts w:hint="eastAsia" w:eastAsia="宋体"/>
          <w:b/>
          <w:color w:val="auto"/>
          <w:sz w:val="28"/>
          <w:szCs w:val="28"/>
          <w:highlight w:val="none"/>
        </w:rPr>
        <w:t>供应商须知前附表</w:t>
      </w:r>
      <w:bookmarkEnd w:id="48"/>
      <w:bookmarkEnd w:id="49"/>
      <w:bookmarkEnd w:id="50"/>
      <w:bookmarkEnd w:id="51"/>
      <w:bookmarkEnd w:id="52"/>
      <w:bookmarkEnd w:id="53"/>
    </w:p>
    <w:tbl>
      <w:tblPr>
        <w:tblStyle w:val="54"/>
        <w:tblW w:w="9600"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942"/>
        <w:gridCol w:w="1775"/>
        <w:gridCol w:w="6221"/>
      </w:tblGrid>
      <w:tr w14:paraId="33C7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trPr>
        <w:tc>
          <w:tcPr>
            <w:tcW w:w="662" w:type="dxa"/>
            <w:shd w:val="clear" w:color="auto" w:fill="8DB3E2"/>
            <w:noWrap w:val="0"/>
            <w:vAlign w:val="center"/>
          </w:tcPr>
          <w:p w14:paraId="0180D37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942" w:type="dxa"/>
            <w:shd w:val="clear" w:color="auto" w:fill="8DB3E2"/>
            <w:noWrap w:val="0"/>
            <w:vAlign w:val="center"/>
          </w:tcPr>
          <w:p w14:paraId="6173E9A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条款号</w:t>
            </w:r>
          </w:p>
        </w:tc>
        <w:tc>
          <w:tcPr>
            <w:tcW w:w="1775" w:type="dxa"/>
            <w:shd w:val="clear" w:color="auto" w:fill="8DB3E2"/>
            <w:noWrap w:val="0"/>
            <w:vAlign w:val="center"/>
          </w:tcPr>
          <w:p w14:paraId="07FC6CB0">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条款名称</w:t>
            </w:r>
          </w:p>
        </w:tc>
        <w:tc>
          <w:tcPr>
            <w:tcW w:w="6221" w:type="dxa"/>
            <w:shd w:val="clear" w:color="auto" w:fill="8DB3E2"/>
            <w:noWrap w:val="0"/>
            <w:vAlign w:val="center"/>
          </w:tcPr>
          <w:p w14:paraId="61847BE8">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内容、要求</w:t>
            </w:r>
          </w:p>
        </w:tc>
      </w:tr>
      <w:tr w14:paraId="16BBF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62" w:type="dxa"/>
            <w:noWrap w:val="0"/>
            <w:vAlign w:val="center"/>
          </w:tcPr>
          <w:p w14:paraId="206693F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942" w:type="dxa"/>
            <w:noWrap w:val="0"/>
            <w:vAlign w:val="center"/>
          </w:tcPr>
          <w:p w14:paraId="7678F2B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775" w:type="dxa"/>
            <w:noWrap w:val="0"/>
            <w:vAlign w:val="center"/>
          </w:tcPr>
          <w:p w14:paraId="7649E3A2">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项目名称及项目编号</w:t>
            </w:r>
          </w:p>
        </w:tc>
        <w:tc>
          <w:tcPr>
            <w:tcW w:w="6221" w:type="dxa"/>
            <w:noWrap w:val="0"/>
            <w:vAlign w:val="center"/>
          </w:tcPr>
          <w:p w14:paraId="6A357D4D">
            <w:pPr>
              <w:keepNext w:val="0"/>
              <w:keepLines w:val="0"/>
              <w:pageBreakBefore w:val="0"/>
              <w:widowControl w:val="0"/>
              <w:kinsoku/>
              <w:wordWrap w:val="0"/>
              <w:overflowPunct/>
              <w:topLinePunct w:val="0"/>
              <w:autoSpaceDE/>
              <w:autoSpaceDN/>
              <w:bidi w:val="0"/>
              <w:adjustRightInd/>
              <w:snapToGrid/>
              <w:spacing w:line="4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资源县资源镇林下经济示范基地道路改扩建工程以工代赈项目</w:t>
            </w:r>
          </w:p>
          <w:p w14:paraId="40DC1E3E">
            <w:pPr>
              <w:keepNext w:val="0"/>
              <w:keepLines w:val="0"/>
              <w:pageBreakBefore w:val="0"/>
              <w:widowControl w:val="0"/>
              <w:kinsoku/>
              <w:wordWrap w:val="0"/>
              <w:overflowPunct/>
              <w:topLinePunct w:val="0"/>
              <w:autoSpaceDE/>
              <w:autoSpaceDN/>
              <w:bidi w:val="0"/>
              <w:adjustRightInd/>
              <w:snapToGrid/>
              <w:spacing w:line="4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项目编号：GLZC2026-C2-290070-GXGZ</w:t>
            </w:r>
          </w:p>
        </w:tc>
      </w:tr>
      <w:tr w14:paraId="068F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62" w:type="dxa"/>
            <w:noWrap w:val="0"/>
            <w:vAlign w:val="center"/>
          </w:tcPr>
          <w:p w14:paraId="2B0DC5B2">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942" w:type="dxa"/>
            <w:noWrap w:val="0"/>
            <w:vAlign w:val="center"/>
          </w:tcPr>
          <w:p w14:paraId="01E9FCD7">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775" w:type="dxa"/>
            <w:noWrap w:val="0"/>
            <w:vAlign w:val="center"/>
          </w:tcPr>
          <w:p w14:paraId="184EC48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供应商资格</w:t>
            </w:r>
          </w:p>
        </w:tc>
        <w:tc>
          <w:tcPr>
            <w:tcW w:w="6221" w:type="dxa"/>
            <w:noWrap w:val="0"/>
            <w:vAlign w:val="center"/>
          </w:tcPr>
          <w:p w14:paraId="3B6F810F">
            <w:pPr>
              <w:keepNext w:val="0"/>
              <w:keepLines w:val="0"/>
              <w:pageBreakBefore w:val="0"/>
              <w:widowControl w:val="0"/>
              <w:kinsoku/>
              <w:wordWrap w:val="0"/>
              <w:overflowPunct/>
              <w:topLinePunct w:val="0"/>
              <w:autoSpaceDE/>
              <w:autoSpaceDN/>
              <w:bidi w:val="0"/>
              <w:adjustRightInd/>
              <w:snapToGrid/>
              <w:spacing w:line="420" w:lineRule="exact"/>
              <w:ind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3.1</w:t>
            </w:r>
            <w:r>
              <w:rPr>
                <w:rFonts w:hint="eastAsia" w:ascii="宋体" w:hAnsi="宋体" w:eastAsia="宋体" w:cs="宋体"/>
                <w:b/>
                <w:bCs/>
                <w:color w:val="auto"/>
                <w:sz w:val="24"/>
                <w:szCs w:val="24"/>
                <w:highlight w:val="none"/>
              </w:rPr>
              <w:t>满足《中华人民共和国政府采购法》第二十二条规定；</w:t>
            </w:r>
          </w:p>
          <w:p w14:paraId="4C8D35E3">
            <w:pPr>
              <w:spacing w:line="400" w:lineRule="exac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3.2</w:t>
            </w:r>
            <w:r>
              <w:rPr>
                <w:rFonts w:hint="eastAsia" w:ascii="宋体" w:hAnsi="宋体" w:eastAsia="宋体" w:cs="宋体"/>
                <w:b/>
                <w:bCs/>
                <w:color w:val="auto"/>
                <w:sz w:val="24"/>
                <w:szCs w:val="24"/>
                <w:highlight w:val="none"/>
              </w:rPr>
              <w:t>落实政府采购政策需满足的资格要求：</w:t>
            </w:r>
            <w:r>
              <w:rPr>
                <w:rFonts w:hint="eastAsia" w:ascii="宋体" w:hAnsi="宋体" w:eastAsia="宋体" w:cs="宋体"/>
                <w:b w:val="0"/>
                <w:bCs w:val="0"/>
                <w:color w:val="auto"/>
                <w:sz w:val="24"/>
                <w:szCs w:val="24"/>
                <w:highlight w:val="none"/>
              </w:rPr>
              <w:t>本项目为专门面向中小企业采购的项目（供应商应为中小企业、监狱企业、残疾人福利性单位)；</w:t>
            </w:r>
          </w:p>
          <w:p w14:paraId="3A923D6C">
            <w:pPr>
              <w:spacing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3.3</w:t>
            </w:r>
            <w:r>
              <w:rPr>
                <w:rFonts w:hint="eastAsia" w:ascii="宋体" w:hAnsi="宋体" w:eastAsia="宋体" w:cs="宋体"/>
                <w:b/>
                <w:bCs/>
                <w:color w:val="auto"/>
                <w:sz w:val="24"/>
                <w:szCs w:val="24"/>
                <w:highlight w:val="none"/>
              </w:rPr>
              <w:t>本项目的特定资格要求：</w:t>
            </w:r>
          </w:p>
          <w:p w14:paraId="54328CDF">
            <w:pPr>
              <w:keepNext w:val="0"/>
              <w:keepLines w:val="0"/>
              <w:pageBreakBefore w:val="0"/>
              <w:widowControl w:val="0"/>
              <w:kinsoku/>
              <w:wordWrap w:val="0"/>
              <w:overflowPunct/>
              <w:topLinePunct w:val="0"/>
              <w:autoSpaceDE/>
              <w:autoSpaceDN/>
              <w:bidi w:val="0"/>
              <w:adjustRightInd/>
              <w:snapToGrid/>
              <w:spacing w:line="440" w:lineRule="exact"/>
              <w:jc w:val="both"/>
              <w:textAlignment w:val="auto"/>
              <w:rPr>
                <w:rFonts w:hint="eastAsia" w:ascii="宋体" w:hAnsi="宋体" w:eastAsia="宋体" w:cs="宋体"/>
                <w:bCs/>
                <w:color w:val="auto"/>
                <w:sz w:val="24"/>
                <w:szCs w:val="24"/>
                <w:highlight w:val="none"/>
                <w:u w:val="none"/>
                <w:lang w:val="en-US" w:eastAsia="zh-CN"/>
              </w:rPr>
            </w:pPr>
            <w:r>
              <w:rPr>
                <w:rFonts w:hint="eastAsia" w:ascii="宋体" w:hAnsi="宋体" w:eastAsia="宋体" w:cs="宋体"/>
                <w:bCs/>
                <w:color w:val="auto"/>
                <w:sz w:val="24"/>
                <w:szCs w:val="24"/>
                <w:highlight w:val="none"/>
                <w:u w:val="none"/>
                <w:lang w:val="en-US" w:eastAsia="zh-CN"/>
              </w:rPr>
              <w:t>具备市政公用工程施工总承包或公路工程施工总承包的三级（含三级）及以上资质，并在人员、设备、资金等方面具备相应的施工能力；具备有效的安全生产许可证；同时项目经理须具备市政公用工程专业或公路工程专业的贰级（含贰级）及以上注册建造师资格，具有安全生产考核B证。</w:t>
            </w:r>
          </w:p>
          <w:p w14:paraId="0E3AEE4F">
            <w:pPr>
              <w:keepNext w:val="0"/>
              <w:keepLines w:val="0"/>
              <w:pageBreakBefore w:val="0"/>
              <w:widowControl w:val="0"/>
              <w:kinsoku/>
              <w:wordWrap w:val="0"/>
              <w:overflowPunct/>
              <w:topLinePunct w:val="0"/>
              <w:autoSpaceDE/>
              <w:autoSpaceDN/>
              <w:bidi w:val="0"/>
              <w:adjustRightInd/>
              <w:snapToGrid/>
              <w:spacing w:line="420" w:lineRule="exact"/>
              <w:ind w:firstLine="0" w:firstLineChars="0"/>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3.4</w:t>
            </w:r>
            <w:r>
              <w:rPr>
                <w:rFonts w:hint="eastAsia" w:ascii="宋体" w:hAnsi="宋体" w:eastAsia="宋体" w:cs="宋体"/>
                <w:b/>
                <w:bCs w:val="0"/>
                <w:color w:val="auto"/>
                <w:sz w:val="24"/>
                <w:szCs w:val="24"/>
                <w:highlight w:val="none"/>
              </w:rPr>
              <w:t>资格条件特别说明：</w:t>
            </w:r>
          </w:p>
          <w:p w14:paraId="6A9D1E1F">
            <w:pPr>
              <w:keepNext w:val="0"/>
              <w:keepLines w:val="0"/>
              <w:pageBreakBefore w:val="0"/>
              <w:widowControl w:val="0"/>
              <w:kinsoku/>
              <w:wordWrap w:val="0"/>
              <w:overflowPunct/>
              <w:topLinePunct w:val="0"/>
              <w:autoSpaceDE/>
              <w:autoSpaceDN/>
              <w:bidi w:val="0"/>
              <w:adjustRightInd/>
              <w:snapToGrid/>
              <w:spacing w:line="420" w:lineRule="exact"/>
              <w:ind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4E85BAC6">
            <w:pPr>
              <w:keepNext w:val="0"/>
              <w:keepLines w:val="0"/>
              <w:pageBreakBefore w:val="0"/>
              <w:widowControl w:val="0"/>
              <w:kinsoku/>
              <w:wordWrap w:val="0"/>
              <w:overflowPunct/>
              <w:topLinePunct w:val="0"/>
              <w:autoSpaceDE/>
              <w:autoSpaceDN/>
              <w:bidi w:val="0"/>
              <w:adjustRightInd/>
              <w:snapToGrid/>
              <w:spacing w:line="420" w:lineRule="exact"/>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E194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62" w:type="dxa"/>
            <w:noWrap w:val="0"/>
            <w:vAlign w:val="center"/>
          </w:tcPr>
          <w:p w14:paraId="367D1239">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942" w:type="dxa"/>
            <w:noWrap w:val="0"/>
            <w:vAlign w:val="center"/>
          </w:tcPr>
          <w:p w14:paraId="5211D568">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775" w:type="dxa"/>
            <w:noWrap w:val="0"/>
            <w:vAlign w:val="center"/>
          </w:tcPr>
          <w:p w14:paraId="4B6BDFA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磋商费用</w:t>
            </w:r>
          </w:p>
        </w:tc>
        <w:tc>
          <w:tcPr>
            <w:tcW w:w="6221" w:type="dxa"/>
            <w:noWrap w:val="0"/>
            <w:vAlign w:val="center"/>
          </w:tcPr>
          <w:p w14:paraId="410C5803">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不论磋商结果如何，供应商均应自行承担所有与磋商有关的全部费用。 </w:t>
            </w:r>
          </w:p>
        </w:tc>
      </w:tr>
      <w:tr w14:paraId="2D82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3" w:hRule="atLeast"/>
        </w:trPr>
        <w:tc>
          <w:tcPr>
            <w:tcW w:w="662" w:type="dxa"/>
            <w:noWrap w:val="0"/>
            <w:vAlign w:val="center"/>
          </w:tcPr>
          <w:p w14:paraId="04E80632">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942" w:type="dxa"/>
            <w:noWrap w:val="0"/>
            <w:vAlign w:val="center"/>
          </w:tcPr>
          <w:p w14:paraId="7E3A61F5">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position w:val="-2"/>
                <w:sz w:val="24"/>
                <w:szCs w:val="24"/>
                <w:highlight w:val="none"/>
                <w:lang w:val="en-US" w:eastAsia="zh-CN"/>
              </w:rPr>
            </w:pPr>
            <w:r>
              <w:rPr>
                <w:rFonts w:hint="eastAsia" w:ascii="宋体" w:hAnsi="宋体" w:eastAsia="宋体" w:cs="宋体"/>
                <w:color w:val="auto"/>
                <w:position w:val="-2"/>
                <w:sz w:val="24"/>
                <w:szCs w:val="24"/>
                <w:highlight w:val="none"/>
                <w:lang w:val="en-US" w:eastAsia="zh-CN"/>
              </w:rPr>
              <w:t>13.1</w:t>
            </w:r>
          </w:p>
        </w:tc>
        <w:tc>
          <w:tcPr>
            <w:tcW w:w="1775" w:type="dxa"/>
            <w:noWrap w:val="0"/>
            <w:vAlign w:val="center"/>
          </w:tcPr>
          <w:p w14:paraId="7495EE25">
            <w:pPr>
              <w:keepNext w:val="0"/>
              <w:keepLines w:val="0"/>
              <w:pageBreakBefore w:val="0"/>
              <w:widowControl w:val="0"/>
              <w:kinsoku/>
              <w:wordWrap w:val="0"/>
              <w:overflowPunct/>
              <w:topLinePunct w:val="0"/>
              <w:autoSpaceDE/>
              <w:autoSpaceDN/>
              <w:bidi w:val="0"/>
              <w:adjustRightInd/>
              <w:snapToGrid/>
              <w:spacing w:line="420" w:lineRule="exact"/>
              <w:ind w:left="0" w:leftChars="0"/>
              <w:jc w:val="center"/>
              <w:textAlignment w:val="auto"/>
              <w:rPr>
                <w:rFonts w:hint="eastAsia" w:ascii="宋体" w:hAnsi="宋体" w:eastAsia="宋体" w:cs="宋体"/>
                <w:color w:val="auto"/>
                <w:position w:val="-2"/>
                <w:sz w:val="24"/>
                <w:szCs w:val="24"/>
                <w:highlight w:val="none"/>
              </w:rPr>
            </w:pPr>
            <w:r>
              <w:rPr>
                <w:rFonts w:hint="eastAsia" w:ascii="宋体" w:hAnsi="宋体" w:eastAsia="宋体" w:cs="宋体"/>
                <w:color w:val="auto"/>
                <w:position w:val="-2"/>
                <w:sz w:val="24"/>
                <w:szCs w:val="24"/>
                <w:highlight w:val="none"/>
              </w:rPr>
              <w:t>磋商报价及采购预算金额</w:t>
            </w:r>
          </w:p>
        </w:tc>
        <w:tc>
          <w:tcPr>
            <w:tcW w:w="6221" w:type="dxa"/>
            <w:noWrap w:val="0"/>
            <w:vAlign w:val="center"/>
          </w:tcPr>
          <w:p w14:paraId="24338092">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13.1磋商报价应按磋商文件中相关附表格式填写。</w:t>
            </w:r>
          </w:p>
          <w:p w14:paraId="35DCD8A5">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本项目预算总造价</w:t>
            </w:r>
            <w:r>
              <w:rPr>
                <w:rFonts w:hint="eastAsia" w:ascii="宋体" w:hAnsi="宋体" w:cs="宋体"/>
                <w:b/>
                <w:bCs/>
                <w:color w:val="auto"/>
                <w:sz w:val="24"/>
                <w:szCs w:val="24"/>
                <w:highlight w:val="none"/>
                <w:lang w:val="en-US" w:eastAsia="zh-CN"/>
              </w:rPr>
              <w:t>：</w:t>
            </w:r>
            <w:r>
              <w:rPr>
                <w:rFonts w:hint="eastAsia" w:ascii="宋体" w:hAnsi="宋体" w:cs="宋体"/>
                <w:b/>
                <w:bCs/>
                <w:color w:val="auto"/>
                <w:sz w:val="24"/>
                <w:szCs w:val="24"/>
                <w:highlight w:val="none"/>
                <w:u w:val="none"/>
                <w:lang w:eastAsia="zh-CN"/>
              </w:rPr>
              <w:t>2954944.89</w:t>
            </w:r>
            <w:r>
              <w:rPr>
                <w:rFonts w:hint="eastAsia" w:ascii="宋体" w:hAnsi="宋体" w:eastAsia="宋体" w:cs="宋体"/>
                <w:b/>
                <w:bCs/>
                <w:color w:val="auto"/>
                <w:sz w:val="24"/>
                <w:szCs w:val="24"/>
                <w:highlight w:val="none"/>
                <w:lang w:val="en-US" w:eastAsia="zh-CN"/>
              </w:rPr>
              <w:t>元</w:t>
            </w:r>
            <w:r>
              <w:rPr>
                <w:rFonts w:hint="eastAsia" w:ascii="宋体" w:hAnsi="宋体" w:cs="宋体"/>
                <w:b/>
                <w:bCs/>
                <w:color w:val="auto"/>
                <w:sz w:val="24"/>
                <w:szCs w:val="24"/>
                <w:highlight w:val="none"/>
                <w:lang w:val="en-US" w:eastAsia="zh-CN"/>
              </w:rPr>
              <w:t>。</w:t>
            </w:r>
          </w:p>
          <w:p w14:paraId="2F5AFBB9">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经采购人确认，本工程最高磋商限价为</w:t>
            </w:r>
            <w:r>
              <w:rPr>
                <w:rFonts w:hint="eastAsia" w:ascii="宋体" w:hAnsi="宋体" w:cs="宋体"/>
                <w:b/>
                <w:bCs/>
                <w:color w:val="auto"/>
                <w:sz w:val="24"/>
                <w:szCs w:val="24"/>
                <w:highlight w:val="none"/>
                <w:u w:val="none"/>
                <w:lang w:eastAsia="zh-CN"/>
              </w:rPr>
              <w:t>2954944.89</w:t>
            </w:r>
            <w:r>
              <w:rPr>
                <w:rFonts w:hint="eastAsia" w:ascii="宋体" w:hAnsi="宋体" w:eastAsia="宋体" w:cs="宋体"/>
                <w:b/>
                <w:bCs/>
                <w:color w:val="auto"/>
                <w:sz w:val="24"/>
                <w:szCs w:val="24"/>
                <w:highlight w:val="none"/>
                <w:lang w:val="en-US" w:eastAsia="zh-CN"/>
              </w:rPr>
              <w:t>元，作为本项目招标控制价</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磋商报价超过招标控制价的，响应文件作无效处理。</w:t>
            </w:r>
          </w:p>
          <w:p w14:paraId="7DAF0F85">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13.2供应商必须就“工程量清单”中所有内容作完整唯一报价，否则，其响应文件无效；响应文件只允许有一个报价，有选择的或有条件的报价将不予接受。</w:t>
            </w:r>
          </w:p>
          <w:p w14:paraId="3F2B0EBB">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13.3供应商应在规定时间内在</w:t>
            </w:r>
            <w:r>
              <w:rPr>
                <w:rFonts w:hint="eastAsia" w:ascii="宋体" w:hAnsi="宋体" w:cs="宋体"/>
                <w:color w:val="auto"/>
                <w:sz w:val="24"/>
                <w:szCs w:val="24"/>
                <w:highlight w:val="none"/>
                <w:lang w:val="en-US" w:eastAsia="zh-CN"/>
              </w:rPr>
              <w:t>广西政府采购云平台系统</w:t>
            </w:r>
            <w:r>
              <w:rPr>
                <w:rFonts w:hint="eastAsia" w:ascii="宋体" w:hAnsi="宋体" w:eastAsia="宋体" w:cs="宋体"/>
                <w:color w:val="auto"/>
                <w:sz w:val="24"/>
                <w:szCs w:val="24"/>
                <w:highlight w:val="none"/>
                <w:lang w:val="en-US" w:eastAsia="zh-CN"/>
              </w:rPr>
              <w:t>上提交最后报价，超出评委设定的最后报价时限或其最后报价超出采购预算导致已通过评审的响应文件无效的，按供应商在提交响应文件截止时间后撤回响应文件处理。</w:t>
            </w:r>
          </w:p>
          <w:p w14:paraId="52DF375B">
            <w:pPr>
              <w:pStyle w:val="20"/>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供应商的磋商报价不得超过本工程招标控制价，否则作无效标处理；供应商的第二次磋商报价不得高于该供应商第一次磋商报价，否则做无效标处理。如供应商维持磋商报价不变，以原磋商报价作为供应商最后报价；如供应商需要改变原磋商报价时，供应商应预先准备好调整后的已标价的工程量清单。</w:t>
            </w:r>
          </w:p>
        </w:tc>
      </w:tr>
      <w:tr w14:paraId="27D6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662" w:type="dxa"/>
            <w:noWrap w:val="0"/>
            <w:vAlign w:val="center"/>
          </w:tcPr>
          <w:p w14:paraId="42F6F11C">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942" w:type="dxa"/>
            <w:noWrap w:val="0"/>
            <w:vAlign w:val="center"/>
          </w:tcPr>
          <w:p w14:paraId="5A84BDBC">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position w:val="-2"/>
                <w:sz w:val="24"/>
                <w:szCs w:val="24"/>
                <w:highlight w:val="none"/>
              </w:rPr>
            </w:pPr>
            <w:r>
              <w:rPr>
                <w:rFonts w:hint="eastAsia" w:ascii="宋体" w:hAnsi="宋体" w:eastAsia="宋体" w:cs="宋体"/>
                <w:color w:val="auto"/>
                <w:position w:val="-2"/>
                <w:sz w:val="24"/>
                <w:szCs w:val="24"/>
                <w:highlight w:val="none"/>
              </w:rPr>
              <w:t>14.1</w:t>
            </w:r>
          </w:p>
        </w:tc>
        <w:tc>
          <w:tcPr>
            <w:tcW w:w="1775" w:type="dxa"/>
            <w:noWrap w:val="0"/>
            <w:vAlign w:val="center"/>
          </w:tcPr>
          <w:p w14:paraId="4A903032">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position w:val="-2"/>
                <w:sz w:val="24"/>
                <w:szCs w:val="24"/>
                <w:highlight w:val="none"/>
              </w:rPr>
            </w:pPr>
            <w:r>
              <w:rPr>
                <w:rFonts w:hint="eastAsia" w:ascii="宋体" w:hAnsi="宋体" w:eastAsia="宋体" w:cs="宋体"/>
                <w:color w:val="auto"/>
                <w:position w:val="-2"/>
                <w:sz w:val="24"/>
                <w:szCs w:val="24"/>
                <w:highlight w:val="none"/>
              </w:rPr>
              <w:t>响应文件有效期</w:t>
            </w:r>
          </w:p>
        </w:tc>
        <w:tc>
          <w:tcPr>
            <w:tcW w:w="6221" w:type="dxa"/>
            <w:noWrap w:val="0"/>
            <w:vAlign w:val="top"/>
          </w:tcPr>
          <w:p w14:paraId="4095EB86">
            <w:pPr>
              <w:keepNext w:val="0"/>
              <w:keepLines w:val="0"/>
              <w:pageBreakBefore w:val="0"/>
              <w:widowControl w:val="0"/>
              <w:tabs>
                <w:tab w:val="left" w:pos="1305"/>
              </w:tabs>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响应文件递交截止时间之日起90天，有效期不足的响应文件将被拒绝。</w:t>
            </w:r>
          </w:p>
        </w:tc>
      </w:tr>
      <w:tr w14:paraId="0949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662" w:type="dxa"/>
            <w:noWrap w:val="0"/>
            <w:vAlign w:val="center"/>
          </w:tcPr>
          <w:p w14:paraId="1D3DF9F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942" w:type="dxa"/>
            <w:noWrap w:val="0"/>
            <w:vAlign w:val="center"/>
          </w:tcPr>
          <w:p w14:paraId="217EB13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position w:val="-2"/>
                <w:sz w:val="24"/>
                <w:szCs w:val="24"/>
                <w:highlight w:val="none"/>
              </w:rPr>
            </w:pPr>
            <w:r>
              <w:rPr>
                <w:rFonts w:hint="eastAsia" w:ascii="宋体" w:hAnsi="宋体" w:eastAsia="宋体" w:cs="宋体"/>
                <w:color w:val="auto"/>
                <w:position w:val="-2"/>
                <w:sz w:val="24"/>
                <w:szCs w:val="24"/>
                <w:highlight w:val="none"/>
              </w:rPr>
              <w:t>15</w:t>
            </w:r>
          </w:p>
        </w:tc>
        <w:tc>
          <w:tcPr>
            <w:tcW w:w="1775" w:type="dxa"/>
            <w:noWrap w:val="0"/>
            <w:vAlign w:val="center"/>
          </w:tcPr>
          <w:p w14:paraId="4B69350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position w:val="-2"/>
                <w:sz w:val="24"/>
                <w:szCs w:val="24"/>
                <w:highlight w:val="none"/>
              </w:rPr>
            </w:pPr>
            <w:r>
              <w:rPr>
                <w:rFonts w:hint="eastAsia" w:ascii="宋体" w:hAnsi="宋体" w:eastAsia="宋体" w:cs="宋体"/>
                <w:color w:val="auto"/>
                <w:position w:val="-2"/>
                <w:sz w:val="24"/>
                <w:szCs w:val="24"/>
                <w:highlight w:val="none"/>
                <w:lang w:val="en-US" w:eastAsia="zh-CN"/>
              </w:rPr>
              <w:t>磋商</w:t>
            </w:r>
            <w:r>
              <w:rPr>
                <w:rFonts w:hint="eastAsia" w:ascii="宋体" w:hAnsi="宋体" w:eastAsia="宋体" w:cs="宋体"/>
                <w:color w:val="auto"/>
                <w:position w:val="-2"/>
                <w:sz w:val="24"/>
                <w:szCs w:val="24"/>
                <w:highlight w:val="none"/>
              </w:rPr>
              <w:t>保证金</w:t>
            </w:r>
          </w:p>
        </w:tc>
        <w:tc>
          <w:tcPr>
            <w:tcW w:w="6221" w:type="dxa"/>
            <w:noWrap w:val="0"/>
            <w:vAlign w:val="top"/>
          </w:tcPr>
          <w:p w14:paraId="5BA3E843">
            <w:pPr>
              <w:keepNext w:val="0"/>
              <w:keepLines w:val="0"/>
              <w:pageBreakBefore w:val="0"/>
              <w:widowControl w:val="0"/>
              <w:tabs>
                <w:tab w:val="left" w:pos="1305"/>
              </w:tabs>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本项目无须缴纳</w:t>
            </w:r>
            <w:r>
              <w:rPr>
                <w:rFonts w:hint="eastAsia" w:ascii="宋体" w:hAnsi="宋体" w:eastAsia="宋体" w:cs="宋体"/>
                <w:color w:val="auto"/>
                <w:kern w:val="2"/>
                <w:sz w:val="24"/>
                <w:szCs w:val="24"/>
                <w:highlight w:val="none"/>
                <w:lang w:val="en-US" w:eastAsia="zh-CN" w:bidi="ar-SA"/>
              </w:rPr>
              <w:t>磋商</w:t>
            </w:r>
            <w:r>
              <w:rPr>
                <w:rFonts w:hint="eastAsia" w:ascii="宋体" w:hAnsi="宋体" w:eastAsia="宋体" w:cs="宋体"/>
                <w:color w:val="auto"/>
                <w:sz w:val="24"/>
                <w:szCs w:val="24"/>
                <w:highlight w:val="none"/>
                <w:lang w:val="en-US" w:eastAsia="zh-CN"/>
              </w:rPr>
              <w:t>保证金。</w:t>
            </w:r>
          </w:p>
        </w:tc>
      </w:tr>
      <w:tr w14:paraId="56C8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662" w:type="dxa"/>
            <w:noWrap w:val="0"/>
            <w:vAlign w:val="center"/>
          </w:tcPr>
          <w:p w14:paraId="7A62F169">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p>
        </w:tc>
        <w:tc>
          <w:tcPr>
            <w:tcW w:w="942" w:type="dxa"/>
            <w:noWrap w:val="0"/>
            <w:vAlign w:val="center"/>
          </w:tcPr>
          <w:p w14:paraId="5B6D9D4F">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w:t>
            </w:r>
          </w:p>
        </w:tc>
        <w:tc>
          <w:tcPr>
            <w:tcW w:w="1775" w:type="dxa"/>
            <w:noWrap w:val="0"/>
            <w:vAlign w:val="center"/>
          </w:tcPr>
          <w:p w14:paraId="2623C662">
            <w:pPr>
              <w:keepNext w:val="0"/>
              <w:keepLines w:val="0"/>
              <w:pageBreakBefore w:val="0"/>
              <w:widowControl w:val="0"/>
              <w:kinsoku/>
              <w:wordWrap w:val="0"/>
              <w:overflowPunct/>
              <w:topLinePunct w:val="0"/>
              <w:autoSpaceDE/>
              <w:autoSpaceDN/>
              <w:bidi w:val="0"/>
              <w:adjustRightInd/>
              <w:snapToGrid/>
              <w:spacing w:before="0" w:after="0" w:line="420" w:lineRule="exact"/>
              <w:jc w:val="center"/>
              <w:textAlignment w:val="auto"/>
              <w:outlineLvl w:val="9"/>
              <w:rPr>
                <w:rFonts w:hint="eastAsia" w:ascii="宋体" w:hAnsi="宋体" w:eastAsia="宋体" w:cs="宋体"/>
                <w:color w:val="auto"/>
                <w:sz w:val="24"/>
                <w:szCs w:val="24"/>
                <w:highlight w:val="none"/>
                <w:lang w:eastAsia="zh-CN"/>
              </w:rPr>
            </w:pPr>
            <w:bookmarkStart w:id="54" w:name="_Toc27452"/>
            <w:bookmarkStart w:id="55" w:name="_Toc2356"/>
            <w:bookmarkStart w:id="56" w:name="_Toc19911"/>
            <w:bookmarkStart w:id="57" w:name="_Toc202"/>
            <w:bookmarkStart w:id="58" w:name="_Toc12573"/>
            <w:r>
              <w:rPr>
                <w:rFonts w:hint="eastAsia" w:ascii="宋体" w:hAnsi="宋体" w:eastAsia="宋体" w:cs="宋体"/>
                <w:color w:val="auto"/>
                <w:sz w:val="24"/>
                <w:szCs w:val="24"/>
                <w:highlight w:val="none"/>
                <w:lang w:eastAsia="zh-CN"/>
              </w:rPr>
              <w:t>响应文件的制作</w:t>
            </w:r>
            <w:bookmarkEnd w:id="54"/>
            <w:bookmarkEnd w:id="55"/>
            <w:bookmarkEnd w:id="56"/>
            <w:bookmarkEnd w:id="57"/>
            <w:bookmarkEnd w:id="58"/>
          </w:p>
        </w:tc>
        <w:tc>
          <w:tcPr>
            <w:tcW w:w="6221" w:type="dxa"/>
            <w:noWrap w:val="0"/>
            <w:vAlign w:val="center"/>
          </w:tcPr>
          <w:p w14:paraId="18C25A59">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.1 电子响应文件中须加盖供应商公章部分均采用 CA 签章，并根据“政府采购项目电子交易管理操作指南-供应商” 及本</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文件规定的格式和顺序编制电子响应文件并进行关联定位，以便</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小组在评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时，点击评分项可直接定位到该评分项内容。如对</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文件的某项要求，供应商的电子响应文件未能关联定位提供相应的内容与其对应，则</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小组在评审时如做出对供应商不利的评审由供应商自行承担。电子响应文件如内容不完整、编排混乱导致响应文件被误读、 漏读，或者在按采购文件规定的部位查找不到相关内容的，由供应商自行承担。</w:t>
            </w:r>
          </w:p>
          <w:p w14:paraId="18AF9F47">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16.2</w:t>
            </w:r>
            <w:r>
              <w:rPr>
                <w:rFonts w:hint="eastAsia" w:ascii="宋体" w:hAnsi="宋体" w:eastAsia="宋体" w:cs="宋体"/>
                <w:color w:val="auto"/>
                <w:sz w:val="24"/>
                <w:szCs w:val="24"/>
                <w:highlight w:val="none"/>
              </w:rPr>
              <w:t>供应商法人（负责人）或授权代表持有政采云个人CA签章的，应在</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文件中涉及到签字的位置使用个人CA签章，没有办理政采云个人CA签章的可在</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文件中涉及到签字的位置手写签字后扫描或者拍照做成 PDF 的格式上传即可。</w:t>
            </w:r>
          </w:p>
          <w:p w14:paraId="22186538">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.3 响应文件不得涂改，若有修改错漏处，须法定代表人（负责人）或授权委托人签字</w:t>
            </w:r>
            <w:r>
              <w:rPr>
                <w:rFonts w:hint="eastAsia" w:ascii="宋体" w:hAnsi="宋体" w:eastAsia="宋体" w:cs="宋体"/>
                <w:color w:val="auto"/>
                <w:sz w:val="24"/>
                <w:szCs w:val="24"/>
                <w:highlight w:val="none"/>
                <w:lang w:eastAsia="zh-CN"/>
              </w:rPr>
              <w:t>（或个人</w:t>
            </w:r>
            <w:r>
              <w:rPr>
                <w:rFonts w:hint="eastAsia" w:ascii="宋体" w:hAnsi="宋体" w:eastAsia="宋体" w:cs="宋体"/>
                <w:color w:val="auto"/>
                <w:sz w:val="24"/>
                <w:szCs w:val="24"/>
                <w:highlight w:val="none"/>
                <w:lang w:val="en-US" w:eastAsia="zh-CN"/>
              </w:rPr>
              <w:t>CA签章）</w:t>
            </w:r>
            <w:r>
              <w:rPr>
                <w:rFonts w:hint="eastAsia" w:ascii="宋体" w:hAnsi="宋体" w:eastAsia="宋体" w:cs="宋体"/>
                <w:color w:val="auto"/>
                <w:sz w:val="24"/>
                <w:szCs w:val="24"/>
                <w:highlight w:val="none"/>
              </w:rPr>
              <w:t>。响应文件因字迹潦草或表达不清所引起的后果由供应商负责。</w:t>
            </w:r>
          </w:p>
          <w:p w14:paraId="78118ABD">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16.4</w:t>
            </w:r>
            <w:r>
              <w:rPr>
                <w:rFonts w:hint="eastAsia" w:ascii="宋体" w:hAnsi="宋体" w:eastAsia="宋体" w:cs="宋体"/>
                <w:color w:val="auto"/>
                <w:sz w:val="24"/>
                <w:szCs w:val="24"/>
                <w:highlight w:val="none"/>
                <w:lang w:eastAsia="zh-CN"/>
              </w:rPr>
              <w:t xml:space="preserve">磋商前准备 </w:t>
            </w:r>
          </w:p>
          <w:p w14:paraId="6511379F">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16.4.1</w:t>
            </w:r>
            <w:r>
              <w:rPr>
                <w:rFonts w:hint="eastAsia" w:ascii="宋体" w:hAnsi="宋体" w:eastAsia="宋体" w:cs="宋体"/>
                <w:color w:val="auto"/>
                <w:sz w:val="24"/>
                <w:szCs w:val="24"/>
                <w:highlight w:val="none"/>
                <w:lang w:eastAsia="zh-CN"/>
              </w:rPr>
              <w:t xml:space="preserve">本项目实行在线磋商，采用电子响应文件。若供应商参与磋商，自行承担磋商一切费用。 </w:t>
            </w:r>
          </w:p>
          <w:p w14:paraId="7C980DFB">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16.4.2</w:t>
            </w:r>
            <w:r>
              <w:rPr>
                <w:rFonts w:hint="eastAsia" w:ascii="宋体" w:hAnsi="宋体" w:eastAsia="宋体" w:cs="宋体"/>
                <w:color w:val="auto"/>
                <w:sz w:val="24"/>
                <w:szCs w:val="24"/>
                <w:highlight w:val="none"/>
                <w:lang w:eastAsia="zh-CN"/>
              </w:rPr>
              <w:t>各供应商应在截标前应确保成为</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lang w:eastAsia="zh-CN"/>
              </w:rPr>
              <w:t xml:space="preserve">正式注册入库供应商，并完成 CA 数字证书申领。因未注册入库、未办理 CA 数字证书等原因造成无法磋商或磋商失败等后果由供应商自行承担。 </w:t>
            </w:r>
          </w:p>
          <w:p w14:paraId="726F2972">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16.4.3</w:t>
            </w:r>
            <w:r>
              <w:rPr>
                <w:rFonts w:hint="eastAsia" w:ascii="宋体" w:hAnsi="宋体" w:eastAsia="宋体" w:cs="宋体"/>
                <w:color w:val="auto"/>
                <w:sz w:val="24"/>
                <w:szCs w:val="24"/>
                <w:highlight w:val="none"/>
                <w:lang w:eastAsia="zh-CN"/>
              </w:rPr>
              <w:t>供应商将</w:t>
            </w:r>
            <w:r>
              <w:rPr>
                <w:rFonts w:hint="eastAsia" w:ascii="宋体" w:hAnsi="宋体" w:cs="宋体"/>
                <w:color w:val="auto"/>
                <w:sz w:val="24"/>
                <w:szCs w:val="24"/>
                <w:highlight w:val="none"/>
                <w:lang w:eastAsia="zh-CN"/>
              </w:rPr>
              <w:t>广西政府采购云平台新版客户端</w:t>
            </w:r>
            <w:r>
              <w:rPr>
                <w:rFonts w:hint="eastAsia" w:ascii="宋体" w:hAnsi="宋体" w:eastAsia="宋体" w:cs="宋体"/>
                <w:color w:val="auto"/>
                <w:sz w:val="24"/>
                <w:szCs w:val="24"/>
                <w:highlight w:val="none"/>
                <w:lang w:eastAsia="zh-CN"/>
              </w:rPr>
              <w:t>下载、安装完成后，可通过账号密码或 CA 登录客户端进行响应文件制作。新版客户端请自行前往广西政府采购云平台或广西政府采购网依次进入“办事服务—下载专区”下载专区查看，如有问题可拨打政采云客户服务热线 95763 进行咨询。</w:t>
            </w:r>
          </w:p>
        </w:tc>
      </w:tr>
      <w:tr w14:paraId="1B2D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662" w:type="dxa"/>
            <w:noWrap w:val="0"/>
            <w:vAlign w:val="center"/>
          </w:tcPr>
          <w:p w14:paraId="0631560C">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p>
        </w:tc>
        <w:tc>
          <w:tcPr>
            <w:tcW w:w="942" w:type="dxa"/>
            <w:noWrap w:val="0"/>
            <w:vAlign w:val="center"/>
          </w:tcPr>
          <w:p w14:paraId="44495AB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w:t>
            </w:r>
          </w:p>
        </w:tc>
        <w:tc>
          <w:tcPr>
            <w:tcW w:w="1775" w:type="dxa"/>
            <w:noWrap w:val="0"/>
            <w:vAlign w:val="center"/>
          </w:tcPr>
          <w:p w14:paraId="6C33025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响应文件递交截止时间</w:t>
            </w:r>
          </w:p>
        </w:tc>
        <w:tc>
          <w:tcPr>
            <w:tcW w:w="6221" w:type="dxa"/>
            <w:noWrap w:val="0"/>
            <w:vAlign w:val="center"/>
          </w:tcPr>
          <w:p w14:paraId="264D0597">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供应商应于</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8</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31</w:t>
            </w:r>
            <w:r>
              <w:rPr>
                <w:rFonts w:hint="eastAsia" w:ascii="宋体" w:hAnsi="宋体" w:cs="宋体"/>
                <w:color w:val="auto"/>
                <w:sz w:val="24"/>
                <w:szCs w:val="24"/>
                <w:highlight w:val="none"/>
                <w:u w:val="single"/>
                <w:lang w:eastAsia="zh-CN"/>
              </w:rPr>
              <w:t>日</w:t>
            </w:r>
            <w:r>
              <w:rPr>
                <w:rFonts w:hint="eastAsia" w:ascii="宋体" w:hAnsi="宋体" w:cs="宋体"/>
                <w:color w:val="auto"/>
                <w:sz w:val="24"/>
                <w:szCs w:val="24"/>
                <w:highlight w:val="none"/>
                <w:u w:val="single"/>
                <w:lang w:val="en-US" w:eastAsia="zh-CN"/>
              </w:rPr>
              <w:t>9时30分</w:t>
            </w:r>
            <w:r>
              <w:rPr>
                <w:rFonts w:hint="eastAsia" w:ascii="宋体" w:hAnsi="宋体" w:eastAsia="宋体" w:cs="宋体"/>
                <w:color w:val="auto"/>
                <w:sz w:val="24"/>
                <w:szCs w:val="24"/>
                <w:highlight w:val="none"/>
                <w:u w:val="single"/>
                <w:lang w:val="en-US" w:eastAsia="zh-CN"/>
              </w:rPr>
              <w:t>（北京时间）</w:t>
            </w:r>
            <w:r>
              <w:rPr>
                <w:rFonts w:hint="eastAsia" w:ascii="宋体" w:hAnsi="宋体" w:eastAsia="宋体" w:cs="宋体"/>
                <w:color w:val="auto"/>
                <w:sz w:val="24"/>
                <w:szCs w:val="24"/>
                <w:highlight w:val="none"/>
              </w:rPr>
              <w:t>之前将电子响应文件上传到</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。电子响应文件应按照本项目磋商文件和</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的要求编制、加密传输响应文件。供应商在使用系统进行</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的过程中遇到涉及平台使用的任何问题，可致电</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技术支持热线咨询，联系方式：</w:t>
            </w:r>
            <w:r>
              <w:rPr>
                <w:rFonts w:hint="eastAsia" w:ascii="宋体" w:hAnsi="宋体" w:eastAsia="宋体" w:cs="宋体"/>
                <w:color w:val="auto"/>
                <w:sz w:val="24"/>
                <w:szCs w:val="24"/>
                <w:highlight w:val="none"/>
                <w:lang w:eastAsia="zh-CN"/>
              </w:rPr>
              <w:t>95763</w:t>
            </w:r>
            <w:r>
              <w:rPr>
                <w:rFonts w:hint="eastAsia" w:ascii="宋体" w:hAnsi="宋体" w:eastAsia="宋体" w:cs="宋体"/>
                <w:color w:val="auto"/>
                <w:sz w:val="24"/>
                <w:szCs w:val="24"/>
                <w:highlight w:val="none"/>
              </w:rPr>
              <w:t>。</w:t>
            </w:r>
          </w:p>
        </w:tc>
      </w:tr>
      <w:tr w14:paraId="2007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662" w:type="dxa"/>
            <w:noWrap w:val="0"/>
            <w:vAlign w:val="center"/>
          </w:tcPr>
          <w:p w14:paraId="43DDBF13">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position w:val="-2"/>
                <w:sz w:val="24"/>
                <w:szCs w:val="24"/>
                <w:highlight w:val="none"/>
                <w:lang w:eastAsia="zh-CN"/>
              </w:rPr>
            </w:pPr>
            <w:r>
              <w:rPr>
                <w:rFonts w:hint="eastAsia" w:ascii="宋体" w:hAnsi="宋体" w:eastAsia="宋体" w:cs="宋体"/>
                <w:color w:val="auto"/>
                <w:position w:val="-2"/>
                <w:sz w:val="24"/>
                <w:szCs w:val="24"/>
                <w:highlight w:val="none"/>
                <w:lang w:val="en-US" w:eastAsia="zh-CN"/>
              </w:rPr>
              <w:t>9</w:t>
            </w:r>
          </w:p>
        </w:tc>
        <w:tc>
          <w:tcPr>
            <w:tcW w:w="942" w:type="dxa"/>
            <w:noWrap w:val="0"/>
            <w:vAlign w:val="center"/>
          </w:tcPr>
          <w:p w14:paraId="5DE477C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position w:val="-2"/>
                <w:sz w:val="24"/>
                <w:szCs w:val="24"/>
                <w:highlight w:val="none"/>
              </w:rPr>
            </w:pPr>
            <w:r>
              <w:rPr>
                <w:rFonts w:hint="eastAsia" w:ascii="宋体" w:hAnsi="宋体" w:eastAsia="宋体" w:cs="宋体"/>
                <w:color w:val="auto"/>
                <w:position w:val="-2"/>
                <w:sz w:val="24"/>
                <w:szCs w:val="24"/>
                <w:highlight w:val="none"/>
              </w:rPr>
              <w:t>18.2</w:t>
            </w:r>
          </w:p>
        </w:tc>
        <w:tc>
          <w:tcPr>
            <w:tcW w:w="1775" w:type="dxa"/>
            <w:noWrap w:val="0"/>
            <w:vAlign w:val="center"/>
          </w:tcPr>
          <w:p w14:paraId="3D3FB13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position w:val="-2"/>
                <w:sz w:val="24"/>
                <w:szCs w:val="24"/>
                <w:highlight w:val="none"/>
              </w:rPr>
            </w:pPr>
            <w:r>
              <w:rPr>
                <w:rFonts w:hint="eastAsia" w:ascii="宋体" w:hAnsi="宋体" w:eastAsia="宋体" w:cs="宋体"/>
                <w:color w:val="auto"/>
                <w:sz w:val="24"/>
                <w:szCs w:val="24"/>
                <w:highlight w:val="none"/>
                <w:lang w:eastAsia="zh-CN"/>
              </w:rPr>
              <w:t>响应文件解密时间</w:t>
            </w:r>
          </w:p>
        </w:tc>
        <w:tc>
          <w:tcPr>
            <w:tcW w:w="6221" w:type="dxa"/>
            <w:noWrap w:val="0"/>
            <w:vAlign w:val="center"/>
          </w:tcPr>
          <w:p w14:paraId="110D64B9">
            <w:pPr>
              <w:pStyle w:val="18"/>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响应文件提交截止时间后，采购代理机构开启解密响应文件操作，</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向各供应商发出电子加密响应文件解密通知，由供应商在系统发出解密通知后30分钟内自行使用加密时的CA通过“项目采购-开标评标”功能对响应文件进行解密。若供应商在上述规定的时间内无法解密或解密失败的，可以在响应文件解密截止时间后30分钟内向采购代理机构现场提交电子备份响应文件【现场提交电子响应文件地址：桂林市公共资源交易中心</w:t>
            </w:r>
            <w:r>
              <w:rPr>
                <w:rFonts w:hint="eastAsia" w:ascii="宋体" w:hAnsi="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rPr>
              <w:t>号</w:t>
            </w:r>
            <w:r>
              <w:rPr>
                <w:rFonts w:hint="eastAsia" w:ascii="宋体" w:hAnsi="宋体" w:cs="宋体"/>
                <w:color w:val="auto"/>
                <w:sz w:val="24"/>
                <w:szCs w:val="24"/>
                <w:highlight w:val="none"/>
                <w:lang w:val="en-US" w:eastAsia="zh-CN"/>
              </w:rPr>
              <w:t>政</w:t>
            </w:r>
            <w:r>
              <w:rPr>
                <w:rFonts w:hint="eastAsia" w:ascii="宋体" w:hAnsi="宋体" w:cs="宋体"/>
                <w:color w:val="auto"/>
                <w:sz w:val="24"/>
                <w:szCs w:val="24"/>
                <w:highlight w:val="none"/>
                <w:lang w:val="en-US" w:eastAsia="zh-CN"/>
              </w:rPr>
              <w:t>采开标仓</w:t>
            </w:r>
            <w:r>
              <w:rPr>
                <w:rFonts w:hint="eastAsia" w:ascii="宋体" w:hAnsi="宋体" w:eastAsia="宋体" w:cs="宋体"/>
                <w:color w:val="auto"/>
                <w:sz w:val="24"/>
                <w:szCs w:val="24"/>
                <w:highlight w:val="none"/>
              </w:rPr>
              <w:t>（广西桂林市临桂区西城中路69号创业大厦西辅楼4楼北区）】，或以电子邮件的形式提交电子备份响应文件</w:t>
            </w:r>
            <w:r>
              <w:rPr>
                <w:rFonts w:hint="eastAsia" w:ascii="宋体" w:hAnsi="宋体" w:eastAsia="宋体" w:cs="宋体"/>
                <w:color w:val="auto"/>
                <w:sz w:val="24"/>
                <w:szCs w:val="24"/>
                <w:highlight w:val="none"/>
                <w:lang w:val="en-US" w:eastAsia="zh-CN"/>
              </w:rPr>
              <w:t>（以通知时所告知的电子邮箱地址为准）</w:t>
            </w:r>
            <w:r>
              <w:rPr>
                <w:rFonts w:hint="eastAsia" w:ascii="宋体" w:hAnsi="宋体" w:eastAsia="宋体" w:cs="宋体"/>
                <w:color w:val="auto"/>
                <w:sz w:val="24"/>
                <w:szCs w:val="24"/>
                <w:highlight w:val="none"/>
              </w:rPr>
              <w:t>；供应商未在上述规定的时间、地点（电子邮箱）提交的电子备份响应文件，采购代理机构不予接收或承认。采购代理机构收到电子备份响应文件后按</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操作规范上传至</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w:t>
            </w:r>
          </w:p>
        </w:tc>
      </w:tr>
      <w:tr w14:paraId="1CCC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62" w:type="dxa"/>
            <w:noWrap w:val="0"/>
            <w:vAlign w:val="center"/>
          </w:tcPr>
          <w:p w14:paraId="488BF04D">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942" w:type="dxa"/>
            <w:noWrap w:val="0"/>
            <w:vAlign w:val="center"/>
          </w:tcPr>
          <w:p w14:paraId="1CC8AB70">
            <w:pPr>
              <w:keepNext w:val="0"/>
              <w:keepLines w:val="0"/>
              <w:pageBreakBefore w:val="0"/>
              <w:widowControl w:val="0"/>
              <w:kinsoku/>
              <w:wordWrap w:val="0"/>
              <w:overflowPunct/>
              <w:topLinePunct w:val="0"/>
              <w:autoSpaceDE/>
              <w:autoSpaceDN/>
              <w:bidi w:val="0"/>
              <w:adjustRightInd/>
              <w:snapToGrid/>
              <w:spacing w:line="420" w:lineRule="exact"/>
              <w:ind w:firstLine="120" w:firstLineChars="50"/>
              <w:jc w:val="center"/>
              <w:textAlignment w:val="auto"/>
              <w:rPr>
                <w:rFonts w:hint="eastAsia" w:ascii="宋体" w:hAnsi="宋体" w:eastAsia="宋体" w:cs="宋体"/>
                <w:color w:val="auto"/>
                <w:position w:val="-2"/>
                <w:sz w:val="24"/>
                <w:szCs w:val="24"/>
                <w:highlight w:val="none"/>
              </w:rPr>
            </w:pPr>
            <w:r>
              <w:rPr>
                <w:rFonts w:hint="eastAsia" w:ascii="宋体" w:hAnsi="宋体" w:eastAsia="宋体" w:cs="宋体"/>
                <w:color w:val="auto"/>
                <w:position w:val="-2"/>
                <w:sz w:val="24"/>
                <w:szCs w:val="24"/>
                <w:highlight w:val="none"/>
              </w:rPr>
              <w:t>19.1</w:t>
            </w:r>
          </w:p>
        </w:tc>
        <w:tc>
          <w:tcPr>
            <w:tcW w:w="1775" w:type="dxa"/>
            <w:noWrap w:val="0"/>
            <w:vAlign w:val="center"/>
          </w:tcPr>
          <w:p w14:paraId="7D24C5EF">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磋商小组组成</w:t>
            </w:r>
          </w:p>
        </w:tc>
        <w:tc>
          <w:tcPr>
            <w:tcW w:w="6221" w:type="dxa"/>
            <w:noWrap w:val="0"/>
            <w:vAlign w:val="center"/>
          </w:tcPr>
          <w:p w14:paraId="2CCE2FB2">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eastAsia="宋体" w:cs="宋体"/>
                <w:color w:val="auto"/>
                <w:sz w:val="24"/>
                <w:szCs w:val="24"/>
                <w:highlight w:val="none"/>
                <w:u w:val="single"/>
              </w:rPr>
              <w:t xml:space="preserve">3 </w:t>
            </w:r>
            <w:r>
              <w:rPr>
                <w:rFonts w:hint="eastAsia" w:ascii="宋体" w:hAnsi="宋体" w:eastAsia="宋体" w:cs="宋体"/>
                <w:color w:val="auto"/>
                <w:sz w:val="24"/>
                <w:szCs w:val="24"/>
                <w:highlight w:val="none"/>
              </w:rPr>
              <w:t>人，其中采购人代表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1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2 </w:t>
            </w:r>
            <w:r>
              <w:rPr>
                <w:rFonts w:hint="eastAsia" w:ascii="宋体" w:hAnsi="宋体" w:eastAsia="宋体" w:cs="宋体"/>
                <w:color w:val="auto"/>
                <w:sz w:val="24"/>
                <w:szCs w:val="24"/>
                <w:highlight w:val="none"/>
              </w:rPr>
              <w:t>人。</w:t>
            </w:r>
          </w:p>
        </w:tc>
      </w:tr>
      <w:tr w14:paraId="5420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662" w:type="dxa"/>
            <w:noWrap w:val="0"/>
            <w:vAlign w:val="center"/>
          </w:tcPr>
          <w:p w14:paraId="39DCBEFA">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p>
        </w:tc>
        <w:tc>
          <w:tcPr>
            <w:tcW w:w="942" w:type="dxa"/>
            <w:noWrap w:val="0"/>
            <w:vAlign w:val="center"/>
          </w:tcPr>
          <w:p w14:paraId="6099B810">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w:t>
            </w:r>
          </w:p>
        </w:tc>
        <w:tc>
          <w:tcPr>
            <w:tcW w:w="1775" w:type="dxa"/>
            <w:noWrap w:val="0"/>
            <w:vAlign w:val="center"/>
          </w:tcPr>
          <w:p w14:paraId="56D7D847">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磋商时间、地点、人员</w:t>
            </w:r>
          </w:p>
        </w:tc>
        <w:tc>
          <w:tcPr>
            <w:tcW w:w="6221" w:type="dxa"/>
            <w:noWrap w:val="0"/>
            <w:vAlign w:val="top"/>
          </w:tcPr>
          <w:p w14:paraId="4B99ACB9">
            <w:pPr>
              <w:keepNext w:val="0"/>
              <w:keepLines w:val="0"/>
              <w:pageBreakBefore w:val="0"/>
              <w:widowControl w:val="0"/>
              <w:kinsoku/>
              <w:wordWrap w:val="0"/>
              <w:overflowPunct/>
              <w:topLinePunct w:val="0"/>
              <w:autoSpaceDE/>
              <w:autoSpaceDN/>
              <w:bidi w:val="0"/>
              <w:adjustRightInd/>
              <w:snapToGrid/>
              <w:spacing w:line="420" w:lineRule="exact"/>
              <w:ind w:left="315" w:hanging="360" w:hangingChars="15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19.2.1磋商时间：响应文件递交截止时间后。</w:t>
            </w:r>
          </w:p>
          <w:p w14:paraId="282F808F">
            <w:pPr>
              <w:keepNext w:val="0"/>
              <w:keepLines w:val="0"/>
              <w:pageBreakBefore w:val="0"/>
              <w:widowControl w:val="0"/>
              <w:kinsoku/>
              <w:wordWrap w:val="0"/>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19.2.2磋商地点：</w:t>
            </w:r>
            <w:r>
              <w:rPr>
                <w:rFonts w:hint="eastAsia" w:ascii="宋体" w:hAnsi="宋体" w:eastAsia="宋体" w:cs="宋体"/>
                <w:bCs/>
                <w:color w:val="auto"/>
                <w:sz w:val="24"/>
                <w:szCs w:val="24"/>
                <w:highlight w:val="none"/>
              </w:rPr>
              <w:t>供应商代表在响应文件提交当天实时登录</w:t>
            </w:r>
            <w:r>
              <w:rPr>
                <w:rFonts w:hint="eastAsia" w:ascii="宋体" w:hAnsi="宋体" w:cs="宋体"/>
                <w:bCs/>
                <w:color w:val="auto"/>
                <w:sz w:val="24"/>
                <w:szCs w:val="24"/>
                <w:highlight w:val="none"/>
                <w:lang w:eastAsia="zh-CN"/>
              </w:rPr>
              <w:t>广西政府采购云平台</w:t>
            </w:r>
            <w:r>
              <w:rPr>
                <w:rFonts w:hint="eastAsia" w:ascii="宋体" w:hAnsi="宋体" w:eastAsia="宋体" w:cs="宋体"/>
                <w:bCs/>
                <w:color w:val="auto"/>
                <w:sz w:val="24"/>
                <w:szCs w:val="24"/>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60D763DE">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19.2.3磋商参加人员：供应商法定代表人、负责人、自然人或相应的委托代理人参加磋商。请供应商</w:t>
            </w:r>
            <w:r>
              <w:rPr>
                <w:rFonts w:hint="eastAsia" w:ascii="宋体" w:hAnsi="宋体" w:eastAsia="宋体" w:cs="宋体"/>
                <w:bCs/>
                <w:color w:val="auto"/>
                <w:sz w:val="24"/>
                <w:szCs w:val="24"/>
                <w:highlight w:val="none"/>
              </w:rPr>
              <w:t>实时登录</w:t>
            </w:r>
            <w:r>
              <w:rPr>
                <w:rFonts w:hint="eastAsia" w:ascii="宋体" w:hAnsi="宋体" w:cs="宋体"/>
                <w:bCs/>
                <w:color w:val="auto"/>
                <w:sz w:val="24"/>
                <w:szCs w:val="24"/>
                <w:highlight w:val="none"/>
                <w:lang w:eastAsia="zh-CN"/>
              </w:rPr>
              <w:t>广西政府采购云平台</w:t>
            </w:r>
            <w:r>
              <w:rPr>
                <w:rFonts w:hint="eastAsia" w:ascii="宋体" w:hAnsi="宋体" w:eastAsia="宋体" w:cs="宋体"/>
                <w:color w:val="auto"/>
                <w:sz w:val="24"/>
                <w:szCs w:val="24"/>
                <w:highlight w:val="none"/>
              </w:rPr>
              <w:t>等候在线磋商。</w:t>
            </w:r>
          </w:p>
          <w:p w14:paraId="12A01E0D">
            <w:pPr>
              <w:keepNext w:val="0"/>
              <w:keepLines w:val="0"/>
              <w:pageBreakBefore w:val="0"/>
              <w:widowControl w:val="0"/>
              <w:tabs>
                <w:tab w:val="left" w:pos="1140"/>
              </w:tabs>
              <w:kinsoku/>
              <w:wordWrap w:val="0"/>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19.2.4响应文件递交截止时间后，登录</w:t>
            </w:r>
            <w:r>
              <w:rPr>
                <w:rFonts w:hint="eastAsia" w:ascii="宋体" w:hAnsi="宋体" w:cs="宋体"/>
                <w:bCs/>
                <w:color w:val="auto"/>
                <w:sz w:val="24"/>
                <w:szCs w:val="24"/>
                <w:highlight w:val="none"/>
                <w:lang w:eastAsia="zh-CN"/>
              </w:rPr>
              <w:t>广西政府采购云平台</w:t>
            </w:r>
            <w:r>
              <w:rPr>
                <w:rFonts w:hint="eastAsia" w:ascii="宋体" w:hAnsi="宋体" w:eastAsia="宋体" w:cs="宋体"/>
                <w:color w:val="auto"/>
                <w:sz w:val="24"/>
                <w:szCs w:val="24"/>
                <w:highlight w:val="none"/>
              </w:rPr>
              <w:t>在线解密开启。</w:t>
            </w:r>
          </w:p>
        </w:tc>
      </w:tr>
      <w:tr w14:paraId="6ED9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662" w:type="dxa"/>
            <w:noWrap w:val="0"/>
            <w:vAlign w:val="center"/>
          </w:tcPr>
          <w:p w14:paraId="178B7E61">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12</w:t>
            </w:r>
          </w:p>
        </w:tc>
        <w:tc>
          <w:tcPr>
            <w:tcW w:w="942" w:type="dxa"/>
            <w:noWrap w:val="0"/>
            <w:vAlign w:val="center"/>
          </w:tcPr>
          <w:p w14:paraId="3CD4BFD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w:t>
            </w:r>
          </w:p>
        </w:tc>
        <w:tc>
          <w:tcPr>
            <w:tcW w:w="1775" w:type="dxa"/>
            <w:noWrap w:val="0"/>
            <w:vAlign w:val="center"/>
          </w:tcPr>
          <w:p w14:paraId="0989AACA">
            <w:pPr>
              <w:pStyle w:val="28"/>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评审办法</w:t>
            </w:r>
          </w:p>
        </w:tc>
        <w:tc>
          <w:tcPr>
            <w:tcW w:w="6221" w:type="dxa"/>
            <w:noWrap w:val="0"/>
            <w:vAlign w:val="center"/>
          </w:tcPr>
          <w:p w14:paraId="1E27C0F4">
            <w:pPr>
              <w:keepNext w:val="0"/>
              <w:keepLines w:val="0"/>
              <w:pageBreakBefore w:val="0"/>
              <w:widowControl w:val="0"/>
              <w:tabs>
                <w:tab w:val="left" w:pos="1140"/>
              </w:tabs>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具体详见第四章评审办法。</w:t>
            </w:r>
          </w:p>
        </w:tc>
      </w:tr>
      <w:tr w14:paraId="0F005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62" w:type="dxa"/>
            <w:noWrap w:val="0"/>
            <w:vAlign w:val="center"/>
          </w:tcPr>
          <w:p w14:paraId="03A40EC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p>
        </w:tc>
        <w:tc>
          <w:tcPr>
            <w:tcW w:w="942" w:type="dxa"/>
            <w:noWrap w:val="0"/>
            <w:vAlign w:val="center"/>
          </w:tcPr>
          <w:p w14:paraId="4F54D4EC">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775" w:type="dxa"/>
            <w:noWrap w:val="0"/>
            <w:vAlign w:val="center"/>
          </w:tcPr>
          <w:p w14:paraId="4714225D">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信用查询</w:t>
            </w:r>
          </w:p>
        </w:tc>
        <w:tc>
          <w:tcPr>
            <w:tcW w:w="6221" w:type="dxa"/>
            <w:noWrap w:val="0"/>
            <w:vAlign w:val="center"/>
          </w:tcPr>
          <w:p w14:paraId="5E49825C">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根据《关于做好政府采购有关信用主体标识码登记及在政府采购活动中查询使用信用记录有关问题的通知》（桂财采〔2016〕37），由采购代理机构对第一成交候选人进行信用查询：</w:t>
            </w:r>
          </w:p>
          <w:p w14:paraId="5BC01E18">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⑴查询渠道：“信用中国”网站(www.creditchina.gov.cn)、</w:t>
            </w:r>
            <w:r>
              <w:rPr>
                <w:rFonts w:hint="eastAsia" w:ascii="宋体" w:hAnsi="宋体" w:eastAsia="宋体" w:cs="宋体"/>
                <w:color w:val="auto"/>
                <w:sz w:val="24"/>
                <w:szCs w:val="24"/>
                <w:highlight w:val="none"/>
                <w:lang w:eastAsia="zh-CN"/>
              </w:rPr>
              <w:t>中国政府采购网(www.ccgp.gov.cn)</w:t>
            </w:r>
            <w:r>
              <w:rPr>
                <w:rFonts w:hint="eastAsia" w:ascii="宋体" w:hAnsi="宋体" w:eastAsia="宋体" w:cs="宋体"/>
                <w:color w:val="auto"/>
                <w:sz w:val="24"/>
                <w:szCs w:val="24"/>
                <w:highlight w:val="none"/>
              </w:rPr>
              <w:t>；</w:t>
            </w:r>
          </w:p>
          <w:p w14:paraId="629B66EE">
            <w:pPr>
              <w:keepNext w:val="0"/>
              <w:keepLines w:val="0"/>
              <w:pageBreakBefore w:val="0"/>
              <w:widowControl w:val="0"/>
              <w:kinsoku/>
              <w:wordWrap w:val="0"/>
              <w:overflowPunct/>
              <w:topLinePunct w:val="0"/>
              <w:autoSpaceDE/>
              <w:autoSpaceDN/>
              <w:bidi w:val="0"/>
              <w:adjustRightInd/>
              <w:snapToGrid/>
              <w:spacing w:line="420" w:lineRule="exact"/>
              <w:ind w:left="315" w:hanging="360" w:hanging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⑵查询时间：成交通知书发出前；</w:t>
            </w:r>
          </w:p>
          <w:p w14:paraId="6F6823B9">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⑶信用信息查询记录和证据留存方式：在查询网站中直接打印查询记录，打印材料作为采购活动资料保存；</w:t>
            </w:r>
          </w:p>
          <w:p w14:paraId="4C1F8865">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⑷信用信息使用规则：对在“信用中国”网站(www.creditchina.gov.cn)、</w:t>
            </w:r>
            <w:r>
              <w:rPr>
                <w:rFonts w:hint="eastAsia" w:ascii="宋体" w:hAnsi="宋体" w:eastAsia="宋体" w:cs="宋体"/>
                <w:color w:val="auto"/>
                <w:sz w:val="24"/>
                <w:szCs w:val="24"/>
                <w:highlight w:val="none"/>
                <w:lang w:eastAsia="zh-CN"/>
              </w:rPr>
              <w:t>中国政府采购网(www.ccgp.gov.cn)</w:t>
            </w:r>
            <w:r>
              <w:rPr>
                <w:rFonts w:hint="eastAsia" w:ascii="宋体" w:hAnsi="宋体" w:eastAsia="宋体" w:cs="宋体"/>
                <w:color w:val="auto"/>
                <w:sz w:val="24"/>
                <w:szCs w:val="24"/>
                <w:highlight w:val="none"/>
              </w:rPr>
              <w:t>渠道列入失信被执行人、重大税收违法案件当事人名单、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p>
        </w:tc>
      </w:tr>
      <w:tr w14:paraId="44B0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62" w:type="dxa"/>
            <w:noWrap w:val="0"/>
            <w:vAlign w:val="center"/>
          </w:tcPr>
          <w:p w14:paraId="5FED958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p>
        </w:tc>
        <w:tc>
          <w:tcPr>
            <w:tcW w:w="942" w:type="dxa"/>
            <w:noWrap w:val="0"/>
            <w:vAlign w:val="center"/>
          </w:tcPr>
          <w:p w14:paraId="2175664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1775" w:type="dxa"/>
            <w:noWrap w:val="0"/>
            <w:vAlign w:val="center"/>
          </w:tcPr>
          <w:p w14:paraId="009CBF9D">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成交结果公告及成交通知书</w:t>
            </w:r>
          </w:p>
        </w:tc>
        <w:tc>
          <w:tcPr>
            <w:tcW w:w="6221" w:type="dxa"/>
            <w:noWrap w:val="0"/>
            <w:vAlign w:val="top"/>
          </w:tcPr>
          <w:p w14:paraId="17A36B6E">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5F4C3B30">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27.2在发布成交公告的同时，采购代理机构向成交供应商发出成交通知书。成交供应商自接到通知之日起七个工作日内，办理成交通知书领取手续。</w:t>
            </w:r>
          </w:p>
        </w:tc>
      </w:tr>
      <w:tr w14:paraId="2EE59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662" w:type="dxa"/>
            <w:noWrap w:val="0"/>
            <w:vAlign w:val="center"/>
          </w:tcPr>
          <w:p w14:paraId="07479BAA">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p>
        </w:tc>
        <w:tc>
          <w:tcPr>
            <w:tcW w:w="942" w:type="dxa"/>
            <w:noWrap w:val="0"/>
            <w:vAlign w:val="center"/>
          </w:tcPr>
          <w:p w14:paraId="09FAC107">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28</w:t>
            </w:r>
            <w:r>
              <w:rPr>
                <w:rFonts w:hint="eastAsia" w:ascii="宋体" w:hAnsi="宋体" w:eastAsia="宋体" w:cs="宋体"/>
                <w:color w:val="auto"/>
                <w:sz w:val="24"/>
                <w:szCs w:val="24"/>
                <w:highlight w:val="none"/>
                <w:lang w:val="en-US" w:eastAsia="zh-CN"/>
              </w:rPr>
              <w:t>.1</w:t>
            </w:r>
          </w:p>
        </w:tc>
        <w:tc>
          <w:tcPr>
            <w:tcW w:w="1775" w:type="dxa"/>
            <w:noWrap w:val="0"/>
            <w:vAlign w:val="center"/>
          </w:tcPr>
          <w:p w14:paraId="0C28FEE3">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w:t>
            </w:r>
          </w:p>
        </w:tc>
        <w:tc>
          <w:tcPr>
            <w:tcW w:w="6221" w:type="dxa"/>
            <w:noWrap w:val="0"/>
            <w:vAlign w:val="center"/>
          </w:tcPr>
          <w:p w14:paraId="3B699B52">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本项目无需缴纳履约保证金。</w:t>
            </w:r>
          </w:p>
        </w:tc>
      </w:tr>
      <w:tr w14:paraId="7EA6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62" w:type="dxa"/>
            <w:noWrap w:val="0"/>
            <w:vAlign w:val="center"/>
          </w:tcPr>
          <w:p w14:paraId="6DAFC091">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w:t>
            </w:r>
          </w:p>
        </w:tc>
        <w:tc>
          <w:tcPr>
            <w:tcW w:w="942" w:type="dxa"/>
            <w:noWrap w:val="0"/>
            <w:vAlign w:val="center"/>
          </w:tcPr>
          <w:p w14:paraId="779AF85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29.1</w:t>
            </w:r>
          </w:p>
        </w:tc>
        <w:tc>
          <w:tcPr>
            <w:tcW w:w="1775" w:type="dxa"/>
            <w:noWrap w:val="0"/>
            <w:vAlign w:val="center"/>
          </w:tcPr>
          <w:p w14:paraId="5DE044E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签订合同时间</w:t>
            </w:r>
          </w:p>
        </w:tc>
        <w:tc>
          <w:tcPr>
            <w:tcW w:w="6221" w:type="dxa"/>
            <w:noWrap w:val="0"/>
            <w:vAlign w:val="top"/>
          </w:tcPr>
          <w:p w14:paraId="630EAD78">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cs="宋体"/>
                <w:bCs/>
                <w:color w:val="auto"/>
                <w:kern w:val="0"/>
                <w:sz w:val="24"/>
                <w:szCs w:val="24"/>
                <w:highlight w:val="none"/>
                <w:lang w:eastAsia="zh-CN"/>
              </w:rPr>
              <w:t>成交通知书发出之日起</w:t>
            </w:r>
            <w:r>
              <w:rPr>
                <w:rFonts w:hint="eastAsia" w:ascii="宋体" w:hAnsi="宋体" w:cs="宋体"/>
                <w:b/>
                <w:bCs w:val="0"/>
                <w:color w:val="auto"/>
                <w:kern w:val="0"/>
                <w:sz w:val="24"/>
                <w:szCs w:val="24"/>
                <w:highlight w:val="none"/>
                <w:lang w:eastAsia="zh-CN"/>
              </w:rPr>
              <w:t>8个工作日内</w:t>
            </w:r>
            <w:r>
              <w:rPr>
                <w:rFonts w:hint="eastAsia" w:ascii="宋体" w:hAnsi="宋体" w:eastAsia="宋体" w:cs="宋体"/>
                <w:bCs/>
                <w:color w:val="auto"/>
                <w:kern w:val="0"/>
                <w:sz w:val="24"/>
                <w:szCs w:val="24"/>
                <w:highlight w:val="none"/>
              </w:rPr>
              <w:t>签订合同</w:t>
            </w:r>
            <w:r>
              <w:rPr>
                <w:rFonts w:hint="eastAsia" w:ascii="宋体" w:hAnsi="宋体" w:eastAsia="宋体" w:cs="宋体"/>
                <w:color w:val="auto"/>
                <w:sz w:val="24"/>
                <w:szCs w:val="24"/>
                <w:highlight w:val="none"/>
              </w:rPr>
              <w:t>。成交供应商领取成交通知书后，应按规定与采购人签订合同。</w:t>
            </w:r>
          </w:p>
        </w:tc>
      </w:tr>
      <w:tr w14:paraId="44C0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62" w:type="dxa"/>
            <w:noWrap w:val="0"/>
            <w:vAlign w:val="center"/>
          </w:tcPr>
          <w:p w14:paraId="13F5DBF9">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w:t>
            </w:r>
          </w:p>
        </w:tc>
        <w:tc>
          <w:tcPr>
            <w:tcW w:w="942" w:type="dxa"/>
            <w:noWrap w:val="0"/>
            <w:vAlign w:val="center"/>
          </w:tcPr>
          <w:p w14:paraId="05943DB0">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w:t>
            </w:r>
          </w:p>
        </w:tc>
        <w:tc>
          <w:tcPr>
            <w:tcW w:w="1775" w:type="dxa"/>
            <w:noWrap w:val="0"/>
            <w:vAlign w:val="center"/>
          </w:tcPr>
          <w:p w14:paraId="20270C07">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合同备案存档</w:t>
            </w:r>
          </w:p>
        </w:tc>
        <w:tc>
          <w:tcPr>
            <w:tcW w:w="6221" w:type="dxa"/>
            <w:noWrap w:val="0"/>
            <w:vAlign w:val="center"/>
          </w:tcPr>
          <w:p w14:paraId="5CA27F8A">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双方自签订之日起1个工作日内将合同原件两份交采购代理机构，采购代理机构收到政府采购合同原件后在省级以上人民政府财政部门指定媒体上公告并于合同签订之日起7个工作日内将一份合同原件送</w:t>
            </w:r>
            <w:r>
              <w:rPr>
                <w:rFonts w:hint="eastAsia" w:ascii="宋体" w:hAnsi="宋体" w:cs="宋体"/>
                <w:color w:val="auto"/>
                <w:sz w:val="24"/>
                <w:szCs w:val="24"/>
                <w:highlight w:val="none"/>
                <w:lang w:val="en-US" w:eastAsia="zh-CN"/>
              </w:rPr>
              <w:t>资源县财政局</w:t>
            </w:r>
            <w:r>
              <w:rPr>
                <w:rFonts w:hint="eastAsia" w:ascii="宋体" w:hAnsi="宋体" w:eastAsia="宋体" w:cs="宋体"/>
                <w:color w:val="auto"/>
                <w:sz w:val="24"/>
                <w:szCs w:val="24"/>
                <w:highlight w:val="none"/>
              </w:rPr>
              <w:t>备案，一份由采购代理机构存档。</w:t>
            </w:r>
          </w:p>
        </w:tc>
      </w:tr>
      <w:tr w14:paraId="54DE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62" w:type="dxa"/>
            <w:noWrap w:val="0"/>
            <w:vAlign w:val="center"/>
          </w:tcPr>
          <w:p w14:paraId="5179AC1F">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w:t>
            </w:r>
          </w:p>
        </w:tc>
        <w:tc>
          <w:tcPr>
            <w:tcW w:w="942" w:type="dxa"/>
            <w:noWrap w:val="0"/>
            <w:vAlign w:val="center"/>
          </w:tcPr>
          <w:p w14:paraId="51B572CD">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1775" w:type="dxa"/>
            <w:noWrap w:val="0"/>
            <w:vAlign w:val="center"/>
          </w:tcPr>
          <w:p w14:paraId="78A6DF6C">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采购代理服务费</w:t>
            </w:r>
          </w:p>
        </w:tc>
        <w:tc>
          <w:tcPr>
            <w:tcW w:w="6221" w:type="dxa"/>
            <w:noWrap w:val="0"/>
            <w:vAlign w:val="top"/>
          </w:tcPr>
          <w:p w14:paraId="6E2F3081">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成交供应商领取成交通知书前，向</w:t>
            </w:r>
            <w:r>
              <w:rPr>
                <w:rFonts w:hint="eastAsia" w:ascii="宋体" w:hAnsi="宋体" w:cs="宋体"/>
                <w:color w:val="auto"/>
                <w:sz w:val="24"/>
                <w:szCs w:val="24"/>
                <w:highlight w:val="none"/>
                <w:lang w:eastAsia="zh-CN"/>
              </w:rPr>
              <w:t>广西国喆项目管理有限公司</w:t>
            </w:r>
            <w:r>
              <w:rPr>
                <w:rFonts w:hint="eastAsia" w:ascii="宋体" w:hAnsi="宋体" w:eastAsia="宋体" w:cs="宋体"/>
                <w:color w:val="auto"/>
                <w:sz w:val="24"/>
                <w:szCs w:val="24"/>
                <w:highlight w:val="none"/>
              </w:rPr>
              <w:t>一次性付清代理服务费，本项目的代理服务收费标准参照计价格〔2002〕1980号《招标代理服务收费管理暂行办法》</w:t>
            </w:r>
            <w:r>
              <w:rPr>
                <w:rFonts w:hint="eastAsia" w:ascii="宋体" w:hAnsi="宋体" w:eastAsia="宋体" w:cs="宋体"/>
                <w:color w:val="auto"/>
                <w:sz w:val="24"/>
                <w:szCs w:val="24"/>
                <w:highlight w:val="none"/>
                <w:lang w:eastAsia="zh-CN"/>
              </w:rPr>
              <w:t>工程类</w:t>
            </w:r>
            <w:r>
              <w:rPr>
                <w:rFonts w:hint="eastAsia" w:ascii="宋体" w:hAnsi="宋体" w:eastAsia="宋体" w:cs="宋体"/>
                <w:color w:val="auto"/>
                <w:sz w:val="24"/>
                <w:szCs w:val="24"/>
                <w:highlight w:val="none"/>
              </w:rPr>
              <w:t>收费标准</w:t>
            </w:r>
            <w:r>
              <w:rPr>
                <w:rFonts w:hint="eastAsia" w:ascii="宋体" w:hAnsi="宋体" w:cs="宋体"/>
                <w:color w:val="auto"/>
                <w:sz w:val="24"/>
                <w:szCs w:val="24"/>
                <w:highlight w:val="none"/>
                <w:lang w:eastAsia="zh-CN"/>
              </w:rPr>
              <w:t>的</w:t>
            </w:r>
            <w:r>
              <w:rPr>
                <w:rFonts w:hint="eastAsia" w:ascii="宋体" w:hAnsi="宋体" w:cs="宋体"/>
                <w:color w:val="auto"/>
                <w:sz w:val="24"/>
                <w:szCs w:val="24"/>
                <w:highlight w:val="none"/>
                <w:lang w:val="en-US" w:eastAsia="zh-CN"/>
              </w:rPr>
              <w:t>80%</w:t>
            </w:r>
            <w:r>
              <w:rPr>
                <w:rFonts w:hint="eastAsia" w:ascii="宋体" w:hAnsi="宋体" w:eastAsia="宋体" w:cs="宋体"/>
                <w:color w:val="auto"/>
                <w:sz w:val="24"/>
                <w:szCs w:val="24"/>
                <w:highlight w:val="none"/>
              </w:rPr>
              <w:t>向成交供应商收取。</w:t>
            </w:r>
          </w:p>
        </w:tc>
      </w:tr>
      <w:tr w14:paraId="4300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62" w:type="dxa"/>
            <w:noWrap w:val="0"/>
            <w:vAlign w:val="center"/>
          </w:tcPr>
          <w:p w14:paraId="438FFB9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942" w:type="dxa"/>
            <w:noWrap w:val="0"/>
            <w:vAlign w:val="center"/>
          </w:tcPr>
          <w:p w14:paraId="0DD5709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w:t>
            </w:r>
          </w:p>
        </w:tc>
        <w:tc>
          <w:tcPr>
            <w:tcW w:w="1775" w:type="dxa"/>
            <w:noWrap w:val="0"/>
            <w:vAlign w:val="center"/>
          </w:tcPr>
          <w:p w14:paraId="7D79D1B1">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解释权</w:t>
            </w:r>
          </w:p>
        </w:tc>
        <w:tc>
          <w:tcPr>
            <w:tcW w:w="6221" w:type="dxa"/>
            <w:noWrap w:val="0"/>
            <w:vAlign w:val="top"/>
          </w:tcPr>
          <w:p w14:paraId="7F22171E">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458A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662" w:type="dxa"/>
            <w:noWrap w:val="0"/>
            <w:vAlign w:val="center"/>
          </w:tcPr>
          <w:p w14:paraId="249E1F1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942" w:type="dxa"/>
            <w:noWrap w:val="0"/>
            <w:vAlign w:val="center"/>
          </w:tcPr>
          <w:p w14:paraId="6F580BE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w:t>
            </w:r>
          </w:p>
        </w:tc>
        <w:tc>
          <w:tcPr>
            <w:tcW w:w="1775" w:type="dxa"/>
            <w:noWrap w:val="0"/>
            <w:vAlign w:val="center"/>
          </w:tcPr>
          <w:p w14:paraId="7615B59D">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Style w:val="104"/>
                <w:rFonts w:hint="eastAsia" w:ascii="宋体" w:hAnsi="宋体" w:eastAsia="宋体" w:cs="宋体"/>
                <w:b w:val="0"/>
                <w:bCs/>
                <w:color w:val="auto"/>
                <w:sz w:val="24"/>
                <w:szCs w:val="24"/>
                <w:highlight w:val="none"/>
                <w:lang w:eastAsia="zh-CN"/>
              </w:rPr>
            </w:pPr>
            <w:r>
              <w:rPr>
                <w:rStyle w:val="104"/>
                <w:rFonts w:hint="eastAsia" w:ascii="宋体" w:hAnsi="宋体" w:eastAsia="宋体" w:cs="宋体"/>
                <w:b w:val="0"/>
                <w:bCs/>
                <w:color w:val="auto"/>
                <w:sz w:val="24"/>
                <w:szCs w:val="24"/>
                <w:highlight w:val="none"/>
                <w:lang w:eastAsia="zh-CN"/>
              </w:rPr>
              <w:t>监督管理机构</w:t>
            </w:r>
          </w:p>
        </w:tc>
        <w:tc>
          <w:tcPr>
            <w:tcW w:w="6221" w:type="dxa"/>
            <w:noWrap w:val="0"/>
            <w:vAlign w:val="top"/>
          </w:tcPr>
          <w:p w14:paraId="14D2C23B">
            <w:pPr>
              <w:keepNext w:val="0"/>
              <w:keepLines w:val="0"/>
              <w:pageBreakBefore w:val="0"/>
              <w:widowControl w:val="0"/>
              <w:kinsoku/>
              <w:wordWrap w:val="0"/>
              <w:overflowPunct/>
              <w:topLinePunct w:val="0"/>
              <w:autoSpaceDE/>
              <w:autoSpaceDN/>
              <w:bidi w:val="0"/>
              <w:adjustRightInd/>
              <w:snapToGrid/>
              <w:spacing w:line="420" w:lineRule="exact"/>
              <w:jc w:val="both"/>
              <w:textAlignment w:val="auto"/>
              <w:rPr>
                <w:rStyle w:val="104"/>
                <w:rFonts w:hint="eastAsia" w:ascii="宋体" w:hAnsi="宋体" w:eastAsia="宋体" w:cs="宋体"/>
                <w:b w:val="0"/>
                <w:bCs/>
                <w:color w:val="auto"/>
                <w:sz w:val="24"/>
                <w:szCs w:val="24"/>
                <w:highlight w:val="none"/>
                <w:lang w:eastAsia="zh-CN"/>
              </w:rPr>
            </w:pPr>
            <w:r>
              <w:rPr>
                <w:rStyle w:val="104"/>
                <w:rFonts w:hint="eastAsia" w:ascii="宋体" w:hAnsi="宋体" w:cs="宋体"/>
                <w:b w:val="0"/>
                <w:bCs/>
                <w:color w:val="auto"/>
                <w:sz w:val="24"/>
                <w:szCs w:val="24"/>
                <w:highlight w:val="none"/>
                <w:lang w:eastAsia="zh-CN"/>
              </w:rPr>
              <w:t>资源县财政局</w:t>
            </w:r>
            <w:r>
              <w:rPr>
                <w:rStyle w:val="104"/>
                <w:rFonts w:hint="eastAsia" w:ascii="宋体" w:hAnsi="宋体" w:eastAsia="宋体" w:cs="宋体"/>
                <w:b w:val="0"/>
                <w:bCs/>
                <w:color w:val="auto"/>
                <w:sz w:val="24"/>
                <w:szCs w:val="24"/>
                <w:highlight w:val="none"/>
                <w:lang w:eastAsia="zh-CN"/>
              </w:rPr>
              <w:t xml:space="preserve">   联系电话：0773-</w:t>
            </w:r>
            <w:r>
              <w:rPr>
                <w:rStyle w:val="104"/>
                <w:rFonts w:hint="eastAsia" w:ascii="宋体" w:hAnsi="宋体" w:cs="宋体"/>
                <w:b w:val="0"/>
                <w:bCs/>
                <w:color w:val="auto"/>
                <w:sz w:val="24"/>
                <w:szCs w:val="24"/>
                <w:highlight w:val="none"/>
                <w:lang w:eastAsia="zh-CN"/>
              </w:rPr>
              <w:t>4315648</w:t>
            </w:r>
          </w:p>
        </w:tc>
      </w:tr>
    </w:tbl>
    <w:p w14:paraId="1AB77EFB">
      <w:pPr>
        <w:pStyle w:val="53"/>
        <w:ind w:left="0" w:leftChars="0" w:firstLine="0" w:firstLineChars="0"/>
        <w:rPr>
          <w:rFonts w:hint="eastAsia" w:ascii="宋体" w:hAnsi="宋体" w:eastAsia="宋体" w:cs="宋体"/>
          <w:b/>
          <w:color w:val="auto"/>
          <w:sz w:val="28"/>
          <w:szCs w:val="28"/>
          <w:highlight w:val="none"/>
        </w:rPr>
      </w:pPr>
    </w:p>
    <w:p w14:paraId="2081B83F">
      <w:pPr>
        <w:pStyle w:val="3"/>
        <w:pageBreakBefore w:val="0"/>
        <w:widowControl w:val="0"/>
        <w:tabs>
          <w:tab w:val="left" w:pos="567"/>
        </w:tabs>
        <w:kinsoku/>
        <w:wordWrap/>
        <w:overflowPunct/>
        <w:topLinePunct w:val="0"/>
        <w:bidi w:val="0"/>
        <w:spacing w:before="0" w:after="0" w:line="240" w:lineRule="auto"/>
        <w:jc w:val="center"/>
        <w:textAlignment w:val="auto"/>
        <w:rPr>
          <w:rFonts w:hint="eastAsia" w:ascii="宋体" w:hAnsi="宋体" w:eastAsia="宋体" w:cs="宋体"/>
          <w:b/>
          <w:bCs w:val="0"/>
          <w:color w:val="auto"/>
          <w:sz w:val="28"/>
          <w:szCs w:val="28"/>
          <w:highlight w:val="none"/>
        </w:rPr>
      </w:pPr>
      <w:bookmarkStart w:id="59" w:name="_Toc27216"/>
      <w:bookmarkStart w:id="60" w:name="_Toc27120"/>
      <w:bookmarkStart w:id="61" w:name="_Toc2231"/>
      <w:bookmarkStart w:id="62" w:name="_Toc22792"/>
    </w:p>
    <w:p w14:paraId="0FA4077C">
      <w:pPr>
        <w:rPr>
          <w:rFonts w:hint="eastAsia" w:ascii="宋体" w:hAnsi="宋体" w:eastAsia="宋体" w:cs="宋体"/>
          <w:b/>
          <w:bCs w:val="0"/>
          <w:color w:val="auto"/>
          <w:sz w:val="28"/>
          <w:szCs w:val="28"/>
          <w:highlight w:val="none"/>
        </w:rPr>
      </w:pPr>
    </w:p>
    <w:p w14:paraId="036D07F1">
      <w:pPr>
        <w:rPr>
          <w:rFonts w:hint="eastAsia" w:ascii="宋体" w:hAnsi="宋体" w:eastAsia="宋体" w:cs="宋体"/>
          <w:b/>
          <w:bCs w:val="0"/>
          <w:color w:val="auto"/>
          <w:sz w:val="28"/>
          <w:szCs w:val="28"/>
          <w:highlight w:val="none"/>
        </w:rPr>
      </w:pPr>
    </w:p>
    <w:p w14:paraId="61F17028">
      <w:pPr>
        <w:rPr>
          <w:rFonts w:hint="eastAsia" w:ascii="宋体" w:hAnsi="宋体" w:eastAsia="宋体" w:cs="宋体"/>
          <w:b/>
          <w:bCs w:val="0"/>
          <w:color w:val="auto"/>
          <w:sz w:val="28"/>
          <w:szCs w:val="28"/>
          <w:highlight w:val="none"/>
        </w:rPr>
      </w:pPr>
    </w:p>
    <w:p w14:paraId="6C0A64CD">
      <w:pPr>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br w:type="page"/>
      </w:r>
    </w:p>
    <w:p w14:paraId="0B18C9A3">
      <w:pPr>
        <w:pStyle w:val="3"/>
        <w:pageBreakBefore w:val="0"/>
        <w:widowControl w:val="0"/>
        <w:tabs>
          <w:tab w:val="left" w:pos="567"/>
        </w:tabs>
        <w:kinsoku/>
        <w:wordWrap/>
        <w:overflowPunct/>
        <w:topLinePunct w:val="0"/>
        <w:bidi w:val="0"/>
        <w:spacing w:before="0" w:after="0" w:line="240" w:lineRule="auto"/>
        <w:jc w:val="center"/>
        <w:textAlignment w:val="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一、总则</w:t>
      </w:r>
      <w:bookmarkEnd w:id="59"/>
      <w:bookmarkEnd w:id="60"/>
      <w:bookmarkEnd w:id="61"/>
      <w:bookmarkEnd w:id="62"/>
    </w:p>
    <w:p w14:paraId="30387C24">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63" w:name="_Toc2996"/>
      <w:bookmarkStart w:id="64" w:name="_Toc6626"/>
      <w:bookmarkStart w:id="65" w:name="_Toc3367"/>
      <w:r>
        <w:rPr>
          <w:rFonts w:hint="eastAsia" w:ascii="宋体" w:hAnsi="宋体" w:eastAsia="宋体" w:cs="宋体"/>
          <w:color w:val="auto"/>
          <w:sz w:val="24"/>
          <w:szCs w:val="24"/>
          <w:highlight w:val="none"/>
        </w:rPr>
        <w:t>1. 适应范围</w:t>
      </w:r>
      <w:bookmarkEnd w:id="63"/>
      <w:bookmarkEnd w:id="64"/>
      <w:bookmarkEnd w:id="65"/>
    </w:p>
    <w:p w14:paraId="3FE3D19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项目名称及项目编号：</w:t>
      </w:r>
    </w:p>
    <w:p w14:paraId="1046973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资源县资源镇林下经济示范基地道路改扩建工程以工代赈项目</w:t>
      </w:r>
    </w:p>
    <w:p w14:paraId="654640B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项目编号：GLZC2026-C2-290070-GXGZ</w:t>
      </w:r>
    </w:p>
    <w:p w14:paraId="1267A08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1.2本竞争性磋商文件（以下简称磋商文件）适用于本磋商项目的磋商、评审、合同履约、验收、付款等行为（法律、法规另有规定的，从其规定）。</w:t>
      </w:r>
    </w:p>
    <w:p w14:paraId="2D21B51A">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66" w:name="_Toc28336"/>
      <w:bookmarkStart w:id="67" w:name="_Toc2845"/>
      <w:bookmarkStart w:id="68" w:name="_Toc25139"/>
      <w:r>
        <w:rPr>
          <w:rFonts w:hint="eastAsia" w:ascii="宋体" w:hAnsi="宋体" w:eastAsia="宋体" w:cs="宋体"/>
          <w:color w:val="auto"/>
          <w:sz w:val="24"/>
          <w:szCs w:val="24"/>
          <w:highlight w:val="none"/>
        </w:rPr>
        <w:t>2. 定义</w:t>
      </w:r>
      <w:bookmarkEnd w:id="66"/>
      <w:bookmarkEnd w:id="67"/>
      <w:bookmarkEnd w:id="68"/>
    </w:p>
    <w:p w14:paraId="4BA1EF2F">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2.1“供应商”是指符合本次采购项目的供应商资格并提交响应文件、参加磋商的供应商。如果该供应商在本次磋商中成交，即成为“成交供应商”。</w:t>
      </w:r>
    </w:p>
    <w:p w14:paraId="41D3B51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2.2“货物”系指按磋商文件规定，供应商须向采购人提供的一切设备、保险、税金、备品备件、工具、手册及其它有关技术资料和材料。</w:t>
      </w:r>
    </w:p>
    <w:p w14:paraId="133B8953">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2.3“服务”系指按磋商文件规定，供应商须承担的安装、调试、技术协助、校准、培训、技术指导以及其他类似的义务。</w:t>
      </w:r>
    </w:p>
    <w:p w14:paraId="453B29B6">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2.4“项目”系指供应商按磋商文件规定向采购人提供的货物和服务。</w:t>
      </w:r>
    </w:p>
    <w:p w14:paraId="7B29573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2.5“书面形式”包括信函、传真、电报等。</w:t>
      </w:r>
    </w:p>
    <w:p w14:paraId="66FEFFEB">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69" w:name="_Toc13017"/>
      <w:bookmarkStart w:id="70" w:name="_Toc25441"/>
      <w:bookmarkStart w:id="71" w:name="_Toc2884"/>
      <w:r>
        <w:rPr>
          <w:rFonts w:hint="eastAsia" w:ascii="宋体" w:hAnsi="宋体" w:eastAsia="宋体" w:cs="宋体"/>
          <w:color w:val="auto"/>
          <w:sz w:val="24"/>
          <w:szCs w:val="24"/>
          <w:highlight w:val="none"/>
        </w:rPr>
        <w:t>3. 供应商资格</w:t>
      </w:r>
      <w:bookmarkEnd w:id="69"/>
      <w:bookmarkEnd w:id="70"/>
      <w:bookmarkEnd w:id="71"/>
    </w:p>
    <w:p w14:paraId="4D80F3C3">
      <w:pPr>
        <w:pStyle w:val="4"/>
        <w:pageBreakBefore w:val="0"/>
        <w:widowControl w:val="0"/>
        <w:kinsoku/>
        <w:wordWrap/>
        <w:overflowPunct/>
        <w:topLinePunct w:val="0"/>
        <w:autoSpaceDE/>
        <w:autoSpaceDN/>
        <w:bidi w:val="0"/>
        <w:adjustRightInd/>
        <w:snapToGrid/>
        <w:spacing w:before="0" w:after="0" w:line="42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bookmarkStart w:id="72" w:name="_Toc16496"/>
      <w:bookmarkStart w:id="73" w:name="_Toc27029"/>
      <w:bookmarkStart w:id="74" w:name="_Toc9216"/>
      <w:r>
        <w:rPr>
          <w:rFonts w:hint="eastAsia" w:ascii="宋体" w:hAnsi="宋体" w:eastAsia="宋体" w:cs="宋体"/>
          <w:b w:val="0"/>
          <w:bCs w:val="0"/>
          <w:color w:val="auto"/>
          <w:kern w:val="2"/>
          <w:sz w:val="24"/>
          <w:szCs w:val="24"/>
          <w:highlight w:val="none"/>
          <w:lang w:val="en-US" w:eastAsia="zh-CN" w:bidi="ar-SA"/>
        </w:rPr>
        <w:t>见“</w:t>
      </w:r>
      <w:r>
        <w:rPr>
          <w:rFonts w:hint="eastAsia" w:ascii="宋体" w:hAnsi="宋体" w:cs="宋体"/>
          <w:b w:val="0"/>
          <w:bCs w:val="0"/>
          <w:color w:val="auto"/>
          <w:kern w:val="2"/>
          <w:sz w:val="24"/>
          <w:szCs w:val="24"/>
          <w:highlight w:val="none"/>
          <w:lang w:val="en-US" w:eastAsia="zh-CN" w:bidi="ar-SA"/>
        </w:rPr>
        <w:t>供应商</w:t>
      </w:r>
      <w:r>
        <w:rPr>
          <w:rFonts w:hint="eastAsia" w:ascii="宋体" w:hAnsi="宋体" w:eastAsia="宋体" w:cs="宋体"/>
          <w:b w:val="0"/>
          <w:bCs w:val="0"/>
          <w:color w:val="auto"/>
          <w:kern w:val="2"/>
          <w:sz w:val="24"/>
          <w:szCs w:val="24"/>
          <w:highlight w:val="none"/>
          <w:lang w:val="en-US" w:eastAsia="zh-CN" w:bidi="ar-SA"/>
        </w:rPr>
        <w:t>须知前附表”。</w:t>
      </w:r>
    </w:p>
    <w:p w14:paraId="4F305390">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磋商费用</w:t>
      </w:r>
      <w:bookmarkEnd w:id="72"/>
      <w:bookmarkEnd w:id="73"/>
      <w:bookmarkEnd w:id="74"/>
    </w:p>
    <w:p w14:paraId="726C9015">
      <w:pPr>
        <w:pageBreakBefore w:val="0"/>
        <w:widowControl w:val="0"/>
        <w:tabs>
          <w:tab w:val="left" w:pos="1635"/>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不论磋商结果如何，供应商均应自行承担所有与磋商有关的全部费用。</w:t>
      </w:r>
    </w:p>
    <w:p w14:paraId="3547B75B">
      <w:pPr>
        <w:pStyle w:val="4"/>
        <w:pageBreakBefore w:val="0"/>
        <w:widowControl w:val="0"/>
        <w:numPr>
          <w:ilvl w:val="0"/>
          <w:numId w:val="2"/>
        </w:numPr>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75" w:name="_Toc22877"/>
      <w:bookmarkStart w:id="76" w:name="_Toc31376"/>
      <w:bookmarkStart w:id="77" w:name="_Toc25728"/>
      <w:r>
        <w:rPr>
          <w:rFonts w:hint="eastAsia" w:ascii="宋体" w:hAnsi="宋体" w:eastAsia="宋体" w:cs="宋体"/>
          <w:color w:val="auto"/>
          <w:sz w:val="24"/>
          <w:szCs w:val="24"/>
          <w:highlight w:val="none"/>
        </w:rPr>
        <w:t>联合体要求</w:t>
      </w:r>
      <w:bookmarkEnd w:id="75"/>
      <w:bookmarkEnd w:id="76"/>
      <w:bookmarkEnd w:id="77"/>
    </w:p>
    <w:p w14:paraId="06ECE8B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本项目不接受联合体参与磋商</w:t>
      </w:r>
    </w:p>
    <w:p w14:paraId="4CC666DA">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78" w:name="_Toc2772"/>
      <w:bookmarkStart w:id="79" w:name="_Toc4152"/>
      <w:bookmarkStart w:id="80" w:name="_Toc18940"/>
      <w:r>
        <w:rPr>
          <w:rFonts w:hint="eastAsia" w:ascii="宋体" w:hAnsi="宋体" w:eastAsia="宋体" w:cs="宋体"/>
          <w:color w:val="auto"/>
          <w:sz w:val="24"/>
          <w:szCs w:val="24"/>
          <w:highlight w:val="none"/>
        </w:rPr>
        <w:t>6. 质疑和投诉</w:t>
      </w:r>
      <w:bookmarkEnd w:id="78"/>
      <w:bookmarkEnd w:id="79"/>
      <w:bookmarkEnd w:id="80"/>
      <w:r>
        <w:rPr>
          <w:rFonts w:hint="eastAsia" w:ascii="宋体" w:hAnsi="宋体" w:eastAsia="宋体" w:cs="宋体"/>
          <w:color w:val="auto"/>
          <w:sz w:val="24"/>
          <w:szCs w:val="24"/>
          <w:highlight w:val="none"/>
        </w:rPr>
        <w:tab/>
      </w:r>
    </w:p>
    <w:p w14:paraId="3320DFC3">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6.1供应商认为磋商文件使自己的合法权益受到损害的，应当于本项目公告期限届满之日起七个工作日内，以书面形式向采购代理机构提出质疑；供应商认为采购过程或成交结果使自己的合法权益受到损害的，应当在各采购程序环节结束之日或成交公告期限届满之日起七个工作日内，以书面形式向采购代理机构提出质疑</w:t>
      </w:r>
      <w:r>
        <w:rPr>
          <w:rFonts w:hint="eastAsia" w:ascii="宋体" w:hAnsi="宋体" w:cs="宋体"/>
          <w:b/>
          <w:color w:val="auto"/>
          <w:sz w:val="24"/>
          <w:szCs w:val="24"/>
          <w:highlight w:val="none"/>
        </w:rPr>
        <w:t>（“质疑函”格式见附表1）</w:t>
      </w:r>
      <w:r>
        <w:rPr>
          <w:rFonts w:hint="eastAsia" w:ascii="宋体" w:hAnsi="宋体" w:cs="宋体"/>
          <w:color w:val="auto"/>
          <w:sz w:val="24"/>
          <w:szCs w:val="24"/>
          <w:highlight w:val="none"/>
        </w:rPr>
        <w:t>。否则，采购代理机构有权拒收。</w:t>
      </w:r>
    </w:p>
    <w:p w14:paraId="26F86DFF">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采购代理机构应认真做好质疑处理工作，对于质疑供应商在法定质疑期内提出的质疑函，应当在收到质疑函后7个工作日内作出答复，并以书面形式通知质疑供应商和其他有关供应商。</w:t>
      </w:r>
    </w:p>
    <w:p w14:paraId="1001B617">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供应商在法定质疑期内应一次性提出与项目相关的质疑，供应商在提出与项目相关的质疑前应当做好全面且详细的工作，代理机构不再受理供应商针对同一采购程序环节的再次质疑。</w:t>
      </w:r>
    </w:p>
    <w:p w14:paraId="65ED8763">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6.2供应商对采购代理机构的质疑答复不满意或者采购代理机构未在规定的时间内作出答复的，可以在答复期满后十五个工作日内向</w:t>
      </w:r>
      <w:r>
        <w:rPr>
          <w:rFonts w:hint="eastAsia" w:ascii="宋体" w:hAnsi="宋体" w:cs="宋体"/>
          <w:color w:val="auto"/>
          <w:sz w:val="24"/>
          <w:szCs w:val="24"/>
          <w:highlight w:val="none"/>
          <w:lang w:val="en-US" w:eastAsia="zh-CN"/>
        </w:rPr>
        <w:t>桂林市资源县</w:t>
      </w:r>
      <w:r>
        <w:rPr>
          <w:rFonts w:hint="eastAsia" w:ascii="宋体" w:hAnsi="宋体" w:cs="宋体"/>
          <w:color w:val="auto"/>
          <w:sz w:val="24"/>
          <w:szCs w:val="24"/>
          <w:highlight w:val="none"/>
        </w:rPr>
        <w:t>政府采购监督管理机构投诉</w:t>
      </w:r>
      <w:r>
        <w:rPr>
          <w:rFonts w:hint="eastAsia" w:ascii="宋体" w:hAnsi="宋体" w:cs="宋体"/>
          <w:b/>
          <w:color w:val="auto"/>
          <w:sz w:val="24"/>
          <w:szCs w:val="24"/>
          <w:highlight w:val="none"/>
        </w:rPr>
        <w:t>（“投诉书”格式见附表2）</w:t>
      </w:r>
      <w:r>
        <w:rPr>
          <w:rFonts w:hint="eastAsia" w:ascii="宋体" w:hAnsi="宋体" w:cs="宋体"/>
          <w:color w:val="auto"/>
          <w:sz w:val="24"/>
          <w:szCs w:val="24"/>
          <w:highlight w:val="none"/>
        </w:rPr>
        <w:t>。</w:t>
      </w:r>
    </w:p>
    <w:p w14:paraId="5E31F1E8">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sz w:val="24"/>
          <w:szCs w:val="24"/>
          <w:highlight w:val="none"/>
        </w:rPr>
        <w:t>6.3质疑、投诉应当采用书面形式，质疑书、投诉书实行实名制，均应明确阐述磋商文件、磋商过程或成交结果中使自己合法权益受到损害的实质性内容，并提供必要的证明材料</w:t>
      </w:r>
      <w:r>
        <w:rPr>
          <w:rFonts w:hint="eastAsia" w:ascii="宋体" w:hAnsi="宋体" w:cs="宋体"/>
          <w:color w:val="auto"/>
          <w:kern w:val="0"/>
          <w:sz w:val="24"/>
          <w:szCs w:val="24"/>
          <w:highlight w:val="none"/>
        </w:rPr>
        <w:t>。</w:t>
      </w:r>
    </w:p>
    <w:p w14:paraId="4CFE8435">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供应商提出质疑应当提交质疑函和必要的证明材料，针对同一采购程序环节的质疑必须在法定质疑期内一次性提出。质疑函应当包括下列内容：</w:t>
      </w:r>
    </w:p>
    <w:p w14:paraId="16C4C09C">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（1）供应商的姓名或者名称、地址、邮编、联系人及联系电话；</w:t>
      </w:r>
    </w:p>
    <w:p w14:paraId="32E51AAD">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（2）质疑项目的名称、编号；</w:t>
      </w:r>
    </w:p>
    <w:p w14:paraId="3DC9CE65">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（3）具体、明确的质疑事项和与质疑事项相关的请求；</w:t>
      </w:r>
    </w:p>
    <w:p w14:paraId="19621F60">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（4）事实依据；</w:t>
      </w:r>
    </w:p>
    <w:p w14:paraId="123A899A">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（5）必要的法律依据；</w:t>
      </w:r>
    </w:p>
    <w:p w14:paraId="29A39862">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（6）提出质疑的日期。</w:t>
      </w:r>
    </w:p>
    <w:p w14:paraId="4253BB8B">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供应商为自然人的，应当由本人签字；供应商为法人或者其他组织的，应当由法定代表人或者其授权代表签字或者盖章，并加盖公章。</w:t>
      </w:r>
    </w:p>
    <w:p w14:paraId="353BDCD4">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接收质疑函方式：以书面形式</w:t>
      </w:r>
    </w:p>
    <w:p w14:paraId="419A86A3">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81" w:name="_Toc2186"/>
      <w:bookmarkStart w:id="82" w:name="_Toc5032"/>
      <w:bookmarkStart w:id="83" w:name="_Toc6998"/>
      <w:r>
        <w:rPr>
          <w:rFonts w:hint="eastAsia" w:ascii="宋体" w:hAnsi="宋体" w:eastAsia="宋体" w:cs="宋体"/>
          <w:color w:val="auto"/>
          <w:sz w:val="24"/>
          <w:szCs w:val="24"/>
          <w:highlight w:val="none"/>
        </w:rPr>
        <w:t>7. 转包与分包</w:t>
      </w:r>
      <w:bookmarkEnd w:id="81"/>
      <w:bookmarkEnd w:id="82"/>
      <w:bookmarkEnd w:id="83"/>
    </w:p>
    <w:p w14:paraId="3EDC6986">
      <w:pPr>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sz w:val="24"/>
          <w:szCs w:val="24"/>
          <w:highlight w:val="none"/>
        </w:rPr>
        <w:t>7</w:t>
      </w:r>
      <w:r>
        <w:rPr>
          <w:rFonts w:hint="eastAsia" w:ascii="宋体" w:hAnsi="宋体" w:eastAsia="宋体" w:cs="宋体"/>
          <w:color w:val="auto"/>
          <w:kern w:val="0"/>
          <w:sz w:val="24"/>
          <w:szCs w:val="24"/>
          <w:highlight w:val="none"/>
          <w:shd w:val="clear" w:color="auto" w:fill="FFFFFF"/>
          <w:lang w:bidi="ar"/>
        </w:rPr>
        <w:t>.1 本项目不允许转包。</w:t>
      </w:r>
    </w:p>
    <w:p w14:paraId="2343F36E">
      <w:pPr>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7.2 本项目不可以分包。</w:t>
      </w:r>
    </w:p>
    <w:p w14:paraId="28E87FB7">
      <w:pPr>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7.3</w:t>
      </w:r>
      <w:r>
        <w:rPr>
          <w:rFonts w:hint="eastAsia" w:ascii="宋体" w:hAnsi="宋体" w:cs="宋体"/>
          <w:color w:val="auto"/>
          <w:kern w:val="0"/>
          <w:sz w:val="24"/>
          <w:szCs w:val="24"/>
          <w:highlight w:val="none"/>
          <w:shd w:val="clear" w:color="auto" w:fill="FFFFFF"/>
          <w:lang w:val="en-US" w:eastAsia="zh-CN" w:bidi="ar"/>
        </w:rPr>
        <w:t xml:space="preserve"> </w:t>
      </w:r>
      <w:r>
        <w:rPr>
          <w:rFonts w:hint="eastAsia" w:ascii="宋体" w:hAnsi="宋体" w:eastAsia="宋体" w:cs="宋体"/>
          <w:color w:val="auto"/>
          <w:kern w:val="0"/>
          <w:sz w:val="24"/>
          <w:szCs w:val="24"/>
          <w:highlight w:val="none"/>
          <w:shd w:val="clear" w:color="auto" w:fill="FFFFFF"/>
          <w:lang w:val="en-US" w:eastAsia="zh-CN" w:bidi="ar"/>
        </w:rPr>
        <w:t>本项目不允许挂靠。</w:t>
      </w:r>
    </w:p>
    <w:p w14:paraId="11E56D85">
      <w:pPr>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7.4</w:t>
      </w:r>
      <w:r>
        <w:rPr>
          <w:rFonts w:hint="eastAsia" w:ascii="宋体" w:hAnsi="宋体" w:cs="宋体"/>
          <w:color w:val="auto"/>
          <w:kern w:val="0"/>
          <w:sz w:val="24"/>
          <w:szCs w:val="24"/>
          <w:highlight w:val="none"/>
          <w:shd w:val="clear" w:color="auto" w:fill="FFFFFF"/>
          <w:lang w:val="en-US" w:eastAsia="zh-CN" w:bidi="ar"/>
        </w:rPr>
        <w:t xml:space="preserve"> </w:t>
      </w:r>
      <w:r>
        <w:rPr>
          <w:rFonts w:hint="eastAsia" w:ascii="宋体" w:hAnsi="宋体" w:eastAsia="宋体" w:cs="宋体"/>
          <w:color w:val="auto"/>
          <w:kern w:val="0"/>
          <w:sz w:val="24"/>
          <w:szCs w:val="24"/>
          <w:highlight w:val="none"/>
          <w:shd w:val="clear" w:color="auto" w:fill="FFFFFF"/>
          <w:lang w:val="en-US" w:eastAsia="zh-CN" w:bidi="ar"/>
        </w:rPr>
        <w:t>如发现有以上行为，采购人有权终止合同，所有损失由成交供应商承担。</w:t>
      </w:r>
    </w:p>
    <w:p w14:paraId="3AF570A1">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84" w:name="_Toc23428"/>
      <w:bookmarkStart w:id="85" w:name="_Toc15097"/>
      <w:bookmarkStart w:id="86" w:name="_Toc3368"/>
      <w:r>
        <w:rPr>
          <w:rFonts w:hint="eastAsia" w:ascii="宋体" w:hAnsi="宋体" w:eastAsia="宋体" w:cs="宋体"/>
          <w:color w:val="auto"/>
          <w:sz w:val="24"/>
          <w:szCs w:val="24"/>
          <w:highlight w:val="none"/>
        </w:rPr>
        <w:t>8. 特别说明</w:t>
      </w:r>
      <w:bookmarkEnd w:id="84"/>
      <w:bookmarkEnd w:id="85"/>
      <w:bookmarkEnd w:id="86"/>
    </w:p>
    <w:p w14:paraId="5E5BCEA1">
      <w:pPr>
        <w:pageBreakBefore w:val="0"/>
        <w:widowControl w:val="0"/>
        <w:tabs>
          <w:tab w:val="left" w:pos="1635"/>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关联供应商不得参加同一合同项下政府采购活动，否则响应文件将被视为无效：</w:t>
      </w:r>
    </w:p>
    <w:p w14:paraId="3E8C30D4">
      <w:pPr>
        <w:pageBreakBefore w:val="0"/>
        <w:widowControl w:val="0"/>
        <w:tabs>
          <w:tab w:val="left" w:pos="1635"/>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（1）单位负责人为同一人或者存在直接控股、管理关系的不同供应商，不得参加同一合同项下的政府采购活动。</w:t>
      </w:r>
    </w:p>
    <w:p w14:paraId="3BD35F35">
      <w:pPr>
        <w:pageBreakBefore w:val="0"/>
        <w:widowControl w:val="0"/>
        <w:tabs>
          <w:tab w:val="left" w:pos="1635"/>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（2）为本采购项目提供整体设计、规范编制或者项目管理、监理、检测等服务的供应商，不得再参加本次采购活动。</w:t>
      </w:r>
      <w:bookmarkStart w:id="87" w:name="_Toc16417"/>
      <w:bookmarkStart w:id="88" w:name="_Toc22498"/>
      <w:bookmarkStart w:id="89" w:name="_Toc25527"/>
      <w:bookmarkStart w:id="90" w:name="_Toc29496"/>
    </w:p>
    <w:p w14:paraId="5FBB2612">
      <w:pPr>
        <w:pageBreakBefore w:val="0"/>
        <w:widowControl w:val="0"/>
        <w:tabs>
          <w:tab w:val="left" w:pos="1635"/>
        </w:tabs>
        <w:kinsoku/>
        <w:wordWrap/>
        <w:overflowPunct/>
        <w:topLinePunct w:val="0"/>
        <w:autoSpaceDE/>
        <w:autoSpaceDN/>
        <w:bidi w:val="0"/>
        <w:adjustRightInd/>
        <w:snapToGrid/>
        <w:spacing w:line="420" w:lineRule="exact"/>
        <w:ind w:firstLine="562" w:firstLineChars="200"/>
        <w:jc w:val="center"/>
        <w:textAlignment w:val="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二、磋商文件</w:t>
      </w:r>
      <w:bookmarkEnd w:id="87"/>
      <w:bookmarkEnd w:id="88"/>
      <w:bookmarkEnd w:id="89"/>
      <w:bookmarkEnd w:id="90"/>
    </w:p>
    <w:p w14:paraId="5B04E626">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lang w:val="pt-BR"/>
        </w:rPr>
      </w:pPr>
      <w:bookmarkStart w:id="91" w:name="_Toc18964"/>
      <w:bookmarkStart w:id="92" w:name="_Toc20057"/>
      <w:bookmarkStart w:id="93" w:name="_Toc22380"/>
      <w:r>
        <w:rPr>
          <w:rFonts w:hint="eastAsia" w:ascii="宋体" w:hAnsi="宋体" w:eastAsia="宋体" w:cs="宋体"/>
          <w:color w:val="auto"/>
          <w:sz w:val="24"/>
          <w:szCs w:val="24"/>
          <w:highlight w:val="none"/>
          <w:lang w:val="pt-BR"/>
        </w:rPr>
        <w:t xml:space="preserve">9. </w:t>
      </w:r>
      <w:r>
        <w:rPr>
          <w:rFonts w:hint="eastAsia" w:ascii="宋体" w:hAnsi="宋体" w:eastAsia="宋体" w:cs="宋体"/>
          <w:color w:val="auto"/>
          <w:sz w:val="24"/>
          <w:szCs w:val="24"/>
          <w:highlight w:val="none"/>
        </w:rPr>
        <w:t>磋商文件的构成</w:t>
      </w:r>
      <w:bookmarkEnd w:id="91"/>
      <w:bookmarkEnd w:id="92"/>
      <w:bookmarkEnd w:id="93"/>
    </w:p>
    <w:p w14:paraId="470D95F6">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（1）竞争性磋商公告；</w:t>
      </w:r>
    </w:p>
    <w:p w14:paraId="78C2759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（2）供应商须知；</w:t>
      </w:r>
    </w:p>
    <w:p w14:paraId="678CD75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（3）工程量清单</w:t>
      </w:r>
      <w:r>
        <w:rPr>
          <w:rFonts w:hint="eastAsia" w:ascii="宋体" w:hAnsi="宋体" w:eastAsia="宋体" w:cs="宋体"/>
          <w:bCs/>
          <w:color w:val="auto"/>
          <w:sz w:val="24"/>
          <w:szCs w:val="24"/>
          <w:highlight w:val="none"/>
        </w:rPr>
        <w:t>；</w:t>
      </w:r>
    </w:p>
    <w:p w14:paraId="2A99521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（4）评审办法；</w:t>
      </w:r>
    </w:p>
    <w:p w14:paraId="3F6E356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（5）采购合同（合同主要条款及格式）；</w:t>
      </w:r>
    </w:p>
    <w:p w14:paraId="4F8902A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（6）响应文件（格式）</w:t>
      </w:r>
      <w:r>
        <w:rPr>
          <w:rFonts w:hint="eastAsia" w:ascii="宋体" w:hAnsi="宋体" w:eastAsia="宋体" w:cs="宋体"/>
          <w:color w:val="auto"/>
          <w:sz w:val="24"/>
          <w:szCs w:val="24"/>
          <w:highlight w:val="none"/>
          <w:lang w:eastAsia="zh-CN"/>
        </w:rPr>
        <w:t>；</w:t>
      </w:r>
    </w:p>
    <w:p w14:paraId="4482250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bookmarkStart w:id="94" w:name="_Toc9103"/>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图纸。</w:t>
      </w:r>
    </w:p>
    <w:p w14:paraId="5B1F8CCC">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95" w:name="_Toc26702"/>
      <w:bookmarkStart w:id="96" w:name="_Toc17932"/>
      <w:r>
        <w:rPr>
          <w:rFonts w:hint="eastAsia" w:ascii="宋体" w:hAnsi="宋体" w:eastAsia="宋体" w:cs="宋体"/>
          <w:color w:val="auto"/>
          <w:sz w:val="24"/>
          <w:szCs w:val="24"/>
          <w:highlight w:val="none"/>
        </w:rPr>
        <w:t>10. 磋商文件的澄清与修改</w:t>
      </w:r>
      <w:bookmarkEnd w:id="94"/>
      <w:bookmarkEnd w:id="95"/>
      <w:bookmarkEnd w:id="96"/>
    </w:p>
    <w:p w14:paraId="6F8BA8E6">
      <w:pPr>
        <w:pageBreakBefore w:val="0"/>
        <w:widowControl w:val="0"/>
        <w:tabs>
          <w:tab w:val="left" w:pos="2190"/>
        </w:tabs>
        <w:kinsoku/>
        <w:wordWrap/>
        <w:overflowPunct/>
        <w:topLinePunct w:val="0"/>
        <w:autoSpaceDE/>
        <w:autoSpaceDN/>
        <w:bidi w:val="0"/>
        <w:adjustRightInd/>
        <w:snapToGrid/>
        <w:spacing w:line="420" w:lineRule="exact"/>
        <w:ind w:firstLine="437"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10.1提交首次响应文件截止之日前，采购代理机构可以对已发出的磋商文件进行必要澄清或者修改，澄清或者修改的内容可能影响响应文件编制的，采购代理机构应当在提交首次响应文件提交截止时间</w:t>
      </w: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rPr>
        <w:t>日前在本项目竞争性磋商公告发布的同一媒体上发布更正公告，不足</w:t>
      </w: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rPr>
        <w:t>日的，应当顺延首次响应文件提交截止时间。</w:t>
      </w:r>
    </w:p>
    <w:p w14:paraId="22B4EEC0">
      <w:pPr>
        <w:pageBreakBefore w:val="0"/>
        <w:widowControl w:val="0"/>
        <w:tabs>
          <w:tab w:val="left" w:pos="2190"/>
        </w:tabs>
        <w:kinsoku/>
        <w:wordWrap/>
        <w:overflowPunct/>
        <w:topLinePunct w:val="0"/>
        <w:autoSpaceDE/>
        <w:autoSpaceDN/>
        <w:bidi w:val="0"/>
        <w:adjustRightInd/>
        <w:snapToGrid/>
        <w:spacing w:line="420" w:lineRule="exact"/>
        <w:ind w:firstLine="437"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10.2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33FBA069">
      <w:pPr>
        <w:pageBreakBefore w:val="0"/>
        <w:widowControl w:val="0"/>
        <w:tabs>
          <w:tab w:val="left" w:pos="2190"/>
        </w:tabs>
        <w:kinsoku/>
        <w:wordWrap/>
        <w:overflowPunct/>
        <w:topLinePunct w:val="0"/>
        <w:autoSpaceDE/>
        <w:autoSpaceDN/>
        <w:bidi w:val="0"/>
        <w:adjustRightInd/>
        <w:snapToGrid/>
        <w:spacing w:line="420" w:lineRule="exact"/>
        <w:ind w:firstLine="437"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10.3澄清或者修改的内容为磋商文件的组成部分。当澄清或者修改通知就同一内容的表述不一致时，以最后发出的书面文件为准。</w:t>
      </w:r>
    </w:p>
    <w:p w14:paraId="1609A84E">
      <w:pPr>
        <w:pageBreakBefore w:val="0"/>
        <w:widowControl w:val="0"/>
        <w:tabs>
          <w:tab w:val="left" w:pos="2190"/>
        </w:tabs>
        <w:kinsoku/>
        <w:wordWrap/>
        <w:overflowPunct/>
        <w:topLinePunct w:val="0"/>
        <w:autoSpaceDE/>
        <w:autoSpaceDN/>
        <w:bidi w:val="0"/>
        <w:adjustRightInd/>
        <w:snapToGrid/>
        <w:spacing w:line="420" w:lineRule="exact"/>
        <w:ind w:firstLine="437"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10.4 磋商文件的澄清或者修改都应该通过本项目采购代理机构以法定形式发布，采购人非通过本机构，不得擅自澄清、答复、修改或补充磋商文件。</w:t>
      </w:r>
    </w:p>
    <w:p w14:paraId="6DFC3DE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10.5 采购代理机构可以视采购具体情况，延长响应文件提交截止时间和磋商时间，并在本项目竞争性磋商公告发布的同一媒体上发布变更公告。</w:t>
      </w:r>
    </w:p>
    <w:p w14:paraId="7BD2E6A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color w:val="auto"/>
          <w:kern w:val="0"/>
          <w:sz w:val="24"/>
          <w:szCs w:val="24"/>
          <w:highlight w:val="none"/>
        </w:rPr>
      </w:pPr>
    </w:p>
    <w:p w14:paraId="422BA428">
      <w:pPr>
        <w:pStyle w:val="3"/>
        <w:pageBreakBefore w:val="0"/>
        <w:widowControl w:val="0"/>
        <w:tabs>
          <w:tab w:val="left" w:pos="567"/>
        </w:tabs>
        <w:kinsoku/>
        <w:wordWrap/>
        <w:overflowPunct/>
        <w:topLinePunct w:val="0"/>
        <w:bidi w:val="0"/>
        <w:spacing w:before="0" w:after="0" w:line="240" w:lineRule="auto"/>
        <w:ind w:firstLine="0" w:firstLineChars="0"/>
        <w:jc w:val="center"/>
        <w:textAlignment w:val="auto"/>
        <w:rPr>
          <w:rFonts w:hint="eastAsia" w:ascii="宋体" w:hAnsi="宋体" w:eastAsia="宋体" w:cs="宋体"/>
          <w:b/>
          <w:bCs w:val="0"/>
          <w:color w:val="auto"/>
          <w:sz w:val="28"/>
          <w:szCs w:val="28"/>
          <w:highlight w:val="none"/>
        </w:rPr>
      </w:pPr>
      <w:bookmarkStart w:id="97" w:name="_Toc32467"/>
      <w:bookmarkStart w:id="98" w:name="_Toc17820"/>
      <w:bookmarkStart w:id="99" w:name="_Toc20830"/>
      <w:bookmarkStart w:id="100" w:name="_Toc21873"/>
      <w:r>
        <w:rPr>
          <w:rFonts w:hint="eastAsia" w:ascii="宋体" w:hAnsi="宋体" w:eastAsia="宋体" w:cs="宋体"/>
          <w:b/>
          <w:bCs w:val="0"/>
          <w:color w:val="auto"/>
          <w:sz w:val="28"/>
          <w:szCs w:val="28"/>
          <w:highlight w:val="none"/>
        </w:rPr>
        <w:t>三、竞争性磋商响应文件的编制</w:t>
      </w:r>
      <w:bookmarkEnd w:id="97"/>
      <w:bookmarkEnd w:id="98"/>
      <w:bookmarkEnd w:id="99"/>
      <w:bookmarkEnd w:id="100"/>
    </w:p>
    <w:p w14:paraId="0596B846">
      <w:pPr>
        <w:pStyle w:val="4"/>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宋体" w:hAnsi="宋体" w:eastAsia="宋体" w:cs="宋体"/>
          <w:b/>
          <w:color w:val="auto"/>
          <w:sz w:val="24"/>
          <w:szCs w:val="24"/>
          <w:highlight w:val="none"/>
          <w:lang w:val="en-US" w:eastAsia="zh-CN"/>
        </w:rPr>
      </w:pPr>
      <w:bookmarkStart w:id="101" w:name="_Toc30771"/>
      <w:bookmarkStart w:id="102" w:name="_Toc19747"/>
      <w:r>
        <w:rPr>
          <w:rFonts w:hint="eastAsia" w:ascii="宋体" w:hAnsi="宋体" w:eastAsia="宋体" w:cs="宋体"/>
          <w:b/>
          <w:color w:val="auto"/>
          <w:sz w:val="24"/>
          <w:szCs w:val="24"/>
          <w:highlight w:val="none"/>
          <w:lang w:val="en-US" w:eastAsia="zh-CN"/>
        </w:rPr>
        <w:t>11.竞争性磋商响应文件编制基本要求</w:t>
      </w:r>
      <w:bookmarkEnd w:id="101"/>
      <w:bookmarkEnd w:id="102"/>
    </w:p>
    <w:p w14:paraId="5FFC28C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11.1 本项目实行电子</w:t>
      </w:r>
      <w:r>
        <w:rPr>
          <w:rFonts w:hint="eastAsia" w:ascii="宋体" w:hAnsi="宋体" w:cs="宋体"/>
          <w:b w:val="0"/>
          <w:bCs w:val="0"/>
          <w:color w:val="auto"/>
          <w:sz w:val="24"/>
          <w:szCs w:val="24"/>
          <w:highlight w:val="none"/>
          <w:lang w:val="en-US" w:eastAsia="zh-CN"/>
        </w:rPr>
        <w:t>响应</w:t>
      </w:r>
      <w:r>
        <w:rPr>
          <w:rFonts w:hint="eastAsia" w:ascii="宋体" w:hAnsi="宋体" w:eastAsia="宋体" w:cs="宋体"/>
          <w:b w:val="0"/>
          <w:bCs w:val="0"/>
          <w:color w:val="auto"/>
          <w:sz w:val="24"/>
          <w:szCs w:val="24"/>
          <w:highlight w:val="none"/>
          <w:lang w:val="en-US" w:eastAsia="zh-CN"/>
        </w:rPr>
        <w:t>，供应商应准备电子磋商响应文件：</w:t>
      </w:r>
    </w:p>
    <w:p w14:paraId="6004C197">
      <w:pPr>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11.1.1 电子响应文件按</w:t>
      </w:r>
      <w:r>
        <w:rPr>
          <w:rFonts w:hint="eastAsia" w:ascii="宋体" w:hAnsi="宋体" w:cs="宋体"/>
          <w:b w:val="0"/>
          <w:bCs w:val="0"/>
          <w:color w:val="auto"/>
          <w:sz w:val="24"/>
          <w:szCs w:val="24"/>
          <w:highlight w:val="none"/>
          <w:lang w:val="en-US" w:eastAsia="zh-CN"/>
        </w:rPr>
        <w:t>广西政府采购云平台</w:t>
      </w:r>
      <w:r>
        <w:rPr>
          <w:rFonts w:hint="eastAsia" w:ascii="宋体" w:hAnsi="宋体" w:eastAsia="宋体" w:cs="宋体"/>
          <w:b w:val="0"/>
          <w:bCs w:val="0"/>
          <w:color w:val="auto"/>
          <w:sz w:val="24"/>
          <w:szCs w:val="24"/>
          <w:highlight w:val="none"/>
          <w:lang w:val="en-US" w:eastAsia="zh-CN"/>
        </w:rPr>
        <w:t>要求及本磋商文件要求制作、加密并递交。具体操作流程可参考《政府采购项目电子交易管理操作指南-供应商》。</w:t>
      </w:r>
    </w:p>
    <w:p w14:paraId="58159FF7">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竞争性磋商响应文件（以下简称响应文件）的组成及要求</w:t>
      </w:r>
    </w:p>
    <w:p w14:paraId="61306F11">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w:t>
      </w:r>
      <w:r>
        <w:rPr>
          <w:rFonts w:hint="eastAsia" w:ascii="宋体" w:hAnsi="宋体" w:eastAsia="宋体" w:cs="宋体"/>
          <w:b/>
          <w:bCs/>
          <w:color w:val="auto"/>
          <w:sz w:val="24"/>
          <w:szCs w:val="24"/>
          <w:highlight w:val="none"/>
          <w:lang w:val="en-US" w:eastAsia="zh-CN"/>
        </w:rPr>
        <w:t>2.1</w:t>
      </w:r>
      <w:r>
        <w:rPr>
          <w:rFonts w:hint="eastAsia" w:ascii="宋体" w:hAnsi="宋体" w:eastAsia="宋体" w:cs="宋体"/>
          <w:b/>
          <w:bCs/>
          <w:color w:val="auto"/>
          <w:sz w:val="24"/>
          <w:szCs w:val="24"/>
          <w:highlight w:val="none"/>
        </w:rPr>
        <w:t>响应文件组成【格式见第六章“响应文件（格式）”】</w:t>
      </w:r>
    </w:p>
    <w:p w14:paraId="3560ED40">
      <w:pPr>
        <w:pageBreakBefore w:val="0"/>
        <w:widowControl w:val="0"/>
        <w:kinsoku/>
        <w:wordWrap/>
        <w:overflowPunct/>
        <w:topLinePunct w:val="0"/>
        <w:autoSpaceDE/>
        <w:autoSpaceDN/>
        <w:bidi w:val="0"/>
        <w:adjustRightInd/>
        <w:snapToGrid/>
        <w:spacing w:line="420" w:lineRule="exact"/>
        <w:ind w:firstLine="482" w:firstLineChars="200"/>
        <w:textAlignment w:val="auto"/>
        <w:outlineLvl w:val="2"/>
        <w:rPr>
          <w:rFonts w:hint="eastAsia" w:ascii="宋体" w:hAnsi="宋体" w:eastAsia="宋体" w:cs="宋体"/>
          <w:color w:val="auto"/>
          <w:sz w:val="24"/>
          <w:szCs w:val="24"/>
          <w:highlight w:val="none"/>
        </w:rPr>
      </w:pPr>
      <w:bookmarkStart w:id="103" w:name="_Toc19449"/>
      <w:r>
        <w:rPr>
          <w:rFonts w:hint="eastAsia" w:ascii="宋体" w:hAnsi="宋体" w:eastAsia="宋体" w:cs="宋体"/>
          <w:b/>
          <w:bCs/>
          <w:color w:val="auto"/>
          <w:sz w:val="24"/>
          <w:szCs w:val="24"/>
          <w:highlight w:val="none"/>
        </w:rPr>
        <w:t>11.</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1.1</w:t>
      </w:r>
      <w:r>
        <w:rPr>
          <w:rFonts w:hint="eastAsia" w:ascii="宋体" w:hAnsi="宋体" w:eastAsia="宋体" w:cs="宋体"/>
          <w:b/>
          <w:bCs/>
          <w:color w:val="auto"/>
          <w:sz w:val="24"/>
          <w:szCs w:val="24"/>
          <w:highlight w:val="none"/>
        </w:rPr>
        <w:t>资格性响应证明材料：</w:t>
      </w:r>
      <w:bookmarkEnd w:id="103"/>
    </w:p>
    <w:p w14:paraId="75FDC88B">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（1）供应商相应的法定</w:t>
      </w:r>
      <w:r>
        <w:rPr>
          <w:rFonts w:hint="eastAsia" w:ascii="宋体" w:hAnsi="宋体" w:eastAsia="宋体" w:cs="宋体"/>
          <w:b/>
          <w:bCs/>
          <w:color w:val="auto"/>
          <w:sz w:val="24"/>
          <w:szCs w:val="24"/>
          <w:highlight w:val="none"/>
          <w:lang w:eastAsia="zh-CN"/>
        </w:rPr>
        <w:t>代表人、负责人、自然人有效身份证正反两面复印件</w:t>
      </w:r>
      <w:r>
        <w:rPr>
          <w:rFonts w:hint="eastAsia" w:ascii="宋体" w:hAnsi="宋体" w:eastAsia="宋体" w:cs="宋体"/>
          <w:b/>
          <w:bCs/>
          <w:color w:val="auto"/>
          <w:sz w:val="24"/>
          <w:szCs w:val="24"/>
          <w:highlight w:val="none"/>
        </w:rPr>
        <w:t>（必须提供）</w:t>
      </w:r>
      <w:r>
        <w:rPr>
          <w:rFonts w:hint="eastAsia" w:ascii="宋体" w:hAnsi="宋体" w:eastAsia="宋体" w:cs="宋体"/>
          <w:color w:val="auto"/>
          <w:sz w:val="24"/>
          <w:szCs w:val="24"/>
          <w:highlight w:val="none"/>
        </w:rPr>
        <w:t>；</w:t>
      </w:r>
    </w:p>
    <w:p w14:paraId="4E5192E5">
      <w:pPr>
        <w:pageBreakBefore w:val="0"/>
        <w:widowControl w:val="0"/>
        <w:kinsoku/>
        <w:wordWrap/>
        <w:overflowPunct/>
        <w:topLinePunct w:val="0"/>
        <w:autoSpaceDE/>
        <w:autoSpaceDN/>
        <w:bidi w:val="0"/>
        <w:adjustRightInd/>
        <w:snapToGrid/>
        <w:spacing w:beforeLines="0" w:afterLines="0" w:line="42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（2）供应商的授权委托书原件、委托代理人身份证正反面复印件以及由县级以上（含县级）社会养老保险经办机构出具的供应商为委托代理人交纳的响应文件递交截止时间前半年内连续三个月社保</w:t>
      </w:r>
      <w:r>
        <w:rPr>
          <w:rFonts w:hint="eastAsia" w:ascii="宋体" w:hAnsi="宋体" w:eastAsia="宋体" w:cs="宋体"/>
          <w:b/>
          <w:bCs/>
          <w:color w:val="auto"/>
          <w:sz w:val="24"/>
          <w:szCs w:val="24"/>
          <w:highlight w:val="none"/>
          <w:lang w:eastAsia="zh-CN"/>
        </w:rPr>
        <w:t>证明</w:t>
      </w:r>
      <w:r>
        <w:rPr>
          <w:rFonts w:hint="eastAsia" w:ascii="宋体" w:hAnsi="宋体" w:eastAsia="宋体" w:cs="宋体"/>
          <w:b/>
          <w:bCs/>
          <w:color w:val="auto"/>
          <w:sz w:val="24"/>
          <w:szCs w:val="24"/>
          <w:highlight w:val="none"/>
        </w:rPr>
        <w:t>复印件</w:t>
      </w:r>
      <w:r>
        <w:rPr>
          <w:rFonts w:hint="eastAsia" w:ascii="宋体" w:hAnsi="宋体" w:eastAsia="宋体" w:cs="宋体"/>
          <w:b w:val="0"/>
          <w:bCs w:val="0"/>
          <w:color w:val="auto"/>
          <w:sz w:val="24"/>
          <w:szCs w:val="24"/>
          <w:highlight w:val="none"/>
        </w:rPr>
        <w:t>，除供应商为</w:t>
      </w:r>
      <w:r>
        <w:rPr>
          <w:rFonts w:hint="eastAsia" w:ascii="宋体" w:hAnsi="宋体" w:eastAsia="宋体" w:cs="宋体"/>
          <w:color w:val="auto"/>
          <w:sz w:val="24"/>
          <w:szCs w:val="24"/>
          <w:highlight w:val="none"/>
        </w:rPr>
        <w:t>以下</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种情形的：</w:t>
      </w:r>
    </w:p>
    <w:p w14:paraId="04A34785">
      <w:pPr>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kern w:val="0"/>
          <w:sz w:val="24"/>
          <w:szCs w:val="24"/>
          <w:highlight w:val="none"/>
          <w:shd w:val="clear" w:color="auto" w:fill="auto"/>
        </w:rPr>
        <w:t>①如供应商为响应文件提交截止时间前60日以内成立的公司，可以提供供应商与委托代理人签订的劳动合同复印件代替社保证明复印件；②如供应商为事业单位，可以提供事业单位机构编制管理证复印件或事业单位机构为其发放工资的工资条复印件代替社保证明复印件；③如委托代理人为免缴纳社保人员，提供免缴纳社保的证明材料复印件及供应商与委托代理人签订的劳动合同复印件代替养老保险证明复印件。【属自然人的应提供由县级以上（含县级）社会养老保险经办机构出具的自然人本人及委托代理人所交纳的响应文件递交截止时间前半年内连续三个月社保证明复印件】</w:t>
      </w:r>
      <w:r>
        <w:rPr>
          <w:rFonts w:hint="eastAsia" w:ascii="宋体" w:hAnsi="宋体" w:eastAsia="宋体" w:cs="宋体"/>
          <w:b/>
          <w:bCs/>
          <w:color w:val="auto"/>
          <w:sz w:val="24"/>
          <w:szCs w:val="24"/>
          <w:highlight w:val="none"/>
        </w:rPr>
        <w:t>（委托代理时必须提供）</w:t>
      </w:r>
    </w:p>
    <w:p w14:paraId="07A626EF">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auto"/>
          <w:sz w:val="24"/>
          <w:szCs w:val="32"/>
          <w:highlight w:val="none"/>
        </w:rPr>
      </w:pPr>
      <w:r>
        <w:rPr>
          <w:rFonts w:hint="eastAsia" w:ascii="宋体" w:hAnsi="宋体" w:eastAsia="宋体" w:cs="宋体"/>
          <w:b/>
          <w:bCs/>
          <w:color w:val="auto"/>
          <w:sz w:val="24"/>
          <w:szCs w:val="24"/>
          <w:highlight w:val="none"/>
        </w:rPr>
        <w:t>（3）供应商参加政府采购活动前3年内在经营活动中没有重大违法记录及有关信用信息的书面声明（必须提供）</w:t>
      </w:r>
      <w:r>
        <w:rPr>
          <w:rFonts w:hint="eastAsia" w:ascii="宋体" w:hAnsi="宋体" w:eastAsia="宋体" w:cs="宋体"/>
          <w:b w:val="0"/>
          <w:bCs w:val="0"/>
          <w:color w:val="auto"/>
          <w:sz w:val="24"/>
          <w:szCs w:val="24"/>
          <w:highlight w:val="none"/>
        </w:rPr>
        <w:t>；</w:t>
      </w:r>
    </w:p>
    <w:p w14:paraId="7D468ECD">
      <w:pPr>
        <w:pageBreakBefore w:val="0"/>
        <w:widowControl w:val="0"/>
        <w:numPr>
          <w:ilvl w:val="0"/>
          <w:numId w:val="0"/>
        </w:numPr>
        <w:kinsoku/>
        <w:wordWrap/>
        <w:overflowPunct/>
        <w:topLinePunct w:val="0"/>
        <w:autoSpaceDE/>
        <w:autoSpaceDN/>
        <w:bidi w:val="0"/>
        <w:adjustRightInd/>
        <w:snapToGrid/>
        <w:spacing w:line="420" w:lineRule="exact"/>
        <w:ind w:leftChars="200"/>
        <w:textAlignment w:val="auto"/>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4</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供应商的法人或者其他组织营业执照等证明文件复印件（必须提供，自然人除外）</w:t>
      </w:r>
      <w:r>
        <w:rPr>
          <w:rFonts w:hint="eastAsia" w:ascii="宋体" w:hAnsi="宋体" w:eastAsia="宋体" w:cs="宋体"/>
          <w:b w:val="0"/>
          <w:bCs w:val="0"/>
          <w:color w:val="auto"/>
          <w:sz w:val="24"/>
          <w:szCs w:val="24"/>
          <w:highlight w:val="none"/>
        </w:rPr>
        <w:t>；</w:t>
      </w:r>
    </w:p>
    <w:p w14:paraId="58E4E6EE">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rPr>
        <w:t>注：</w:t>
      </w:r>
      <w:r>
        <w:rPr>
          <w:rFonts w:hint="eastAsia" w:ascii="宋体" w:hAnsi="宋体" w:eastAsia="宋体" w:cs="宋体"/>
          <w:b w:val="0"/>
          <w:bCs w:val="0"/>
          <w:color w:val="auto"/>
          <w:sz w:val="24"/>
          <w:szCs w:val="24"/>
          <w:highlight w:val="none"/>
        </w:rPr>
        <w:t>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6C09E0A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color w:val="auto"/>
          <w:sz w:val="24"/>
          <w:szCs w:val="32"/>
          <w:highlight w:val="none"/>
        </w:rPr>
      </w:pPr>
      <w:r>
        <w:rPr>
          <w:rFonts w:hint="eastAsia" w:ascii="宋体" w:hAnsi="宋体" w:cs="宋体"/>
          <w:b/>
          <w:bCs w:val="0"/>
          <w:color w:val="auto"/>
          <w:kern w:val="0"/>
          <w:sz w:val="24"/>
          <w:szCs w:val="24"/>
          <w:highlight w:val="none"/>
          <w:lang w:eastAsia="zh-CN"/>
        </w:rPr>
        <w:t>（</w:t>
      </w:r>
      <w:r>
        <w:rPr>
          <w:rFonts w:hint="eastAsia" w:ascii="宋体" w:hAnsi="宋体" w:cs="宋体"/>
          <w:b/>
          <w:bCs w:val="0"/>
          <w:color w:val="auto"/>
          <w:kern w:val="0"/>
          <w:sz w:val="24"/>
          <w:szCs w:val="24"/>
          <w:highlight w:val="none"/>
          <w:lang w:val="en-US" w:eastAsia="zh-CN"/>
        </w:rPr>
        <w:t>5</w:t>
      </w:r>
      <w:r>
        <w:rPr>
          <w:rFonts w:hint="eastAsia" w:ascii="宋体" w:hAnsi="宋体" w:cs="宋体"/>
          <w:b/>
          <w:bCs w:val="0"/>
          <w:color w:val="auto"/>
          <w:kern w:val="0"/>
          <w:sz w:val="24"/>
          <w:szCs w:val="24"/>
          <w:highlight w:val="none"/>
          <w:lang w:eastAsia="zh-CN"/>
        </w:rPr>
        <w:t>）</w:t>
      </w:r>
      <w:r>
        <w:rPr>
          <w:rFonts w:hint="eastAsia" w:ascii="宋体" w:hAnsi="宋体" w:cs="宋体"/>
          <w:b/>
          <w:bCs w:val="0"/>
          <w:color w:val="auto"/>
          <w:kern w:val="0"/>
          <w:sz w:val="24"/>
          <w:szCs w:val="24"/>
          <w:highlight w:val="none"/>
        </w:rPr>
        <w:t>供应商有效的资质证书复印件</w:t>
      </w:r>
      <w:r>
        <w:rPr>
          <w:rFonts w:hint="eastAsia" w:ascii="宋体" w:hAnsi="宋体" w:cs="宋体"/>
          <w:b/>
          <w:bCs w:val="0"/>
          <w:color w:val="auto"/>
          <w:kern w:val="0"/>
          <w:sz w:val="24"/>
          <w:szCs w:val="24"/>
          <w:highlight w:val="none"/>
          <w:lang w:eastAsia="zh-CN"/>
        </w:rPr>
        <w:t>和安全生产许可证</w:t>
      </w:r>
      <w:r>
        <w:rPr>
          <w:rFonts w:hint="eastAsia" w:ascii="宋体" w:hAnsi="宋体" w:cs="宋体"/>
          <w:b/>
          <w:bCs w:val="0"/>
          <w:color w:val="auto"/>
          <w:kern w:val="0"/>
          <w:sz w:val="24"/>
          <w:szCs w:val="24"/>
          <w:highlight w:val="none"/>
        </w:rPr>
        <w:t>复印件</w:t>
      </w:r>
      <w:r>
        <w:rPr>
          <w:rFonts w:hint="eastAsia" w:ascii="宋体" w:hAnsi="宋体" w:cs="宋体"/>
          <w:b/>
          <w:bCs w:val="0"/>
          <w:color w:val="auto"/>
          <w:kern w:val="0"/>
          <w:sz w:val="24"/>
          <w:szCs w:val="24"/>
          <w:highlight w:val="none"/>
          <w:lang w:val="en-US" w:eastAsia="zh-CN"/>
        </w:rPr>
        <w:t>（必</w:t>
      </w:r>
      <w:r>
        <w:rPr>
          <w:rFonts w:hint="eastAsia" w:ascii="宋体" w:hAnsi="宋体" w:eastAsia="宋体" w:cs="宋体"/>
          <w:b/>
          <w:bCs/>
          <w:color w:val="auto"/>
          <w:sz w:val="24"/>
          <w:szCs w:val="24"/>
          <w:highlight w:val="none"/>
          <w:lang w:val="en-US" w:eastAsia="zh-CN"/>
        </w:rPr>
        <w:t>须提供）</w:t>
      </w:r>
      <w:r>
        <w:rPr>
          <w:rFonts w:hint="eastAsia" w:ascii="宋体" w:hAnsi="宋体" w:eastAsia="宋体" w:cs="宋体"/>
          <w:color w:val="auto"/>
          <w:sz w:val="24"/>
          <w:szCs w:val="24"/>
          <w:highlight w:val="none"/>
        </w:rPr>
        <w:t>；</w:t>
      </w:r>
    </w:p>
    <w:p w14:paraId="1521530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color w:val="auto"/>
          <w:sz w:val="24"/>
          <w:szCs w:val="24"/>
          <w:highlight w:val="none"/>
        </w:rPr>
      </w:pPr>
      <w:r>
        <w:rPr>
          <w:rFonts w:hint="eastAsia" w:ascii="宋体" w:hAnsi="宋体" w:cs="宋体"/>
          <w:b/>
          <w:bCs w:val="0"/>
          <w:color w:val="auto"/>
          <w:kern w:val="0"/>
          <w:sz w:val="24"/>
          <w:szCs w:val="24"/>
          <w:highlight w:val="none"/>
          <w:lang w:eastAsia="zh-CN"/>
        </w:rPr>
        <w:t>（</w:t>
      </w:r>
      <w:r>
        <w:rPr>
          <w:rFonts w:hint="eastAsia" w:ascii="宋体" w:hAnsi="宋体" w:cs="宋体"/>
          <w:b/>
          <w:bCs w:val="0"/>
          <w:color w:val="auto"/>
          <w:kern w:val="0"/>
          <w:sz w:val="24"/>
          <w:szCs w:val="24"/>
          <w:highlight w:val="none"/>
          <w:lang w:val="en-US" w:eastAsia="zh-CN"/>
        </w:rPr>
        <w:t>6</w:t>
      </w:r>
      <w:r>
        <w:rPr>
          <w:rFonts w:hint="eastAsia" w:ascii="宋体" w:hAnsi="宋体" w:cs="宋体"/>
          <w:b/>
          <w:bCs w:val="0"/>
          <w:color w:val="auto"/>
          <w:kern w:val="0"/>
          <w:sz w:val="24"/>
          <w:szCs w:val="24"/>
          <w:highlight w:val="none"/>
          <w:lang w:eastAsia="zh-CN"/>
        </w:rPr>
        <w:t>）</w:t>
      </w:r>
      <w:r>
        <w:rPr>
          <w:rFonts w:hint="eastAsia" w:ascii="宋体" w:hAnsi="宋体" w:eastAsia="宋体" w:cs="宋体"/>
          <w:b/>
          <w:bCs/>
          <w:color w:val="auto"/>
          <w:kern w:val="0"/>
          <w:sz w:val="24"/>
          <w:szCs w:val="24"/>
          <w:highlight w:val="none"/>
          <w:lang w:eastAsia="zh-CN"/>
        </w:rPr>
        <w:t>拟派项目经理的</w:t>
      </w:r>
      <w:r>
        <w:rPr>
          <w:rFonts w:hint="eastAsia" w:ascii="宋体" w:hAnsi="宋体" w:eastAsia="宋体" w:cs="宋体"/>
          <w:b/>
          <w:bCs/>
          <w:color w:val="auto"/>
          <w:sz w:val="24"/>
          <w:szCs w:val="24"/>
          <w:highlight w:val="none"/>
          <w:u w:val="none"/>
          <w:lang w:val="en-US" w:eastAsia="zh-CN"/>
        </w:rPr>
        <w:t>市政公用工程专业或公路工程专业的贰级（含贰级）及以上注册建造师</w:t>
      </w:r>
      <w:r>
        <w:rPr>
          <w:rFonts w:hint="eastAsia" w:ascii="宋体" w:hAnsi="宋体" w:cs="宋体"/>
          <w:b/>
          <w:bCs/>
          <w:color w:val="auto"/>
          <w:sz w:val="24"/>
          <w:szCs w:val="24"/>
          <w:highlight w:val="none"/>
          <w:u w:val="none"/>
          <w:lang w:val="en-US" w:eastAsia="zh-CN"/>
        </w:rPr>
        <w:t>证书并</w:t>
      </w:r>
      <w:r>
        <w:rPr>
          <w:rFonts w:hint="eastAsia" w:ascii="宋体" w:hAnsi="宋体" w:eastAsia="宋体" w:cs="宋体"/>
          <w:b/>
          <w:bCs/>
          <w:color w:val="auto"/>
          <w:sz w:val="24"/>
          <w:szCs w:val="24"/>
          <w:highlight w:val="none"/>
          <w:u w:val="none"/>
          <w:lang w:val="en-US" w:eastAsia="zh-CN"/>
        </w:rPr>
        <w:t>具有安全生产考核B证</w:t>
      </w:r>
      <w:r>
        <w:rPr>
          <w:rFonts w:hint="eastAsia" w:ascii="宋体" w:hAnsi="宋体" w:eastAsia="宋体" w:cs="宋体"/>
          <w:b/>
          <w:bCs/>
          <w:color w:val="auto"/>
          <w:sz w:val="24"/>
          <w:szCs w:val="24"/>
          <w:highlight w:val="none"/>
          <w:lang w:val="en-US" w:eastAsia="zh-CN"/>
        </w:rPr>
        <w:t>（必须提供）</w:t>
      </w:r>
      <w:r>
        <w:rPr>
          <w:rFonts w:hint="eastAsia" w:ascii="宋体" w:hAnsi="宋体" w:eastAsia="宋体" w:cs="宋体"/>
          <w:color w:val="auto"/>
          <w:sz w:val="24"/>
          <w:szCs w:val="24"/>
          <w:highlight w:val="none"/>
        </w:rPr>
        <w:t>；</w:t>
      </w:r>
    </w:p>
    <w:p w14:paraId="1DD07BD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7</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项目经理无在建工程承诺书（格式自拟）</w:t>
      </w:r>
      <w:r>
        <w:rPr>
          <w:rFonts w:hint="eastAsia" w:ascii="宋体" w:hAnsi="宋体" w:eastAsia="宋体" w:cs="宋体"/>
          <w:b/>
          <w:bCs/>
          <w:color w:val="auto"/>
          <w:sz w:val="24"/>
          <w:szCs w:val="24"/>
          <w:highlight w:val="none"/>
          <w:lang w:val="en-US" w:eastAsia="zh-CN"/>
        </w:rPr>
        <w:t>（必须提供）</w:t>
      </w:r>
      <w:r>
        <w:rPr>
          <w:rFonts w:hint="eastAsia" w:ascii="宋体" w:hAnsi="宋体" w:eastAsia="宋体" w:cs="宋体"/>
          <w:color w:val="auto"/>
          <w:sz w:val="24"/>
          <w:szCs w:val="24"/>
          <w:highlight w:val="none"/>
        </w:rPr>
        <w:t>；</w:t>
      </w:r>
    </w:p>
    <w:p w14:paraId="5EBD5BC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2" w:firstLineChars="200"/>
        <w:textAlignment w:val="auto"/>
        <w:rPr>
          <w:rFonts w:hint="eastAsia" w:eastAsia="宋体"/>
          <w:color w:val="auto"/>
          <w:sz w:val="24"/>
          <w:szCs w:val="32"/>
          <w:highlight w:val="none"/>
          <w:lang w:eastAsia="zh-CN"/>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8</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rPr>
        <w:t>中小企业声明函或者残疾人福利性单位声明函（格式后附）或者</w:t>
      </w:r>
      <w:r>
        <w:rPr>
          <w:rFonts w:hint="eastAsia" w:ascii="宋体" w:hAnsi="宋体" w:eastAsia="宋体" w:cs="宋体"/>
          <w:b/>
          <w:bCs/>
          <w:i w:val="0"/>
          <w:iCs w:val="0"/>
          <w:color w:val="auto"/>
          <w:sz w:val="24"/>
          <w:szCs w:val="24"/>
          <w:highlight w:val="none"/>
          <w:lang w:eastAsia="zh-CN"/>
        </w:rPr>
        <w:t>供应商</w:t>
      </w:r>
      <w:r>
        <w:rPr>
          <w:rFonts w:hint="eastAsia" w:ascii="宋体" w:hAnsi="宋体" w:cs="宋体"/>
          <w:b/>
          <w:bCs/>
          <w:color w:val="auto"/>
          <w:sz w:val="24"/>
          <w:szCs w:val="24"/>
          <w:highlight w:val="none"/>
        </w:rPr>
        <w:t>属于监狱企业的</w:t>
      </w:r>
      <w:r>
        <w:rPr>
          <w:rFonts w:hint="eastAsia" w:ascii="宋体" w:hAnsi="宋体" w:cs="宋体"/>
          <w:b/>
          <w:bCs/>
          <w:color w:val="auto"/>
          <w:sz w:val="24"/>
          <w:szCs w:val="24"/>
          <w:highlight w:val="none"/>
          <w:lang w:eastAsia="zh-CN"/>
        </w:rPr>
        <w:t>，</w:t>
      </w:r>
      <w:r>
        <w:rPr>
          <w:rFonts w:hint="eastAsia" w:ascii="宋体" w:hAnsi="宋体" w:eastAsia="宋体" w:cs="宋体"/>
          <w:b/>
          <w:bCs/>
          <w:i w:val="0"/>
          <w:iCs w:val="0"/>
          <w:color w:val="auto"/>
          <w:sz w:val="24"/>
          <w:szCs w:val="24"/>
          <w:highlight w:val="none"/>
          <w:lang w:eastAsia="zh-CN"/>
        </w:rPr>
        <w:t>提供由省级以上监狱管理局、戒毒管理局（含新疆生产建设兵团）出具的属于监狱企业的证明文件</w:t>
      </w:r>
      <w:r>
        <w:rPr>
          <w:rFonts w:hint="eastAsia" w:ascii="宋体" w:hAnsi="宋体" w:cs="宋体"/>
          <w:b/>
          <w:bCs/>
          <w:color w:val="auto"/>
          <w:sz w:val="24"/>
          <w:szCs w:val="24"/>
          <w:highlight w:val="none"/>
        </w:rPr>
        <w:t>（</w:t>
      </w:r>
      <w:r>
        <w:rPr>
          <w:rFonts w:hint="eastAsia" w:ascii="宋体" w:hAnsi="宋体" w:cs="宋体"/>
          <w:b/>
          <w:bCs/>
          <w:color w:val="auto"/>
          <w:sz w:val="24"/>
          <w:szCs w:val="24"/>
          <w:highlight w:val="none"/>
          <w:lang w:val="en-US" w:eastAsia="zh-CN"/>
        </w:rPr>
        <w:t>必须提供</w:t>
      </w:r>
      <w:r>
        <w:rPr>
          <w:rFonts w:hint="eastAsia" w:ascii="宋体" w:hAnsi="宋体" w:cs="宋体"/>
          <w:b/>
          <w:bCs/>
          <w:color w:val="auto"/>
          <w:sz w:val="24"/>
          <w:szCs w:val="24"/>
          <w:highlight w:val="none"/>
        </w:rPr>
        <w:t>）</w:t>
      </w:r>
      <w:r>
        <w:rPr>
          <w:rFonts w:hint="eastAsia" w:ascii="宋体" w:hAnsi="宋体" w:cs="宋体"/>
          <w:b w:val="0"/>
          <w:bCs w:val="0"/>
          <w:color w:val="auto"/>
          <w:sz w:val="24"/>
          <w:szCs w:val="24"/>
          <w:highlight w:val="none"/>
          <w:lang w:eastAsia="zh-CN"/>
        </w:rPr>
        <w:t>。</w:t>
      </w:r>
    </w:p>
    <w:p w14:paraId="36FB4B48">
      <w:pPr>
        <w:pStyle w:val="53"/>
        <w:pageBreakBefore w:val="0"/>
        <w:widowControl w:val="0"/>
        <w:kinsoku/>
        <w:wordWrap/>
        <w:overflowPunct/>
        <w:topLinePunct w:val="0"/>
        <w:autoSpaceDE/>
        <w:autoSpaceDN/>
        <w:bidi w:val="0"/>
        <w:adjustRightInd/>
        <w:snapToGrid/>
        <w:spacing w:line="420" w:lineRule="exact"/>
        <w:ind w:left="0" w:leftChars="0" w:firstLine="482" w:firstLineChars="200"/>
        <w:textAlignment w:val="auto"/>
        <w:outlineLvl w:val="2"/>
        <w:rPr>
          <w:rFonts w:hint="eastAsia" w:ascii="宋体" w:hAnsi="宋体" w:eastAsia="宋体" w:cs="宋体"/>
          <w:b/>
          <w:bCs/>
          <w:color w:val="auto"/>
          <w:sz w:val="24"/>
          <w:szCs w:val="24"/>
          <w:highlight w:val="none"/>
        </w:rPr>
      </w:pPr>
      <w:bookmarkStart w:id="104" w:name="_Toc27875"/>
      <w:r>
        <w:rPr>
          <w:rFonts w:hint="eastAsia" w:ascii="宋体" w:hAnsi="宋体" w:eastAsia="宋体" w:cs="宋体"/>
          <w:b/>
          <w:bCs/>
          <w:color w:val="auto"/>
          <w:sz w:val="24"/>
          <w:szCs w:val="24"/>
          <w:highlight w:val="none"/>
        </w:rPr>
        <w:t>11.</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1.2</w:t>
      </w:r>
      <w:r>
        <w:rPr>
          <w:rFonts w:hint="eastAsia" w:ascii="宋体" w:hAnsi="宋体" w:eastAsia="宋体" w:cs="宋体"/>
          <w:b/>
          <w:bCs/>
          <w:color w:val="auto"/>
          <w:sz w:val="24"/>
          <w:szCs w:val="24"/>
          <w:highlight w:val="none"/>
        </w:rPr>
        <w:t>符合性响应证明材料：</w:t>
      </w:r>
      <w:bookmarkEnd w:id="104"/>
      <w:bookmarkStart w:id="105" w:name="_Toc16312"/>
      <w:bookmarkStart w:id="106" w:name="_Toc28932"/>
      <w:bookmarkStart w:id="107" w:name="_Toc2809"/>
    </w:p>
    <w:p w14:paraId="63828350">
      <w:pPr>
        <w:pStyle w:val="53"/>
        <w:pageBreakBefore w:val="0"/>
        <w:widowControl w:val="0"/>
        <w:kinsoku/>
        <w:wordWrap/>
        <w:overflowPunct/>
        <w:topLinePunct w:val="0"/>
        <w:autoSpaceDE/>
        <w:autoSpaceDN/>
        <w:bidi w:val="0"/>
        <w:adjustRightInd/>
        <w:snapToGrid/>
        <w:spacing w:after="0" w:line="240" w:lineRule="auto"/>
        <w:ind w:left="0" w:leftChars="0" w:firstLine="482" w:firstLineChars="20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rPr>
        <w:t>（1）响应函（格式见附件）（必须提供）</w:t>
      </w:r>
      <w:bookmarkEnd w:id="105"/>
      <w:r>
        <w:rPr>
          <w:rFonts w:hint="eastAsia" w:ascii="宋体" w:hAnsi="宋体" w:eastAsia="宋体" w:cs="宋体"/>
          <w:b/>
          <w:bCs/>
          <w:color w:val="auto"/>
          <w:sz w:val="24"/>
          <w:szCs w:val="24"/>
          <w:highlight w:val="none"/>
          <w:lang w:val="en-US" w:eastAsia="zh-CN"/>
        </w:rPr>
        <w:t>；</w:t>
      </w:r>
      <w:bookmarkEnd w:id="106"/>
      <w:bookmarkEnd w:id="107"/>
    </w:p>
    <w:p w14:paraId="1FDBFA02">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已标价工程量清单（必须提供）</w:t>
      </w:r>
      <w:r>
        <w:rPr>
          <w:rFonts w:hint="eastAsia" w:ascii="宋体" w:hAnsi="宋体" w:eastAsia="宋体" w:cs="宋体"/>
          <w:b/>
          <w:bCs/>
          <w:color w:val="auto"/>
          <w:kern w:val="0"/>
          <w:sz w:val="24"/>
          <w:szCs w:val="24"/>
          <w:highlight w:val="none"/>
          <w:lang w:eastAsia="zh-CN"/>
        </w:rPr>
        <w:t>；</w:t>
      </w:r>
    </w:p>
    <w:p w14:paraId="007BB01C">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FF0000"/>
          <w:sz w:val="24"/>
          <w:szCs w:val="24"/>
          <w:highlight w:val="none"/>
          <w:lang w:eastAsia="zh-CN"/>
        </w:rPr>
      </w:pP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rPr>
        <w:t>拟投入本工程主要施工管理人员表</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必须提供</w:t>
      </w:r>
      <w:r>
        <w:rPr>
          <w:rFonts w:hint="eastAsia" w:ascii="宋体" w:hAnsi="宋体" w:cs="宋体"/>
          <w:b/>
          <w:bCs/>
          <w:color w:val="auto"/>
          <w:sz w:val="24"/>
          <w:szCs w:val="24"/>
          <w:highlight w:val="none"/>
          <w:lang w:eastAsia="zh-CN"/>
        </w:rPr>
        <w:t>）；</w:t>
      </w:r>
    </w:p>
    <w:p w14:paraId="0BECAB40">
      <w:pPr>
        <w:pageBreakBefore w:val="0"/>
        <w:widowControl w:val="0"/>
        <w:numPr>
          <w:ilvl w:val="0"/>
          <w:numId w:val="0"/>
        </w:numPr>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施工组织设计</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根据工程量清单及工程情况自行编制</w:t>
      </w:r>
      <w:r>
        <w:rPr>
          <w:rFonts w:hint="eastAsia" w:ascii="宋体" w:hAnsi="宋体" w:eastAsia="宋体" w:cs="宋体"/>
          <w:b/>
          <w:bCs/>
          <w:color w:val="auto"/>
          <w:sz w:val="24"/>
          <w:szCs w:val="24"/>
          <w:highlight w:val="none"/>
        </w:rPr>
        <w:t>）（格式自拟，必须提供）</w:t>
      </w:r>
      <w:r>
        <w:rPr>
          <w:rFonts w:hint="eastAsia" w:ascii="宋体" w:hAnsi="宋体" w:eastAsia="宋体" w:cs="宋体"/>
          <w:b/>
          <w:bCs/>
          <w:color w:val="auto"/>
          <w:sz w:val="24"/>
          <w:szCs w:val="24"/>
          <w:highlight w:val="none"/>
          <w:lang w:eastAsia="zh-CN"/>
        </w:rPr>
        <w:t>；</w:t>
      </w:r>
    </w:p>
    <w:p w14:paraId="08CC9C69">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w:t>
      </w:r>
      <w:r>
        <w:rPr>
          <w:rFonts w:hint="eastAsia" w:ascii="宋体" w:hAnsi="宋体" w:cs="宋体"/>
          <w:b/>
          <w:bCs/>
          <w:color w:val="auto"/>
          <w:kern w:val="0"/>
          <w:sz w:val="24"/>
          <w:szCs w:val="24"/>
          <w:highlight w:val="none"/>
        </w:rPr>
        <w:t>农民工工资保障金交纳与使用承诺书</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必须提供</w:t>
      </w:r>
      <w:r>
        <w:rPr>
          <w:rFonts w:hint="eastAsia" w:ascii="宋体" w:hAnsi="宋体" w:eastAsia="宋体" w:cs="宋体"/>
          <w:b/>
          <w:bCs/>
          <w:color w:val="auto"/>
          <w:sz w:val="24"/>
          <w:szCs w:val="24"/>
          <w:highlight w:val="none"/>
        </w:rPr>
        <w:t>）</w:t>
      </w:r>
      <w:r>
        <w:rPr>
          <w:rFonts w:hint="eastAsia" w:ascii="宋体" w:hAnsi="宋体" w:eastAsia="宋体" w:cs="宋体"/>
          <w:b/>
          <w:bCs/>
          <w:color w:val="auto"/>
          <w:kern w:val="0"/>
          <w:sz w:val="24"/>
          <w:szCs w:val="24"/>
          <w:highlight w:val="none"/>
          <w:lang w:eastAsia="zh-CN"/>
        </w:rPr>
        <w:t>。</w:t>
      </w:r>
    </w:p>
    <w:p w14:paraId="227002F0">
      <w:pPr>
        <w:pStyle w:val="53"/>
        <w:pageBreakBefore w:val="0"/>
        <w:widowControl w:val="0"/>
        <w:kinsoku/>
        <w:wordWrap/>
        <w:overflowPunct/>
        <w:topLinePunct w:val="0"/>
        <w:autoSpaceDE/>
        <w:autoSpaceDN/>
        <w:bidi w:val="0"/>
        <w:adjustRightInd/>
        <w:snapToGrid/>
        <w:spacing w:line="420" w:lineRule="exact"/>
        <w:ind w:left="0" w:leftChars="0" w:firstLine="482" w:firstLineChars="200"/>
        <w:textAlignment w:val="auto"/>
        <w:outlineLvl w:val="2"/>
        <w:rPr>
          <w:rFonts w:hint="eastAsia" w:ascii="宋体" w:hAnsi="宋体" w:eastAsia="宋体" w:cs="宋体"/>
          <w:b/>
          <w:bCs/>
          <w:color w:val="auto"/>
          <w:sz w:val="24"/>
          <w:szCs w:val="24"/>
          <w:highlight w:val="none"/>
        </w:rPr>
      </w:pPr>
      <w:bookmarkStart w:id="108" w:name="_Toc24990"/>
      <w:r>
        <w:rPr>
          <w:rFonts w:hint="eastAsia" w:ascii="宋体" w:hAnsi="宋体" w:eastAsia="宋体" w:cs="宋体"/>
          <w:b/>
          <w:bCs/>
          <w:color w:val="auto"/>
          <w:sz w:val="24"/>
          <w:szCs w:val="24"/>
          <w:highlight w:val="none"/>
        </w:rPr>
        <w:t>11.</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1.3</w:t>
      </w:r>
      <w:r>
        <w:rPr>
          <w:rFonts w:hint="eastAsia" w:ascii="宋体" w:hAnsi="宋体" w:eastAsia="宋体" w:cs="宋体"/>
          <w:b/>
          <w:bCs/>
          <w:color w:val="auto"/>
          <w:sz w:val="24"/>
          <w:szCs w:val="24"/>
          <w:highlight w:val="none"/>
        </w:rPr>
        <w:t>其他有效证明材料</w:t>
      </w:r>
      <w:bookmarkEnd w:id="108"/>
    </w:p>
    <w:p w14:paraId="6D56DE2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供应商202</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年以来具有类似工程业绩</w:t>
      </w:r>
      <w:r>
        <w:rPr>
          <w:rFonts w:hint="eastAsia" w:ascii="宋体" w:hAnsi="宋体" w:eastAsia="宋体" w:cs="宋体"/>
          <w:color w:val="auto"/>
          <w:sz w:val="24"/>
          <w:szCs w:val="24"/>
          <w:highlight w:val="none"/>
        </w:rPr>
        <w:t>相关证明材料（无不良记录，以中标、成交通知书或签订的合同</w:t>
      </w:r>
      <w:r>
        <w:rPr>
          <w:rFonts w:hint="eastAsia" w:ascii="宋体" w:hAnsi="宋体" w:cs="宋体"/>
          <w:color w:val="auto"/>
          <w:sz w:val="24"/>
          <w:szCs w:val="24"/>
          <w:highlight w:val="none"/>
          <w:lang w:val="en-US" w:eastAsia="zh-CN"/>
        </w:rPr>
        <w:t>或竣工验收意见书</w:t>
      </w:r>
      <w:r>
        <w:rPr>
          <w:rFonts w:hint="eastAsia" w:ascii="宋体" w:hAnsi="宋体" w:eastAsia="宋体" w:cs="宋体"/>
          <w:color w:val="auto"/>
          <w:sz w:val="24"/>
          <w:szCs w:val="24"/>
          <w:highlight w:val="none"/>
        </w:rPr>
        <w:t>为准，并能清晰反映</w:t>
      </w:r>
      <w:r>
        <w:rPr>
          <w:rFonts w:hint="eastAsia" w:ascii="宋体" w:hAnsi="宋体" w:eastAsia="宋体" w:cs="宋体"/>
          <w:color w:val="auto"/>
          <w:sz w:val="24"/>
          <w:szCs w:val="24"/>
          <w:highlight w:val="none"/>
          <w:lang w:eastAsia="zh-CN"/>
        </w:rPr>
        <w:t>项目</w:t>
      </w:r>
      <w:r>
        <w:rPr>
          <w:rFonts w:hint="eastAsia" w:ascii="宋体" w:hAnsi="宋体" w:eastAsia="宋体" w:cs="宋体"/>
          <w:color w:val="auto"/>
          <w:sz w:val="24"/>
          <w:szCs w:val="24"/>
          <w:highlight w:val="none"/>
        </w:rPr>
        <w:t>的名称、</w:t>
      </w:r>
      <w:r>
        <w:rPr>
          <w:rFonts w:hint="eastAsia" w:ascii="宋体" w:hAnsi="宋体" w:eastAsia="宋体" w:cs="宋体"/>
          <w:color w:val="auto"/>
          <w:sz w:val="24"/>
          <w:szCs w:val="24"/>
          <w:highlight w:val="none"/>
          <w:lang w:eastAsia="zh-CN"/>
        </w:rPr>
        <w:t>采购内容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金额</w:t>
      </w:r>
      <w:r>
        <w:rPr>
          <w:rFonts w:hint="eastAsia" w:ascii="宋体" w:hAnsi="宋体" w:eastAsia="宋体" w:cs="宋体"/>
          <w:color w:val="auto"/>
          <w:sz w:val="24"/>
          <w:szCs w:val="24"/>
          <w:highlight w:val="none"/>
          <w:lang w:eastAsia="zh-CN"/>
        </w:rPr>
        <w:t>、采购时间</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（如有，请提供）；</w:t>
      </w:r>
    </w:p>
    <w:p w14:paraId="46C0FD8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）供应商可结合本项目的评审办法视自身情况自行提交其它相关证明材料</w:t>
      </w:r>
      <w:r>
        <w:rPr>
          <w:rFonts w:hint="eastAsia" w:ascii="宋体" w:hAnsi="宋体" w:eastAsia="宋体" w:cs="宋体"/>
          <w:b/>
          <w:bCs/>
          <w:color w:val="auto"/>
          <w:sz w:val="24"/>
          <w:szCs w:val="24"/>
          <w:highlight w:val="none"/>
        </w:rPr>
        <w:t>（如有，请提供）</w:t>
      </w:r>
      <w:r>
        <w:rPr>
          <w:rFonts w:hint="eastAsia" w:ascii="宋体" w:hAnsi="宋体" w:eastAsia="宋体" w:cs="宋体"/>
          <w:color w:val="auto"/>
          <w:sz w:val="24"/>
          <w:szCs w:val="24"/>
          <w:highlight w:val="none"/>
        </w:rPr>
        <w:t>。</w:t>
      </w:r>
    </w:p>
    <w:p w14:paraId="23006023">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供应商</w:t>
      </w:r>
      <w:r>
        <w:rPr>
          <w:rFonts w:hint="eastAsia" w:ascii="宋体" w:hAnsi="宋体" w:eastAsia="宋体" w:cs="宋体"/>
          <w:b/>
          <w:bCs/>
          <w:color w:val="auto"/>
          <w:sz w:val="24"/>
          <w:szCs w:val="32"/>
          <w:highlight w:val="none"/>
        </w:rPr>
        <w:t>提供的以上相关证明材料属于“必须提供”的文件应加盖</w:t>
      </w:r>
      <w:r>
        <w:rPr>
          <w:rFonts w:hint="eastAsia" w:ascii="宋体" w:hAnsi="宋体" w:eastAsia="宋体" w:cs="宋体"/>
          <w:b/>
          <w:bCs/>
          <w:color w:val="auto"/>
          <w:sz w:val="24"/>
          <w:szCs w:val="32"/>
          <w:highlight w:val="none"/>
          <w:lang w:eastAsia="zh-CN"/>
        </w:rPr>
        <w:t>磋商供应商</w:t>
      </w:r>
      <w:r>
        <w:rPr>
          <w:rFonts w:hint="eastAsia" w:ascii="宋体" w:hAnsi="宋体" w:eastAsia="宋体" w:cs="宋体"/>
          <w:b/>
          <w:bCs/>
          <w:color w:val="auto"/>
          <w:sz w:val="24"/>
          <w:szCs w:val="32"/>
          <w:highlight w:val="none"/>
        </w:rPr>
        <w:t>公章（CA签章）</w:t>
      </w:r>
      <w:r>
        <w:rPr>
          <w:rFonts w:hint="eastAsia" w:ascii="宋体" w:hAnsi="宋体" w:eastAsia="宋体" w:cs="宋体"/>
          <w:b/>
          <w:bCs/>
          <w:color w:val="auto"/>
          <w:sz w:val="24"/>
          <w:szCs w:val="32"/>
          <w:highlight w:val="none"/>
          <w:lang w:val="en-US" w:eastAsia="zh-CN"/>
        </w:rPr>
        <w:t>/</w:t>
      </w:r>
      <w:r>
        <w:rPr>
          <w:rFonts w:hint="eastAsia" w:ascii="宋体" w:hAnsi="宋体" w:eastAsia="宋体" w:cs="宋体"/>
          <w:b/>
          <w:bCs/>
          <w:color w:val="auto"/>
          <w:sz w:val="24"/>
          <w:szCs w:val="32"/>
          <w:highlight w:val="none"/>
        </w:rPr>
        <w:t>自然人</w:t>
      </w:r>
      <w:r>
        <w:rPr>
          <w:rFonts w:hint="eastAsia" w:ascii="宋体" w:hAnsi="宋体" w:eastAsia="宋体" w:cs="宋体"/>
          <w:b/>
          <w:bCs/>
          <w:color w:val="auto"/>
          <w:sz w:val="24"/>
          <w:szCs w:val="32"/>
          <w:highlight w:val="none"/>
          <w:lang w:eastAsia="zh-CN"/>
        </w:rPr>
        <w:t>签字或</w:t>
      </w:r>
      <w:r>
        <w:rPr>
          <w:rFonts w:hint="eastAsia" w:ascii="宋体" w:hAnsi="宋体" w:eastAsia="宋体" w:cs="宋体"/>
          <w:b/>
          <w:bCs/>
          <w:color w:val="auto"/>
          <w:sz w:val="24"/>
          <w:szCs w:val="32"/>
          <w:highlight w:val="none"/>
          <w:lang w:val="en-US" w:eastAsia="zh-CN"/>
        </w:rPr>
        <w:t>个人</w:t>
      </w:r>
      <w:r>
        <w:rPr>
          <w:rFonts w:hint="eastAsia" w:ascii="宋体" w:hAnsi="宋体" w:eastAsia="宋体" w:cs="宋体"/>
          <w:b/>
          <w:bCs/>
          <w:color w:val="auto"/>
          <w:sz w:val="24"/>
          <w:szCs w:val="32"/>
          <w:highlight w:val="none"/>
        </w:rPr>
        <w:t>CA签章，否则</w:t>
      </w:r>
      <w:r>
        <w:rPr>
          <w:rFonts w:hint="eastAsia" w:ascii="宋体" w:hAnsi="宋体" w:eastAsia="宋体" w:cs="宋体"/>
          <w:b/>
          <w:bCs/>
          <w:color w:val="auto"/>
          <w:sz w:val="24"/>
          <w:szCs w:val="32"/>
          <w:highlight w:val="none"/>
          <w:lang w:val="en-US" w:eastAsia="zh-CN"/>
        </w:rPr>
        <w:t>响应</w:t>
      </w:r>
      <w:r>
        <w:rPr>
          <w:rFonts w:hint="eastAsia" w:ascii="宋体" w:hAnsi="宋体" w:eastAsia="宋体" w:cs="宋体"/>
          <w:b/>
          <w:bCs/>
          <w:color w:val="auto"/>
          <w:sz w:val="24"/>
          <w:szCs w:val="32"/>
          <w:highlight w:val="none"/>
        </w:rPr>
        <w:t>无效。</w:t>
      </w:r>
    </w:p>
    <w:p w14:paraId="3F3F02F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rPr>
        <w:t>供应商应按竞争性磋商文件第六章“响应文件（格式）”编制响应文件。</w:t>
      </w:r>
    </w:p>
    <w:p w14:paraId="15F424E6">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09" w:name="_Toc13660"/>
      <w:bookmarkStart w:id="110" w:name="_Toc14454"/>
      <w:bookmarkStart w:id="111" w:name="_Toc2180"/>
      <w:r>
        <w:rPr>
          <w:rFonts w:hint="eastAsia" w:ascii="宋体" w:hAnsi="宋体" w:eastAsia="宋体" w:cs="宋体"/>
          <w:color w:val="auto"/>
          <w:sz w:val="24"/>
          <w:szCs w:val="24"/>
          <w:highlight w:val="none"/>
        </w:rPr>
        <w:t>12. 响应文件的语言及计量</w:t>
      </w:r>
      <w:bookmarkEnd w:id="109"/>
      <w:bookmarkEnd w:id="110"/>
      <w:bookmarkEnd w:id="111"/>
    </w:p>
    <w:p w14:paraId="02C960E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 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14:paraId="00EA9F7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 磋商计量单位，磋商文件已有明确规定的，使用磋商文件规定的计量单位；磋商文件没有规定的，应采用中华人民共和国法定计量单位（货币单位：人民币元），否则视同未响应。</w:t>
      </w:r>
    </w:p>
    <w:p w14:paraId="190ADA4E">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lang w:eastAsia="zh-CN"/>
        </w:rPr>
      </w:pPr>
      <w:bookmarkStart w:id="112" w:name="_Toc3058"/>
      <w:bookmarkStart w:id="113" w:name="_Toc8838"/>
      <w:bookmarkStart w:id="114" w:name="_Toc10838"/>
      <w:r>
        <w:rPr>
          <w:rFonts w:hint="eastAsia" w:ascii="宋体" w:hAnsi="宋体" w:eastAsia="宋体" w:cs="宋体"/>
          <w:color w:val="auto"/>
          <w:sz w:val="24"/>
          <w:szCs w:val="24"/>
          <w:highlight w:val="none"/>
        </w:rPr>
        <w:t xml:space="preserve">13. </w:t>
      </w:r>
      <w:bookmarkEnd w:id="112"/>
      <w:bookmarkEnd w:id="113"/>
      <w:bookmarkEnd w:id="114"/>
      <w:r>
        <w:rPr>
          <w:rFonts w:hint="eastAsia" w:ascii="宋体" w:hAnsi="宋体" w:eastAsia="宋体" w:cs="宋体"/>
          <w:color w:val="auto"/>
          <w:sz w:val="24"/>
          <w:szCs w:val="24"/>
          <w:highlight w:val="none"/>
        </w:rPr>
        <w:t>磋商报价及采购预算金额</w:t>
      </w:r>
    </w:p>
    <w:p w14:paraId="034B98C2">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13.1磋商报价应按磋商文件中相关附表格式填写。</w:t>
      </w:r>
      <w:r>
        <w:rPr>
          <w:rFonts w:hint="eastAsia" w:ascii="宋体" w:hAnsi="宋体" w:eastAsia="宋体" w:cs="宋体"/>
          <w:b/>
          <w:bCs/>
          <w:color w:val="auto"/>
          <w:sz w:val="24"/>
          <w:szCs w:val="24"/>
          <w:highlight w:val="none"/>
          <w:lang w:val="en-US" w:eastAsia="zh-CN"/>
        </w:rPr>
        <w:t>本项目预算总造价</w:t>
      </w:r>
      <w:r>
        <w:rPr>
          <w:rFonts w:hint="eastAsia" w:ascii="宋体" w:hAnsi="宋体" w:cs="宋体"/>
          <w:b/>
          <w:bCs/>
          <w:color w:val="auto"/>
          <w:sz w:val="24"/>
          <w:szCs w:val="24"/>
          <w:highlight w:val="none"/>
          <w:lang w:val="en-US" w:eastAsia="zh-CN"/>
        </w:rPr>
        <w:t>：</w:t>
      </w:r>
      <w:r>
        <w:rPr>
          <w:rFonts w:hint="eastAsia" w:ascii="宋体" w:hAnsi="宋体" w:cs="宋体"/>
          <w:b/>
          <w:bCs/>
          <w:color w:val="auto"/>
          <w:sz w:val="24"/>
          <w:szCs w:val="24"/>
          <w:highlight w:val="none"/>
          <w:u w:val="none"/>
          <w:lang w:eastAsia="zh-CN"/>
        </w:rPr>
        <w:t>2954944.89</w:t>
      </w:r>
      <w:r>
        <w:rPr>
          <w:rFonts w:hint="eastAsia" w:ascii="宋体" w:hAnsi="宋体" w:eastAsia="宋体" w:cs="宋体"/>
          <w:b/>
          <w:bCs/>
          <w:color w:val="auto"/>
          <w:sz w:val="24"/>
          <w:szCs w:val="24"/>
          <w:highlight w:val="none"/>
          <w:lang w:val="en-US" w:eastAsia="zh-CN"/>
        </w:rPr>
        <w:t>元</w:t>
      </w:r>
      <w:r>
        <w:rPr>
          <w:rFonts w:hint="eastAsia" w:ascii="宋体" w:hAnsi="宋体" w:cs="宋体"/>
          <w:b/>
          <w:bCs/>
          <w:color w:val="auto"/>
          <w:sz w:val="24"/>
          <w:szCs w:val="24"/>
          <w:highlight w:val="none"/>
          <w:lang w:val="en-US" w:eastAsia="zh-CN"/>
        </w:rPr>
        <w:t>。</w:t>
      </w:r>
    </w:p>
    <w:p w14:paraId="39B8FEB4">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经采购人确认，本工程最高磋商限价为</w:t>
      </w:r>
      <w:r>
        <w:rPr>
          <w:rFonts w:hint="eastAsia" w:ascii="宋体" w:hAnsi="宋体" w:cs="宋体"/>
          <w:b/>
          <w:bCs/>
          <w:color w:val="auto"/>
          <w:sz w:val="24"/>
          <w:szCs w:val="24"/>
          <w:highlight w:val="none"/>
          <w:u w:val="none"/>
          <w:lang w:eastAsia="zh-CN"/>
        </w:rPr>
        <w:t>2954944.89</w:t>
      </w:r>
      <w:r>
        <w:rPr>
          <w:rFonts w:hint="eastAsia" w:ascii="宋体" w:hAnsi="宋体" w:eastAsia="宋体" w:cs="宋体"/>
          <w:b/>
          <w:bCs/>
          <w:color w:val="auto"/>
          <w:sz w:val="24"/>
          <w:szCs w:val="24"/>
          <w:highlight w:val="none"/>
          <w:lang w:val="en-US" w:eastAsia="zh-CN"/>
        </w:rPr>
        <w:t>元，作为本项目招标控制价</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磋商报价超过招标控制价的，响应文件作无效处理。</w:t>
      </w:r>
    </w:p>
    <w:p w14:paraId="0F0500DB">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13.2供应商必须就“工程量清单”中所有内容作完整唯一报价，否则，其响应文件无效；响应文件只允许有一个报价，有选择的或有条件的报价将不予接受。</w:t>
      </w:r>
    </w:p>
    <w:p w14:paraId="47FAC127">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13.3供应商应在规定时间内在</w:t>
      </w:r>
      <w:r>
        <w:rPr>
          <w:rFonts w:hint="eastAsia" w:ascii="宋体" w:hAnsi="宋体" w:cs="宋体"/>
          <w:b w:val="0"/>
          <w:bCs w:val="0"/>
          <w:color w:val="auto"/>
          <w:sz w:val="24"/>
          <w:szCs w:val="24"/>
          <w:highlight w:val="none"/>
          <w:lang w:val="en-US" w:eastAsia="zh-CN"/>
        </w:rPr>
        <w:t>广西政府采购云平台系统</w:t>
      </w:r>
      <w:r>
        <w:rPr>
          <w:rFonts w:hint="eastAsia" w:ascii="宋体" w:hAnsi="宋体" w:eastAsia="宋体" w:cs="宋体"/>
          <w:b w:val="0"/>
          <w:bCs w:val="0"/>
          <w:color w:val="auto"/>
          <w:sz w:val="24"/>
          <w:szCs w:val="24"/>
          <w:highlight w:val="none"/>
          <w:lang w:val="en-US" w:eastAsia="zh-CN"/>
        </w:rPr>
        <w:t>上提交最后报价，超出评委设定的最后报价时限或其最后报价超出采购预算导致已通过评审的响应文件无效的，按供应商在提交响应文件截止时间后撤回响应文件处理。</w:t>
      </w:r>
    </w:p>
    <w:p w14:paraId="1B6F8637">
      <w:pPr>
        <w:keepNext w:val="0"/>
        <w:keepLines w:val="0"/>
        <w:pageBreakBefore w:val="0"/>
        <w:widowControl w:val="0"/>
        <w:kinsoku/>
        <w:wordWrap/>
        <w:overflowPunct/>
        <w:topLinePunct w:val="0"/>
        <w:autoSpaceDE/>
        <w:autoSpaceDN/>
        <w:bidi w:val="0"/>
        <w:adjustRightInd/>
        <w:snapToGrid/>
        <w:spacing w:line="420" w:lineRule="exact"/>
        <w:ind w:left="0" w:leftChars="0" w:right="0"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注：供应商的磋商报价不得超过本工程招标控制价，否则作无效标处理；供应商的第二次磋商报价不得高于该供应商第一次磋商报价，否则做无效标处理。如供应商维持磋商报价不变，以原磋商报价作为供应商最后报价；如供应商需要改变原磋商报价时，供应商应预先准备好调整后的已标价的工程量清单。</w:t>
      </w:r>
    </w:p>
    <w:p w14:paraId="1A21DF40">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13.</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eastAsia="zh-CN"/>
        </w:rPr>
        <w:t>响应文件中磋商报价的大写金额和小写金额不一致的，以大写金额为准；总价金额与按单价汇总金额不一致的，以单价金额计算结果为准；单价金额小数点明显错位的，应以总价为准，并修改单价；对不同文字文本响应文件的解释发生异议的，以中文文本为准。</w:t>
      </w:r>
    </w:p>
    <w:p w14:paraId="42D6F3FE">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按上述勘误修正原则及方法调整或修正响应文件的磋商报价，供应商需签字确认。</w:t>
      </w:r>
    </w:p>
    <w:p w14:paraId="58EC1C5D">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13.</w:t>
      </w:r>
      <w:r>
        <w:rPr>
          <w:rFonts w:hint="eastAsia" w:ascii="宋体" w:hAnsi="宋体" w:cs="宋体"/>
          <w:bCs/>
          <w:color w:val="auto"/>
          <w:sz w:val="24"/>
          <w:szCs w:val="24"/>
          <w:highlight w:val="none"/>
          <w:lang w:val="en-US" w:eastAsia="zh-CN"/>
        </w:rPr>
        <w:t>5</w:t>
      </w:r>
      <w:r>
        <w:rPr>
          <w:rFonts w:hint="eastAsia" w:ascii="宋体" w:hAnsi="宋体" w:eastAsia="宋体" w:cs="宋体"/>
          <w:bCs/>
          <w:color w:val="auto"/>
          <w:sz w:val="24"/>
          <w:szCs w:val="24"/>
          <w:highlight w:val="none"/>
          <w:lang w:eastAsia="zh-CN"/>
        </w:rPr>
        <w:t>磋商报价应包括本次采购范围内提供的服务、技术费、人工费、保险、税金、培训、版权费等全部费用，磋商供应商综合考虑在报价中。</w:t>
      </w:r>
    </w:p>
    <w:p w14:paraId="00E92CD7">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13.</w:t>
      </w:r>
      <w:r>
        <w:rPr>
          <w:rFonts w:hint="eastAsia" w:ascii="宋体" w:hAnsi="宋体" w:cs="宋体"/>
          <w:bCs/>
          <w:color w:val="auto"/>
          <w:sz w:val="24"/>
          <w:szCs w:val="24"/>
          <w:highlight w:val="none"/>
          <w:lang w:val="en-US" w:eastAsia="zh-CN"/>
        </w:rPr>
        <w:t>6</w:t>
      </w:r>
      <w:r>
        <w:rPr>
          <w:rFonts w:hint="eastAsia" w:ascii="宋体" w:hAnsi="宋体" w:eastAsia="宋体" w:cs="宋体"/>
          <w:bCs/>
          <w:color w:val="auto"/>
          <w:sz w:val="24"/>
          <w:szCs w:val="24"/>
          <w:highlight w:val="none"/>
          <w:lang w:eastAsia="zh-CN"/>
        </w:rPr>
        <w:t>工程量清单报价表中所报的单价和合价，以及报价汇总表中的价格应包括施工设备（含脚手架）、主要材料、辅助材料、安装（如工程量清单中未列所安装设备则包含所安装设备的采购）、垃圾清运、劳务、管理、维护、保险、利润、增值税、政策性文件规定及合同包含的所有风险、责任等各项应有费用。</w:t>
      </w:r>
    </w:p>
    <w:p w14:paraId="6D42397C">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13.</w:t>
      </w:r>
      <w:r>
        <w:rPr>
          <w:rFonts w:hint="eastAsia" w:ascii="宋体" w:hAnsi="宋体" w:cs="宋体"/>
          <w:bCs/>
          <w:color w:val="auto"/>
          <w:sz w:val="24"/>
          <w:szCs w:val="24"/>
          <w:highlight w:val="none"/>
          <w:lang w:val="en-US" w:eastAsia="zh-CN"/>
        </w:rPr>
        <w:t>7</w:t>
      </w:r>
      <w:r>
        <w:rPr>
          <w:rFonts w:hint="eastAsia" w:ascii="宋体" w:hAnsi="宋体" w:eastAsia="宋体" w:cs="宋体"/>
          <w:bCs/>
          <w:color w:val="auto"/>
          <w:sz w:val="24"/>
          <w:szCs w:val="24"/>
          <w:highlight w:val="none"/>
          <w:lang w:eastAsia="zh-CN"/>
        </w:rPr>
        <w:t>磋商供应商应按磋商文件提供的工程量清单计算工程项目的综合单价和合价。清单中的每一项均需计算填写综合单价和合价，磋商供应商没有填写综合单价和合价的项目将不予支付，并认为此项费用已包括在清单的其他综合单价和合价中。磋商供应商在清单中多报的细目或单价、合价或总额价发包人将不予支持。</w:t>
      </w:r>
    </w:p>
    <w:p w14:paraId="46B7B5E3">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15" w:name="_Toc26881"/>
      <w:bookmarkStart w:id="116" w:name="_Toc30554"/>
      <w:bookmarkStart w:id="117" w:name="_Toc12156"/>
      <w:r>
        <w:rPr>
          <w:rFonts w:hint="eastAsia" w:ascii="宋体" w:hAnsi="宋体" w:eastAsia="宋体" w:cs="宋体"/>
          <w:color w:val="auto"/>
          <w:sz w:val="24"/>
          <w:szCs w:val="24"/>
          <w:highlight w:val="none"/>
        </w:rPr>
        <w:t>14. 响应文件有效期</w:t>
      </w:r>
      <w:bookmarkEnd w:id="115"/>
      <w:bookmarkEnd w:id="116"/>
      <w:bookmarkEnd w:id="117"/>
    </w:p>
    <w:p w14:paraId="023B16D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 响应文件有效期：响应文件递交截止时间之日起90天，有效期不足的响应文件将被拒绝。</w:t>
      </w:r>
    </w:p>
    <w:p w14:paraId="2E6342D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出现特殊情况下，需要延长响应文件有效期的，采购代理机构</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通知供应商延长响应文件有效期。供应商同意延长的，但不能修改响应文件。供应商拒绝延长的，其响应文件无效。</w:t>
      </w:r>
    </w:p>
    <w:p w14:paraId="7F334034">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18" w:name="_Toc22602"/>
      <w:bookmarkStart w:id="119" w:name="_Toc20698"/>
      <w:bookmarkStart w:id="120" w:name="_Toc8794"/>
      <w:r>
        <w:rPr>
          <w:rFonts w:hint="eastAsia" w:ascii="宋体" w:hAnsi="宋体" w:eastAsia="宋体" w:cs="宋体"/>
          <w:color w:val="auto"/>
          <w:sz w:val="24"/>
          <w:szCs w:val="24"/>
          <w:highlight w:val="none"/>
        </w:rPr>
        <w:t xml:space="preserve">15. </w:t>
      </w:r>
      <w:bookmarkEnd w:id="118"/>
      <w:bookmarkEnd w:id="119"/>
      <w:bookmarkEnd w:id="120"/>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保证金</w:t>
      </w:r>
    </w:p>
    <w:p w14:paraId="771D8C53">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本项目无须缴纳磋商保证金。</w:t>
      </w:r>
    </w:p>
    <w:p w14:paraId="5BAE9B1B">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lang w:eastAsia="zh-CN"/>
        </w:rPr>
      </w:pPr>
      <w:bookmarkStart w:id="121" w:name="_Toc387"/>
      <w:bookmarkStart w:id="122" w:name="_Toc19182"/>
      <w:bookmarkStart w:id="123" w:name="_Toc30118"/>
      <w:r>
        <w:rPr>
          <w:rFonts w:hint="eastAsia" w:ascii="宋体" w:hAnsi="宋体" w:eastAsia="宋体" w:cs="宋体"/>
          <w:color w:val="auto"/>
          <w:sz w:val="24"/>
          <w:szCs w:val="24"/>
          <w:highlight w:val="none"/>
        </w:rPr>
        <w:t>16. 响应文件的</w:t>
      </w:r>
      <w:bookmarkEnd w:id="121"/>
      <w:r>
        <w:rPr>
          <w:rFonts w:hint="eastAsia" w:ascii="宋体" w:hAnsi="宋体" w:eastAsia="宋体" w:cs="宋体"/>
          <w:color w:val="auto"/>
          <w:sz w:val="24"/>
          <w:szCs w:val="24"/>
          <w:highlight w:val="none"/>
          <w:lang w:eastAsia="zh-CN"/>
        </w:rPr>
        <w:t>制作</w:t>
      </w:r>
      <w:bookmarkEnd w:id="122"/>
      <w:bookmarkEnd w:id="123"/>
    </w:p>
    <w:p w14:paraId="268CC3B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lang w:eastAsia="zh-CN"/>
        </w:rPr>
        <w:t>.1 电子响应文件中须加盖供应商公章部分均采用 CA 签章，并根据“政府采购项目电子交易管理操作指南-供应商” 及本磋商文件规定的格式和顺序编制电子响应文件并进行关联定位，以便磋商小组在评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lang w:eastAsia="zh-CN"/>
        </w:rPr>
        <w:t>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p w14:paraId="231CE0C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16.2</w:t>
      </w:r>
      <w:r>
        <w:rPr>
          <w:rFonts w:hint="eastAsia" w:ascii="宋体" w:hAnsi="宋体" w:eastAsia="宋体" w:cs="宋体"/>
          <w:color w:val="auto"/>
          <w:sz w:val="24"/>
          <w:szCs w:val="24"/>
          <w:highlight w:val="none"/>
          <w:lang w:eastAsia="zh-CN"/>
        </w:rPr>
        <w:t>供应商法人（负责人）或授权代表持有政采云个人CA签章的，应在响应文件中涉及到签字的位置使用个人CA签章，没有办理政采云个人CA签章的可在响应文件中涉及到签字的位置手写签字后扫描或者拍照做成 PDF 的格式上传即可。</w:t>
      </w:r>
    </w:p>
    <w:p w14:paraId="308A9C7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lang w:eastAsia="zh-CN"/>
        </w:rPr>
        <w:t>.3 响应文件不得涂改，若有修改错漏处，须法定代表人（负责人）或授权委托人签字（或个人</w:t>
      </w:r>
      <w:r>
        <w:rPr>
          <w:rFonts w:hint="eastAsia" w:ascii="宋体" w:hAnsi="宋体" w:eastAsia="宋体" w:cs="宋体"/>
          <w:color w:val="auto"/>
          <w:sz w:val="24"/>
          <w:szCs w:val="24"/>
          <w:highlight w:val="none"/>
          <w:lang w:val="en-US" w:eastAsia="zh-CN"/>
        </w:rPr>
        <w:t>CA签章）</w:t>
      </w:r>
      <w:r>
        <w:rPr>
          <w:rFonts w:hint="eastAsia" w:ascii="宋体" w:hAnsi="宋体" w:eastAsia="宋体" w:cs="宋体"/>
          <w:color w:val="auto"/>
          <w:sz w:val="24"/>
          <w:szCs w:val="24"/>
          <w:highlight w:val="none"/>
          <w:lang w:eastAsia="zh-CN"/>
        </w:rPr>
        <w:t>。响应文件因字迹潦草或表达不清所引起的后果由供应商负责。</w:t>
      </w:r>
    </w:p>
    <w:p w14:paraId="7A37839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16.4</w:t>
      </w:r>
      <w:r>
        <w:rPr>
          <w:rFonts w:hint="eastAsia" w:ascii="宋体" w:hAnsi="宋体" w:eastAsia="宋体" w:cs="宋体"/>
          <w:color w:val="auto"/>
          <w:sz w:val="24"/>
          <w:szCs w:val="24"/>
          <w:highlight w:val="none"/>
          <w:lang w:eastAsia="zh-CN"/>
        </w:rPr>
        <w:t xml:space="preserve">磋商前准备 </w:t>
      </w:r>
    </w:p>
    <w:p w14:paraId="7EFD08B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16.4.1</w:t>
      </w:r>
      <w:r>
        <w:rPr>
          <w:rFonts w:hint="eastAsia" w:ascii="宋体" w:hAnsi="宋体" w:eastAsia="宋体" w:cs="宋体"/>
          <w:color w:val="auto"/>
          <w:sz w:val="24"/>
          <w:szCs w:val="24"/>
          <w:highlight w:val="none"/>
          <w:lang w:eastAsia="zh-CN"/>
        </w:rPr>
        <w:t xml:space="preserve">本项目实行在线磋商，采用电子响应文件。若供应商参与磋商，自行承担磋商一切费用。 </w:t>
      </w:r>
    </w:p>
    <w:p w14:paraId="28362F7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16.4.2</w:t>
      </w:r>
      <w:r>
        <w:rPr>
          <w:rFonts w:hint="eastAsia" w:ascii="宋体" w:hAnsi="宋体" w:eastAsia="宋体" w:cs="宋体"/>
          <w:color w:val="auto"/>
          <w:sz w:val="24"/>
          <w:szCs w:val="24"/>
          <w:highlight w:val="none"/>
          <w:lang w:eastAsia="zh-CN"/>
        </w:rPr>
        <w:t>各供应商应在截标前应确保成为</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lang w:eastAsia="zh-CN"/>
        </w:rPr>
        <w:t xml:space="preserve">正式注册入库供应商，并完成 CA 数字证书申领。因未注册入库、未办理 CA 数字证书等原因造成无法磋商或磋商失败等后果由供应商自行承担。 </w:t>
      </w:r>
    </w:p>
    <w:p w14:paraId="116C4C1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16.4.3</w:t>
      </w:r>
      <w:r>
        <w:rPr>
          <w:rFonts w:hint="eastAsia" w:ascii="宋体" w:hAnsi="宋体" w:eastAsia="宋体" w:cs="宋体"/>
          <w:color w:val="auto"/>
          <w:sz w:val="24"/>
          <w:szCs w:val="24"/>
          <w:highlight w:val="none"/>
          <w:lang w:eastAsia="zh-CN"/>
        </w:rPr>
        <w:t>供应商将</w:t>
      </w:r>
      <w:r>
        <w:rPr>
          <w:rFonts w:hint="eastAsia" w:ascii="宋体" w:hAnsi="宋体" w:cs="宋体"/>
          <w:color w:val="auto"/>
          <w:sz w:val="24"/>
          <w:szCs w:val="24"/>
          <w:highlight w:val="none"/>
          <w:lang w:eastAsia="zh-CN"/>
        </w:rPr>
        <w:t>广西政府采购云平台新版客户端</w:t>
      </w:r>
      <w:r>
        <w:rPr>
          <w:rFonts w:hint="eastAsia" w:ascii="宋体" w:hAnsi="宋体" w:eastAsia="宋体" w:cs="宋体"/>
          <w:color w:val="auto"/>
          <w:sz w:val="24"/>
          <w:szCs w:val="24"/>
          <w:highlight w:val="none"/>
          <w:lang w:eastAsia="zh-CN"/>
        </w:rPr>
        <w:t>下载、安装完成后，可通过账号密码或 CA 登录客户端进行响应文件制作。客户端请至网站下载专区查看，如有问题可拨打政采云客户服务热线 95763 进行咨询。</w:t>
      </w:r>
    </w:p>
    <w:p w14:paraId="7CF17144">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24" w:name="_Toc9738"/>
      <w:bookmarkStart w:id="125" w:name="_Toc8793"/>
      <w:r>
        <w:rPr>
          <w:rFonts w:hint="eastAsia" w:ascii="宋体" w:hAnsi="宋体" w:eastAsia="宋体" w:cs="宋体"/>
          <w:color w:val="auto"/>
          <w:sz w:val="24"/>
          <w:szCs w:val="24"/>
          <w:highlight w:val="none"/>
        </w:rPr>
        <w:t>17. 响应文件的修改和撤回</w:t>
      </w:r>
      <w:bookmarkEnd w:id="124"/>
      <w:bookmarkEnd w:id="125"/>
    </w:p>
    <w:p w14:paraId="0B65A1E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17.1 </w:t>
      </w:r>
      <w:r>
        <w:rPr>
          <w:rFonts w:hint="eastAsia" w:ascii="宋体" w:hAnsi="宋体" w:eastAsia="宋体" w:cs="宋体"/>
          <w:color w:val="auto"/>
          <w:sz w:val="24"/>
          <w:szCs w:val="24"/>
          <w:highlight w:val="none"/>
          <w:lang w:eastAsia="zh-CN"/>
        </w:rPr>
        <w:t>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42FC47E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 在响应文件递交截止时间后的响应文件有效期内，供应商不得撤回其响应文件。</w:t>
      </w:r>
    </w:p>
    <w:p w14:paraId="0E706219">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lang w:eastAsia="zh-CN"/>
        </w:rPr>
      </w:pPr>
      <w:bookmarkStart w:id="126" w:name="_Toc24690"/>
      <w:bookmarkStart w:id="127" w:name="_Toc27281"/>
      <w:bookmarkStart w:id="128" w:name="_Toc30156"/>
      <w:r>
        <w:rPr>
          <w:rFonts w:hint="eastAsia" w:ascii="宋体" w:hAnsi="宋体" w:eastAsia="宋体" w:cs="宋体"/>
          <w:color w:val="auto"/>
          <w:sz w:val="24"/>
          <w:szCs w:val="24"/>
          <w:highlight w:val="none"/>
        </w:rPr>
        <w:t>18. 响应文件的递交</w:t>
      </w:r>
      <w:r>
        <w:rPr>
          <w:rFonts w:hint="eastAsia" w:ascii="宋体" w:hAnsi="宋体" w:eastAsia="宋体" w:cs="宋体"/>
          <w:color w:val="auto"/>
          <w:sz w:val="24"/>
          <w:szCs w:val="24"/>
          <w:highlight w:val="none"/>
          <w:lang w:eastAsia="zh-CN"/>
        </w:rPr>
        <w:t>和解密</w:t>
      </w:r>
      <w:bookmarkEnd w:id="126"/>
      <w:bookmarkEnd w:id="127"/>
      <w:bookmarkEnd w:id="128"/>
    </w:p>
    <w:p w14:paraId="2AB6ABC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18.1响应文件递交截止时间</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rPr>
        <w:t>供应商应于</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8</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31</w:t>
      </w:r>
      <w:r>
        <w:rPr>
          <w:rFonts w:hint="eastAsia" w:ascii="宋体" w:hAnsi="宋体" w:cs="宋体"/>
          <w:color w:val="auto"/>
          <w:sz w:val="24"/>
          <w:szCs w:val="24"/>
          <w:highlight w:val="none"/>
          <w:u w:val="single"/>
          <w:lang w:eastAsia="zh-CN"/>
        </w:rPr>
        <w:t>日</w:t>
      </w:r>
      <w:r>
        <w:rPr>
          <w:rFonts w:hint="eastAsia" w:ascii="宋体" w:hAnsi="宋体" w:cs="宋体"/>
          <w:color w:val="auto"/>
          <w:sz w:val="24"/>
          <w:szCs w:val="24"/>
          <w:highlight w:val="none"/>
          <w:u w:val="single"/>
          <w:lang w:val="en-US" w:eastAsia="zh-CN"/>
        </w:rPr>
        <w:t>9时30分</w:t>
      </w:r>
      <w:r>
        <w:rPr>
          <w:rFonts w:hint="eastAsia" w:ascii="宋体" w:hAnsi="宋体" w:eastAsia="宋体" w:cs="宋体"/>
          <w:color w:val="auto"/>
          <w:sz w:val="24"/>
          <w:szCs w:val="24"/>
          <w:highlight w:val="none"/>
          <w:u w:val="single"/>
          <w:lang w:val="en-US" w:eastAsia="zh-CN"/>
        </w:rPr>
        <w:t>（北京时间）</w:t>
      </w:r>
      <w:r>
        <w:rPr>
          <w:rFonts w:hint="eastAsia" w:ascii="宋体" w:hAnsi="宋体" w:eastAsia="宋体" w:cs="宋体"/>
          <w:color w:val="auto"/>
          <w:sz w:val="24"/>
          <w:szCs w:val="24"/>
          <w:highlight w:val="none"/>
        </w:rPr>
        <w:t>之前将电子响应文件上传到</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rPr>
        <w:t>电子响应文件</w:t>
      </w:r>
      <w:r>
        <w:rPr>
          <w:rFonts w:hint="eastAsia" w:ascii="宋体" w:hAnsi="宋体" w:eastAsia="宋体" w:cs="宋体"/>
          <w:color w:val="auto"/>
          <w:sz w:val="24"/>
          <w:szCs w:val="24"/>
          <w:highlight w:val="none"/>
        </w:rPr>
        <w:t>应按照本项目磋商文件和</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的要求编制、加密传输响应文件。供应商在使用系统进行</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的过程中遇到涉及平台使用的任何问题，可致电</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技术支持热线咨询，联系方式：</w:t>
      </w:r>
      <w:r>
        <w:rPr>
          <w:rFonts w:hint="eastAsia" w:ascii="宋体" w:hAnsi="宋体" w:eastAsia="宋体" w:cs="宋体"/>
          <w:color w:val="auto"/>
          <w:sz w:val="24"/>
          <w:szCs w:val="24"/>
          <w:highlight w:val="none"/>
          <w:lang w:eastAsia="zh-CN"/>
        </w:rPr>
        <w:t>95763</w:t>
      </w:r>
      <w:r>
        <w:rPr>
          <w:rFonts w:hint="eastAsia" w:ascii="宋体" w:hAnsi="宋体" w:eastAsia="宋体" w:cs="宋体"/>
          <w:color w:val="auto"/>
          <w:sz w:val="24"/>
          <w:szCs w:val="24"/>
          <w:highlight w:val="none"/>
        </w:rPr>
        <w:t>。</w:t>
      </w:r>
    </w:p>
    <w:p w14:paraId="4739A20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18.2响应文件</w:t>
      </w:r>
      <w:r>
        <w:rPr>
          <w:rFonts w:hint="eastAsia" w:ascii="宋体" w:hAnsi="宋体" w:eastAsia="宋体" w:cs="宋体"/>
          <w:color w:val="auto"/>
          <w:sz w:val="24"/>
          <w:szCs w:val="24"/>
          <w:highlight w:val="none"/>
          <w:lang w:eastAsia="zh-CN"/>
        </w:rPr>
        <w:t>解密时间</w:t>
      </w:r>
      <w:r>
        <w:rPr>
          <w:rFonts w:hint="eastAsia" w:ascii="宋体" w:hAnsi="宋体" w:eastAsia="宋体" w:cs="宋体"/>
          <w:color w:val="auto"/>
          <w:sz w:val="24"/>
          <w:szCs w:val="24"/>
          <w:highlight w:val="none"/>
        </w:rPr>
        <w:t>：</w:t>
      </w:r>
      <w:r>
        <w:rPr>
          <w:rFonts w:hint="eastAsia" w:ascii="宋体" w:hAnsi="宋体"/>
          <w:color w:val="auto"/>
          <w:sz w:val="24"/>
          <w:szCs w:val="24"/>
          <w:highlight w:val="none"/>
        </w:rPr>
        <w:t>响应文件提交截止时间后，采购代理机构开启解密响应文件操作，</w:t>
      </w:r>
      <w:r>
        <w:rPr>
          <w:rFonts w:hint="eastAsia" w:ascii="宋体" w:hAnsi="宋体"/>
          <w:color w:val="auto"/>
          <w:sz w:val="24"/>
          <w:szCs w:val="24"/>
          <w:highlight w:val="none"/>
          <w:lang w:eastAsia="zh-CN"/>
        </w:rPr>
        <w:t>广西政府采购云平台</w:t>
      </w:r>
      <w:r>
        <w:rPr>
          <w:rFonts w:hint="eastAsia" w:ascii="宋体" w:hAnsi="宋体"/>
          <w:color w:val="auto"/>
          <w:sz w:val="24"/>
          <w:szCs w:val="24"/>
          <w:highlight w:val="none"/>
        </w:rPr>
        <w:t>向各供应商发出电子加密响应文件解密通知，由供应商在系统发出解密通知后30分钟内自行使用加密时的CA通过“项目采购-开标评标”功能对响应文件进行解密。若供应商在上述规定的时间内无法解密或解密失败的，可以在响应文件解密截止时间后30分钟内向采购代理机构现场提交电子备份响应文件【现场提交电子响应文件地址：桂林市公共资源交易中心</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号</w:t>
      </w:r>
      <w:r>
        <w:rPr>
          <w:rFonts w:hint="eastAsia" w:ascii="宋体" w:hAnsi="宋体"/>
          <w:color w:val="auto"/>
          <w:sz w:val="24"/>
          <w:szCs w:val="24"/>
          <w:highlight w:val="none"/>
          <w:lang w:val="en-US" w:eastAsia="zh-CN"/>
        </w:rPr>
        <w:t>政采开标仓</w:t>
      </w:r>
      <w:r>
        <w:rPr>
          <w:rFonts w:hint="eastAsia" w:ascii="宋体" w:hAnsi="宋体"/>
          <w:color w:val="auto"/>
          <w:sz w:val="24"/>
          <w:szCs w:val="24"/>
          <w:highlight w:val="none"/>
        </w:rPr>
        <w:t>（广西桂林市临桂区西城中路69号创业大厦西辅楼4楼北区）】，或以电子邮件的形式提交电子备份响应文件</w:t>
      </w:r>
      <w:r>
        <w:rPr>
          <w:rFonts w:hint="eastAsia" w:ascii="宋体" w:hAnsi="宋体"/>
          <w:color w:val="auto"/>
          <w:sz w:val="24"/>
          <w:szCs w:val="24"/>
          <w:highlight w:val="none"/>
          <w:lang w:val="en-US" w:eastAsia="zh-CN"/>
        </w:rPr>
        <w:t>（以通知时所告知的电子邮箱地址为准）</w:t>
      </w:r>
      <w:r>
        <w:rPr>
          <w:rFonts w:hint="eastAsia" w:ascii="宋体" w:hAnsi="宋体"/>
          <w:color w:val="auto"/>
          <w:sz w:val="24"/>
          <w:szCs w:val="24"/>
          <w:highlight w:val="none"/>
        </w:rPr>
        <w:t>；供应商未在上述规定的时间、地点（电子邮箱）提交的电子备份响应文件，采购代理机构不予接收或承认。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w:t>
      </w:r>
      <w:r>
        <w:rPr>
          <w:rFonts w:hint="eastAsia" w:ascii="宋体" w:hAnsi="宋体"/>
          <w:color w:val="auto"/>
          <w:sz w:val="24"/>
          <w:szCs w:val="24"/>
          <w:highlight w:val="none"/>
          <w:lang w:eastAsia="zh-CN"/>
        </w:rPr>
        <w:t>磋商</w:t>
      </w:r>
      <w:r>
        <w:rPr>
          <w:rFonts w:hint="eastAsia" w:ascii="宋体" w:hAnsi="宋体"/>
          <w:color w:val="auto"/>
          <w:sz w:val="24"/>
          <w:szCs w:val="24"/>
          <w:highlight w:val="none"/>
        </w:rPr>
        <w:t>。</w:t>
      </w:r>
    </w:p>
    <w:p w14:paraId="2AB8419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 除竞争性磋商文件另有规定外，供应商所递交的响应文件不予退还。</w:t>
      </w:r>
    </w:p>
    <w:p w14:paraId="4D1EC1BF">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 xml:space="preserve">18.4 </w:t>
      </w:r>
      <w:r>
        <w:rPr>
          <w:rFonts w:hint="eastAsia" w:ascii="宋体" w:hAnsi="宋体" w:eastAsia="宋体" w:cs="宋体"/>
          <w:color w:val="auto"/>
          <w:sz w:val="24"/>
          <w:szCs w:val="32"/>
          <w:highlight w:val="none"/>
        </w:rPr>
        <w:t>电子响应文件的相关说明</w:t>
      </w:r>
    </w:p>
    <w:p w14:paraId="1D5C3BA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（1）供应商进行电子投标应安装客户端软件，并按照</w:t>
      </w:r>
      <w:r>
        <w:rPr>
          <w:rFonts w:hint="eastAsia" w:ascii="宋体" w:hAnsi="宋体" w:cs="宋体"/>
          <w:color w:val="auto"/>
          <w:sz w:val="24"/>
          <w:szCs w:val="32"/>
          <w:highlight w:val="none"/>
          <w:lang w:eastAsia="zh-CN"/>
        </w:rPr>
        <w:t>磋商</w:t>
      </w:r>
      <w:r>
        <w:rPr>
          <w:rFonts w:hint="eastAsia" w:ascii="宋体" w:hAnsi="宋体" w:eastAsia="宋体" w:cs="宋体"/>
          <w:color w:val="auto"/>
          <w:sz w:val="24"/>
          <w:szCs w:val="32"/>
          <w:highlight w:val="none"/>
        </w:rPr>
        <w:t>文件和</w:t>
      </w:r>
      <w:r>
        <w:rPr>
          <w:rFonts w:hint="eastAsia" w:ascii="宋体" w:hAnsi="宋体" w:cs="宋体"/>
          <w:color w:val="auto"/>
          <w:sz w:val="24"/>
          <w:szCs w:val="32"/>
          <w:highlight w:val="none"/>
          <w:lang w:eastAsia="zh-CN"/>
        </w:rPr>
        <w:t>广西政府采购云平台</w:t>
      </w:r>
      <w:r>
        <w:rPr>
          <w:rFonts w:hint="eastAsia" w:ascii="宋体" w:hAnsi="宋体" w:eastAsia="宋体" w:cs="宋体"/>
          <w:color w:val="auto"/>
          <w:sz w:val="24"/>
          <w:szCs w:val="32"/>
          <w:highlight w:val="none"/>
        </w:rPr>
        <w:t>的要求编制并加密响应文件。供应商未按规定加密的响应文件，</w:t>
      </w:r>
      <w:r>
        <w:rPr>
          <w:rFonts w:hint="eastAsia" w:ascii="宋体" w:hAnsi="宋体" w:cs="宋体"/>
          <w:color w:val="auto"/>
          <w:sz w:val="24"/>
          <w:szCs w:val="32"/>
          <w:highlight w:val="none"/>
          <w:lang w:eastAsia="zh-CN"/>
        </w:rPr>
        <w:t>广西政府采购云平台</w:t>
      </w:r>
      <w:r>
        <w:rPr>
          <w:rFonts w:hint="eastAsia" w:ascii="宋体" w:hAnsi="宋体" w:eastAsia="宋体" w:cs="宋体"/>
          <w:color w:val="auto"/>
          <w:sz w:val="24"/>
          <w:szCs w:val="32"/>
          <w:highlight w:val="none"/>
        </w:rPr>
        <w:t>将拒收。供应商应当在</w:t>
      </w:r>
      <w:r>
        <w:rPr>
          <w:rFonts w:hint="eastAsia" w:ascii="宋体" w:hAnsi="宋体" w:eastAsia="宋体" w:cs="宋体"/>
          <w:color w:val="auto"/>
          <w:sz w:val="24"/>
          <w:szCs w:val="32"/>
          <w:highlight w:val="none"/>
          <w:lang w:eastAsia="zh-CN"/>
        </w:rPr>
        <w:t>磋商</w:t>
      </w:r>
      <w:r>
        <w:rPr>
          <w:rFonts w:hint="eastAsia" w:ascii="宋体" w:hAnsi="宋体" w:eastAsia="宋体" w:cs="宋体"/>
          <w:color w:val="auto"/>
          <w:sz w:val="24"/>
          <w:szCs w:val="32"/>
          <w:highlight w:val="none"/>
        </w:rPr>
        <w:t>截止时间前完成响应文件的传输递交，并可以补充、修改或者撤回</w:t>
      </w:r>
      <w:r>
        <w:rPr>
          <w:rFonts w:hint="eastAsia" w:ascii="宋体" w:hAnsi="宋体" w:eastAsia="宋体" w:cs="宋体"/>
          <w:color w:val="auto"/>
          <w:sz w:val="24"/>
          <w:szCs w:val="32"/>
          <w:highlight w:val="none"/>
          <w:lang w:eastAsia="zh-CN"/>
        </w:rPr>
        <w:t>磋商</w:t>
      </w:r>
      <w:r>
        <w:rPr>
          <w:rFonts w:hint="eastAsia" w:ascii="宋体" w:hAnsi="宋体" w:eastAsia="宋体" w:cs="宋体"/>
          <w:color w:val="auto"/>
          <w:sz w:val="24"/>
          <w:szCs w:val="32"/>
          <w:highlight w:val="none"/>
        </w:rPr>
        <w:t>响应文件。补充或者修改</w:t>
      </w:r>
      <w:r>
        <w:rPr>
          <w:rFonts w:hint="eastAsia" w:ascii="宋体" w:hAnsi="宋体" w:eastAsia="宋体" w:cs="宋体"/>
          <w:color w:val="auto"/>
          <w:sz w:val="24"/>
          <w:szCs w:val="32"/>
          <w:highlight w:val="none"/>
          <w:lang w:eastAsia="zh-CN"/>
        </w:rPr>
        <w:t>磋商</w:t>
      </w:r>
      <w:r>
        <w:rPr>
          <w:rFonts w:hint="eastAsia" w:ascii="宋体" w:hAnsi="宋体" w:eastAsia="宋体" w:cs="宋体"/>
          <w:color w:val="auto"/>
          <w:sz w:val="24"/>
          <w:szCs w:val="32"/>
          <w:highlight w:val="none"/>
        </w:rPr>
        <w:t>响应文件的，应当先行撤回原文件，补充、修改后重新传输递交。</w:t>
      </w:r>
      <w:r>
        <w:rPr>
          <w:rFonts w:hint="eastAsia" w:ascii="宋体" w:hAnsi="宋体" w:eastAsia="宋体" w:cs="宋体"/>
          <w:color w:val="auto"/>
          <w:sz w:val="24"/>
          <w:szCs w:val="32"/>
          <w:highlight w:val="none"/>
          <w:lang w:eastAsia="zh-CN"/>
        </w:rPr>
        <w:t>磋商</w:t>
      </w:r>
      <w:r>
        <w:rPr>
          <w:rFonts w:hint="eastAsia" w:ascii="宋体" w:hAnsi="宋体" w:eastAsia="宋体" w:cs="宋体"/>
          <w:color w:val="auto"/>
          <w:sz w:val="24"/>
          <w:szCs w:val="32"/>
          <w:highlight w:val="none"/>
        </w:rPr>
        <w:t>截止时间前未完成传输的，视为撤回响应文件。</w:t>
      </w:r>
      <w:r>
        <w:rPr>
          <w:rFonts w:hint="eastAsia" w:ascii="宋体" w:hAnsi="宋体" w:eastAsia="宋体" w:cs="宋体"/>
          <w:color w:val="auto"/>
          <w:sz w:val="24"/>
          <w:szCs w:val="32"/>
          <w:highlight w:val="none"/>
          <w:lang w:eastAsia="zh-CN"/>
        </w:rPr>
        <w:t>磋商</w:t>
      </w:r>
      <w:r>
        <w:rPr>
          <w:rFonts w:hint="eastAsia" w:ascii="宋体" w:hAnsi="宋体" w:eastAsia="宋体" w:cs="宋体"/>
          <w:color w:val="auto"/>
          <w:sz w:val="24"/>
          <w:szCs w:val="32"/>
          <w:highlight w:val="none"/>
        </w:rPr>
        <w:t>截止时间后递交的响应文件，</w:t>
      </w:r>
      <w:r>
        <w:rPr>
          <w:rFonts w:hint="eastAsia" w:ascii="宋体" w:hAnsi="宋体" w:cs="宋体"/>
          <w:color w:val="auto"/>
          <w:sz w:val="24"/>
          <w:szCs w:val="32"/>
          <w:highlight w:val="none"/>
          <w:lang w:eastAsia="zh-CN"/>
        </w:rPr>
        <w:t>广西政府采购云平台</w:t>
      </w:r>
      <w:r>
        <w:rPr>
          <w:rFonts w:hint="eastAsia" w:ascii="宋体" w:hAnsi="宋体" w:eastAsia="宋体" w:cs="宋体"/>
          <w:color w:val="auto"/>
          <w:sz w:val="24"/>
          <w:szCs w:val="32"/>
          <w:highlight w:val="none"/>
        </w:rPr>
        <w:t xml:space="preserve">将拒收。 </w:t>
      </w:r>
    </w:p>
    <w:p w14:paraId="73C948A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sz w:val="24"/>
          <w:szCs w:val="32"/>
          <w:highlight w:val="none"/>
        </w:rPr>
        <w:t>（2）如有特殊情况，采购代理机构延长截止时间和开标时间，采购代理机构和供应商的权利和义务将受到新的截止时间和开标时间的约束。</w:t>
      </w:r>
    </w:p>
    <w:p w14:paraId="2C6E9B3F">
      <w:pPr>
        <w:pStyle w:val="3"/>
        <w:pageBreakBefore w:val="0"/>
        <w:widowControl w:val="0"/>
        <w:tabs>
          <w:tab w:val="left" w:pos="567"/>
        </w:tabs>
        <w:kinsoku/>
        <w:wordWrap/>
        <w:overflowPunct/>
        <w:topLinePunct w:val="0"/>
        <w:bidi w:val="0"/>
        <w:spacing w:line="440" w:lineRule="exact"/>
        <w:jc w:val="center"/>
        <w:textAlignment w:val="auto"/>
        <w:rPr>
          <w:rFonts w:hint="eastAsia" w:ascii="宋体" w:hAnsi="宋体" w:eastAsia="宋体" w:cs="宋体"/>
          <w:b/>
          <w:bCs w:val="0"/>
          <w:color w:val="auto"/>
          <w:sz w:val="28"/>
          <w:szCs w:val="28"/>
          <w:highlight w:val="none"/>
        </w:rPr>
      </w:pPr>
      <w:bookmarkStart w:id="129" w:name="_Toc2433"/>
      <w:bookmarkStart w:id="130" w:name="_Toc5807"/>
      <w:bookmarkStart w:id="131" w:name="_Toc8366"/>
      <w:bookmarkStart w:id="132" w:name="_Toc27502"/>
      <w:r>
        <w:rPr>
          <w:rFonts w:hint="eastAsia" w:ascii="宋体" w:hAnsi="宋体" w:eastAsia="宋体" w:cs="宋体"/>
          <w:b/>
          <w:bCs w:val="0"/>
          <w:color w:val="auto"/>
          <w:sz w:val="28"/>
          <w:szCs w:val="28"/>
          <w:highlight w:val="none"/>
        </w:rPr>
        <w:t>四、竞争性磋商（简称磋商）与评审</w:t>
      </w:r>
      <w:bookmarkEnd w:id="129"/>
      <w:bookmarkEnd w:id="130"/>
      <w:bookmarkEnd w:id="131"/>
      <w:bookmarkEnd w:id="132"/>
    </w:p>
    <w:p w14:paraId="4D99D91B">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33" w:name="_Toc31588"/>
      <w:bookmarkStart w:id="134" w:name="_Toc9080"/>
      <w:bookmarkStart w:id="135" w:name="_Toc11021"/>
      <w:r>
        <w:rPr>
          <w:rFonts w:hint="eastAsia" w:ascii="宋体" w:hAnsi="宋体" w:eastAsia="宋体" w:cs="宋体"/>
          <w:color w:val="auto"/>
          <w:sz w:val="24"/>
          <w:szCs w:val="24"/>
          <w:highlight w:val="none"/>
        </w:rPr>
        <w:t>19. 磋商小组组成及磋商时间、地点、人员</w:t>
      </w:r>
      <w:bookmarkEnd w:id="133"/>
      <w:bookmarkEnd w:id="134"/>
      <w:bookmarkEnd w:id="135"/>
    </w:p>
    <w:p w14:paraId="017FC12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 磋商小组组成：</w:t>
      </w:r>
    </w:p>
    <w:p w14:paraId="673EF09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eastAsia="宋体" w:cs="宋体"/>
          <w:color w:val="auto"/>
          <w:sz w:val="24"/>
          <w:szCs w:val="24"/>
          <w:highlight w:val="none"/>
          <w:u w:val="single"/>
        </w:rPr>
        <w:t xml:space="preserve">3 </w:t>
      </w:r>
      <w:r>
        <w:rPr>
          <w:rFonts w:hint="eastAsia" w:ascii="宋体" w:hAnsi="宋体" w:eastAsia="宋体" w:cs="宋体"/>
          <w:color w:val="auto"/>
          <w:sz w:val="24"/>
          <w:szCs w:val="24"/>
          <w:highlight w:val="none"/>
        </w:rPr>
        <w:t>人，其中采购人代表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1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2 </w:t>
      </w:r>
      <w:r>
        <w:rPr>
          <w:rFonts w:hint="eastAsia" w:ascii="宋体" w:hAnsi="宋体" w:eastAsia="宋体" w:cs="宋体"/>
          <w:color w:val="auto"/>
          <w:sz w:val="24"/>
          <w:szCs w:val="24"/>
          <w:highlight w:val="none"/>
        </w:rPr>
        <w:t>人。</w:t>
      </w:r>
    </w:p>
    <w:p w14:paraId="0089569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 磋商时间、地点、人员：</w:t>
      </w:r>
    </w:p>
    <w:p w14:paraId="2BEAA6A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19.2.1磋商时间：响应文件递交截止时间后。</w:t>
      </w:r>
    </w:p>
    <w:p w14:paraId="2C721CB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19.2.2磋商地点：供应商代表在响应文件提交当天实时登录</w:t>
      </w:r>
      <w:r>
        <w:rPr>
          <w:rFonts w:hint="eastAsia" w:ascii="宋体" w:hAnsi="宋体" w:cs="宋体"/>
          <w:b w:val="0"/>
          <w:bCs/>
          <w:color w:val="auto"/>
          <w:sz w:val="24"/>
          <w:szCs w:val="24"/>
          <w:highlight w:val="none"/>
          <w:lang w:eastAsia="zh-CN"/>
        </w:rPr>
        <w:t>广西政府采购云平台</w:t>
      </w:r>
      <w:r>
        <w:rPr>
          <w:rFonts w:hint="eastAsia" w:ascii="宋体" w:hAnsi="宋体" w:eastAsia="宋体" w:cs="宋体"/>
          <w:b w:val="0"/>
          <w:bCs/>
          <w:color w:val="auto"/>
          <w:sz w:val="24"/>
          <w:szCs w:val="24"/>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76CBAD3E">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19.2.3磋商参加人员：供应商法定代表人、负责人、自然人或相应的委托代理人参加磋商。请供应商实时登录</w:t>
      </w:r>
      <w:r>
        <w:rPr>
          <w:rFonts w:hint="eastAsia" w:ascii="宋体" w:hAnsi="宋体" w:cs="宋体"/>
          <w:b w:val="0"/>
          <w:bCs/>
          <w:color w:val="auto"/>
          <w:sz w:val="24"/>
          <w:szCs w:val="24"/>
          <w:highlight w:val="none"/>
          <w:lang w:eastAsia="zh-CN"/>
        </w:rPr>
        <w:t>广西政府采购云平台</w:t>
      </w:r>
      <w:r>
        <w:rPr>
          <w:rFonts w:hint="eastAsia" w:ascii="宋体" w:hAnsi="宋体" w:eastAsia="宋体" w:cs="宋体"/>
          <w:b w:val="0"/>
          <w:bCs/>
          <w:color w:val="auto"/>
          <w:sz w:val="24"/>
          <w:szCs w:val="24"/>
          <w:highlight w:val="none"/>
        </w:rPr>
        <w:t>等候在线磋商。</w:t>
      </w:r>
    </w:p>
    <w:p w14:paraId="0734C6B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19.2.4响应文件递交截止时间后，登录</w:t>
      </w:r>
      <w:r>
        <w:rPr>
          <w:rFonts w:hint="eastAsia" w:ascii="宋体" w:hAnsi="宋体" w:cs="宋体"/>
          <w:b w:val="0"/>
          <w:bCs/>
          <w:color w:val="auto"/>
          <w:sz w:val="24"/>
          <w:szCs w:val="24"/>
          <w:highlight w:val="none"/>
          <w:lang w:eastAsia="zh-CN"/>
        </w:rPr>
        <w:t>广西政府采购云平台</w:t>
      </w:r>
      <w:r>
        <w:rPr>
          <w:rFonts w:hint="eastAsia" w:ascii="宋体" w:hAnsi="宋体" w:eastAsia="宋体" w:cs="宋体"/>
          <w:b w:val="0"/>
          <w:bCs/>
          <w:color w:val="auto"/>
          <w:sz w:val="24"/>
          <w:szCs w:val="24"/>
          <w:highlight w:val="none"/>
        </w:rPr>
        <w:t>在线解密开启。</w:t>
      </w:r>
    </w:p>
    <w:p w14:paraId="7664F083">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36" w:name="_Toc25258"/>
      <w:bookmarkStart w:id="137" w:name="_Toc30573"/>
      <w:bookmarkStart w:id="138" w:name="_Toc21088"/>
      <w:r>
        <w:rPr>
          <w:rFonts w:hint="eastAsia" w:ascii="宋体" w:hAnsi="宋体" w:eastAsia="宋体" w:cs="宋体"/>
          <w:color w:val="auto"/>
          <w:sz w:val="24"/>
          <w:szCs w:val="24"/>
          <w:highlight w:val="none"/>
        </w:rPr>
        <w:t>20. 评审原则</w:t>
      </w:r>
      <w:bookmarkEnd w:id="136"/>
      <w:bookmarkEnd w:id="137"/>
      <w:bookmarkEnd w:id="138"/>
    </w:p>
    <w:p w14:paraId="2422338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 磋商小组必须坚持公平、公正、科学和择优的原则。</w:t>
      </w:r>
    </w:p>
    <w:p w14:paraId="0129FA8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 评审办法：具体详见第四章评审办法。</w:t>
      </w:r>
    </w:p>
    <w:p w14:paraId="2E7E521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 磋商小组应按磋商文件进行评审，不得擅自更改评审办法。</w:t>
      </w:r>
    </w:p>
    <w:p w14:paraId="3C9D5EB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 在评审过程中，磋商小组任何人不得对某个供应商发表任何倾向性意见，不得向其他磋商小组成员明示或者暗示自己的评审意见。</w:t>
      </w:r>
    </w:p>
    <w:p w14:paraId="039125F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20.5 磋商小组成员对需要共同认定的事项存在争议的，按照少数服从多数的原则作出结论。持不同意见的磋商小组成员应当在评审报告上签署不同意见并说明理由，否则视为同意。</w:t>
      </w:r>
    </w:p>
    <w:p w14:paraId="776F12F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 响应文件最后报价出现前后不一致的，除竞争性磋商文件另有规定外，按照下列规定修正：</w:t>
      </w:r>
    </w:p>
    <w:p w14:paraId="617E5693">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响应文件中磋商报价表内容与响应文件中相应内容不一致的，以最后磋商报价表为准；</w:t>
      </w:r>
    </w:p>
    <w:p w14:paraId="24AA1FF3">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大写金额和小写金额不一致的，以大写金额为准；</w:t>
      </w:r>
    </w:p>
    <w:p w14:paraId="0D1950E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单价金额小数点或者百分比有明显错位的，以报价表的总价为准，并修改单价；</w:t>
      </w:r>
    </w:p>
    <w:p w14:paraId="166CEEF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总价金额与按单价汇总金额不一致的，以单价金额计算结果为准。</w:t>
      </w:r>
    </w:p>
    <w:p w14:paraId="02B472F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4CA409A3">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39" w:name="_Toc21012"/>
      <w:bookmarkStart w:id="140" w:name="_Toc17285"/>
      <w:bookmarkStart w:id="141" w:name="_Toc27193"/>
      <w:r>
        <w:rPr>
          <w:rFonts w:hint="eastAsia" w:ascii="宋体" w:hAnsi="宋体" w:eastAsia="宋体" w:cs="宋体"/>
          <w:color w:val="auto"/>
          <w:sz w:val="24"/>
          <w:szCs w:val="24"/>
          <w:highlight w:val="none"/>
        </w:rPr>
        <w:t>21. 评审程序及磋商要求</w:t>
      </w:r>
      <w:bookmarkEnd w:id="139"/>
      <w:bookmarkEnd w:id="140"/>
      <w:bookmarkEnd w:id="141"/>
    </w:p>
    <w:p w14:paraId="0FB3D55E">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21.1磋商小组成员的通讯工具或相关电子设备交由桂林市公共资源交易中心统一保管后到达评标室</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采购代理机构核实磋商小组成员身份，告知回避要求，宣布评审工作纪律和程序，推选磋商小组组长。</w:t>
      </w:r>
    </w:p>
    <w:p w14:paraId="5547F2C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r>
        <w:rPr>
          <w:rFonts w:hint="eastAsia" w:ascii="宋体" w:hAnsi="宋体" w:cs="宋体"/>
          <w:color w:val="auto"/>
          <w:kern w:val="0"/>
          <w:sz w:val="24"/>
          <w:szCs w:val="24"/>
          <w:highlight w:val="none"/>
        </w:rPr>
        <w:t>磋商小组应当审查供应商的响应文件并作出评价；要求供应商解释或者澄清其响应文件；编写评审报告；告知采购人、采购代理机构在评审过程中发现的供应商的违法违规行为。</w:t>
      </w:r>
    </w:p>
    <w:p w14:paraId="617F697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21.3 </w:t>
      </w:r>
      <w:r>
        <w:rPr>
          <w:rFonts w:hint="eastAsia" w:ascii="宋体" w:hAnsi="宋体" w:cs="宋体"/>
          <w:color w:val="auto"/>
          <w:kern w:val="0"/>
          <w:sz w:val="24"/>
          <w:szCs w:val="24"/>
          <w:highlight w:val="none"/>
        </w:rPr>
        <w:t>磋商小组依据法律法规和竞争性磋商文件的规定，</w:t>
      </w:r>
      <w:r>
        <w:rPr>
          <w:rFonts w:hint="eastAsia" w:ascii="宋体" w:hAnsi="宋体" w:cs="宋体"/>
          <w:color w:val="auto"/>
          <w:kern w:val="0"/>
          <w:sz w:val="24"/>
          <w:szCs w:val="22"/>
          <w:highlight w:val="none"/>
        </w:rPr>
        <w:t>首先对响应文件进行资格性审查，</w:t>
      </w:r>
      <w:r>
        <w:rPr>
          <w:rFonts w:hint="eastAsia" w:ascii="宋体" w:hAnsi="宋体" w:cs="宋体"/>
          <w:color w:val="auto"/>
          <w:kern w:val="0"/>
          <w:sz w:val="24"/>
          <w:szCs w:val="24"/>
          <w:highlight w:val="none"/>
        </w:rPr>
        <w:t>以确定供应商是否具备本项目供应商资格；再对通过资格性审查的供应商响应文件的有效性、完整性和对磋商文件的响应程度进行符合性审查，以确定是否对磋商文件的实质性要求做出响应。</w:t>
      </w:r>
      <w:r>
        <w:rPr>
          <w:rFonts w:hint="eastAsia" w:ascii="宋体" w:hAnsi="宋体" w:eastAsia="宋体" w:cs="宋体"/>
          <w:color w:val="auto"/>
          <w:sz w:val="24"/>
          <w:szCs w:val="24"/>
          <w:highlight w:val="none"/>
        </w:rPr>
        <w:t xml:space="preserve"> </w:t>
      </w:r>
    </w:p>
    <w:p w14:paraId="31626EE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21.4 磋商小组在对供应商进行资格性审查时，将对供应商企业股东及出资等信息进行查询。根据 《 中华人民共和国政府采购法实施条例 》 第十八条第一款规定，审查中如发现供应商存在单位负责人为同一人或者存在直接控股、管理关系的不同供应商参加同一合同项下的政府采购活动的，按响应文件无效处理。</w:t>
      </w:r>
    </w:p>
    <w:p w14:paraId="0D60BA6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21.4.1 查询渠道：《国家企业信用信息公示系统》（网址：www.gsxt.gov.cn/index.html）</w:t>
      </w:r>
    </w:p>
    <w:p w14:paraId="716F708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21.4.2 审查流程：</w:t>
      </w:r>
    </w:p>
    <w:p w14:paraId="1DA01E8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（1）进入《国家企业信用信息公示系统》（网址：www.gsxt.gov.cn/index.html），输入企业名称，进入企业信息主页面；</w:t>
      </w:r>
    </w:p>
    <w:p w14:paraId="3C41827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（2）查看主页“股东及出资信息”栏，或年报中的“股东及出资信息”栏信息；</w:t>
      </w:r>
    </w:p>
    <w:p w14:paraId="1BE1230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（3）将各供应商的股东及出资信息进行比对，得出审查结论；</w:t>
      </w:r>
    </w:p>
    <w:p w14:paraId="0D3BDE9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（4）将相关资料作为评审资料打印存档。</w:t>
      </w:r>
    </w:p>
    <w:p w14:paraId="7616B74C">
      <w:pPr>
        <w:pStyle w:val="20"/>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b/>
          <w:bCs/>
          <w:color w:val="auto"/>
          <w:sz w:val="24"/>
          <w:szCs w:val="32"/>
          <w:highlight w:val="none"/>
        </w:rPr>
      </w:pPr>
      <w:r>
        <w:rPr>
          <w:rFonts w:hint="eastAsia"/>
          <w:b/>
          <w:bCs/>
          <w:color w:val="auto"/>
          <w:sz w:val="24"/>
          <w:szCs w:val="32"/>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2065379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21.5 磋商小组如发现供应商提供的证明文件不齐全或不符合规定格式的，应一次性告知供应商，供应商应在规定的时间内</w:t>
      </w:r>
      <w:r>
        <w:rPr>
          <w:rFonts w:hint="eastAsia" w:ascii="宋体" w:hAnsi="宋体" w:eastAsia="宋体" w:cs="宋体"/>
          <w:b w:val="0"/>
          <w:bCs w:val="0"/>
          <w:color w:val="auto"/>
          <w:sz w:val="24"/>
          <w:szCs w:val="24"/>
          <w:highlight w:val="none"/>
          <w:lang w:eastAsia="zh-CN"/>
        </w:rPr>
        <w:t>线上</w:t>
      </w:r>
      <w:r>
        <w:rPr>
          <w:rFonts w:hint="eastAsia" w:ascii="宋体" w:hAnsi="宋体" w:eastAsia="宋体" w:cs="宋体"/>
          <w:b w:val="0"/>
          <w:bCs w:val="0"/>
          <w:color w:val="auto"/>
          <w:sz w:val="24"/>
          <w:szCs w:val="24"/>
          <w:highlight w:val="none"/>
        </w:rPr>
        <w:t>补正或更正。</w:t>
      </w:r>
    </w:p>
    <w:p w14:paraId="4567323E">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21.6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w:t>
      </w:r>
      <w:r>
        <w:rPr>
          <w:rFonts w:hint="eastAsia" w:ascii="宋体" w:hAnsi="宋体" w:eastAsia="宋体" w:cs="宋体"/>
          <w:color w:val="auto"/>
          <w:sz w:val="24"/>
          <w:szCs w:val="24"/>
          <w:highlight w:val="none"/>
          <w:lang w:eastAsia="zh-CN"/>
        </w:rPr>
        <w:t>（负责人、自然人）</w:t>
      </w:r>
      <w:r>
        <w:rPr>
          <w:rFonts w:hint="eastAsia" w:ascii="宋体" w:hAnsi="宋体" w:eastAsia="宋体" w:cs="宋体"/>
          <w:color w:val="auto"/>
          <w:sz w:val="24"/>
          <w:szCs w:val="24"/>
          <w:highlight w:val="none"/>
        </w:rPr>
        <w:t>或相应的授权委托代表签字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32"/>
          <w:highlight w:val="none"/>
          <w:lang w:val="en-US" w:eastAsia="zh-CN"/>
        </w:rPr>
        <w:t>个人CA签章)</w:t>
      </w:r>
      <w:r>
        <w:rPr>
          <w:rFonts w:hint="eastAsia" w:ascii="宋体" w:hAnsi="宋体" w:eastAsia="宋体" w:cs="宋体"/>
          <w:color w:val="auto"/>
          <w:sz w:val="24"/>
          <w:szCs w:val="24"/>
          <w:highlight w:val="none"/>
        </w:rPr>
        <w:t>或者加盖供应商公章</w:t>
      </w:r>
      <w:r>
        <w:rPr>
          <w:rFonts w:hint="eastAsia" w:ascii="宋体" w:hAnsi="宋体" w:eastAsia="宋体" w:cs="宋体"/>
          <w:color w:val="auto"/>
          <w:sz w:val="24"/>
          <w:szCs w:val="24"/>
          <w:highlight w:val="none"/>
          <w:lang w:val="en-US" w:eastAsia="zh-CN"/>
        </w:rPr>
        <w:t>(CA签章)</w:t>
      </w:r>
      <w:r>
        <w:rPr>
          <w:rFonts w:hint="eastAsia" w:ascii="宋体" w:hAnsi="宋体" w:eastAsia="宋体" w:cs="宋体"/>
          <w:color w:val="auto"/>
          <w:sz w:val="24"/>
          <w:szCs w:val="24"/>
          <w:highlight w:val="none"/>
        </w:rPr>
        <w:t>。</w:t>
      </w:r>
    </w:p>
    <w:p w14:paraId="151C3313">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根据磋商文件规定的程序、评定成交的标准等事项与实质性响应竞争性磋商文件要求的供应商进行磋商。 未实质性响应磋商文件的响应文件按无效处理，磋商小组应当告知有关供应商。 </w:t>
      </w:r>
    </w:p>
    <w:p w14:paraId="2620654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磋商小组所有成员应当按已确定的磋商顺序集中与单一供应商分别进行磋商，并给予所有实质性响应竞争性磋商文件要求的供应商平等的磋商机会。 </w:t>
      </w:r>
    </w:p>
    <w:p w14:paraId="59F97C4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磋商中，磋商小组不得透露与磋商有关的其他供应商的技术资料、价格和其他信息。 </w:t>
      </w:r>
    </w:p>
    <w:p w14:paraId="51431F0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24"/>
          <w:highlight w:val="none"/>
        </w:rPr>
        <w:t>磋商小组对磋商过程和重要磋商内容进行记录，磋商双方在记录上签字确认（或电子签名、加盖电子签章）。</w:t>
      </w:r>
    </w:p>
    <w:p w14:paraId="52D2801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 xml:space="preserve"> 在磋商过程中，磋商小组可以根据磋商文件和磋商情况实质性变动项目需求中的技术、服务要求以及合同草案条款，但不得变动磋商文件中的其他内容。实质性变动的内容，须经采购人代表确认。 </w:t>
      </w:r>
    </w:p>
    <w:p w14:paraId="5CF80CE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对磋商文件作出的实质性变动是磋商文件的有效组成部分，磋商小组应当及时</w:t>
      </w:r>
      <w:r>
        <w:rPr>
          <w:rFonts w:hint="eastAsia" w:ascii="宋体" w:hAnsi="宋体" w:eastAsia="宋体" w:cs="宋体"/>
          <w:color w:val="auto"/>
          <w:sz w:val="24"/>
          <w:szCs w:val="24"/>
          <w:highlight w:val="none"/>
          <w:lang w:eastAsia="zh-CN"/>
        </w:rPr>
        <w:t>通过</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lang w:eastAsia="zh-CN"/>
        </w:rPr>
        <w:t>同时</w:t>
      </w:r>
      <w:r>
        <w:rPr>
          <w:rFonts w:hint="eastAsia" w:ascii="宋体" w:hAnsi="宋体" w:eastAsia="宋体" w:cs="宋体"/>
          <w:color w:val="auto"/>
          <w:sz w:val="24"/>
          <w:szCs w:val="24"/>
          <w:highlight w:val="none"/>
        </w:rPr>
        <w:t xml:space="preserve">通知所有参加磋商的供应商。 </w:t>
      </w:r>
    </w:p>
    <w:p w14:paraId="4FA688B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供应商应当按照磋商文件的变动情况和磋商小组的要求重新提交响应文件，并由其法定代表人、负责人、</w:t>
      </w:r>
      <w:r>
        <w:rPr>
          <w:rFonts w:hint="eastAsia" w:ascii="宋体" w:hAnsi="宋体" w:eastAsia="宋体" w:cs="宋体"/>
          <w:color w:val="auto"/>
          <w:sz w:val="24"/>
          <w:szCs w:val="24"/>
          <w:highlight w:val="none"/>
          <w:lang w:eastAsia="zh-CN"/>
        </w:rPr>
        <w:t>自然人或相应的授权委托代表签字（个人</w:t>
      </w:r>
      <w:r>
        <w:rPr>
          <w:rFonts w:hint="eastAsia" w:ascii="宋体" w:hAnsi="宋体" w:eastAsia="宋体" w:cs="宋体"/>
          <w:color w:val="auto"/>
          <w:sz w:val="24"/>
          <w:szCs w:val="24"/>
          <w:highlight w:val="none"/>
          <w:lang w:val="en-US" w:eastAsia="zh-CN"/>
        </w:rPr>
        <w:t>CA签章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或者加盖供应商公章</w:t>
      </w:r>
      <w:r>
        <w:rPr>
          <w:rFonts w:hint="eastAsia" w:ascii="宋体" w:hAnsi="宋体" w:eastAsia="宋体" w:cs="宋体"/>
          <w:color w:val="auto"/>
          <w:sz w:val="24"/>
          <w:szCs w:val="24"/>
          <w:highlight w:val="none"/>
          <w:lang w:val="en-US" w:eastAsia="zh-CN"/>
        </w:rPr>
        <w:t>(CA签章)</w:t>
      </w:r>
      <w:r>
        <w:rPr>
          <w:rFonts w:hint="eastAsia" w:ascii="宋体" w:hAnsi="宋体" w:eastAsia="宋体" w:cs="宋体"/>
          <w:color w:val="auto"/>
          <w:sz w:val="24"/>
          <w:szCs w:val="24"/>
          <w:highlight w:val="none"/>
        </w:rPr>
        <w:t xml:space="preserve">。逾时不交的，视同放弃磋商。 </w:t>
      </w:r>
    </w:p>
    <w:p w14:paraId="239B4D9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 xml:space="preserve"> 最后报价</w:t>
      </w:r>
    </w:p>
    <w:p w14:paraId="2FD6A81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.1 磋商文件能够详细列明采购标的的质量要求的，磋商结束后，磋商小组应当要求所有继续参加磋商的供应商在规定时间内</w:t>
      </w:r>
      <w:r>
        <w:rPr>
          <w:rFonts w:hint="eastAsia" w:ascii="宋体" w:hAnsi="宋体" w:eastAsia="宋体" w:cs="宋体"/>
          <w:color w:val="auto"/>
          <w:sz w:val="24"/>
          <w:szCs w:val="24"/>
          <w:highlight w:val="none"/>
          <w:lang w:eastAsia="zh-CN"/>
        </w:rPr>
        <w:t>线上</w:t>
      </w:r>
      <w:r>
        <w:rPr>
          <w:rFonts w:hint="eastAsia" w:ascii="宋体" w:hAnsi="宋体" w:eastAsia="宋体" w:cs="宋体"/>
          <w:color w:val="auto"/>
          <w:sz w:val="24"/>
          <w:szCs w:val="24"/>
          <w:highlight w:val="none"/>
        </w:rPr>
        <w:t xml:space="preserve">提交最后报价，提交最后报价的供应商不得少于 3 家。 </w:t>
      </w:r>
    </w:p>
    <w:p w14:paraId="4B97B02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 xml:space="preserve">.2 </w:t>
      </w:r>
      <w:r>
        <w:rPr>
          <w:rFonts w:hint="eastAsia" w:ascii="宋体" w:hAnsi="宋体" w:cs="宋体"/>
          <w:color w:val="auto"/>
          <w:sz w:val="24"/>
          <w:szCs w:val="24"/>
          <w:highlight w:val="none"/>
        </w:rPr>
        <w:t>磋商文件不能详细列明采购标的的施工要求，需经磋商由供应商提供最终设计方案或解决方案的</w:t>
      </w:r>
      <w:r>
        <w:rPr>
          <w:rFonts w:hint="eastAsia" w:ascii="宋体" w:hAnsi="宋体" w:eastAsia="宋体" w:cs="宋体"/>
          <w:color w:val="auto"/>
          <w:sz w:val="24"/>
          <w:szCs w:val="24"/>
          <w:highlight w:val="none"/>
        </w:rPr>
        <w:t>，磋商结束后，磋商小组应当按照少数服从多数的原则投票推荐 3 家以上（含 3 家）供应商的设计方案或者解决方案，并要求其在规定时间内</w:t>
      </w:r>
      <w:r>
        <w:rPr>
          <w:rFonts w:hint="eastAsia" w:ascii="宋体" w:hAnsi="宋体" w:eastAsia="宋体" w:cs="宋体"/>
          <w:color w:val="auto"/>
          <w:sz w:val="24"/>
          <w:szCs w:val="24"/>
          <w:highlight w:val="none"/>
          <w:lang w:eastAsia="zh-CN"/>
        </w:rPr>
        <w:t>线上</w:t>
      </w:r>
      <w:r>
        <w:rPr>
          <w:rFonts w:hint="eastAsia" w:ascii="宋体" w:hAnsi="宋体" w:eastAsia="宋体" w:cs="宋体"/>
          <w:color w:val="auto"/>
          <w:sz w:val="24"/>
          <w:szCs w:val="24"/>
          <w:highlight w:val="none"/>
        </w:rPr>
        <w:t xml:space="preserve">提交最后报价。 </w:t>
      </w:r>
    </w:p>
    <w:p w14:paraId="2DB7299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.3</w:t>
      </w:r>
      <w:r>
        <w:rPr>
          <w:rFonts w:hint="eastAsia" w:hAnsi="宋体" w:cs="宋体"/>
          <w:color w:val="auto"/>
          <w:kern w:val="0"/>
          <w:sz w:val="24"/>
          <w:szCs w:val="24"/>
          <w:highlight w:val="none"/>
        </w:rPr>
        <w:t>最后报价（应答文件）是供应商响应文件的有效组成部分</w:t>
      </w:r>
      <w:r>
        <w:rPr>
          <w:rFonts w:hint="eastAsia" w:hAnsi="宋体" w:cs="宋体"/>
          <w:color w:val="auto"/>
          <w:kern w:val="0"/>
          <w:sz w:val="24"/>
          <w:szCs w:val="24"/>
          <w:highlight w:val="none"/>
          <w:lang w:eastAsia="zh-CN"/>
        </w:rPr>
        <w:t>。</w:t>
      </w:r>
    </w:p>
    <w:p w14:paraId="49D9CD3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根据《财政部关于政府采购竞争性磋商采购方式管理暂行办法有关问题的补充通知》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财库〔2014〕214 号</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的规定，如采购项目为政府购买服务项目（含政府和社会资本合作项目），在采购过程中符合要求的供应商（社会资本）只有 2 家的，竞争性磋商采购活动可以继续进行，并要求其在规定时间内</w:t>
      </w:r>
      <w:r>
        <w:rPr>
          <w:rFonts w:hint="eastAsia" w:ascii="宋体" w:hAnsi="宋体" w:eastAsia="宋体" w:cs="宋体"/>
          <w:color w:val="auto"/>
          <w:sz w:val="24"/>
          <w:szCs w:val="24"/>
          <w:highlight w:val="none"/>
          <w:lang w:eastAsia="zh-CN"/>
        </w:rPr>
        <w:t>线上</w:t>
      </w:r>
      <w:r>
        <w:rPr>
          <w:rFonts w:hint="eastAsia" w:ascii="宋体" w:hAnsi="宋体" w:eastAsia="宋体" w:cs="宋体"/>
          <w:color w:val="auto"/>
          <w:sz w:val="24"/>
          <w:szCs w:val="24"/>
          <w:highlight w:val="none"/>
        </w:rPr>
        <w:t xml:space="preserve">提交最后报价；采购过程中符合要求的供应商（社会资本）只有 1 家的，采购人或者采购代理机构应当终止竞争性磋商采购活动，发布项目终止公告并说明原因，重新开展采购活动。 </w:t>
      </w:r>
    </w:p>
    <w:p w14:paraId="3F9112F6">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根据《政府采购竞争性磋商采购方式管理暂行办法》</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财库〔2014〕214 号</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的规定：</w:t>
      </w:r>
      <w:r>
        <w:rPr>
          <w:rFonts w:hint="eastAsia" w:ascii="宋体" w:hAnsi="宋体" w:eastAsia="宋体" w:cs="宋体"/>
          <w:b w:val="0"/>
          <w:bCs w:val="0"/>
          <w:color w:val="auto"/>
          <w:sz w:val="24"/>
          <w:szCs w:val="24"/>
          <w:highlight w:val="none"/>
        </w:rPr>
        <w:t>最后报价是供应商响应文件的有效组成部分。</w:t>
      </w:r>
      <w:r>
        <w:rPr>
          <w:rFonts w:hint="eastAsia" w:ascii="宋体" w:hAnsi="宋体" w:eastAsia="宋体" w:cs="宋体"/>
          <w:color w:val="auto"/>
          <w:sz w:val="24"/>
          <w:szCs w:val="24"/>
          <w:highlight w:val="none"/>
        </w:rPr>
        <w:t>符合本办法(财库〔2014〕214号文)第三条第四项情形的，提交最后报价的供应商可以为2家。</w:t>
      </w:r>
      <w:r>
        <w:rPr>
          <w:rFonts w:hint="eastAsia" w:ascii="宋体" w:hAnsi="宋体" w:eastAsia="宋体" w:cs="宋体"/>
          <w:b/>
          <w:bCs/>
          <w:color w:val="auto"/>
          <w:sz w:val="24"/>
          <w:szCs w:val="24"/>
          <w:highlight w:val="none"/>
        </w:rPr>
        <w:t>（财库〔2014〕214号文第三条第四项：市场竞争不充分的科研项目，以及需要扶持的科技成果转化项目。）</w:t>
      </w:r>
    </w:p>
    <w:p w14:paraId="5A19097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 xml:space="preserve"> 已提交响应文件的供应商，在提交最后报价之前，可以根据磋商情况书面退出磋商。 </w:t>
      </w:r>
    </w:p>
    <w:p w14:paraId="1097EEF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未书面退出磋商的供应商在规定时间内</w:t>
      </w:r>
      <w:r>
        <w:rPr>
          <w:rFonts w:hint="eastAsia" w:ascii="宋体" w:hAnsi="宋体" w:eastAsia="宋体" w:cs="宋体"/>
          <w:color w:val="auto"/>
          <w:sz w:val="24"/>
          <w:szCs w:val="24"/>
          <w:highlight w:val="none"/>
          <w:lang w:eastAsia="zh-CN"/>
        </w:rPr>
        <w:t>线上</w:t>
      </w:r>
      <w:r>
        <w:rPr>
          <w:rFonts w:hint="eastAsia" w:ascii="宋体" w:hAnsi="宋体" w:eastAsia="宋体" w:cs="宋体"/>
          <w:color w:val="auto"/>
          <w:sz w:val="24"/>
          <w:szCs w:val="24"/>
          <w:highlight w:val="none"/>
        </w:rPr>
        <w:t xml:space="preserve">提交最后报价，其最后报价超出采购预算导致已通过评审的响应文件无效的，按供应商在提交响应文件截止时间后撤回响应文件处理。 </w:t>
      </w:r>
    </w:p>
    <w:p w14:paraId="21A6FC8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 xml:space="preserve"> 评审报告 </w:t>
      </w:r>
    </w:p>
    <w:p w14:paraId="193A218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磋商小组应当从质量和服务均能满足磋商文件全部实质性响应要求的供应商中，按照最后综合得分由高到低的顺序提出 3 名以上（含 3 名）成交候选人，并编写评审报告。</w:t>
      </w:r>
    </w:p>
    <w:p w14:paraId="0EE3E4C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 xml:space="preserve"> 在评审过程中出现法律法规和磋商文件均没有明确规定的情形时，由磋商小组现场协商解决，协商不一致的，由全体磋商小组投票表决，以得票率二分之一以上磋商小组成员的意见为准。 </w:t>
      </w:r>
    </w:p>
    <w:p w14:paraId="16F9439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 xml:space="preserve"> 采购代理机构发现磋商小组有明显的违规倾向或歧视现象，或不按评审办法进行，或其他不正常行为的，应当及时制止。如制止无效，应及时向政府采购监督管理机构报告。</w:t>
      </w:r>
    </w:p>
    <w:p w14:paraId="0AD4CE3B">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42" w:name="_Toc12420"/>
      <w:bookmarkStart w:id="143" w:name="_Toc18722"/>
      <w:bookmarkStart w:id="144" w:name="_Toc32470"/>
      <w:r>
        <w:rPr>
          <w:rFonts w:hint="eastAsia" w:ascii="宋体" w:hAnsi="宋体" w:eastAsia="宋体" w:cs="宋体"/>
          <w:color w:val="auto"/>
          <w:sz w:val="24"/>
          <w:szCs w:val="24"/>
          <w:highlight w:val="none"/>
        </w:rPr>
        <w:t>22. 确定成交供应商</w:t>
      </w:r>
      <w:bookmarkEnd w:id="142"/>
      <w:bookmarkEnd w:id="143"/>
      <w:bookmarkEnd w:id="144"/>
    </w:p>
    <w:p w14:paraId="0EB5E4F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小组应当根据综合评分情况，按照综合得分由高到低顺序推荐三名成交候选供应商，并编写评审报告。磋商小组根据综合得分由高到低排列次序，若得分相同时，以最后报价由低到高顺序排列；若仍相同的，依次按技术分、</w:t>
      </w:r>
      <w:r>
        <w:rPr>
          <w:rFonts w:hint="eastAsia" w:ascii="宋体" w:hAnsi="宋体" w:eastAsia="宋体" w:cs="宋体"/>
          <w:color w:val="auto"/>
          <w:sz w:val="24"/>
          <w:szCs w:val="24"/>
          <w:highlight w:val="none"/>
          <w:lang w:val="en-US" w:eastAsia="zh-CN"/>
        </w:rPr>
        <w:t>项目管理机构</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业绩分</w:t>
      </w:r>
      <w:r>
        <w:rPr>
          <w:rFonts w:hint="eastAsia" w:ascii="宋体" w:hAnsi="宋体" w:eastAsia="宋体" w:cs="宋体"/>
          <w:color w:val="auto"/>
          <w:sz w:val="24"/>
          <w:szCs w:val="24"/>
          <w:highlight w:val="none"/>
        </w:rPr>
        <w:t>由高到低顺序排列并推荐成交候选供应商。</w:t>
      </w:r>
    </w:p>
    <w:p w14:paraId="0EC1078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（2）采购人应当确定磋商小组推荐排名第一的成交候选供应商为成交供应商。</w:t>
      </w:r>
    </w:p>
    <w:p w14:paraId="2D6D49C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（3）排名第一的成交候选供应商放弃成交、因不可抗力提出不能履行合同，采购人可以按照评审报告推荐的成交候选供应商名单排序，确定下一候选供应商为成交供应商，也可以重新开展政府采购活动。</w:t>
      </w:r>
    </w:p>
    <w:p w14:paraId="5768CA3E">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磋商小组认为，某供应商的响应报价或者某些分项报价明显不合理或者低于成本，有可能影响质量和不能诚信履约的，应要求其在规定的期限内提供书面文件予以解释说明，并提交相关证明材料，否则，磋商小组可以取消该供应商的成交候选资格，按顺序由排在其后面的供应商递补，以此类推。</w:t>
      </w:r>
    </w:p>
    <w:p w14:paraId="1F6F29D9">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45" w:name="_Toc14882"/>
      <w:bookmarkStart w:id="146" w:name="_Toc15332"/>
      <w:bookmarkStart w:id="147" w:name="_Toc21715"/>
      <w:r>
        <w:rPr>
          <w:rFonts w:hint="eastAsia" w:ascii="宋体" w:hAnsi="宋体" w:eastAsia="宋体" w:cs="宋体"/>
          <w:color w:val="auto"/>
          <w:sz w:val="24"/>
          <w:szCs w:val="24"/>
          <w:highlight w:val="none"/>
        </w:rPr>
        <w:t>23. 属于下列情况之一者，响应文件无效</w:t>
      </w:r>
      <w:bookmarkEnd w:id="145"/>
      <w:bookmarkEnd w:id="146"/>
      <w:bookmarkEnd w:id="147"/>
    </w:p>
    <w:p w14:paraId="31EC45A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（1）未按磋商文件规定完整</w:t>
      </w:r>
      <w:r>
        <w:rPr>
          <w:rFonts w:hint="eastAsia" w:ascii="宋体" w:hAnsi="宋体" w:eastAsia="宋体" w:cs="宋体"/>
          <w:color w:val="auto"/>
          <w:sz w:val="24"/>
          <w:szCs w:val="24"/>
          <w:highlight w:val="none"/>
          <w:lang w:val="en-US" w:eastAsia="zh-CN"/>
        </w:rPr>
        <w:t>线上</w:t>
      </w:r>
      <w:r>
        <w:rPr>
          <w:rFonts w:hint="eastAsia" w:ascii="宋体" w:hAnsi="宋体" w:eastAsia="宋体" w:cs="宋体"/>
          <w:color w:val="auto"/>
          <w:sz w:val="24"/>
          <w:szCs w:val="24"/>
          <w:highlight w:val="none"/>
        </w:rPr>
        <w:t>提交响应文件或未按规定要求</w:t>
      </w:r>
      <w:r>
        <w:rPr>
          <w:rFonts w:hint="eastAsia" w:ascii="宋体" w:hAnsi="宋体" w:eastAsia="宋体" w:cs="宋体"/>
          <w:color w:val="auto"/>
          <w:sz w:val="24"/>
          <w:szCs w:val="24"/>
          <w:highlight w:val="none"/>
          <w:lang w:eastAsia="zh-CN"/>
        </w:rPr>
        <w:t>线上</w:t>
      </w: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lang w:val="en-US" w:eastAsia="zh-CN"/>
        </w:rPr>
        <w:t>签章</w:t>
      </w:r>
      <w:r>
        <w:rPr>
          <w:rFonts w:hint="eastAsia" w:ascii="宋体" w:hAnsi="宋体" w:eastAsia="宋体" w:cs="宋体"/>
          <w:color w:val="auto"/>
          <w:sz w:val="24"/>
          <w:szCs w:val="24"/>
          <w:highlight w:val="none"/>
        </w:rPr>
        <w:t>的；</w:t>
      </w:r>
    </w:p>
    <w:p w14:paraId="3AA28E2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（2）不具备磋商文件规定的资格要求的；</w:t>
      </w:r>
    </w:p>
    <w:p w14:paraId="3DE2491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进行资格性审查时，磋商小组将进入《国家企业信用信息公示系统》对企业股东及出资等信息进行查询，对存在《中华人民共和国政府采购法实施条例》第十八条第一款情形的，即单位负责人为同一人或者存在直接控股、管理关系的不同供应商，不得参加同一合同项下的政府采购活动，其磋商文件将被视为无效文件；</w:t>
      </w:r>
    </w:p>
    <w:p w14:paraId="4D7955C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）响应文件未按磋商文件的内容和要求编制，或提供虚假材料的；</w:t>
      </w:r>
    </w:p>
    <w:p w14:paraId="06C42BB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）响应文件有效期、质量要求、工期要求不能满足采购文件要求的；</w:t>
      </w:r>
    </w:p>
    <w:p w14:paraId="4FF00DB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）供应商未就工程量清单中的所有内容作完整唯一报价的；</w:t>
      </w:r>
    </w:p>
    <w:p w14:paraId="534397C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）未在磋商小组规定的时间内提交响应文件(包括最后报价)的；</w:t>
      </w:r>
    </w:p>
    <w:p w14:paraId="3EB0059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）超越了按照法律法规规定必须获得行政许可或者行政审批的经营范围的；</w:t>
      </w:r>
    </w:p>
    <w:p w14:paraId="2049DD5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）未满足磋商文件实质性要求的或者响应文件有采购人不能接受的附加条件的；</w:t>
      </w:r>
    </w:p>
    <w:p w14:paraId="4815049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）响应文件实质性要求未做变动，供应商最后报价高于第一次报价的</w:t>
      </w:r>
      <w:r>
        <w:rPr>
          <w:rFonts w:hint="eastAsia" w:ascii="宋体" w:hAnsi="宋体" w:cs="宋体"/>
          <w:color w:val="auto"/>
          <w:sz w:val="24"/>
          <w:szCs w:val="24"/>
          <w:highlight w:val="none"/>
          <w:lang w:eastAsia="zh-CN"/>
        </w:rPr>
        <w:t>或报价超出上限控制价的</w:t>
      </w:r>
      <w:r>
        <w:rPr>
          <w:rFonts w:hint="eastAsia" w:ascii="宋体" w:hAnsi="宋体" w:eastAsia="宋体" w:cs="宋体"/>
          <w:color w:val="auto"/>
          <w:sz w:val="24"/>
          <w:szCs w:val="24"/>
          <w:highlight w:val="none"/>
        </w:rPr>
        <w:t>；</w:t>
      </w:r>
    </w:p>
    <w:p w14:paraId="793B39A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）不符合法律、法规和磋商文件规定的其他实质性要求和条件的。</w:t>
      </w:r>
    </w:p>
    <w:p w14:paraId="207FC9A7">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供应商有下列情形之一的视为供应商相互串通磋商，响应文件将被视为无效</w:t>
      </w:r>
    </w:p>
    <w:p w14:paraId="2969E6D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（1）不同供应商的响应文件由同一单位或者个人编制；或不同供应商报名的IP地址一致的；</w:t>
      </w:r>
    </w:p>
    <w:p w14:paraId="7913F923">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（2）不同供应商委托同一单位或者个人办理磋商事宜；</w:t>
      </w:r>
    </w:p>
    <w:p w14:paraId="2FCF6F9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（3）不同的供应商的响应文件载明的项目管理员为同一个人；</w:t>
      </w:r>
    </w:p>
    <w:p w14:paraId="6072C1DF">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（4）不同供应商的响应文件异常一致或竞标报价呈规律性差异；</w:t>
      </w:r>
    </w:p>
    <w:p w14:paraId="3D15FF2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（5）不同供应商的响应文件相互混</w:t>
      </w:r>
      <w:r>
        <w:rPr>
          <w:rFonts w:hint="eastAsia" w:ascii="宋体" w:hAnsi="宋体" w:cs="宋体"/>
          <w:color w:val="auto"/>
          <w:sz w:val="24"/>
          <w:szCs w:val="24"/>
          <w:highlight w:val="none"/>
          <w:lang w:eastAsia="zh-CN"/>
        </w:rPr>
        <w:t>编</w:t>
      </w:r>
      <w:r>
        <w:rPr>
          <w:rFonts w:hint="eastAsia" w:ascii="宋体" w:hAnsi="宋体" w:eastAsia="宋体" w:cs="宋体"/>
          <w:color w:val="auto"/>
          <w:sz w:val="24"/>
          <w:szCs w:val="24"/>
          <w:highlight w:val="none"/>
        </w:rPr>
        <w:t>。</w:t>
      </w:r>
    </w:p>
    <w:p w14:paraId="0AF8C52C">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48" w:name="_Toc7715"/>
      <w:bookmarkStart w:id="149" w:name="_Toc5714"/>
      <w:bookmarkStart w:id="150" w:name="_Toc27786"/>
      <w:r>
        <w:rPr>
          <w:rFonts w:hint="eastAsia" w:ascii="宋体" w:hAnsi="宋体" w:eastAsia="宋体" w:cs="宋体"/>
          <w:color w:val="auto"/>
          <w:sz w:val="24"/>
          <w:szCs w:val="24"/>
          <w:highlight w:val="none"/>
        </w:rPr>
        <w:t>24. 出现下列情形之一的，采购人或者采购代理机构应当终止竞争性磋商采购活动，发布项目终止公告并说明原因，重新开展采购活动</w:t>
      </w:r>
      <w:bookmarkEnd w:id="148"/>
      <w:bookmarkEnd w:id="149"/>
      <w:bookmarkEnd w:id="150"/>
    </w:p>
    <w:p w14:paraId="4EA823C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（1）因情况变化，不再符合规定的竞争性磋商采购方式适用情形的；</w:t>
      </w:r>
    </w:p>
    <w:p w14:paraId="70F86156">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（2）出现影响采购公正的违法、违规行为的； </w:t>
      </w:r>
    </w:p>
    <w:p w14:paraId="0465100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（3）在采购过程中符合竞争要求的供应商或者报价未超过采购预算的供应商不足3家的。</w:t>
      </w:r>
      <w:r>
        <w:rPr>
          <w:rFonts w:hint="eastAsia" w:ascii="宋体" w:hAnsi="宋体" w:eastAsia="宋体" w:cs="宋体"/>
          <w:b/>
          <w:bCs/>
          <w:color w:val="auto"/>
          <w:sz w:val="24"/>
          <w:szCs w:val="24"/>
          <w:highlight w:val="none"/>
        </w:rPr>
        <w:t xml:space="preserve">（除财库〔2014〕214 号《政府采购竞争性磋商采购方式管理暂行办法》第二十一条第三款规定的情形外） </w:t>
      </w:r>
    </w:p>
    <w:p w14:paraId="7DC6397C">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51" w:name="_Toc19910"/>
      <w:bookmarkStart w:id="152" w:name="_Toc19105"/>
      <w:bookmarkStart w:id="153" w:name="_Toc22405"/>
      <w:r>
        <w:rPr>
          <w:rFonts w:hint="eastAsia" w:ascii="宋体" w:hAnsi="宋体" w:eastAsia="宋体" w:cs="宋体"/>
          <w:color w:val="auto"/>
          <w:sz w:val="24"/>
          <w:szCs w:val="24"/>
          <w:highlight w:val="none"/>
        </w:rPr>
        <w:t>25. 磋商过程的监控</w:t>
      </w:r>
      <w:bookmarkEnd w:id="151"/>
      <w:bookmarkEnd w:id="152"/>
      <w:bookmarkEnd w:id="153"/>
    </w:p>
    <w:p w14:paraId="73BA84A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本项目磋商过程实行全程录音、录像监控，供应商在磋商过程中所进行的试图影响磋商结果的不公正活动，可能导致其磋商被拒绝。</w:t>
      </w:r>
    </w:p>
    <w:p w14:paraId="6C59CBC1">
      <w:pPr>
        <w:pStyle w:val="4"/>
        <w:pageBreakBefore w:val="0"/>
        <w:widowControl w:val="0"/>
        <w:numPr>
          <w:ilvl w:val="0"/>
          <w:numId w:val="3"/>
        </w:numPr>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54" w:name="_Toc26291"/>
      <w:bookmarkStart w:id="155" w:name="_Toc14787"/>
      <w:bookmarkStart w:id="156" w:name="_Toc865"/>
      <w:r>
        <w:rPr>
          <w:rFonts w:hint="eastAsia" w:ascii="宋体" w:hAnsi="宋体" w:eastAsia="宋体" w:cs="宋体"/>
          <w:color w:val="auto"/>
          <w:sz w:val="24"/>
          <w:szCs w:val="24"/>
          <w:highlight w:val="none"/>
        </w:rPr>
        <w:t>信用查询</w:t>
      </w:r>
      <w:bookmarkEnd w:id="154"/>
      <w:bookmarkEnd w:id="155"/>
      <w:bookmarkEnd w:id="156"/>
    </w:p>
    <w:p w14:paraId="53352EE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根据《关于做好政府采购有关信用主体标识码登记及在政府采购活动中查询使用信用记录有关问题的通知》桂财采〔2016〕37号的通知，采购代理机构对成交人的成交资格进行信用查询：</w:t>
      </w:r>
    </w:p>
    <w:p w14:paraId="1A124776">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（1）查询渠道：“信用中国”网站(www.creditchina.gov.cn)、</w:t>
      </w:r>
      <w:r>
        <w:rPr>
          <w:rFonts w:hint="eastAsia" w:ascii="宋体" w:hAnsi="宋体" w:eastAsia="宋体" w:cs="宋体"/>
          <w:color w:val="auto"/>
          <w:sz w:val="24"/>
          <w:szCs w:val="24"/>
          <w:highlight w:val="none"/>
          <w:lang w:eastAsia="zh-CN"/>
        </w:rPr>
        <w:t>中国政府采购网(www.ccgp.gov.cn)</w:t>
      </w:r>
      <w:r>
        <w:rPr>
          <w:rFonts w:hint="eastAsia" w:ascii="宋体" w:hAnsi="宋体" w:eastAsia="宋体" w:cs="宋体"/>
          <w:color w:val="auto"/>
          <w:sz w:val="24"/>
          <w:szCs w:val="24"/>
          <w:highlight w:val="none"/>
        </w:rPr>
        <w:t>；</w:t>
      </w:r>
    </w:p>
    <w:p w14:paraId="1B12B5A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（2）查询时间：成交通知书发出前；</w:t>
      </w:r>
    </w:p>
    <w:p w14:paraId="198669F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（3）信用信息查询记录和证据留存方式：在查询网站中直接打印查询记录，打印材料作为采购活动资料保存。</w:t>
      </w:r>
    </w:p>
    <w:p w14:paraId="589850B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（4）信用信息使用规则：对在“信用中国”网站(www.creditchina.gov.cn)、</w:t>
      </w:r>
      <w:r>
        <w:rPr>
          <w:rFonts w:hint="eastAsia" w:ascii="宋体" w:hAnsi="宋体" w:eastAsia="宋体" w:cs="宋体"/>
          <w:color w:val="auto"/>
          <w:sz w:val="24"/>
          <w:szCs w:val="24"/>
          <w:highlight w:val="none"/>
          <w:lang w:eastAsia="zh-CN"/>
        </w:rPr>
        <w:t>中国政府采购网(www.ccgp.gov.cn)</w:t>
      </w:r>
      <w:r>
        <w:rPr>
          <w:rFonts w:hint="eastAsia" w:ascii="宋体" w:hAnsi="宋体" w:eastAsia="宋体" w:cs="宋体"/>
          <w:color w:val="auto"/>
          <w:sz w:val="24"/>
          <w:szCs w:val="24"/>
          <w:highlight w:val="none"/>
        </w:rPr>
        <w:t>渠道列入失信被执行人、重大税收违法案件当事人名单、政府采购严重违法失信行为记录名单及其他不符合《中华人民共和国政府采购法》第二十二条规定条件的供应商，不得参与政府采购活动，取消其成交候选人资格。采购人依法按照评审报告中磋商小组推荐成交候选人排序表确定排名第二的成交候选人为成交供应商或者重新组织采购。</w:t>
      </w:r>
    </w:p>
    <w:p w14:paraId="4D590953">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57" w:name="_Toc25468"/>
      <w:bookmarkStart w:id="158" w:name="_Toc9438"/>
      <w:bookmarkStart w:id="159" w:name="_Toc7989"/>
      <w:r>
        <w:rPr>
          <w:rFonts w:hint="eastAsia" w:ascii="宋体" w:hAnsi="宋体" w:eastAsia="宋体" w:cs="宋体"/>
          <w:color w:val="auto"/>
          <w:sz w:val="24"/>
          <w:szCs w:val="24"/>
          <w:highlight w:val="none"/>
        </w:rPr>
        <w:t>27. 成交结果公告及成交通知书</w:t>
      </w:r>
      <w:bookmarkEnd w:id="157"/>
      <w:bookmarkEnd w:id="158"/>
      <w:bookmarkEnd w:id="159"/>
    </w:p>
    <w:p w14:paraId="0BD3B9C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27.1 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364804B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 在发布成交公告的同时，采购代理机构向成交供应商发出成交通知书。成交供应商自接到通知之日起七个工作日内，办理成交通知书领取手续。</w:t>
      </w:r>
    </w:p>
    <w:p w14:paraId="1AFA3D4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27.3 采购代理机构无义务向未成交的供应商解释未成交原因和退还响应文件。</w:t>
      </w:r>
    </w:p>
    <w:p w14:paraId="783C380F">
      <w:pPr>
        <w:pageBreakBefore w:val="0"/>
        <w:widowControl w:val="0"/>
        <w:kinsoku/>
        <w:wordWrap/>
        <w:overflowPunct/>
        <w:topLinePunct w:val="0"/>
        <w:bidi w:val="0"/>
        <w:spacing w:line="440" w:lineRule="exact"/>
        <w:textAlignment w:val="auto"/>
        <w:rPr>
          <w:rFonts w:hint="eastAsia" w:ascii="宋体" w:hAnsi="宋体" w:eastAsia="宋体" w:cs="宋体"/>
          <w:b/>
          <w:bCs w:val="0"/>
          <w:color w:val="auto"/>
          <w:szCs w:val="28"/>
          <w:highlight w:val="none"/>
        </w:rPr>
      </w:pPr>
      <w:bookmarkStart w:id="160" w:name="_Toc25593"/>
    </w:p>
    <w:p w14:paraId="743CBB8F">
      <w:pPr>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val="0"/>
          <w:color w:val="auto"/>
          <w:szCs w:val="28"/>
          <w:highlight w:val="none"/>
        </w:rPr>
      </w:pPr>
    </w:p>
    <w:p w14:paraId="55821F27">
      <w:pPr>
        <w:pStyle w:val="3"/>
        <w:pageBreakBefore w:val="0"/>
        <w:widowControl w:val="0"/>
        <w:tabs>
          <w:tab w:val="left" w:pos="567"/>
        </w:tabs>
        <w:kinsoku/>
        <w:wordWrap/>
        <w:overflowPunct/>
        <w:topLinePunct w:val="0"/>
        <w:bidi w:val="0"/>
        <w:spacing w:before="0" w:after="0" w:line="240" w:lineRule="auto"/>
        <w:jc w:val="center"/>
        <w:textAlignment w:val="auto"/>
        <w:rPr>
          <w:rFonts w:hint="eastAsia" w:ascii="宋体" w:hAnsi="宋体" w:eastAsia="宋体" w:cs="宋体"/>
          <w:b/>
          <w:bCs w:val="0"/>
          <w:color w:val="auto"/>
          <w:szCs w:val="28"/>
          <w:highlight w:val="none"/>
        </w:rPr>
      </w:pPr>
      <w:bookmarkStart w:id="161" w:name="_Toc24102"/>
      <w:bookmarkStart w:id="162" w:name="_Toc14132"/>
      <w:bookmarkStart w:id="163" w:name="_Toc6429"/>
      <w:r>
        <w:rPr>
          <w:rFonts w:hint="eastAsia" w:ascii="宋体" w:hAnsi="宋体" w:eastAsia="宋体" w:cs="宋体"/>
          <w:b/>
          <w:bCs w:val="0"/>
          <w:color w:val="auto"/>
          <w:szCs w:val="28"/>
          <w:highlight w:val="none"/>
        </w:rPr>
        <w:t>五、签订合同</w:t>
      </w:r>
      <w:bookmarkEnd w:id="160"/>
      <w:bookmarkEnd w:id="161"/>
      <w:bookmarkEnd w:id="162"/>
      <w:bookmarkEnd w:id="163"/>
    </w:p>
    <w:p w14:paraId="0271DF04">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64" w:name="_Toc26520"/>
      <w:bookmarkStart w:id="165" w:name="_Toc4019"/>
      <w:bookmarkStart w:id="166" w:name="_Toc1032"/>
      <w:r>
        <w:rPr>
          <w:rFonts w:hint="eastAsia" w:ascii="宋体" w:hAnsi="宋体" w:eastAsia="宋体" w:cs="宋体"/>
          <w:color w:val="auto"/>
          <w:sz w:val="24"/>
          <w:szCs w:val="24"/>
          <w:highlight w:val="none"/>
        </w:rPr>
        <w:t>28. 履约保证金</w:t>
      </w:r>
      <w:bookmarkEnd w:id="164"/>
      <w:bookmarkEnd w:id="165"/>
      <w:bookmarkEnd w:id="166"/>
    </w:p>
    <w:p w14:paraId="1E89F573">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67" w:name="_Toc22004"/>
      <w:bookmarkStart w:id="168" w:name="_Toc15345"/>
      <w:bookmarkStart w:id="169" w:name="_Toc4956"/>
      <w:r>
        <w:rPr>
          <w:rFonts w:hint="eastAsia" w:ascii="宋体" w:hAnsi="宋体" w:eastAsia="宋体" w:cs="宋体"/>
          <w:color w:val="auto"/>
          <w:sz w:val="24"/>
          <w:szCs w:val="24"/>
          <w:highlight w:val="none"/>
        </w:rPr>
        <w:t>本项目无需缴纳履约保证金。</w:t>
      </w:r>
    </w:p>
    <w:p w14:paraId="768D7A5E">
      <w:pPr>
        <w:pStyle w:val="4"/>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29. 签订合同</w:t>
      </w:r>
      <w:bookmarkEnd w:id="167"/>
      <w:bookmarkEnd w:id="168"/>
      <w:bookmarkEnd w:id="169"/>
    </w:p>
    <w:p w14:paraId="7E1C0B4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29.1 签订合同时间：</w:t>
      </w:r>
      <w:r>
        <w:rPr>
          <w:rFonts w:hint="eastAsia" w:cs="Times New Roman"/>
          <w:b w:val="0"/>
          <w:bCs w:val="0"/>
          <w:color w:val="auto"/>
          <w:sz w:val="24"/>
          <w:szCs w:val="24"/>
          <w:highlight w:val="none"/>
          <w:lang w:eastAsia="zh-CN"/>
        </w:rPr>
        <w:t>成交通知书发出之日起8个工作日内</w:t>
      </w:r>
      <w:r>
        <w:rPr>
          <w:rFonts w:hint="default" w:ascii="Times New Roman" w:hAnsi="Times New Roman" w:eastAsia="宋体" w:cs="Times New Roman"/>
          <w:b w:val="0"/>
          <w:bCs w:val="0"/>
          <w:color w:val="auto"/>
          <w:sz w:val="24"/>
          <w:szCs w:val="24"/>
          <w:highlight w:val="none"/>
        </w:rPr>
        <w:t>签订合同。成交供应商领取成交通知书后，应按规定与采购人签订合同。</w:t>
      </w:r>
    </w:p>
    <w:p w14:paraId="0FB7A69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29.2 如成交供应商有下列情形之一的，情节严重的，由财政部门将其列入不良行为记录名单，在一至三年内禁止参加政府采购活动，并予以通报。采购代理机构可从磋商小组推荐的成交候选人中按顺序重新确定成交供应商或重新组织采购。拒绝签订政府采购合同的成交供应商不得参加对该项目重新开展的采购活动。</w:t>
      </w:r>
    </w:p>
    <w:p w14:paraId="2B7AF28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（1）成交后不与采购人签订合同的（不可抗力除外）；</w:t>
      </w:r>
    </w:p>
    <w:p w14:paraId="7A57E7D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（2）将成交项目转让给他人，或者在响应文件中未说明，且未经采购人同意，将成交项目分包给他人的；</w:t>
      </w:r>
    </w:p>
    <w:p w14:paraId="1E6CE39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（3）拒绝履行合同义务的。</w:t>
      </w:r>
    </w:p>
    <w:p w14:paraId="506909D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color w:val="auto"/>
          <w:sz w:val="24"/>
          <w:szCs w:val="24"/>
          <w:highlight w:val="none"/>
        </w:rPr>
      </w:pPr>
      <w:r>
        <w:rPr>
          <w:rFonts w:hint="default" w:ascii="Times New Roman" w:hAnsi="Times New Roman" w:eastAsia="宋体" w:cs="Times New Roman"/>
          <w:color w:val="auto"/>
          <w:sz w:val="24"/>
          <w:szCs w:val="24"/>
          <w:highlight w:val="none"/>
        </w:rPr>
        <w:t>29.3 合同备案存档：</w:t>
      </w:r>
      <w:r>
        <w:rPr>
          <w:rFonts w:hint="eastAsia" w:ascii="宋体" w:hAnsi="宋体" w:cs="宋体"/>
          <w:color w:val="auto"/>
          <w:sz w:val="24"/>
          <w:szCs w:val="24"/>
          <w:highlight w:val="none"/>
        </w:rPr>
        <w:t>政府采购合同双方自签订之日起1个工作日内将合同原件两份交采购代理机构，采购代理机构收到政府采购合同原件后在省级以上人民政府财政部门指定媒体上公告并于合同签订之日起7个工作日内将一份合同原件送</w:t>
      </w:r>
      <w:r>
        <w:rPr>
          <w:rFonts w:hint="eastAsia" w:ascii="宋体" w:hAnsi="宋体" w:cs="宋体"/>
          <w:color w:val="auto"/>
          <w:sz w:val="24"/>
          <w:szCs w:val="24"/>
          <w:highlight w:val="none"/>
          <w:lang w:val="en-US" w:eastAsia="zh-CN"/>
        </w:rPr>
        <w:t>资源县财政局</w:t>
      </w:r>
      <w:r>
        <w:rPr>
          <w:rFonts w:hint="eastAsia" w:ascii="宋体" w:hAnsi="宋体" w:cs="宋体"/>
          <w:color w:val="auto"/>
          <w:sz w:val="24"/>
          <w:szCs w:val="24"/>
          <w:highlight w:val="none"/>
        </w:rPr>
        <w:t>备案，一份由采购代理机构存档。</w:t>
      </w:r>
    </w:p>
    <w:p w14:paraId="4BC77A32">
      <w:pPr>
        <w:pStyle w:val="3"/>
        <w:pageBreakBefore w:val="0"/>
        <w:widowControl w:val="0"/>
        <w:tabs>
          <w:tab w:val="left" w:pos="567"/>
        </w:tabs>
        <w:kinsoku/>
        <w:wordWrap/>
        <w:overflowPunct/>
        <w:topLinePunct w:val="0"/>
        <w:bidi w:val="0"/>
        <w:spacing w:line="440" w:lineRule="exact"/>
        <w:jc w:val="center"/>
        <w:textAlignment w:val="auto"/>
        <w:rPr>
          <w:rFonts w:hint="eastAsia" w:ascii="宋体" w:hAnsi="宋体" w:eastAsia="宋体" w:cs="宋体"/>
          <w:b/>
          <w:bCs w:val="0"/>
          <w:color w:val="auto"/>
          <w:szCs w:val="28"/>
          <w:highlight w:val="none"/>
        </w:rPr>
      </w:pPr>
      <w:bookmarkStart w:id="170" w:name="_Toc17898"/>
      <w:bookmarkStart w:id="171" w:name="_Toc16348"/>
      <w:bookmarkStart w:id="172" w:name="_Toc4211"/>
      <w:bookmarkStart w:id="173" w:name="_Toc11467"/>
      <w:r>
        <w:rPr>
          <w:rFonts w:hint="eastAsia" w:ascii="宋体" w:hAnsi="宋体" w:eastAsia="宋体" w:cs="宋体"/>
          <w:b/>
          <w:bCs w:val="0"/>
          <w:color w:val="auto"/>
          <w:szCs w:val="28"/>
          <w:highlight w:val="none"/>
        </w:rPr>
        <w:t>六、其他事项</w:t>
      </w:r>
      <w:bookmarkEnd w:id="170"/>
      <w:bookmarkEnd w:id="171"/>
      <w:bookmarkEnd w:id="172"/>
      <w:bookmarkEnd w:id="173"/>
    </w:p>
    <w:p w14:paraId="39B89A76">
      <w:pPr>
        <w:pStyle w:val="4"/>
        <w:pageBreakBefore w:val="0"/>
        <w:widowControl w:val="0"/>
        <w:kinsoku/>
        <w:wordWrap/>
        <w:overflowPunct/>
        <w:topLinePunct w:val="0"/>
        <w:autoSpaceDE/>
        <w:autoSpaceDN/>
        <w:bidi w:val="0"/>
        <w:adjustRightIn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74" w:name="_Toc22506"/>
      <w:bookmarkStart w:id="175" w:name="_Toc29572"/>
      <w:bookmarkStart w:id="176" w:name="_Toc28647"/>
      <w:r>
        <w:rPr>
          <w:rFonts w:hint="eastAsia" w:ascii="宋体" w:hAnsi="宋体" w:eastAsia="宋体" w:cs="宋体"/>
          <w:color w:val="auto"/>
          <w:sz w:val="24"/>
          <w:szCs w:val="24"/>
          <w:highlight w:val="none"/>
        </w:rPr>
        <w:t>30. 采购代理服务费</w:t>
      </w:r>
      <w:bookmarkEnd w:id="174"/>
      <w:bookmarkEnd w:id="175"/>
      <w:bookmarkEnd w:id="176"/>
    </w:p>
    <w:p w14:paraId="025D0C96">
      <w:pPr>
        <w:pageBreakBefore w:val="0"/>
        <w:widowControl w:val="0"/>
        <w:kinsoku/>
        <w:wordWrap/>
        <w:overflowPunct/>
        <w:topLinePunct w:val="0"/>
        <w:autoSpaceDE/>
        <w:autoSpaceDN/>
        <w:bidi w:val="0"/>
        <w:adjustRightInd/>
        <w:spacing w:line="420" w:lineRule="exact"/>
        <w:ind w:firstLine="480" w:firstLineChars="200"/>
        <w:textAlignment w:val="auto"/>
        <w:rPr>
          <w:rFonts w:hint="eastAsia" w:ascii="宋体" w:hAnsi="宋体" w:eastAsia="宋体" w:cs="宋体"/>
          <w:b w:val="0"/>
          <w:bCs w:val="0"/>
          <w:color w:val="auto"/>
          <w:kern w:val="0"/>
          <w:sz w:val="24"/>
          <w:szCs w:val="24"/>
          <w:highlight w:val="none"/>
        </w:rPr>
      </w:pPr>
      <w:bookmarkStart w:id="177" w:name="_Toc12374"/>
      <w:r>
        <w:rPr>
          <w:rFonts w:hint="eastAsia" w:ascii="Times New Roman" w:hAnsi="Times New Roman" w:cs="Times New Roman"/>
          <w:color w:val="auto"/>
          <w:sz w:val="24"/>
          <w:szCs w:val="32"/>
          <w:highlight w:val="none"/>
        </w:rPr>
        <w:t>成交供应商领取成交通知书前，向</w:t>
      </w:r>
      <w:r>
        <w:rPr>
          <w:rFonts w:hint="eastAsia" w:cs="Times New Roman"/>
          <w:color w:val="auto"/>
          <w:sz w:val="24"/>
          <w:szCs w:val="32"/>
          <w:highlight w:val="none"/>
          <w:lang w:eastAsia="zh-CN"/>
        </w:rPr>
        <w:t>广西国喆项目管理有限公司</w:t>
      </w:r>
      <w:r>
        <w:rPr>
          <w:rFonts w:hint="eastAsia" w:ascii="Times New Roman" w:hAnsi="Times New Roman" w:cs="Times New Roman"/>
          <w:color w:val="auto"/>
          <w:sz w:val="24"/>
          <w:szCs w:val="32"/>
          <w:highlight w:val="none"/>
        </w:rPr>
        <w:t>一次性付清代理服务费，本项目的代理服务收费标准参照计价格〔2002〕1980号《招标代理服务收费管理暂行办法》</w:t>
      </w:r>
      <w:r>
        <w:rPr>
          <w:rFonts w:hint="eastAsia" w:ascii="Times New Roman" w:hAnsi="Times New Roman" w:cs="Times New Roman"/>
          <w:color w:val="auto"/>
          <w:sz w:val="24"/>
          <w:szCs w:val="32"/>
          <w:highlight w:val="none"/>
          <w:lang w:eastAsia="zh-CN"/>
        </w:rPr>
        <w:t>工程类</w:t>
      </w:r>
      <w:r>
        <w:rPr>
          <w:rFonts w:hint="eastAsia" w:ascii="宋体" w:hAnsi="宋体" w:eastAsia="宋体" w:cs="宋体"/>
          <w:color w:val="auto"/>
          <w:sz w:val="24"/>
          <w:szCs w:val="32"/>
          <w:highlight w:val="none"/>
        </w:rPr>
        <w:t>收费标准</w:t>
      </w:r>
      <w:r>
        <w:rPr>
          <w:rFonts w:hint="eastAsia" w:ascii="宋体" w:hAnsi="宋体" w:eastAsia="宋体" w:cs="宋体"/>
          <w:color w:val="auto"/>
          <w:sz w:val="24"/>
          <w:szCs w:val="32"/>
          <w:highlight w:val="none"/>
          <w:lang w:eastAsia="zh-CN"/>
        </w:rPr>
        <w:t>的</w:t>
      </w:r>
      <w:r>
        <w:rPr>
          <w:rFonts w:hint="eastAsia" w:ascii="宋体" w:hAnsi="宋体" w:cs="宋体"/>
          <w:color w:val="auto"/>
          <w:sz w:val="24"/>
          <w:szCs w:val="32"/>
          <w:highlight w:val="none"/>
          <w:lang w:val="en-US" w:eastAsia="zh-CN"/>
        </w:rPr>
        <w:t>80</w:t>
      </w:r>
      <w:r>
        <w:rPr>
          <w:rFonts w:hint="eastAsia" w:ascii="宋体" w:hAnsi="宋体" w:eastAsia="宋体" w:cs="宋体"/>
          <w:color w:val="auto"/>
          <w:sz w:val="24"/>
          <w:szCs w:val="32"/>
          <w:highlight w:val="none"/>
          <w:lang w:val="en-US" w:eastAsia="zh-CN"/>
        </w:rPr>
        <w:t>%</w:t>
      </w:r>
      <w:r>
        <w:rPr>
          <w:rFonts w:hint="eastAsia" w:ascii="Times New Roman" w:hAnsi="Times New Roman" w:cs="Times New Roman"/>
          <w:color w:val="auto"/>
          <w:sz w:val="24"/>
          <w:szCs w:val="32"/>
          <w:highlight w:val="none"/>
        </w:rPr>
        <w:t>向成交供应商收取。</w:t>
      </w:r>
    </w:p>
    <w:p w14:paraId="3441D260">
      <w:pPr>
        <w:pageBreakBefore w:val="0"/>
        <w:widowControl w:val="0"/>
        <w:kinsoku/>
        <w:wordWrap w:val="0"/>
        <w:overflowPunct/>
        <w:topLinePunct w:val="0"/>
        <w:autoSpaceDE/>
        <w:autoSpaceDN/>
        <w:bidi w:val="0"/>
        <w:adjustRightInd/>
        <w:spacing w:line="420" w:lineRule="exact"/>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采购代理服务收费标准</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2002"/>
        <w:gridCol w:w="1992"/>
        <w:gridCol w:w="2293"/>
      </w:tblGrid>
      <w:tr w14:paraId="65AF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719" w:type="dxa"/>
            <w:noWrap w:val="0"/>
            <w:vAlign w:val="top"/>
          </w:tcPr>
          <w:p w14:paraId="4D9A20D4">
            <w:pPr>
              <w:pStyle w:val="28"/>
              <w:spacing w:line="380" w:lineRule="exact"/>
              <w:rPr>
                <w:rFonts w:hint="eastAsia" w:hAnsi="宋体"/>
                <w:color w:val="auto"/>
                <w:highlight w:val="none"/>
              </w:rPr>
            </w:pPr>
            <w:r>
              <w:rPr>
                <w:rFonts w:hAnsi="宋体"/>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10795</wp:posOffset>
                      </wp:positionV>
                      <wp:extent cx="1352550" cy="631190"/>
                      <wp:effectExtent l="1905" t="4445" r="17145" b="12065"/>
                      <wp:wrapNone/>
                      <wp:docPr id="5" name="直接连接符 5"/>
                      <wp:cNvGraphicFramePr/>
                      <a:graphic xmlns:a="http://schemas.openxmlformats.org/drawingml/2006/main">
                        <a:graphicData uri="http://schemas.microsoft.com/office/word/2010/wordprocessingShape">
                          <wps:wsp>
                            <wps:cNvCnPr/>
                            <wps:spPr>
                              <a:xfrm>
                                <a:off x="0" y="0"/>
                                <a:ext cx="1352550" cy="6311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3.35pt;margin-top:0.85pt;height:49.7pt;width:106.5pt;z-index:251659264;mso-width-relative:page;mso-height-relative:page;" filled="f" stroked="t" coordsize="21600,21600" o:gfxdata="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EgPkV1AAAAAgBAAAPAAAAAAAAAAEAIAAAACIAAABkcnMvZG93bnJldi54&#10;bWxQSwECFAAUAAAACACHTuJAOwnE+v4BAAD3AwAADgAAAAAAAAABACAAAAAjAQAAZHJzL2Uyb0Rv&#10;Yy54bWxQSwUGAAAAAAYABgBZAQAAkwUAAAAA&#10;">
                      <v:fill on="f" focussize="0,0"/>
                      <v:stroke color="#000000" joinstyle="round"/>
                      <v:imagedata o:title=""/>
                      <o:lock v:ext="edit" aspectratio="f"/>
                    </v:line>
                  </w:pict>
                </mc:Fallback>
              </mc:AlternateContent>
            </w:r>
            <w:r>
              <w:rPr>
                <w:rFonts w:hint="eastAsia" w:hAnsi="宋体"/>
                <w:color w:val="auto"/>
                <w:highlight w:val="none"/>
              </w:rPr>
              <w:t>费率           服务类型</w:t>
            </w:r>
          </w:p>
          <w:p w14:paraId="65D615FB">
            <w:pPr>
              <w:pStyle w:val="28"/>
              <w:spacing w:line="380" w:lineRule="exact"/>
              <w:rPr>
                <w:rFonts w:hint="eastAsia" w:hAnsi="宋体"/>
                <w:color w:val="auto"/>
                <w:highlight w:val="none"/>
              </w:rPr>
            </w:pPr>
            <w:r>
              <w:rPr>
                <w:rFonts w:hAnsi="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-67945</wp:posOffset>
                      </wp:positionH>
                      <wp:positionV relativeFrom="paragraph">
                        <wp:posOffset>45085</wp:posOffset>
                      </wp:positionV>
                      <wp:extent cx="1714500" cy="396240"/>
                      <wp:effectExtent l="1270" t="4445" r="17780" b="18415"/>
                      <wp:wrapNone/>
                      <wp:docPr id="4" name="直接连接符 4"/>
                      <wp:cNvGraphicFramePr/>
                      <a:graphic xmlns:a="http://schemas.openxmlformats.org/drawingml/2006/main">
                        <a:graphicData uri="http://schemas.microsoft.com/office/word/2010/wordprocessingShape">
                          <wps:wsp>
                            <wps:cNvCnPr/>
                            <wps:spPr>
                              <a:xfrm>
                                <a:off x="0" y="0"/>
                                <a:ext cx="171450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35pt;margin-top:3.55pt;height:31.2pt;width:135pt;z-index:251660288;mso-width-relative:page;mso-height-relative:page;" filled="f" stroked="t" coordsize="21600,21600" o:gfxdata="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a6xid2AAAAAgBAAAPAAAAAAAAAAEAIAAAACIAAABkcnMvZG93&#10;bnJldi54bWxQSwECFAAUAAAACACHTuJAh4X6XgACAAD3AwAADgAAAAAAAAABACAAAAAnAQAAZHJz&#10;L2Uyb0RvYy54bWxQSwUGAAAAAAYABgBZAQAAmQUAAAAA&#10;">
                      <v:fill on="f" focussize="0,0"/>
                      <v:stroke color="#000000" joinstyle="round"/>
                      <v:imagedata o:title=""/>
                      <o:lock v:ext="edit" aspectratio="f"/>
                    </v:line>
                  </w:pict>
                </mc:Fallback>
              </mc:AlternateContent>
            </w:r>
          </w:p>
          <w:p w14:paraId="29101E77">
            <w:pPr>
              <w:pStyle w:val="28"/>
              <w:spacing w:line="380" w:lineRule="exact"/>
              <w:rPr>
                <w:rFonts w:hint="eastAsia" w:hAnsi="宋体"/>
                <w:color w:val="auto"/>
                <w:highlight w:val="none"/>
              </w:rPr>
            </w:pPr>
            <w:r>
              <w:rPr>
                <w:rFonts w:hint="eastAsia" w:hAnsi="宋体"/>
                <w:color w:val="auto"/>
                <w:highlight w:val="none"/>
              </w:rPr>
              <w:t>中标金额（万元）</w:t>
            </w:r>
          </w:p>
        </w:tc>
        <w:tc>
          <w:tcPr>
            <w:tcW w:w="2002" w:type="dxa"/>
            <w:noWrap w:val="0"/>
            <w:vAlign w:val="center"/>
          </w:tcPr>
          <w:p w14:paraId="2C972061">
            <w:pPr>
              <w:pStyle w:val="28"/>
              <w:spacing w:line="380" w:lineRule="exact"/>
              <w:jc w:val="center"/>
              <w:rPr>
                <w:rFonts w:hint="eastAsia" w:hAnsi="宋体"/>
                <w:color w:val="auto"/>
                <w:highlight w:val="none"/>
              </w:rPr>
            </w:pPr>
            <w:r>
              <w:rPr>
                <w:rFonts w:hint="eastAsia" w:hAnsi="宋体"/>
                <w:color w:val="auto"/>
                <w:highlight w:val="none"/>
              </w:rPr>
              <w:t>货物招标</w:t>
            </w:r>
          </w:p>
        </w:tc>
        <w:tc>
          <w:tcPr>
            <w:tcW w:w="1992" w:type="dxa"/>
            <w:noWrap w:val="0"/>
            <w:vAlign w:val="center"/>
          </w:tcPr>
          <w:p w14:paraId="22ABD095">
            <w:pPr>
              <w:pStyle w:val="28"/>
              <w:spacing w:line="380" w:lineRule="exact"/>
              <w:jc w:val="center"/>
              <w:rPr>
                <w:rFonts w:hint="eastAsia" w:hAnsi="宋体"/>
                <w:color w:val="auto"/>
                <w:highlight w:val="none"/>
              </w:rPr>
            </w:pPr>
            <w:r>
              <w:rPr>
                <w:rFonts w:hint="eastAsia" w:hAnsi="宋体"/>
                <w:color w:val="auto"/>
                <w:highlight w:val="none"/>
              </w:rPr>
              <w:t>服务招标</w:t>
            </w:r>
          </w:p>
        </w:tc>
        <w:tc>
          <w:tcPr>
            <w:tcW w:w="2293" w:type="dxa"/>
            <w:noWrap w:val="0"/>
            <w:vAlign w:val="center"/>
          </w:tcPr>
          <w:p w14:paraId="5CA26B25">
            <w:pPr>
              <w:pStyle w:val="28"/>
              <w:spacing w:line="380" w:lineRule="exact"/>
              <w:jc w:val="center"/>
              <w:rPr>
                <w:rFonts w:hint="eastAsia" w:hAnsi="宋体"/>
                <w:color w:val="auto"/>
                <w:highlight w:val="none"/>
              </w:rPr>
            </w:pPr>
            <w:r>
              <w:rPr>
                <w:rFonts w:hint="eastAsia" w:hAnsi="宋体"/>
                <w:color w:val="auto"/>
                <w:highlight w:val="none"/>
              </w:rPr>
              <w:t>工程招标</w:t>
            </w:r>
          </w:p>
        </w:tc>
      </w:tr>
      <w:tr w14:paraId="338EF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2719" w:type="dxa"/>
            <w:noWrap w:val="0"/>
            <w:vAlign w:val="top"/>
          </w:tcPr>
          <w:p w14:paraId="54605891">
            <w:pPr>
              <w:pStyle w:val="28"/>
              <w:spacing w:line="380" w:lineRule="exact"/>
              <w:rPr>
                <w:rFonts w:hint="eastAsia" w:hAnsi="宋体"/>
                <w:color w:val="auto"/>
                <w:highlight w:val="none"/>
              </w:rPr>
            </w:pPr>
            <w:r>
              <w:rPr>
                <w:rFonts w:hint="eastAsia" w:hAnsi="宋体"/>
                <w:color w:val="auto"/>
                <w:highlight w:val="none"/>
              </w:rPr>
              <w:t>100以下</w:t>
            </w:r>
          </w:p>
        </w:tc>
        <w:tc>
          <w:tcPr>
            <w:tcW w:w="2002" w:type="dxa"/>
            <w:noWrap w:val="0"/>
            <w:vAlign w:val="top"/>
          </w:tcPr>
          <w:p w14:paraId="733BC240">
            <w:pPr>
              <w:pStyle w:val="28"/>
              <w:spacing w:line="380" w:lineRule="exact"/>
              <w:jc w:val="center"/>
              <w:rPr>
                <w:rFonts w:hint="eastAsia" w:hAnsi="宋体"/>
                <w:color w:val="auto"/>
                <w:highlight w:val="none"/>
              </w:rPr>
            </w:pPr>
            <w:r>
              <w:rPr>
                <w:rFonts w:hint="eastAsia" w:hAnsi="宋体"/>
                <w:color w:val="auto"/>
                <w:highlight w:val="none"/>
              </w:rPr>
              <w:t>1.5%</w:t>
            </w:r>
          </w:p>
        </w:tc>
        <w:tc>
          <w:tcPr>
            <w:tcW w:w="1992" w:type="dxa"/>
            <w:noWrap w:val="0"/>
            <w:vAlign w:val="top"/>
          </w:tcPr>
          <w:p w14:paraId="3D38FE46">
            <w:pPr>
              <w:pStyle w:val="28"/>
              <w:spacing w:line="380" w:lineRule="exact"/>
              <w:jc w:val="center"/>
              <w:rPr>
                <w:rFonts w:hint="eastAsia" w:hAnsi="宋体"/>
                <w:color w:val="auto"/>
                <w:highlight w:val="none"/>
              </w:rPr>
            </w:pPr>
            <w:r>
              <w:rPr>
                <w:rFonts w:hint="eastAsia" w:hAnsi="宋体"/>
                <w:color w:val="auto"/>
                <w:highlight w:val="none"/>
              </w:rPr>
              <w:t>1.5%</w:t>
            </w:r>
          </w:p>
        </w:tc>
        <w:tc>
          <w:tcPr>
            <w:tcW w:w="2293" w:type="dxa"/>
            <w:noWrap w:val="0"/>
            <w:vAlign w:val="top"/>
          </w:tcPr>
          <w:p w14:paraId="267E3461">
            <w:pPr>
              <w:pStyle w:val="28"/>
              <w:spacing w:line="380" w:lineRule="exact"/>
              <w:jc w:val="center"/>
              <w:rPr>
                <w:rFonts w:hint="eastAsia" w:hAnsi="宋体"/>
                <w:color w:val="auto"/>
                <w:highlight w:val="none"/>
              </w:rPr>
            </w:pPr>
            <w:r>
              <w:rPr>
                <w:rFonts w:hint="eastAsia" w:hAnsi="宋体"/>
                <w:color w:val="auto"/>
                <w:highlight w:val="none"/>
              </w:rPr>
              <w:t>1.0%</w:t>
            </w:r>
          </w:p>
        </w:tc>
      </w:tr>
      <w:tr w14:paraId="42DE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2719" w:type="dxa"/>
            <w:noWrap w:val="0"/>
            <w:vAlign w:val="top"/>
          </w:tcPr>
          <w:p w14:paraId="7D30B6EA">
            <w:pPr>
              <w:pStyle w:val="28"/>
              <w:spacing w:line="380" w:lineRule="exact"/>
              <w:rPr>
                <w:rFonts w:hint="eastAsia" w:hAnsi="宋体"/>
                <w:color w:val="auto"/>
                <w:highlight w:val="none"/>
              </w:rPr>
            </w:pPr>
            <w:r>
              <w:rPr>
                <w:rFonts w:hint="eastAsia" w:hAnsi="宋体"/>
                <w:color w:val="auto"/>
                <w:highlight w:val="none"/>
              </w:rPr>
              <w:t>100-500</w:t>
            </w:r>
          </w:p>
        </w:tc>
        <w:tc>
          <w:tcPr>
            <w:tcW w:w="2002" w:type="dxa"/>
            <w:noWrap w:val="0"/>
            <w:vAlign w:val="top"/>
          </w:tcPr>
          <w:p w14:paraId="75C91A80">
            <w:pPr>
              <w:pStyle w:val="28"/>
              <w:spacing w:line="380" w:lineRule="exact"/>
              <w:jc w:val="center"/>
              <w:rPr>
                <w:rFonts w:hint="eastAsia" w:hAnsi="宋体"/>
                <w:color w:val="auto"/>
                <w:highlight w:val="none"/>
              </w:rPr>
            </w:pPr>
            <w:r>
              <w:rPr>
                <w:rFonts w:hint="eastAsia" w:hAnsi="宋体"/>
                <w:color w:val="auto"/>
                <w:highlight w:val="none"/>
              </w:rPr>
              <w:t>1.1%</w:t>
            </w:r>
          </w:p>
        </w:tc>
        <w:tc>
          <w:tcPr>
            <w:tcW w:w="1992" w:type="dxa"/>
            <w:noWrap w:val="0"/>
            <w:vAlign w:val="top"/>
          </w:tcPr>
          <w:p w14:paraId="53481D95">
            <w:pPr>
              <w:pStyle w:val="28"/>
              <w:spacing w:line="380" w:lineRule="exact"/>
              <w:jc w:val="center"/>
              <w:rPr>
                <w:rFonts w:hint="eastAsia" w:hAnsi="宋体"/>
                <w:color w:val="auto"/>
                <w:highlight w:val="none"/>
              </w:rPr>
            </w:pPr>
            <w:r>
              <w:rPr>
                <w:rFonts w:hint="eastAsia" w:hAnsi="宋体"/>
                <w:color w:val="auto"/>
                <w:highlight w:val="none"/>
              </w:rPr>
              <w:t>0.8%</w:t>
            </w:r>
          </w:p>
        </w:tc>
        <w:tc>
          <w:tcPr>
            <w:tcW w:w="2293" w:type="dxa"/>
            <w:noWrap w:val="0"/>
            <w:vAlign w:val="top"/>
          </w:tcPr>
          <w:p w14:paraId="3124B504">
            <w:pPr>
              <w:pStyle w:val="28"/>
              <w:spacing w:line="380" w:lineRule="exact"/>
              <w:jc w:val="center"/>
              <w:rPr>
                <w:rFonts w:hint="eastAsia" w:hAnsi="宋体"/>
                <w:color w:val="auto"/>
                <w:highlight w:val="none"/>
              </w:rPr>
            </w:pPr>
            <w:r>
              <w:rPr>
                <w:rFonts w:hint="eastAsia" w:hAnsi="宋体"/>
                <w:color w:val="auto"/>
                <w:highlight w:val="none"/>
              </w:rPr>
              <w:t>0.7%</w:t>
            </w:r>
          </w:p>
        </w:tc>
      </w:tr>
      <w:tr w14:paraId="3D86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719" w:type="dxa"/>
            <w:noWrap w:val="0"/>
            <w:vAlign w:val="top"/>
          </w:tcPr>
          <w:p w14:paraId="5D28481D">
            <w:pPr>
              <w:pStyle w:val="28"/>
              <w:spacing w:line="380" w:lineRule="exact"/>
              <w:rPr>
                <w:rFonts w:hint="eastAsia" w:hAnsi="宋体"/>
                <w:color w:val="auto"/>
                <w:highlight w:val="none"/>
              </w:rPr>
            </w:pPr>
            <w:r>
              <w:rPr>
                <w:rFonts w:hint="eastAsia" w:hAnsi="宋体"/>
                <w:color w:val="auto"/>
                <w:highlight w:val="none"/>
              </w:rPr>
              <w:t>500-1000</w:t>
            </w:r>
          </w:p>
        </w:tc>
        <w:tc>
          <w:tcPr>
            <w:tcW w:w="2002" w:type="dxa"/>
            <w:noWrap w:val="0"/>
            <w:vAlign w:val="top"/>
          </w:tcPr>
          <w:p w14:paraId="002ADDB0">
            <w:pPr>
              <w:pStyle w:val="28"/>
              <w:spacing w:line="380" w:lineRule="exact"/>
              <w:jc w:val="center"/>
              <w:rPr>
                <w:rFonts w:hint="eastAsia" w:hAnsi="宋体"/>
                <w:color w:val="auto"/>
                <w:highlight w:val="none"/>
              </w:rPr>
            </w:pPr>
            <w:r>
              <w:rPr>
                <w:rFonts w:hint="eastAsia" w:hAnsi="宋体"/>
                <w:color w:val="auto"/>
                <w:highlight w:val="none"/>
              </w:rPr>
              <w:t>0.8%</w:t>
            </w:r>
          </w:p>
        </w:tc>
        <w:tc>
          <w:tcPr>
            <w:tcW w:w="1992" w:type="dxa"/>
            <w:noWrap w:val="0"/>
            <w:vAlign w:val="top"/>
          </w:tcPr>
          <w:p w14:paraId="0DB6B0BC">
            <w:pPr>
              <w:pStyle w:val="28"/>
              <w:spacing w:line="380" w:lineRule="exact"/>
              <w:jc w:val="center"/>
              <w:rPr>
                <w:rFonts w:hint="eastAsia" w:hAnsi="宋体"/>
                <w:color w:val="auto"/>
                <w:highlight w:val="none"/>
              </w:rPr>
            </w:pPr>
            <w:r>
              <w:rPr>
                <w:rFonts w:hint="eastAsia" w:hAnsi="宋体"/>
                <w:color w:val="auto"/>
                <w:highlight w:val="none"/>
              </w:rPr>
              <w:t>0.45%</w:t>
            </w:r>
          </w:p>
        </w:tc>
        <w:tc>
          <w:tcPr>
            <w:tcW w:w="2293" w:type="dxa"/>
            <w:noWrap w:val="0"/>
            <w:vAlign w:val="top"/>
          </w:tcPr>
          <w:p w14:paraId="3A2F11DF">
            <w:pPr>
              <w:pStyle w:val="28"/>
              <w:spacing w:line="380" w:lineRule="exact"/>
              <w:jc w:val="center"/>
              <w:rPr>
                <w:rFonts w:hint="eastAsia" w:hAnsi="宋体"/>
                <w:color w:val="auto"/>
                <w:highlight w:val="none"/>
              </w:rPr>
            </w:pPr>
            <w:r>
              <w:rPr>
                <w:rFonts w:hint="eastAsia" w:hAnsi="宋体"/>
                <w:color w:val="auto"/>
                <w:highlight w:val="none"/>
              </w:rPr>
              <w:t>0.55%</w:t>
            </w:r>
          </w:p>
        </w:tc>
      </w:tr>
      <w:tr w14:paraId="6027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719" w:type="dxa"/>
            <w:noWrap w:val="0"/>
            <w:vAlign w:val="top"/>
          </w:tcPr>
          <w:p w14:paraId="4E744963">
            <w:pPr>
              <w:pStyle w:val="28"/>
              <w:spacing w:line="380" w:lineRule="exact"/>
              <w:rPr>
                <w:rFonts w:hint="eastAsia" w:hAnsi="宋体"/>
                <w:color w:val="auto"/>
                <w:highlight w:val="none"/>
              </w:rPr>
            </w:pPr>
            <w:r>
              <w:rPr>
                <w:rFonts w:hint="eastAsia" w:hAnsi="宋体"/>
                <w:color w:val="auto"/>
                <w:highlight w:val="none"/>
              </w:rPr>
              <w:t>1000-5000</w:t>
            </w:r>
          </w:p>
        </w:tc>
        <w:tc>
          <w:tcPr>
            <w:tcW w:w="2002" w:type="dxa"/>
            <w:noWrap w:val="0"/>
            <w:vAlign w:val="top"/>
          </w:tcPr>
          <w:p w14:paraId="7224D278">
            <w:pPr>
              <w:pStyle w:val="28"/>
              <w:spacing w:line="380" w:lineRule="exact"/>
              <w:jc w:val="center"/>
              <w:rPr>
                <w:rFonts w:hint="eastAsia" w:hAnsi="宋体"/>
                <w:color w:val="auto"/>
                <w:highlight w:val="none"/>
              </w:rPr>
            </w:pPr>
            <w:r>
              <w:rPr>
                <w:rFonts w:hint="eastAsia" w:hAnsi="宋体"/>
                <w:color w:val="auto"/>
                <w:highlight w:val="none"/>
              </w:rPr>
              <w:t>0.5%</w:t>
            </w:r>
          </w:p>
        </w:tc>
        <w:tc>
          <w:tcPr>
            <w:tcW w:w="1992" w:type="dxa"/>
            <w:noWrap w:val="0"/>
            <w:vAlign w:val="top"/>
          </w:tcPr>
          <w:p w14:paraId="52146F28">
            <w:pPr>
              <w:pStyle w:val="28"/>
              <w:spacing w:line="380" w:lineRule="exact"/>
              <w:jc w:val="center"/>
              <w:rPr>
                <w:rFonts w:hint="eastAsia" w:hAnsi="宋体"/>
                <w:color w:val="auto"/>
                <w:highlight w:val="none"/>
              </w:rPr>
            </w:pPr>
            <w:r>
              <w:rPr>
                <w:rFonts w:hint="eastAsia" w:hAnsi="宋体"/>
                <w:color w:val="auto"/>
                <w:highlight w:val="none"/>
              </w:rPr>
              <w:t>0.25%</w:t>
            </w:r>
          </w:p>
        </w:tc>
        <w:tc>
          <w:tcPr>
            <w:tcW w:w="2293" w:type="dxa"/>
            <w:noWrap w:val="0"/>
            <w:vAlign w:val="top"/>
          </w:tcPr>
          <w:p w14:paraId="5E2460A9">
            <w:pPr>
              <w:pStyle w:val="28"/>
              <w:spacing w:line="380" w:lineRule="exact"/>
              <w:jc w:val="center"/>
              <w:rPr>
                <w:rFonts w:hint="eastAsia" w:hAnsi="宋体"/>
                <w:color w:val="auto"/>
                <w:highlight w:val="none"/>
              </w:rPr>
            </w:pPr>
            <w:r>
              <w:rPr>
                <w:rFonts w:hint="eastAsia" w:hAnsi="宋体"/>
                <w:color w:val="auto"/>
                <w:highlight w:val="none"/>
              </w:rPr>
              <w:t>0.35%</w:t>
            </w:r>
          </w:p>
        </w:tc>
      </w:tr>
      <w:tr w14:paraId="1BDA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719" w:type="dxa"/>
            <w:noWrap w:val="0"/>
            <w:vAlign w:val="top"/>
          </w:tcPr>
          <w:p w14:paraId="4C1D447B">
            <w:pPr>
              <w:pStyle w:val="28"/>
              <w:spacing w:line="380" w:lineRule="exact"/>
              <w:rPr>
                <w:rFonts w:hint="eastAsia" w:hAnsi="宋体"/>
                <w:color w:val="auto"/>
                <w:highlight w:val="none"/>
              </w:rPr>
            </w:pPr>
            <w:r>
              <w:rPr>
                <w:rFonts w:hint="eastAsia" w:hAnsi="宋体"/>
                <w:color w:val="auto"/>
                <w:highlight w:val="none"/>
              </w:rPr>
              <w:t>5000-10000</w:t>
            </w:r>
          </w:p>
        </w:tc>
        <w:tc>
          <w:tcPr>
            <w:tcW w:w="2002" w:type="dxa"/>
            <w:noWrap w:val="0"/>
            <w:vAlign w:val="top"/>
          </w:tcPr>
          <w:p w14:paraId="28FD735D">
            <w:pPr>
              <w:pStyle w:val="28"/>
              <w:spacing w:line="380" w:lineRule="exact"/>
              <w:jc w:val="center"/>
              <w:rPr>
                <w:rFonts w:hint="eastAsia" w:hAnsi="宋体"/>
                <w:color w:val="auto"/>
                <w:highlight w:val="none"/>
              </w:rPr>
            </w:pPr>
            <w:r>
              <w:rPr>
                <w:rFonts w:hint="eastAsia" w:hAnsi="宋体"/>
                <w:color w:val="auto"/>
                <w:highlight w:val="none"/>
              </w:rPr>
              <w:t>0.25%</w:t>
            </w:r>
          </w:p>
        </w:tc>
        <w:tc>
          <w:tcPr>
            <w:tcW w:w="1992" w:type="dxa"/>
            <w:noWrap w:val="0"/>
            <w:vAlign w:val="top"/>
          </w:tcPr>
          <w:p w14:paraId="3121C690">
            <w:pPr>
              <w:pStyle w:val="28"/>
              <w:spacing w:line="380" w:lineRule="exact"/>
              <w:jc w:val="center"/>
              <w:rPr>
                <w:rFonts w:hint="eastAsia" w:hAnsi="宋体"/>
                <w:color w:val="auto"/>
                <w:highlight w:val="none"/>
              </w:rPr>
            </w:pPr>
            <w:r>
              <w:rPr>
                <w:rFonts w:hint="eastAsia" w:hAnsi="宋体"/>
                <w:color w:val="auto"/>
                <w:highlight w:val="none"/>
              </w:rPr>
              <w:t>0.1%</w:t>
            </w:r>
          </w:p>
        </w:tc>
        <w:tc>
          <w:tcPr>
            <w:tcW w:w="2293" w:type="dxa"/>
            <w:noWrap w:val="0"/>
            <w:vAlign w:val="top"/>
          </w:tcPr>
          <w:p w14:paraId="5B1DC580">
            <w:pPr>
              <w:pStyle w:val="28"/>
              <w:spacing w:line="380" w:lineRule="exact"/>
              <w:jc w:val="center"/>
              <w:rPr>
                <w:rFonts w:hint="eastAsia" w:hAnsi="宋体"/>
                <w:color w:val="auto"/>
                <w:highlight w:val="none"/>
              </w:rPr>
            </w:pPr>
            <w:r>
              <w:rPr>
                <w:rFonts w:hint="eastAsia" w:hAnsi="宋体"/>
                <w:color w:val="auto"/>
                <w:highlight w:val="none"/>
              </w:rPr>
              <w:t>0.2%</w:t>
            </w:r>
          </w:p>
        </w:tc>
      </w:tr>
    </w:tbl>
    <w:p w14:paraId="146A01C1">
      <w:pPr>
        <w:pageBreakBefore w:val="0"/>
        <w:widowControl w:val="0"/>
        <w:kinsoku/>
        <w:overflowPunct/>
        <w:topLinePunct w:val="0"/>
        <w:autoSpaceDE/>
        <w:autoSpaceDN/>
        <w:bidi w:val="0"/>
        <w:adjustRightInd/>
        <w:spacing w:before="0" w:after="0" w:line="420" w:lineRule="exact"/>
        <w:ind w:firstLine="422"/>
        <w:textAlignment w:val="auto"/>
        <w:rPr>
          <w:rFonts w:hint="eastAsia" w:ascii="宋体" w:hAnsi="宋体" w:eastAsia="宋体" w:cs="宋体"/>
          <w:b w:val="0"/>
          <w:bCs/>
          <w:color w:val="auto"/>
          <w:sz w:val="24"/>
          <w:szCs w:val="32"/>
          <w:highlight w:val="none"/>
          <w:lang w:val="en-US" w:eastAsia="zh-CN"/>
        </w:rPr>
      </w:pPr>
      <w:r>
        <w:rPr>
          <w:rFonts w:hint="eastAsia" w:ascii="宋体" w:hAnsi="宋体"/>
          <w:color w:val="auto"/>
          <w:sz w:val="24"/>
          <w:szCs w:val="24"/>
          <w:highlight w:val="none"/>
        </w:rPr>
        <w:t>注：采购代理服务收费按差额定率累进法计算。</w:t>
      </w:r>
    </w:p>
    <w:p w14:paraId="685E9A5B">
      <w:pPr>
        <w:pageBreakBefore w:val="0"/>
        <w:widowControl w:val="0"/>
        <w:kinsoku/>
        <w:wordWrap w:val="0"/>
        <w:overflowPunct/>
        <w:topLinePunct w:val="0"/>
        <w:autoSpaceDE/>
        <w:autoSpaceDN/>
        <w:bidi w:val="0"/>
        <w:adjustRightInd/>
        <w:spacing w:line="420" w:lineRule="exact"/>
        <w:ind w:firstLine="482" w:firstLineChars="200"/>
        <w:textAlignment w:val="auto"/>
        <w:rPr>
          <w:rFonts w:hint="eastAsia" w:ascii="宋体" w:hAnsi="宋体"/>
          <w:b/>
          <w:color w:val="auto"/>
          <w:sz w:val="24"/>
          <w:szCs w:val="24"/>
          <w:highlight w:val="none"/>
        </w:rPr>
      </w:pPr>
      <w:bookmarkStart w:id="178" w:name="_Toc9779"/>
      <w:bookmarkStart w:id="179" w:name="_Toc132"/>
      <w:r>
        <w:rPr>
          <w:rFonts w:hint="eastAsia" w:ascii="宋体" w:hAnsi="宋体" w:cs="宋体"/>
          <w:b/>
          <w:color w:val="auto"/>
          <w:sz w:val="24"/>
          <w:szCs w:val="24"/>
          <w:highlight w:val="none"/>
        </w:rPr>
        <w:t>31.</w:t>
      </w:r>
      <w:r>
        <w:rPr>
          <w:rFonts w:hint="eastAsia" w:ascii="宋体" w:hAnsi="宋体"/>
          <w:b/>
          <w:color w:val="auto"/>
          <w:sz w:val="24"/>
          <w:szCs w:val="24"/>
          <w:highlight w:val="none"/>
        </w:rPr>
        <w:t>采购代理机构银行账户：</w:t>
      </w:r>
    </w:p>
    <w:p w14:paraId="21C69FF3">
      <w:pPr>
        <w:pageBreakBefore w:val="0"/>
        <w:widowControl w:val="0"/>
        <w:kinsoku/>
        <w:overflowPunct/>
        <w:topLinePunct w:val="0"/>
        <w:autoSpaceDE/>
        <w:autoSpaceDN/>
        <w:bidi w:val="0"/>
        <w:adjustRightInd/>
        <w:spacing w:before="0" w:after="0" w:line="420" w:lineRule="exact"/>
        <w:ind w:firstLine="422"/>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账户名称：广西国喆项目管理有限公司</w:t>
      </w:r>
    </w:p>
    <w:p w14:paraId="69156A44">
      <w:pPr>
        <w:pageBreakBefore w:val="0"/>
        <w:widowControl w:val="0"/>
        <w:kinsoku/>
        <w:overflowPunct/>
        <w:topLinePunct w:val="0"/>
        <w:autoSpaceDE/>
        <w:autoSpaceDN/>
        <w:bidi w:val="0"/>
        <w:adjustRightInd/>
        <w:spacing w:before="0" w:after="0" w:line="420" w:lineRule="exact"/>
        <w:ind w:firstLine="422"/>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开户银行：桂林银行桂林高铁经济产业园科技支行</w:t>
      </w:r>
    </w:p>
    <w:p w14:paraId="4D6A76AF">
      <w:pPr>
        <w:pageBreakBefore w:val="0"/>
        <w:widowControl w:val="0"/>
        <w:kinsoku/>
        <w:overflowPunct/>
        <w:topLinePunct w:val="0"/>
        <w:autoSpaceDE/>
        <w:autoSpaceDN/>
        <w:bidi w:val="0"/>
        <w:adjustRightInd/>
        <w:spacing w:before="0" w:after="0" w:line="420" w:lineRule="exact"/>
        <w:ind w:firstLine="422"/>
        <w:textAlignment w:val="auto"/>
        <w:rPr>
          <w:rFonts w:hint="default" w:hAnsi="宋体" w:eastAsia="宋体"/>
          <w:color w:val="auto"/>
          <w:sz w:val="24"/>
          <w:szCs w:val="24"/>
          <w:highlight w:val="none"/>
          <w:lang w:val="en-US" w:eastAsia="zh-CN"/>
        </w:rPr>
      </w:pPr>
      <w:r>
        <w:rPr>
          <w:rFonts w:hint="eastAsia" w:ascii="宋体" w:hAnsi="宋体" w:eastAsia="宋体" w:cs="Times New Roman"/>
          <w:color w:val="auto"/>
          <w:sz w:val="24"/>
          <w:szCs w:val="24"/>
          <w:highlight w:val="none"/>
        </w:rPr>
        <w:t>银行账号：</w:t>
      </w:r>
      <w:r>
        <w:rPr>
          <w:rFonts w:hint="eastAsia" w:ascii="宋体" w:hAnsi="宋体" w:eastAsia="宋体" w:cs="宋体"/>
          <w:color w:val="auto"/>
          <w:sz w:val="24"/>
          <w:szCs w:val="24"/>
          <w:highlight w:val="none"/>
          <w:lang w:eastAsia="zh-CN"/>
        </w:rPr>
        <w:t>660000014613800012</w:t>
      </w:r>
      <w:r>
        <w:rPr>
          <w:rFonts w:hint="eastAsia" w:ascii="宋体" w:hAnsi="宋体" w:eastAsia="宋体" w:cs="Times New Roman"/>
          <w:color w:val="auto"/>
          <w:sz w:val="24"/>
          <w:szCs w:val="24"/>
          <w:highlight w:val="none"/>
        </w:rPr>
        <w:t xml:space="preserve">  </w:t>
      </w:r>
      <w:r>
        <w:rPr>
          <w:rFonts w:hint="eastAsia"/>
          <w:color w:val="auto"/>
          <w:highlight w:val="none"/>
        </w:rPr>
        <w:t xml:space="preserve"> </w:t>
      </w:r>
    </w:p>
    <w:p w14:paraId="1625E668">
      <w:pPr>
        <w:pageBreakBefore w:val="0"/>
        <w:widowControl w:val="0"/>
        <w:kinsoku/>
        <w:wordWrap/>
        <w:overflowPunct/>
        <w:topLinePunct w:val="0"/>
        <w:autoSpaceDE/>
        <w:autoSpaceDN/>
        <w:bidi w:val="0"/>
        <w:adjustRightInd/>
        <w:spacing w:line="420" w:lineRule="exact"/>
        <w:ind w:firstLine="482" w:firstLineChars="200"/>
        <w:textAlignment w:val="auto"/>
        <w:rPr>
          <w:rFonts w:hint="eastAsia" w:ascii="宋体" w:hAnsi="宋体" w:eastAsia="宋体" w:cs="宋体"/>
          <w:color w:val="auto"/>
          <w:sz w:val="24"/>
          <w:szCs w:val="24"/>
          <w:highlight w:val="none"/>
          <w:lang w:eastAsia="zh-CN"/>
        </w:rPr>
      </w:pPr>
      <w:r>
        <w:rPr>
          <w:rStyle w:val="104"/>
          <w:rFonts w:hint="eastAsia" w:ascii="宋体" w:hAnsi="宋体" w:cs="宋体"/>
          <w:color w:val="auto"/>
          <w:sz w:val="24"/>
          <w:szCs w:val="24"/>
          <w:highlight w:val="none"/>
          <w:lang w:val="en-US" w:eastAsia="zh-CN"/>
        </w:rPr>
        <w:t>32</w:t>
      </w:r>
      <w:r>
        <w:rPr>
          <w:rStyle w:val="104"/>
          <w:rFonts w:hint="eastAsia" w:ascii="宋体" w:hAnsi="宋体" w:eastAsia="宋体" w:cs="宋体"/>
          <w:color w:val="auto"/>
          <w:sz w:val="24"/>
          <w:szCs w:val="24"/>
          <w:highlight w:val="none"/>
        </w:rPr>
        <w:t>.</w:t>
      </w:r>
      <w:bookmarkEnd w:id="177"/>
      <w:bookmarkEnd w:id="178"/>
      <w:bookmarkEnd w:id="179"/>
      <w:r>
        <w:rPr>
          <w:rFonts w:hint="eastAsia" w:ascii="宋体" w:hAnsi="宋体" w:cs="宋体"/>
          <w:b/>
          <w:color w:val="auto"/>
          <w:kern w:val="0"/>
          <w:sz w:val="24"/>
          <w:szCs w:val="32"/>
          <w:highlight w:val="none"/>
        </w:rPr>
        <w:t>解释权：</w:t>
      </w:r>
      <w:r>
        <w:rPr>
          <w:rFonts w:hint="eastAsia" w:ascii="宋体" w:hAnsi="宋体" w:cs="宋体"/>
          <w:color w:val="auto"/>
          <w:kern w:val="0"/>
          <w:sz w:val="24"/>
          <w:szCs w:val="24"/>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19DD536F">
      <w:pPr>
        <w:pageBreakBefore w:val="0"/>
        <w:widowControl w:val="0"/>
        <w:kinsoku/>
        <w:wordWrap/>
        <w:overflowPunct/>
        <w:topLinePunct w:val="0"/>
        <w:autoSpaceDE/>
        <w:autoSpaceDN/>
        <w:bidi w:val="0"/>
        <w:adjustRightInd/>
        <w:spacing w:line="420" w:lineRule="exact"/>
        <w:ind w:firstLine="482" w:firstLineChars="200"/>
        <w:textAlignment w:val="auto"/>
        <w:outlineLvl w:val="2"/>
        <w:rPr>
          <w:rFonts w:hint="eastAsia" w:ascii="宋体" w:hAnsi="宋体" w:eastAsia="宋体" w:cs="宋体"/>
          <w:color w:val="auto"/>
          <w:kern w:val="0"/>
          <w:sz w:val="24"/>
          <w:szCs w:val="24"/>
          <w:highlight w:val="none"/>
          <w:lang w:val="en-US" w:eastAsia="zh-CN"/>
        </w:rPr>
      </w:pPr>
      <w:bookmarkStart w:id="180" w:name="_Toc32738"/>
      <w:bookmarkStart w:id="181" w:name="_Toc24551"/>
      <w:r>
        <w:rPr>
          <w:rStyle w:val="104"/>
          <w:rFonts w:hint="eastAsia" w:ascii="宋体" w:hAnsi="宋体" w:eastAsia="宋体" w:cs="宋体"/>
          <w:color w:val="auto"/>
          <w:sz w:val="24"/>
          <w:szCs w:val="24"/>
          <w:highlight w:val="none"/>
        </w:rPr>
        <w:t>32. 监督</w:t>
      </w:r>
      <w:r>
        <w:rPr>
          <w:rStyle w:val="104"/>
          <w:rFonts w:hint="eastAsia" w:ascii="宋体" w:hAnsi="宋体" w:cs="宋体"/>
          <w:color w:val="auto"/>
          <w:sz w:val="24"/>
          <w:szCs w:val="24"/>
          <w:highlight w:val="none"/>
          <w:lang w:eastAsia="zh-CN"/>
        </w:rPr>
        <w:t>管理</w:t>
      </w:r>
      <w:r>
        <w:rPr>
          <w:rStyle w:val="104"/>
          <w:rFonts w:hint="eastAsia" w:ascii="宋体" w:hAnsi="宋体" w:eastAsia="宋体" w:cs="宋体"/>
          <w:color w:val="auto"/>
          <w:sz w:val="24"/>
          <w:szCs w:val="24"/>
          <w:highlight w:val="none"/>
        </w:rPr>
        <w:t>机构</w:t>
      </w:r>
      <w:bookmarkEnd w:id="180"/>
      <w:r>
        <w:rPr>
          <w:rFonts w:hint="eastAsia" w:ascii="宋体" w:hAnsi="宋体" w:eastAsia="宋体" w:cs="宋体"/>
          <w:color w:val="auto"/>
          <w:sz w:val="24"/>
          <w:szCs w:val="24"/>
          <w:highlight w:val="none"/>
        </w:rPr>
        <w:t>：</w:t>
      </w:r>
      <w:bookmarkEnd w:id="181"/>
      <w:r>
        <w:rPr>
          <w:rFonts w:hint="eastAsia" w:ascii="宋体" w:hAnsi="宋体" w:cs="宋体"/>
          <w:color w:val="auto"/>
          <w:kern w:val="0"/>
          <w:sz w:val="24"/>
          <w:szCs w:val="24"/>
          <w:highlight w:val="none"/>
          <w:lang w:eastAsia="zh-CN"/>
        </w:rPr>
        <w:t>资源县财政局</w:t>
      </w:r>
      <w:r>
        <w:rPr>
          <w:rFonts w:hint="eastAsia" w:ascii="宋体" w:hAnsi="宋体" w:eastAsia="宋体" w:cs="宋体"/>
          <w:color w:val="auto"/>
          <w:kern w:val="0"/>
          <w:sz w:val="24"/>
          <w:szCs w:val="24"/>
          <w:highlight w:val="none"/>
        </w:rPr>
        <w:t xml:space="preserve">   联系电话：</w:t>
      </w:r>
      <w:r>
        <w:rPr>
          <w:rFonts w:hint="eastAsia" w:ascii="宋体" w:hAnsi="宋体" w:eastAsia="宋体" w:cs="宋体"/>
          <w:color w:val="auto"/>
          <w:kern w:val="0"/>
          <w:sz w:val="24"/>
          <w:szCs w:val="24"/>
          <w:highlight w:val="none"/>
          <w:lang w:eastAsia="zh-CN"/>
        </w:rPr>
        <w:t>0773-</w:t>
      </w:r>
      <w:r>
        <w:rPr>
          <w:rFonts w:hint="eastAsia" w:ascii="宋体" w:hAnsi="宋体" w:cs="宋体"/>
          <w:color w:val="auto"/>
          <w:kern w:val="0"/>
          <w:sz w:val="24"/>
          <w:szCs w:val="24"/>
          <w:highlight w:val="none"/>
          <w:lang w:eastAsia="zh-CN"/>
        </w:rPr>
        <w:t>4315648</w:t>
      </w:r>
    </w:p>
    <w:p w14:paraId="7FF46976">
      <w:pPr>
        <w:pageBreakBefore w:val="0"/>
        <w:widowControl w:val="0"/>
        <w:kinsoku/>
        <w:wordWrap/>
        <w:overflowPunct/>
        <w:topLinePunct w:val="0"/>
        <w:bidi w:val="0"/>
        <w:spacing w:line="440" w:lineRule="exact"/>
        <w:ind w:firstLine="422" w:firstLineChars="200"/>
        <w:textAlignment w:val="auto"/>
        <w:outlineLvl w:val="2"/>
        <w:rPr>
          <w:rStyle w:val="104"/>
          <w:rFonts w:hint="eastAsia" w:ascii="宋体" w:hAnsi="宋体" w:cs="宋体"/>
          <w:color w:val="auto"/>
          <w:sz w:val="21"/>
          <w:szCs w:val="21"/>
          <w:highlight w:val="none"/>
          <w:lang w:eastAsia="zh-CN"/>
        </w:rPr>
      </w:pPr>
    </w:p>
    <w:p w14:paraId="3B44FD88">
      <w:pPr>
        <w:pStyle w:val="28"/>
        <w:snapToGrid w:val="0"/>
        <w:rPr>
          <w:rFonts w:hint="eastAsia" w:hAnsi="宋体"/>
          <w:b/>
          <w:color w:val="auto"/>
          <w:sz w:val="24"/>
          <w:szCs w:val="24"/>
          <w:highlight w:val="none"/>
        </w:rPr>
      </w:pPr>
    </w:p>
    <w:p w14:paraId="5D4A9E82">
      <w:pPr>
        <w:pStyle w:val="5"/>
        <w:rPr>
          <w:rFonts w:hint="eastAsia"/>
          <w:color w:val="auto"/>
          <w:highlight w:val="none"/>
        </w:rPr>
      </w:pPr>
    </w:p>
    <w:p w14:paraId="3D8B8439">
      <w:pPr>
        <w:pStyle w:val="12"/>
        <w:rPr>
          <w:rFonts w:hint="eastAsia" w:hAnsi="宋体"/>
          <w:b/>
          <w:color w:val="auto"/>
          <w:sz w:val="24"/>
          <w:szCs w:val="24"/>
          <w:highlight w:val="none"/>
        </w:rPr>
      </w:pPr>
    </w:p>
    <w:p w14:paraId="69FAA33F">
      <w:pPr>
        <w:rPr>
          <w:rFonts w:hint="eastAsia" w:hAnsi="宋体"/>
          <w:b/>
          <w:color w:val="auto"/>
          <w:sz w:val="24"/>
          <w:szCs w:val="24"/>
          <w:highlight w:val="none"/>
        </w:rPr>
      </w:pPr>
      <w:r>
        <w:rPr>
          <w:rFonts w:hint="eastAsia" w:hAnsi="宋体"/>
          <w:b/>
          <w:color w:val="auto"/>
          <w:sz w:val="24"/>
          <w:szCs w:val="24"/>
          <w:highlight w:val="none"/>
        </w:rPr>
        <w:br w:type="page"/>
      </w:r>
    </w:p>
    <w:p w14:paraId="0FF5F4B4">
      <w:pPr>
        <w:pStyle w:val="28"/>
        <w:snapToGrid w:val="0"/>
        <w:rPr>
          <w:rFonts w:hint="eastAsia" w:hAnsi="宋体"/>
          <w:b/>
          <w:color w:val="auto"/>
          <w:sz w:val="24"/>
          <w:szCs w:val="24"/>
          <w:highlight w:val="none"/>
        </w:rPr>
      </w:pPr>
      <w:r>
        <w:rPr>
          <w:rFonts w:hint="eastAsia" w:hAnsi="宋体"/>
          <w:b/>
          <w:color w:val="auto"/>
          <w:sz w:val="24"/>
          <w:szCs w:val="24"/>
          <w:highlight w:val="none"/>
        </w:rPr>
        <w:t>附表1：</w:t>
      </w:r>
    </w:p>
    <w:p w14:paraId="40A0EA91">
      <w:pPr>
        <w:spacing w:line="460" w:lineRule="exact"/>
        <w:jc w:val="center"/>
        <w:rPr>
          <w:rFonts w:hint="eastAsia" w:ascii="宋体" w:hAnsi="宋体"/>
          <w:color w:val="auto"/>
          <w:sz w:val="32"/>
          <w:szCs w:val="32"/>
          <w:highlight w:val="none"/>
        </w:rPr>
      </w:pPr>
      <w:r>
        <w:rPr>
          <w:rFonts w:hint="eastAsia" w:ascii="宋体" w:hAnsi="宋体" w:cs="仿宋"/>
          <w:b/>
          <w:bCs/>
          <w:color w:val="auto"/>
          <w:sz w:val="32"/>
          <w:szCs w:val="32"/>
          <w:highlight w:val="none"/>
        </w:rPr>
        <w:t>质疑函（格式）</w:t>
      </w:r>
    </w:p>
    <w:p w14:paraId="1549B5C4">
      <w:pPr>
        <w:pStyle w:val="28"/>
        <w:snapToGrid w:val="0"/>
        <w:spacing w:line="360" w:lineRule="exact"/>
        <w:ind w:firstLine="422" w:firstLineChars="200"/>
        <w:rPr>
          <w:rFonts w:hAnsi="宋体"/>
          <w:b/>
          <w:bCs/>
          <w:color w:val="auto"/>
          <w:highlight w:val="none"/>
        </w:rPr>
      </w:pPr>
      <w:r>
        <w:rPr>
          <w:rFonts w:hint="eastAsia" w:hAnsi="宋体"/>
          <w:b/>
          <w:bCs/>
          <w:color w:val="auto"/>
          <w:highlight w:val="none"/>
        </w:rPr>
        <w:t>一、质疑供应商基本信息：</w:t>
      </w:r>
    </w:p>
    <w:p w14:paraId="41E4D740">
      <w:pPr>
        <w:pStyle w:val="28"/>
        <w:snapToGrid w:val="0"/>
        <w:spacing w:line="360" w:lineRule="exact"/>
        <w:ind w:firstLine="420" w:firstLineChars="200"/>
        <w:rPr>
          <w:rFonts w:hint="eastAsia" w:hAnsi="宋体"/>
          <w:bCs/>
          <w:color w:val="auto"/>
          <w:highlight w:val="none"/>
          <w:u w:val="single"/>
        </w:rPr>
      </w:pPr>
      <w:r>
        <w:rPr>
          <w:rFonts w:hint="eastAsia" w:hAnsi="宋体"/>
          <w:bCs/>
          <w:color w:val="auto"/>
          <w:highlight w:val="none"/>
        </w:rPr>
        <w:t>质疑供应商：</w:t>
      </w:r>
      <w:r>
        <w:rPr>
          <w:rFonts w:hint="eastAsia" w:hAnsi="宋体"/>
          <w:bCs/>
          <w:color w:val="auto"/>
          <w:highlight w:val="none"/>
          <w:u w:val="single"/>
        </w:rPr>
        <w:t xml:space="preserve">                                       </w:t>
      </w:r>
    </w:p>
    <w:p w14:paraId="28616D78">
      <w:pPr>
        <w:pStyle w:val="28"/>
        <w:snapToGrid w:val="0"/>
        <w:spacing w:line="360" w:lineRule="exact"/>
        <w:ind w:firstLine="42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254C810E">
      <w:pPr>
        <w:pStyle w:val="28"/>
        <w:snapToGrid w:val="0"/>
        <w:spacing w:line="360" w:lineRule="exact"/>
        <w:ind w:firstLine="420" w:firstLineChars="200"/>
        <w:rPr>
          <w:rFonts w:hint="eastAsia" w:hAnsi="宋体"/>
          <w:bCs/>
          <w:color w:val="auto"/>
          <w:highlight w:val="none"/>
        </w:rPr>
      </w:pPr>
      <w:r>
        <w:rPr>
          <w:rFonts w:hAnsi="宋体"/>
          <w:bCs/>
          <w:color w:val="auto"/>
          <w:highlight w:val="none"/>
        </w:rPr>
        <w:t>联系人</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联系电话</w:t>
      </w:r>
      <w:r>
        <w:rPr>
          <w:rFonts w:hint="eastAsia" w:hAnsi="宋体"/>
          <w:bCs/>
          <w:color w:val="auto"/>
          <w:highlight w:val="none"/>
        </w:rPr>
        <w:t>：</w:t>
      </w:r>
      <w:r>
        <w:rPr>
          <w:rFonts w:hint="eastAsia" w:hAnsi="宋体"/>
          <w:bCs/>
          <w:color w:val="auto"/>
          <w:highlight w:val="none"/>
          <w:u w:val="single"/>
        </w:rPr>
        <w:t xml:space="preserve">                 </w:t>
      </w:r>
    </w:p>
    <w:p w14:paraId="29794077">
      <w:pPr>
        <w:pStyle w:val="28"/>
        <w:snapToGrid w:val="0"/>
        <w:spacing w:line="360" w:lineRule="exact"/>
        <w:ind w:firstLine="420" w:firstLineChars="200"/>
        <w:rPr>
          <w:rFonts w:hint="eastAsia" w:hAnsi="宋体"/>
          <w:bCs/>
          <w:color w:val="auto"/>
          <w:highlight w:val="none"/>
        </w:rPr>
      </w:pPr>
      <w:r>
        <w:rPr>
          <w:rFonts w:hint="eastAsia" w:hAnsi="宋体"/>
          <w:bCs/>
          <w:color w:val="auto"/>
          <w:highlight w:val="none"/>
        </w:rPr>
        <w:t>授权代表：</w:t>
      </w:r>
      <w:r>
        <w:rPr>
          <w:rFonts w:hint="eastAsia" w:hAnsi="宋体"/>
          <w:bCs/>
          <w:color w:val="auto"/>
          <w:highlight w:val="none"/>
          <w:u w:val="single"/>
        </w:rPr>
        <w:t xml:space="preserve">                      </w:t>
      </w:r>
    </w:p>
    <w:p w14:paraId="6F6AC21A">
      <w:pPr>
        <w:pStyle w:val="28"/>
        <w:snapToGrid w:val="0"/>
        <w:spacing w:line="360" w:lineRule="exact"/>
        <w:ind w:firstLine="420" w:firstLineChars="200"/>
        <w:rPr>
          <w:rFonts w:hint="eastAsia" w:hAnsi="宋体"/>
          <w:bCs/>
          <w:color w:val="auto"/>
          <w:highlight w:val="none"/>
          <w:u w:val="single"/>
        </w:rPr>
      </w:pP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218CC487">
      <w:pPr>
        <w:pStyle w:val="28"/>
        <w:snapToGrid w:val="0"/>
        <w:spacing w:line="360" w:lineRule="exact"/>
        <w:ind w:firstLine="42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5E168C60">
      <w:pPr>
        <w:pStyle w:val="28"/>
        <w:snapToGrid w:val="0"/>
        <w:spacing w:line="360" w:lineRule="exact"/>
        <w:ind w:firstLine="422" w:firstLineChars="200"/>
        <w:rPr>
          <w:rFonts w:hint="eastAsia" w:hAnsi="宋体"/>
          <w:b/>
          <w:bCs/>
          <w:color w:val="auto"/>
          <w:highlight w:val="none"/>
        </w:rPr>
      </w:pPr>
      <w:r>
        <w:rPr>
          <w:rFonts w:hint="eastAsia" w:hAnsi="宋体"/>
          <w:b/>
          <w:bCs/>
          <w:color w:val="auto"/>
          <w:highlight w:val="none"/>
        </w:rPr>
        <w:t>二、质疑项目基本情况：</w:t>
      </w:r>
    </w:p>
    <w:p w14:paraId="7CBE9067">
      <w:pPr>
        <w:pStyle w:val="28"/>
        <w:spacing w:line="360" w:lineRule="exact"/>
        <w:ind w:left="25" w:leftChars="12" w:firstLine="413" w:firstLineChars="197"/>
        <w:rPr>
          <w:rFonts w:hint="eastAsia" w:hAnsi="宋体"/>
          <w:color w:val="auto"/>
          <w:szCs w:val="21"/>
          <w:highlight w:val="none"/>
        </w:rPr>
      </w:pPr>
      <w:r>
        <w:rPr>
          <w:rFonts w:hint="eastAsia" w:hAnsi="宋体"/>
          <w:bCs/>
          <w:color w:val="auto"/>
          <w:highlight w:val="none"/>
        </w:rPr>
        <w:t>质疑</w:t>
      </w:r>
      <w:r>
        <w:rPr>
          <w:rFonts w:hint="eastAsia" w:hAnsi="宋体"/>
          <w:color w:val="auto"/>
          <w:szCs w:val="21"/>
          <w:highlight w:val="none"/>
        </w:rPr>
        <w:t>项目的名称：</w:t>
      </w:r>
      <w:r>
        <w:rPr>
          <w:rFonts w:hint="eastAsia" w:hAnsi="宋体"/>
          <w:bCs/>
          <w:color w:val="auto"/>
          <w:highlight w:val="none"/>
          <w:u w:val="single"/>
        </w:rPr>
        <w:t xml:space="preserve">                                     </w:t>
      </w:r>
    </w:p>
    <w:p w14:paraId="60BA6C61">
      <w:pPr>
        <w:pStyle w:val="28"/>
        <w:spacing w:line="360" w:lineRule="exact"/>
        <w:ind w:left="25" w:leftChars="12" w:firstLine="413" w:firstLineChars="197"/>
        <w:rPr>
          <w:rFonts w:hint="eastAsia" w:hAnsi="宋体"/>
          <w:color w:val="auto"/>
          <w:szCs w:val="21"/>
          <w:highlight w:val="none"/>
        </w:rPr>
      </w:pPr>
      <w:r>
        <w:rPr>
          <w:rFonts w:hint="eastAsia" w:hAnsi="宋体"/>
          <w:bCs/>
          <w:color w:val="auto"/>
          <w:highlight w:val="none"/>
        </w:rPr>
        <w:t>质疑</w:t>
      </w:r>
      <w:r>
        <w:rPr>
          <w:rFonts w:hint="eastAsia" w:hAnsi="宋体"/>
          <w:color w:val="auto"/>
          <w:szCs w:val="21"/>
          <w:highlight w:val="none"/>
        </w:rPr>
        <w:t>项目的编号：</w:t>
      </w:r>
      <w:r>
        <w:rPr>
          <w:rFonts w:hint="eastAsia" w:hAnsi="宋体"/>
          <w:bCs/>
          <w:color w:val="auto"/>
          <w:highlight w:val="none"/>
          <w:u w:val="single"/>
        </w:rPr>
        <w:t xml:space="preserve">                               </w:t>
      </w:r>
      <w:r>
        <w:rPr>
          <w:rFonts w:hint="eastAsia" w:hAnsi="宋体"/>
          <w:bCs/>
          <w:color w:val="auto"/>
          <w:highlight w:val="none"/>
        </w:rPr>
        <w:t>包号：</w:t>
      </w:r>
      <w:r>
        <w:rPr>
          <w:rFonts w:hint="eastAsia" w:hAnsi="宋体"/>
          <w:bCs/>
          <w:color w:val="auto"/>
          <w:highlight w:val="none"/>
          <w:u w:val="single"/>
        </w:rPr>
        <w:t xml:space="preserve">                            </w:t>
      </w:r>
    </w:p>
    <w:p w14:paraId="324E3F60">
      <w:pPr>
        <w:pStyle w:val="28"/>
        <w:spacing w:line="360" w:lineRule="exact"/>
        <w:ind w:left="25" w:leftChars="12" w:firstLine="413" w:firstLineChars="197"/>
        <w:rPr>
          <w:rFonts w:hint="eastAsia" w:hAnsi="宋体"/>
          <w:bCs/>
          <w:color w:val="auto"/>
          <w:highlight w:val="none"/>
          <w:u w:val="single"/>
        </w:rPr>
      </w:pPr>
      <w:r>
        <w:rPr>
          <w:rFonts w:hint="eastAsia" w:hAnsi="宋体"/>
          <w:color w:val="auto"/>
          <w:szCs w:val="21"/>
          <w:highlight w:val="none"/>
        </w:rPr>
        <w:t>采购人名称：</w:t>
      </w:r>
      <w:r>
        <w:rPr>
          <w:rFonts w:hint="eastAsia" w:hAnsi="宋体"/>
          <w:bCs/>
          <w:color w:val="auto"/>
          <w:highlight w:val="none"/>
          <w:u w:val="single"/>
        </w:rPr>
        <w:t xml:space="preserve">                                         </w:t>
      </w:r>
    </w:p>
    <w:p w14:paraId="78FC646B">
      <w:pPr>
        <w:pStyle w:val="28"/>
        <w:spacing w:line="360" w:lineRule="exact"/>
        <w:ind w:left="25" w:leftChars="12" w:firstLine="413" w:firstLineChars="197"/>
        <w:rPr>
          <w:rFonts w:hint="eastAsia" w:hAnsi="宋体"/>
          <w:color w:val="auto"/>
          <w:szCs w:val="21"/>
          <w:highlight w:val="none"/>
          <w:u w:val="single"/>
        </w:rPr>
      </w:pPr>
      <w:r>
        <w:rPr>
          <w:rFonts w:hint="eastAsia" w:hAnsi="宋体"/>
          <w:color w:val="auto"/>
          <w:szCs w:val="21"/>
          <w:highlight w:val="none"/>
        </w:rPr>
        <w:t>采购文件获取日期：</w:t>
      </w:r>
      <w:r>
        <w:rPr>
          <w:rFonts w:hint="eastAsia" w:hAnsi="宋体"/>
          <w:color w:val="auto"/>
          <w:szCs w:val="21"/>
          <w:highlight w:val="none"/>
          <w:u w:val="single"/>
        </w:rPr>
        <w:t xml:space="preserve">                                   </w:t>
      </w:r>
    </w:p>
    <w:p w14:paraId="790D74E3">
      <w:pPr>
        <w:pStyle w:val="28"/>
        <w:spacing w:line="360" w:lineRule="exact"/>
        <w:ind w:left="25" w:leftChars="12" w:firstLine="413" w:firstLineChars="196"/>
        <w:rPr>
          <w:rFonts w:hint="eastAsia" w:hAnsi="宋体"/>
          <w:b/>
          <w:color w:val="auto"/>
          <w:szCs w:val="21"/>
          <w:highlight w:val="none"/>
        </w:rPr>
      </w:pPr>
      <w:r>
        <w:rPr>
          <w:rFonts w:hint="eastAsia" w:hAnsi="宋体"/>
          <w:b/>
          <w:color w:val="auto"/>
          <w:szCs w:val="21"/>
          <w:highlight w:val="none"/>
        </w:rPr>
        <w:t>三、质疑事项具体内容</w:t>
      </w:r>
    </w:p>
    <w:p w14:paraId="5775DE5E">
      <w:pPr>
        <w:pStyle w:val="28"/>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质疑事项1：</w:t>
      </w:r>
      <w:r>
        <w:rPr>
          <w:rFonts w:hint="eastAsia" w:hAnsi="宋体"/>
          <w:bCs/>
          <w:color w:val="auto"/>
          <w:highlight w:val="none"/>
          <w:u w:val="single"/>
        </w:rPr>
        <w:t xml:space="preserve">                                                                    </w:t>
      </w:r>
    </w:p>
    <w:p w14:paraId="0A73E6DC">
      <w:pPr>
        <w:pStyle w:val="28"/>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事实依据：</w:t>
      </w:r>
      <w:r>
        <w:rPr>
          <w:rFonts w:hint="eastAsia" w:hAnsi="宋体"/>
          <w:bCs/>
          <w:color w:val="auto"/>
          <w:highlight w:val="none"/>
          <w:u w:val="single"/>
        </w:rPr>
        <w:t xml:space="preserve">                                                                      </w:t>
      </w:r>
    </w:p>
    <w:p w14:paraId="2CB7FE59">
      <w:pPr>
        <w:pStyle w:val="28"/>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法律依据：</w:t>
      </w:r>
      <w:r>
        <w:rPr>
          <w:rFonts w:hint="eastAsia" w:hAnsi="宋体"/>
          <w:color w:val="auto"/>
          <w:szCs w:val="21"/>
          <w:highlight w:val="none"/>
          <w:u w:val="single"/>
        </w:rPr>
        <w:t xml:space="preserve">                                                        </w:t>
      </w:r>
      <w:r>
        <w:rPr>
          <w:rFonts w:hint="eastAsia" w:hAnsi="宋体"/>
          <w:bCs/>
          <w:color w:val="auto"/>
          <w:highlight w:val="none"/>
          <w:u w:val="single"/>
        </w:rPr>
        <w:t xml:space="preserve">              </w:t>
      </w:r>
    </w:p>
    <w:p w14:paraId="7F137065">
      <w:pPr>
        <w:pStyle w:val="28"/>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质疑事项2</w:t>
      </w:r>
    </w:p>
    <w:p w14:paraId="565EA3B6">
      <w:pPr>
        <w:pStyle w:val="28"/>
        <w:spacing w:line="360" w:lineRule="exact"/>
        <w:ind w:left="25" w:leftChars="12" w:firstLine="413" w:firstLineChars="197"/>
        <w:rPr>
          <w:rFonts w:hint="eastAsia" w:hAnsi="宋体"/>
          <w:color w:val="auto"/>
          <w:szCs w:val="21"/>
          <w:highlight w:val="none"/>
        </w:rPr>
      </w:pPr>
      <w:r>
        <w:rPr>
          <w:rFonts w:hAnsi="宋体"/>
          <w:color w:val="auto"/>
          <w:szCs w:val="21"/>
          <w:highlight w:val="none"/>
        </w:rPr>
        <w:t>……</w:t>
      </w:r>
    </w:p>
    <w:p w14:paraId="3B3F9787">
      <w:pPr>
        <w:pStyle w:val="28"/>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四、与质疑事项相关的质疑请求：</w:t>
      </w:r>
    </w:p>
    <w:p w14:paraId="3F938D84">
      <w:pPr>
        <w:pStyle w:val="28"/>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请求：</w:t>
      </w:r>
      <w:r>
        <w:rPr>
          <w:rFonts w:hint="eastAsia" w:hAnsi="宋体"/>
          <w:bCs/>
          <w:color w:val="auto"/>
          <w:highlight w:val="none"/>
          <w:u w:val="single"/>
        </w:rPr>
        <w:t xml:space="preserve">                                                                </w:t>
      </w:r>
    </w:p>
    <w:p w14:paraId="3411857B">
      <w:pPr>
        <w:pStyle w:val="28"/>
        <w:spacing w:line="360" w:lineRule="exact"/>
        <w:ind w:left="25" w:leftChars="12" w:firstLine="308" w:firstLineChars="147"/>
        <w:rPr>
          <w:rFonts w:hint="eastAsia" w:hAnsi="宋体"/>
          <w:color w:val="auto"/>
          <w:szCs w:val="21"/>
          <w:highlight w:val="none"/>
        </w:rPr>
      </w:pPr>
    </w:p>
    <w:p w14:paraId="4CC4FB87">
      <w:pPr>
        <w:pStyle w:val="28"/>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签字（签章）：                                       公章：</w:t>
      </w:r>
    </w:p>
    <w:p w14:paraId="1E2263D3">
      <w:pPr>
        <w:pStyle w:val="28"/>
        <w:spacing w:line="360" w:lineRule="exact"/>
        <w:ind w:left="25" w:leftChars="12" w:firstLine="308" w:firstLineChars="147"/>
        <w:rPr>
          <w:rFonts w:hint="eastAsia" w:hAnsi="宋体"/>
          <w:color w:val="auto"/>
          <w:szCs w:val="21"/>
          <w:highlight w:val="none"/>
        </w:rPr>
      </w:pPr>
    </w:p>
    <w:p w14:paraId="24E0E2DE">
      <w:pPr>
        <w:pStyle w:val="28"/>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日期：</w:t>
      </w:r>
    </w:p>
    <w:p w14:paraId="0235E2BE">
      <w:pPr>
        <w:pStyle w:val="28"/>
        <w:snapToGrid w:val="0"/>
        <w:spacing w:line="340" w:lineRule="exact"/>
        <w:rPr>
          <w:rFonts w:hint="eastAsia" w:hAnsi="宋体"/>
          <w:b/>
          <w:color w:val="auto"/>
          <w:szCs w:val="21"/>
          <w:highlight w:val="none"/>
        </w:rPr>
      </w:pPr>
    </w:p>
    <w:p w14:paraId="0A50AD17">
      <w:pPr>
        <w:pStyle w:val="28"/>
        <w:snapToGrid w:val="0"/>
        <w:spacing w:line="340" w:lineRule="exact"/>
        <w:rPr>
          <w:rFonts w:hint="eastAsia" w:hAnsi="宋体"/>
          <w:b/>
          <w:color w:val="auto"/>
          <w:szCs w:val="21"/>
          <w:highlight w:val="none"/>
        </w:rPr>
      </w:pPr>
      <w:r>
        <w:rPr>
          <w:rFonts w:hint="eastAsia" w:hAnsi="宋体"/>
          <w:b/>
          <w:color w:val="auto"/>
          <w:szCs w:val="21"/>
          <w:highlight w:val="none"/>
        </w:rPr>
        <w:t>说明：</w:t>
      </w:r>
    </w:p>
    <w:p w14:paraId="72B4A25B">
      <w:pPr>
        <w:pStyle w:val="28"/>
        <w:spacing w:line="340" w:lineRule="exact"/>
        <w:ind w:left="25" w:leftChars="12" w:firstLine="310" w:firstLineChars="147"/>
        <w:rPr>
          <w:rFonts w:hint="eastAsia" w:hAnsi="宋体"/>
          <w:b/>
          <w:bCs/>
          <w:color w:val="auto"/>
          <w:highlight w:val="none"/>
        </w:rPr>
      </w:pPr>
      <w:r>
        <w:rPr>
          <w:rFonts w:hint="eastAsia" w:hAnsi="宋体"/>
          <w:b/>
          <w:color w:val="auto"/>
          <w:szCs w:val="21"/>
          <w:highlight w:val="none"/>
        </w:rPr>
        <w:t>1.供应商提出质疑时，应提交质疑函和必要的证明材料</w:t>
      </w:r>
      <w:r>
        <w:rPr>
          <w:rFonts w:hint="eastAsia" w:hAnsi="宋体"/>
          <w:b/>
          <w:bCs/>
          <w:color w:val="auto"/>
          <w:highlight w:val="none"/>
        </w:rPr>
        <w:t>。</w:t>
      </w:r>
    </w:p>
    <w:p w14:paraId="62D27C83">
      <w:pPr>
        <w:pStyle w:val="28"/>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4A9F345">
      <w:pPr>
        <w:pStyle w:val="28"/>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3.质疑供应商若对项目的某一分包进行质疑，质疑函中应列明具体分包号。</w:t>
      </w:r>
    </w:p>
    <w:p w14:paraId="0979A46E">
      <w:pPr>
        <w:pStyle w:val="28"/>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4.质疑函的质疑事项应具体、明确，并有必要的事实依据和法律依据。</w:t>
      </w:r>
    </w:p>
    <w:p w14:paraId="3D7E811B">
      <w:pPr>
        <w:pStyle w:val="28"/>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5.质疑函的质疑请求应与质疑事项相关。</w:t>
      </w:r>
    </w:p>
    <w:p w14:paraId="66147A78">
      <w:pPr>
        <w:pStyle w:val="28"/>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071D1D45">
      <w:pPr>
        <w:pStyle w:val="28"/>
        <w:snapToGrid w:val="0"/>
        <w:rPr>
          <w:rFonts w:hint="eastAsia"/>
          <w:b/>
          <w:color w:val="auto"/>
          <w:sz w:val="24"/>
          <w:szCs w:val="24"/>
          <w:highlight w:val="none"/>
        </w:rPr>
      </w:pPr>
    </w:p>
    <w:p w14:paraId="71363946">
      <w:pPr>
        <w:pStyle w:val="28"/>
        <w:snapToGrid w:val="0"/>
        <w:rPr>
          <w:rFonts w:hint="eastAsia"/>
          <w:b/>
          <w:color w:val="auto"/>
          <w:sz w:val="24"/>
          <w:szCs w:val="24"/>
          <w:highlight w:val="none"/>
        </w:rPr>
      </w:pPr>
    </w:p>
    <w:p w14:paraId="17575BA5">
      <w:pPr>
        <w:pStyle w:val="28"/>
        <w:snapToGrid w:val="0"/>
        <w:rPr>
          <w:rFonts w:hint="eastAsia" w:hAnsi="宋体"/>
          <w:b/>
          <w:color w:val="auto"/>
          <w:sz w:val="24"/>
          <w:szCs w:val="24"/>
          <w:highlight w:val="none"/>
        </w:rPr>
      </w:pPr>
      <w:r>
        <w:rPr>
          <w:rFonts w:hint="eastAsia"/>
          <w:b/>
          <w:color w:val="auto"/>
          <w:sz w:val="24"/>
          <w:szCs w:val="24"/>
          <w:highlight w:val="none"/>
        </w:rPr>
        <w:t>附表2：</w:t>
      </w:r>
    </w:p>
    <w:p w14:paraId="09126349">
      <w:pPr>
        <w:spacing w:line="46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投诉书（格式）</w:t>
      </w:r>
    </w:p>
    <w:p w14:paraId="61CE48D1">
      <w:pPr>
        <w:pStyle w:val="28"/>
        <w:snapToGrid w:val="0"/>
        <w:spacing w:line="400" w:lineRule="exact"/>
        <w:ind w:firstLine="422" w:firstLineChars="200"/>
        <w:rPr>
          <w:rFonts w:hAnsi="宋体"/>
          <w:b/>
          <w:bCs/>
          <w:color w:val="auto"/>
          <w:highlight w:val="none"/>
        </w:rPr>
      </w:pPr>
      <w:r>
        <w:rPr>
          <w:rFonts w:hint="eastAsia" w:hAnsi="宋体"/>
          <w:b/>
          <w:bCs/>
          <w:color w:val="auto"/>
          <w:highlight w:val="none"/>
        </w:rPr>
        <w:t>一、投诉相关主体基本情况：</w:t>
      </w:r>
    </w:p>
    <w:p w14:paraId="52BA3B27">
      <w:pPr>
        <w:pStyle w:val="28"/>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投标人：</w:t>
      </w:r>
      <w:r>
        <w:rPr>
          <w:rFonts w:hint="eastAsia" w:hAnsi="宋体"/>
          <w:bCs/>
          <w:color w:val="auto"/>
          <w:highlight w:val="none"/>
          <w:u w:val="single"/>
        </w:rPr>
        <w:t xml:space="preserve">                                                                          </w:t>
      </w:r>
    </w:p>
    <w:p w14:paraId="3E31F718">
      <w:pPr>
        <w:pStyle w:val="28"/>
        <w:snapToGrid w:val="0"/>
        <w:spacing w:line="400" w:lineRule="exact"/>
        <w:ind w:firstLine="42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49D56D4A">
      <w:pPr>
        <w:pStyle w:val="28"/>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法定代表人/主要负责人：</w:t>
      </w:r>
      <w:r>
        <w:rPr>
          <w:rFonts w:hint="eastAsia" w:hAnsi="宋体"/>
          <w:bCs/>
          <w:color w:val="auto"/>
          <w:highlight w:val="none"/>
          <w:u w:val="single"/>
        </w:rPr>
        <w:t xml:space="preserve">                                                           </w:t>
      </w:r>
    </w:p>
    <w:p w14:paraId="18DF98B4">
      <w:pPr>
        <w:pStyle w:val="28"/>
        <w:snapToGrid w:val="0"/>
        <w:spacing w:line="400" w:lineRule="exact"/>
        <w:ind w:firstLine="420" w:firstLineChars="200"/>
        <w:rPr>
          <w:rFonts w:hint="eastAsia" w:hAnsi="宋体"/>
          <w:bCs/>
          <w:color w:val="auto"/>
          <w:highlight w:val="none"/>
        </w:rPr>
      </w:pPr>
      <w:r>
        <w:rPr>
          <w:rFonts w:hAnsi="宋体"/>
          <w:bCs/>
          <w:color w:val="auto"/>
          <w:highlight w:val="none"/>
        </w:rPr>
        <w:t>联系电话</w:t>
      </w:r>
      <w:r>
        <w:rPr>
          <w:rFonts w:hint="eastAsia" w:hAnsi="宋体"/>
          <w:bCs/>
          <w:color w:val="auto"/>
          <w:highlight w:val="none"/>
        </w:rPr>
        <w:t>：</w:t>
      </w:r>
      <w:r>
        <w:rPr>
          <w:rFonts w:hint="eastAsia" w:hAnsi="宋体"/>
          <w:bCs/>
          <w:color w:val="auto"/>
          <w:highlight w:val="none"/>
          <w:u w:val="single"/>
        </w:rPr>
        <w:t xml:space="preserve">                                         </w:t>
      </w:r>
    </w:p>
    <w:p w14:paraId="775572CD">
      <w:pPr>
        <w:pStyle w:val="28"/>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授权代表：</w:t>
      </w:r>
      <w:r>
        <w:rPr>
          <w:rFonts w:hint="eastAsia" w:hAnsi="宋体"/>
          <w:bCs/>
          <w:color w:val="auto"/>
          <w:highlight w:val="none"/>
          <w:u w:val="single"/>
        </w:rPr>
        <w:t xml:space="preserve">                                         </w:t>
      </w: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6573FC34">
      <w:pPr>
        <w:pStyle w:val="28"/>
        <w:snapToGrid w:val="0"/>
        <w:spacing w:line="400" w:lineRule="exact"/>
        <w:ind w:firstLine="42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72AD96F3">
      <w:pPr>
        <w:pStyle w:val="28"/>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被投诉人1：</w:t>
      </w:r>
      <w:r>
        <w:rPr>
          <w:rFonts w:hint="eastAsia" w:hAnsi="宋体"/>
          <w:bCs/>
          <w:color w:val="auto"/>
          <w:highlight w:val="none"/>
          <w:u w:val="single"/>
        </w:rPr>
        <w:t xml:space="preserve">                                       </w:t>
      </w:r>
    </w:p>
    <w:p w14:paraId="321D8711">
      <w:pPr>
        <w:pStyle w:val="28"/>
        <w:snapToGrid w:val="0"/>
        <w:spacing w:line="400" w:lineRule="exact"/>
        <w:ind w:firstLine="420" w:firstLineChars="200"/>
        <w:rPr>
          <w:rFonts w:hint="eastAsia" w:hAnsi="宋体"/>
          <w:bCs/>
          <w:color w:val="auto"/>
          <w:highlight w:val="none"/>
        </w:rPr>
      </w:pPr>
      <w:r>
        <w:rPr>
          <w:rFonts w:hint="eastAsia" w:hAnsi="宋体"/>
          <w:bCs/>
          <w:color w:val="auto"/>
          <w:highlight w:val="none"/>
        </w:rPr>
        <w:t>地址：</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1BCE2882">
      <w:pPr>
        <w:pStyle w:val="28"/>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联系人：</w:t>
      </w:r>
      <w:r>
        <w:rPr>
          <w:rFonts w:hint="eastAsia" w:hAnsi="宋体"/>
          <w:bCs/>
          <w:color w:val="auto"/>
          <w:highlight w:val="none"/>
          <w:u w:val="single"/>
        </w:rPr>
        <w:t xml:space="preserve">                                                </w:t>
      </w: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2CCEF30F">
      <w:pPr>
        <w:pStyle w:val="28"/>
        <w:snapToGrid w:val="0"/>
        <w:spacing w:line="400" w:lineRule="exact"/>
        <w:ind w:firstLine="420" w:firstLineChars="200"/>
        <w:rPr>
          <w:rFonts w:hint="eastAsia" w:hAnsi="宋体"/>
          <w:bCs/>
          <w:color w:val="auto"/>
          <w:highlight w:val="none"/>
        </w:rPr>
      </w:pPr>
      <w:r>
        <w:rPr>
          <w:rFonts w:hint="eastAsia" w:hAnsi="宋体"/>
          <w:bCs/>
          <w:color w:val="auto"/>
          <w:highlight w:val="none"/>
        </w:rPr>
        <w:t>被投诉人2：</w:t>
      </w:r>
    </w:p>
    <w:p w14:paraId="5BDD10BB">
      <w:pPr>
        <w:pStyle w:val="28"/>
        <w:snapToGrid w:val="0"/>
        <w:spacing w:line="400" w:lineRule="exact"/>
        <w:ind w:firstLine="420" w:firstLineChars="200"/>
        <w:rPr>
          <w:rFonts w:hint="eastAsia" w:hAnsi="宋体"/>
          <w:bCs/>
          <w:color w:val="auto"/>
          <w:highlight w:val="none"/>
        </w:rPr>
      </w:pPr>
      <w:r>
        <w:rPr>
          <w:rFonts w:hAnsi="宋体"/>
          <w:bCs/>
          <w:color w:val="auto"/>
          <w:highlight w:val="none"/>
        </w:rPr>
        <w:t>……</w:t>
      </w:r>
    </w:p>
    <w:p w14:paraId="4DBA35BE">
      <w:pPr>
        <w:pStyle w:val="28"/>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相关供应商：</w:t>
      </w:r>
      <w:r>
        <w:rPr>
          <w:rFonts w:hint="eastAsia" w:hAnsi="宋体"/>
          <w:bCs/>
          <w:color w:val="auto"/>
          <w:highlight w:val="none"/>
          <w:u w:val="single"/>
        </w:rPr>
        <w:t xml:space="preserve">                                                                      </w:t>
      </w:r>
    </w:p>
    <w:p w14:paraId="51737E6C">
      <w:pPr>
        <w:pStyle w:val="28"/>
        <w:snapToGrid w:val="0"/>
        <w:spacing w:line="400" w:lineRule="exact"/>
        <w:ind w:firstLine="420" w:firstLineChars="200"/>
        <w:rPr>
          <w:rFonts w:hint="eastAsia" w:hAnsi="宋体"/>
          <w:bCs/>
          <w:color w:val="auto"/>
          <w:highlight w:val="none"/>
          <w:u w:val="singl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0B28D29E">
      <w:pPr>
        <w:pStyle w:val="28"/>
        <w:snapToGrid w:val="0"/>
        <w:spacing w:line="400" w:lineRule="exact"/>
        <w:ind w:firstLine="420" w:firstLineChars="200"/>
        <w:rPr>
          <w:rFonts w:hint="eastAsia" w:hAnsi="宋体"/>
          <w:bCs/>
          <w:color w:val="auto"/>
          <w:highlight w:val="none"/>
        </w:rPr>
      </w:pPr>
      <w:r>
        <w:rPr>
          <w:rFonts w:hint="eastAsia" w:hAnsi="宋体"/>
          <w:bCs/>
          <w:color w:val="auto"/>
          <w:highlight w:val="none"/>
        </w:rPr>
        <w:t>联系人：</w:t>
      </w:r>
      <w:r>
        <w:rPr>
          <w:rFonts w:hint="eastAsia" w:hAnsi="宋体"/>
          <w:bCs/>
          <w:color w:val="auto"/>
          <w:highlight w:val="none"/>
          <w:u w:val="single"/>
        </w:rPr>
        <w:t xml:space="preserve">                                            </w:t>
      </w: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2DC22410">
      <w:pPr>
        <w:pStyle w:val="28"/>
        <w:snapToGrid w:val="0"/>
        <w:spacing w:line="400" w:lineRule="exact"/>
        <w:ind w:firstLine="422" w:firstLineChars="200"/>
        <w:rPr>
          <w:rFonts w:hint="eastAsia" w:hAnsi="宋体"/>
          <w:b/>
          <w:bCs/>
          <w:color w:val="auto"/>
          <w:highlight w:val="none"/>
        </w:rPr>
      </w:pPr>
      <w:r>
        <w:rPr>
          <w:rFonts w:hint="eastAsia" w:hAnsi="宋体"/>
          <w:b/>
          <w:bCs/>
          <w:color w:val="auto"/>
          <w:highlight w:val="none"/>
        </w:rPr>
        <w:t>二、投诉项目基本情况：</w:t>
      </w:r>
    </w:p>
    <w:p w14:paraId="0F914A8C">
      <w:pPr>
        <w:pStyle w:val="28"/>
        <w:spacing w:line="400" w:lineRule="exact"/>
        <w:ind w:left="25" w:leftChars="12" w:firstLine="413" w:firstLineChars="197"/>
        <w:rPr>
          <w:rFonts w:hint="eastAsia" w:hAnsi="宋体"/>
          <w:color w:val="auto"/>
          <w:szCs w:val="21"/>
          <w:highlight w:val="none"/>
        </w:rPr>
      </w:pPr>
      <w:r>
        <w:rPr>
          <w:rFonts w:hint="eastAsia" w:hAnsi="宋体"/>
          <w:bCs/>
          <w:color w:val="auto"/>
          <w:highlight w:val="none"/>
        </w:rPr>
        <w:t>采购</w:t>
      </w:r>
      <w:r>
        <w:rPr>
          <w:rFonts w:hint="eastAsia" w:hAnsi="宋体"/>
          <w:color w:val="auto"/>
          <w:szCs w:val="21"/>
          <w:highlight w:val="none"/>
        </w:rPr>
        <w:t>项目的名称：</w:t>
      </w:r>
      <w:r>
        <w:rPr>
          <w:rFonts w:hint="eastAsia" w:hAnsi="宋体"/>
          <w:bCs/>
          <w:color w:val="auto"/>
          <w:highlight w:val="none"/>
          <w:u w:val="single"/>
        </w:rPr>
        <w:t xml:space="preserve">                                                                  </w:t>
      </w:r>
    </w:p>
    <w:p w14:paraId="2726F2AD">
      <w:pPr>
        <w:pStyle w:val="28"/>
        <w:spacing w:line="400" w:lineRule="exact"/>
        <w:ind w:left="25" w:leftChars="12" w:firstLine="413" w:firstLineChars="197"/>
        <w:rPr>
          <w:rFonts w:hint="eastAsia" w:hAnsi="宋体"/>
          <w:color w:val="auto"/>
          <w:szCs w:val="21"/>
          <w:highlight w:val="none"/>
        </w:rPr>
      </w:pPr>
      <w:r>
        <w:rPr>
          <w:rFonts w:hint="eastAsia" w:hAnsi="宋体"/>
          <w:bCs/>
          <w:color w:val="auto"/>
          <w:highlight w:val="none"/>
        </w:rPr>
        <w:t>采购</w:t>
      </w:r>
      <w:r>
        <w:rPr>
          <w:rFonts w:hint="eastAsia" w:hAnsi="宋体"/>
          <w:color w:val="auto"/>
          <w:szCs w:val="21"/>
          <w:highlight w:val="none"/>
        </w:rPr>
        <w:t>项目的编号：</w:t>
      </w:r>
      <w:r>
        <w:rPr>
          <w:rFonts w:hint="eastAsia" w:hAnsi="宋体"/>
          <w:bCs/>
          <w:color w:val="auto"/>
          <w:highlight w:val="none"/>
          <w:u w:val="single"/>
        </w:rPr>
        <w:t xml:space="preserve">                                    </w:t>
      </w:r>
      <w:r>
        <w:rPr>
          <w:rFonts w:hint="eastAsia" w:hAnsi="宋体"/>
          <w:bCs/>
          <w:color w:val="auto"/>
          <w:highlight w:val="none"/>
        </w:rPr>
        <w:t>包号：</w:t>
      </w:r>
      <w:r>
        <w:rPr>
          <w:rFonts w:hint="eastAsia" w:hAnsi="宋体"/>
          <w:bCs/>
          <w:color w:val="auto"/>
          <w:highlight w:val="none"/>
          <w:u w:val="single"/>
        </w:rPr>
        <w:t xml:space="preserve">                        </w:t>
      </w:r>
    </w:p>
    <w:p w14:paraId="7B8CD570">
      <w:pPr>
        <w:pStyle w:val="28"/>
        <w:spacing w:line="400" w:lineRule="exact"/>
        <w:ind w:left="25" w:leftChars="12" w:firstLine="413" w:firstLineChars="197"/>
        <w:rPr>
          <w:rFonts w:hint="eastAsia" w:hAnsi="宋体"/>
          <w:bCs/>
          <w:color w:val="auto"/>
          <w:highlight w:val="none"/>
          <w:u w:val="single"/>
        </w:rPr>
      </w:pPr>
      <w:r>
        <w:rPr>
          <w:rFonts w:hint="eastAsia" w:hAnsi="宋体"/>
          <w:color w:val="auto"/>
          <w:szCs w:val="21"/>
          <w:highlight w:val="none"/>
        </w:rPr>
        <w:t>采购人名称：</w:t>
      </w:r>
      <w:r>
        <w:rPr>
          <w:rFonts w:hint="eastAsia" w:hAnsi="宋体"/>
          <w:bCs/>
          <w:color w:val="auto"/>
          <w:highlight w:val="none"/>
          <w:u w:val="single"/>
        </w:rPr>
        <w:t xml:space="preserve">                                                                      </w:t>
      </w:r>
    </w:p>
    <w:p w14:paraId="37690260">
      <w:pPr>
        <w:pStyle w:val="28"/>
        <w:spacing w:line="400" w:lineRule="exact"/>
        <w:ind w:left="25" w:leftChars="12" w:firstLine="413" w:firstLineChars="197"/>
        <w:rPr>
          <w:rFonts w:hint="eastAsia" w:hAnsi="宋体"/>
          <w:bCs/>
          <w:color w:val="auto"/>
          <w:highlight w:val="none"/>
          <w:u w:val="single"/>
        </w:rPr>
      </w:pPr>
      <w:r>
        <w:rPr>
          <w:rFonts w:hint="eastAsia" w:hAnsi="宋体"/>
          <w:color w:val="auto"/>
          <w:szCs w:val="21"/>
          <w:highlight w:val="none"/>
        </w:rPr>
        <w:t>代理机构名称：</w:t>
      </w:r>
      <w:r>
        <w:rPr>
          <w:rFonts w:hint="eastAsia" w:hAnsi="宋体"/>
          <w:bCs/>
          <w:color w:val="auto"/>
          <w:highlight w:val="none"/>
          <w:u w:val="single"/>
        </w:rPr>
        <w:t xml:space="preserve">                                                                    </w:t>
      </w:r>
    </w:p>
    <w:p w14:paraId="3A51B5E4">
      <w:pPr>
        <w:pStyle w:val="28"/>
        <w:spacing w:line="400" w:lineRule="exact"/>
        <w:ind w:left="25" w:leftChars="12" w:firstLine="413" w:firstLineChars="197"/>
        <w:rPr>
          <w:rFonts w:hint="eastAsia" w:hAnsi="宋体"/>
          <w:bCs/>
          <w:color w:val="auto"/>
          <w:highlight w:val="none"/>
          <w:u w:val="single"/>
        </w:rPr>
      </w:pPr>
      <w:r>
        <w:rPr>
          <w:rFonts w:hint="eastAsia" w:hAnsi="宋体"/>
          <w:bCs/>
          <w:color w:val="auto"/>
          <w:highlight w:val="none"/>
        </w:rPr>
        <w:t>采购文件公告：</w:t>
      </w:r>
      <w:r>
        <w:rPr>
          <w:rFonts w:hint="eastAsia" w:hAnsi="宋体"/>
          <w:bCs/>
          <w:color w:val="auto"/>
          <w:highlight w:val="none"/>
          <w:u w:val="single"/>
        </w:rPr>
        <w:t>是/否</w:t>
      </w:r>
      <w:r>
        <w:rPr>
          <w:rFonts w:hint="eastAsia" w:hAnsi="宋体"/>
          <w:bCs/>
          <w:color w:val="auto"/>
          <w:highlight w:val="none"/>
        </w:rPr>
        <w:t>公告期限：</w:t>
      </w:r>
      <w:r>
        <w:rPr>
          <w:rFonts w:hint="eastAsia" w:hAnsi="宋体"/>
          <w:bCs/>
          <w:color w:val="auto"/>
          <w:highlight w:val="none"/>
          <w:u w:val="single"/>
        </w:rPr>
        <w:t xml:space="preserve">                                                     </w:t>
      </w:r>
    </w:p>
    <w:p w14:paraId="08D63253">
      <w:pPr>
        <w:pStyle w:val="28"/>
        <w:spacing w:line="400" w:lineRule="exact"/>
        <w:ind w:left="25" w:leftChars="12" w:firstLine="413" w:firstLineChars="197"/>
        <w:rPr>
          <w:rFonts w:hint="eastAsia" w:hAnsi="宋体"/>
          <w:b/>
          <w:color w:val="auto"/>
          <w:szCs w:val="21"/>
          <w:highlight w:val="none"/>
        </w:rPr>
      </w:pPr>
      <w:r>
        <w:rPr>
          <w:rFonts w:hint="eastAsia" w:hAnsi="宋体"/>
          <w:bCs/>
          <w:color w:val="auto"/>
          <w:highlight w:val="none"/>
        </w:rPr>
        <w:t>采购结果公告：</w:t>
      </w:r>
      <w:r>
        <w:rPr>
          <w:rFonts w:hint="eastAsia" w:hAnsi="宋体"/>
          <w:bCs/>
          <w:color w:val="auto"/>
          <w:highlight w:val="none"/>
          <w:u w:val="single"/>
        </w:rPr>
        <w:t>是/否</w:t>
      </w:r>
      <w:r>
        <w:rPr>
          <w:rFonts w:hint="eastAsia" w:hAnsi="宋体"/>
          <w:bCs/>
          <w:color w:val="auto"/>
          <w:highlight w:val="none"/>
        </w:rPr>
        <w:t>公告期限：</w:t>
      </w:r>
      <w:r>
        <w:rPr>
          <w:rFonts w:hint="eastAsia" w:hAnsi="宋体"/>
          <w:bCs/>
          <w:color w:val="auto"/>
          <w:highlight w:val="none"/>
          <w:u w:val="single"/>
        </w:rPr>
        <w:t xml:space="preserve">                                                     </w:t>
      </w:r>
    </w:p>
    <w:p w14:paraId="0E41634B">
      <w:pPr>
        <w:pStyle w:val="28"/>
        <w:spacing w:line="400" w:lineRule="exact"/>
        <w:ind w:left="25" w:leftChars="12" w:firstLine="413" w:firstLineChars="196"/>
        <w:rPr>
          <w:rFonts w:hint="eastAsia" w:hAnsi="宋体"/>
          <w:b/>
          <w:color w:val="auto"/>
          <w:szCs w:val="21"/>
          <w:highlight w:val="none"/>
        </w:rPr>
      </w:pPr>
      <w:r>
        <w:rPr>
          <w:rFonts w:hint="eastAsia" w:hAnsi="宋体"/>
          <w:b/>
          <w:color w:val="auto"/>
          <w:szCs w:val="21"/>
          <w:highlight w:val="none"/>
        </w:rPr>
        <w:t>三、质疑基本情况</w:t>
      </w:r>
    </w:p>
    <w:p w14:paraId="17CF8720">
      <w:pPr>
        <w:pStyle w:val="28"/>
        <w:spacing w:line="400" w:lineRule="exact"/>
        <w:ind w:left="25" w:leftChars="12" w:firstLine="833" w:firstLineChars="397"/>
        <w:rPr>
          <w:rFonts w:hint="eastAsia" w:hAnsi="宋体"/>
          <w:color w:val="auto"/>
          <w:szCs w:val="21"/>
          <w:highlight w:val="none"/>
        </w:rPr>
      </w:pPr>
      <w:r>
        <w:rPr>
          <w:rFonts w:hint="eastAsia" w:hAnsi="宋体"/>
          <w:color w:val="auto"/>
          <w:szCs w:val="21"/>
          <w:highlight w:val="none"/>
        </w:rPr>
        <w:t>投诉人于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日，向</w:t>
      </w:r>
      <w:r>
        <w:rPr>
          <w:rFonts w:hint="eastAsia" w:hAnsi="宋体"/>
          <w:color w:val="auto"/>
          <w:szCs w:val="21"/>
          <w:highlight w:val="none"/>
          <w:u w:val="single"/>
        </w:rPr>
        <w:t xml:space="preserve">                                </w:t>
      </w:r>
      <w:r>
        <w:rPr>
          <w:rFonts w:hint="eastAsia" w:hAnsi="宋体"/>
          <w:color w:val="auto"/>
          <w:szCs w:val="21"/>
          <w:highlight w:val="none"/>
        </w:rPr>
        <w:t>提出质疑，质疑事项为：</w:t>
      </w:r>
    </w:p>
    <w:p w14:paraId="1C5B1A9D">
      <w:pPr>
        <w:pStyle w:val="28"/>
        <w:spacing w:line="400" w:lineRule="exact"/>
        <w:rPr>
          <w:rFonts w:hint="eastAsia" w:hAnsi="宋体"/>
          <w:bCs/>
          <w:color w:val="auto"/>
          <w:highlight w:val="none"/>
          <w:u w:val="single"/>
        </w:rPr>
      </w:pPr>
      <w:r>
        <w:rPr>
          <w:rFonts w:hint="eastAsia" w:hAnsi="宋体"/>
          <w:color w:val="auto"/>
          <w:szCs w:val="21"/>
          <w:highlight w:val="none"/>
        </w:rPr>
        <w:t xml:space="preserve">    </w:t>
      </w:r>
      <w:r>
        <w:rPr>
          <w:rFonts w:hint="eastAsia" w:hAnsi="宋体"/>
          <w:bCs/>
          <w:color w:val="auto"/>
          <w:highlight w:val="none"/>
          <w:u w:val="single"/>
        </w:rPr>
        <w:t xml:space="preserve">                                                                                  </w:t>
      </w:r>
    </w:p>
    <w:p w14:paraId="2E70FAC6">
      <w:pPr>
        <w:pStyle w:val="28"/>
        <w:spacing w:line="400" w:lineRule="exact"/>
        <w:rPr>
          <w:rFonts w:hint="eastAsia" w:hAnsi="宋体"/>
          <w:bCs/>
          <w:color w:val="auto"/>
          <w:highlight w:val="none"/>
          <w:u w:val="single"/>
        </w:rPr>
      </w:pPr>
      <w:r>
        <w:rPr>
          <w:rFonts w:hint="eastAsia" w:hAnsi="宋体"/>
          <w:bCs/>
          <w:color w:val="auto"/>
          <w:highlight w:val="none"/>
        </w:rPr>
        <w:t xml:space="preserve">    </w:t>
      </w:r>
      <w:r>
        <w:rPr>
          <w:rFonts w:hint="eastAsia" w:hAnsi="宋体"/>
          <w:bCs/>
          <w:color w:val="auto"/>
          <w:highlight w:val="none"/>
          <w:u w:val="single"/>
        </w:rPr>
        <w:t xml:space="preserve">                                                                                  </w:t>
      </w:r>
    </w:p>
    <w:p w14:paraId="6C3AC6D5">
      <w:pPr>
        <w:pStyle w:val="28"/>
        <w:spacing w:line="400" w:lineRule="exact"/>
        <w:rPr>
          <w:rFonts w:hint="eastAsia" w:hAnsi="宋体"/>
          <w:color w:val="auto"/>
          <w:szCs w:val="21"/>
          <w:highlight w:val="none"/>
        </w:rPr>
      </w:pPr>
      <w:r>
        <w:rPr>
          <w:rFonts w:hint="eastAsia" w:hAnsi="宋体"/>
          <w:bCs/>
          <w:color w:val="auto"/>
          <w:highlight w:val="none"/>
        </w:rPr>
        <w:t xml:space="preserve">        </w:t>
      </w:r>
      <w:r>
        <w:rPr>
          <w:rFonts w:hint="eastAsia" w:hAnsi="宋体"/>
          <w:bCs/>
          <w:color w:val="auto"/>
          <w:highlight w:val="none"/>
          <w:u w:val="single"/>
        </w:rPr>
        <w:t>采购人/代理机构</w:t>
      </w:r>
      <w:r>
        <w:rPr>
          <w:rFonts w:hint="eastAsia" w:hAnsi="宋体"/>
          <w:bCs/>
          <w:color w:val="auto"/>
          <w:highlight w:val="none"/>
        </w:rPr>
        <w:t>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w:t>
      </w:r>
      <w:r>
        <w:rPr>
          <w:rFonts w:hint="eastAsia" w:hAnsi="宋体"/>
          <w:bCs/>
          <w:color w:val="auto"/>
          <w:highlight w:val="none"/>
        </w:rPr>
        <w:t xml:space="preserve">就质疑事项作出了答复/没有在法定期限内作出答复。                                                                                             </w:t>
      </w:r>
    </w:p>
    <w:p w14:paraId="4AFB2E0C">
      <w:pPr>
        <w:pStyle w:val="28"/>
        <w:spacing w:line="400" w:lineRule="exact"/>
        <w:ind w:left="25" w:leftChars="12" w:firstLine="413" w:firstLineChars="196"/>
        <w:rPr>
          <w:rFonts w:hint="eastAsia" w:hAnsi="宋体"/>
          <w:b/>
          <w:color w:val="auto"/>
          <w:szCs w:val="21"/>
          <w:highlight w:val="none"/>
        </w:rPr>
      </w:pPr>
      <w:r>
        <w:rPr>
          <w:rFonts w:hint="eastAsia" w:hAnsi="宋体"/>
          <w:b/>
          <w:color w:val="auto"/>
          <w:szCs w:val="21"/>
          <w:highlight w:val="none"/>
        </w:rPr>
        <w:t>四、投诉事项具体内容</w:t>
      </w:r>
    </w:p>
    <w:p w14:paraId="218DFA5B">
      <w:pPr>
        <w:pStyle w:val="28"/>
        <w:spacing w:line="400" w:lineRule="exact"/>
        <w:ind w:left="25" w:leftChars="12" w:firstLine="413" w:firstLineChars="197"/>
        <w:rPr>
          <w:rFonts w:hint="eastAsia" w:hAnsi="宋体"/>
          <w:bCs/>
          <w:color w:val="auto"/>
          <w:highlight w:val="none"/>
          <w:u w:val="single"/>
        </w:rPr>
      </w:pPr>
      <w:r>
        <w:rPr>
          <w:rFonts w:hint="eastAsia" w:hAnsi="宋体"/>
          <w:color w:val="auto"/>
          <w:szCs w:val="21"/>
          <w:highlight w:val="none"/>
        </w:rPr>
        <w:t>投诉事项1：</w:t>
      </w:r>
      <w:r>
        <w:rPr>
          <w:rFonts w:hint="eastAsia" w:hAnsi="宋体"/>
          <w:bCs/>
          <w:color w:val="auto"/>
          <w:highlight w:val="none"/>
          <w:u w:val="single"/>
        </w:rPr>
        <w:t xml:space="preserve">                                                                      </w:t>
      </w:r>
    </w:p>
    <w:p w14:paraId="075D3C01">
      <w:pPr>
        <w:pStyle w:val="28"/>
        <w:spacing w:line="400" w:lineRule="exact"/>
        <w:ind w:firstLine="420" w:firstLineChars="200"/>
        <w:rPr>
          <w:rFonts w:hint="eastAsia" w:hAnsi="宋体"/>
          <w:bCs/>
          <w:color w:val="auto"/>
          <w:highlight w:val="none"/>
          <w:u w:val="single"/>
        </w:rPr>
      </w:pPr>
      <w:r>
        <w:rPr>
          <w:rFonts w:hint="eastAsia" w:hAnsi="宋体"/>
          <w:bCs/>
          <w:color w:val="auto"/>
          <w:highlight w:val="none"/>
        </w:rPr>
        <w:t>事实依据：</w:t>
      </w:r>
      <w:r>
        <w:rPr>
          <w:rFonts w:hint="eastAsia" w:hAnsi="宋体"/>
          <w:color w:val="auto"/>
          <w:szCs w:val="21"/>
          <w:highlight w:val="none"/>
        </w:rPr>
        <w:t xml:space="preserve"> </w:t>
      </w:r>
      <w:r>
        <w:rPr>
          <w:rFonts w:hint="eastAsia" w:hAnsi="宋体"/>
          <w:bCs/>
          <w:color w:val="auto"/>
          <w:highlight w:val="none"/>
          <w:u w:val="single"/>
        </w:rPr>
        <w:t xml:space="preserve">                                                                       </w:t>
      </w:r>
    </w:p>
    <w:p w14:paraId="09A89137">
      <w:pPr>
        <w:pStyle w:val="28"/>
        <w:spacing w:line="400" w:lineRule="exact"/>
        <w:ind w:left="25" w:leftChars="12" w:firstLine="413" w:firstLineChars="197"/>
        <w:rPr>
          <w:rFonts w:hint="eastAsia" w:hAnsi="宋体"/>
          <w:color w:val="auto"/>
          <w:szCs w:val="21"/>
          <w:highlight w:val="none"/>
        </w:rPr>
      </w:pPr>
      <w:r>
        <w:rPr>
          <w:rFonts w:hint="eastAsia" w:hAnsi="宋体"/>
          <w:bCs/>
          <w:color w:val="auto"/>
          <w:highlight w:val="none"/>
          <w:u w:val="single"/>
        </w:rPr>
        <w:t xml:space="preserve">                                                                                  </w:t>
      </w:r>
    </w:p>
    <w:p w14:paraId="3ABDE07A">
      <w:pPr>
        <w:pStyle w:val="28"/>
        <w:spacing w:line="400" w:lineRule="exact"/>
        <w:ind w:firstLine="420" w:firstLineChars="200"/>
        <w:rPr>
          <w:rFonts w:hint="eastAsia" w:hAnsi="宋体"/>
          <w:bCs/>
          <w:color w:val="auto"/>
          <w:highlight w:val="none"/>
          <w:u w:val="single"/>
        </w:rPr>
      </w:pPr>
      <w:r>
        <w:rPr>
          <w:rFonts w:hint="eastAsia" w:hAnsi="宋体"/>
          <w:bCs/>
          <w:color w:val="auto"/>
          <w:highlight w:val="none"/>
        </w:rPr>
        <w:t>法律依据：</w:t>
      </w:r>
      <w:r>
        <w:rPr>
          <w:rFonts w:hint="eastAsia" w:hAnsi="宋体"/>
          <w:color w:val="auto"/>
          <w:szCs w:val="21"/>
          <w:highlight w:val="none"/>
        </w:rPr>
        <w:t xml:space="preserve"> </w:t>
      </w:r>
      <w:r>
        <w:rPr>
          <w:rFonts w:hint="eastAsia" w:hAnsi="宋体"/>
          <w:bCs/>
          <w:color w:val="auto"/>
          <w:highlight w:val="none"/>
          <w:u w:val="single"/>
        </w:rPr>
        <w:t xml:space="preserve">                                                                       </w:t>
      </w:r>
    </w:p>
    <w:p w14:paraId="7EBBE897">
      <w:pPr>
        <w:pStyle w:val="28"/>
        <w:spacing w:line="400" w:lineRule="exact"/>
        <w:ind w:left="25" w:leftChars="12" w:firstLine="308" w:firstLineChars="147"/>
        <w:rPr>
          <w:rFonts w:hint="eastAsia" w:hAnsi="宋体"/>
          <w:bCs/>
          <w:color w:val="auto"/>
          <w:highlight w:val="none"/>
          <w:u w:val="single"/>
        </w:rPr>
      </w:pPr>
      <w:r>
        <w:rPr>
          <w:rFonts w:hint="eastAsia" w:hAnsi="宋体"/>
          <w:bCs/>
          <w:color w:val="auto"/>
          <w:highlight w:val="none"/>
        </w:rPr>
        <w:t xml:space="preserve"> </w:t>
      </w:r>
      <w:r>
        <w:rPr>
          <w:rFonts w:hint="eastAsia" w:hAnsi="宋体"/>
          <w:bCs/>
          <w:color w:val="auto"/>
          <w:highlight w:val="none"/>
          <w:u w:val="single"/>
        </w:rPr>
        <w:t xml:space="preserve">                                                                                  </w:t>
      </w:r>
    </w:p>
    <w:p w14:paraId="6D95FAA8">
      <w:pPr>
        <w:pStyle w:val="28"/>
        <w:spacing w:line="400" w:lineRule="exact"/>
        <w:ind w:left="25" w:leftChars="12" w:firstLine="413" w:firstLineChars="197"/>
        <w:rPr>
          <w:rFonts w:hint="eastAsia" w:hAnsi="宋体"/>
          <w:bCs/>
          <w:color w:val="auto"/>
          <w:highlight w:val="none"/>
        </w:rPr>
      </w:pPr>
      <w:r>
        <w:rPr>
          <w:rFonts w:hint="eastAsia" w:hAnsi="宋体"/>
          <w:color w:val="auto"/>
          <w:szCs w:val="21"/>
          <w:highlight w:val="none"/>
        </w:rPr>
        <w:t xml:space="preserve">投诉事项2 </w:t>
      </w:r>
    </w:p>
    <w:p w14:paraId="520F504C">
      <w:pPr>
        <w:pStyle w:val="28"/>
        <w:spacing w:line="400" w:lineRule="exact"/>
        <w:ind w:left="25" w:leftChars="12" w:firstLine="413" w:firstLineChars="197"/>
        <w:rPr>
          <w:rFonts w:hint="eastAsia" w:hAnsi="宋体"/>
          <w:bCs/>
          <w:color w:val="auto"/>
          <w:highlight w:val="none"/>
        </w:rPr>
      </w:pPr>
      <w:r>
        <w:rPr>
          <w:rFonts w:hAnsi="宋体"/>
          <w:bCs/>
          <w:color w:val="auto"/>
          <w:highlight w:val="none"/>
        </w:rPr>
        <w:t>……</w:t>
      </w:r>
    </w:p>
    <w:p w14:paraId="51F4851B">
      <w:pPr>
        <w:pStyle w:val="28"/>
        <w:spacing w:line="400" w:lineRule="exact"/>
        <w:ind w:left="25" w:leftChars="12" w:firstLine="413" w:firstLineChars="196"/>
        <w:rPr>
          <w:rFonts w:hint="eastAsia" w:hAnsi="宋体"/>
          <w:b/>
          <w:color w:val="auto"/>
          <w:szCs w:val="21"/>
          <w:highlight w:val="none"/>
        </w:rPr>
      </w:pPr>
      <w:r>
        <w:rPr>
          <w:rFonts w:hint="eastAsia" w:hAnsi="宋体"/>
          <w:b/>
          <w:color w:val="auto"/>
          <w:szCs w:val="21"/>
          <w:highlight w:val="none"/>
        </w:rPr>
        <w:t>五、与投诉事项相关的投诉请求：</w:t>
      </w:r>
    </w:p>
    <w:p w14:paraId="565C0A7C">
      <w:pPr>
        <w:pStyle w:val="28"/>
        <w:spacing w:line="400" w:lineRule="exact"/>
        <w:ind w:left="25" w:leftChars="12" w:firstLine="413" w:firstLineChars="197"/>
        <w:rPr>
          <w:rFonts w:hint="eastAsia" w:hAnsi="宋体"/>
          <w:color w:val="auto"/>
          <w:szCs w:val="21"/>
          <w:highlight w:val="none"/>
        </w:rPr>
      </w:pPr>
      <w:r>
        <w:rPr>
          <w:rFonts w:hint="eastAsia" w:hAnsi="宋体"/>
          <w:color w:val="auto"/>
          <w:szCs w:val="21"/>
          <w:highlight w:val="none"/>
        </w:rPr>
        <w:t>请求：</w:t>
      </w:r>
      <w:r>
        <w:rPr>
          <w:rFonts w:hint="eastAsia" w:hAnsi="宋体"/>
          <w:bCs/>
          <w:color w:val="auto"/>
          <w:highlight w:val="none"/>
          <w:u w:val="single"/>
        </w:rPr>
        <w:t xml:space="preserve">                                                                            </w:t>
      </w:r>
    </w:p>
    <w:p w14:paraId="7391A7A3">
      <w:pPr>
        <w:pStyle w:val="28"/>
        <w:spacing w:line="400" w:lineRule="exact"/>
        <w:ind w:left="25" w:leftChars="12" w:firstLine="308" w:firstLineChars="147"/>
        <w:rPr>
          <w:rFonts w:hint="eastAsia" w:hAnsi="宋体"/>
          <w:color w:val="auto"/>
          <w:szCs w:val="21"/>
          <w:highlight w:val="none"/>
        </w:rPr>
      </w:pPr>
    </w:p>
    <w:p w14:paraId="0C1F350D">
      <w:pPr>
        <w:pStyle w:val="28"/>
        <w:spacing w:line="400" w:lineRule="exact"/>
        <w:ind w:left="25" w:leftChars="12" w:firstLine="413" w:firstLineChars="197"/>
        <w:rPr>
          <w:rFonts w:hint="eastAsia" w:hAnsi="宋体"/>
          <w:color w:val="auto"/>
          <w:szCs w:val="21"/>
          <w:highlight w:val="none"/>
        </w:rPr>
      </w:pPr>
      <w:r>
        <w:rPr>
          <w:rFonts w:hint="eastAsia" w:hAnsi="宋体"/>
          <w:color w:val="auto"/>
          <w:szCs w:val="21"/>
          <w:highlight w:val="none"/>
        </w:rPr>
        <w:t>签字（签章）：                                       公章：</w:t>
      </w:r>
    </w:p>
    <w:p w14:paraId="202AB353">
      <w:pPr>
        <w:pStyle w:val="28"/>
        <w:spacing w:line="400" w:lineRule="exact"/>
        <w:ind w:left="25" w:leftChars="12" w:firstLine="308" w:firstLineChars="147"/>
        <w:rPr>
          <w:rFonts w:hint="eastAsia" w:hAnsi="宋体"/>
          <w:color w:val="auto"/>
          <w:szCs w:val="21"/>
          <w:highlight w:val="none"/>
        </w:rPr>
      </w:pPr>
    </w:p>
    <w:p w14:paraId="21272131">
      <w:pPr>
        <w:pStyle w:val="28"/>
        <w:spacing w:line="400" w:lineRule="exact"/>
        <w:ind w:left="25" w:leftChars="12" w:firstLine="413" w:firstLineChars="197"/>
        <w:rPr>
          <w:rFonts w:hint="eastAsia" w:hAnsi="宋体"/>
          <w:color w:val="auto"/>
          <w:szCs w:val="21"/>
          <w:highlight w:val="none"/>
        </w:rPr>
      </w:pPr>
      <w:r>
        <w:rPr>
          <w:rFonts w:hint="eastAsia" w:hAnsi="宋体"/>
          <w:color w:val="auto"/>
          <w:szCs w:val="21"/>
          <w:highlight w:val="none"/>
        </w:rPr>
        <w:t>日期：</w:t>
      </w:r>
    </w:p>
    <w:p w14:paraId="166001EA">
      <w:pPr>
        <w:pStyle w:val="28"/>
        <w:spacing w:line="360" w:lineRule="exact"/>
        <w:ind w:left="25" w:leftChars="12" w:firstLine="413" w:firstLineChars="197"/>
        <w:rPr>
          <w:rFonts w:hint="eastAsia" w:hAnsi="宋体"/>
          <w:color w:val="auto"/>
          <w:szCs w:val="21"/>
          <w:highlight w:val="none"/>
        </w:rPr>
      </w:pPr>
      <w:r>
        <w:rPr>
          <w:rFonts w:hint="eastAsia" w:hAnsi="宋体"/>
          <w:bCs/>
          <w:color w:val="auto"/>
          <w:highlight w:val="none"/>
        </w:rPr>
        <w:t xml:space="preserve">                                                                                 </w:t>
      </w:r>
    </w:p>
    <w:p w14:paraId="4B2E6818">
      <w:pPr>
        <w:pStyle w:val="28"/>
        <w:snapToGrid w:val="0"/>
        <w:spacing w:line="340" w:lineRule="exact"/>
        <w:rPr>
          <w:rFonts w:hint="eastAsia" w:hAnsi="宋体"/>
          <w:b/>
          <w:color w:val="auto"/>
          <w:szCs w:val="21"/>
          <w:highlight w:val="none"/>
        </w:rPr>
      </w:pPr>
      <w:r>
        <w:rPr>
          <w:rFonts w:hint="eastAsia" w:hAnsi="宋体"/>
          <w:b/>
          <w:color w:val="auto"/>
          <w:szCs w:val="21"/>
          <w:highlight w:val="none"/>
        </w:rPr>
        <w:t>说明：</w:t>
      </w:r>
    </w:p>
    <w:p w14:paraId="05027191">
      <w:pPr>
        <w:pStyle w:val="28"/>
        <w:spacing w:line="340" w:lineRule="exact"/>
        <w:ind w:left="25" w:leftChars="12" w:firstLine="310" w:firstLineChars="147"/>
        <w:rPr>
          <w:rFonts w:hint="eastAsia" w:hAnsi="宋体"/>
          <w:b/>
          <w:bCs/>
          <w:color w:val="auto"/>
          <w:highlight w:val="none"/>
        </w:rPr>
      </w:pPr>
      <w:r>
        <w:rPr>
          <w:rFonts w:hint="eastAsia" w:hAnsi="宋体"/>
          <w:b/>
          <w:color w:val="auto"/>
          <w:szCs w:val="21"/>
          <w:highlight w:val="none"/>
        </w:rPr>
        <w:t>1.投诉人提起投诉时，应当提交投诉书和必要的证明材料，并按照被投诉人和与投诉事项有关的供应商数量提供投诉书副本。</w:t>
      </w:r>
    </w:p>
    <w:p w14:paraId="40B7C5BF">
      <w:pPr>
        <w:pStyle w:val="28"/>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7AB4F0F4">
      <w:pPr>
        <w:pStyle w:val="28"/>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3.投诉人若对项目的某一分包进行投诉，投诉书应列明具体分包号。</w:t>
      </w:r>
    </w:p>
    <w:p w14:paraId="2F33BB7D">
      <w:pPr>
        <w:pStyle w:val="28"/>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4.投诉书应简要列明质疑事项，质疑函、质疑答复等作为附件材料提供。</w:t>
      </w:r>
    </w:p>
    <w:p w14:paraId="5CC34707">
      <w:pPr>
        <w:pStyle w:val="28"/>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5.投诉书的投诉事项应具体、明确，并有必要的事实依据和法律依据。</w:t>
      </w:r>
    </w:p>
    <w:p w14:paraId="2C66E148">
      <w:pPr>
        <w:pStyle w:val="28"/>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6.投诉书的投诉请求应与投诉事项相关。</w:t>
      </w:r>
    </w:p>
    <w:p w14:paraId="40E760A4">
      <w:pPr>
        <w:pStyle w:val="28"/>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7.投诉人为自然人的，投诉书应当由本人签字；投诉人为法人或者其他组织的，投诉书应当由法定代表人、主要负责人，或者其授权代表签字或者盖章，并加盖公章。</w:t>
      </w:r>
    </w:p>
    <w:p w14:paraId="5DE128F4">
      <w:pPr>
        <w:tabs>
          <w:tab w:val="center" w:pos="4410"/>
          <w:tab w:val="left" w:pos="6735"/>
        </w:tabs>
        <w:spacing w:line="480" w:lineRule="auto"/>
        <w:jc w:val="center"/>
        <w:rPr>
          <w:rFonts w:hint="eastAsia" w:ascii="宋体" w:hAnsi="宋体" w:cs="宋体"/>
          <w:b/>
          <w:color w:val="auto"/>
          <w:sz w:val="32"/>
          <w:szCs w:val="32"/>
          <w:highlight w:val="none"/>
        </w:rPr>
      </w:pPr>
    </w:p>
    <w:p w14:paraId="7C7FA4CC">
      <w:pPr>
        <w:tabs>
          <w:tab w:val="center" w:pos="4410"/>
          <w:tab w:val="left" w:pos="6735"/>
        </w:tabs>
        <w:spacing w:line="480" w:lineRule="auto"/>
        <w:jc w:val="center"/>
        <w:rPr>
          <w:rFonts w:hint="eastAsia" w:ascii="宋体" w:hAnsi="宋体" w:cs="宋体"/>
          <w:b/>
          <w:color w:val="auto"/>
          <w:sz w:val="32"/>
          <w:szCs w:val="32"/>
          <w:highlight w:val="none"/>
        </w:rPr>
      </w:pPr>
    </w:p>
    <w:p w14:paraId="22C8A751">
      <w:pPr>
        <w:tabs>
          <w:tab w:val="center" w:pos="4410"/>
          <w:tab w:val="left" w:pos="6735"/>
        </w:tabs>
        <w:spacing w:line="480" w:lineRule="auto"/>
        <w:jc w:val="center"/>
        <w:rPr>
          <w:rFonts w:hint="eastAsia" w:ascii="宋体" w:hAnsi="宋体" w:cs="宋体"/>
          <w:b/>
          <w:color w:val="auto"/>
          <w:sz w:val="32"/>
          <w:szCs w:val="32"/>
          <w:highlight w:val="none"/>
        </w:rPr>
      </w:pPr>
    </w:p>
    <w:p w14:paraId="17B73BA1">
      <w:pPr>
        <w:tabs>
          <w:tab w:val="center" w:pos="4410"/>
          <w:tab w:val="left" w:pos="6735"/>
        </w:tabs>
        <w:spacing w:line="480" w:lineRule="auto"/>
        <w:jc w:val="center"/>
        <w:rPr>
          <w:rFonts w:hint="eastAsia" w:ascii="宋体" w:hAnsi="宋体" w:cs="宋体"/>
          <w:b/>
          <w:color w:val="auto"/>
          <w:sz w:val="32"/>
          <w:szCs w:val="32"/>
          <w:highlight w:val="none"/>
        </w:rPr>
      </w:pPr>
    </w:p>
    <w:p w14:paraId="5818DDEB">
      <w:pPr>
        <w:tabs>
          <w:tab w:val="center" w:pos="4410"/>
          <w:tab w:val="left" w:pos="6735"/>
        </w:tabs>
        <w:spacing w:line="480" w:lineRule="auto"/>
        <w:jc w:val="center"/>
        <w:rPr>
          <w:rFonts w:hint="eastAsia" w:ascii="宋体" w:hAnsi="宋体" w:cs="宋体"/>
          <w:b/>
          <w:color w:val="auto"/>
          <w:sz w:val="32"/>
          <w:szCs w:val="32"/>
          <w:highlight w:val="none"/>
        </w:rPr>
      </w:pPr>
    </w:p>
    <w:p w14:paraId="202A2182">
      <w:pPr>
        <w:tabs>
          <w:tab w:val="center" w:pos="4410"/>
          <w:tab w:val="left" w:pos="6735"/>
        </w:tabs>
        <w:spacing w:line="480" w:lineRule="auto"/>
        <w:jc w:val="center"/>
        <w:rPr>
          <w:rFonts w:hint="eastAsia" w:ascii="宋体" w:hAnsi="宋体" w:cs="宋体"/>
          <w:b/>
          <w:color w:val="auto"/>
          <w:sz w:val="32"/>
          <w:szCs w:val="32"/>
          <w:highlight w:val="none"/>
        </w:rPr>
      </w:pPr>
    </w:p>
    <w:p w14:paraId="049C04C8">
      <w:pPr>
        <w:tabs>
          <w:tab w:val="center" w:pos="4410"/>
          <w:tab w:val="left" w:pos="6735"/>
        </w:tabs>
        <w:spacing w:line="480" w:lineRule="auto"/>
        <w:jc w:val="both"/>
        <w:rPr>
          <w:rFonts w:hint="eastAsia" w:ascii="宋体" w:hAnsi="宋体" w:cs="宋体"/>
          <w:b/>
          <w:color w:val="auto"/>
          <w:sz w:val="32"/>
          <w:szCs w:val="32"/>
          <w:highlight w:val="none"/>
        </w:rPr>
      </w:pPr>
    </w:p>
    <w:p w14:paraId="30B37327">
      <w:pPr>
        <w:tabs>
          <w:tab w:val="center" w:pos="4410"/>
          <w:tab w:val="left" w:pos="6735"/>
        </w:tabs>
        <w:spacing w:line="480" w:lineRule="auto"/>
        <w:jc w:val="both"/>
        <w:rPr>
          <w:rFonts w:hint="eastAsia" w:ascii="宋体" w:hAnsi="宋体" w:cs="宋体"/>
          <w:b/>
          <w:color w:val="auto"/>
          <w:sz w:val="32"/>
          <w:szCs w:val="32"/>
          <w:highlight w:val="none"/>
        </w:rPr>
      </w:pPr>
    </w:p>
    <w:p w14:paraId="46183E73">
      <w:pPr>
        <w:widowControl/>
        <w:spacing w:line="720" w:lineRule="exact"/>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p>
    <w:p w14:paraId="7D47B138">
      <w:pPr>
        <w:widowControl/>
        <w:spacing w:line="580" w:lineRule="exact"/>
        <w:jc w:val="center"/>
        <w:rPr>
          <w:rFonts w:hint="eastAsia" w:ascii="方正小标宋_GBK" w:eastAsia="方正小标宋_GBK"/>
          <w:color w:val="auto"/>
          <w:sz w:val="44"/>
          <w:szCs w:val="44"/>
          <w:highlight w:val="none"/>
        </w:rPr>
      </w:pPr>
    </w:p>
    <w:p w14:paraId="7CB6C15F">
      <w:pPr>
        <w:widowControl/>
        <w:spacing w:line="580" w:lineRule="exact"/>
        <w:jc w:val="center"/>
        <w:rPr>
          <w:rFonts w:hint="eastAsia" w:ascii="方正小标宋_GBK" w:eastAsia="方正小标宋_GBK"/>
          <w:color w:val="auto"/>
          <w:sz w:val="44"/>
          <w:szCs w:val="44"/>
          <w:highlight w:val="none"/>
        </w:rPr>
      </w:pPr>
      <w:r>
        <w:rPr>
          <w:rFonts w:hint="eastAsia" w:ascii="方正小标宋_GBK" w:eastAsia="方正小标宋_GBK"/>
          <w:color w:val="auto"/>
          <w:sz w:val="44"/>
          <w:szCs w:val="44"/>
          <w:highlight w:val="none"/>
        </w:rPr>
        <w:t>广西线上“政采贷”政策告知函</w:t>
      </w:r>
    </w:p>
    <w:p w14:paraId="1139CC59">
      <w:pPr>
        <w:widowControl/>
        <w:spacing w:line="580" w:lineRule="exact"/>
        <w:ind w:firstLine="640" w:firstLineChars="200"/>
        <w:rPr>
          <w:rFonts w:hint="eastAsia" w:eastAsia="仿宋_GB2312"/>
          <w:color w:val="auto"/>
          <w:sz w:val="32"/>
          <w:szCs w:val="32"/>
          <w:highlight w:val="none"/>
        </w:rPr>
      </w:pPr>
    </w:p>
    <w:p w14:paraId="22658369">
      <w:pPr>
        <w:widowControl/>
        <w:spacing w:line="58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0A1775F9">
      <w:pPr>
        <w:widowControl/>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欢迎贵公司参与广西政府采购活动！</w:t>
      </w:r>
    </w:p>
    <w:p w14:paraId="4F04EEF5">
      <w:pPr>
        <w:widowControl/>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388A548C">
      <w:pPr>
        <w:widowControl/>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rFonts w:eastAsia="仿宋_GB2312"/>
          <w:color w:val="auto"/>
          <w:sz w:val="32"/>
          <w:szCs w:val="32"/>
          <w:highlight w:val="none"/>
        </w:rPr>
        <w:fldChar w:fldCharType="begin"/>
      </w:r>
      <w:r>
        <w:rPr>
          <w:rFonts w:eastAsia="仿宋_GB2312"/>
          <w:color w:val="auto"/>
          <w:sz w:val="32"/>
          <w:szCs w:val="32"/>
          <w:highlight w:val="none"/>
        </w:rPr>
        <w:instrText xml:space="preserve"> HYPERLINK "https://www.crcrfsp.com/" </w:instrText>
      </w:r>
      <w:r>
        <w:rPr>
          <w:rFonts w:eastAsia="仿宋_GB2312"/>
          <w:color w:val="auto"/>
          <w:sz w:val="32"/>
          <w:szCs w:val="32"/>
          <w:highlight w:val="none"/>
        </w:rPr>
        <w:fldChar w:fldCharType="separate"/>
      </w:r>
      <w:r>
        <w:rPr>
          <w:rStyle w:val="65"/>
          <w:rFonts w:eastAsia="仿宋_GB2312"/>
          <w:color w:val="auto"/>
          <w:sz w:val="32"/>
          <w:highlight w:val="none"/>
        </w:rPr>
        <w:t>https://www.crcrfsp.com/</w:t>
      </w:r>
      <w:r>
        <w:rPr>
          <w:rFonts w:eastAsia="仿宋_GB2312"/>
          <w:color w:val="auto"/>
          <w:sz w:val="32"/>
          <w:szCs w:val="32"/>
          <w:highlight w:val="none"/>
        </w:rPr>
        <w:fldChar w:fldCharType="end"/>
      </w:r>
      <w:r>
        <w:rPr>
          <w:rFonts w:hint="eastAsia" w:eastAsia="仿宋_GB2312"/>
          <w:color w:val="auto"/>
          <w:sz w:val="32"/>
          <w:szCs w:val="32"/>
          <w:highlight w:val="none"/>
        </w:rPr>
        <w:t>，客服电话：</w:t>
      </w:r>
      <w:r>
        <w:rPr>
          <w:rFonts w:hint="eastAsia" w:ascii="仿宋_GB2312" w:hAnsi="仿宋_GB2312" w:eastAsia="仿宋_GB2312" w:cs="仿宋_GB2312"/>
          <w:color w:val="auto"/>
          <w:sz w:val="32"/>
          <w:szCs w:val="32"/>
          <w:highlight w:val="none"/>
        </w:rPr>
        <w:t>400-009-0001）。</w:t>
      </w:r>
    </w:p>
    <w:p w14:paraId="6234BD0A">
      <w:pPr>
        <w:rPr>
          <w:rFonts w:hAnsi="宋体" w:cs="宋体"/>
          <w:b/>
          <w:bCs/>
          <w:color w:val="auto"/>
          <w:sz w:val="30"/>
          <w:szCs w:val="30"/>
          <w:highlight w:val="none"/>
        </w:rPr>
      </w:pPr>
    </w:p>
    <w:p w14:paraId="1F505931">
      <w:pPr>
        <w:pStyle w:val="24"/>
        <w:rPr>
          <w:rFonts w:hAnsi="宋体" w:cs="宋体"/>
          <w:b/>
          <w:bCs/>
          <w:color w:val="auto"/>
          <w:sz w:val="30"/>
          <w:szCs w:val="30"/>
          <w:highlight w:val="none"/>
        </w:rPr>
      </w:pPr>
    </w:p>
    <w:p w14:paraId="5932949B">
      <w:pPr>
        <w:pStyle w:val="24"/>
        <w:rPr>
          <w:rFonts w:hAnsi="宋体" w:cs="宋体"/>
          <w:b/>
          <w:bCs/>
          <w:color w:val="auto"/>
          <w:sz w:val="30"/>
          <w:szCs w:val="30"/>
          <w:highlight w:val="none"/>
        </w:rPr>
      </w:pPr>
    </w:p>
    <w:p w14:paraId="389EEE38">
      <w:pPr>
        <w:pStyle w:val="24"/>
        <w:rPr>
          <w:rFonts w:hAnsi="宋体" w:cs="宋体"/>
          <w:b/>
          <w:bCs/>
          <w:color w:val="auto"/>
          <w:sz w:val="30"/>
          <w:szCs w:val="30"/>
          <w:highlight w:val="none"/>
        </w:rPr>
      </w:pPr>
    </w:p>
    <w:p w14:paraId="10F2DB8C">
      <w:pPr>
        <w:pStyle w:val="24"/>
        <w:rPr>
          <w:rFonts w:hAnsi="宋体" w:cs="宋体"/>
          <w:b/>
          <w:bCs/>
          <w:color w:val="auto"/>
          <w:sz w:val="30"/>
          <w:szCs w:val="30"/>
          <w:highlight w:val="none"/>
        </w:rPr>
      </w:pPr>
    </w:p>
    <w:p w14:paraId="1549A91C">
      <w:pPr>
        <w:pStyle w:val="24"/>
        <w:rPr>
          <w:rFonts w:hAnsi="宋体" w:cs="宋体"/>
          <w:b/>
          <w:bCs/>
          <w:color w:val="auto"/>
          <w:sz w:val="30"/>
          <w:szCs w:val="30"/>
          <w:highlight w:val="none"/>
        </w:rPr>
      </w:pPr>
    </w:p>
    <w:p w14:paraId="60770768">
      <w:pPr>
        <w:pStyle w:val="24"/>
        <w:ind w:left="0" w:leftChars="0" w:firstLine="0" w:firstLineChars="0"/>
        <w:rPr>
          <w:rFonts w:hAnsi="宋体" w:cs="宋体"/>
          <w:b/>
          <w:bCs/>
          <w:color w:val="auto"/>
          <w:sz w:val="30"/>
          <w:szCs w:val="30"/>
          <w:highlight w:val="none"/>
        </w:rPr>
      </w:pPr>
    </w:p>
    <w:p w14:paraId="5AC9752B">
      <w:pPr>
        <w:spacing w:line="580" w:lineRule="exact"/>
        <w:jc w:val="center"/>
        <w:rPr>
          <w:rFonts w:hint="eastAsia" w:ascii="宋体" w:hAnsi="宋体" w:eastAsia="宋体" w:cs="宋体"/>
          <w:color w:val="auto"/>
          <w:sz w:val="32"/>
          <w:szCs w:val="32"/>
          <w:highlight w:val="none"/>
        </w:rPr>
      </w:pPr>
    </w:p>
    <w:p w14:paraId="56E23A04">
      <w:pPr>
        <w:jc w:val="center"/>
        <w:outlineLvl w:val="0"/>
        <w:rPr>
          <w:rFonts w:hint="eastAsia" w:ascii="华文中宋" w:hAnsi="华文中宋" w:eastAsia="华文中宋" w:cs="华文中宋"/>
          <w:b/>
          <w:bCs/>
          <w:color w:val="auto"/>
          <w:kern w:val="2"/>
          <w:sz w:val="32"/>
          <w:szCs w:val="32"/>
          <w:highlight w:val="none"/>
          <w:lang w:val="en-US" w:eastAsia="zh-CN" w:bidi="ar-SA"/>
        </w:rPr>
      </w:pPr>
      <w:bookmarkStart w:id="182" w:name="_Toc28939"/>
      <w:bookmarkStart w:id="183" w:name="_Toc6272"/>
      <w:bookmarkStart w:id="184" w:name="_Toc22630"/>
      <w:bookmarkStart w:id="185" w:name="_Toc2989"/>
      <w:r>
        <w:rPr>
          <w:rFonts w:hint="eastAsia" w:ascii="华文中宋" w:hAnsi="华文中宋" w:eastAsia="华文中宋" w:cs="华文中宋"/>
          <w:b/>
          <w:bCs/>
          <w:color w:val="auto"/>
          <w:kern w:val="2"/>
          <w:sz w:val="32"/>
          <w:szCs w:val="32"/>
          <w:highlight w:val="none"/>
          <w:lang w:val="en-US" w:eastAsia="zh-CN" w:bidi="ar-SA"/>
        </w:rPr>
        <w:t xml:space="preserve">第三章  </w:t>
      </w:r>
      <w:r>
        <w:rPr>
          <w:rFonts w:hint="eastAsia" w:ascii="华文中宋" w:hAnsi="华文中宋" w:eastAsia="华文中宋" w:cs="华文中宋"/>
          <w:b/>
          <w:bCs/>
          <w:color w:val="auto"/>
          <w:sz w:val="32"/>
          <w:szCs w:val="32"/>
          <w:highlight w:val="none"/>
          <w:lang w:val="en-US" w:eastAsia="zh-CN"/>
        </w:rPr>
        <w:t>工程量</w:t>
      </w:r>
      <w:r>
        <w:rPr>
          <w:rFonts w:hint="eastAsia" w:ascii="华文中宋" w:hAnsi="华文中宋" w:eastAsia="华文中宋" w:cs="华文中宋"/>
          <w:b/>
          <w:bCs/>
          <w:color w:val="auto"/>
          <w:kern w:val="2"/>
          <w:sz w:val="32"/>
          <w:szCs w:val="32"/>
          <w:highlight w:val="none"/>
          <w:lang w:val="en-US" w:eastAsia="zh-CN" w:bidi="ar-SA"/>
        </w:rPr>
        <w:t>清单</w:t>
      </w:r>
      <w:bookmarkEnd w:id="182"/>
      <w:bookmarkEnd w:id="183"/>
      <w:bookmarkEnd w:id="184"/>
    </w:p>
    <w:p w14:paraId="2888B5D2">
      <w:pPr>
        <w:keepNext w:val="0"/>
        <w:keepLines w:val="0"/>
        <w:pageBreakBefore w:val="0"/>
        <w:tabs>
          <w:tab w:val="left" w:pos="210"/>
        </w:tabs>
        <w:kinsoku/>
        <w:wordWrap/>
        <w:overflowPunct/>
        <w:topLinePunct w:val="0"/>
        <w:autoSpaceDE/>
        <w:autoSpaceDN/>
        <w:bidi w:val="0"/>
        <w:spacing w:line="360" w:lineRule="auto"/>
        <w:jc w:val="left"/>
        <w:textAlignment w:val="auto"/>
        <w:outlineLvl w:val="1"/>
        <w:rPr>
          <w:rFonts w:hint="eastAsia" w:ascii="宋体" w:hAnsi="宋体" w:eastAsia="宋体" w:cs="宋体"/>
          <w:b/>
          <w:bCs/>
          <w:strike/>
          <w:dstrike w:val="0"/>
          <w:color w:val="auto"/>
          <w:sz w:val="24"/>
          <w:szCs w:val="24"/>
          <w:highlight w:val="none"/>
          <w:lang w:val="en-US" w:eastAsia="zh-CN"/>
        </w:rPr>
      </w:pPr>
    </w:p>
    <w:p w14:paraId="039A8F16">
      <w:pPr>
        <w:rPr>
          <w:rFonts w:hint="eastAsia"/>
          <w:color w:val="auto"/>
          <w:highlight w:val="none"/>
          <w:lang w:eastAsia="zh-CN"/>
        </w:rPr>
      </w:pPr>
    </w:p>
    <w:p w14:paraId="2B8264DE">
      <w:pPr>
        <w:jc w:val="center"/>
        <w:outlineLvl w:val="0"/>
        <w:rPr>
          <w:rFonts w:hint="eastAsia" w:ascii="华文中宋" w:hAnsi="华文中宋" w:eastAsia="华文中宋" w:cs="华文中宋"/>
          <w:b/>
          <w:bCs/>
          <w:color w:val="auto"/>
          <w:sz w:val="32"/>
          <w:szCs w:val="32"/>
          <w:highlight w:val="none"/>
        </w:rPr>
      </w:pPr>
      <w:bookmarkStart w:id="186" w:name="_Toc10833"/>
      <w:bookmarkStart w:id="187" w:name="_Toc26783"/>
      <w:r>
        <w:rPr>
          <w:rFonts w:hint="eastAsia" w:ascii="华文中宋" w:hAnsi="华文中宋" w:eastAsia="华文中宋" w:cs="华文中宋"/>
          <w:b/>
          <w:bCs/>
          <w:color w:val="auto"/>
          <w:sz w:val="32"/>
          <w:szCs w:val="32"/>
          <w:highlight w:val="none"/>
          <w:lang w:val="en-US" w:eastAsia="zh-CN"/>
        </w:rPr>
        <w:t>另册发放（自行下载）</w:t>
      </w:r>
      <w:r>
        <w:rPr>
          <w:rFonts w:hint="eastAsia" w:ascii="华文中宋" w:hAnsi="华文中宋" w:eastAsia="华文中宋" w:cs="华文中宋"/>
          <w:b/>
          <w:bCs/>
          <w:color w:val="auto"/>
          <w:sz w:val="32"/>
          <w:szCs w:val="32"/>
          <w:highlight w:val="none"/>
          <w:lang w:eastAsia="zh-CN"/>
        </w:rPr>
        <w:br w:type="page"/>
      </w:r>
      <w:bookmarkStart w:id="188" w:name="_Toc8615"/>
      <w:r>
        <w:rPr>
          <w:rFonts w:hint="eastAsia" w:ascii="华文中宋" w:hAnsi="华文中宋" w:eastAsia="华文中宋" w:cs="华文中宋"/>
          <w:b/>
          <w:bCs/>
          <w:color w:val="auto"/>
          <w:sz w:val="32"/>
          <w:szCs w:val="32"/>
          <w:highlight w:val="none"/>
          <w:lang w:eastAsia="zh-CN"/>
        </w:rPr>
        <w:t>第四章</w:t>
      </w:r>
      <w:r>
        <w:rPr>
          <w:rFonts w:hint="eastAsia" w:ascii="华文中宋" w:hAnsi="华文中宋" w:eastAsia="华文中宋" w:cs="华文中宋"/>
          <w:b/>
          <w:bCs/>
          <w:color w:val="auto"/>
          <w:sz w:val="32"/>
          <w:szCs w:val="32"/>
          <w:highlight w:val="none"/>
          <w:lang w:val="en-US" w:eastAsia="zh-CN"/>
        </w:rPr>
        <w:t xml:space="preserve">  </w:t>
      </w:r>
      <w:r>
        <w:rPr>
          <w:rFonts w:hint="eastAsia" w:ascii="华文中宋" w:hAnsi="华文中宋" w:eastAsia="华文中宋" w:cs="华文中宋"/>
          <w:b/>
          <w:bCs/>
          <w:color w:val="auto"/>
          <w:sz w:val="32"/>
          <w:szCs w:val="32"/>
          <w:highlight w:val="none"/>
        </w:rPr>
        <w:t>评审办法</w:t>
      </w:r>
      <w:bookmarkEnd w:id="185"/>
      <w:bookmarkEnd w:id="186"/>
      <w:bookmarkEnd w:id="187"/>
      <w:bookmarkEnd w:id="188"/>
    </w:p>
    <w:p w14:paraId="68DF372C">
      <w:pPr>
        <w:pStyle w:val="28"/>
        <w:keepNext w:val="0"/>
        <w:keepLines w:val="0"/>
        <w:pageBreakBefore w:val="0"/>
        <w:widowControl w:val="0"/>
        <w:kinsoku/>
        <w:wordWrap/>
        <w:overflowPunct/>
        <w:topLinePunct w:val="0"/>
        <w:autoSpaceDE/>
        <w:autoSpaceDN/>
        <w:bidi w:val="0"/>
        <w:adjustRightInd/>
        <w:snapToGrid/>
        <w:spacing w:line="420" w:lineRule="exact"/>
        <w:ind w:left="0" w:leftChars="0" w:firstLine="482" w:firstLineChars="200"/>
        <w:textAlignment w:val="auto"/>
        <w:outlineLvl w:val="1"/>
        <w:rPr>
          <w:rFonts w:hint="eastAsia" w:ascii="宋体" w:hAnsi="宋体" w:eastAsia="宋体" w:cs="宋体"/>
          <w:b/>
          <w:bCs/>
          <w:color w:val="auto"/>
          <w:sz w:val="24"/>
          <w:szCs w:val="24"/>
          <w:highlight w:val="none"/>
        </w:rPr>
      </w:pPr>
      <w:bookmarkStart w:id="189" w:name="_Toc3700"/>
      <w:r>
        <w:rPr>
          <w:rFonts w:hint="eastAsia" w:ascii="宋体" w:hAnsi="宋体" w:eastAsia="宋体" w:cs="宋体"/>
          <w:b/>
          <w:bCs/>
          <w:color w:val="auto"/>
          <w:sz w:val="24"/>
          <w:szCs w:val="24"/>
          <w:highlight w:val="none"/>
        </w:rPr>
        <w:t>一、评审依据及方式</w:t>
      </w:r>
      <w:bookmarkEnd w:id="189"/>
    </w:p>
    <w:p w14:paraId="500DBC2A">
      <w:pPr>
        <w:pStyle w:val="28"/>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1.评审依据：磋商小组以磋商文件和响应文件为评审依据，</w:t>
      </w:r>
      <w:r>
        <w:rPr>
          <w:rFonts w:hint="eastAsia" w:ascii="宋体" w:hAnsi="宋体" w:eastAsia="宋体" w:cs="宋体"/>
          <w:color w:val="auto"/>
          <w:sz w:val="24"/>
          <w:szCs w:val="24"/>
          <w:highlight w:val="none"/>
          <w:lang w:val="en-US" w:eastAsia="zh-CN"/>
        </w:rPr>
        <w:t>对供应商的响应文件按百分制打分</w:t>
      </w:r>
      <w:r>
        <w:rPr>
          <w:rFonts w:hint="eastAsia" w:ascii="宋体" w:hAnsi="宋体" w:eastAsia="宋体" w:cs="宋体"/>
          <w:color w:val="auto"/>
          <w:sz w:val="24"/>
          <w:szCs w:val="24"/>
          <w:highlight w:val="none"/>
        </w:rPr>
        <w:t>。</w:t>
      </w:r>
    </w:p>
    <w:p w14:paraId="2F6DF6DD">
      <w:pPr>
        <w:pStyle w:val="28"/>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2.评审方式：以封闭方式进行评审。</w:t>
      </w:r>
    </w:p>
    <w:p w14:paraId="77979D5E">
      <w:pPr>
        <w:pStyle w:val="28"/>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3.根据财库〔2012〕69号文规定，采购人和采购代理机构，磋商小组成员要严格遵守政府采购相关法律制度，依法履行各自职责，公正、客观、审慎地组织和参与评审工作。</w:t>
      </w:r>
    </w:p>
    <w:p w14:paraId="04FFEE58">
      <w:pPr>
        <w:pStyle w:val="28"/>
        <w:keepNext w:val="0"/>
        <w:keepLines w:val="0"/>
        <w:pageBreakBefore w:val="0"/>
        <w:widowControl w:val="0"/>
        <w:kinsoku/>
        <w:wordWrap/>
        <w:overflowPunct/>
        <w:topLinePunct w:val="0"/>
        <w:autoSpaceDE/>
        <w:autoSpaceDN/>
        <w:bidi w:val="0"/>
        <w:adjustRightInd/>
        <w:snapToGrid/>
        <w:spacing w:line="420" w:lineRule="exact"/>
        <w:ind w:left="0" w:leftChars="0" w:firstLine="482" w:firstLineChars="200"/>
        <w:textAlignment w:val="auto"/>
        <w:outlineLvl w:val="1"/>
        <w:rPr>
          <w:rFonts w:hint="eastAsia" w:ascii="宋体" w:hAnsi="宋体" w:eastAsia="宋体" w:cs="宋体"/>
          <w:b/>
          <w:bCs/>
          <w:color w:val="auto"/>
          <w:sz w:val="24"/>
          <w:szCs w:val="24"/>
          <w:highlight w:val="none"/>
        </w:rPr>
      </w:pPr>
      <w:bookmarkStart w:id="190" w:name="_Toc29329"/>
      <w:r>
        <w:rPr>
          <w:rFonts w:hint="eastAsia" w:ascii="宋体" w:hAnsi="宋体" w:eastAsia="宋体" w:cs="宋体"/>
          <w:b/>
          <w:bCs/>
          <w:color w:val="auto"/>
          <w:sz w:val="24"/>
          <w:szCs w:val="24"/>
          <w:highlight w:val="none"/>
        </w:rPr>
        <w:t>二、评审办法</w:t>
      </w:r>
      <w:bookmarkEnd w:id="190"/>
    </w:p>
    <w:p w14:paraId="697D9289">
      <w:pPr>
        <w:pStyle w:val="28"/>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（一）对进入详评的，采用综合评分法。</w:t>
      </w:r>
    </w:p>
    <w:p w14:paraId="2FDD19DA">
      <w:pPr>
        <w:pStyle w:val="28"/>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（二）计分办法</w:t>
      </w:r>
      <w:r>
        <w:rPr>
          <w:rFonts w:hint="eastAsia" w:hAnsi="宋体" w:eastAsia="宋体" w:cs="宋体"/>
          <w:bCs/>
          <w:color w:val="auto"/>
          <w:sz w:val="24"/>
          <w:szCs w:val="24"/>
          <w:highlight w:val="none"/>
          <w:lang w:eastAsia="zh-CN"/>
        </w:rPr>
        <w:t>（百分制，分值保留两位小数）</w:t>
      </w:r>
    </w:p>
    <w:p w14:paraId="1BBCE4A8">
      <w:pPr>
        <w:keepNext w:val="0"/>
        <w:keepLines w:val="0"/>
        <w:pageBreakBefore w:val="0"/>
        <w:widowControl w:val="0"/>
        <w:kinsoku/>
        <w:wordWrap/>
        <w:overflowPunct/>
        <w:topLinePunct w:val="0"/>
        <w:autoSpaceDE/>
        <w:autoSpaceDN/>
        <w:bidi w:val="0"/>
        <w:adjustRightInd/>
        <w:snapToGrid/>
        <w:spacing w:line="420" w:lineRule="exact"/>
        <w:ind w:lef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1、价格分……………………………………………………………………</w:t>
      </w:r>
      <w:r>
        <w:rPr>
          <w:rFonts w:hint="eastAsia" w:ascii="宋体" w:hAnsi="宋体" w:eastAsia="宋体" w:cs="宋体"/>
          <w:b/>
          <w:color w:val="auto"/>
          <w:sz w:val="24"/>
          <w:szCs w:val="24"/>
          <w:highlight w:val="none"/>
          <w:lang w:val="en-US" w:eastAsia="zh-CN"/>
        </w:rPr>
        <w:t>满分</w:t>
      </w:r>
      <w:r>
        <w:rPr>
          <w:rFonts w:hint="eastAsia" w:ascii="宋体" w:hAnsi="宋体" w:cs="宋体"/>
          <w:b/>
          <w:color w:val="auto"/>
          <w:sz w:val="24"/>
          <w:szCs w:val="24"/>
          <w:highlight w:val="none"/>
          <w:lang w:val="en-US" w:eastAsia="zh-CN"/>
        </w:rPr>
        <w:t>30</w:t>
      </w:r>
      <w:r>
        <w:rPr>
          <w:rFonts w:hint="eastAsia" w:ascii="宋体" w:hAnsi="宋体" w:eastAsia="宋体" w:cs="宋体"/>
          <w:b/>
          <w:color w:val="auto"/>
          <w:sz w:val="24"/>
          <w:szCs w:val="24"/>
          <w:highlight w:val="none"/>
        </w:rPr>
        <w:t>分</w:t>
      </w:r>
    </w:p>
    <w:p w14:paraId="53BE2ACC">
      <w:pPr>
        <w:pStyle w:val="28"/>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（1）本项目为专门面向中小企业采购的项目（供应商应为中小企业、监狱企业、残疾人福利性单位)，不再执行价格评审优惠的扶持政策。即评标价=最终报价。 </w:t>
      </w:r>
    </w:p>
    <w:p w14:paraId="1CD61EC7">
      <w:pPr>
        <w:pStyle w:val="28"/>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按照《关于政府采购支持监狱企业发展有关问题的通知》（财库〔2014〕68 号）认定为监狱企业的，在政府采购活动中，监狱企业视同小型、微型企业。监狱企业参加政府采购活动时，应当提供由省级以上监狱管理局、戒毒管理局（含新疆生产建设兵团）出具的属于监狱企业的证明文件。 </w:t>
      </w:r>
    </w:p>
    <w:p w14:paraId="487EFCD5">
      <w:pPr>
        <w:pStyle w:val="28"/>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符合《关于促进残疾人就业政府采购政策的通知》(财库〔2017〕141 号)规定条件，认定为残疾人福利性单位的，在政府采购活动中，残疾人福利性单位视同小型、微型企业。残疾人福利性单位参加政府采购活动时，应当提供该通知规定的《残疾人福利性单位声明函》，并对声明的真实性负责。成交人为残疾人福利性单位的，随成交结果公告其《残疾人福利性单位声明函》，接受社会监督。 </w:t>
      </w:r>
    </w:p>
    <w:p w14:paraId="2ECA88D7">
      <w:pPr>
        <w:pStyle w:val="28"/>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（2）以进入评审的最低的</w:t>
      </w:r>
      <w:r>
        <w:rPr>
          <w:rFonts w:hint="eastAsia" w:hAnsi="宋体" w:cs="宋体"/>
          <w:color w:val="auto"/>
          <w:sz w:val="24"/>
          <w:szCs w:val="24"/>
          <w:highlight w:val="none"/>
          <w:lang w:val="en-US" w:eastAsia="zh-CN"/>
        </w:rPr>
        <w:t>基准价</w:t>
      </w:r>
      <w:r>
        <w:rPr>
          <w:rFonts w:hint="eastAsia" w:ascii="宋体" w:hAnsi="宋体" w:eastAsia="宋体" w:cs="宋体"/>
          <w:color w:val="auto"/>
          <w:sz w:val="24"/>
          <w:szCs w:val="24"/>
          <w:highlight w:val="none"/>
          <w:lang w:val="en-US" w:eastAsia="zh-CN"/>
        </w:rPr>
        <w:t xml:space="preserve">为 </w:t>
      </w:r>
      <w:r>
        <w:rPr>
          <w:rFonts w:hint="eastAsia"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 xml:space="preserve">分。 </w:t>
      </w:r>
    </w:p>
    <w:p w14:paraId="30460298">
      <w:pPr>
        <w:pStyle w:val="28"/>
        <w:keepNext w:val="0"/>
        <w:keepLines w:val="0"/>
        <w:pageBreakBefore w:val="0"/>
        <w:widowControl w:val="0"/>
        <w:kinsoku/>
        <w:wordWrap/>
        <w:overflowPunct/>
        <w:topLinePunct w:val="0"/>
        <w:autoSpaceDE/>
        <w:autoSpaceDN/>
        <w:bidi w:val="0"/>
        <w:adjustRightInd/>
        <w:snapToGrid/>
        <w:spacing w:line="420" w:lineRule="exact"/>
        <w:ind w:firstLine="3840" w:firstLineChars="16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磋商基准价</w:t>
      </w:r>
    </w:p>
    <w:p w14:paraId="70559A67">
      <w:pPr>
        <w:pStyle w:val="28"/>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mc:AlternateContent>
          <mc:Choice Requires="wps">
            <w:drawing>
              <wp:anchor distT="0" distB="0" distL="114300" distR="114300" simplePos="0" relativeHeight="251662336" behindDoc="0" locked="0" layoutInCell="1" allowOverlap="1">
                <wp:simplePos x="0" y="0"/>
                <wp:positionH relativeFrom="column">
                  <wp:posOffset>1819275</wp:posOffset>
                </wp:positionH>
                <wp:positionV relativeFrom="paragraph">
                  <wp:posOffset>149225</wp:posOffset>
                </wp:positionV>
                <wp:extent cx="198120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220027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43.25pt;margin-top:11.75pt;height:0.05pt;width:156pt;z-index:251662336;mso-width-relative:page;mso-height-relative:page;" filled="f" stroked="t" coordsize="21600,21600" o:gfxdata="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KWp87WAAAACQEAAA8AAAAAAAAAAQAgAAAAIgAAAGRycy9kb3ducmV2LnhtbFBL&#10;AQIUABQAAAAIAIdO4kBNGsx3+AEAAPIDAAAOAAAAAAAAAAEAIAAAACUBAABkcnMvZTJvRG9jLnht&#10;bFBLBQYAAAAABgAGAFkBAACPBQAAAAA=&#10;">
                <v:fill on="f" focussize="0,0"/>
                <v:stroke color="#000000" joinstyle="round"/>
                <v:imagedata o:title=""/>
                <o:lock v:ext="edit" aspectratio="f"/>
              </v:line>
            </w:pict>
          </mc:Fallback>
        </mc:AlternateContent>
      </w:r>
      <w:r>
        <w:rPr>
          <w:rFonts w:hint="eastAsia" w:ascii="宋体" w:hAnsi="宋体" w:eastAsia="宋体" w:cs="宋体"/>
          <w:color w:val="auto"/>
          <w:sz w:val="24"/>
          <w:szCs w:val="24"/>
          <w:highlight w:val="none"/>
          <w:lang w:val="en-US" w:eastAsia="zh-CN"/>
        </w:rPr>
        <w:t xml:space="preserve">某供应商价格分 =                                × </w:t>
      </w:r>
      <w:r>
        <w:rPr>
          <w:rFonts w:hint="eastAsia" w:hAnsi="宋体" w:cs="宋体"/>
          <w:strike w:val="0"/>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分</w:t>
      </w:r>
    </w:p>
    <w:p w14:paraId="3C30438B">
      <w:pPr>
        <w:pStyle w:val="28"/>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某供应商的评审报价          </w:t>
      </w:r>
    </w:p>
    <w:p w14:paraId="1E7C04E4">
      <w:pPr>
        <w:keepNext w:val="0"/>
        <w:keepLines w:val="0"/>
        <w:pageBreakBefore w:val="0"/>
        <w:widowControl w:val="0"/>
        <w:kinsoku/>
        <w:wordWrap/>
        <w:overflowPunct/>
        <w:topLinePunct w:val="0"/>
        <w:autoSpaceDE/>
        <w:autoSpaceDN/>
        <w:bidi w:val="0"/>
        <w:adjustRightInd/>
        <w:snapToGrid/>
        <w:spacing w:line="420" w:lineRule="exact"/>
        <w:ind w:lef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cs="宋体"/>
          <w:b/>
          <w:color w:val="auto"/>
          <w:sz w:val="24"/>
          <w:szCs w:val="24"/>
          <w:highlight w:val="none"/>
          <w:lang w:val="en-US" w:eastAsia="zh-CN"/>
        </w:rPr>
        <w:t>施工组织设计</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rPr>
        <w:t>…………………………</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满分</w:t>
      </w:r>
      <w:r>
        <w:rPr>
          <w:rFonts w:hint="eastAsia" w:ascii="宋体" w:hAnsi="宋体" w:cs="宋体"/>
          <w:b/>
          <w:color w:val="auto"/>
          <w:sz w:val="24"/>
          <w:szCs w:val="24"/>
          <w:highlight w:val="none"/>
          <w:lang w:val="en-US" w:eastAsia="zh-CN"/>
        </w:rPr>
        <w:t>60</w:t>
      </w:r>
      <w:r>
        <w:rPr>
          <w:rFonts w:hint="eastAsia" w:ascii="宋体" w:hAnsi="宋体" w:eastAsia="宋体" w:cs="宋体"/>
          <w:b/>
          <w:color w:val="auto"/>
          <w:sz w:val="24"/>
          <w:szCs w:val="24"/>
          <w:highlight w:val="none"/>
        </w:rPr>
        <w:t>分</w:t>
      </w:r>
    </w:p>
    <w:p w14:paraId="74C21335">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由磋商小组针对供应商提供的施工组织设计方案进行独立评分：</w:t>
      </w:r>
    </w:p>
    <w:p w14:paraId="500F28CB">
      <w:pPr>
        <w:keepNext w:val="0"/>
        <w:keepLines w:val="0"/>
        <w:pageBreakBefore w:val="0"/>
        <w:widowControl w:val="0"/>
        <w:tabs>
          <w:tab w:val="left" w:leader="middleDot" w:pos="8820"/>
        </w:tabs>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（1）总体概述……………………………………………</w:t>
      </w:r>
      <w:r>
        <w:rPr>
          <w:rFonts w:hint="eastAsia" w:ascii="宋体" w:hAnsi="宋体" w:eastAsia="宋体" w:cs="宋体"/>
          <w:b/>
          <w:color w:val="auto"/>
          <w:kern w:val="2"/>
          <w:sz w:val="24"/>
          <w:szCs w:val="24"/>
          <w:highlight w:val="none"/>
          <w:lang w:val="en-US" w:eastAsia="zh-CN" w:bidi="ar-SA"/>
        </w:rPr>
        <w:t>………</w:t>
      </w:r>
      <w:r>
        <w:rPr>
          <w:rFonts w:hint="eastAsia" w:ascii="宋体" w:hAnsi="宋体" w:eastAsia="宋体" w:cs="宋体"/>
          <w:b/>
          <w:bCs w:val="0"/>
          <w:color w:val="auto"/>
          <w:kern w:val="2"/>
          <w:sz w:val="24"/>
          <w:szCs w:val="24"/>
          <w:highlight w:val="none"/>
          <w:lang w:val="en-US" w:eastAsia="zh-CN" w:bidi="ar-SA"/>
        </w:rPr>
        <w:t>………………</w:t>
      </w:r>
      <w:r>
        <w:rPr>
          <w:rFonts w:hint="eastAsia" w:ascii="宋体" w:hAnsi="宋体" w:cs="宋体"/>
          <w:b/>
          <w:bCs w:val="0"/>
          <w:color w:val="auto"/>
          <w:kern w:val="2"/>
          <w:sz w:val="24"/>
          <w:szCs w:val="24"/>
          <w:highlight w:val="none"/>
          <w:lang w:val="en-US" w:eastAsia="zh-CN" w:bidi="ar-SA"/>
        </w:rPr>
        <w:t>10</w:t>
      </w:r>
      <w:r>
        <w:rPr>
          <w:rFonts w:hint="eastAsia" w:ascii="宋体" w:hAnsi="宋体" w:eastAsia="宋体" w:cs="宋体"/>
          <w:b/>
          <w:bCs w:val="0"/>
          <w:color w:val="auto"/>
          <w:kern w:val="2"/>
          <w:sz w:val="24"/>
          <w:szCs w:val="24"/>
          <w:highlight w:val="none"/>
          <w:lang w:val="en-US" w:eastAsia="zh-CN" w:bidi="ar-SA"/>
        </w:rPr>
        <w:t>分</w:t>
      </w:r>
    </w:p>
    <w:p w14:paraId="1B5EE40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优（</w:t>
      </w:r>
      <w:r>
        <w:rPr>
          <w:rFonts w:hint="eastAsia" w:ascii="宋体" w:hAnsi="宋体" w:cs="宋体"/>
          <w:b w:val="0"/>
          <w:bCs/>
          <w:color w:val="auto"/>
          <w:kern w:val="0"/>
          <w:sz w:val="24"/>
          <w:szCs w:val="24"/>
          <w:highlight w:val="none"/>
          <w:lang w:val="en-US" w:eastAsia="zh-CN" w:bidi="ar-SA"/>
        </w:rPr>
        <w:t>10</w:t>
      </w:r>
      <w:r>
        <w:rPr>
          <w:rFonts w:hint="eastAsia" w:ascii="宋体" w:hAnsi="宋体" w:eastAsia="宋体" w:cs="宋体"/>
          <w:b w:val="0"/>
          <w:bCs/>
          <w:color w:val="auto"/>
          <w:kern w:val="0"/>
          <w:sz w:val="24"/>
          <w:szCs w:val="24"/>
          <w:highlight w:val="none"/>
          <w:lang w:val="en-US" w:eastAsia="zh-CN" w:bidi="ar-SA"/>
        </w:rPr>
        <w:t>分）：对项目总体有深刻认识，表达清晰、完整、严谨、合理，措施先进、具体、有效、成熟；施工段划分清晰、合理，符合规范要求；</w:t>
      </w:r>
    </w:p>
    <w:p w14:paraId="0E85F1D2">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default"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良（</w:t>
      </w:r>
      <w:r>
        <w:rPr>
          <w:rFonts w:hint="eastAsia" w:ascii="宋体" w:hAnsi="宋体" w:cs="宋体"/>
          <w:b w:val="0"/>
          <w:bCs/>
          <w:color w:val="auto"/>
          <w:kern w:val="0"/>
          <w:sz w:val="24"/>
          <w:szCs w:val="24"/>
          <w:highlight w:val="none"/>
          <w:lang w:val="en-US" w:eastAsia="zh-CN" w:bidi="ar-SA"/>
        </w:rPr>
        <w:t>7</w:t>
      </w:r>
      <w:r>
        <w:rPr>
          <w:rFonts w:hint="eastAsia" w:ascii="宋体" w:hAnsi="宋体" w:eastAsia="宋体" w:cs="宋体"/>
          <w:b w:val="0"/>
          <w:bCs/>
          <w:color w:val="auto"/>
          <w:kern w:val="0"/>
          <w:sz w:val="24"/>
          <w:szCs w:val="24"/>
          <w:highlight w:val="none"/>
          <w:lang w:val="en-US" w:eastAsia="zh-CN" w:bidi="ar-SA"/>
        </w:rPr>
        <w:t>分）：对项目总体有一定认识，表达清晰、完整，措施具体有效；施工段划分清晰，符合规范要求；</w:t>
      </w:r>
    </w:p>
    <w:p w14:paraId="1CCDC796">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中（</w:t>
      </w:r>
      <w:r>
        <w:rPr>
          <w:rFonts w:hint="eastAsia" w:ascii="宋体" w:hAnsi="宋体" w:cs="宋体"/>
          <w:b w:val="0"/>
          <w:bCs/>
          <w:color w:val="auto"/>
          <w:kern w:val="0"/>
          <w:sz w:val="24"/>
          <w:szCs w:val="24"/>
          <w:highlight w:val="none"/>
          <w:lang w:val="en-US" w:eastAsia="zh-CN" w:bidi="ar-SA"/>
        </w:rPr>
        <w:t>5</w:t>
      </w:r>
      <w:r>
        <w:rPr>
          <w:rFonts w:hint="eastAsia" w:ascii="宋体" w:hAnsi="宋体" w:eastAsia="宋体" w:cs="宋体"/>
          <w:b w:val="0"/>
          <w:bCs/>
          <w:color w:val="auto"/>
          <w:kern w:val="0"/>
          <w:sz w:val="24"/>
          <w:szCs w:val="24"/>
          <w:highlight w:val="none"/>
          <w:lang w:val="en-US" w:eastAsia="zh-CN" w:bidi="ar-SA"/>
        </w:rPr>
        <w:t>分）：对项目总体有认识，有一定的措施但部分不具体；施工段划分较合理，符合规范要求；</w:t>
      </w:r>
    </w:p>
    <w:p w14:paraId="723BB93A">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差（</w:t>
      </w:r>
      <w:r>
        <w:rPr>
          <w:rFonts w:hint="eastAsia" w:ascii="宋体" w:hAnsi="宋体" w:cs="宋体"/>
          <w:b w:val="0"/>
          <w:bCs/>
          <w:color w:val="auto"/>
          <w:kern w:val="0"/>
          <w:sz w:val="24"/>
          <w:szCs w:val="24"/>
          <w:highlight w:val="none"/>
          <w:lang w:val="en-US" w:eastAsia="zh-CN" w:bidi="ar-SA"/>
        </w:rPr>
        <w:t>3</w:t>
      </w:r>
      <w:r>
        <w:rPr>
          <w:rFonts w:hint="eastAsia" w:ascii="宋体" w:hAnsi="宋体" w:eastAsia="宋体" w:cs="宋体"/>
          <w:b w:val="0"/>
          <w:bCs/>
          <w:color w:val="auto"/>
          <w:kern w:val="0"/>
          <w:sz w:val="24"/>
          <w:szCs w:val="24"/>
          <w:highlight w:val="none"/>
          <w:lang w:val="en-US" w:eastAsia="zh-CN" w:bidi="ar-SA"/>
        </w:rPr>
        <w:t>分）：对项目认识不足，表达不清晰，措施不具体；施工段划分不合理。</w:t>
      </w:r>
    </w:p>
    <w:p w14:paraId="462B8DBC">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（2）主要施工方法………………………………</w:t>
      </w:r>
      <w:r>
        <w:rPr>
          <w:rFonts w:hint="eastAsia" w:ascii="宋体" w:hAnsi="宋体" w:eastAsia="宋体" w:cs="宋体"/>
          <w:b/>
          <w:color w:val="auto"/>
          <w:kern w:val="2"/>
          <w:sz w:val="24"/>
          <w:szCs w:val="24"/>
          <w:highlight w:val="none"/>
          <w:lang w:val="en-US" w:eastAsia="zh-CN" w:bidi="ar-SA"/>
        </w:rPr>
        <w:t>………</w:t>
      </w:r>
      <w:r>
        <w:rPr>
          <w:rFonts w:hint="eastAsia" w:ascii="宋体" w:hAnsi="宋体" w:eastAsia="宋体" w:cs="宋体"/>
          <w:b/>
          <w:bCs w:val="0"/>
          <w:color w:val="auto"/>
          <w:kern w:val="2"/>
          <w:sz w:val="24"/>
          <w:szCs w:val="24"/>
          <w:highlight w:val="none"/>
          <w:lang w:val="en-US" w:eastAsia="zh-CN" w:bidi="ar-SA"/>
        </w:rPr>
        <w:t>………………………</w:t>
      </w:r>
      <w:r>
        <w:rPr>
          <w:rFonts w:hint="eastAsia" w:ascii="宋体" w:hAnsi="宋体" w:cs="宋体"/>
          <w:b/>
          <w:bCs w:val="0"/>
          <w:color w:val="auto"/>
          <w:kern w:val="2"/>
          <w:sz w:val="24"/>
          <w:szCs w:val="24"/>
          <w:highlight w:val="none"/>
          <w:lang w:val="en-US" w:eastAsia="zh-CN" w:bidi="ar-SA"/>
        </w:rPr>
        <w:t>6</w:t>
      </w:r>
      <w:r>
        <w:rPr>
          <w:rFonts w:hint="eastAsia" w:ascii="宋体" w:hAnsi="宋体" w:eastAsia="宋体" w:cs="宋体"/>
          <w:b/>
          <w:bCs w:val="0"/>
          <w:color w:val="auto"/>
          <w:kern w:val="2"/>
          <w:sz w:val="24"/>
          <w:szCs w:val="24"/>
          <w:highlight w:val="none"/>
          <w:lang w:val="en-US" w:eastAsia="zh-CN" w:bidi="ar-SA"/>
        </w:rPr>
        <w:t>分</w:t>
      </w:r>
    </w:p>
    <w:p w14:paraId="5E1EBCBF">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优（</w:t>
      </w:r>
      <w:r>
        <w:rPr>
          <w:rFonts w:hint="eastAsia" w:ascii="宋体" w:hAnsi="宋体" w:cs="宋体"/>
          <w:b w:val="0"/>
          <w:bCs/>
          <w:color w:val="auto"/>
          <w:kern w:val="2"/>
          <w:sz w:val="24"/>
          <w:szCs w:val="24"/>
          <w:highlight w:val="none"/>
          <w:lang w:val="en-US" w:eastAsia="zh-CN" w:bidi="ar-SA"/>
        </w:rPr>
        <w:t>6</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）：各主要分部施工方法符合项目实际，有详尽的施工技术方案，工艺先进、方法科学合理、可行，能指导具体施工并确保安全；</w:t>
      </w:r>
    </w:p>
    <w:p w14:paraId="54B5BBD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良（</w:t>
      </w:r>
      <w:r>
        <w:rPr>
          <w:rFonts w:hint="eastAsia" w:ascii="宋体" w:hAnsi="宋体" w:cs="宋体"/>
          <w:b w:val="0"/>
          <w:bCs/>
          <w:color w:val="auto"/>
          <w:kern w:val="2"/>
          <w:sz w:val="24"/>
          <w:szCs w:val="24"/>
          <w:highlight w:val="none"/>
          <w:lang w:val="en-US" w:eastAsia="zh-CN" w:bidi="ar-SA"/>
        </w:rPr>
        <w:t>4.5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）：各主要分部施工方法符合项目实际，有较详尽的施工技术方案，工艺较好、方法科学合理、可行，能指导具体施工并确保安全；</w:t>
      </w:r>
    </w:p>
    <w:p w14:paraId="2DE13D70">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中（</w:t>
      </w:r>
      <w:r>
        <w:rPr>
          <w:rFonts w:hint="eastAsia" w:ascii="宋体" w:hAnsi="宋体" w:cs="宋体"/>
          <w:b w:val="0"/>
          <w:bCs/>
          <w:color w:val="auto"/>
          <w:kern w:val="2"/>
          <w:sz w:val="24"/>
          <w:szCs w:val="24"/>
          <w:highlight w:val="none"/>
          <w:lang w:val="en-US" w:eastAsia="zh-CN" w:bidi="ar-SA"/>
        </w:rPr>
        <w:t>3</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）：各主要分部施工方法能满足项目需求，有施工技术方案，能指导具体施工并确保安全；</w:t>
      </w:r>
    </w:p>
    <w:p w14:paraId="0F9908DD">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差（</w:t>
      </w:r>
      <w:r>
        <w:rPr>
          <w:rFonts w:hint="eastAsia" w:ascii="宋体" w:hAnsi="宋体" w:cs="宋体"/>
          <w:b w:val="0"/>
          <w:bCs/>
          <w:color w:val="auto"/>
          <w:kern w:val="2"/>
          <w:sz w:val="24"/>
          <w:szCs w:val="24"/>
          <w:highlight w:val="none"/>
          <w:lang w:val="en-US" w:eastAsia="zh-CN" w:bidi="ar-SA"/>
        </w:rPr>
        <w:t>1.5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）：各主要分部施工方法不能满足项目需求，没有施工技术方案，不能指导具体施工并确保安全。</w:t>
      </w:r>
    </w:p>
    <w:p w14:paraId="5F8B8BC0">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（3）施工进度计划和各阶段进度的保证措施……</w:t>
      </w:r>
      <w:r>
        <w:rPr>
          <w:rFonts w:hint="eastAsia" w:ascii="宋体" w:hAnsi="宋体" w:eastAsia="宋体" w:cs="宋体"/>
          <w:b/>
          <w:color w:val="auto"/>
          <w:kern w:val="2"/>
          <w:sz w:val="24"/>
          <w:szCs w:val="24"/>
          <w:highlight w:val="none"/>
          <w:lang w:val="en-US" w:eastAsia="zh-CN" w:bidi="ar-SA"/>
        </w:rPr>
        <w:t>………</w:t>
      </w:r>
      <w:r>
        <w:rPr>
          <w:rFonts w:hint="eastAsia" w:ascii="宋体" w:hAnsi="宋体" w:eastAsia="宋体" w:cs="宋体"/>
          <w:b/>
          <w:bCs w:val="0"/>
          <w:color w:val="auto"/>
          <w:kern w:val="2"/>
          <w:sz w:val="24"/>
          <w:szCs w:val="24"/>
          <w:highlight w:val="none"/>
          <w:lang w:val="en-US" w:eastAsia="zh-CN" w:bidi="ar-SA"/>
        </w:rPr>
        <w:t>……………………6分</w:t>
      </w:r>
    </w:p>
    <w:p w14:paraId="705AEAB1">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优</w:t>
      </w:r>
      <w:r>
        <w:rPr>
          <w:rFonts w:hint="eastAsia" w:ascii="宋体" w:hAnsi="宋体" w:eastAsia="宋体" w:cs="宋体"/>
          <w:b w:val="0"/>
          <w:bCs/>
          <w:color w:val="auto"/>
          <w:kern w:val="0"/>
          <w:sz w:val="24"/>
          <w:szCs w:val="24"/>
          <w:highlight w:val="none"/>
          <w:lang w:val="en-US" w:eastAsia="zh-CN" w:bidi="ar-SA"/>
        </w:rPr>
        <w:t>（6分）</w:t>
      </w:r>
      <w:r>
        <w:rPr>
          <w:rFonts w:hint="eastAsia" w:ascii="宋体" w:hAnsi="宋体" w:eastAsia="宋体" w:cs="宋体"/>
          <w:b w:val="0"/>
          <w:bCs/>
          <w:color w:val="auto"/>
          <w:kern w:val="2"/>
          <w:sz w:val="24"/>
          <w:szCs w:val="24"/>
          <w:highlight w:val="none"/>
          <w:lang w:val="en-US" w:eastAsia="zh-CN" w:bidi="ar-SA"/>
        </w:rPr>
        <w:t>：关键线路清晰、准确、完整，计划编制合理、可行，关键节点的控制措施有力、合理、可行；</w:t>
      </w:r>
    </w:p>
    <w:p w14:paraId="61817130">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良</w:t>
      </w:r>
      <w:r>
        <w:rPr>
          <w:rFonts w:hint="eastAsia" w:ascii="宋体" w:hAnsi="宋体" w:eastAsia="宋体" w:cs="宋体"/>
          <w:b w:val="0"/>
          <w:bCs/>
          <w:color w:val="auto"/>
          <w:kern w:val="0"/>
          <w:sz w:val="24"/>
          <w:szCs w:val="24"/>
          <w:highlight w:val="none"/>
          <w:lang w:val="en-US" w:eastAsia="zh-CN" w:bidi="ar-SA"/>
        </w:rPr>
        <w:t>（4.5分）</w:t>
      </w:r>
      <w:r>
        <w:rPr>
          <w:rFonts w:hint="eastAsia" w:ascii="宋体" w:hAnsi="宋体" w:eastAsia="宋体" w:cs="宋体"/>
          <w:b w:val="0"/>
          <w:bCs/>
          <w:color w:val="auto"/>
          <w:kern w:val="2"/>
          <w:sz w:val="24"/>
          <w:szCs w:val="24"/>
          <w:highlight w:val="none"/>
          <w:lang w:val="en-US" w:eastAsia="zh-CN" w:bidi="ar-SA"/>
        </w:rPr>
        <w:t>：关键线路清晰、准确、完整，计划编制可行，关键节点的控制措施合理、可行；</w:t>
      </w:r>
    </w:p>
    <w:p w14:paraId="310E477D">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中</w:t>
      </w:r>
      <w:r>
        <w:rPr>
          <w:rFonts w:hint="eastAsia" w:ascii="宋体" w:hAnsi="宋体" w:eastAsia="宋体" w:cs="宋体"/>
          <w:b w:val="0"/>
          <w:bCs/>
          <w:color w:val="auto"/>
          <w:kern w:val="0"/>
          <w:sz w:val="24"/>
          <w:szCs w:val="24"/>
          <w:highlight w:val="none"/>
          <w:lang w:val="en-US" w:eastAsia="zh-CN" w:bidi="ar-SA"/>
        </w:rPr>
        <w:t>（3分）</w:t>
      </w:r>
      <w:r>
        <w:rPr>
          <w:rFonts w:hint="eastAsia" w:ascii="宋体" w:hAnsi="宋体" w:eastAsia="宋体" w:cs="宋体"/>
          <w:b w:val="0"/>
          <w:bCs/>
          <w:color w:val="auto"/>
          <w:kern w:val="2"/>
          <w:sz w:val="24"/>
          <w:szCs w:val="24"/>
          <w:highlight w:val="none"/>
          <w:lang w:val="en-US" w:eastAsia="zh-CN" w:bidi="ar-SA"/>
        </w:rPr>
        <w:t>：关键线路基本准确，计划编制合理，关键节点的控制措施基本可行；</w:t>
      </w:r>
    </w:p>
    <w:p w14:paraId="0DD23070">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差（1.5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）：关键线路不准确，计划编制不合理，关键节点的控制不可行。</w:t>
      </w:r>
    </w:p>
    <w:p w14:paraId="12460E17">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（4）劳动力和材料投入计划及其保证措施…………………………………</w:t>
      </w:r>
      <w:r>
        <w:rPr>
          <w:rFonts w:hint="eastAsia" w:ascii="宋体" w:hAnsi="宋体" w:eastAsia="宋体" w:cs="宋体"/>
          <w:b/>
          <w:color w:val="auto"/>
          <w:kern w:val="2"/>
          <w:sz w:val="24"/>
          <w:szCs w:val="24"/>
          <w:highlight w:val="none"/>
          <w:lang w:val="en-US" w:eastAsia="zh-CN" w:bidi="ar-SA"/>
        </w:rPr>
        <w:t>…</w:t>
      </w:r>
      <w:r>
        <w:rPr>
          <w:rFonts w:hint="eastAsia" w:ascii="宋体" w:hAnsi="宋体" w:eastAsia="宋体" w:cs="宋体"/>
          <w:b/>
          <w:bCs w:val="0"/>
          <w:color w:val="auto"/>
          <w:kern w:val="2"/>
          <w:sz w:val="24"/>
          <w:szCs w:val="24"/>
          <w:highlight w:val="none"/>
          <w:lang w:val="en-US" w:eastAsia="zh-CN" w:bidi="ar-SA"/>
        </w:rPr>
        <w:t>6分</w:t>
      </w:r>
    </w:p>
    <w:p w14:paraId="2DEB86C9">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优（</w:t>
      </w:r>
      <w:r>
        <w:rPr>
          <w:rFonts w:hint="eastAsia" w:ascii="宋体" w:hAnsi="宋体" w:eastAsia="宋体" w:cs="宋体"/>
          <w:b w:val="0"/>
          <w:bCs w:val="0"/>
          <w:color w:val="auto"/>
          <w:kern w:val="0"/>
          <w:sz w:val="24"/>
          <w:szCs w:val="24"/>
          <w:highlight w:val="none"/>
          <w:lang w:val="en-US" w:eastAsia="zh-CN" w:bidi="ar-SA"/>
        </w:rPr>
        <w:t>6分</w:t>
      </w:r>
      <w:r>
        <w:rPr>
          <w:rFonts w:hint="eastAsia" w:ascii="宋体" w:hAnsi="宋体" w:eastAsia="宋体" w:cs="宋体"/>
          <w:b w:val="0"/>
          <w:bCs/>
          <w:color w:val="auto"/>
          <w:kern w:val="2"/>
          <w:sz w:val="24"/>
          <w:szCs w:val="24"/>
          <w:highlight w:val="none"/>
          <w:lang w:val="en-US" w:eastAsia="zh-CN" w:bidi="ar-SA"/>
        </w:rPr>
        <w:t>）：投入计划与进度计划呼应，较好满足施工需要，调配投入计划合理、准确；</w:t>
      </w:r>
    </w:p>
    <w:p w14:paraId="7AA6767B">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良（</w:t>
      </w:r>
      <w:r>
        <w:rPr>
          <w:rFonts w:hint="eastAsia" w:ascii="宋体" w:hAnsi="宋体" w:eastAsia="宋体" w:cs="宋体"/>
          <w:b w:val="0"/>
          <w:bCs w:val="0"/>
          <w:color w:val="auto"/>
          <w:kern w:val="0"/>
          <w:sz w:val="24"/>
          <w:szCs w:val="24"/>
          <w:highlight w:val="none"/>
          <w:lang w:val="en-US" w:eastAsia="zh-CN" w:bidi="ar-SA"/>
        </w:rPr>
        <w:t>4.5分</w:t>
      </w:r>
      <w:r>
        <w:rPr>
          <w:rFonts w:hint="eastAsia" w:ascii="宋体" w:hAnsi="宋体" w:eastAsia="宋体" w:cs="宋体"/>
          <w:b w:val="0"/>
          <w:bCs/>
          <w:color w:val="auto"/>
          <w:kern w:val="2"/>
          <w:sz w:val="24"/>
          <w:szCs w:val="24"/>
          <w:highlight w:val="none"/>
          <w:lang w:val="en-US" w:eastAsia="zh-CN" w:bidi="ar-SA"/>
        </w:rPr>
        <w:t>）：投入计划与进度计划呼应，基本满足施工需要，调配投入计划基本合理、准确；</w:t>
      </w:r>
    </w:p>
    <w:p w14:paraId="24B2340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中（</w:t>
      </w:r>
      <w:r>
        <w:rPr>
          <w:rFonts w:hint="eastAsia" w:ascii="宋体" w:hAnsi="宋体" w:eastAsia="宋体" w:cs="宋体"/>
          <w:b w:val="0"/>
          <w:bCs w:val="0"/>
          <w:color w:val="auto"/>
          <w:kern w:val="0"/>
          <w:sz w:val="24"/>
          <w:szCs w:val="24"/>
          <w:highlight w:val="none"/>
          <w:lang w:val="en-US" w:eastAsia="zh-CN" w:bidi="ar-SA"/>
        </w:rPr>
        <w:t>3分</w:t>
      </w:r>
      <w:r>
        <w:rPr>
          <w:rFonts w:hint="eastAsia" w:ascii="宋体" w:hAnsi="宋体" w:eastAsia="宋体" w:cs="宋体"/>
          <w:b w:val="0"/>
          <w:bCs/>
          <w:color w:val="auto"/>
          <w:kern w:val="2"/>
          <w:sz w:val="24"/>
          <w:szCs w:val="24"/>
          <w:highlight w:val="none"/>
          <w:lang w:val="en-US" w:eastAsia="zh-CN" w:bidi="ar-SA"/>
        </w:rPr>
        <w:t>）：投入计划与进度计划呼应，基本满足施工需要，调配投入计划基本合理；</w:t>
      </w:r>
    </w:p>
    <w:p w14:paraId="538F55FE">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差（1.5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）：投入计划与进度计划不呼应，不能满足施工需要。</w:t>
      </w:r>
    </w:p>
    <w:p w14:paraId="704E3D57">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（5）施工平面布置和临时设施布置……………………………………………6分</w:t>
      </w:r>
    </w:p>
    <w:p w14:paraId="2A92EC67">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优（6</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）：总体布置有针对性、合理，较好满足施工需要，符合安全、文明生产要求；</w:t>
      </w:r>
    </w:p>
    <w:p w14:paraId="4B52513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良（</w:t>
      </w:r>
      <w:r>
        <w:rPr>
          <w:rFonts w:hint="eastAsia" w:ascii="宋体" w:hAnsi="宋体" w:eastAsia="宋体" w:cs="宋体"/>
          <w:b w:val="0"/>
          <w:bCs w:val="0"/>
          <w:color w:val="auto"/>
          <w:kern w:val="0"/>
          <w:sz w:val="24"/>
          <w:szCs w:val="24"/>
          <w:highlight w:val="none"/>
          <w:lang w:val="en-US" w:eastAsia="zh-CN" w:bidi="ar-SA"/>
        </w:rPr>
        <w:t>4.5分</w:t>
      </w:r>
      <w:r>
        <w:rPr>
          <w:rFonts w:hint="eastAsia" w:ascii="宋体" w:hAnsi="宋体" w:eastAsia="宋体" w:cs="宋体"/>
          <w:b w:val="0"/>
          <w:bCs/>
          <w:color w:val="auto"/>
          <w:kern w:val="2"/>
          <w:sz w:val="24"/>
          <w:szCs w:val="24"/>
          <w:highlight w:val="none"/>
          <w:lang w:val="en-US" w:eastAsia="zh-CN" w:bidi="ar-SA"/>
        </w:rPr>
        <w:t>）：总体布置合理，能满足施工需要，基本符合安全、文明生产要求；</w:t>
      </w:r>
    </w:p>
    <w:p w14:paraId="430B161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中（3</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）：总体布置基本合理，基本满足施工需要；</w:t>
      </w:r>
    </w:p>
    <w:p w14:paraId="2597822B">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差（1.5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）：总体布置不合理，不符合安全、文明生产要求。</w:t>
      </w:r>
    </w:p>
    <w:p w14:paraId="36A04904">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（6）关键施工技术、工艺及工程实施的重点、难点和解决方案……………</w:t>
      </w:r>
      <w:r>
        <w:rPr>
          <w:rFonts w:hint="eastAsia" w:ascii="宋体" w:hAnsi="宋体" w:cs="宋体"/>
          <w:b/>
          <w:bCs w:val="0"/>
          <w:color w:val="auto"/>
          <w:kern w:val="2"/>
          <w:sz w:val="24"/>
          <w:szCs w:val="24"/>
          <w:highlight w:val="none"/>
          <w:lang w:val="en-US" w:eastAsia="zh-CN" w:bidi="ar-SA"/>
        </w:rPr>
        <w:t>8</w:t>
      </w:r>
      <w:r>
        <w:rPr>
          <w:rFonts w:hint="eastAsia" w:ascii="宋体" w:hAnsi="宋体" w:eastAsia="宋体" w:cs="宋体"/>
          <w:b/>
          <w:bCs w:val="0"/>
          <w:color w:val="auto"/>
          <w:kern w:val="2"/>
          <w:sz w:val="24"/>
          <w:szCs w:val="24"/>
          <w:highlight w:val="none"/>
          <w:lang w:val="en-US" w:eastAsia="zh-CN" w:bidi="ar-SA"/>
        </w:rPr>
        <w:t>分</w:t>
      </w:r>
    </w:p>
    <w:p w14:paraId="5B8D93E1">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优（</w:t>
      </w:r>
      <w:r>
        <w:rPr>
          <w:rFonts w:hint="eastAsia" w:ascii="宋体" w:hAnsi="宋体" w:cs="宋体"/>
          <w:b w:val="0"/>
          <w:bCs/>
          <w:color w:val="auto"/>
          <w:kern w:val="2"/>
          <w:sz w:val="24"/>
          <w:szCs w:val="24"/>
          <w:highlight w:val="none"/>
          <w:lang w:val="en-US" w:eastAsia="zh-CN" w:bidi="ar-SA"/>
        </w:rPr>
        <w:t>8</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）：对项目关键技术、工艺有深入的表达，对重点、难点有先进合理的施工措施并有可行的安全措施，解决方案完整、经济、安全、切实可行，措施得力。</w:t>
      </w:r>
    </w:p>
    <w:p w14:paraId="42A3BB4B">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良（</w:t>
      </w:r>
      <w:r>
        <w:rPr>
          <w:rFonts w:hint="eastAsia" w:ascii="宋体" w:hAnsi="宋体" w:cs="宋体"/>
          <w:b w:val="0"/>
          <w:bCs/>
          <w:color w:val="auto"/>
          <w:kern w:val="2"/>
          <w:sz w:val="24"/>
          <w:szCs w:val="24"/>
          <w:highlight w:val="none"/>
          <w:lang w:val="en-US" w:eastAsia="zh-CN" w:bidi="ar-SA"/>
        </w:rPr>
        <w:t>6</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）：对项目关键技术、工艺有深入的表达，对重点、难点有合理的建议，解决方案经济、安全、基本可行。</w:t>
      </w:r>
    </w:p>
    <w:p w14:paraId="335314B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中（</w:t>
      </w:r>
      <w:r>
        <w:rPr>
          <w:rFonts w:hint="eastAsia" w:ascii="宋体" w:hAnsi="宋体" w:cs="宋体"/>
          <w:b w:val="0"/>
          <w:bCs/>
          <w:color w:val="auto"/>
          <w:kern w:val="2"/>
          <w:sz w:val="24"/>
          <w:szCs w:val="24"/>
          <w:highlight w:val="none"/>
          <w:lang w:val="en-US" w:eastAsia="zh-CN" w:bidi="ar-SA"/>
        </w:rPr>
        <w:t>4</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）：对项目关键技术有一定了解，对重点、难点有建议，解决方案基本可行。</w:t>
      </w:r>
    </w:p>
    <w:p w14:paraId="5E105FBE">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差（</w:t>
      </w:r>
      <w:r>
        <w:rPr>
          <w:rFonts w:hint="eastAsia" w:ascii="宋体" w:hAnsi="宋体" w:cs="宋体"/>
          <w:b w:val="0"/>
          <w:bCs/>
          <w:color w:val="auto"/>
          <w:kern w:val="2"/>
          <w:sz w:val="24"/>
          <w:szCs w:val="24"/>
          <w:highlight w:val="none"/>
          <w:lang w:val="en-US" w:eastAsia="zh-CN" w:bidi="ar-SA"/>
        </w:rPr>
        <w:t>2</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）：对项目关键技术有表述，对重点、难点有建议，解决方案不可行。</w:t>
      </w:r>
    </w:p>
    <w:p w14:paraId="79E5C96E">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0"/>
          <w:sz w:val="24"/>
          <w:szCs w:val="24"/>
          <w:highlight w:val="none"/>
          <w:lang w:val="en-US" w:eastAsia="zh-CN" w:bidi="ar-SA"/>
        </w:rPr>
        <w:t>（7）安全文明施工措施</w:t>
      </w:r>
      <w:r>
        <w:rPr>
          <w:rFonts w:hint="eastAsia" w:ascii="宋体" w:hAnsi="宋体" w:eastAsia="宋体" w:cs="宋体"/>
          <w:b/>
          <w:bCs w:val="0"/>
          <w:color w:val="auto"/>
          <w:kern w:val="2"/>
          <w:sz w:val="24"/>
          <w:szCs w:val="24"/>
          <w:highlight w:val="none"/>
          <w:lang w:val="en-US" w:eastAsia="zh-CN" w:bidi="ar-SA"/>
        </w:rPr>
        <w:t>………………………………………………6分</w:t>
      </w:r>
    </w:p>
    <w:p w14:paraId="1FE3E21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优（6</w:t>
      </w:r>
      <w:r>
        <w:rPr>
          <w:rFonts w:hint="eastAsia" w:ascii="宋体" w:hAnsi="宋体" w:eastAsia="宋体" w:cs="宋体"/>
          <w:b w:val="0"/>
          <w:bCs w:val="0"/>
          <w:color w:val="auto"/>
          <w:kern w:val="0"/>
          <w:sz w:val="24"/>
          <w:szCs w:val="24"/>
          <w:highlight w:val="none"/>
          <w:lang w:val="en-US" w:eastAsia="zh-CN" w:bidi="ar-SA"/>
        </w:rPr>
        <w:t>分</w:t>
      </w:r>
      <w:bookmarkStart w:id="1943" w:name="_GoBack"/>
      <w:bookmarkEnd w:id="1943"/>
      <w:r>
        <w:rPr>
          <w:rFonts w:hint="eastAsia" w:ascii="宋体" w:hAnsi="宋体" w:eastAsia="宋体" w:cs="宋体"/>
          <w:b w:val="0"/>
          <w:bCs/>
          <w:color w:val="auto"/>
          <w:kern w:val="2"/>
          <w:sz w:val="24"/>
          <w:szCs w:val="24"/>
          <w:highlight w:val="none"/>
          <w:lang w:val="en-US" w:eastAsia="zh-CN" w:bidi="ar-SA"/>
        </w:rPr>
        <w:t>）：针对项目实际情况，有先进、具体、完整、可行的实施措施，采用规范正确、清晰。</w:t>
      </w:r>
    </w:p>
    <w:p w14:paraId="722689D5">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良（4.5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）：针对项目实际情况，有合理的措施且具体、完整，采用规范正确。</w:t>
      </w:r>
    </w:p>
    <w:p w14:paraId="029159F6">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中（3）：有基本合理的措施，采用规范正确。</w:t>
      </w:r>
    </w:p>
    <w:p w14:paraId="19598BB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差（1.5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）：安全文明措施不得力，采用规范不正确。</w:t>
      </w:r>
    </w:p>
    <w:p w14:paraId="375991FD">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（8）质量保证与承诺…………………………………………………</w:t>
      </w:r>
      <w:r>
        <w:rPr>
          <w:rFonts w:hint="eastAsia" w:ascii="宋体" w:hAnsi="宋体" w:cs="宋体"/>
          <w:b/>
          <w:bCs w:val="0"/>
          <w:color w:val="auto"/>
          <w:kern w:val="2"/>
          <w:sz w:val="24"/>
          <w:szCs w:val="24"/>
          <w:highlight w:val="none"/>
          <w:lang w:val="en-US" w:eastAsia="zh-CN" w:bidi="ar-SA"/>
        </w:rPr>
        <w:t>6</w:t>
      </w:r>
      <w:r>
        <w:rPr>
          <w:rFonts w:hint="eastAsia" w:ascii="宋体" w:hAnsi="宋体" w:eastAsia="宋体" w:cs="宋体"/>
          <w:b/>
          <w:bCs w:val="0"/>
          <w:color w:val="auto"/>
          <w:kern w:val="2"/>
          <w:sz w:val="24"/>
          <w:szCs w:val="24"/>
          <w:highlight w:val="none"/>
          <w:lang w:val="en-US" w:eastAsia="zh-CN" w:bidi="ar-SA"/>
        </w:rPr>
        <w:t>分</w:t>
      </w:r>
    </w:p>
    <w:p w14:paraId="7CA40B5C">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优（6</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）：针对项目实际提出先进、可行、具体的保证措施，超过招标文件的质量要求及施工验收规范要求。</w:t>
      </w:r>
    </w:p>
    <w:p w14:paraId="30BAE910">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良（4.5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）：针对项目实际提出先进、可行、具体的保证措施，满足招标文件的质量要求。</w:t>
      </w:r>
    </w:p>
    <w:p w14:paraId="0364C6E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中（3</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）：具体措施可行，满足招标文件的质量要求。</w:t>
      </w:r>
    </w:p>
    <w:p w14:paraId="088BC355">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差（1.5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）：措施不可行。</w:t>
      </w:r>
    </w:p>
    <w:p w14:paraId="2F90C8AB">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（9）新技术应用与承诺………………………………………………</w:t>
      </w:r>
      <w:r>
        <w:rPr>
          <w:rFonts w:hint="eastAsia" w:ascii="宋体" w:hAnsi="宋体" w:cs="宋体"/>
          <w:b/>
          <w:bCs w:val="0"/>
          <w:color w:val="auto"/>
          <w:kern w:val="2"/>
          <w:sz w:val="24"/>
          <w:szCs w:val="24"/>
          <w:highlight w:val="none"/>
          <w:lang w:val="en-US" w:eastAsia="zh-CN" w:bidi="ar-SA"/>
        </w:rPr>
        <w:t>6</w:t>
      </w:r>
      <w:r>
        <w:rPr>
          <w:rFonts w:hint="eastAsia" w:ascii="宋体" w:hAnsi="宋体" w:eastAsia="宋体" w:cs="宋体"/>
          <w:b/>
          <w:bCs w:val="0"/>
          <w:color w:val="auto"/>
          <w:kern w:val="2"/>
          <w:sz w:val="24"/>
          <w:szCs w:val="24"/>
          <w:highlight w:val="none"/>
          <w:lang w:val="en-US" w:eastAsia="zh-CN" w:bidi="ar-SA"/>
        </w:rPr>
        <w:t>分</w:t>
      </w:r>
    </w:p>
    <w:p w14:paraId="3D01B02E">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优（6</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color w:val="auto"/>
          <w:kern w:val="2"/>
          <w:sz w:val="24"/>
          <w:szCs w:val="24"/>
          <w:highlight w:val="none"/>
          <w:lang w:val="en-US" w:eastAsia="zh-CN" w:bidi="ar-SA"/>
        </w:rPr>
        <w:t>）：针对项目实际，提出采用新技术的具体措施。新技术的验证材料可靠，对节约投资和工期的保证措施得力、具体、严谨。对采用新技术可能产生的风险预见充分，对新技术的实施有安全生产的可靠方案。</w:t>
      </w:r>
    </w:p>
    <w:p w14:paraId="4390AD55">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良（4.5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color w:val="auto"/>
          <w:kern w:val="2"/>
          <w:sz w:val="24"/>
          <w:szCs w:val="24"/>
          <w:highlight w:val="none"/>
          <w:lang w:val="en-US" w:eastAsia="zh-CN" w:bidi="ar-SA"/>
        </w:rPr>
        <w:t>）：针对项目实际，提出采用新技术的具体措施。新技术的验证材料可靠，对节约投资和工期有保证措施。对采用新技术可能产生的风险有一定的预见。</w:t>
      </w:r>
    </w:p>
    <w:p w14:paraId="5A29F6D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中（3</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color w:val="auto"/>
          <w:kern w:val="2"/>
          <w:sz w:val="24"/>
          <w:szCs w:val="24"/>
          <w:highlight w:val="none"/>
          <w:lang w:val="en-US" w:eastAsia="zh-CN" w:bidi="ar-SA"/>
        </w:rPr>
        <w:t>）：有新技术措施，但验证材料不充分，对节约投资和工期可能有一定收益，对采用新技术可能产生的风险预见不足。</w:t>
      </w:r>
    </w:p>
    <w:p w14:paraId="41F3B0E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差（1.5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color w:val="auto"/>
          <w:kern w:val="2"/>
          <w:sz w:val="24"/>
          <w:szCs w:val="24"/>
          <w:highlight w:val="none"/>
          <w:lang w:val="en-US" w:eastAsia="zh-CN" w:bidi="ar-SA"/>
        </w:rPr>
        <w:t>）：采用的新技术针对性不强或验证材料不可靠，对节约投资和工期没有具体收益。</w:t>
      </w:r>
    </w:p>
    <w:p w14:paraId="1AD54143">
      <w:pPr>
        <w:keepNext w:val="0"/>
        <w:keepLines w:val="0"/>
        <w:pageBreakBefore w:val="0"/>
        <w:widowControl w:val="0"/>
        <w:numPr>
          <w:ilvl w:val="0"/>
          <w:numId w:val="0"/>
        </w:numPr>
        <w:tabs>
          <w:tab w:val="left" w:pos="1305"/>
        </w:tabs>
        <w:kinsoku/>
        <w:wordWrap/>
        <w:overflowPunct/>
        <w:topLinePunct w:val="0"/>
        <w:autoSpaceDE/>
        <w:autoSpaceDN/>
        <w:bidi w:val="0"/>
        <w:adjustRightInd/>
        <w:snapToGrid/>
        <w:spacing w:line="420" w:lineRule="exact"/>
        <w:ind w:left="479" w:leftChars="228" w:firstLine="0" w:firstLineChars="0"/>
        <w:textAlignment w:val="auto"/>
        <w:rPr>
          <w:rFonts w:hint="eastAsia" w:ascii="宋体" w:hAnsi="宋体" w:eastAsia="宋体" w:cs="宋体"/>
          <w:b/>
          <w:bCs/>
          <w:color w:val="auto"/>
          <w:sz w:val="24"/>
          <w:szCs w:val="24"/>
          <w:highlight w:val="none"/>
        </w:rPr>
      </w:pPr>
      <w:bookmarkStart w:id="191" w:name="_Toc27705"/>
      <w:bookmarkStart w:id="192" w:name="_Toc23170"/>
      <w:bookmarkStart w:id="193" w:name="_Toc10027"/>
      <w:bookmarkStart w:id="194" w:name="_Toc4007"/>
      <w:r>
        <w:rPr>
          <w:rFonts w:hint="eastAsia" w:ascii="宋体" w:hAnsi="宋体" w:eastAsia="宋体" w:cs="宋体"/>
          <w:b w:val="0"/>
          <w:bCs/>
          <w:color w:val="auto"/>
          <w:kern w:val="0"/>
          <w:sz w:val="24"/>
          <w:szCs w:val="24"/>
          <w:highlight w:val="none"/>
        </w:rPr>
        <w:t>注：供应商未提供上述“施工组织技术方案”相应内容的，相应项不得分。</w:t>
      </w:r>
      <w:bookmarkEnd w:id="191"/>
      <w:bookmarkEnd w:id="192"/>
      <w:bookmarkEnd w:id="193"/>
      <w:bookmarkEnd w:id="194"/>
      <w:r>
        <w:rPr>
          <w:rFonts w:hint="eastAsia" w:ascii="宋体" w:hAnsi="宋体" w:eastAsia="宋体" w:cs="宋体"/>
          <w:b/>
          <w:bCs/>
          <w:color w:val="auto"/>
          <w:kern w:val="0"/>
          <w:sz w:val="24"/>
          <w:szCs w:val="24"/>
          <w:highlight w:val="none"/>
        </w:rPr>
        <w:br w:type="textWrapping"/>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企业信誉与实力</w:t>
      </w:r>
      <w:r>
        <w:rPr>
          <w:rFonts w:hint="eastAsia" w:ascii="宋体" w:hAnsi="宋体" w:eastAsia="宋体" w:cs="宋体"/>
          <w:b/>
          <w:bCs/>
          <w:color w:val="auto"/>
          <w:sz w:val="24"/>
          <w:szCs w:val="24"/>
          <w:highlight w:val="none"/>
          <w:lang w:val="en-US" w:eastAsia="zh-CN"/>
        </w:rPr>
        <w:t>分</w:t>
      </w: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10</w:t>
      </w:r>
      <w:r>
        <w:rPr>
          <w:rFonts w:hint="eastAsia" w:ascii="宋体" w:hAnsi="宋体" w:eastAsia="宋体" w:cs="宋体"/>
          <w:b/>
          <w:bCs/>
          <w:color w:val="auto"/>
          <w:sz w:val="24"/>
          <w:szCs w:val="24"/>
          <w:highlight w:val="none"/>
        </w:rPr>
        <w:t>分</w:t>
      </w:r>
    </w:p>
    <w:p w14:paraId="2BF451B2">
      <w:pPr>
        <w:keepNext w:val="0"/>
        <w:keepLines w:val="0"/>
        <w:pageBreakBefore w:val="0"/>
        <w:widowControl w:val="0"/>
        <w:numPr>
          <w:ilvl w:val="0"/>
          <w:numId w:val="0"/>
        </w:numPr>
        <w:tabs>
          <w:tab w:val="left" w:pos="1305"/>
        </w:tabs>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供应商 202</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eastAsia="zh-CN"/>
        </w:rPr>
        <w:t>年以来具有</w:t>
      </w:r>
      <w:r>
        <w:rPr>
          <w:rFonts w:hint="eastAsia" w:ascii="宋体" w:hAnsi="宋体" w:cs="宋体"/>
          <w:color w:val="auto"/>
          <w:sz w:val="24"/>
          <w:szCs w:val="24"/>
          <w:highlight w:val="none"/>
          <w:lang w:eastAsia="zh-CN"/>
        </w:rPr>
        <w:t>类似工程业绩</w:t>
      </w:r>
      <w:r>
        <w:rPr>
          <w:rFonts w:hint="eastAsia" w:ascii="宋体" w:hAnsi="宋体" w:eastAsia="宋体" w:cs="宋体"/>
          <w:b w:val="0"/>
          <w:bCs w:val="0"/>
          <w:color w:val="auto"/>
          <w:sz w:val="24"/>
          <w:szCs w:val="24"/>
          <w:highlight w:val="none"/>
          <w:lang w:eastAsia="zh-CN"/>
        </w:rPr>
        <w:t>的每个得</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分</w:t>
      </w:r>
      <w:r>
        <w:rPr>
          <w:rFonts w:hint="eastAsia" w:ascii="宋体" w:hAnsi="宋体" w:eastAsia="宋体" w:cs="宋体"/>
          <w:b w:val="0"/>
          <w:bCs w:val="0"/>
          <w:color w:val="auto"/>
          <w:sz w:val="24"/>
          <w:szCs w:val="24"/>
          <w:highlight w:val="none"/>
        </w:rPr>
        <w:t>，满分</w:t>
      </w: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分[（业绩证明材料须提供中标</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成交通知书或</w:t>
      </w:r>
      <w:r>
        <w:rPr>
          <w:rFonts w:hint="eastAsia" w:ascii="宋体" w:hAnsi="宋体" w:eastAsia="宋体" w:cs="宋体"/>
          <w:b w:val="0"/>
          <w:bCs w:val="0"/>
          <w:color w:val="auto"/>
          <w:sz w:val="24"/>
          <w:szCs w:val="24"/>
          <w:highlight w:val="none"/>
          <w:lang w:eastAsia="zh-CN"/>
        </w:rPr>
        <w:t>签订的</w:t>
      </w:r>
      <w:r>
        <w:rPr>
          <w:rFonts w:hint="eastAsia" w:ascii="宋体" w:hAnsi="宋体" w:eastAsia="宋体" w:cs="宋体"/>
          <w:b w:val="0"/>
          <w:bCs w:val="0"/>
          <w:color w:val="auto"/>
          <w:sz w:val="24"/>
          <w:szCs w:val="24"/>
          <w:highlight w:val="none"/>
        </w:rPr>
        <w:t>合同复印</w:t>
      </w:r>
      <w:r>
        <w:rPr>
          <w:rFonts w:hint="eastAsia" w:ascii="宋体" w:hAnsi="宋体" w:cs="宋体"/>
          <w:b w:val="0"/>
          <w:bCs w:val="0"/>
          <w:color w:val="auto"/>
          <w:sz w:val="24"/>
          <w:szCs w:val="24"/>
          <w:highlight w:val="none"/>
          <w:lang w:val="en-US" w:eastAsia="zh-CN"/>
        </w:rPr>
        <w:t>或</w:t>
      </w:r>
      <w:r>
        <w:rPr>
          <w:rFonts w:hint="eastAsia" w:ascii="宋体" w:hAnsi="宋体" w:eastAsia="宋体" w:cs="宋体"/>
          <w:b w:val="0"/>
          <w:bCs w:val="0"/>
          <w:color w:val="auto"/>
          <w:sz w:val="24"/>
          <w:szCs w:val="24"/>
          <w:highlight w:val="none"/>
          <w:lang w:eastAsia="zh-CN"/>
        </w:rPr>
        <w:t>竣工验收意见书</w:t>
      </w:r>
      <w:r>
        <w:rPr>
          <w:rFonts w:hint="eastAsia" w:ascii="宋体" w:hAnsi="宋体" w:eastAsia="宋体" w:cs="宋体"/>
          <w:b w:val="0"/>
          <w:bCs w:val="0"/>
          <w:color w:val="auto"/>
          <w:sz w:val="24"/>
          <w:szCs w:val="24"/>
          <w:highlight w:val="none"/>
        </w:rPr>
        <w:t>并加盖供应商公章（CA签章）]。</w:t>
      </w:r>
    </w:p>
    <w:p w14:paraId="60031324">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firstLine="482" w:firstLineChars="200"/>
        <w:textAlignment w:val="auto"/>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4</w:t>
      </w:r>
      <w:r>
        <w:rPr>
          <w:rFonts w:hint="eastAsia" w:ascii="宋体" w:hAnsi="宋体" w:eastAsia="宋体" w:cs="宋体"/>
          <w:b/>
          <w:color w:val="auto"/>
          <w:sz w:val="24"/>
          <w:szCs w:val="24"/>
          <w:highlight w:val="none"/>
          <w:lang w:val="en-US" w:eastAsia="zh-CN"/>
        </w:rPr>
        <w:t>、综合得分＝1+2+3</w:t>
      </w:r>
    </w:p>
    <w:p w14:paraId="71793D49">
      <w:pPr>
        <w:keepNext w:val="0"/>
        <w:keepLines w:val="0"/>
        <w:pageBreakBefore w:val="0"/>
        <w:widowControl w:val="0"/>
        <w:tabs>
          <w:tab w:val="left" w:pos="1305"/>
        </w:tabs>
        <w:kinsoku/>
        <w:wordWrap/>
        <w:overflowPunct/>
        <w:topLinePunct w:val="0"/>
        <w:autoSpaceDE/>
        <w:autoSpaceDN/>
        <w:bidi w:val="0"/>
        <w:adjustRightInd/>
        <w:snapToGrid/>
        <w:spacing w:line="420" w:lineRule="exact"/>
        <w:ind w:firstLine="482" w:firstLineChars="200"/>
        <w:textAlignment w:val="auto"/>
        <w:outlineLvl w:val="1"/>
        <w:rPr>
          <w:rFonts w:hint="eastAsia" w:ascii="宋体" w:hAnsi="宋体" w:eastAsia="宋体" w:cs="宋体"/>
          <w:b/>
          <w:color w:val="auto"/>
          <w:sz w:val="24"/>
          <w:szCs w:val="24"/>
          <w:highlight w:val="none"/>
        </w:rPr>
      </w:pPr>
      <w:bookmarkStart w:id="195" w:name="_Toc19546"/>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推荐成交候选人原则</w:t>
      </w:r>
      <w:bookmarkEnd w:id="195"/>
    </w:p>
    <w:p w14:paraId="7112AD23">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小组应当根据综合评分情况，按照综合得分由高到低顺序推荐三名成交候选供应商，并编写评审报告。磋商小组根据综合得分由高到低排列次序，若得分相同时，以最后报价由低到高顺序排列；若仍相同的，依次按技术分、</w:t>
      </w:r>
      <w:r>
        <w:rPr>
          <w:rFonts w:hint="eastAsia" w:ascii="宋体" w:hAnsi="宋体" w:cs="宋体"/>
          <w:color w:val="auto"/>
          <w:sz w:val="24"/>
          <w:szCs w:val="24"/>
          <w:highlight w:val="none"/>
          <w:lang w:val="en-US" w:eastAsia="zh-CN"/>
        </w:rPr>
        <w:t>项目管理机构</w:t>
      </w:r>
      <w:r>
        <w:rPr>
          <w:rFonts w:hint="eastAsia" w:ascii="宋体" w:hAnsi="宋体" w:eastAsia="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业绩分</w:t>
      </w:r>
      <w:r>
        <w:rPr>
          <w:rFonts w:hint="eastAsia" w:ascii="宋体" w:hAnsi="宋体" w:eastAsia="宋体" w:cs="宋体"/>
          <w:color w:val="auto"/>
          <w:sz w:val="24"/>
          <w:szCs w:val="24"/>
          <w:highlight w:val="none"/>
        </w:rPr>
        <w:t>由高到低顺序排列并推荐成交候选供应商。</w:t>
      </w:r>
    </w:p>
    <w:p w14:paraId="201911A7">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（2）采购人应当确定磋商小组推荐排名第一的成交候选供应商为成交供应商。</w:t>
      </w:r>
    </w:p>
    <w:p w14:paraId="134B47A9">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（3）排名第一的成交候选供应商放弃成交、因不可抗力提出不能履行合同，采购人可以按照评审报告推荐的成交候选供应商名单排序，确定下一候选供应商为成交供应商，也可以重新开展政府采购活动。</w:t>
      </w:r>
    </w:p>
    <w:p w14:paraId="47916247">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磋商小组认为，某供应商的响应报价或者某些分项报价明显不合理或者低于成本，有可能影响质量和不能诚信履约的，应要求其在规定的期限内提供书面文件予以解释说明，并提交相关证明材料，否则，磋商小组可以取消该供应商的成交候选资格，按顺序由排在其后面的供应商递补，以此类推。</w:t>
      </w:r>
    </w:p>
    <w:p w14:paraId="4902A127">
      <w:pPr>
        <w:pStyle w:val="24"/>
        <w:rPr>
          <w:rFonts w:hint="eastAsia"/>
          <w:color w:val="auto"/>
          <w:highlight w:val="none"/>
        </w:rPr>
      </w:pPr>
    </w:p>
    <w:p w14:paraId="6A77079E">
      <w:pPr>
        <w:keepNext w:val="0"/>
        <w:keepLines w:val="0"/>
        <w:pageBreakBefore w:val="0"/>
        <w:widowControl w:val="0"/>
        <w:tabs>
          <w:tab w:val="left" w:pos="1305"/>
        </w:tabs>
        <w:kinsoku/>
        <w:wordWrap/>
        <w:overflowPunct/>
        <w:topLinePunct w:val="0"/>
        <w:autoSpaceDE/>
        <w:autoSpaceDN/>
        <w:bidi w:val="0"/>
        <w:adjustRightInd/>
        <w:snapToGrid/>
        <w:spacing w:line="420" w:lineRule="exact"/>
        <w:ind w:firstLine="482" w:firstLineChars="200"/>
        <w:textAlignment w:val="auto"/>
        <w:outlineLvl w:val="1"/>
        <w:rPr>
          <w:rFonts w:hint="eastAsia" w:ascii="宋体" w:hAnsi="宋体" w:eastAsia="宋体" w:cs="宋体"/>
          <w:b/>
          <w:color w:val="auto"/>
          <w:sz w:val="24"/>
          <w:szCs w:val="24"/>
          <w:highlight w:val="none"/>
          <w:lang w:eastAsia="zh-CN"/>
        </w:rPr>
      </w:pPr>
      <w:bookmarkStart w:id="196" w:name="_Toc23442"/>
      <w:r>
        <w:rPr>
          <w:rFonts w:hint="eastAsia" w:ascii="宋体" w:hAnsi="宋体" w:eastAsia="宋体" w:cs="宋体"/>
          <w:b/>
          <w:color w:val="auto"/>
          <w:sz w:val="24"/>
          <w:szCs w:val="24"/>
          <w:highlight w:val="none"/>
          <w:lang w:eastAsia="zh-CN"/>
        </w:rPr>
        <w:t>四、特别说明</w:t>
      </w:r>
    </w:p>
    <w:p w14:paraId="51300CE7">
      <w:pPr>
        <w:pStyle w:val="28"/>
        <w:spacing w:line="360" w:lineRule="exact"/>
        <w:ind w:firstLine="482" w:firstLineChars="200"/>
        <w:rPr>
          <w:rFonts w:hAnsi="宋体"/>
          <w:b/>
          <w:color w:val="auto"/>
          <w:sz w:val="24"/>
          <w:szCs w:val="24"/>
          <w:lang w:eastAsia="zh-CN"/>
        </w:rPr>
      </w:pPr>
      <w:r>
        <w:rPr>
          <w:rFonts w:hint="eastAsia" w:hAnsi="宋体"/>
          <w:b/>
          <w:bCs/>
          <w:color w:val="auto"/>
          <w:sz w:val="24"/>
          <w:szCs w:val="24"/>
          <w:u w:val="single"/>
          <w:lang w:eastAsia="zh-CN"/>
        </w:rPr>
        <w:t>项目评审时，磋商小组认为竞标人的报价明显低于其他通过符合性审查竞标人的报价，有可能影响产品质量或者不能诚信履约的，其应当在评标现场合理的时间内提供书面说明，必要时提交相关证明材料；竞标人不能证明其报价合理性的，磋商小组将其作为无效竞标处理。</w:t>
      </w:r>
    </w:p>
    <w:p w14:paraId="4956F39C">
      <w:pPr>
        <w:spacing w:before="164" w:line="226" w:lineRule="auto"/>
        <w:ind w:left="457"/>
        <w:rPr>
          <w:rFonts w:hint="eastAsia" w:ascii="宋体" w:hAnsi="宋体" w:eastAsia="宋体" w:cs="宋体"/>
          <w:color w:val="auto"/>
          <w:sz w:val="24"/>
          <w:szCs w:val="24"/>
          <w:lang w:eastAsia="zh-CN"/>
        </w:rPr>
      </w:pPr>
      <w:r>
        <w:rPr>
          <w:rFonts w:hint="eastAsia" w:ascii="宋体" w:hAnsi="宋体" w:eastAsia="宋体" w:cs="宋体"/>
          <w:color w:val="auto"/>
          <w:spacing w:val="9"/>
          <w:sz w:val="24"/>
          <w:szCs w:val="24"/>
          <w:lang w:eastAsia="zh-CN"/>
        </w:rPr>
        <w:t>1）磋商小组在评审中发现下列情形之一的，应当启动异常低价投</w:t>
      </w:r>
      <w:r>
        <w:rPr>
          <w:rFonts w:hint="eastAsia" w:ascii="宋体" w:hAnsi="宋体" w:eastAsia="宋体" w:cs="宋体"/>
          <w:color w:val="auto"/>
          <w:spacing w:val="8"/>
          <w:sz w:val="24"/>
          <w:szCs w:val="24"/>
          <w:lang w:eastAsia="zh-CN"/>
        </w:rPr>
        <w:t>标审查程序：</w:t>
      </w:r>
    </w:p>
    <w:p w14:paraId="6CFEFA4E">
      <w:pPr>
        <w:spacing w:before="162" w:line="377" w:lineRule="auto"/>
        <w:ind w:left="22" w:right="58" w:firstLine="419"/>
        <w:rPr>
          <w:rFonts w:hint="eastAsia" w:ascii="宋体" w:hAnsi="宋体" w:eastAsia="宋体" w:cs="宋体"/>
          <w:color w:val="auto"/>
          <w:sz w:val="24"/>
          <w:szCs w:val="24"/>
          <w:lang w:eastAsia="zh-CN"/>
        </w:rPr>
      </w:pPr>
      <w:r>
        <w:rPr>
          <w:rFonts w:hint="eastAsia" w:ascii="宋体" w:hAnsi="宋体" w:eastAsia="宋体" w:cs="宋体"/>
          <w:color w:val="auto"/>
          <w:spacing w:val="8"/>
          <w:sz w:val="24"/>
          <w:szCs w:val="24"/>
          <w:lang w:eastAsia="zh-CN"/>
        </w:rPr>
        <w:t>①</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报价低于全部通过符合性审查投标人</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报价平均值</w:t>
      </w:r>
      <w:r>
        <w:rPr>
          <w:rFonts w:hint="eastAsia" w:ascii="宋体" w:hAnsi="宋体" w:eastAsia="宋体" w:cs="宋体"/>
          <w:color w:val="auto"/>
          <w:spacing w:val="-33"/>
          <w:sz w:val="24"/>
          <w:szCs w:val="24"/>
          <w:lang w:eastAsia="zh-CN"/>
        </w:rPr>
        <w:t xml:space="preserve"> </w:t>
      </w:r>
      <w:r>
        <w:rPr>
          <w:rFonts w:hint="eastAsia" w:ascii="宋体" w:hAnsi="宋体" w:eastAsia="宋体" w:cs="宋体"/>
          <w:color w:val="auto"/>
          <w:spacing w:val="8"/>
          <w:sz w:val="24"/>
          <w:szCs w:val="24"/>
          <w:u w:val="single"/>
          <w:lang w:eastAsia="zh-CN"/>
        </w:rPr>
        <w:t>50%</w:t>
      </w:r>
      <w:r>
        <w:rPr>
          <w:rFonts w:hint="eastAsia" w:ascii="宋体" w:hAnsi="宋体" w:eastAsia="宋体" w:cs="宋体"/>
          <w:color w:val="auto"/>
          <w:spacing w:val="8"/>
          <w:sz w:val="24"/>
          <w:szCs w:val="24"/>
          <w:lang w:eastAsia="zh-CN"/>
        </w:rPr>
        <w:t>的，即</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报</w:t>
      </w:r>
      <w:r>
        <w:rPr>
          <w:rFonts w:hint="eastAsia" w:ascii="宋体" w:hAnsi="宋体" w:eastAsia="宋体" w:cs="宋体"/>
          <w:color w:val="auto"/>
          <w:spacing w:val="7"/>
          <w:sz w:val="24"/>
          <w:szCs w:val="24"/>
          <w:lang w:eastAsia="zh-CN"/>
        </w:rPr>
        <w:t>价＜全部</w:t>
      </w:r>
      <w:r>
        <w:rPr>
          <w:rFonts w:hint="eastAsia" w:ascii="宋体" w:hAnsi="宋体" w:eastAsia="宋体" w:cs="宋体"/>
          <w:color w:val="auto"/>
          <w:spacing w:val="8"/>
          <w:sz w:val="24"/>
          <w:szCs w:val="24"/>
          <w:lang w:eastAsia="zh-CN"/>
        </w:rPr>
        <w:t>通过符合性审查</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人</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报价平均值×</w:t>
      </w:r>
      <w:r>
        <w:rPr>
          <w:rFonts w:hint="eastAsia" w:ascii="宋体" w:hAnsi="宋体" w:eastAsia="宋体" w:cs="宋体"/>
          <w:color w:val="auto"/>
          <w:spacing w:val="8"/>
          <w:sz w:val="24"/>
          <w:szCs w:val="24"/>
          <w:u w:val="single"/>
          <w:lang w:eastAsia="zh-CN"/>
        </w:rPr>
        <w:t>50%</w:t>
      </w:r>
      <w:r>
        <w:rPr>
          <w:rFonts w:hint="eastAsia" w:ascii="宋体" w:hAnsi="宋体" w:eastAsia="宋体" w:cs="宋体"/>
          <w:color w:val="auto"/>
          <w:spacing w:val="8"/>
          <w:sz w:val="24"/>
          <w:szCs w:val="24"/>
          <w:lang w:eastAsia="zh-CN"/>
        </w:rPr>
        <w:t>；</w:t>
      </w:r>
    </w:p>
    <w:p w14:paraId="65858F10">
      <w:pPr>
        <w:spacing w:before="1" w:line="377" w:lineRule="auto"/>
        <w:ind w:left="23" w:right="58" w:firstLine="416"/>
        <w:rPr>
          <w:rFonts w:hint="eastAsia" w:ascii="宋体" w:hAnsi="宋体" w:eastAsia="宋体" w:cs="宋体"/>
          <w:color w:val="auto"/>
          <w:sz w:val="24"/>
          <w:szCs w:val="24"/>
          <w:lang w:eastAsia="zh-CN"/>
        </w:rPr>
      </w:pPr>
      <w:r>
        <w:rPr>
          <w:rFonts w:hint="eastAsia" w:ascii="宋体" w:hAnsi="宋体" w:eastAsia="宋体" w:cs="宋体"/>
          <w:color w:val="auto"/>
          <w:spacing w:val="8"/>
          <w:sz w:val="24"/>
          <w:szCs w:val="24"/>
          <w:lang w:eastAsia="zh-CN"/>
        </w:rPr>
        <w:t>②</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报价低于通过符合性审查的次低报价</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人投标报价</w:t>
      </w:r>
      <w:r>
        <w:rPr>
          <w:rFonts w:hint="eastAsia" w:ascii="宋体" w:hAnsi="宋体" w:eastAsia="宋体" w:cs="宋体"/>
          <w:color w:val="auto"/>
          <w:spacing w:val="-33"/>
          <w:sz w:val="24"/>
          <w:szCs w:val="24"/>
          <w:lang w:eastAsia="zh-CN"/>
        </w:rPr>
        <w:t xml:space="preserve"> </w:t>
      </w:r>
      <w:r>
        <w:rPr>
          <w:rFonts w:hint="eastAsia" w:ascii="宋体" w:hAnsi="宋体" w:eastAsia="宋体" w:cs="宋体"/>
          <w:color w:val="auto"/>
          <w:spacing w:val="8"/>
          <w:sz w:val="24"/>
          <w:szCs w:val="24"/>
          <w:u w:val="single"/>
          <w:lang w:eastAsia="zh-CN"/>
        </w:rPr>
        <w:t>50%</w:t>
      </w:r>
      <w:r>
        <w:rPr>
          <w:rFonts w:hint="eastAsia" w:ascii="宋体" w:hAnsi="宋体" w:eastAsia="宋体" w:cs="宋体"/>
          <w:color w:val="auto"/>
          <w:spacing w:val="8"/>
          <w:sz w:val="24"/>
          <w:szCs w:val="24"/>
          <w:lang w:eastAsia="zh-CN"/>
        </w:rPr>
        <w:t>的，即</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报价</w:t>
      </w:r>
      <w:r>
        <w:rPr>
          <w:rFonts w:hint="eastAsia" w:ascii="宋体" w:hAnsi="宋体" w:eastAsia="宋体" w:cs="宋体"/>
          <w:color w:val="auto"/>
          <w:spacing w:val="7"/>
          <w:sz w:val="24"/>
          <w:szCs w:val="24"/>
          <w:lang w:eastAsia="zh-CN"/>
        </w:rPr>
        <w:t>＜通过</w:t>
      </w:r>
      <w:r>
        <w:rPr>
          <w:rFonts w:hint="eastAsia" w:ascii="宋体" w:hAnsi="宋体" w:eastAsia="宋体" w:cs="宋体"/>
          <w:color w:val="auto"/>
          <w:spacing w:val="8"/>
          <w:sz w:val="24"/>
          <w:szCs w:val="24"/>
          <w:lang w:eastAsia="zh-CN"/>
        </w:rPr>
        <w:t>符合性审查的次低报价</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人投标报价×</w:t>
      </w:r>
      <w:r>
        <w:rPr>
          <w:rFonts w:hint="eastAsia" w:ascii="宋体" w:hAnsi="宋体" w:eastAsia="宋体" w:cs="宋体"/>
          <w:color w:val="auto"/>
          <w:spacing w:val="8"/>
          <w:sz w:val="24"/>
          <w:szCs w:val="24"/>
          <w:u w:val="single"/>
          <w:lang w:eastAsia="zh-CN"/>
        </w:rPr>
        <w:t>50%</w:t>
      </w:r>
      <w:r>
        <w:rPr>
          <w:rFonts w:hint="eastAsia" w:ascii="宋体" w:hAnsi="宋体" w:eastAsia="宋体" w:cs="宋体"/>
          <w:color w:val="auto"/>
          <w:spacing w:val="8"/>
          <w:sz w:val="24"/>
          <w:szCs w:val="24"/>
          <w:lang w:eastAsia="zh-CN"/>
        </w:rPr>
        <w:t>；</w:t>
      </w:r>
    </w:p>
    <w:p w14:paraId="06ABB2B6">
      <w:pPr>
        <w:spacing w:before="1" w:line="225" w:lineRule="auto"/>
        <w:ind w:left="440"/>
        <w:rPr>
          <w:rFonts w:hint="eastAsia"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③</w:t>
      </w:r>
      <w:r>
        <w:rPr>
          <w:rFonts w:hint="eastAsia" w:hAnsi="宋体"/>
          <w:b w:val="0"/>
          <w:bCs w:val="0"/>
          <w:color w:val="auto"/>
          <w:sz w:val="24"/>
          <w:szCs w:val="24"/>
          <w:u w:val="none"/>
          <w:lang w:eastAsia="zh-CN"/>
        </w:rPr>
        <w:t>竞标</w:t>
      </w:r>
      <w:r>
        <w:rPr>
          <w:rFonts w:hint="eastAsia" w:ascii="宋体" w:hAnsi="宋体" w:eastAsia="宋体" w:cs="宋体"/>
          <w:color w:val="auto"/>
          <w:spacing w:val="10"/>
          <w:sz w:val="24"/>
          <w:szCs w:val="24"/>
          <w:lang w:eastAsia="zh-CN"/>
        </w:rPr>
        <w:t>报价低于采购项目最高限价</w:t>
      </w:r>
      <w:r>
        <w:rPr>
          <w:rFonts w:hint="eastAsia" w:ascii="宋体" w:hAnsi="宋体" w:eastAsia="宋体" w:cs="宋体"/>
          <w:color w:val="auto"/>
          <w:spacing w:val="10"/>
          <w:sz w:val="24"/>
          <w:szCs w:val="24"/>
          <w:u w:val="single"/>
          <w:lang w:eastAsia="zh-CN"/>
        </w:rPr>
        <w:t>45%</w:t>
      </w:r>
      <w:r>
        <w:rPr>
          <w:rFonts w:hint="eastAsia" w:ascii="宋体" w:hAnsi="宋体" w:eastAsia="宋体" w:cs="宋体"/>
          <w:color w:val="auto"/>
          <w:spacing w:val="10"/>
          <w:sz w:val="24"/>
          <w:szCs w:val="24"/>
          <w:lang w:eastAsia="zh-CN"/>
        </w:rPr>
        <w:t>的，即投标报价＜采购项目最高限价×</w:t>
      </w:r>
      <w:r>
        <w:rPr>
          <w:rFonts w:hint="eastAsia" w:ascii="宋体" w:hAnsi="宋体" w:eastAsia="宋体" w:cs="宋体"/>
          <w:color w:val="auto"/>
          <w:spacing w:val="10"/>
          <w:sz w:val="24"/>
          <w:szCs w:val="24"/>
          <w:u w:val="single"/>
          <w:lang w:eastAsia="zh-CN"/>
        </w:rPr>
        <w:t>45%</w:t>
      </w:r>
      <w:r>
        <w:rPr>
          <w:rFonts w:hint="eastAsia" w:ascii="宋体" w:hAnsi="宋体" w:eastAsia="宋体" w:cs="宋体"/>
          <w:color w:val="auto"/>
          <w:spacing w:val="10"/>
          <w:sz w:val="24"/>
          <w:szCs w:val="24"/>
          <w:lang w:eastAsia="zh-CN"/>
        </w:rPr>
        <w:t>；</w:t>
      </w:r>
    </w:p>
    <w:p w14:paraId="5C4D28FA">
      <w:pPr>
        <w:spacing w:before="163" w:line="378" w:lineRule="auto"/>
        <w:ind w:left="25" w:right="58" w:firstLine="414"/>
        <w:rPr>
          <w:rFonts w:hint="eastAsia" w:ascii="宋体" w:hAnsi="宋体" w:eastAsia="宋体" w:cs="宋体"/>
          <w:color w:val="auto"/>
          <w:sz w:val="24"/>
          <w:szCs w:val="24"/>
          <w:lang w:eastAsia="zh-CN"/>
        </w:rPr>
      </w:pPr>
      <w:r>
        <w:rPr>
          <w:rFonts w:hint="eastAsia" w:ascii="宋体" w:hAnsi="宋体" w:eastAsia="宋体" w:cs="宋体"/>
          <w:color w:val="auto"/>
          <w:spacing w:val="7"/>
          <w:sz w:val="24"/>
          <w:szCs w:val="24"/>
          <w:lang w:eastAsia="zh-CN"/>
        </w:rPr>
        <w:t>④磋商小组基于专业判断，认为</w:t>
      </w:r>
      <w:r>
        <w:rPr>
          <w:rFonts w:hint="eastAsia" w:hAnsi="宋体"/>
          <w:b w:val="0"/>
          <w:bCs w:val="0"/>
          <w:color w:val="auto"/>
          <w:sz w:val="24"/>
          <w:szCs w:val="24"/>
          <w:u w:val="none"/>
          <w:lang w:eastAsia="zh-CN"/>
        </w:rPr>
        <w:t>竞标</w:t>
      </w:r>
      <w:r>
        <w:rPr>
          <w:rFonts w:hint="eastAsia" w:ascii="宋体" w:hAnsi="宋体" w:eastAsia="宋体" w:cs="宋体"/>
          <w:color w:val="auto"/>
          <w:spacing w:val="7"/>
          <w:sz w:val="24"/>
          <w:szCs w:val="24"/>
          <w:lang w:eastAsia="zh-CN"/>
        </w:rPr>
        <w:t>人报价过低，有可能影响产品质量或者不能诚信履约的其他情形。</w:t>
      </w:r>
    </w:p>
    <w:p w14:paraId="5FDB4157">
      <w:pPr>
        <w:spacing w:before="3" w:line="376" w:lineRule="auto"/>
        <w:ind w:left="22" w:right="58" w:firstLine="422"/>
        <w:rPr>
          <w:rFonts w:hint="eastAsia" w:ascii="宋体" w:hAnsi="宋体" w:eastAsia="宋体" w:cs="宋体"/>
          <w:color w:val="auto"/>
          <w:sz w:val="24"/>
          <w:szCs w:val="24"/>
          <w:lang w:eastAsia="zh-CN"/>
        </w:rPr>
      </w:pPr>
      <w:r>
        <w:rPr>
          <w:rFonts w:hint="eastAsia" w:ascii="宋体" w:hAnsi="宋体" w:eastAsia="宋体" w:cs="宋体"/>
          <w:color w:val="auto"/>
          <w:spacing w:val="8"/>
          <w:sz w:val="24"/>
          <w:szCs w:val="24"/>
          <w:lang w:eastAsia="zh-CN"/>
        </w:rPr>
        <w:t>2）磋商小组启动异常低价</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审查后，属于前述第</w:t>
      </w:r>
      <w:r>
        <w:rPr>
          <w:rFonts w:hint="eastAsia" w:ascii="宋体" w:hAnsi="宋体" w:eastAsia="宋体" w:cs="宋体"/>
          <w:color w:val="auto"/>
          <w:spacing w:val="-23"/>
          <w:sz w:val="24"/>
          <w:szCs w:val="24"/>
          <w:lang w:eastAsia="zh-CN"/>
        </w:rPr>
        <w:t xml:space="preserve"> </w:t>
      </w:r>
      <w:r>
        <w:rPr>
          <w:rFonts w:hint="eastAsia" w:ascii="宋体" w:hAnsi="宋体" w:eastAsia="宋体" w:cs="宋体"/>
          <w:color w:val="auto"/>
          <w:spacing w:val="8"/>
          <w:sz w:val="24"/>
          <w:szCs w:val="24"/>
          <w:lang w:eastAsia="zh-CN"/>
        </w:rPr>
        <w:t>1</w:t>
      </w:r>
      <w:r>
        <w:rPr>
          <w:rFonts w:hint="eastAsia" w:ascii="宋体" w:hAnsi="宋体" w:eastAsia="宋体" w:cs="宋体"/>
          <w:color w:val="auto"/>
          <w:spacing w:val="-34"/>
          <w:sz w:val="24"/>
          <w:szCs w:val="24"/>
          <w:lang w:eastAsia="zh-CN"/>
        </w:rPr>
        <w:t xml:space="preserve"> </w:t>
      </w:r>
      <w:r>
        <w:rPr>
          <w:rFonts w:hint="eastAsia" w:ascii="宋体" w:hAnsi="宋体" w:eastAsia="宋体" w:cs="宋体"/>
          <w:color w:val="auto"/>
          <w:spacing w:val="8"/>
          <w:sz w:val="24"/>
          <w:szCs w:val="24"/>
          <w:lang w:eastAsia="zh-CN"/>
        </w:rPr>
        <w:t>项至第</w:t>
      </w:r>
      <w:r>
        <w:rPr>
          <w:rFonts w:hint="eastAsia" w:ascii="宋体" w:hAnsi="宋体" w:eastAsia="宋体" w:cs="宋体"/>
          <w:color w:val="auto"/>
          <w:spacing w:val="-40"/>
          <w:sz w:val="24"/>
          <w:szCs w:val="24"/>
          <w:lang w:eastAsia="zh-CN"/>
        </w:rPr>
        <w:t xml:space="preserve"> </w:t>
      </w:r>
      <w:r>
        <w:rPr>
          <w:rFonts w:hint="eastAsia" w:ascii="宋体" w:hAnsi="宋体" w:eastAsia="宋体" w:cs="宋体"/>
          <w:color w:val="auto"/>
          <w:spacing w:val="8"/>
          <w:sz w:val="24"/>
          <w:szCs w:val="24"/>
          <w:lang w:eastAsia="zh-CN"/>
        </w:rPr>
        <w:t>4</w:t>
      </w:r>
      <w:r>
        <w:rPr>
          <w:rFonts w:hint="eastAsia" w:ascii="宋体" w:hAnsi="宋体" w:eastAsia="宋体" w:cs="宋体"/>
          <w:color w:val="auto"/>
          <w:spacing w:val="-35"/>
          <w:sz w:val="24"/>
          <w:szCs w:val="24"/>
          <w:lang w:eastAsia="zh-CN"/>
        </w:rPr>
        <w:t xml:space="preserve"> </w:t>
      </w:r>
      <w:r>
        <w:rPr>
          <w:rFonts w:hint="eastAsia" w:ascii="宋体" w:hAnsi="宋体" w:eastAsia="宋体" w:cs="宋体"/>
          <w:color w:val="auto"/>
          <w:spacing w:val="8"/>
          <w:sz w:val="24"/>
          <w:szCs w:val="24"/>
          <w:lang w:eastAsia="zh-CN"/>
        </w:rPr>
        <w:t>项情形的，应当要求</w:t>
      </w:r>
      <w:r>
        <w:rPr>
          <w:rFonts w:hint="eastAsia" w:ascii="宋体" w:hAnsi="宋体" w:eastAsia="宋体" w:cs="宋体"/>
          <w:color w:val="auto"/>
          <w:spacing w:val="7"/>
          <w:sz w:val="24"/>
          <w:szCs w:val="24"/>
          <w:lang w:eastAsia="zh-CN"/>
        </w:rPr>
        <w:t>相关</w:t>
      </w:r>
      <w:r>
        <w:rPr>
          <w:rFonts w:hint="eastAsia" w:hAnsi="宋体"/>
          <w:b w:val="0"/>
          <w:bCs w:val="0"/>
          <w:color w:val="auto"/>
          <w:sz w:val="24"/>
          <w:szCs w:val="24"/>
          <w:u w:val="none"/>
          <w:lang w:eastAsia="zh-CN"/>
        </w:rPr>
        <w:t>竞标</w:t>
      </w:r>
      <w:r>
        <w:rPr>
          <w:rFonts w:hint="eastAsia" w:ascii="宋体" w:hAnsi="宋体" w:eastAsia="宋体" w:cs="宋体"/>
          <w:color w:val="auto"/>
          <w:spacing w:val="7"/>
          <w:sz w:val="24"/>
          <w:szCs w:val="24"/>
          <w:lang w:eastAsia="zh-CN"/>
        </w:rPr>
        <w:t>人在评审现场合理的时间内对</w:t>
      </w:r>
      <w:r>
        <w:rPr>
          <w:rFonts w:hint="eastAsia" w:hAnsi="宋体"/>
          <w:b w:val="0"/>
          <w:bCs w:val="0"/>
          <w:color w:val="auto"/>
          <w:sz w:val="24"/>
          <w:szCs w:val="24"/>
          <w:u w:val="none"/>
          <w:lang w:eastAsia="zh-CN"/>
        </w:rPr>
        <w:t>竞标</w:t>
      </w:r>
      <w:r>
        <w:rPr>
          <w:rFonts w:hint="eastAsia" w:ascii="宋体" w:hAnsi="宋体" w:eastAsia="宋体" w:cs="宋体"/>
          <w:color w:val="auto"/>
          <w:spacing w:val="7"/>
          <w:sz w:val="24"/>
          <w:szCs w:val="24"/>
          <w:lang w:eastAsia="zh-CN"/>
        </w:rPr>
        <w:t>价格作出解释，提供项目具体成本测算等与报价合理性相关的书面说明及必要的证明材料，包括但不限于原材料成本、人工成本、制造费用</w:t>
      </w:r>
      <w:r>
        <w:rPr>
          <w:rFonts w:hint="eastAsia" w:ascii="宋体" w:hAnsi="宋体" w:eastAsia="宋体" w:cs="宋体"/>
          <w:color w:val="auto"/>
          <w:spacing w:val="9"/>
          <w:sz w:val="24"/>
          <w:szCs w:val="24"/>
          <w:lang w:eastAsia="zh-CN"/>
        </w:rPr>
        <w:t>等，给予相关</w:t>
      </w:r>
      <w:r>
        <w:rPr>
          <w:rFonts w:hint="eastAsia" w:hAnsi="宋体"/>
          <w:b w:val="0"/>
          <w:bCs w:val="0"/>
          <w:color w:val="auto"/>
          <w:sz w:val="24"/>
          <w:szCs w:val="24"/>
          <w:u w:val="none"/>
          <w:lang w:eastAsia="zh-CN"/>
        </w:rPr>
        <w:t>竞标</w:t>
      </w:r>
      <w:r>
        <w:rPr>
          <w:rFonts w:hint="eastAsia" w:ascii="宋体" w:hAnsi="宋体" w:eastAsia="宋体" w:cs="宋体"/>
          <w:color w:val="auto"/>
          <w:spacing w:val="9"/>
          <w:sz w:val="24"/>
          <w:szCs w:val="24"/>
          <w:lang w:eastAsia="zh-CN"/>
        </w:rPr>
        <w:t>人的合理时间一般不少于</w:t>
      </w:r>
      <w:r>
        <w:rPr>
          <w:rFonts w:hint="eastAsia" w:ascii="宋体" w:hAnsi="宋体" w:eastAsia="宋体" w:cs="宋体"/>
          <w:color w:val="auto"/>
          <w:spacing w:val="-28"/>
          <w:sz w:val="24"/>
          <w:szCs w:val="24"/>
          <w:lang w:eastAsia="zh-CN"/>
        </w:rPr>
        <w:t xml:space="preserve"> </w:t>
      </w:r>
      <w:r>
        <w:rPr>
          <w:rFonts w:hint="eastAsia" w:ascii="宋体" w:hAnsi="宋体" w:eastAsia="宋体" w:cs="宋体"/>
          <w:color w:val="auto"/>
          <w:spacing w:val="9"/>
          <w:sz w:val="24"/>
          <w:szCs w:val="24"/>
          <w:lang w:eastAsia="zh-CN"/>
        </w:rPr>
        <w:t>30</w:t>
      </w:r>
      <w:r>
        <w:rPr>
          <w:rFonts w:hint="eastAsia" w:ascii="宋体" w:hAnsi="宋体" w:eastAsia="宋体" w:cs="宋体"/>
          <w:color w:val="auto"/>
          <w:spacing w:val="-38"/>
          <w:sz w:val="24"/>
          <w:szCs w:val="24"/>
          <w:lang w:eastAsia="zh-CN"/>
        </w:rPr>
        <w:t xml:space="preserve"> </w:t>
      </w:r>
      <w:r>
        <w:rPr>
          <w:rFonts w:hint="eastAsia" w:ascii="宋体" w:hAnsi="宋体" w:eastAsia="宋体" w:cs="宋体"/>
          <w:color w:val="auto"/>
          <w:spacing w:val="9"/>
          <w:sz w:val="24"/>
          <w:szCs w:val="24"/>
          <w:lang w:eastAsia="zh-CN"/>
        </w:rPr>
        <w:t>分钟。其中，属于第③项情形，</w:t>
      </w:r>
      <w:r>
        <w:rPr>
          <w:rFonts w:hint="eastAsia" w:hAnsi="宋体"/>
          <w:b w:val="0"/>
          <w:bCs w:val="0"/>
          <w:color w:val="auto"/>
          <w:sz w:val="24"/>
          <w:szCs w:val="24"/>
          <w:u w:val="none"/>
          <w:lang w:eastAsia="zh-CN"/>
        </w:rPr>
        <w:t>竞标</w:t>
      </w:r>
      <w:r>
        <w:rPr>
          <w:rFonts w:hint="eastAsia" w:ascii="宋体" w:hAnsi="宋体" w:eastAsia="宋体" w:cs="宋体"/>
          <w:color w:val="auto"/>
          <w:spacing w:val="9"/>
          <w:sz w:val="24"/>
          <w:szCs w:val="24"/>
          <w:lang w:eastAsia="zh-CN"/>
        </w:rPr>
        <w:t>人已随投标文件一并提交相关书面说明及必要的证明材料的，可不再重复提交。</w:t>
      </w:r>
    </w:p>
    <w:p w14:paraId="1503AE65">
      <w:pPr>
        <w:spacing w:before="3" w:line="377" w:lineRule="auto"/>
        <w:ind w:left="20" w:firstLine="420"/>
        <w:jc w:val="both"/>
        <w:rPr>
          <w:rFonts w:hint="eastAsia" w:ascii="宋体" w:hAnsi="宋体" w:eastAsia="宋体" w:cs="宋体"/>
          <w:color w:val="auto"/>
          <w:sz w:val="24"/>
          <w:szCs w:val="24"/>
          <w:lang w:eastAsia="zh-CN"/>
        </w:rPr>
      </w:pPr>
      <w:r>
        <w:rPr>
          <w:rFonts w:hint="eastAsia" w:ascii="宋体" w:hAnsi="宋体" w:eastAsia="宋体" w:cs="宋体"/>
          <w:color w:val="auto"/>
          <w:spacing w:val="9"/>
          <w:sz w:val="24"/>
          <w:szCs w:val="24"/>
          <w:lang w:eastAsia="zh-CN"/>
        </w:rPr>
        <w:t>磋商小组依据专业经验，参考同类项目中标（成交）价格、类似产</w:t>
      </w:r>
      <w:r>
        <w:rPr>
          <w:rFonts w:hint="eastAsia" w:ascii="宋体" w:hAnsi="宋体" w:eastAsia="宋体" w:cs="宋体"/>
          <w:color w:val="auto"/>
          <w:spacing w:val="8"/>
          <w:sz w:val="24"/>
          <w:szCs w:val="24"/>
          <w:lang w:eastAsia="zh-CN"/>
        </w:rPr>
        <w:t>品市场价格水平、</w:t>
      </w:r>
      <w:r>
        <w:rPr>
          <w:rFonts w:hint="eastAsia" w:ascii="宋体" w:hAnsi="宋体" w:eastAsia="宋体" w:cs="宋体"/>
          <w:color w:val="auto"/>
          <w:spacing w:val="7"/>
          <w:sz w:val="24"/>
          <w:szCs w:val="24"/>
          <w:lang w:eastAsia="zh-CN"/>
        </w:rPr>
        <w:t>行业人工费用标准、国家有关部门指导行业协会发布的行业平均成本等情况，对报价合理性</w:t>
      </w:r>
      <w:r>
        <w:rPr>
          <w:rFonts w:hint="eastAsia" w:ascii="宋体" w:hAnsi="宋体" w:eastAsia="宋体" w:cs="宋体"/>
          <w:color w:val="auto"/>
          <w:spacing w:val="11"/>
          <w:sz w:val="24"/>
          <w:szCs w:val="24"/>
          <w:lang w:eastAsia="zh-CN"/>
        </w:rPr>
        <w:t>进行判断。</w:t>
      </w:r>
      <w:r>
        <w:rPr>
          <w:rFonts w:hint="eastAsia" w:ascii="宋体" w:hAnsi="宋体" w:eastAsia="宋体" w:cs="宋体"/>
          <w:b/>
          <w:bCs/>
          <w:color w:val="auto"/>
          <w:spacing w:val="11"/>
          <w:sz w:val="24"/>
          <w:szCs w:val="24"/>
          <w:lang w:eastAsia="zh-CN"/>
        </w:rPr>
        <w:t>竞标供应商不能提供书面说明、证明材料，或者提供的书面说明、证</w:t>
      </w:r>
      <w:r>
        <w:rPr>
          <w:rFonts w:hint="eastAsia" w:ascii="宋体" w:hAnsi="宋体" w:eastAsia="宋体" w:cs="宋体"/>
          <w:b/>
          <w:bCs/>
          <w:color w:val="auto"/>
          <w:spacing w:val="10"/>
          <w:sz w:val="24"/>
          <w:szCs w:val="24"/>
          <w:lang w:eastAsia="zh-CN"/>
        </w:rPr>
        <w:t>明材料不</w:t>
      </w:r>
      <w:r>
        <w:rPr>
          <w:rFonts w:hint="eastAsia" w:ascii="宋体" w:hAnsi="宋体" w:eastAsia="宋体" w:cs="宋体"/>
          <w:b/>
          <w:bCs/>
          <w:color w:val="auto"/>
          <w:spacing w:val="8"/>
          <w:sz w:val="24"/>
          <w:szCs w:val="24"/>
          <w:lang w:eastAsia="zh-CN"/>
        </w:rPr>
        <w:t>能证明其报价合理性的，磋商小组应当将其作为无效竞标处理。</w:t>
      </w:r>
    </w:p>
    <w:p w14:paraId="6AEEA8B8">
      <w:pPr>
        <w:spacing w:before="42" w:line="377" w:lineRule="auto"/>
        <w:ind w:left="21" w:right="58" w:firstLine="420"/>
        <w:jc w:val="both"/>
        <w:rPr>
          <w:rFonts w:hint="eastAsia" w:ascii="宋体" w:hAnsi="宋体" w:eastAsia="宋体" w:cs="宋体"/>
          <w:color w:val="auto"/>
          <w:sz w:val="24"/>
          <w:szCs w:val="24"/>
          <w:lang w:eastAsia="zh-CN"/>
        </w:rPr>
      </w:pPr>
      <w:r>
        <w:rPr>
          <w:rFonts w:hint="eastAsia" w:ascii="宋体" w:hAnsi="宋体" w:eastAsia="宋体" w:cs="宋体"/>
          <w:color w:val="auto"/>
          <w:spacing w:val="7"/>
          <w:sz w:val="24"/>
          <w:szCs w:val="24"/>
          <w:lang w:eastAsia="zh-CN"/>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w:t>
      </w:r>
      <w:r>
        <w:rPr>
          <w:rFonts w:hint="eastAsia" w:ascii="宋体" w:hAnsi="宋体" w:eastAsia="宋体" w:cs="宋体"/>
          <w:color w:val="auto"/>
          <w:spacing w:val="9"/>
          <w:sz w:val="24"/>
          <w:szCs w:val="24"/>
          <w:lang w:eastAsia="zh-CN"/>
        </w:rPr>
        <w:t>遵守评审工作纪律，不得实施影响评审公正的行为。</w:t>
      </w:r>
    </w:p>
    <w:p w14:paraId="4D59660A">
      <w:pPr>
        <w:spacing w:before="42" w:line="377" w:lineRule="auto"/>
        <w:ind w:right="58" w:firstLine="508" w:firstLineChars="200"/>
        <w:jc w:val="both"/>
        <w:rPr>
          <w:rFonts w:hint="eastAsia" w:ascii="宋体" w:hAnsi="宋体" w:eastAsia="宋体" w:cs="宋体"/>
          <w:color w:val="auto"/>
          <w:spacing w:val="7"/>
          <w:sz w:val="24"/>
          <w:szCs w:val="24"/>
          <w:lang w:eastAsia="zh-CN"/>
        </w:rPr>
      </w:pPr>
      <w:r>
        <w:rPr>
          <w:rFonts w:hint="eastAsia" w:ascii="宋体" w:hAnsi="宋体" w:eastAsia="宋体" w:cs="宋体"/>
          <w:color w:val="auto"/>
          <w:spacing w:val="7"/>
          <w:sz w:val="24"/>
          <w:szCs w:val="24"/>
          <w:lang w:eastAsia="zh-CN"/>
        </w:rPr>
        <w:t>异常低价投标审查的启动原因、审查意见和审查结果应当在评审报告中记录，并随</w:t>
      </w:r>
      <w:r>
        <w:rPr>
          <w:rFonts w:hint="eastAsia" w:hAnsi="宋体"/>
          <w:b w:val="0"/>
          <w:bCs w:val="0"/>
          <w:color w:val="auto"/>
          <w:sz w:val="24"/>
          <w:szCs w:val="24"/>
          <w:u w:val="none"/>
          <w:lang w:eastAsia="zh-CN"/>
        </w:rPr>
        <w:t>竞标</w:t>
      </w:r>
      <w:r>
        <w:rPr>
          <w:rFonts w:hint="eastAsia" w:ascii="宋体" w:hAnsi="宋体" w:eastAsia="宋体" w:cs="宋体"/>
          <w:color w:val="auto"/>
          <w:spacing w:val="7"/>
          <w:sz w:val="24"/>
          <w:szCs w:val="24"/>
          <w:lang w:eastAsia="zh-CN"/>
        </w:rPr>
        <w:t>人提供的相关书面说明及证明材料， 以及磋商小组有关互联网浏览、查询历史一并归档。</w:t>
      </w:r>
      <w:r>
        <w:rPr>
          <w:rFonts w:hint="eastAsia" w:ascii="宋体" w:hAnsi="宋体" w:eastAsia="宋体" w:cs="宋体"/>
          <w:color w:val="auto"/>
          <w:spacing w:val="7"/>
          <w:sz w:val="24"/>
          <w:szCs w:val="24"/>
          <w:lang w:eastAsia="zh-CN"/>
        </w:rPr>
        <w:br w:type="page"/>
      </w:r>
    </w:p>
    <w:p w14:paraId="60481A55">
      <w:pPr>
        <w:keepNext w:val="0"/>
        <w:keepLines w:val="0"/>
        <w:pageBreakBefore w:val="0"/>
        <w:kinsoku/>
        <w:wordWrap/>
        <w:overflowPunct/>
        <w:topLinePunct w:val="0"/>
        <w:autoSpaceDE/>
        <w:autoSpaceDN/>
        <w:bidi w:val="0"/>
        <w:snapToGrid/>
        <w:spacing w:line="280" w:lineRule="exact"/>
        <w:ind w:right="0" w:rightChars="0"/>
        <w:textAlignment w:val="auto"/>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附表</w:t>
      </w:r>
      <w:bookmarkEnd w:id="196"/>
    </w:p>
    <w:p w14:paraId="3CC1F825">
      <w:pPr>
        <w:keepNext w:val="0"/>
        <w:keepLines w:val="0"/>
        <w:pageBreakBefore w:val="0"/>
        <w:widowControl/>
        <w:kinsoku/>
        <w:wordWrap/>
        <w:overflowPunct/>
        <w:topLinePunct w:val="0"/>
        <w:autoSpaceDE/>
        <w:autoSpaceDN/>
        <w:bidi w:val="0"/>
        <w:snapToGrid/>
        <w:spacing w:before="156" w:beforeLines="50" w:after="156" w:afterLines="50" w:line="280" w:lineRule="exact"/>
        <w:ind w:right="0" w:rightChars="0"/>
        <w:jc w:val="center"/>
        <w:textAlignment w:val="auto"/>
        <w:outlineLvl w:val="9"/>
        <w:rPr>
          <w:rFonts w:hint="eastAsia" w:ascii="宋体" w:hAnsi="宋体" w:eastAsia="宋体" w:cs="宋体"/>
          <w:b/>
          <w:bCs/>
          <w:color w:val="auto"/>
          <w:kern w:val="0"/>
          <w:sz w:val="30"/>
          <w:szCs w:val="30"/>
          <w:highlight w:val="none"/>
        </w:rPr>
      </w:pPr>
      <w:bookmarkStart w:id="197" w:name="_Toc28361_WPSOffice_Level2"/>
      <w:r>
        <w:rPr>
          <w:rFonts w:hint="eastAsia" w:ascii="宋体" w:hAnsi="宋体" w:eastAsia="宋体" w:cs="宋体"/>
          <w:b/>
          <w:bCs/>
          <w:color w:val="auto"/>
          <w:kern w:val="0"/>
          <w:sz w:val="30"/>
          <w:szCs w:val="30"/>
          <w:highlight w:val="none"/>
        </w:rPr>
        <w:t>统计上大中小微型企业划分标准</w:t>
      </w:r>
      <w:bookmarkEnd w:id="197"/>
    </w:p>
    <w:tbl>
      <w:tblPr>
        <w:tblStyle w:val="54"/>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17863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7223A0B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21"/>
                <w:highlight w:val="none"/>
              </w:rPr>
            </w:pPr>
            <w:r>
              <w:rPr>
                <w:rFonts w:hint="eastAsia" w:ascii="宋体" w:hAnsi="宋体" w:eastAsia="宋体" w:cs="宋体"/>
                <w:b/>
                <w:bCs/>
                <w:color w:val="auto"/>
                <w:kern w:val="0"/>
                <w:sz w:val="18"/>
                <w:szCs w:val="21"/>
                <w:highlight w:val="none"/>
              </w:rPr>
              <w:t>行业名称</w:t>
            </w:r>
          </w:p>
        </w:tc>
        <w:tc>
          <w:tcPr>
            <w:tcW w:w="1369" w:type="dxa"/>
            <w:shd w:val="clear" w:color="auto" w:fill="8DB3E2"/>
            <w:noWrap w:val="0"/>
            <w:vAlign w:val="center"/>
          </w:tcPr>
          <w:p w14:paraId="2F95AD4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指标名称</w:t>
            </w:r>
          </w:p>
        </w:tc>
        <w:tc>
          <w:tcPr>
            <w:tcW w:w="709" w:type="dxa"/>
            <w:shd w:val="clear" w:color="auto" w:fill="8DB3E2"/>
            <w:noWrap w:val="0"/>
            <w:vAlign w:val="center"/>
          </w:tcPr>
          <w:p w14:paraId="085F55D6">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lang w:eastAsia="zh-CN"/>
              </w:rPr>
            </w:pPr>
            <w:r>
              <w:rPr>
                <w:rFonts w:hint="eastAsia" w:ascii="宋体" w:hAnsi="宋体" w:eastAsia="宋体" w:cs="宋体"/>
                <w:b/>
                <w:bCs/>
                <w:color w:val="auto"/>
                <w:kern w:val="0"/>
                <w:sz w:val="18"/>
                <w:szCs w:val="18"/>
                <w:highlight w:val="none"/>
              </w:rPr>
              <w:t>计量</w:t>
            </w:r>
          </w:p>
          <w:p w14:paraId="553E089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单位</w:t>
            </w:r>
          </w:p>
        </w:tc>
        <w:tc>
          <w:tcPr>
            <w:tcW w:w="1125" w:type="dxa"/>
            <w:shd w:val="clear" w:color="auto" w:fill="8DB3E2"/>
            <w:noWrap w:val="0"/>
            <w:vAlign w:val="center"/>
          </w:tcPr>
          <w:p w14:paraId="40F74F0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大型</w:t>
            </w:r>
          </w:p>
        </w:tc>
        <w:tc>
          <w:tcPr>
            <w:tcW w:w="1701" w:type="dxa"/>
            <w:shd w:val="clear" w:color="auto" w:fill="8DB3E2"/>
            <w:noWrap w:val="0"/>
            <w:vAlign w:val="center"/>
          </w:tcPr>
          <w:p w14:paraId="7FCBBF8C">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中型</w:t>
            </w:r>
          </w:p>
        </w:tc>
        <w:tc>
          <w:tcPr>
            <w:tcW w:w="1426" w:type="dxa"/>
            <w:shd w:val="clear" w:color="auto" w:fill="8DB3E2"/>
            <w:noWrap w:val="0"/>
            <w:vAlign w:val="center"/>
          </w:tcPr>
          <w:p w14:paraId="6031B35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小型</w:t>
            </w:r>
          </w:p>
        </w:tc>
        <w:tc>
          <w:tcPr>
            <w:tcW w:w="992" w:type="dxa"/>
            <w:shd w:val="clear" w:color="auto" w:fill="8DB3E2"/>
            <w:noWrap w:val="0"/>
            <w:vAlign w:val="center"/>
          </w:tcPr>
          <w:p w14:paraId="4C6BDA4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微型</w:t>
            </w:r>
          </w:p>
        </w:tc>
      </w:tr>
      <w:tr w14:paraId="2101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5D6CDCC2">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农、林、牧、渔业</w:t>
            </w:r>
          </w:p>
        </w:tc>
        <w:tc>
          <w:tcPr>
            <w:tcW w:w="1369" w:type="dxa"/>
            <w:noWrap w:val="0"/>
            <w:vAlign w:val="center"/>
          </w:tcPr>
          <w:p w14:paraId="0C26C3E6">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144FF08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11145C6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noWrap w:val="0"/>
            <w:vAlign w:val="center"/>
          </w:tcPr>
          <w:p w14:paraId="1E45EA8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noWrap w:val="0"/>
            <w:vAlign w:val="center"/>
          </w:tcPr>
          <w:p w14:paraId="2202AD9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992" w:type="dxa"/>
            <w:noWrap w:val="0"/>
            <w:vAlign w:val="center"/>
          </w:tcPr>
          <w:p w14:paraId="1A9CB7F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1CA1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7BB4B59">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工业 *</w:t>
            </w:r>
          </w:p>
        </w:tc>
        <w:tc>
          <w:tcPr>
            <w:tcW w:w="1369" w:type="dxa"/>
            <w:noWrap w:val="0"/>
            <w:vAlign w:val="center"/>
          </w:tcPr>
          <w:p w14:paraId="1350027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28F4362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7226F4D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14:paraId="1BE53F0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14:paraId="0D62717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14:paraId="4FAA34E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7364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873B314">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38D04BDC">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455A08D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7F37686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noWrap w:val="0"/>
            <w:vAlign w:val="center"/>
          </w:tcPr>
          <w:p w14:paraId="7A985B86">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426" w:type="dxa"/>
            <w:noWrap w:val="0"/>
            <w:vAlign w:val="center"/>
          </w:tcPr>
          <w:p w14:paraId="703841D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992" w:type="dxa"/>
            <w:noWrap w:val="0"/>
            <w:vAlign w:val="center"/>
          </w:tcPr>
          <w:p w14:paraId="29605F1D">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76DE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8C5F545">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建筑业</w:t>
            </w:r>
          </w:p>
        </w:tc>
        <w:tc>
          <w:tcPr>
            <w:tcW w:w="1369" w:type="dxa"/>
            <w:noWrap w:val="0"/>
            <w:vAlign w:val="center"/>
          </w:tcPr>
          <w:p w14:paraId="05E808A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22B89F1D">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141B71E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Y≥80000</w:t>
            </w:r>
          </w:p>
        </w:tc>
        <w:tc>
          <w:tcPr>
            <w:tcW w:w="1701" w:type="dxa"/>
            <w:noWrap w:val="0"/>
            <w:vAlign w:val="center"/>
          </w:tcPr>
          <w:p w14:paraId="5E23335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426" w:type="dxa"/>
            <w:noWrap w:val="0"/>
            <w:vAlign w:val="center"/>
          </w:tcPr>
          <w:p w14:paraId="26522FD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992" w:type="dxa"/>
            <w:noWrap w:val="0"/>
            <w:vAlign w:val="center"/>
          </w:tcPr>
          <w:p w14:paraId="1584FEF3">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7DF4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D094C93">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4FFB465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14:paraId="1B620C9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554BF6A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Z≥80000</w:t>
            </w:r>
          </w:p>
        </w:tc>
        <w:tc>
          <w:tcPr>
            <w:tcW w:w="1701" w:type="dxa"/>
            <w:noWrap w:val="0"/>
            <w:vAlign w:val="center"/>
          </w:tcPr>
          <w:p w14:paraId="4F1BD303">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426" w:type="dxa"/>
            <w:noWrap w:val="0"/>
            <w:vAlign w:val="center"/>
          </w:tcPr>
          <w:p w14:paraId="50EEE8A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992" w:type="dxa"/>
            <w:noWrap w:val="0"/>
            <w:vAlign w:val="center"/>
          </w:tcPr>
          <w:p w14:paraId="037C363C">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7174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4CF74E4">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批发业</w:t>
            </w:r>
          </w:p>
        </w:tc>
        <w:tc>
          <w:tcPr>
            <w:tcW w:w="1369" w:type="dxa"/>
            <w:noWrap w:val="0"/>
            <w:vAlign w:val="center"/>
          </w:tcPr>
          <w:p w14:paraId="63D33D0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3C2B012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7D6FE0B6">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noWrap w:val="0"/>
            <w:vAlign w:val="center"/>
          </w:tcPr>
          <w:p w14:paraId="3B67A2B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426" w:type="dxa"/>
            <w:noWrap w:val="0"/>
            <w:vAlign w:val="center"/>
          </w:tcPr>
          <w:p w14:paraId="16DB7F1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992" w:type="dxa"/>
            <w:noWrap w:val="0"/>
            <w:vAlign w:val="center"/>
          </w:tcPr>
          <w:p w14:paraId="1310144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4E26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D817934">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28060D3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6BD0421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3B25B8C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noWrap w:val="0"/>
            <w:vAlign w:val="center"/>
          </w:tcPr>
          <w:p w14:paraId="1D9C7D6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426" w:type="dxa"/>
            <w:noWrap w:val="0"/>
            <w:vAlign w:val="center"/>
          </w:tcPr>
          <w:p w14:paraId="56782225">
            <w:pPr>
              <w:keepNext w:val="0"/>
              <w:keepLines w:val="0"/>
              <w:pageBreakBefore w:val="0"/>
              <w:widowControl/>
              <w:kinsoku/>
              <w:wordWrap/>
              <w:overflowPunct/>
              <w:topLinePunct w:val="0"/>
              <w:autoSpaceDE/>
              <w:autoSpaceDN/>
              <w:bidi w:val="0"/>
              <w:snapToGrid/>
              <w:spacing w:line="280" w:lineRule="exact"/>
              <w:ind w:left="-1" w:leftChars="-1" w:right="0" w:rightChars="0" w:hanging="1"/>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92" w:type="dxa"/>
            <w:noWrap w:val="0"/>
            <w:vAlign w:val="center"/>
          </w:tcPr>
          <w:p w14:paraId="61C5E513">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2BD0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082ACB8">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零售业</w:t>
            </w:r>
          </w:p>
        </w:tc>
        <w:tc>
          <w:tcPr>
            <w:tcW w:w="1369" w:type="dxa"/>
            <w:noWrap w:val="0"/>
            <w:vAlign w:val="center"/>
          </w:tcPr>
          <w:p w14:paraId="45D49E16">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087323D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47E8CF84">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5812075C">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426" w:type="dxa"/>
            <w:noWrap w:val="0"/>
            <w:vAlign w:val="center"/>
          </w:tcPr>
          <w:p w14:paraId="416968A7">
            <w:pPr>
              <w:keepNext w:val="0"/>
              <w:keepLines w:val="0"/>
              <w:pageBreakBefore w:val="0"/>
              <w:widowControl/>
              <w:kinsoku/>
              <w:wordWrap/>
              <w:overflowPunct/>
              <w:topLinePunct w:val="0"/>
              <w:autoSpaceDE/>
              <w:autoSpaceDN/>
              <w:bidi w:val="0"/>
              <w:snapToGrid/>
              <w:spacing w:line="280" w:lineRule="exact"/>
              <w:ind w:left="-1" w:leftChars="-1" w:right="0" w:rightChars="0" w:hanging="1"/>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10≤X＜50 </w:t>
            </w:r>
          </w:p>
        </w:tc>
        <w:tc>
          <w:tcPr>
            <w:tcW w:w="992" w:type="dxa"/>
            <w:noWrap w:val="0"/>
            <w:vAlign w:val="center"/>
          </w:tcPr>
          <w:p w14:paraId="245BC50D">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4A79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B846D2F">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1E1F102D">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6B5B17B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653B398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noWrap w:val="0"/>
            <w:vAlign w:val="center"/>
          </w:tcPr>
          <w:p w14:paraId="218A868D">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noWrap w:val="0"/>
            <w:vAlign w:val="center"/>
          </w:tcPr>
          <w:p w14:paraId="34ADE821">
            <w:pPr>
              <w:keepNext w:val="0"/>
              <w:keepLines w:val="0"/>
              <w:pageBreakBefore w:val="0"/>
              <w:widowControl/>
              <w:kinsoku/>
              <w:wordWrap/>
              <w:overflowPunct/>
              <w:topLinePunct w:val="0"/>
              <w:autoSpaceDE/>
              <w:autoSpaceDN/>
              <w:bidi w:val="0"/>
              <w:snapToGrid/>
              <w:spacing w:line="280" w:lineRule="exact"/>
              <w:ind w:left="-1" w:leftChars="-1" w:right="0" w:rightChars="0" w:hanging="1"/>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992" w:type="dxa"/>
            <w:noWrap w:val="0"/>
            <w:vAlign w:val="center"/>
          </w:tcPr>
          <w:p w14:paraId="6FF956EC">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068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CDB542A">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交通运输业 *</w:t>
            </w:r>
          </w:p>
        </w:tc>
        <w:tc>
          <w:tcPr>
            <w:tcW w:w="1369" w:type="dxa"/>
            <w:noWrap w:val="0"/>
            <w:vAlign w:val="center"/>
          </w:tcPr>
          <w:p w14:paraId="0C3C170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402711A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36FF502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14:paraId="49F37AE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14:paraId="5C346FC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14:paraId="0FA682F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179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907C063">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7945748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0C2501C4">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546C701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14:paraId="1CE4DC34">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426" w:type="dxa"/>
            <w:noWrap w:val="0"/>
            <w:vAlign w:val="center"/>
          </w:tcPr>
          <w:p w14:paraId="48141E6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992" w:type="dxa"/>
            <w:noWrap w:val="0"/>
            <w:vAlign w:val="center"/>
          </w:tcPr>
          <w:p w14:paraId="76BD158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5C95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D946DD8">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仓储业*</w:t>
            </w:r>
          </w:p>
        </w:tc>
        <w:tc>
          <w:tcPr>
            <w:tcW w:w="1369" w:type="dxa"/>
            <w:noWrap w:val="0"/>
            <w:vAlign w:val="center"/>
          </w:tcPr>
          <w:p w14:paraId="2A81AFD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6FEF9B73">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72E8FFD3">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noWrap w:val="0"/>
            <w:vAlign w:val="center"/>
          </w:tcPr>
          <w:p w14:paraId="27C3336A">
            <w:pPr>
              <w:keepNext w:val="0"/>
              <w:keepLines w:val="0"/>
              <w:pageBreakBefore w:val="0"/>
              <w:widowControl/>
              <w:kinsoku/>
              <w:wordWrap/>
              <w:overflowPunct/>
              <w:topLinePunct w:val="0"/>
              <w:autoSpaceDE/>
              <w:autoSpaceDN/>
              <w:bidi w:val="0"/>
              <w:snapToGrid/>
              <w:spacing w:line="280" w:lineRule="exact"/>
              <w:ind w:left="1"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426" w:type="dxa"/>
            <w:noWrap w:val="0"/>
            <w:vAlign w:val="center"/>
          </w:tcPr>
          <w:p w14:paraId="3B1C144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992" w:type="dxa"/>
            <w:noWrap w:val="0"/>
            <w:vAlign w:val="center"/>
          </w:tcPr>
          <w:p w14:paraId="575849AF">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CA8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9837547">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602A1F8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68B26EC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600085D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14:paraId="6A5246B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426" w:type="dxa"/>
            <w:noWrap w:val="0"/>
            <w:vAlign w:val="center"/>
          </w:tcPr>
          <w:p w14:paraId="4CD9ECD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14:paraId="4911F04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05B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1070566">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邮政业</w:t>
            </w:r>
          </w:p>
        </w:tc>
        <w:tc>
          <w:tcPr>
            <w:tcW w:w="1369" w:type="dxa"/>
            <w:noWrap w:val="0"/>
            <w:vAlign w:val="center"/>
          </w:tcPr>
          <w:p w14:paraId="74106D4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19F22CE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4215BFD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14:paraId="454E3B9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14:paraId="54E34B7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14:paraId="61DA4BD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5240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8A973B5">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1958CFE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6AFA365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053A41AF">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14:paraId="72A3545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426" w:type="dxa"/>
            <w:noWrap w:val="0"/>
            <w:vAlign w:val="center"/>
          </w:tcPr>
          <w:p w14:paraId="57CC467F">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14:paraId="4E62D34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DCB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1835BCC">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住宿业</w:t>
            </w:r>
          </w:p>
        </w:tc>
        <w:tc>
          <w:tcPr>
            <w:tcW w:w="1369" w:type="dxa"/>
            <w:noWrap w:val="0"/>
            <w:vAlign w:val="center"/>
          </w:tcPr>
          <w:p w14:paraId="7919C38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68EF798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3540C5C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579289C0">
            <w:pPr>
              <w:keepNext w:val="0"/>
              <w:keepLines w:val="0"/>
              <w:pageBreakBefore w:val="0"/>
              <w:widowControl/>
              <w:kinsoku/>
              <w:wordWrap/>
              <w:overflowPunct/>
              <w:topLinePunct w:val="0"/>
              <w:autoSpaceDE/>
              <w:autoSpaceDN/>
              <w:bidi w:val="0"/>
              <w:snapToGrid/>
              <w:spacing w:line="280" w:lineRule="exact"/>
              <w:ind w:left="1"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14:paraId="1745BF6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416E8AE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A3F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850AD2E">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1CB7543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43812E2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53B16BAD">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14:paraId="55AFE73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noWrap w:val="0"/>
            <w:vAlign w:val="center"/>
          </w:tcPr>
          <w:p w14:paraId="5893CEF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14:paraId="242A325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EC2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712C9A2">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餐饮业</w:t>
            </w:r>
          </w:p>
        </w:tc>
        <w:tc>
          <w:tcPr>
            <w:tcW w:w="1369" w:type="dxa"/>
            <w:noWrap w:val="0"/>
            <w:vAlign w:val="center"/>
          </w:tcPr>
          <w:p w14:paraId="29910EE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2D3A6ACF">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0A50809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77A206B6">
            <w:pPr>
              <w:keepNext w:val="0"/>
              <w:keepLines w:val="0"/>
              <w:pageBreakBefore w:val="0"/>
              <w:widowControl/>
              <w:kinsoku/>
              <w:wordWrap/>
              <w:overflowPunct/>
              <w:topLinePunct w:val="0"/>
              <w:autoSpaceDE/>
              <w:autoSpaceDN/>
              <w:bidi w:val="0"/>
              <w:snapToGrid/>
              <w:spacing w:line="280" w:lineRule="exact"/>
              <w:ind w:left="1"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noWrap w:val="0"/>
            <w:vAlign w:val="center"/>
          </w:tcPr>
          <w:p w14:paraId="029736C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4417CFF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E64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BF84066">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4FAF134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5F65F62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5FEFFB4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14:paraId="6F99027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noWrap w:val="0"/>
            <w:vAlign w:val="center"/>
          </w:tcPr>
          <w:p w14:paraId="7CDC955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14:paraId="03EA452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2D3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A54C03A">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信息传输业 *</w:t>
            </w:r>
          </w:p>
        </w:tc>
        <w:tc>
          <w:tcPr>
            <w:tcW w:w="1369" w:type="dxa"/>
            <w:noWrap w:val="0"/>
            <w:vAlign w:val="center"/>
          </w:tcPr>
          <w:p w14:paraId="034B2B8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37C7E1C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52B9588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X≥2000</w:t>
            </w:r>
          </w:p>
        </w:tc>
        <w:tc>
          <w:tcPr>
            <w:tcW w:w="1701" w:type="dxa"/>
            <w:noWrap w:val="0"/>
            <w:vAlign w:val="center"/>
          </w:tcPr>
          <w:p w14:paraId="14EC4814">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426" w:type="dxa"/>
            <w:noWrap w:val="0"/>
            <w:vAlign w:val="center"/>
          </w:tcPr>
          <w:p w14:paraId="0513835C">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79529FE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6905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AC0CB2D">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12DA8EC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1E4A18A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5D0EE66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Y≥100000</w:t>
            </w:r>
          </w:p>
        </w:tc>
        <w:tc>
          <w:tcPr>
            <w:tcW w:w="1701" w:type="dxa"/>
            <w:noWrap w:val="0"/>
            <w:vAlign w:val="center"/>
          </w:tcPr>
          <w:p w14:paraId="5841BA1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426" w:type="dxa"/>
            <w:noWrap w:val="0"/>
            <w:vAlign w:val="center"/>
          </w:tcPr>
          <w:p w14:paraId="37EF8B7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14:paraId="2BF7894F">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6CE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2B156587">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spacing w:val="-12"/>
                <w:kern w:val="0"/>
                <w:sz w:val="18"/>
                <w:szCs w:val="18"/>
                <w:highlight w:val="none"/>
              </w:rPr>
            </w:pPr>
            <w:r>
              <w:rPr>
                <w:rFonts w:hint="eastAsia" w:ascii="宋体" w:hAnsi="宋体" w:eastAsia="宋体" w:cs="宋体"/>
                <w:color w:val="auto"/>
                <w:spacing w:val="-12"/>
                <w:kern w:val="0"/>
                <w:sz w:val="18"/>
                <w:szCs w:val="18"/>
                <w:highlight w:val="none"/>
              </w:rPr>
              <w:t>软件和信息技术服</w:t>
            </w:r>
            <w:r>
              <w:rPr>
                <w:rFonts w:hint="eastAsia" w:ascii="宋体" w:hAnsi="宋体" w:eastAsia="宋体" w:cs="宋体"/>
                <w:color w:val="auto"/>
                <w:kern w:val="0"/>
                <w:sz w:val="18"/>
                <w:szCs w:val="18"/>
                <w:highlight w:val="none"/>
              </w:rPr>
              <w:t>务业</w:t>
            </w:r>
          </w:p>
        </w:tc>
        <w:tc>
          <w:tcPr>
            <w:tcW w:w="1369" w:type="dxa"/>
            <w:noWrap w:val="0"/>
            <w:vAlign w:val="center"/>
          </w:tcPr>
          <w:p w14:paraId="16345AC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79AA3CA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662814E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322E9B96">
            <w:pPr>
              <w:keepNext w:val="0"/>
              <w:keepLines w:val="0"/>
              <w:pageBreakBefore w:val="0"/>
              <w:widowControl/>
              <w:kinsoku/>
              <w:wordWrap/>
              <w:overflowPunct/>
              <w:topLinePunct w:val="0"/>
              <w:autoSpaceDE/>
              <w:autoSpaceDN/>
              <w:bidi w:val="0"/>
              <w:snapToGrid/>
              <w:spacing w:line="280" w:lineRule="exact"/>
              <w:ind w:left="1"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noWrap w:val="0"/>
            <w:vAlign w:val="center"/>
          </w:tcPr>
          <w:p w14:paraId="7CF5E71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338DD18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F59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48C0209C">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spacing w:val="-12"/>
                <w:kern w:val="0"/>
                <w:sz w:val="18"/>
                <w:szCs w:val="18"/>
                <w:highlight w:val="none"/>
              </w:rPr>
            </w:pPr>
          </w:p>
        </w:tc>
        <w:tc>
          <w:tcPr>
            <w:tcW w:w="1369" w:type="dxa"/>
            <w:noWrap w:val="0"/>
            <w:vAlign w:val="center"/>
          </w:tcPr>
          <w:p w14:paraId="37C6FF3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57640CFC">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79D48434">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14:paraId="2CBAD8C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426" w:type="dxa"/>
            <w:noWrap w:val="0"/>
            <w:vAlign w:val="center"/>
          </w:tcPr>
          <w:p w14:paraId="02516B5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992" w:type="dxa"/>
            <w:noWrap w:val="0"/>
            <w:vAlign w:val="center"/>
          </w:tcPr>
          <w:p w14:paraId="14FC939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035B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00EB2CB9">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房地产开发经营</w:t>
            </w:r>
          </w:p>
        </w:tc>
        <w:tc>
          <w:tcPr>
            <w:tcW w:w="1369" w:type="dxa"/>
            <w:noWrap w:val="0"/>
            <w:vAlign w:val="center"/>
          </w:tcPr>
          <w:p w14:paraId="6C5A3283">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56D24C8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5EE10D2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Y≥200000</w:t>
            </w:r>
          </w:p>
        </w:tc>
        <w:tc>
          <w:tcPr>
            <w:tcW w:w="1701" w:type="dxa"/>
            <w:noWrap w:val="0"/>
            <w:vAlign w:val="center"/>
          </w:tcPr>
          <w:p w14:paraId="65AD2E66">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426" w:type="dxa"/>
            <w:noWrap w:val="0"/>
            <w:vAlign w:val="center"/>
          </w:tcPr>
          <w:p w14:paraId="2C17D58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14:paraId="4605BA4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3F11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60E259E8">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220C02C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14:paraId="56BFA1FC">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4E3F0F5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Z≥10000</w:t>
            </w:r>
          </w:p>
        </w:tc>
        <w:tc>
          <w:tcPr>
            <w:tcW w:w="1701" w:type="dxa"/>
            <w:noWrap w:val="0"/>
            <w:vAlign w:val="center"/>
          </w:tcPr>
          <w:p w14:paraId="26C67626">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426" w:type="dxa"/>
            <w:noWrap w:val="0"/>
            <w:vAlign w:val="center"/>
          </w:tcPr>
          <w:p w14:paraId="0C05937D">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2000≤Z＜5000</w:t>
            </w:r>
          </w:p>
        </w:tc>
        <w:tc>
          <w:tcPr>
            <w:tcW w:w="992" w:type="dxa"/>
            <w:noWrap w:val="0"/>
            <w:vAlign w:val="center"/>
          </w:tcPr>
          <w:p w14:paraId="6DD15A2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Z＜2000</w:t>
            </w:r>
          </w:p>
        </w:tc>
      </w:tr>
      <w:tr w14:paraId="67378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E7B64B9">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物业管理</w:t>
            </w:r>
          </w:p>
        </w:tc>
        <w:tc>
          <w:tcPr>
            <w:tcW w:w="1369" w:type="dxa"/>
            <w:noWrap w:val="0"/>
            <w:vAlign w:val="center"/>
          </w:tcPr>
          <w:p w14:paraId="3140072F">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75ECE06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6ED2925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14:paraId="0FA2B4F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14:paraId="72DA1204">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992" w:type="dxa"/>
            <w:noWrap w:val="0"/>
            <w:vAlign w:val="center"/>
          </w:tcPr>
          <w:p w14:paraId="6BDF1E7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2F72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58F5C33C">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61E44DB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6B6DA31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7DD3413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Y≥5000</w:t>
            </w:r>
          </w:p>
        </w:tc>
        <w:tc>
          <w:tcPr>
            <w:tcW w:w="1701" w:type="dxa"/>
            <w:noWrap w:val="0"/>
            <w:vAlign w:val="center"/>
          </w:tcPr>
          <w:p w14:paraId="37133F73">
            <w:pPr>
              <w:keepNext w:val="0"/>
              <w:keepLines w:val="0"/>
              <w:pageBreakBefore w:val="0"/>
              <w:widowControl/>
              <w:kinsoku/>
              <w:wordWrap/>
              <w:overflowPunct/>
              <w:topLinePunct w:val="0"/>
              <w:autoSpaceDE/>
              <w:autoSpaceDN/>
              <w:bidi w:val="0"/>
              <w:snapToGrid/>
              <w:spacing w:line="280" w:lineRule="exact"/>
              <w:ind w:left="1"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426" w:type="dxa"/>
            <w:noWrap w:val="0"/>
            <w:vAlign w:val="center"/>
          </w:tcPr>
          <w:p w14:paraId="6E501C0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992" w:type="dxa"/>
            <w:noWrap w:val="0"/>
            <w:vAlign w:val="center"/>
          </w:tcPr>
          <w:p w14:paraId="0F5FECB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0B7D2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3B8A76E9">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租赁和商务服务业</w:t>
            </w:r>
          </w:p>
        </w:tc>
        <w:tc>
          <w:tcPr>
            <w:tcW w:w="1369" w:type="dxa"/>
            <w:noWrap w:val="0"/>
            <w:vAlign w:val="center"/>
          </w:tcPr>
          <w:p w14:paraId="7B9AB12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7B928B3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18AFE4E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74020F81">
            <w:pPr>
              <w:keepNext w:val="0"/>
              <w:keepLines w:val="0"/>
              <w:pageBreakBefore w:val="0"/>
              <w:widowControl/>
              <w:kinsoku/>
              <w:wordWrap/>
              <w:overflowPunct/>
              <w:topLinePunct w:val="0"/>
              <w:autoSpaceDE/>
              <w:autoSpaceDN/>
              <w:bidi w:val="0"/>
              <w:snapToGrid/>
              <w:spacing w:line="280" w:lineRule="exact"/>
              <w:ind w:left="1"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14:paraId="44CC033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164A27BF">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65A0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1449757A">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708F511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14:paraId="1261274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6C0F260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Z≥120000</w:t>
            </w:r>
          </w:p>
        </w:tc>
        <w:tc>
          <w:tcPr>
            <w:tcW w:w="1701" w:type="dxa"/>
            <w:noWrap w:val="0"/>
            <w:vAlign w:val="center"/>
          </w:tcPr>
          <w:p w14:paraId="4413BC0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426" w:type="dxa"/>
            <w:noWrap w:val="0"/>
            <w:vAlign w:val="center"/>
          </w:tcPr>
          <w:p w14:paraId="4701208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992" w:type="dxa"/>
            <w:noWrap w:val="0"/>
            <w:vAlign w:val="center"/>
          </w:tcPr>
          <w:p w14:paraId="5380E7A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w:t>
            </w:r>
          </w:p>
        </w:tc>
      </w:tr>
      <w:tr w14:paraId="0718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32826C66">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其他未列明行业 *</w:t>
            </w:r>
          </w:p>
        </w:tc>
        <w:tc>
          <w:tcPr>
            <w:tcW w:w="1369" w:type="dxa"/>
            <w:noWrap w:val="0"/>
            <w:vAlign w:val="center"/>
          </w:tcPr>
          <w:p w14:paraId="5406F6D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057A876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706BAB13">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7F0DF121">
            <w:pPr>
              <w:keepNext w:val="0"/>
              <w:keepLines w:val="0"/>
              <w:pageBreakBefore w:val="0"/>
              <w:widowControl/>
              <w:kinsoku/>
              <w:wordWrap/>
              <w:overflowPunct/>
              <w:topLinePunct w:val="0"/>
              <w:autoSpaceDE/>
              <w:autoSpaceDN/>
              <w:bidi w:val="0"/>
              <w:snapToGrid/>
              <w:spacing w:line="280" w:lineRule="exact"/>
              <w:ind w:left="1"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14:paraId="0911655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284E1C2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42DF168C">
      <w:pPr>
        <w:keepNext w:val="0"/>
        <w:keepLines w:val="0"/>
        <w:pageBreakBefore w:val="0"/>
        <w:widowControl/>
        <w:kinsoku/>
        <w:wordWrap/>
        <w:overflowPunct/>
        <w:topLinePunct w:val="0"/>
        <w:autoSpaceDE/>
        <w:autoSpaceDN/>
        <w:bidi w:val="0"/>
        <w:snapToGrid/>
        <w:spacing w:beforeLines="0" w:afterLines="0" w:line="440" w:lineRule="exact"/>
        <w:ind w:right="0" w:rightChars="0"/>
        <w:textAlignment w:val="auto"/>
        <w:outlineLvl w:val="9"/>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说明：</w:t>
      </w:r>
    </w:p>
    <w:p w14:paraId="77A2A8E7">
      <w:pPr>
        <w:pStyle w:val="28"/>
        <w:keepNext w:val="0"/>
        <w:keepLines w:val="0"/>
        <w:pageBreakBefore w:val="0"/>
        <w:kinsoku/>
        <w:wordWrap/>
        <w:overflowPunct/>
        <w:topLinePunct w:val="0"/>
        <w:autoSpaceDE/>
        <w:autoSpaceDN/>
        <w:bidi w:val="0"/>
        <w:adjustRightInd w:val="0"/>
        <w:snapToGrid/>
        <w:spacing w:beforeLines="0" w:afterLines="0" w:line="440" w:lineRule="exact"/>
        <w:ind w:right="0" w:rightChars="0" w:firstLine="452" w:firstLineChars="200"/>
        <w:contextualSpacing/>
        <w:textAlignment w:val="auto"/>
        <w:outlineLvl w:val="9"/>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1.大型、中型和小型企业须同时满足所列指标的下限，否则下划一档；微型企业只须满足所列指标中的一项即可。</w:t>
      </w:r>
    </w:p>
    <w:p w14:paraId="0B80FB04">
      <w:pPr>
        <w:pStyle w:val="28"/>
        <w:keepNext w:val="0"/>
        <w:keepLines w:val="0"/>
        <w:pageBreakBefore w:val="0"/>
        <w:kinsoku/>
        <w:wordWrap/>
        <w:overflowPunct/>
        <w:topLinePunct w:val="0"/>
        <w:autoSpaceDE/>
        <w:autoSpaceDN/>
        <w:bidi w:val="0"/>
        <w:adjustRightInd w:val="0"/>
        <w:snapToGrid/>
        <w:spacing w:beforeLines="0" w:afterLines="0" w:line="440" w:lineRule="exact"/>
        <w:ind w:right="0" w:rightChars="0" w:firstLine="452" w:firstLineChars="200"/>
        <w:contextualSpacing/>
        <w:textAlignment w:val="auto"/>
        <w:outlineLvl w:val="9"/>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7E33661">
      <w:pPr>
        <w:pStyle w:val="28"/>
        <w:keepNext w:val="0"/>
        <w:keepLines w:val="0"/>
        <w:pageBreakBefore w:val="0"/>
        <w:kinsoku/>
        <w:wordWrap/>
        <w:overflowPunct/>
        <w:topLinePunct w:val="0"/>
        <w:autoSpaceDE/>
        <w:autoSpaceDN/>
        <w:bidi w:val="0"/>
        <w:snapToGrid/>
        <w:spacing w:beforeLines="0" w:afterLines="0" w:line="440" w:lineRule="exact"/>
        <w:ind w:right="0" w:rightChars="0" w:firstLine="452" w:firstLineChars="200"/>
        <w:textAlignment w:val="auto"/>
        <w:outlineLvl w:val="9"/>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bookmarkStart w:id="198" w:name="_Toc4774"/>
      <w:bookmarkStart w:id="199" w:name="_Toc8466"/>
    </w:p>
    <w:p w14:paraId="6C4ADF70">
      <w:pPr>
        <w:pStyle w:val="12"/>
        <w:rPr>
          <w:rFonts w:hint="eastAsia" w:ascii="宋体" w:hAnsi="宋体" w:eastAsia="宋体" w:cs="宋体"/>
          <w:color w:val="auto"/>
          <w:spacing w:val="8"/>
          <w:kern w:val="0"/>
          <w:sz w:val="24"/>
          <w:szCs w:val="24"/>
          <w:highlight w:val="none"/>
        </w:rPr>
      </w:pPr>
    </w:p>
    <w:p w14:paraId="4126DA92">
      <w:pPr>
        <w:jc w:val="center"/>
        <w:outlineLvl w:val="0"/>
        <w:rPr>
          <w:rFonts w:hint="eastAsia" w:ascii="华文中宋" w:hAnsi="华文中宋" w:eastAsia="华文中宋" w:cs="华文中宋"/>
          <w:b/>
          <w:bCs/>
          <w:color w:val="auto"/>
          <w:sz w:val="32"/>
          <w:szCs w:val="32"/>
          <w:highlight w:val="none"/>
        </w:rPr>
      </w:pPr>
      <w:bookmarkStart w:id="200" w:name="_Toc25717"/>
      <w:bookmarkStart w:id="201" w:name="_Toc11185"/>
      <w:r>
        <w:rPr>
          <w:rFonts w:hint="eastAsia" w:ascii="华文中宋" w:hAnsi="华文中宋" w:eastAsia="华文中宋" w:cs="华文中宋"/>
          <w:b/>
          <w:bCs/>
          <w:color w:val="auto"/>
          <w:sz w:val="32"/>
          <w:szCs w:val="32"/>
          <w:highlight w:val="none"/>
          <w:lang w:eastAsia="zh-CN"/>
        </w:rPr>
        <w:br w:type="page"/>
      </w:r>
      <w:bookmarkStart w:id="202" w:name="_Toc2913"/>
      <w:r>
        <w:rPr>
          <w:rFonts w:hint="eastAsia" w:ascii="华文中宋" w:hAnsi="华文中宋" w:eastAsia="华文中宋" w:cs="华文中宋"/>
          <w:b/>
          <w:bCs/>
          <w:color w:val="auto"/>
          <w:sz w:val="32"/>
          <w:szCs w:val="32"/>
          <w:highlight w:val="none"/>
          <w:lang w:eastAsia="zh-CN"/>
        </w:rPr>
        <w:t>第五章</w:t>
      </w:r>
      <w:r>
        <w:rPr>
          <w:rFonts w:hint="eastAsia" w:ascii="华文中宋" w:hAnsi="华文中宋" w:eastAsia="华文中宋" w:cs="华文中宋"/>
          <w:b/>
          <w:bCs/>
          <w:color w:val="auto"/>
          <w:sz w:val="32"/>
          <w:szCs w:val="32"/>
          <w:highlight w:val="none"/>
          <w:lang w:val="en-US" w:eastAsia="zh-CN"/>
        </w:rPr>
        <w:t xml:space="preserve">  </w:t>
      </w:r>
      <w:r>
        <w:rPr>
          <w:rFonts w:hint="eastAsia" w:ascii="华文中宋" w:hAnsi="华文中宋" w:eastAsia="华文中宋" w:cs="华文中宋"/>
          <w:b/>
          <w:bCs/>
          <w:color w:val="auto"/>
          <w:sz w:val="32"/>
          <w:szCs w:val="32"/>
          <w:highlight w:val="none"/>
        </w:rPr>
        <w:t>采购合同（合同主要条款及格式）</w:t>
      </w:r>
      <w:bookmarkEnd w:id="198"/>
      <w:bookmarkEnd w:id="199"/>
      <w:bookmarkEnd w:id="200"/>
      <w:bookmarkEnd w:id="201"/>
      <w:bookmarkEnd w:id="202"/>
    </w:p>
    <w:p w14:paraId="752458E7">
      <w:pPr>
        <w:pStyle w:val="501"/>
        <w:spacing w:line="320" w:lineRule="exact"/>
        <w:ind w:left="0" w:leftChars="0" w:firstLine="0" w:firstLineChars="0"/>
        <w:rPr>
          <w:rFonts w:hint="eastAsia" w:ascii="宋体" w:hAnsi="宋体" w:cs="宋体"/>
          <w:color w:val="auto"/>
          <w:highlight w:val="none"/>
          <w:u w:val="single"/>
        </w:rPr>
      </w:pPr>
      <w:bookmarkStart w:id="203" w:name="_Toc24269"/>
      <w:bookmarkStart w:id="204" w:name="_Toc10014"/>
      <w:bookmarkStart w:id="205" w:name="_Toc4230"/>
      <w:bookmarkStart w:id="206" w:name="_Toc2274"/>
      <w:bookmarkStart w:id="207" w:name="_Toc31864"/>
    </w:p>
    <w:p w14:paraId="6CC5C118">
      <w:pPr>
        <w:pStyle w:val="504"/>
        <w:spacing w:line="340" w:lineRule="exact"/>
        <w:jc w:val="center"/>
        <w:rPr>
          <w:rFonts w:ascii="宋体"/>
          <w:color w:val="auto"/>
          <w:sz w:val="32"/>
          <w:highlight w:val="none"/>
        </w:rPr>
      </w:pPr>
      <w:bookmarkStart w:id="208" w:name="_Toc522201558"/>
      <w:bookmarkStart w:id="209" w:name="_Toc256000031"/>
      <w:r>
        <w:rPr>
          <w:rFonts w:ascii="宋体"/>
          <w:color w:val="auto"/>
          <w:sz w:val="32"/>
          <w:highlight w:val="none"/>
        </w:rPr>
        <w:t>第一部分 合同协议书</w:t>
      </w:r>
      <w:bookmarkEnd w:id="208"/>
      <w:bookmarkEnd w:id="209"/>
    </w:p>
    <w:p w14:paraId="67088005">
      <w:pPr>
        <w:pStyle w:val="513"/>
        <w:adjustRightInd w:val="0"/>
        <w:snapToGrid w:val="0"/>
        <w:spacing w:line="400" w:lineRule="exact"/>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发包人（全称）：</w:t>
      </w:r>
      <w:r>
        <w:rPr>
          <w:rFonts w:hint="eastAsia" w:ascii="宋体" w:hAnsi="宋体" w:cs="宋体"/>
          <w:color w:val="auto"/>
          <w:szCs w:val="21"/>
          <w:highlight w:val="none"/>
          <w:u w:val="single"/>
          <w:lang w:eastAsia="zh-CN"/>
        </w:rPr>
        <w:t>资源县资源镇人民政府</w:t>
      </w:r>
    </w:p>
    <w:p w14:paraId="1060AFE7">
      <w:pPr>
        <w:pStyle w:val="513"/>
        <w:adjustRightInd w:val="0"/>
        <w:snapToGrid w:val="0"/>
        <w:spacing w:line="400" w:lineRule="exact"/>
        <w:rPr>
          <w:rFonts w:ascii="宋体" w:hAnsi="宋体" w:cs="宋体"/>
          <w:color w:val="auto"/>
          <w:szCs w:val="21"/>
          <w:highlight w:val="none"/>
          <w:u w:val="single"/>
        </w:rPr>
      </w:pPr>
      <w:r>
        <w:rPr>
          <w:rFonts w:hint="eastAsia" w:ascii="宋体" w:hAnsi="宋体" w:cs="宋体"/>
          <w:color w:val="auto"/>
          <w:szCs w:val="21"/>
          <w:highlight w:val="none"/>
        </w:rPr>
        <w:t>承包人（全称）：</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560182E8">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w:t>
      </w:r>
      <w:r>
        <w:rPr>
          <w:rFonts w:hint="eastAsia" w:ascii="宋体" w:hAnsi="宋体" w:cs="宋体"/>
          <w:color w:val="auto"/>
          <w:szCs w:val="21"/>
          <w:highlight w:val="none"/>
          <w:lang w:eastAsia="zh-CN"/>
        </w:rPr>
        <w:t>民法典</w:t>
      </w:r>
      <w:r>
        <w:rPr>
          <w:rFonts w:hint="eastAsia" w:ascii="宋体" w:hAnsi="宋体" w:cs="宋体"/>
          <w:color w:val="auto"/>
          <w:szCs w:val="21"/>
          <w:highlight w:val="none"/>
        </w:rPr>
        <w:t>》、《中华人民共和国建筑法》及有关法律规定，遵循平等、自愿、公平和诚实信用的原则，双方就</w:t>
      </w:r>
      <w:r>
        <w:rPr>
          <w:rFonts w:hint="eastAsia" w:ascii="宋体" w:hAnsi="宋体" w:cs="宋体"/>
          <w:color w:val="auto"/>
          <w:szCs w:val="21"/>
          <w:highlight w:val="none"/>
          <w:u w:val="single"/>
          <w:lang w:val="en-US" w:eastAsia="zh-CN"/>
        </w:rPr>
        <w:t xml:space="preserve"> 资源县资源镇林下经济示范基地道路改扩建工程以工代赈项目 </w:t>
      </w:r>
      <w:r>
        <w:rPr>
          <w:rFonts w:hint="eastAsia" w:ascii="宋体" w:hAnsi="宋体" w:cs="宋体"/>
          <w:color w:val="auto"/>
          <w:szCs w:val="21"/>
          <w:highlight w:val="none"/>
        </w:rPr>
        <w:t>工程施工及有关事项协商一致，共同达成如下协议：</w:t>
      </w:r>
      <w:bookmarkStart w:id="210" w:name="_Toc351203481"/>
    </w:p>
    <w:p w14:paraId="266A31F5">
      <w:pPr>
        <w:pStyle w:val="514"/>
        <w:adjustRightInd w:val="0"/>
        <w:snapToGrid w:val="0"/>
        <w:spacing w:line="400" w:lineRule="exact"/>
        <w:ind w:firstLine="422"/>
        <w:outlineLvl w:val="0"/>
        <w:rPr>
          <w:rFonts w:ascii="宋体" w:hAnsi="宋体" w:cs="宋体"/>
          <w:b/>
          <w:color w:val="auto"/>
          <w:highlight w:val="none"/>
        </w:rPr>
      </w:pPr>
      <w:bookmarkStart w:id="211" w:name="_Toc406419153"/>
      <w:bookmarkStart w:id="212" w:name="_Toc406522028"/>
      <w:bookmarkStart w:id="213" w:name="_Toc522201559"/>
      <w:bookmarkStart w:id="214" w:name="_Toc20764"/>
      <w:r>
        <w:rPr>
          <w:rFonts w:hint="eastAsia" w:ascii="宋体" w:hAnsi="宋体" w:cs="宋体"/>
          <w:b/>
          <w:color w:val="auto"/>
          <w:highlight w:val="none"/>
        </w:rPr>
        <w:t>一、工程概况</w:t>
      </w:r>
      <w:bookmarkEnd w:id="210"/>
      <w:bookmarkEnd w:id="211"/>
      <w:bookmarkEnd w:id="212"/>
      <w:bookmarkEnd w:id="213"/>
      <w:bookmarkEnd w:id="214"/>
    </w:p>
    <w:p w14:paraId="04218E15">
      <w:pPr>
        <w:pStyle w:val="513"/>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1.工程名称：</w:t>
      </w:r>
      <w:r>
        <w:rPr>
          <w:rFonts w:hint="eastAsia" w:ascii="宋体" w:hAnsi="宋体" w:cs="宋体"/>
          <w:color w:val="auto"/>
          <w:szCs w:val="21"/>
          <w:highlight w:val="none"/>
          <w:u w:val="single"/>
          <w:lang w:val="en-US" w:eastAsia="zh-CN"/>
        </w:rPr>
        <w:t xml:space="preserve"> 资源县资源镇林下经济示范基地道路改扩建工程以工代赈项目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F560F63">
      <w:pPr>
        <w:pStyle w:val="513"/>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2.工程地点：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桂林市资源县</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9BB794D">
      <w:pPr>
        <w:pStyle w:val="513"/>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3.资金来源：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D9CF5A9">
      <w:pPr>
        <w:pStyle w:val="513"/>
        <w:adjustRightInd w:val="0"/>
        <w:snapToGrid w:val="0"/>
        <w:spacing w:line="400" w:lineRule="exact"/>
        <w:ind w:firstLine="459"/>
        <w:rPr>
          <w:rFonts w:hint="eastAsia" w:ascii="宋体" w:hAnsi="宋体" w:cs="宋体"/>
          <w:color w:val="auto"/>
          <w:szCs w:val="21"/>
          <w:highlight w:val="none"/>
          <w:u w:val="single"/>
          <w:lang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.工程内容：</w:t>
      </w:r>
      <w:r>
        <w:rPr>
          <w:rFonts w:hint="eastAsia" w:ascii="宋体" w:hAnsi="宋体" w:cs="宋体"/>
          <w:color w:val="auto"/>
          <w:szCs w:val="21"/>
          <w:highlight w:val="none"/>
          <w:u w:val="single"/>
        </w:rPr>
        <w:t xml:space="preserve"> 永兴村建设道路A长1924.97m、永兴村建设道路B长420.00m、永兴村建设道路C长306.57m、天门村牛塘坪建设道路长932.70m，道路结构层为10cm厚级配碎石基层+20cm厚C30水泥混凝土路面，DN600单孔钢筋混凝土圆管涵111.00m，钢筋混凝土盖板涵8.00m，混凝土排水沟780.00m，新建浆砌片石挡土墙等工程</w:t>
      </w:r>
      <w:r>
        <w:rPr>
          <w:rFonts w:hint="eastAsia" w:ascii="宋体" w:hAnsi="宋体" w:cs="宋体"/>
          <w:color w:val="auto"/>
          <w:szCs w:val="21"/>
          <w:highlight w:val="none"/>
          <w:u w:val="single"/>
          <w:lang w:eastAsia="zh-CN"/>
        </w:rPr>
        <w:t>。</w:t>
      </w:r>
    </w:p>
    <w:p w14:paraId="43AD8170">
      <w:pPr>
        <w:pStyle w:val="513"/>
        <w:adjustRightInd w:val="0"/>
        <w:snapToGrid w:val="0"/>
        <w:spacing w:line="400" w:lineRule="exact"/>
        <w:ind w:firstLine="459"/>
        <w:rPr>
          <w:rFonts w:ascii="宋体" w:hAnsi="宋体" w:cs="宋体"/>
          <w:bCs/>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.工程承包范围：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施工图纸范围内的工程，具体情况详见施工图纸及工程量清单。</w:t>
      </w:r>
      <w:r>
        <w:rPr>
          <w:rFonts w:hint="eastAsia" w:ascii="宋体" w:hAnsi="宋体" w:cs="宋体"/>
          <w:color w:val="auto"/>
          <w:szCs w:val="21"/>
          <w:highlight w:val="none"/>
          <w:u w:val="single"/>
        </w:rPr>
        <w:t xml:space="preserve"> </w:t>
      </w:r>
    </w:p>
    <w:p w14:paraId="2C91BA16">
      <w:pPr>
        <w:pStyle w:val="514"/>
        <w:adjustRightInd w:val="0"/>
        <w:snapToGrid w:val="0"/>
        <w:spacing w:line="400" w:lineRule="exact"/>
        <w:ind w:firstLine="422"/>
        <w:outlineLvl w:val="0"/>
        <w:rPr>
          <w:rFonts w:ascii="宋体" w:hAnsi="宋体" w:cs="宋体"/>
          <w:b/>
          <w:color w:val="auto"/>
          <w:highlight w:val="none"/>
        </w:rPr>
      </w:pPr>
      <w:bookmarkStart w:id="215" w:name="_Toc349"/>
      <w:bookmarkStart w:id="216" w:name="_Toc406522029"/>
      <w:bookmarkStart w:id="217" w:name="_Toc522201560"/>
      <w:bookmarkStart w:id="218" w:name="_Toc351203482"/>
      <w:bookmarkStart w:id="219" w:name="_Toc406419154"/>
      <w:r>
        <w:rPr>
          <w:rFonts w:hint="eastAsia" w:ascii="宋体" w:hAnsi="宋体" w:cs="宋体"/>
          <w:b/>
          <w:color w:val="auto"/>
          <w:highlight w:val="none"/>
        </w:rPr>
        <w:t>二、合同工期</w:t>
      </w:r>
      <w:bookmarkEnd w:id="215"/>
      <w:bookmarkEnd w:id="216"/>
      <w:bookmarkEnd w:id="217"/>
      <w:bookmarkEnd w:id="218"/>
      <w:bookmarkEnd w:id="219"/>
    </w:p>
    <w:p w14:paraId="61024891">
      <w:pPr>
        <w:pStyle w:val="513"/>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计划开工日期：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日。（实际开工日期以开工令为准）</w:t>
      </w:r>
    </w:p>
    <w:p w14:paraId="26815C87">
      <w:pPr>
        <w:pStyle w:val="513"/>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计划竣工日期：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AE88387">
      <w:pPr>
        <w:pStyle w:val="513"/>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工期总日历天数：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天。工期总日历天数与根据前述计划开竣工日期计算的工期天数不一致的，以工期总日历天数为准。</w:t>
      </w:r>
    </w:p>
    <w:p w14:paraId="180FCA5B">
      <w:pPr>
        <w:pStyle w:val="514"/>
        <w:adjustRightInd w:val="0"/>
        <w:snapToGrid w:val="0"/>
        <w:spacing w:line="400" w:lineRule="exact"/>
        <w:ind w:firstLine="422"/>
        <w:outlineLvl w:val="0"/>
        <w:rPr>
          <w:rFonts w:ascii="宋体" w:hAnsi="宋体" w:cs="宋体"/>
          <w:b/>
          <w:color w:val="auto"/>
          <w:highlight w:val="none"/>
        </w:rPr>
      </w:pPr>
      <w:bookmarkStart w:id="220" w:name="_Toc406522030"/>
      <w:bookmarkStart w:id="221" w:name="_Toc351203483"/>
      <w:bookmarkStart w:id="222" w:name="_Toc406419155"/>
      <w:bookmarkStart w:id="223" w:name="_Toc522201561"/>
      <w:bookmarkStart w:id="224" w:name="_Toc15140"/>
      <w:r>
        <w:rPr>
          <w:rFonts w:hint="eastAsia" w:ascii="宋体" w:hAnsi="宋体" w:cs="宋体"/>
          <w:b/>
          <w:color w:val="auto"/>
          <w:highlight w:val="none"/>
        </w:rPr>
        <w:t>三、质量标准</w:t>
      </w:r>
      <w:bookmarkEnd w:id="220"/>
      <w:bookmarkEnd w:id="221"/>
      <w:bookmarkEnd w:id="222"/>
      <w:bookmarkEnd w:id="223"/>
      <w:bookmarkEnd w:id="224"/>
    </w:p>
    <w:p w14:paraId="1BBF0DB8">
      <w:pPr>
        <w:pStyle w:val="513"/>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工程质量符合</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达到国家施工验收规范合格标准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9FF33BB">
      <w:pPr>
        <w:pStyle w:val="514"/>
        <w:adjustRightInd w:val="0"/>
        <w:snapToGrid w:val="0"/>
        <w:spacing w:line="400" w:lineRule="exact"/>
        <w:ind w:firstLine="422"/>
        <w:outlineLvl w:val="0"/>
        <w:rPr>
          <w:rFonts w:ascii="宋体" w:hAnsi="宋体" w:cs="宋体"/>
          <w:b/>
          <w:color w:val="auto"/>
          <w:highlight w:val="none"/>
        </w:rPr>
      </w:pPr>
      <w:bookmarkStart w:id="225" w:name="_Toc351203484"/>
      <w:bookmarkStart w:id="226" w:name="_Toc522201562"/>
      <w:bookmarkStart w:id="227" w:name="_Toc8031"/>
      <w:bookmarkStart w:id="228" w:name="_Toc406419156"/>
      <w:bookmarkStart w:id="229" w:name="_Toc406522031"/>
      <w:r>
        <w:rPr>
          <w:rFonts w:hint="eastAsia" w:ascii="宋体" w:hAnsi="宋体" w:cs="宋体"/>
          <w:b/>
          <w:color w:val="auto"/>
          <w:highlight w:val="none"/>
        </w:rPr>
        <w:t>四、签约合同价与合同价格形式</w:t>
      </w:r>
      <w:bookmarkEnd w:id="225"/>
      <w:bookmarkEnd w:id="226"/>
      <w:bookmarkEnd w:id="227"/>
      <w:bookmarkEnd w:id="228"/>
      <w:bookmarkEnd w:id="229"/>
    </w:p>
    <w:p w14:paraId="7DDDE437">
      <w:pPr>
        <w:pStyle w:val="513"/>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1. 签约合同价为：</w:t>
      </w:r>
    </w:p>
    <w:p w14:paraId="4528876F">
      <w:pPr>
        <w:pStyle w:val="513"/>
        <w:adjustRightInd w:val="0"/>
        <w:snapToGrid w:val="0"/>
        <w:spacing w:line="40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总价：人民币（大写）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14:paraId="781DA63C">
      <w:pPr>
        <w:pStyle w:val="513"/>
        <w:adjustRightInd w:val="0"/>
        <w:snapToGrid w:val="0"/>
        <w:spacing w:line="400" w:lineRule="exact"/>
        <w:ind w:firstLine="525" w:firstLineChars="250"/>
        <w:rPr>
          <w:rFonts w:ascii="宋体" w:hAnsi="宋体" w:cs="宋体"/>
          <w:strike w:val="0"/>
          <w:color w:val="auto"/>
          <w:szCs w:val="21"/>
          <w:highlight w:val="none"/>
        </w:rPr>
      </w:pPr>
      <w:r>
        <w:rPr>
          <w:rFonts w:hint="eastAsia" w:ascii="宋体" w:hAnsi="宋体" w:cs="宋体"/>
          <w:strike w:val="0"/>
          <w:color w:val="auto"/>
          <w:szCs w:val="21"/>
          <w:highlight w:val="none"/>
        </w:rPr>
        <w:t>其中：</w:t>
      </w:r>
    </w:p>
    <w:p w14:paraId="17E7274A">
      <w:pPr>
        <w:pStyle w:val="513"/>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（1）投标报价：</w:t>
      </w:r>
    </w:p>
    <w:p w14:paraId="40B7AF6B">
      <w:pPr>
        <w:pStyle w:val="513"/>
        <w:adjustRightInd w:val="0"/>
        <w:snapToGrid w:val="0"/>
        <w:spacing w:line="400" w:lineRule="exact"/>
        <w:ind w:firstLine="978" w:firstLineChars="466"/>
        <w:rPr>
          <w:rFonts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0D75E141">
      <w:pPr>
        <w:pStyle w:val="513"/>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（2）安全文明施工费：</w:t>
      </w:r>
    </w:p>
    <w:p w14:paraId="297682C7">
      <w:pPr>
        <w:pStyle w:val="513"/>
        <w:adjustRightInd w:val="0"/>
        <w:snapToGrid w:val="0"/>
        <w:spacing w:line="400" w:lineRule="exact"/>
        <w:ind w:firstLine="978" w:firstLineChars="466"/>
        <w:rPr>
          <w:rFonts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5DD97410">
      <w:pPr>
        <w:pStyle w:val="513"/>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（3）规费：人民币（大写）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262082FC">
      <w:pPr>
        <w:pStyle w:val="513"/>
        <w:adjustRightInd w:val="0"/>
        <w:snapToGrid w:val="0"/>
        <w:spacing w:line="400" w:lineRule="exact"/>
        <w:ind w:firstLine="1050" w:firstLineChars="500"/>
        <w:rPr>
          <w:rFonts w:ascii="宋体" w:hAnsi="宋体" w:cs="宋体"/>
          <w:strike w:val="0"/>
          <w:color w:val="auto"/>
          <w:szCs w:val="21"/>
          <w:highlight w:val="none"/>
        </w:rPr>
      </w:pPr>
      <w:r>
        <w:rPr>
          <w:rFonts w:hint="eastAsia" w:ascii="宋体" w:hAnsi="宋体" w:cs="宋体"/>
          <w:strike w:val="0"/>
          <w:color w:val="auto"/>
          <w:szCs w:val="21"/>
          <w:highlight w:val="none"/>
        </w:rPr>
        <w:t>其中社会保险费：</w:t>
      </w:r>
    </w:p>
    <w:p w14:paraId="1C099B70">
      <w:pPr>
        <w:pStyle w:val="513"/>
        <w:adjustRightInd w:val="0"/>
        <w:snapToGrid w:val="0"/>
        <w:spacing w:line="400" w:lineRule="exact"/>
        <w:ind w:left="420" w:leftChars="200" w:firstLine="638" w:firstLineChars="304"/>
        <w:rPr>
          <w:rFonts w:hint="eastAsia"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69F36F86">
      <w:pPr>
        <w:pStyle w:val="513"/>
        <w:adjustRightInd w:val="0"/>
        <w:snapToGrid w:val="0"/>
        <w:spacing w:line="400" w:lineRule="exact"/>
        <w:ind w:firstLine="945" w:firstLineChars="450"/>
        <w:rPr>
          <w:rFonts w:hint="eastAsia" w:ascii="宋体" w:hAnsi="宋体" w:eastAsia="宋体" w:cs="宋体"/>
          <w:strike w:val="0"/>
          <w:color w:val="auto"/>
          <w:szCs w:val="21"/>
          <w:highlight w:val="none"/>
          <w:lang w:eastAsia="zh-CN"/>
        </w:rPr>
      </w:pPr>
      <w:r>
        <w:rPr>
          <w:rFonts w:hint="eastAsia" w:ascii="宋体" w:hAnsi="宋体" w:cs="宋体"/>
          <w:strike w:val="0"/>
          <w:color w:val="auto"/>
          <w:szCs w:val="21"/>
          <w:highlight w:val="none"/>
          <w:lang w:eastAsia="zh-CN"/>
        </w:rPr>
        <w:t>其他：</w:t>
      </w: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3133AD6D">
      <w:pPr>
        <w:pStyle w:val="513"/>
        <w:numPr>
          <w:ilvl w:val="0"/>
          <w:numId w:val="4"/>
        </w:numPr>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增值税：</w:t>
      </w:r>
    </w:p>
    <w:p w14:paraId="7C7E7478">
      <w:pPr>
        <w:pStyle w:val="513"/>
        <w:adjustRightInd w:val="0"/>
        <w:snapToGrid w:val="0"/>
        <w:spacing w:line="400" w:lineRule="exact"/>
        <w:ind w:left="420" w:leftChars="200"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1B924287">
      <w:pPr>
        <w:pStyle w:val="513"/>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（5）材料和工程设备暂估价金额：</w:t>
      </w:r>
    </w:p>
    <w:p w14:paraId="29D2C0AA">
      <w:pPr>
        <w:pStyle w:val="513"/>
        <w:adjustRightInd w:val="0"/>
        <w:snapToGrid w:val="0"/>
        <w:spacing w:line="400" w:lineRule="exact"/>
        <w:ind w:firstLine="945" w:firstLineChars="450"/>
        <w:rPr>
          <w:rFonts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1747CE6C">
      <w:pPr>
        <w:pStyle w:val="513"/>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（6）专业工程暂估价金额：</w:t>
      </w:r>
    </w:p>
    <w:p w14:paraId="365D85AB">
      <w:pPr>
        <w:pStyle w:val="513"/>
        <w:adjustRightInd w:val="0"/>
        <w:snapToGrid w:val="0"/>
        <w:spacing w:line="400" w:lineRule="exact"/>
        <w:ind w:firstLine="945" w:firstLineChars="450"/>
        <w:rPr>
          <w:rFonts w:hint="eastAsia"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32F4B3B5">
      <w:pPr>
        <w:pStyle w:val="513"/>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s="宋体"/>
          <w:strike w:val="0"/>
          <w:color w:val="auto"/>
          <w:szCs w:val="21"/>
          <w:highlight w:val="none"/>
        </w:rPr>
      </w:pPr>
      <w:r>
        <w:rPr>
          <w:rFonts w:hint="eastAsia" w:ascii="宋体" w:hAnsi="宋体" w:cs="宋体"/>
          <w:strike w:val="0"/>
          <w:color w:val="auto"/>
          <w:szCs w:val="21"/>
          <w:highlight w:val="none"/>
        </w:rPr>
        <w:t>（7）安全生产责任保险费暂估价金额：</w:t>
      </w:r>
    </w:p>
    <w:p w14:paraId="2F056478">
      <w:pPr>
        <w:pStyle w:val="513"/>
        <w:adjustRightInd w:val="0"/>
        <w:snapToGrid w:val="0"/>
        <w:spacing w:line="400" w:lineRule="exact"/>
        <w:ind w:firstLine="945" w:firstLineChars="450"/>
        <w:rPr>
          <w:rFonts w:hint="eastAsia"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53C564BB">
      <w:pPr>
        <w:pStyle w:val="513"/>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w:t>
      </w:r>
      <w:r>
        <w:rPr>
          <w:rFonts w:hint="eastAsia" w:ascii="宋体" w:hAnsi="宋体" w:cs="宋体"/>
          <w:strike w:val="0"/>
          <w:color w:val="auto"/>
          <w:szCs w:val="21"/>
          <w:highlight w:val="none"/>
          <w:lang w:val="en-US" w:eastAsia="zh-CN"/>
        </w:rPr>
        <w:t>8</w:t>
      </w:r>
      <w:r>
        <w:rPr>
          <w:rFonts w:hint="eastAsia" w:ascii="宋体" w:hAnsi="宋体" w:cs="宋体"/>
          <w:strike w:val="0"/>
          <w:color w:val="auto"/>
          <w:szCs w:val="21"/>
          <w:highlight w:val="none"/>
        </w:rPr>
        <w:t>）暂列金额：</w:t>
      </w:r>
    </w:p>
    <w:p w14:paraId="0C40411D">
      <w:pPr>
        <w:pStyle w:val="513"/>
        <w:adjustRightInd w:val="0"/>
        <w:snapToGrid w:val="0"/>
        <w:spacing w:line="400" w:lineRule="exact"/>
        <w:ind w:firstLine="945" w:firstLineChars="450"/>
        <w:rPr>
          <w:rFonts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2A992BE5">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 合同价格形式：</w:t>
      </w:r>
      <w:r>
        <w:rPr>
          <w:rFonts w:ascii="宋体" w:hAnsi="宋体" w:eastAsia="宋体" w:cs="宋体"/>
          <w:color w:val="auto"/>
          <w:spacing w:val="-6"/>
          <w:sz w:val="21"/>
          <w:szCs w:val="21"/>
          <w:u w:val="single" w:color="auto"/>
        </w:rPr>
        <w:t>固定综合单价，工程量按实际计算</w:t>
      </w:r>
      <w:r>
        <w:rPr>
          <w:rFonts w:hint="eastAsia" w:ascii="宋体" w:hAnsi="宋体" w:cs="宋体"/>
          <w:color w:val="auto"/>
          <w:szCs w:val="21"/>
          <w:highlight w:val="none"/>
        </w:rPr>
        <w:t>。</w:t>
      </w:r>
    </w:p>
    <w:p w14:paraId="0038153F">
      <w:pPr>
        <w:pStyle w:val="514"/>
        <w:adjustRightInd w:val="0"/>
        <w:snapToGrid w:val="0"/>
        <w:spacing w:line="400" w:lineRule="exact"/>
        <w:ind w:firstLine="422"/>
        <w:outlineLvl w:val="0"/>
        <w:rPr>
          <w:rFonts w:ascii="宋体" w:hAnsi="宋体" w:cs="宋体"/>
          <w:b/>
          <w:color w:val="auto"/>
          <w:highlight w:val="none"/>
        </w:rPr>
      </w:pPr>
      <w:bookmarkStart w:id="230" w:name="_Toc351203485"/>
      <w:bookmarkStart w:id="231" w:name="_Toc406419157"/>
      <w:bookmarkStart w:id="232" w:name="_Toc10860"/>
      <w:bookmarkStart w:id="233" w:name="_Toc406522032"/>
      <w:bookmarkStart w:id="234" w:name="_Toc522201563"/>
      <w:r>
        <w:rPr>
          <w:rFonts w:hint="eastAsia" w:ascii="宋体" w:hAnsi="宋体" w:cs="宋体"/>
          <w:b/>
          <w:color w:val="auto"/>
          <w:highlight w:val="none"/>
        </w:rPr>
        <w:t>五、</w:t>
      </w:r>
      <w:bookmarkEnd w:id="230"/>
      <w:r>
        <w:rPr>
          <w:rFonts w:hint="eastAsia" w:ascii="宋体" w:hAnsi="宋体" w:cs="宋体"/>
          <w:b/>
          <w:color w:val="auto"/>
          <w:highlight w:val="none"/>
        </w:rPr>
        <w:t>项目经理</w:t>
      </w:r>
      <w:bookmarkEnd w:id="231"/>
      <w:bookmarkEnd w:id="232"/>
      <w:bookmarkEnd w:id="233"/>
      <w:bookmarkEnd w:id="234"/>
    </w:p>
    <w:p w14:paraId="3BE16091">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承包人项目经理：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lang w:eastAsia="zh-CN"/>
        </w:rPr>
        <w:t>；</w:t>
      </w:r>
      <w:r>
        <w:rPr>
          <w:rFonts w:hint="eastAsia" w:ascii="宋体" w:hAnsi="宋体" w:cs="宋体"/>
          <w:color w:val="auto"/>
          <w:szCs w:val="21"/>
          <w:highlight w:val="none"/>
          <w:u w:val="none"/>
          <w:lang w:val="en-US" w:eastAsia="zh-CN"/>
        </w:rPr>
        <w:t>联系方式：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3D0E86FB">
      <w:pPr>
        <w:pStyle w:val="514"/>
        <w:adjustRightInd w:val="0"/>
        <w:snapToGrid w:val="0"/>
        <w:spacing w:line="400" w:lineRule="exact"/>
        <w:ind w:firstLine="422"/>
        <w:outlineLvl w:val="0"/>
        <w:rPr>
          <w:rFonts w:ascii="宋体" w:hAnsi="宋体" w:cs="宋体"/>
          <w:b/>
          <w:color w:val="auto"/>
          <w:highlight w:val="none"/>
        </w:rPr>
      </w:pPr>
      <w:bookmarkStart w:id="235" w:name="_Toc406419158"/>
      <w:bookmarkStart w:id="236" w:name="_Toc23735"/>
      <w:bookmarkStart w:id="237" w:name="_Toc351203486"/>
      <w:bookmarkStart w:id="238" w:name="_Toc406522033"/>
      <w:bookmarkStart w:id="239" w:name="_Toc522201564"/>
      <w:r>
        <w:rPr>
          <w:rFonts w:hint="eastAsia" w:ascii="宋体" w:hAnsi="宋体" w:cs="宋体"/>
          <w:b/>
          <w:color w:val="auto"/>
          <w:highlight w:val="none"/>
        </w:rPr>
        <w:t>六、合同文件构成</w:t>
      </w:r>
      <w:bookmarkEnd w:id="235"/>
      <w:bookmarkEnd w:id="236"/>
      <w:bookmarkEnd w:id="237"/>
      <w:bookmarkEnd w:id="238"/>
      <w:bookmarkEnd w:id="239"/>
    </w:p>
    <w:p w14:paraId="724953F8">
      <w:pPr>
        <w:pStyle w:val="513"/>
        <w:adjustRightInd w:val="0"/>
        <w:snapToGrid w:val="0"/>
        <w:spacing w:line="400" w:lineRule="exact"/>
        <w:ind w:firstLine="420" w:firstLineChars="200"/>
        <w:rPr>
          <w:rFonts w:ascii="宋体" w:hAnsi="宋体" w:cs="宋体"/>
          <w:color w:val="auto"/>
          <w:szCs w:val="21"/>
          <w:highlight w:val="none"/>
        </w:rPr>
      </w:pPr>
      <w:bookmarkStart w:id="240" w:name="_Toc406522034"/>
      <w:bookmarkStart w:id="241" w:name="_Toc7021"/>
      <w:bookmarkStart w:id="242" w:name="_Toc351203487"/>
      <w:bookmarkStart w:id="243" w:name="_Toc406419159"/>
      <w:r>
        <w:rPr>
          <w:rFonts w:hint="eastAsia" w:ascii="宋体" w:hAnsi="宋体" w:cs="宋体"/>
          <w:color w:val="auto"/>
          <w:szCs w:val="21"/>
          <w:highlight w:val="none"/>
        </w:rPr>
        <w:t>本协议书与下列文件一起构成合同文件：</w:t>
      </w:r>
    </w:p>
    <w:p w14:paraId="57C07229">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（1）中标通知书（如果有）；</w:t>
      </w:r>
    </w:p>
    <w:p w14:paraId="3787D1D9">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（2）投标函及其附录（如果有）； </w:t>
      </w:r>
    </w:p>
    <w:p w14:paraId="6B4473F2">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（3）专用合同条款及其附件；</w:t>
      </w:r>
    </w:p>
    <w:p w14:paraId="773921E9">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（4）通用合同条款；</w:t>
      </w:r>
    </w:p>
    <w:p w14:paraId="40690466">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（5）技术标准和要求；</w:t>
      </w:r>
    </w:p>
    <w:p w14:paraId="0DBBAF62">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（6）图纸；</w:t>
      </w:r>
    </w:p>
    <w:p w14:paraId="73A144B8">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（7）已标价工程量清单或预算书；</w:t>
      </w:r>
    </w:p>
    <w:p w14:paraId="5EB103B6">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（8）其他合同文件。</w:t>
      </w:r>
    </w:p>
    <w:p w14:paraId="6A987B79">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w:t>
      </w:r>
    </w:p>
    <w:p w14:paraId="50A18334">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1200D44D">
      <w:pPr>
        <w:pStyle w:val="514"/>
        <w:adjustRightInd w:val="0"/>
        <w:snapToGrid w:val="0"/>
        <w:spacing w:line="400" w:lineRule="exact"/>
        <w:ind w:firstLine="422"/>
        <w:outlineLvl w:val="0"/>
        <w:rPr>
          <w:rFonts w:ascii="宋体" w:hAnsi="宋体" w:cs="宋体"/>
          <w:b/>
          <w:color w:val="auto"/>
          <w:highlight w:val="none"/>
        </w:rPr>
      </w:pPr>
      <w:bookmarkStart w:id="244" w:name="_Toc522201565"/>
      <w:r>
        <w:rPr>
          <w:rFonts w:hint="eastAsia" w:ascii="宋体" w:hAnsi="宋体" w:cs="宋体"/>
          <w:b/>
          <w:color w:val="auto"/>
          <w:highlight w:val="none"/>
        </w:rPr>
        <w:t>七、承诺</w:t>
      </w:r>
      <w:bookmarkEnd w:id="240"/>
      <w:bookmarkEnd w:id="241"/>
      <w:bookmarkEnd w:id="242"/>
      <w:bookmarkEnd w:id="243"/>
      <w:bookmarkEnd w:id="244"/>
    </w:p>
    <w:p w14:paraId="72F052F5">
      <w:pPr>
        <w:pStyle w:val="513"/>
        <w:adjustRightInd w:val="0"/>
        <w:snapToGrid w:val="0"/>
        <w:spacing w:line="400" w:lineRule="exact"/>
        <w:ind w:firstLine="420" w:firstLineChars="200"/>
        <w:rPr>
          <w:rFonts w:ascii="宋体" w:hAnsi="宋体" w:cs="宋体"/>
          <w:color w:val="auto"/>
          <w:szCs w:val="21"/>
          <w:highlight w:val="none"/>
        </w:rPr>
      </w:pPr>
      <w:bookmarkStart w:id="245" w:name="_Toc351203488"/>
      <w:bookmarkStart w:id="246" w:name="_Toc406522035"/>
      <w:bookmarkStart w:id="247" w:name="_Toc11962"/>
      <w:bookmarkStart w:id="248" w:name="_Toc406419160"/>
      <w:r>
        <w:rPr>
          <w:rFonts w:hint="eastAsia" w:ascii="宋体" w:hAnsi="宋体" w:cs="宋体"/>
          <w:color w:val="auto"/>
          <w:szCs w:val="21"/>
          <w:highlight w:val="none"/>
        </w:rPr>
        <w:t>1.发包人承诺按照法律规定履行项目审批手续、筹集工程建设资金并按照合同约定的期限和方式支付合同价款。</w:t>
      </w:r>
    </w:p>
    <w:p w14:paraId="0A3DAFB8">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2.承包人承诺按照法律规定及合同约定组织完成工程施工，确保工程质量和安全，不进行转包及违法分包，并在缺陷责任期及保修期内承担相应的工程维修责任。</w:t>
      </w:r>
    </w:p>
    <w:p w14:paraId="0BE86069">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3.发包人和承包人通过招投标形式签订合同的，双方理解并承诺不再就同一工程另行签订与合同实质性内容相背离的协议。</w:t>
      </w:r>
    </w:p>
    <w:p w14:paraId="13B63371">
      <w:pPr>
        <w:pStyle w:val="514"/>
        <w:adjustRightInd w:val="0"/>
        <w:snapToGrid w:val="0"/>
        <w:spacing w:line="400" w:lineRule="exact"/>
        <w:ind w:firstLine="422"/>
        <w:outlineLvl w:val="0"/>
        <w:rPr>
          <w:rFonts w:ascii="宋体" w:hAnsi="宋体" w:cs="宋体"/>
          <w:b/>
          <w:color w:val="auto"/>
          <w:highlight w:val="none"/>
        </w:rPr>
      </w:pPr>
      <w:bookmarkStart w:id="249" w:name="_Toc522201566"/>
      <w:r>
        <w:rPr>
          <w:rFonts w:hint="eastAsia" w:ascii="宋体" w:hAnsi="宋体" w:cs="宋体"/>
          <w:b/>
          <w:color w:val="auto"/>
          <w:highlight w:val="none"/>
        </w:rPr>
        <w:t>八、词语含义</w:t>
      </w:r>
      <w:bookmarkEnd w:id="245"/>
      <w:bookmarkEnd w:id="246"/>
      <w:bookmarkEnd w:id="247"/>
      <w:bookmarkEnd w:id="248"/>
      <w:bookmarkEnd w:id="249"/>
    </w:p>
    <w:p w14:paraId="31CB4072">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本协议书中词语含义与第二部分通用合同条款中赋予的含义相同。</w:t>
      </w:r>
    </w:p>
    <w:p w14:paraId="0B280668">
      <w:pPr>
        <w:pStyle w:val="514"/>
        <w:adjustRightInd w:val="0"/>
        <w:snapToGrid w:val="0"/>
        <w:spacing w:line="400" w:lineRule="exact"/>
        <w:ind w:firstLine="422"/>
        <w:outlineLvl w:val="0"/>
        <w:rPr>
          <w:rFonts w:ascii="宋体" w:hAnsi="宋体" w:cs="宋体"/>
          <w:b/>
          <w:color w:val="auto"/>
          <w:highlight w:val="none"/>
        </w:rPr>
      </w:pPr>
      <w:bookmarkStart w:id="250" w:name="_Toc406419161"/>
      <w:bookmarkStart w:id="251" w:name="_Toc406522036"/>
      <w:bookmarkStart w:id="252" w:name="_Toc22011"/>
      <w:bookmarkStart w:id="253" w:name="_Toc351203489"/>
      <w:bookmarkStart w:id="254" w:name="_Toc522201567"/>
      <w:r>
        <w:rPr>
          <w:rFonts w:hint="eastAsia" w:ascii="宋体" w:hAnsi="宋体" w:cs="宋体"/>
          <w:b/>
          <w:color w:val="auto"/>
          <w:highlight w:val="none"/>
        </w:rPr>
        <w:t>九、签订时间</w:t>
      </w:r>
      <w:bookmarkEnd w:id="250"/>
      <w:bookmarkEnd w:id="251"/>
      <w:bookmarkEnd w:id="252"/>
      <w:bookmarkEnd w:id="253"/>
      <w:bookmarkEnd w:id="254"/>
    </w:p>
    <w:p w14:paraId="44B7495F">
      <w:pPr>
        <w:pStyle w:val="513"/>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日签订。</w:t>
      </w:r>
    </w:p>
    <w:p w14:paraId="3A2CC6E1">
      <w:pPr>
        <w:pStyle w:val="514"/>
        <w:adjustRightInd w:val="0"/>
        <w:snapToGrid w:val="0"/>
        <w:spacing w:line="400" w:lineRule="exact"/>
        <w:ind w:firstLine="422"/>
        <w:outlineLvl w:val="0"/>
        <w:rPr>
          <w:rFonts w:ascii="宋体" w:hAnsi="宋体" w:cs="宋体"/>
          <w:b/>
          <w:color w:val="auto"/>
          <w:highlight w:val="none"/>
        </w:rPr>
      </w:pPr>
      <w:bookmarkStart w:id="255" w:name="_Toc406522037"/>
      <w:bookmarkStart w:id="256" w:name="_Toc522201568"/>
      <w:bookmarkStart w:id="257" w:name="_Toc351203490"/>
      <w:bookmarkStart w:id="258" w:name="_Toc406419162"/>
      <w:bookmarkStart w:id="259" w:name="_Toc3692"/>
      <w:r>
        <w:rPr>
          <w:rFonts w:hint="eastAsia" w:ascii="宋体" w:hAnsi="宋体" w:cs="宋体"/>
          <w:b/>
          <w:color w:val="auto"/>
          <w:highlight w:val="none"/>
        </w:rPr>
        <w:t>十、签订地点</w:t>
      </w:r>
      <w:bookmarkEnd w:id="255"/>
      <w:bookmarkEnd w:id="256"/>
      <w:bookmarkEnd w:id="257"/>
      <w:bookmarkEnd w:id="258"/>
      <w:bookmarkEnd w:id="259"/>
    </w:p>
    <w:p w14:paraId="3A77DBF4">
      <w:pPr>
        <w:pStyle w:val="513"/>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本合同在</w:t>
      </w:r>
      <w:r>
        <w:rPr>
          <w:rFonts w:hint="eastAsia" w:ascii="宋体" w:hAnsi="宋体" w:cs="宋体"/>
          <w:bCs/>
          <w:color w:val="auto"/>
          <w:szCs w:val="21"/>
          <w:highlight w:val="none"/>
          <w:u w:val="single"/>
        </w:rPr>
        <w:t xml:space="preserve">  广西桂林市</w:t>
      </w:r>
      <w:r>
        <w:rPr>
          <w:rFonts w:hint="eastAsia" w:ascii="宋体" w:hAnsi="宋体" w:cs="宋体"/>
          <w:bCs/>
          <w:color w:val="auto"/>
          <w:szCs w:val="21"/>
          <w:highlight w:val="none"/>
          <w:u w:val="single"/>
          <w:lang w:val="en-US" w:eastAsia="zh-CN"/>
        </w:rPr>
        <w:t>资源县</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签订。</w:t>
      </w:r>
    </w:p>
    <w:p w14:paraId="74DFF620">
      <w:pPr>
        <w:pStyle w:val="514"/>
        <w:adjustRightInd w:val="0"/>
        <w:snapToGrid w:val="0"/>
        <w:spacing w:line="400" w:lineRule="exact"/>
        <w:ind w:firstLine="422"/>
        <w:outlineLvl w:val="0"/>
        <w:rPr>
          <w:rFonts w:ascii="宋体" w:hAnsi="宋体" w:cs="宋体"/>
          <w:b/>
          <w:color w:val="auto"/>
          <w:highlight w:val="none"/>
        </w:rPr>
      </w:pPr>
      <w:bookmarkStart w:id="260" w:name="_Toc9576"/>
      <w:bookmarkStart w:id="261" w:name="_Toc351203491"/>
      <w:bookmarkStart w:id="262" w:name="_Toc406419163"/>
      <w:bookmarkStart w:id="263" w:name="_Toc522201569"/>
      <w:bookmarkStart w:id="264" w:name="_Toc406522038"/>
      <w:r>
        <w:rPr>
          <w:rFonts w:hint="eastAsia" w:ascii="宋体" w:hAnsi="宋体" w:cs="宋体"/>
          <w:b/>
          <w:color w:val="auto"/>
          <w:highlight w:val="none"/>
        </w:rPr>
        <w:t>十一、补充协议</w:t>
      </w:r>
      <w:bookmarkEnd w:id="260"/>
      <w:bookmarkEnd w:id="261"/>
      <w:bookmarkEnd w:id="262"/>
      <w:bookmarkEnd w:id="263"/>
      <w:bookmarkEnd w:id="264"/>
    </w:p>
    <w:p w14:paraId="35ABF09B">
      <w:pPr>
        <w:pStyle w:val="513"/>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合同未尽事宜，合同当事人另行签订补充协议，补充协议是合同的组成部分。</w:t>
      </w:r>
    </w:p>
    <w:p w14:paraId="6320E5B8">
      <w:pPr>
        <w:pStyle w:val="514"/>
        <w:adjustRightInd w:val="0"/>
        <w:snapToGrid w:val="0"/>
        <w:spacing w:line="400" w:lineRule="exact"/>
        <w:ind w:firstLine="422"/>
        <w:outlineLvl w:val="0"/>
        <w:rPr>
          <w:rFonts w:ascii="宋体" w:hAnsi="宋体" w:cs="宋体"/>
          <w:b/>
          <w:color w:val="auto"/>
          <w:highlight w:val="none"/>
        </w:rPr>
      </w:pPr>
      <w:bookmarkStart w:id="265" w:name="_Toc406419164"/>
      <w:bookmarkStart w:id="266" w:name="_Toc522201570"/>
      <w:bookmarkStart w:id="267" w:name="_Toc32443"/>
      <w:bookmarkStart w:id="268" w:name="_Toc406522039"/>
      <w:bookmarkStart w:id="269" w:name="_Toc351203492"/>
      <w:r>
        <w:rPr>
          <w:rFonts w:hint="eastAsia" w:ascii="宋体" w:hAnsi="宋体" w:cs="宋体"/>
          <w:b/>
          <w:color w:val="auto"/>
          <w:highlight w:val="none"/>
        </w:rPr>
        <w:t>十二、合同生效</w:t>
      </w:r>
      <w:bookmarkEnd w:id="265"/>
      <w:bookmarkEnd w:id="266"/>
      <w:bookmarkEnd w:id="267"/>
      <w:bookmarkEnd w:id="268"/>
      <w:bookmarkEnd w:id="269"/>
    </w:p>
    <w:p w14:paraId="04767B0F">
      <w:pPr>
        <w:pStyle w:val="513"/>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本合同自</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u w:val="single"/>
        </w:rPr>
        <w:t>双方法定代表人或其委托代理人签字或盖章并加盖单位</w:t>
      </w:r>
      <w:r>
        <w:rPr>
          <w:rFonts w:hint="eastAsia" w:ascii="宋体" w:hAnsi="宋体" w:cs="宋体"/>
          <w:color w:val="auto"/>
          <w:szCs w:val="21"/>
          <w:highlight w:val="none"/>
          <w:u w:val="single"/>
          <w:lang w:eastAsia="zh-CN"/>
        </w:rPr>
        <w:t>公</w:t>
      </w:r>
      <w:r>
        <w:rPr>
          <w:rFonts w:hint="eastAsia" w:ascii="宋体" w:hAnsi="宋体" w:cs="宋体"/>
          <w:color w:val="auto"/>
          <w:szCs w:val="21"/>
          <w:highlight w:val="none"/>
          <w:u w:val="single"/>
        </w:rPr>
        <w:t>章后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生效。</w:t>
      </w:r>
    </w:p>
    <w:p w14:paraId="66664ACB">
      <w:pPr>
        <w:pStyle w:val="514"/>
        <w:adjustRightInd w:val="0"/>
        <w:snapToGrid w:val="0"/>
        <w:spacing w:line="400" w:lineRule="exact"/>
        <w:ind w:firstLine="422"/>
        <w:outlineLvl w:val="0"/>
        <w:rPr>
          <w:rFonts w:ascii="宋体" w:hAnsi="宋体" w:cs="宋体"/>
          <w:b/>
          <w:color w:val="auto"/>
          <w:highlight w:val="none"/>
        </w:rPr>
      </w:pPr>
      <w:bookmarkStart w:id="270" w:name="_Toc406419165"/>
      <w:bookmarkStart w:id="271" w:name="_Toc351203493"/>
      <w:bookmarkStart w:id="272" w:name="_Toc522201571"/>
      <w:bookmarkStart w:id="273" w:name="_Toc406522040"/>
      <w:bookmarkStart w:id="274" w:name="_Toc14945"/>
      <w:r>
        <w:rPr>
          <w:rFonts w:hint="eastAsia" w:ascii="宋体" w:hAnsi="宋体" w:cs="宋体"/>
          <w:b/>
          <w:color w:val="auto"/>
          <w:highlight w:val="none"/>
        </w:rPr>
        <w:t>十三、合同份数</w:t>
      </w:r>
      <w:bookmarkEnd w:id="270"/>
      <w:bookmarkEnd w:id="271"/>
      <w:bookmarkEnd w:id="272"/>
      <w:bookmarkEnd w:id="273"/>
      <w:bookmarkEnd w:id="274"/>
    </w:p>
    <w:p w14:paraId="0D193B44">
      <w:pPr>
        <w:pStyle w:val="513"/>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本合同一式</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份，均具有同等法律效力，发包人执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份，承包人执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份，招标代理机构执</w:t>
      </w:r>
      <w:r>
        <w:rPr>
          <w:rFonts w:hint="eastAsia" w:ascii="宋体" w:hAnsi="宋体" w:cs="宋体"/>
          <w:bCs/>
          <w:color w:val="auto"/>
          <w:szCs w:val="21"/>
          <w:highlight w:val="none"/>
          <w:u w:val="single"/>
        </w:rPr>
        <w:t xml:space="preserve"> 壹 </w:t>
      </w:r>
      <w:r>
        <w:rPr>
          <w:rFonts w:hint="eastAsia" w:ascii="宋体" w:hAnsi="宋体" w:cs="宋体"/>
          <w:bCs/>
          <w:color w:val="auto"/>
          <w:szCs w:val="21"/>
          <w:highlight w:val="none"/>
        </w:rPr>
        <w:t>份。</w:t>
      </w:r>
    </w:p>
    <w:p w14:paraId="46C679A4">
      <w:pPr>
        <w:pStyle w:val="513"/>
        <w:adjustRightInd w:val="0"/>
        <w:snapToGrid w:val="0"/>
        <w:spacing w:line="400" w:lineRule="exact"/>
        <w:ind w:firstLine="420" w:firstLineChars="200"/>
        <w:rPr>
          <w:rFonts w:ascii="宋体" w:hAnsi="宋体" w:cs="宋体"/>
          <w:bCs/>
          <w:color w:val="auto"/>
          <w:szCs w:val="21"/>
          <w:highlight w:val="none"/>
        </w:rPr>
      </w:pPr>
    </w:p>
    <w:tbl>
      <w:tblPr>
        <w:tblStyle w:val="55"/>
        <w:tblW w:w="8900" w:type="dxa"/>
        <w:tblInd w:w="46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03"/>
        <w:gridCol w:w="4597"/>
      </w:tblGrid>
      <w:tr w14:paraId="5801C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14548769">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发包人：（公章）</w:t>
            </w:r>
          </w:p>
          <w:p w14:paraId="580AD909">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b/>
                <w:bCs/>
                <w:color w:val="auto"/>
                <w:kern w:val="0"/>
                <w:sz w:val="21"/>
                <w:szCs w:val="21"/>
                <w:highlight w:val="none"/>
                <w:u w:val="none"/>
                <w:lang w:val="en-US" w:eastAsia="zh-CN"/>
              </w:rPr>
              <w:t xml:space="preserve"> </w:t>
            </w:r>
          </w:p>
        </w:tc>
        <w:tc>
          <w:tcPr>
            <w:tcW w:w="4597" w:type="dxa"/>
            <w:noWrap w:val="0"/>
            <w:vAlign w:val="top"/>
          </w:tcPr>
          <w:p w14:paraId="36769EA1">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承包人：（公章）</w:t>
            </w:r>
          </w:p>
          <w:p w14:paraId="692E2B32">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b/>
                <w:bCs/>
                <w:color w:val="auto"/>
                <w:highlight w:val="none"/>
                <w:u w:val="none"/>
                <w:lang w:val="en-US" w:eastAsia="zh-CN"/>
              </w:rPr>
              <w:t xml:space="preserve"> </w:t>
            </w:r>
          </w:p>
        </w:tc>
      </w:tr>
      <w:tr w14:paraId="3AA1F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3F95D11A">
            <w:pPr>
              <w:spacing w:line="360" w:lineRule="auto"/>
              <w:rPr>
                <w:rFonts w:hint="eastAsia" w:ascii="宋体" w:hAnsi="宋体" w:eastAsia="宋体" w:cs="宋体"/>
                <w:color w:val="auto"/>
                <w:kern w:val="0"/>
                <w:sz w:val="21"/>
                <w:szCs w:val="21"/>
                <w:highlight w:val="none"/>
                <w:u w:val="none"/>
                <w:lang w:val="en-US" w:eastAsia="zh-CN"/>
              </w:rPr>
            </w:pPr>
          </w:p>
        </w:tc>
        <w:tc>
          <w:tcPr>
            <w:tcW w:w="4597" w:type="dxa"/>
            <w:noWrap w:val="0"/>
            <w:vAlign w:val="top"/>
          </w:tcPr>
          <w:p w14:paraId="12EC0189">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 </w:t>
            </w:r>
          </w:p>
        </w:tc>
      </w:tr>
      <w:tr w14:paraId="2D42D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1E2321B1">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法定代表人</w:t>
            </w:r>
            <w:r>
              <w:rPr>
                <w:rFonts w:hint="eastAsia" w:hAnsi="宋体" w:cs="宋体"/>
                <w:color w:val="auto"/>
                <w:szCs w:val="21"/>
                <w:highlight w:val="none"/>
              </w:rPr>
              <w:t>或其委托代理人</w:t>
            </w:r>
            <w:r>
              <w:rPr>
                <w:rFonts w:hint="eastAsia" w:ascii="宋体" w:hAnsi="宋体" w:eastAsia="宋体" w:cs="宋体"/>
                <w:color w:val="auto"/>
                <w:kern w:val="0"/>
                <w:sz w:val="21"/>
                <w:szCs w:val="21"/>
                <w:highlight w:val="none"/>
                <w:u w:val="none"/>
                <w:lang w:val="en-US" w:eastAsia="zh-CN"/>
              </w:rPr>
              <w:t>：</w:t>
            </w:r>
          </w:p>
          <w:p w14:paraId="5102877B">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（签字或盖章）</w:t>
            </w:r>
          </w:p>
        </w:tc>
        <w:tc>
          <w:tcPr>
            <w:tcW w:w="4597" w:type="dxa"/>
            <w:noWrap w:val="0"/>
            <w:vAlign w:val="top"/>
          </w:tcPr>
          <w:p w14:paraId="107D5F13">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法定代表人</w:t>
            </w:r>
            <w:r>
              <w:rPr>
                <w:rFonts w:hint="eastAsia" w:hAnsi="宋体" w:cs="宋体"/>
                <w:color w:val="auto"/>
                <w:szCs w:val="21"/>
                <w:highlight w:val="none"/>
              </w:rPr>
              <w:t>或其委托代理人</w:t>
            </w:r>
            <w:r>
              <w:rPr>
                <w:rFonts w:hint="eastAsia" w:ascii="宋体" w:hAnsi="宋体" w:eastAsia="宋体" w:cs="宋体"/>
                <w:color w:val="auto"/>
                <w:kern w:val="0"/>
                <w:sz w:val="21"/>
                <w:szCs w:val="21"/>
                <w:highlight w:val="none"/>
                <w:u w:val="none"/>
                <w:lang w:val="en-US" w:eastAsia="zh-CN"/>
              </w:rPr>
              <w:t>：</w:t>
            </w:r>
          </w:p>
          <w:p w14:paraId="022B01C2">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（签字或盖章）</w:t>
            </w:r>
          </w:p>
        </w:tc>
      </w:tr>
      <w:tr w14:paraId="0235B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303" w:type="dxa"/>
            <w:noWrap w:val="0"/>
            <w:vAlign w:val="top"/>
          </w:tcPr>
          <w:p w14:paraId="3C8043F8">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统一社会信用代码：</w:t>
            </w:r>
            <w:r>
              <w:rPr>
                <w:rFonts w:hint="eastAsia" w:ascii="宋体" w:hAnsi="宋体" w:eastAsia="宋体"/>
                <w:color w:val="auto"/>
                <w:kern w:val="0"/>
                <w:szCs w:val="21"/>
                <w:highlight w:val="none"/>
                <w:lang w:val="en-US" w:eastAsia="zh-CN"/>
              </w:rPr>
              <w:t xml:space="preserve"> </w:t>
            </w:r>
          </w:p>
        </w:tc>
        <w:tc>
          <w:tcPr>
            <w:tcW w:w="4597" w:type="dxa"/>
            <w:noWrap w:val="0"/>
            <w:vAlign w:val="top"/>
          </w:tcPr>
          <w:p w14:paraId="3F6A1FE7">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统一社会信用代码： </w:t>
            </w:r>
          </w:p>
        </w:tc>
      </w:tr>
      <w:tr w14:paraId="63686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49ACCC98">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地址： </w:t>
            </w:r>
          </w:p>
        </w:tc>
        <w:tc>
          <w:tcPr>
            <w:tcW w:w="4597" w:type="dxa"/>
            <w:noWrap w:val="0"/>
            <w:vAlign w:val="top"/>
          </w:tcPr>
          <w:p w14:paraId="5B7DD976">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地址：</w:t>
            </w:r>
            <w:r>
              <w:rPr>
                <w:rFonts w:hint="eastAsia" w:ascii="宋体" w:hAnsi="宋体" w:eastAsia="宋体" w:cs="宋体"/>
                <w:color w:val="auto"/>
                <w:sz w:val="21"/>
                <w:szCs w:val="21"/>
                <w:highlight w:val="none"/>
                <w:u w:val="none"/>
                <w:lang w:val="en-US" w:eastAsia="zh-CN"/>
              </w:rPr>
              <w:t xml:space="preserve">  </w:t>
            </w:r>
          </w:p>
        </w:tc>
      </w:tr>
      <w:tr w14:paraId="5D439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1602515C">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邮政编码：</w:t>
            </w:r>
          </w:p>
        </w:tc>
        <w:tc>
          <w:tcPr>
            <w:tcW w:w="4597" w:type="dxa"/>
            <w:noWrap w:val="0"/>
            <w:vAlign w:val="top"/>
          </w:tcPr>
          <w:p w14:paraId="695B6562">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邮政编码：  </w:t>
            </w:r>
          </w:p>
        </w:tc>
      </w:tr>
      <w:tr w14:paraId="37AA8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784A0BF5">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联系人：</w:t>
            </w:r>
          </w:p>
        </w:tc>
        <w:tc>
          <w:tcPr>
            <w:tcW w:w="4597" w:type="dxa"/>
            <w:noWrap w:val="0"/>
            <w:vAlign w:val="top"/>
          </w:tcPr>
          <w:p w14:paraId="7B282987">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联系人：</w:t>
            </w:r>
            <w:r>
              <w:rPr>
                <w:rFonts w:hint="eastAsia" w:ascii="宋体" w:hAnsi="宋体" w:cs="宋体"/>
                <w:color w:val="auto"/>
                <w:kern w:val="0"/>
                <w:sz w:val="21"/>
                <w:szCs w:val="21"/>
                <w:highlight w:val="none"/>
                <w:u w:val="none"/>
                <w:lang w:val="en-US" w:eastAsia="zh-CN"/>
              </w:rPr>
              <w:t xml:space="preserve"> </w:t>
            </w:r>
          </w:p>
        </w:tc>
      </w:tr>
      <w:tr w14:paraId="359BE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2F099623">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电话：</w:t>
            </w:r>
          </w:p>
        </w:tc>
        <w:tc>
          <w:tcPr>
            <w:tcW w:w="4597" w:type="dxa"/>
            <w:noWrap w:val="0"/>
            <w:vAlign w:val="top"/>
          </w:tcPr>
          <w:p w14:paraId="35A72A97">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电话： </w:t>
            </w:r>
          </w:p>
        </w:tc>
      </w:tr>
      <w:tr w14:paraId="34564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66B56C28">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传真：</w:t>
            </w:r>
          </w:p>
        </w:tc>
        <w:tc>
          <w:tcPr>
            <w:tcW w:w="4597" w:type="dxa"/>
            <w:noWrap w:val="0"/>
            <w:vAlign w:val="top"/>
          </w:tcPr>
          <w:p w14:paraId="7A52E207">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传真：  </w:t>
            </w:r>
          </w:p>
        </w:tc>
      </w:tr>
      <w:tr w14:paraId="7A89F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184442D6">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电子信箱：</w:t>
            </w:r>
          </w:p>
        </w:tc>
        <w:tc>
          <w:tcPr>
            <w:tcW w:w="4597" w:type="dxa"/>
            <w:noWrap w:val="0"/>
            <w:vAlign w:val="top"/>
          </w:tcPr>
          <w:p w14:paraId="2F826498">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电子信箱： </w:t>
            </w:r>
          </w:p>
        </w:tc>
      </w:tr>
      <w:tr w14:paraId="332C4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2D801E44">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开户银行：</w:t>
            </w:r>
          </w:p>
        </w:tc>
        <w:tc>
          <w:tcPr>
            <w:tcW w:w="4597" w:type="dxa"/>
            <w:noWrap w:val="0"/>
            <w:vAlign w:val="top"/>
          </w:tcPr>
          <w:p w14:paraId="448B2D8E">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开户银行：  </w:t>
            </w:r>
          </w:p>
        </w:tc>
      </w:tr>
      <w:tr w14:paraId="38773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5597195F">
            <w:pPr>
              <w:spacing w:line="360" w:lineRule="auto"/>
              <w:rPr>
                <w:rFonts w:hint="default"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开户名称：</w:t>
            </w:r>
          </w:p>
        </w:tc>
        <w:tc>
          <w:tcPr>
            <w:tcW w:w="4597" w:type="dxa"/>
            <w:noWrap w:val="0"/>
            <w:vAlign w:val="top"/>
          </w:tcPr>
          <w:p w14:paraId="5FB3E722">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开户名称： </w:t>
            </w:r>
          </w:p>
        </w:tc>
      </w:tr>
      <w:tr w14:paraId="11C59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5A78CC4D">
            <w:pPr>
              <w:spacing w:line="360" w:lineRule="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rPr>
              <w:t>账号：</w:t>
            </w:r>
          </w:p>
        </w:tc>
        <w:tc>
          <w:tcPr>
            <w:tcW w:w="4597" w:type="dxa"/>
            <w:noWrap w:val="0"/>
            <w:vAlign w:val="top"/>
          </w:tcPr>
          <w:p w14:paraId="510D1020">
            <w:pPr>
              <w:spacing w:line="360" w:lineRule="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rPr>
              <w:t xml:space="preserve">账号：  </w:t>
            </w:r>
          </w:p>
        </w:tc>
      </w:tr>
    </w:tbl>
    <w:p w14:paraId="2627E789">
      <w:pPr>
        <w:pStyle w:val="504"/>
        <w:jc w:val="center"/>
        <w:rPr>
          <w:rFonts w:eastAsia="黑体"/>
          <w:b w:val="0"/>
          <w:bCs w:val="0"/>
          <w:color w:val="auto"/>
          <w:sz w:val="32"/>
          <w:szCs w:val="32"/>
          <w:highlight w:val="none"/>
        </w:rPr>
      </w:pPr>
      <w:r>
        <w:rPr>
          <w:b w:val="0"/>
          <w:bCs w:val="0"/>
          <w:color w:val="auto"/>
          <w:highlight w:val="none"/>
        </w:rPr>
        <w:br w:type="page"/>
      </w:r>
      <w:bookmarkStart w:id="275" w:name="_Toc256000032"/>
      <w:bookmarkStart w:id="276" w:name="_Toc522201572"/>
      <w:bookmarkStart w:id="277" w:name="_Toc2370"/>
      <w:bookmarkStart w:id="278" w:name="_Toc351203494"/>
      <w:r>
        <w:rPr>
          <w:rFonts w:ascii="宋体"/>
          <w:color w:val="auto"/>
          <w:sz w:val="32"/>
          <w:highlight w:val="none"/>
        </w:rPr>
        <w:t>第二部分 通用合同条款</w:t>
      </w:r>
      <w:bookmarkEnd w:id="275"/>
      <w:bookmarkEnd w:id="276"/>
      <w:bookmarkEnd w:id="277"/>
      <w:bookmarkEnd w:id="278"/>
      <w:bookmarkStart w:id="279" w:name="_Toc337558727"/>
    </w:p>
    <w:bookmarkEnd w:id="279"/>
    <w:p w14:paraId="69599610">
      <w:pPr>
        <w:pStyle w:val="4"/>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b w:val="0"/>
          <w:bCs w:val="0"/>
          <w:color w:val="auto"/>
          <w:sz w:val="28"/>
          <w:szCs w:val="28"/>
          <w:highlight w:val="none"/>
        </w:rPr>
      </w:pPr>
      <w:bookmarkStart w:id="280" w:name="_Toc16978"/>
    </w:p>
    <w:p w14:paraId="6003CF3F">
      <w:pPr>
        <w:pStyle w:val="397"/>
        <w:ind w:left="63" w:right="63"/>
        <w:rPr>
          <w:rFonts w:hint="eastAsia" w:eastAsia="宋体"/>
          <w:color w:val="auto"/>
          <w:highlight w:val="none"/>
          <w:lang w:eastAsia="zh-CN"/>
        </w:rPr>
      </w:pPr>
      <w:r>
        <w:rPr>
          <w:rFonts w:hint="eastAsia" w:ascii="宋体" w:hAnsi="宋体" w:eastAsia="宋体" w:cs="宋体"/>
          <w:b w:val="0"/>
          <w:bCs w:val="0"/>
          <w:color w:val="auto"/>
          <w:sz w:val="24"/>
          <w:szCs w:val="24"/>
          <w:highlight w:val="none"/>
        </w:rPr>
        <w:t>本工程的施工合同通用条款按国家工商行政管理局和建设部颁布的：</w:t>
      </w:r>
      <w:bookmarkEnd w:id="280"/>
      <w:r>
        <w:rPr>
          <w:rFonts w:hint="eastAsia" w:ascii="宋体" w:hAnsi="宋体" w:eastAsia="宋体" w:cs="宋体"/>
          <w:b w:val="0"/>
          <w:bCs w:val="0"/>
          <w:color w:val="auto"/>
          <w:sz w:val="24"/>
          <w:szCs w:val="24"/>
          <w:highlight w:val="none"/>
        </w:rPr>
        <w:t>《建设工程施工合同（示范文本）》（GF-2017-0201）</w:t>
      </w:r>
      <w:r>
        <w:rPr>
          <w:rFonts w:hint="eastAsia" w:ascii="宋体" w:hAnsi="宋体" w:eastAsia="宋体" w:cs="宋体"/>
          <w:b w:val="0"/>
          <w:bCs w:val="0"/>
          <w:color w:val="auto"/>
          <w:sz w:val="24"/>
          <w:szCs w:val="24"/>
          <w:highlight w:val="none"/>
          <w:lang w:eastAsia="zh-CN"/>
        </w:rPr>
        <w:t>。</w:t>
      </w:r>
    </w:p>
    <w:p w14:paraId="22F0436C">
      <w:pPr>
        <w:pStyle w:val="397"/>
        <w:ind w:left="63" w:right="63"/>
        <w:rPr>
          <w:color w:val="auto"/>
          <w:highlight w:val="none"/>
        </w:rPr>
      </w:pPr>
    </w:p>
    <w:p w14:paraId="035094DD">
      <w:pPr>
        <w:pStyle w:val="397"/>
        <w:ind w:left="63" w:right="63"/>
        <w:rPr>
          <w:color w:val="auto"/>
          <w:highlight w:val="none"/>
        </w:rPr>
      </w:pPr>
    </w:p>
    <w:p w14:paraId="5DE32DB1">
      <w:pPr>
        <w:pStyle w:val="397"/>
        <w:ind w:left="63" w:right="63"/>
        <w:rPr>
          <w:color w:val="auto"/>
          <w:highlight w:val="none"/>
        </w:rPr>
      </w:pPr>
    </w:p>
    <w:p w14:paraId="065780B4">
      <w:pPr>
        <w:pStyle w:val="397"/>
        <w:ind w:left="63" w:right="63"/>
        <w:rPr>
          <w:color w:val="auto"/>
          <w:highlight w:val="none"/>
        </w:rPr>
      </w:pPr>
    </w:p>
    <w:p w14:paraId="4D609577">
      <w:pPr>
        <w:pStyle w:val="397"/>
        <w:ind w:left="63" w:right="63"/>
        <w:rPr>
          <w:color w:val="auto"/>
          <w:highlight w:val="none"/>
        </w:rPr>
      </w:pPr>
    </w:p>
    <w:p w14:paraId="42E69A46">
      <w:pPr>
        <w:pStyle w:val="397"/>
        <w:ind w:left="63" w:right="63"/>
        <w:rPr>
          <w:color w:val="auto"/>
          <w:highlight w:val="none"/>
        </w:rPr>
      </w:pPr>
    </w:p>
    <w:p w14:paraId="4A72EBFE">
      <w:pPr>
        <w:pStyle w:val="397"/>
        <w:ind w:left="63" w:right="63"/>
        <w:rPr>
          <w:color w:val="auto"/>
          <w:highlight w:val="none"/>
        </w:rPr>
      </w:pPr>
    </w:p>
    <w:p w14:paraId="1BD99697">
      <w:pPr>
        <w:pStyle w:val="397"/>
        <w:ind w:left="63" w:right="63"/>
        <w:rPr>
          <w:color w:val="auto"/>
          <w:highlight w:val="none"/>
        </w:rPr>
      </w:pPr>
    </w:p>
    <w:p w14:paraId="30B5323F">
      <w:pPr>
        <w:pStyle w:val="397"/>
        <w:ind w:left="63" w:right="63"/>
        <w:rPr>
          <w:color w:val="auto"/>
          <w:highlight w:val="none"/>
        </w:rPr>
      </w:pPr>
    </w:p>
    <w:p w14:paraId="10369881">
      <w:pPr>
        <w:pStyle w:val="397"/>
        <w:ind w:left="63" w:right="63"/>
        <w:rPr>
          <w:color w:val="auto"/>
          <w:highlight w:val="none"/>
        </w:rPr>
      </w:pPr>
    </w:p>
    <w:p w14:paraId="1D392132">
      <w:pPr>
        <w:pStyle w:val="397"/>
        <w:ind w:left="63" w:right="63"/>
        <w:rPr>
          <w:color w:val="auto"/>
          <w:highlight w:val="none"/>
        </w:rPr>
      </w:pPr>
    </w:p>
    <w:p w14:paraId="63757EF8">
      <w:pPr>
        <w:pStyle w:val="397"/>
        <w:ind w:left="63" w:right="63"/>
        <w:rPr>
          <w:color w:val="auto"/>
          <w:highlight w:val="none"/>
        </w:rPr>
      </w:pPr>
    </w:p>
    <w:p w14:paraId="77E44A0D">
      <w:pPr>
        <w:pStyle w:val="397"/>
        <w:ind w:left="63" w:right="63"/>
        <w:rPr>
          <w:color w:val="auto"/>
          <w:highlight w:val="none"/>
        </w:rPr>
      </w:pPr>
    </w:p>
    <w:p w14:paraId="43739379">
      <w:pPr>
        <w:pStyle w:val="397"/>
        <w:ind w:left="63" w:right="63"/>
        <w:rPr>
          <w:color w:val="auto"/>
          <w:highlight w:val="none"/>
        </w:rPr>
      </w:pPr>
    </w:p>
    <w:p w14:paraId="45B860C4">
      <w:pPr>
        <w:pStyle w:val="397"/>
        <w:ind w:left="63" w:right="63"/>
        <w:rPr>
          <w:color w:val="auto"/>
          <w:highlight w:val="none"/>
        </w:rPr>
      </w:pPr>
    </w:p>
    <w:p w14:paraId="47AA497B">
      <w:pPr>
        <w:pStyle w:val="397"/>
        <w:ind w:left="63" w:right="63"/>
        <w:rPr>
          <w:color w:val="auto"/>
          <w:highlight w:val="none"/>
        </w:rPr>
      </w:pPr>
    </w:p>
    <w:p w14:paraId="0FA525B3">
      <w:pPr>
        <w:pStyle w:val="397"/>
        <w:ind w:left="63" w:right="63"/>
        <w:rPr>
          <w:color w:val="auto"/>
          <w:highlight w:val="none"/>
        </w:rPr>
      </w:pPr>
    </w:p>
    <w:p w14:paraId="5F66CF25">
      <w:pPr>
        <w:pStyle w:val="397"/>
        <w:ind w:left="63" w:right="63"/>
        <w:rPr>
          <w:color w:val="auto"/>
          <w:highlight w:val="none"/>
        </w:rPr>
      </w:pPr>
    </w:p>
    <w:p w14:paraId="55453750">
      <w:pPr>
        <w:pStyle w:val="397"/>
        <w:ind w:left="63" w:right="63"/>
        <w:rPr>
          <w:color w:val="auto"/>
          <w:highlight w:val="none"/>
        </w:rPr>
      </w:pPr>
    </w:p>
    <w:p w14:paraId="615136A4">
      <w:pPr>
        <w:pStyle w:val="397"/>
        <w:ind w:left="63" w:right="63"/>
        <w:rPr>
          <w:color w:val="auto"/>
          <w:highlight w:val="none"/>
        </w:rPr>
      </w:pPr>
    </w:p>
    <w:p w14:paraId="557BA0EC">
      <w:pPr>
        <w:pStyle w:val="397"/>
        <w:ind w:left="63" w:right="63"/>
        <w:rPr>
          <w:color w:val="auto"/>
          <w:highlight w:val="none"/>
        </w:rPr>
      </w:pPr>
    </w:p>
    <w:p w14:paraId="25682D6C">
      <w:pPr>
        <w:pStyle w:val="397"/>
        <w:ind w:left="63" w:right="63"/>
        <w:rPr>
          <w:color w:val="auto"/>
          <w:highlight w:val="none"/>
        </w:rPr>
      </w:pPr>
    </w:p>
    <w:p w14:paraId="2345D7EA">
      <w:pPr>
        <w:pStyle w:val="397"/>
        <w:ind w:left="63" w:right="63"/>
        <w:rPr>
          <w:color w:val="auto"/>
          <w:highlight w:val="none"/>
        </w:rPr>
      </w:pPr>
    </w:p>
    <w:p w14:paraId="3AA30C4D">
      <w:pPr>
        <w:pStyle w:val="397"/>
        <w:ind w:left="63" w:right="63"/>
        <w:rPr>
          <w:color w:val="auto"/>
          <w:highlight w:val="none"/>
        </w:rPr>
      </w:pPr>
    </w:p>
    <w:p w14:paraId="4EBC0C3C">
      <w:pPr>
        <w:pStyle w:val="397"/>
        <w:ind w:left="63" w:right="63"/>
        <w:rPr>
          <w:color w:val="auto"/>
          <w:highlight w:val="none"/>
        </w:rPr>
      </w:pPr>
    </w:p>
    <w:p w14:paraId="7816ABE7">
      <w:pPr>
        <w:pStyle w:val="397"/>
        <w:ind w:left="63" w:right="63"/>
        <w:rPr>
          <w:color w:val="auto"/>
          <w:highlight w:val="none"/>
        </w:rPr>
      </w:pPr>
    </w:p>
    <w:p w14:paraId="56E2421D">
      <w:pPr>
        <w:pStyle w:val="397"/>
        <w:ind w:left="63" w:right="63"/>
        <w:rPr>
          <w:color w:val="auto"/>
          <w:highlight w:val="none"/>
        </w:rPr>
      </w:pPr>
    </w:p>
    <w:p w14:paraId="030CCEE1">
      <w:pPr>
        <w:pStyle w:val="504"/>
        <w:spacing w:line="400" w:lineRule="atLeast"/>
        <w:jc w:val="center"/>
        <w:rPr>
          <w:color w:val="auto"/>
          <w:highlight w:val="none"/>
        </w:rPr>
      </w:pPr>
      <w:bookmarkStart w:id="281" w:name="_Toc256000171"/>
      <w:r>
        <w:rPr>
          <w:rFonts w:ascii="宋体"/>
          <w:color w:val="auto"/>
          <w:sz w:val="32"/>
          <w:highlight w:val="none"/>
        </w:rPr>
        <w:t>第</w:t>
      </w:r>
      <w:r>
        <w:rPr>
          <w:rFonts w:hint="eastAsia" w:ascii="宋体"/>
          <w:color w:val="auto"/>
          <w:sz w:val="32"/>
          <w:highlight w:val="none"/>
        </w:rPr>
        <w:t>三</w:t>
      </w:r>
      <w:r>
        <w:rPr>
          <w:rFonts w:ascii="宋体"/>
          <w:color w:val="auto"/>
          <w:sz w:val="32"/>
          <w:highlight w:val="none"/>
        </w:rPr>
        <w:t>部分 专用合同条款</w:t>
      </w:r>
      <w:bookmarkEnd w:id="281"/>
    </w:p>
    <w:p w14:paraId="4199081A">
      <w:pPr>
        <w:pStyle w:val="504"/>
        <w:spacing w:line="380" w:lineRule="exact"/>
        <w:rPr>
          <w:rFonts w:ascii="宋体" w:cs="宋体"/>
          <w:color w:val="auto"/>
          <w:highlight w:val="none"/>
        </w:rPr>
      </w:pPr>
      <w:bookmarkStart w:id="282" w:name="_Toc418751789"/>
      <w:bookmarkStart w:id="283" w:name="_Toc406522213"/>
      <w:bookmarkStart w:id="284" w:name="_Toc522201723"/>
      <w:bookmarkStart w:id="285" w:name="_Toc497747171"/>
      <w:bookmarkStart w:id="286" w:name="_Toc418752235"/>
      <w:bookmarkStart w:id="287" w:name="_Toc256000172"/>
      <w:bookmarkStart w:id="288" w:name="_Toc497746774"/>
      <w:bookmarkStart w:id="289" w:name="_Toc351203633"/>
      <w:bookmarkStart w:id="290" w:name="_Toc484024116"/>
      <w:r>
        <w:rPr>
          <w:rFonts w:hint="eastAsia" w:ascii="宋体" w:cs="宋体"/>
          <w:color w:val="auto"/>
          <w:highlight w:val="none"/>
        </w:rPr>
        <w:t>1</w:t>
      </w:r>
      <w:bookmarkStart w:id="291" w:name="_Toc296891196"/>
      <w:bookmarkStart w:id="292" w:name="_Toc296890984"/>
      <w:bookmarkStart w:id="293" w:name="_Toc296347155"/>
      <w:bookmarkStart w:id="294" w:name="_Toc296503156"/>
      <w:bookmarkStart w:id="295" w:name="_Toc297120456"/>
      <w:bookmarkStart w:id="296" w:name="_Toc296944495"/>
      <w:bookmarkStart w:id="297" w:name="_Toc292559361"/>
      <w:bookmarkStart w:id="298" w:name="_Toc296346657"/>
      <w:bookmarkStart w:id="299" w:name="_Toc297048342"/>
      <w:bookmarkStart w:id="300" w:name="_Toc292559866"/>
      <w:r>
        <w:rPr>
          <w:rFonts w:hint="eastAsia" w:ascii="宋体" w:cs="宋体"/>
          <w:color w:val="auto"/>
          <w:highlight w:val="none"/>
        </w:rPr>
        <w:t>. 一般约定</w:t>
      </w:r>
      <w:bookmarkEnd w:id="282"/>
      <w:bookmarkEnd w:id="283"/>
      <w:bookmarkEnd w:id="284"/>
      <w:bookmarkEnd w:id="285"/>
      <w:bookmarkEnd w:id="286"/>
      <w:bookmarkEnd w:id="287"/>
      <w:bookmarkEnd w:id="288"/>
      <w:bookmarkEnd w:id="289"/>
    </w:p>
    <w:bookmarkEnd w:id="291"/>
    <w:bookmarkEnd w:id="292"/>
    <w:bookmarkEnd w:id="293"/>
    <w:bookmarkEnd w:id="294"/>
    <w:bookmarkEnd w:id="295"/>
    <w:bookmarkEnd w:id="296"/>
    <w:bookmarkEnd w:id="297"/>
    <w:bookmarkEnd w:id="298"/>
    <w:bookmarkEnd w:id="299"/>
    <w:bookmarkEnd w:id="300"/>
    <w:p w14:paraId="3AE8FD55">
      <w:pPr>
        <w:pStyle w:val="504"/>
        <w:spacing w:line="380" w:lineRule="exact"/>
        <w:ind w:firstLine="422" w:firstLineChars="200"/>
        <w:rPr>
          <w:rFonts w:ascii="宋体" w:cs="宋体"/>
          <w:color w:val="auto"/>
          <w:highlight w:val="none"/>
        </w:rPr>
      </w:pPr>
      <w:bookmarkStart w:id="301" w:name="_Toc406522214"/>
      <w:bookmarkStart w:id="302" w:name="_Toc418752236"/>
      <w:bookmarkStart w:id="303" w:name="_Toc418751790"/>
      <w:bookmarkStart w:id="304" w:name="_Toc522201724"/>
      <w:bookmarkStart w:id="305" w:name="_Toc256000173"/>
      <w:bookmarkStart w:id="306" w:name="_Toc497747172"/>
      <w:bookmarkStart w:id="307" w:name="_Toc497746775"/>
      <w:r>
        <w:rPr>
          <w:rFonts w:hint="eastAsia" w:ascii="宋体" w:cs="宋体"/>
          <w:color w:val="auto"/>
          <w:highlight w:val="none"/>
        </w:rPr>
        <w:t>1.1 词语定义</w:t>
      </w:r>
      <w:bookmarkEnd w:id="301"/>
      <w:bookmarkEnd w:id="302"/>
      <w:bookmarkEnd w:id="303"/>
      <w:bookmarkEnd w:id="304"/>
      <w:bookmarkEnd w:id="305"/>
      <w:bookmarkEnd w:id="306"/>
      <w:bookmarkEnd w:id="307"/>
    </w:p>
    <w:p w14:paraId="7511F8E1">
      <w:pPr>
        <w:pStyle w:val="501"/>
        <w:spacing w:line="380" w:lineRule="exact"/>
        <w:rPr>
          <w:rFonts w:ascii="宋体" w:hAnsi="宋体" w:cs="宋体"/>
          <w:color w:val="auto"/>
          <w:highlight w:val="none"/>
        </w:rPr>
      </w:pPr>
      <w:r>
        <w:rPr>
          <w:rFonts w:hint="eastAsia" w:ascii="宋体" w:hAnsi="宋体" w:cs="宋体"/>
          <w:color w:val="auto"/>
          <w:highlight w:val="none"/>
        </w:rPr>
        <w:t>1.1.1合同</w:t>
      </w:r>
    </w:p>
    <w:p w14:paraId="5F82CAEE">
      <w:pPr>
        <w:pStyle w:val="501"/>
        <w:spacing w:line="380" w:lineRule="exact"/>
        <w:rPr>
          <w:rFonts w:ascii="宋体" w:hAnsi="宋体" w:cs="宋体"/>
          <w:color w:val="auto"/>
          <w:highlight w:val="none"/>
          <w:u w:val="single"/>
        </w:rPr>
      </w:pPr>
      <w:r>
        <w:rPr>
          <w:rFonts w:hint="eastAsia" w:ascii="宋体" w:hAnsi="宋体" w:cs="宋体"/>
          <w:color w:val="auto"/>
          <w:highlight w:val="none"/>
        </w:rPr>
        <w:t>1.1.1.10其他合同文件包括：</w:t>
      </w:r>
      <w:r>
        <w:rPr>
          <w:rFonts w:hint="eastAsia" w:ascii="宋体" w:hAnsi="宋体" w:cs="宋体"/>
          <w:color w:val="auto"/>
          <w:highlight w:val="none"/>
          <w:u w:val="single"/>
        </w:rPr>
        <w:t>（1）本合同协议书；（2）中标通知书；（3）投标书及其附件；（4）本合同专用条款及补充条款；（5）本合同通用条款；（6）标准、规范及有关技术文件；（7）图纸（含图纸修改通知单及图纸设计变更文件）；（8）工程量清单；（9）本工程预算控制价造价成果文件及其他合同文件</w:t>
      </w:r>
      <w:r>
        <w:rPr>
          <w:rFonts w:hint="eastAsia" w:ascii="宋体" w:hAnsi="宋体" w:cs="宋体"/>
          <w:color w:val="auto"/>
          <w:highlight w:val="none"/>
        </w:rPr>
        <w:t>。</w:t>
      </w:r>
    </w:p>
    <w:p w14:paraId="3AEAD5B5">
      <w:pPr>
        <w:pStyle w:val="501"/>
        <w:spacing w:line="380" w:lineRule="exact"/>
        <w:rPr>
          <w:rFonts w:ascii="宋体" w:hAnsi="宋体" w:cs="宋体"/>
          <w:color w:val="auto"/>
          <w:highlight w:val="none"/>
        </w:rPr>
      </w:pPr>
      <w:r>
        <w:rPr>
          <w:rFonts w:hint="eastAsia" w:ascii="宋体" w:hAnsi="宋体" w:cs="宋体"/>
          <w:color w:val="auto"/>
          <w:highlight w:val="none"/>
        </w:rPr>
        <w:t>1.1.2 合同当事人及其他相关方</w:t>
      </w:r>
    </w:p>
    <w:p w14:paraId="48C146E5">
      <w:pPr>
        <w:pStyle w:val="501"/>
        <w:spacing w:line="380" w:lineRule="exact"/>
        <w:rPr>
          <w:rFonts w:ascii="宋体" w:hAnsi="宋体" w:cs="宋体"/>
          <w:color w:val="auto"/>
          <w:highlight w:val="none"/>
        </w:rPr>
      </w:pPr>
      <w:r>
        <w:rPr>
          <w:rFonts w:hint="eastAsia" w:ascii="宋体" w:hAnsi="宋体" w:cs="宋体"/>
          <w:color w:val="auto"/>
          <w:highlight w:val="none"/>
        </w:rPr>
        <w:t>1.1.2.4监理人：</w:t>
      </w:r>
    </w:p>
    <w:p w14:paraId="6DBDA17B">
      <w:pPr>
        <w:pStyle w:val="501"/>
        <w:spacing w:line="380" w:lineRule="exact"/>
        <w:rPr>
          <w:rFonts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以发包人书面通知为准</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D4FA32C">
      <w:pPr>
        <w:pStyle w:val="501"/>
        <w:spacing w:line="380" w:lineRule="exact"/>
        <w:rPr>
          <w:rFonts w:hint="eastAsia" w:ascii="宋体" w:hAnsi="宋体" w:cs="宋体"/>
          <w:color w:val="auto"/>
          <w:highlight w:val="none"/>
        </w:rPr>
      </w:pPr>
      <w:r>
        <w:rPr>
          <w:rFonts w:hint="eastAsia" w:ascii="宋体" w:hAnsi="宋体" w:cs="宋体"/>
          <w:color w:val="auto"/>
          <w:highlight w:val="none"/>
        </w:rPr>
        <w:t>资质类别和等级：</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以发包人书面通知为准</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D6C0F05">
      <w:pPr>
        <w:pStyle w:val="501"/>
        <w:spacing w:line="380" w:lineRule="exact"/>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以发包人书面通知为准</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A989AF8">
      <w:pPr>
        <w:pStyle w:val="501"/>
        <w:spacing w:line="380" w:lineRule="exact"/>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lang w:val="en-US" w:eastAsia="zh-CN"/>
        </w:rPr>
        <w:t xml:space="preserve"> 以发包人书面通知为准 </w:t>
      </w:r>
      <w:r>
        <w:rPr>
          <w:rFonts w:hint="eastAsia" w:ascii="宋体" w:hAnsi="宋体" w:cs="宋体"/>
          <w:color w:val="auto"/>
          <w:highlight w:val="none"/>
        </w:rPr>
        <w:t>；</w:t>
      </w:r>
    </w:p>
    <w:p w14:paraId="180603FA">
      <w:pPr>
        <w:pStyle w:val="501"/>
        <w:spacing w:line="380" w:lineRule="exact"/>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lang w:val="en-US" w:eastAsia="zh-CN"/>
        </w:rPr>
        <w:t xml:space="preserve"> 以发包人书面通知为准 </w:t>
      </w:r>
      <w:r>
        <w:rPr>
          <w:rFonts w:hint="eastAsia" w:ascii="宋体" w:hAnsi="宋体" w:cs="宋体"/>
          <w:color w:val="auto"/>
          <w:highlight w:val="none"/>
        </w:rPr>
        <w:t>。</w:t>
      </w:r>
    </w:p>
    <w:p w14:paraId="61AE0217">
      <w:pPr>
        <w:pStyle w:val="501"/>
        <w:spacing w:line="380" w:lineRule="exact"/>
        <w:rPr>
          <w:rFonts w:ascii="宋体" w:hAnsi="宋体" w:cs="宋体"/>
          <w:color w:val="auto"/>
          <w:highlight w:val="none"/>
        </w:rPr>
      </w:pPr>
      <w:r>
        <w:rPr>
          <w:rFonts w:hint="eastAsia" w:ascii="宋体" w:hAnsi="宋体" w:cs="宋体"/>
          <w:color w:val="auto"/>
          <w:highlight w:val="none"/>
        </w:rPr>
        <w:t>1.1.2.5 设计人：</w:t>
      </w:r>
    </w:p>
    <w:p w14:paraId="2506C528">
      <w:pPr>
        <w:pStyle w:val="501"/>
        <w:spacing w:line="380" w:lineRule="exact"/>
        <w:rPr>
          <w:rFonts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76661EC">
      <w:pPr>
        <w:pStyle w:val="501"/>
        <w:spacing w:line="380" w:lineRule="exact"/>
        <w:rPr>
          <w:rFonts w:ascii="宋体" w:hAnsi="宋体" w:cs="宋体"/>
          <w:color w:val="auto"/>
          <w:highlight w:val="none"/>
        </w:rPr>
      </w:pPr>
      <w:r>
        <w:rPr>
          <w:rFonts w:hint="eastAsia" w:ascii="宋体" w:hAnsi="宋体" w:cs="宋体"/>
          <w:color w:val="auto"/>
          <w:highlight w:val="none"/>
        </w:rPr>
        <w:t>资质类别和等级：</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C7ACB4E">
      <w:pPr>
        <w:pStyle w:val="501"/>
        <w:spacing w:line="380" w:lineRule="exact"/>
        <w:rPr>
          <w:rFonts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6E41EDF">
      <w:pPr>
        <w:pStyle w:val="501"/>
        <w:spacing w:line="380" w:lineRule="exact"/>
        <w:rPr>
          <w:rFonts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C1F16B9">
      <w:pPr>
        <w:pStyle w:val="501"/>
        <w:spacing w:line="380" w:lineRule="exact"/>
        <w:rPr>
          <w:rFonts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77DEA1A">
      <w:pPr>
        <w:pStyle w:val="501"/>
        <w:spacing w:line="380" w:lineRule="exact"/>
        <w:rPr>
          <w:rFonts w:ascii="宋体" w:hAnsi="宋体" w:cs="宋体"/>
          <w:color w:val="auto"/>
          <w:highlight w:val="none"/>
        </w:rPr>
      </w:pPr>
      <w:r>
        <w:rPr>
          <w:rFonts w:hint="eastAsia" w:ascii="宋体" w:hAnsi="宋体" w:cs="宋体"/>
          <w:color w:val="auto"/>
          <w:highlight w:val="none"/>
        </w:rPr>
        <w:t>1.1.3 工程和设备</w:t>
      </w:r>
    </w:p>
    <w:p w14:paraId="32D9993A">
      <w:pPr>
        <w:pStyle w:val="501"/>
        <w:spacing w:line="380" w:lineRule="exact"/>
        <w:rPr>
          <w:rFonts w:ascii="宋体" w:hAnsi="宋体" w:cs="宋体"/>
          <w:color w:val="auto"/>
          <w:highlight w:val="none"/>
        </w:rPr>
      </w:pPr>
      <w:r>
        <w:rPr>
          <w:rFonts w:hint="eastAsia" w:ascii="宋体" w:hAnsi="宋体" w:cs="宋体"/>
          <w:color w:val="auto"/>
          <w:highlight w:val="none"/>
        </w:rPr>
        <w:t>1.1.3.7 作为施工现场组成部分的其他场所包括：</w:t>
      </w:r>
      <w:r>
        <w:rPr>
          <w:rFonts w:hint="eastAsia" w:ascii="宋体" w:hAnsi="宋体" w:cs="宋体"/>
          <w:color w:val="auto"/>
          <w:highlight w:val="none"/>
          <w:u w:val="single"/>
        </w:rPr>
        <w:t xml:space="preserve">  按通用条款执行</w:t>
      </w:r>
      <w:r>
        <w:rPr>
          <w:rFonts w:hint="eastAsia" w:ascii="宋体" w:hAnsi="宋体" w:cs="宋体"/>
          <w:color w:val="auto"/>
          <w:highlight w:val="none"/>
        </w:rPr>
        <w:t>。</w:t>
      </w:r>
    </w:p>
    <w:p w14:paraId="7BF1C6E7">
      <w:pPr>
        <w:pStyle w:val="501"/>
        <w:spacing w:line="380" w:lineRule="exact"/>
        <w:rPr>
          <w:rFonts w:ascii="宋体" w:hAnsi="宋体" w:cs="宋体"/>
          <w:color w:val="auto"/>
          <w:highlight w:val="none"/>
        </w:rPr>
      </w:pPr>
      <w:r>
        <w:rPr>
          <w:rFonts w:hint="eastAsia" w:ascii="宋体" w:hAnsi="宋体" w:cs="宋体"/>
          <w:color w:val="auto"/>
          <w:highlight w:val="none"/>
        </w:rPr>
        <w:t>1.1.3.9 永久占地包括：</w:t>
      </w:r>
      <w:r>
        <w:rPr>
          <w:rFonts w:hint="eastAsia" w:ascii="宋体" w:hAnsi="宋体" w:cs="宋体"/>
          <w:color w:val="auto"/>
          <w:highlight w:val="none"/>
          <w:u w:val="single"/>
        </w:rPr>
        <w:t xml:space="preserve">  为实施工程需永久占用的土地</w:t>
      </w:r>
      <w:r>
        <w:rPr>
          <w:rFonts w:ascii="宋体" w:hAnsi="宋体" w:cs="宋体"/>
          <w:color w:val="auto"/>
          <w:highlight w:val="none"/>
          <w:u w:val="single"/>
        </w:rPr>
        <w:t></w:t>
      </w:r>
      <w:r>
        <w:rPr>
          <w:rFonts w:hint="eastAsia" w:ascii="宋体" w:hAnsi="宋体" w:cs="宋体"/>
          <w:color w:val="auto"/>
          <w:highlight w:val="none"/>
        </w:rPr>
        <w:t>。</w:t>
      </w:r>
    </w:p>
    <w:p w14:paraId="7708795A">
      <w:pPr>
        <w:pStyle w:val="501"/>
        <w:spacing w:line="380" w:lineRule="exact"/>
        <w:rPr>
          <w:rFonts w:ascii="宋体" w:hAnsi="宋体" w:cs="宋体"/>
          <w:color w:val="auto"/>
          <w:highlight w:val="none"/>
        </w:rPr>
      </w:pPr>
      <w:r>
        <w:rPr>
          <w:rFonts w:hint="eastAsia" w:ascii="宋体" w:hAnsi="宋体" w:cs="宋体"/>
          <w:color w:val="auto"/>
          <w:highlight w:val="none"/>
        </w:rPr>
        <w:t>1.1.3.10 临时占地包括：</w:t>
      </w:r>
      <w:r>
        <w:rPr>
          <w:rFonts w:hint="eastAsia" w:ascii="宋体" w:hAnsi="宋体" w:cs="宋体"/>
          <w:color w:val="auto"/>
          <w:highlight w:val="none"/>
          <w:u w:val="single"/>
        </w:rPr>
        <w:t xml:space="preserve"> 为实施工程需临时占用的土地 </w:t>
      </w:r>
      <w:r>
        <w:rPr>
          <w:rFonts w:hint="eastAsia" w:ascii="宋体" w:hAnsi="宋体" w:cs="宋体"/>
          <w:color w:val="auto"/>
          <w:highlight w:val="none"/>
        </w:rPr>
        <w:t>。</w:t>
      </w:r>
    </w:p>
    <w:p w14:paraId="496A7997">
      <w:pPr>
        <w:pStyle w:val="504"/>
        <w:spacing w:line="380" w:lineRule="exact"/>
        <w:ind w:firstLine="422" w:firstLineChars="200"/>
        <w:rPr>
          <w:rFonts w:ascii="宋体" w:cs="宋体"/>
          <w:color w:val="auto"/>
          <w:highlight w:val="none"/>
        </w:rPr>
      </w:pPr>
      <w:bookmarkStart w:id="308" w:name="_Toc522201725"/>
      <w:bookmarkStart w:id="309" w:name="_Toc418752237"/>
      <w:bookmarkStart w:id="310" w:name="_Toc497746776"/>
      <w:bookmarkStart w:id="311" w:name="_Toc497747173"/>
      <w:bookmarkStart w:id="312" w:name="_Toc256000174"/>
      <w:bookmarkStart w:id="313" w:name="_Toc406522215"/>
      <w:bookmarkStart w:id="314" w:name="_Toc418751791"/>
      <w:r>
        <w:rPr>
          <w:rFonts w:hint="eastAsia" w:ascii="宋体" w:cs="宋体"/>
          <w:color w:val="auto"/>
          <w:highlight w:val="none"/>
        </w:rPr>
        <w:t>1.3法律</w:t>
      </w:r>
      <w:bookmarkEnd w:id="308"/>
      <w:bookmarkEnd w:id="309"/>
      <w:bookmarkEnd w:id="310"/>
      <w:bookmarkEnd w:id="311"/>
      <w:bookmarkEnd w:id="312"/>
      <w:bookmarkEnd w:id="313"/>
      <w:bookmarkEnd w:id="314"/>
      <w:r>
        <w:rPr>
          <w:rFonts w:hint="eastAsia" w:ascii="宋体" w:cs="宋体"/>
          <w:color w:val="auto"/>
          <w:highlight w:val="none"/>
        </w:rPr>
        <w:t xml:space="preserve"> </w:t>
      </w:r>
    </w:p>
    <w:p w14:paraId="4CE9AA6C">
      <w:pPr>
        <w:pStyle w:val="501"/>
        <w:spacing w:line="380" w:lineRule="exact"/>
        <w:rPr>
          <w:rFonts w:ascii="宋体" w:hAnsi="宋体" w:cs="宋体"/>
          <w:color w:val="auto"/>
          <w:highlight w:val="none"/>
        </w:rPr>
      </w:pPr>
      <w:r>
        <w:rPr>
          <w:rFonts w:hint="eastAsia" w:ascii="宋体" w:hAnsi="宋体" w:cs="宋体"/>
          <w:color w:val="auto"/>
          <w:highlight w:val="none"/>
        </w:rPr>
        <w:t>适用于合同的其他规范性文件：</w:t>
      </w:r>
      <w:r>
        <w:rPr>
          <w:rFonts w:ascii="宋体" w:hAnsi="宋体" w:eastAsia="宋体" w:cs="宋体"/>
          <w:spacing w:val="-2"/>
          <w:sz w:val="21"/>
          <w:szCs w:val="21"/>
          <w:u w:val="single"/>
        </w:rPr>
        <w:t>国家、广西壮族自治区和桂林市颁布的与本工程实施有关的法规、规章及规定</w:t>
      </w:r>
      <w:r>
        <w:rPr>
          <w:rFonts w:hint="eastAsia" w:ascii="宋体" w:hAnsi="宋体" w:cs="宋体"/>
          <w:color w:val="auto"/>
          <w:highlight w:val="none"/>
        </w:rPr>
        <w:t>。</w:t>
      </w:r>
    </w:p>
    <w:p w14:paraId="73AE7F77">
      <w:pPr>
        <w:pStyle w:val="504"/>
        <w:spacing w:line="380" w:lineRule="exact"/>
        <w:ind w:firstLine="422" w:firstLineChars="200"/>
        <w:rPr>
          <w:rFonts w:ascii="宋体" w:cs="宋体"/>
          <w:color w:val="auto"/>
          <w:highlight w:val="none"/>
        </w:rPr>
      </w:pPr>
      <w:bookmarkStart w:id="315" w:name="_Toc256000175"/>
      <w:bookmarkStart w:id="316" w:name="_Toc406522216"/>
      <w:bookmarkStart w:id="317" w:name="_Toc497747174"/>
      <w:bookmarkStart w:id="318" w:name="_Toc418751792"/>
      <w:bookmarkStart w:id="319" w:name="_Toc497746777"/>
      <w:bookmarkStart w:id="320" w:name="_Toc522201726"/>
      <w:bookmarkStart w:id="321" w:name="_Toc418752238"/>
      <w:r>
        <w:rPr>
          <w:rFonts w:hint="eastAsia" w:ascii="宋体" w:cs="宋体"/>
          <w:color w:val="auto"/>
          <w:highlight w:val="none"/>
        </w:rPr>
        <w:t>1.4 标准和规范</w:t>
      </w:r>
      <w:bookmarkEnd w:id="315"/>
      <w:bookmarkEnd w:id="316"/>
      <w:bookmarkEnd w:id="317"/>
      <w:bookmarkEnd w:id="318"/>
      <w:bookmarkEnd w:id="319"/>
      <w:bookmarkEnd w:id="320"/>
      <w:bookmarkEnd w:id="321"/>
    </w:p>
    <w:p w14:paraId="0D7D5A28">
      <w:pPr>
        <w:pStyle w:val="501"/>
        <w:spacing w:line="380" w:lineRule="exact"/>
        <w:rPr>
          <w:rFonts w:ascii="宋体" w:hAnsi="宋体" w:cs="宋体"/>
          <w:color w:val="auto"/>
          <w:highlight w:val="none"/>
        </w:rPr>
      </w:pPr>
      <w:r>
        <w:rPr>
          <w:rFonts w:hint="eastAsia" w:ascii="宋体" w:hAnsi="宋体" w:cs="宋体"/>
          <w:color w:val="auto"/>
          <w:highlight w:val="none"/>
        </w:rPr>
        <w:t>1.4.1适用于工程的标准规范包括：</w:t>
      </w:r>
      <w:r>
        <w:rPr>
          <w:rFonts w:ascii="宋体" w:hAnsi="宋体" w:eastAsia="宋体" w:cs="宋体"/>
          <w:spacing w:val="-4"/>
          <w:sz w:val="21"/>
          <w:szCs w:val="21"/>
          <w:u w:val="single" w:color="auto"/>
        </w:rPr>
        <w:t>国家、部门、省、市及行业颁布的有关规范、标准、规</w:t>
      </w:r>
      <w:r>
        <w:rPr>
          <w:rFonts w:ascii="宋体" w:hAnsi="宋体" w:eastAsia="宋体" w:cs="宋体"/>
          <w:spacing w:val="2"/>
          <w:sz w:val="21"/>
          <w:szCs w:val="21"/>
          <w:u w:val="single" w:color="auto"/>
        </w:rPr>
        <w:t>程和图纸要求的其它标准</w:t>
      </w:r>
      <w:r>
        <w:rPr>
          <w:rFonts w:ascii="宋体" w:hAnsi="宋体" w:eastAsia="宋体" w:cs="宋体"/>
          <w:spacing w:val="1"/>
          <w:sz w:val="21"/>
          <w:szCs w:val="21"/>
          <w:u w:val="single" w:color="auto"/>
        </w:rPr>
        <w:t>和规范等，所有规范、标准和规程等必须是最新版本；在合同履行期</w:t>
      </w:r>
      <w:r>
        <w:rPr>
          <w:rFonts w:ascii="宋体" w:hAnsi="宋体" w:eastAsia="宋体" w:cs="宋体"/>
          <w:spacing w:val="2"/>
          <w:sz w:val="21"/>
          <w:szCs w:val="21"/>
          <w:u w:val="single" w:color="auto"/>
        </w:rPr>
        <w:t>间，本工程所采用的标准</w:t>
      </w:r>
      <w:r>
        <w:rPr>
          <w:rFonts w:ascii="宋体" w:hAnsi="宋体" w:eastAsia="宋体" w:cs="宋体"/>
          <w:spacing w:val="1"/>
          <w:sz w:val="21"/>
          <w:szCs w:val="21"/>
          <w:u w:val="single" w:color="auto"/>
        </w:rPr>
        <w:t>或规范若有修改或新颁，应按修改或新颁的内容执行；其他按通用条</w:t>
      </w:r>
      <w:r>
        <w:rPr>
          <w:rFonts w:ascii="宋体" w:hAnsi="宋体" w:eastAsia="宋体" w:cs="宋体"/>
          <w:spacing w:val="-2"/>
          <w:sz w:val="21"/>
          <w:szCs w:val="21"/>
          <w:u w:val="single" w:color="auto"/>
        </w:rPr>
        <w:t>款执</w:t>
      </w:r>
      <w:r>
        <w:rPr>
          <w:rFonts w:ascii="宋体" w:hAnsi="宋体" w:eastAsia="宋体" w:cs="宋体"/>
          <w:spacing w:val="-1"/>
          <w:sz w:val="21"/>
          <w:szCs w:val="21"/>
          <w:u w:val="single" w:color="auto"/>
        </w:rPr>
        <w:t>行</w:t>
      </w:r>
      <w:r>
        <w:rPr>
          <w:rFonts w:hint="eastAsia" w:ascii="宋体" w:hAnsi="宋体" w:cs="宋体"/>
          <w:color w:val="auto"/>
          <w:highlight w:val="none"/>
        </w:rPr>
        <w:t>。</w:t>
      </w:r>
    </w:p>
    <w:p w14:paraId="5CC28C42">
      <w:pPr>
        <w:pStyle w:val="501"/>
        <w:spacing w:line="380" w:lineRule="exact"/>
        <w:rPr>
          <w:rFonts w:ascii="宋体" w:hAnsi="宋体" w:cs="宋体"/>
          <w:color w:val="auto"/>
          <w:highlight w:val="none"/>
        </w:rPr>
      </w:pPr>
      <w:r>
        <w:rPr>
          <w:rFonts w:hint="eastAsia" w:ascii="宋体" w:hAnsi="宋体" w:cs="宋体"/>
          <w:color w:val="auto"/>
          <w:highlight w:val="none"/>
        </w:rPr>
        <w:t>1.4.2 发包人提供国外标准、规范的名称：</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33A84F09">
      <w:pPr>
        <w:pStyle w:val="501"/>
        <w:spacing w:line="380" w:lineRule="exact"/>
        <w:rPr>
          <w:rFonts w:ascii="宋体" w:hAnsi="宋体" w:cs="宋体"/>
          <w:color w:val="auto"/>
          <w:highlight w:val="none"/>
        </w:rPr>
      </w:pPr>
      <w:r>
        <w:rPr>
          <w:rFonts w:hint="eastAsia" w:ascii="宋体" w:hAnsi="宋体" w:cs="宋体"/>
          <w:color w:val="auto"/>
          <w:highlight w:val="none"/>
        </w:rPr>
        <w:t>发包人提供国外标准、规范的份数：</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058EB850">
      <w:pPr>
        <w:pStyle w:val="501"/>
        <w:spacing w:line="380" w:lineRule="exact"/>
        <w:rPr>
          <w:rFonts w:ascii="宋体" w:hAnsi="宋体" w:cs="宋体"/>
          <w:color w:val="auto"/>
          <w:highlight w:val="none"/>
        </w:rPr>
      </w:pPr>
      <w:r>
        <w:rPr>
          <w:rFonts w:hint="eastAsia" w:ascii="宋体" w:hAnsi="宋体" w:cs="宋体"/>
          <w:color w:val="auto"/>
          <w:highlight w:val="none"/>
        </w:rPr>
        <w:t>发包人提供国外标准、规范的名称：</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1552A9B2">
      <w:pPr>
        <w:pStyle w:val="501"/>
        <w:spacing w:line="380" w:lineRule="exact"/>
        <w:rPr>
          <w:rFonts w:ascii="宋体" w:hAnsi="宋体" w:cs="宋体"/>
          <w:color w:val="auto"/>
          <w:highlight w:val="none"/>
        </w:rPr>
      </w:pPr>
      <w:r>
        <w:rPr>
          <w:rFonts w:hint="eastAsia" w:ascii="宋体" w:hAnsi="宋体" w:cs="宋体"/>
          <w:color w:val="auto"/>
          <w:highlight w:val="none"/>
        </w:rPr>
        <w:t>1.4.3发包人对工程的技术标准和功能要求的特殊要求：</w:t>
      </w:r>
      <w:r>
        <w:rPr>
          <w:rFonts w:hint="eastAsia" w:ascii="宋体" w:hAnsi="宋体" w:cs="宋体"/>
          <w:color w:val="auto"/>
          <w:highlight w:val="none"/>
          <w:u w:val="single"/>
        </w:rPr>
        <w:t xml:space="preserve">无 </w:t>
      </w:r>
      <w:r>
        <w:rPr>
          <w:rFonts w:hint="eastAsia" w:ascii="宋体" w:hAnsi="宋体" w:cs="宋体"/>
          <w:color w:val="auto"/>
          <w:highlight w:val="none"/>
        </w:rPr>
        <w:t>。</w:t>
      </w:r>
    </w:p>
    <w:p w14:paraId="4E13EEFF">
      <w:pPr>
        <w:pStyle w:val="504"/>
        <w:spacing w:line="380" w:lineRule="exact"/>
        <w:ind w:firstLine="422" w:firstLineChars="200"/>
        <w:rPr>
          <w:rFonts w:ascii="宋体" w:cs="宋体"/>
          <w:color w:val="auto"/>
          <w:highlight w:val="none"/>
        </w:rPr>
      </w:pPr>
      <w:bookmarkStart w:id="322" w:name="_Toc418751793"/>
      <w:bookmarkStart w:id="323" w:name="_Toc497746778"/>
      <w:bookmarkStart w:id="324" w:name="_Toc406522217"/>
      <w:bookmarkStart w:id="325" w:name="_Toc497747175"/>
      <w:bookmarkStart w:id="326" w:name="_Toc418752239"/>
      <w:bookmarkStart w:id="327" w:name="_Toc256000176"/>
      <w:bookmarkStart w:id="328" w:name="_Toc522201727"/>
      <w:r>
        <w:rPr>
          <w:rFonts w:hint="eastAsia" w:ascii="宋体" w:cs="宋体"/>
          <w:color w:val="auto"/>
          <w:highlight w:val="none"/>
        </w:rPr>
        <w:t>1.5 合同文件的优先顺序</w:t>
      </w:r>
      <w:bookmarkEnd w:id="322"/>
      <w:bookmarkEnd w:id="323"/>
      <w:bookmarkEnd w:id="324"/>
      <w:bookmarkEnd w:id="325"/>
      <w:bookmarkEnd w:id="326"/>
      <w:bookmarkEnd w:id="327"/>
      <w:bookmarkEnd w:id="328"/>
    </w:p>
    <w:p w14:paraId="674C8CFA">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合同文件组成及优先顺序为：</w:t>
      </w:r>
    </w:p>
    <w:p w14:paraId="0B691944">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（1）合同协议书；</w:t>
      </w:r>
    </w:p>
    <w:p w14:paraId="18B9F7C5">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（2）中标通知书（如果有）；</w:t>
      </w:r>
    </w:p>
    <w:p w14:paraId="0595357B">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（3）投标函及其附录（如果有）；</w:t>
      </w:r>
    </w:p>
    <w:p w14:paraId="0B7491A8">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（4）专用合同条款及其附件；</w:t>
      </w:r>
    </w:p>
    <w:p w14:paraId="232C59E6">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（5）通用合同条款；</w:t>
      </w:r>
    </w:p>
    <w:p w14:paraId="6A7D650E">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（6）技术标准和要求；</w:t>
      </w:r>
    </w:p>
    <w:p w14:paraId="17CD602E">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（7）图纸（含图纸修改通知单及图纸设计变更文件）；</w:t>
      </w:r>
    </w:p>
    <w:p w14:paraId="4B39A80D">
      <w:pPr>
        <w:pStyle w:val="396"/>
        <w:spacing w:line="38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（8）已标价工程量清单；</w:t>
      </w:r>
      <w:bookmarkStart w:id="329" w:name="_Toc256000177"/>
      <w:bookmarkStart w:id="330" w:name="_Toc497747176"/>
      <w:bookmarkStart w:id="331" w:name="_Toc497746779"/>
      <w:bookmarkStart w:id="332" w:name="_Toc522201728"/>
      <w:bookmarkStart w:id="333" w:name="_Toc406522218"/>
      <w:bookmarkStart w:id="334" w:name="_Toc418751794"/>
      <w:bookmarkStart w:id="335" w:name="_Toc418752240"/>
    </w:p>
    <w:p w14:paraId="65984050">
      <w:pPr>
        <w:pStyle w:val="396"/>
        <w:spacing w:line="380" w:lineRule="exact"/>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w:t>
      </w:r>
      <w:r>
        <w:rPr>
          <w:rFonts w:hint="eastAsia" w:ascii="宋体" w:hAnsi="宋体" w:eastAsia="宋体" w:cs="宋体"/>
          <w:color w:val="auto"/>
          <w:kern w:val="0"/>
          <w:szCs w:val="21"/>
          <w:highlight w:val="none"/>
        </w:rPr>
        <w:t>本工程最高投标限价造价成果文件及其他合同文件。</w:t>
      </w:r>
    </w:p>
    <w:p w14:paraId="66EFE0E2">
      <w:pPr>
        <w:pStyle w:val="504"/>
        <w:spacing w:line="380" w:lineRule="exact"/>
        <w:ind w:firstLine="422" w:firstLineChars="200"/>
        <w:rPr>
          <w:rFonts w:ascii="宋体" w:cs="宋体"/>
          <w:color w:val="auto"/>
          <w:kern w:val="0"/>
          <w:highlight w:val="none"/>
        </w:rPr>
      </w:pPr>
      <w:r>
        <w:rPr>
          <w:rFonts w:hint="eastAsia" w:ascii="宋体" w:cs="宋体"/>
          <w:color w:val="auto"/>
          <w:kern w:val="0"/>
          <w:highlight w:val="none"/>
        </w:rPr>
        <w:t>说明：（6）、（7）、（8）、（9）填空内容分别限于技术标准和要求、图纸、已标价工程量清单或预算书、其他合同文件四者之一，其优先顺序可根据采取的不同合同方式由双方约定。</w:t>
      </w:r>
      <w:bookmarkEnd w:id="329"/>
    </w:p>
    <w:p w14:paraId="05DBF782">
      <w:pPr>
        <w:pStyle w:val="504"/>
        <w:spacing w:line="380" w:lineRule="exact"/>
        <w:ind w:firstLine="422" w:firstLineChars="200"/>
        <w:rPr>
          <w:rFonts w:ascii="宋体" w:cs="宋体"/>
          <w:color w:val="auto"/>
          <w:highlight w:val="none"/>
        </w:rPr>
      </w:pPr>
      <w:bookmarkStart w:id="336" w:name="_Toc256000178"/>
      <w:r>
        <w:rPr>
          <w:rFonts w:hint="eastAsia" w:ascii="宋体" w:cs="宋体"/>
          <w:color w:val="auto"/>
          <w:highlight w:val="none"/>
        </w:rPr>
        <w:t>1.6 图纸和承包人文件</w:t>
      </w:r>
      <w:bookmarkEnd w:id="330"/>
      <w:bookmarkEnd w:id="331"/>
      <w:bookmarkEnd w:id="332"/>
      <w:bookmarkEnd w:id="333"/>
      <w:bookmarkEnd w:id="334"/>
      <w:bookmarkEnd w:id="335"/>
      <w:bookmarkEnd w:id="336"/>
      <w:r>
        <w:rPr>
          <w:rFonts w:hint="eastAsia" w:ascii="宋体" w:cs="宋体"/>
          <w:color w:val="auto"/>
          <w:highlight w:val="none"/>
        </w:rPr>
        <w:tab/>
      </w:r>
    </w:p>
    <w:p w14:paraId="7C8F2585">
      <w:pPr>
        <w:pStyle w:val="501"/>
        <w:spacing w:line="380" w:lineRule="exact"/>
        <w:rPr>
          <w:rFonts w:ascii="宋体" w:hAnsi="宋体" w:cs="宋体"/>
          <w:color w:val="auto"/>
          <w:highlight w:val="none"/>
        </w:rPr>
      </w:pPr>
      <w:r>
        <w:rPr>
          <w:rFonts w:hint="eastAsia" w:ascii="宋体" w:hAnsi="宋体" w:cs="宋体"/>
          <w:color w:val="auto"/>
          <w:highlight w:val="none"/>
        </w:rPr>
        <w:t>1.6.1 图纸的提供</w:t>
      </w:r>
    </w:p>
    <w:p w14:paraId="586485A9">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发包人向承包人提供图纸的期限：</w:t>
      </w:r>
      <w:r>
        <w:rPr>
          <w:rFonts w:hint="eastAsia" w:ascii="宋体" w:hAnsi="宋体" w:cs="宋体"/>
          <w:color w:val="auto"/>
          <w:szCs w:val="21"/>
          <w:highlight w:val="none"/>
          <w:u w:val="single"/>
        </w:rPr>
        <w:t>合同签订生效后7天内</w:t>
      </w:r>
      <w:r>
        <w:rPr>
          <w:rFonts w:hint="eastAsia" w:ascii="宋体" w:hAnsi="宋体" w:cs="宋体"/>
          <w:color w:val="auto"/>
          <w:szCs w:val="21"/>
          <w:highlight w:val="none"/>
        </w:rPr>
        <w:t>；</w:t>
      </w:r>
    </w:p>
    <w:p w14:paraId="5690BF9B">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发包人向承包人提供图纸的数量：</w:t>
      </w:r>
      <w:r>
        <w:rPr>
          <w:rFonts w:ascii="宋体" w:hAnsi="宋体" w:eastAsia="宋体" w:cs="宋体"/>
          <w:spacing w:val="1"/>
          <w:sz w:val="21"/>
          <w:szCs w:val="21"/>
          <w:u w:val="single" w:color="auto"/>
        </w:rPr>
        <w:t>叁套</w:t>
      </w:r>
      <w:r>
        <w:rPr>
          <w:rFonts w:hint="eastAsia" w:ascii="宋体" w:hAnsi="宋体" w:cs="宋体"/>
          <w:color w:val="auto"/>
          <w:szCs w:val="21"/>
          <w:highlight w:val="none"/>
          <w:u w:val="single"/>
        </w:rPr>
        <w:t>，上述图纸及技术资料，未经监理工程师和发包人同意，承包人不得提供给与本工程无关的第三方。承包人需要增加图纸套数的，承包人自行复制，复制费用由承包人承担。</w:t>
      </w:r>
    </w:p>
    <w:p w14:paraId="5BE31CB3">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发包人向承包人提供图纸的内容：</w:t>
      </w:r>
      <w:r>
        <w:rPr>
          <w:rFonts w:hint="eastAsia" w:ascii="宋体" w:hAnsi="宋体" w:cs="宋体"/>
          <w:color w:val="auto"/>
          <w:kern w:val="0"/>
          <w:szCs w:val="21"/>
          <w:highlight w:val="none"/>
          <w:u w:val="single"/>
        </w:rPr>
        <w:t>全套施工图纸和其他技术资料</w:t>
      </w:r>
      <w:r>
        <w:rPr>
          <w:rFonts w:hint="eastAsia" w:ascii="宋体" w:hAnsi="宋体" w:cs="宋体"/>
          <w:color w:val="auto"/>
          <w:szCs w:val="21"/>
          <w:highlight w:val="none"/>
        </w:rPr>
        <w:t>。</w:t>
      </w:r>
    </w:p>
    <w:p w14:paraId="24C1163B">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1.6.4 承包人文件</w:t>
      </w:r>
    </w:p>
    <w:p w14:paraId="06A9A9D6">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需要由承包人提供的文件，包括：</w:t>
      </w:r>
      <w:r>
        <w:rPr>
          <w:rFonts w:hint="eastAsia" w:ascii="宋体" w:hAnsi="宋体" w:cs="宋体"/>
          <w:color w:val="auto"/>
          <w:szCs w:val="21"/>
          <w:highlight w:val="none"/>
          <w:u w:val="single"/>
        </w:rPr>
        <w:t>提供由监理审核后完善的施工组织设计和施工安全专项方案，施工进度计划及发包人或监理在施工过程中所要求提供的文件， 施工图以外的大样图、加工图、标准图等。其他需要由承包人提供的文件由双方另行确定。</w:t>
      </w:r>
    </w:p>
    <w:p w14:paraId="0357B086">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承包人提供的文件的期限为：</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开始施工前7天内  </w:t>
      </w:r>
      <w:r>
        <w:rPr>
          <w:rFonts w:hint="eastAsia" w:ascii="宋体" w:hAnsi="宋体" w:cs="宋体"/>
          <w:color w:val="auto"/>
          <w:szCs w:val="21"/>
          <w:highlight w:val="none"/>
        </w:rPr>
        <w:t>；</w:t>
      </w:r>
    </w:p>
    <w:p w14:paraId="6734DF36">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承包人提供的文件的数量为：</w:t>
      </w:r>
      <w:r>
        <w:rPr>
          <w:rFonts w:hint="eastAsia" w:ascii="宋体" w:hAnsi="宋体" w:cs="宋体"/>
          <w:color w:val="auto"/>
          <w:szCs w:val="21"/>
          <w:highlight w:val="none"/>
          <w:u w:val="single"/>
        </w:rPr>
        <w:t xml:space="preserve">  6</w:t>
      </w:r>
      <w:r>
        <w:rPr>
          <w:rFonts w:hint="eastAsia" w:ascii="宋体" w:hAnsi="宋体" w:cs="宋体"/>
          <w:color w:val="auto"/>
          <w:kern w:val="0"/>
          <w:szCs w:val="21"/>
          <w:highlight w:val="none"/>
          <w:u w:val="single"/>
        </w:rPr>
        <w:t>份</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4E1B78B">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承包人提供的文件的形式为：</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纸质版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6AF55CD">
      <w:pPr>
        <w:pStyle w:val="501"/>
        <w:spacing w:line="380" w:lineRule="exact"/>
        <w:rPr>
          <w:rFonts w:ascii="宋体" w:hAnsi="宋体" w:cs="宋体"/>
          <w:color w:val="auto"/>
          <w:highlight w:val="none"/>
        </w:rPr>
      </w:pPr>
      <w:r>
        <w:rPr>
          <w:rFonts w:hint="eastAsia" w:ascii="宋体" w:hAnsi="宋体" w:cs="宋体"/>
          <w:color w:val="auto"/>
          <w:highlight w:val="none"/>
        </w:rPr>
        <w:t>发包人审批承包人文件的期限：</w:t>
      </w:r>
      <w:r>
        <w:rPr>
          <w:rFonts w:hint="eastAsia" w:ascii="宋体" w:hAnsi="宋体" w:cs="宋体"/>
          <w:color w:val="auto"/>
          <w:highlight w:val="none"/>
          <w:u w:val="single"/>
        </w:rPr>
        <w:t xml:space="preserve"> 收到承包人提供的文件后七天内 </w:t>
      </w:r>
      <w:r>
        <w:rPr>
          <w:rFonts w:hint="eastAsia" w:ascii="宋体" w:hAnsi="宋体" w:cs="宋体"/>
          <w:color w:val="auto"/>
          <w:highlight w:val="none"/>
        </w:rPr>
        <w:t>。</w:t>
      </w:r>
    </w:p>
    <w:p w14:paraId="6B9EA61A">
      <w:pPr>
        <w:pStyle w:val="501"/>
        <w:spacing w:line="380" w:lineRule="exact"/>
        <w:rPr>
          <w:rFonts w:ascii="宋体" w:hAnsi="宋体" w:cs="宋体"/>
          <w:color w:val="auto"/>
          <w:highlight w:val="none"/>
        </w:rPr>
      </w:pPr>
      <w:r>
        <w:rPr>
          <w:rFonts w:hint="eastAsia" w:ascii="宋体" w:hAnsi="宋体" w:cs="宋体"/>
          <w:color w:val="auto"/>
          <w:highlight w:val="none"/>
        </w:rPr>
        <w:t>1.6.5 现场图纸准备</w:t>
      </w:r>
    </w:p>
    <w:p w14:paraId="561C001A">
      <w:pPr>
        <w:pStyle w:val="501"/>
        <w:spacing w:line="380" w:lineRule="exact"/>
        <w:rPr>
          <w:rFonts w:ascii="宋体" w:hAnsi="宋体" w:cs="宋体"/>
          <w:color w:val="auto"/>
          <w:highlight w:val="none"/>
        </w:rPr>
      </w:pPr>
      <w:r>
        <w:rPr>
          <w:rFonts w:hint="eastAsia" w:ascii="宋体" w:hAnsi="宋体" w:cs="宋体"/>
          <w:color w:val="auto"/>
          <w:highlight w:val="none"/>
        </w:rPr>
        <w:t>关于现场图纸准备的约定：</w:t>
      </w:r>
      <w:r>
        <w:rPr>
          <w:rFonts w:hint="eastAsia" w:ascii="宋体" w:hAnsi="宋体" w:cs="宋体"/>
          <w:color w:val="auto"/>
          <w:highlight w:val="none"/>
          <w:u w:val="single"/>
        </w:rPr>
        <w:t xml:space="preserve">  按通用条款执行</w:t>
      </w:r>
      <w:r>
        <w:rPr>
          <w:rFonts w:hint="eastAsia" w:ascii="宋体" w:hAnsi="宋体" w:cs="宋体"/>
          <w:color w:val="auto"/>
          <w:highlight w:val="none"/>
        </w:rPr>
        <w:t>。</w:t>
      </w:r>
    </w:p>
    <w:p w14:paraId="05078154">
      <w:pPr>
        <w:pStyle w:val="504"/>
        <w:spacing w:line="380" w:lineRule="exact"/>
        <w:ind w:firstLine="422" w:firstLineChars="200"/>
        <w:rPr>
          <w:rFonts w:ascii="宋体" w:cs="宋体"/>
          <w:color w:val="auto"/>
          <w:highlight w:val="none"/>
        </w:rPr>
      </w:pPr>
      <w:bookmarkStart w:id="337" w:name="_Toc406522219"/>
      <w:bookmarkStart w:id="338" w:name="_Toc497747177"/>
      <w:bookmarkStart w:id="339" w:name="_Toc418752241"/>
      <w:bookmarkStart w:id="340" w:name="_Toc418751795"/>
      <w:bookmarkStart w:id="341" w:name="_Toc522201729"/>
      <w:bookmarkStart w:id="342" w:name="_Toc256000179"/>
      <w:bookmarkStart w:id="343" w:name="_Toc497746780"/>
      <w:r>
        <w:rPr>
          <w:rFonts w:hint="eastAsia" w:ascii="宋体" w:cs="宋体"/>
          <w:color w:val="auto"/>
          <w:highlight w:val="none"/>
        </w:rPr>
        <w:t>1.7 联络</w:t>
      </w:r>
      <w:bookmarkEnd w:id="337"/>
      <w:bookmarkEnd w:id="338"/>
      <w:bookmarkEnd w:id="339"/>
      <w:bookmarkEnd w:id="340"/>
      <w:bookmarkEnd w:id="341"/>
      <w:bookmarkEnd w:id="342"/>
      <w:bookmarkEnd w:id="343"/>
    </w:p>
    <w:p w14:paraId="58B5FC4C">
      <w:pPr>
        <w:pStyle w:val="501"/>
        <w:spacing w:line="380" w:lineRule="exact"/>
        <w:rPr>
          <w:rFonts w:ascii="宋体" w:hAnsi="宋体" w:cs="宋体"/>
          <w:color w:val="auto"/>
          <w:highlight w:val="none"/>
        </w:rPr>
      </w:pPr>
      <w:r>
        <w:rPr>
          <w:rFonts w:hint="eastAsia" w:ascii="宋体" w:hAnsi="宋体" w:cs="宋体"/>
          <w:color w:val="auto"/>
          <w:highlight w:val="none"/>
        </w:rPr>
        <w:t>1.7.1发包人和承包人应当在</w:t>
      </w:r>
      <w:r>
        <w:rPr>
          <w:rFonts w:hint="eastAsia" w:ascii="宋体" w:hAnsi="宋体" w:cs="宋体"/>
          <w:color w:val="auto"/>
          <w:highlight w:val="none"/>
          <w:u w:val="single"/>
        </w:rPr>
        <w:t xml:space="preserve">  7 </w:t>
      </w:r>
      <w:r>
        <w:rPr>
          <w:rFonts w:hint="eastAsia" w:ascii="宋体" w:hAnsi="宋体" w:cs="宋体"/>
          <w:color w:val="auto"/>
          <w:highlight w:val="none"/>
        </w:rPr>
        <w:t>天内将与合同有关的通知、批准、证明、证书、指示、指令、要求、请求、同意、意见、确定和决定等书面函件送达对方当事人。</w:t>
      </w:r>
    </w:p>
    <w:p w14:paraId="7F2B0C82">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1.7.2发包人接收文件的地点：</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55376FBF">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发包人指定的接收人为：</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6C3E3069">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承包人接收文件的地点：</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施工现场项目部</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62843F3C">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承包人指定的接收人为：</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43A9455D">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监理人接收文件的地点：</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47699F25">
      <w:pPr>
        <w:pStyle w:val="501"/>
        <w:spacing w:line="380" w:lineRule="exact"/>
        <w:rPr>
          <w:rFonts w:ascii="宋体" w:hAnsi="宋体" w:cs="宋体"/>
          <w:color w:val="auto"/>
          <w:highlight w:val="none"/>
        </w:rPr>
      </w:pPr>
      <w:r>
        <w:rPr>
          <w:rFonts w:hint="eastAsia" w:ascii="宋体" w:hAnsi="宋体" w:cs="宋体"/>
          <w:color w:val="auto"/>
          <w:highlight w:val="none"/>
        </w:rPr>
        <w:t>监理人指定的接收人为：</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4F7BDE8">
      <w:pPr>
        <w:pStyle w:val="504"/>
        <w:spacing w:line="380" w:lineRule="exact"/>
        <w:ind w:firstLine="422" w:firstLineChars="200"/>
        <w:rPr>
          <w:rFonts w:ascii="宋体" w:cs="宋体"/>
          <w:color w:val="auto"/>
          <w:highlight w:val="none"/>
        </w:rPr>
      </w:pPr>
      <w:bookmarkStart w:id="344" w:name="_Toc522201730"/>
      <w:bookmarkStart w:id="345" w:name="_Toc497746781"/>
      <w:bookmarkStart w:id="346" w:name="_Toc406522220"/>
      <w:bookmarkStart w:id="347" w:name="_Toc497747178"/>
      <w:bookmarkStart w:id="348" w:name="_Toc418751796"/>
      <w:bookmarkStart w:id="349" w:name="_Toc418752242"/>
      <w:bookmarkStart w:id="350" w:name="_Toc256000180"/>
      <w:r>
        <w:rPr>
          <w:rFonts w:hint="eastAsia" w:ascii="宋体" w:cs="宋体"/>
          <w:color w:val="auto"/>
          <w:highlight w:val="none"/>
        </w:rPr>
        <w:t>1.10 交通运输</w:t>
      </w:r>
      <w:bookmarkEnd w:id="344"/>
      <w:bookmarkEnd w:id="345"/>
      <w:bookmarkEnd w:id="346"/>
      <w:bookmarkEnd w:id="347"/>
      <w:bookmarkEnd w:id="348"/>
      <w:bookmarkEnd w:id="349"/>
      <w:bookmarkEnd w:id="350"/>
    </w:p>
    <w:p w14:paraId="40E31C56">
      <w:pPr>
        <w:pStyle w:val="501"/>
        <w:spacing w:line="380" w:lineRule="exact"/>
        <w:rPr>
          <w:rFonts w:ascii="宋体" w:hAnsi="宋体" w:cs="宋体"/>
          <w:color w:val="auto"/>
          <w:highlight w:val="none"/>
        </w:rPr>
      </w:pPr>
      <w:r>
        <w:rPr>
          <w:rFonts w:hint="eastAsia" w:ascii="宋体" w:hAnsi="宋体" w:cs="宋体"/>
          <w:color w:val="auto"/>
          <w:highlight w:val="none"/>
        </w:rPr>
        <w:t>1</w:t>
      </w:r>
      <w:bookmarkStart w:id="351" w:name="_Toc304295521"/>
      <w:bookmarkStart w:id="352" w:name="_Toc318581155"/>
      <w:bookmarkStart w:id="353" w:name="_Toc303539100"/>
      <w:bookmarkStart w:id="354" w:name="_Toc300934943"/>
      <w:bookmarkStart w:id="355" w:name="_Toc312677986"/>
      <w:r>
        <w:rPr>
          <w:rFonts w:hint="eastAsia" w:ascii="宋体" w:hAnsi="宋体" w:cs="宋体"/>
          <w:color w:val="auto"/>
          <w:highlight w:val="none"/>
        </w:rPr>
        <w:t>.10.1 出入现场的权利</w:t>
      </w:r>
    </w:p>
    <w:p w14:paraId="72D5DE3E">
      <w:pPr>
        <w:pStyle w:val="501"/>
        <w:spacing w:line="380" w:lineRule="exact"/>
        <w:rPr>
          <w:rFonts w:ascii="宋体" w:hAnsi="宋体" w:cs="宋体"/>
          <w:color w:val="auto"/>
          <w:highlight w:val="none"/>
        </w:rPr>
      </w:pPr>
      <w:r>
        <w:rPr>
          <w:rFonts w:hint="eastAsia" w:ascii="宋体" w:hAnsi="宋体" w:cs="宋体"/>
          <w:color w:val="auto"/>
          <w:highlight w:val="none"/>
        </w:rPr>
        <w:t>关于出入现场的权利的约定：</w:t>
      </w:r>
      <w:r>
        <w:rPr>
          <w:rFonts w:hint="eastAsia" w:ascii="宋体" w:hAnsi="宋体" w:cs="宋体"/>
          <w:color w:val="auto"/>
          <w:highlight w:val="none"/>
          <w:u w:val="single"/>
        </w:rPr>
        <w:t>除正常施工涉及的人员及车辆外，其他人员及车辆进出场内须经过发包人同意，且由承包人进行管理登记</w:t>
      </w:r>
      <w:r>
        <w:rPr>
          <w:rFonts w:hint="eastAsia" w:ascii="宋体" w:hAnsi="宋体" w:cs="宋体"/>
          <w:color w:val="auto"/>
          <w:highlight w:val="none"/>
        </w:rPr>
        <w:t>。</w:t>
      </w:r>
    </w:p>
    <w:bookmarkEnd w:id="351"/>
    <w:bookmarkEnd w:id="352"/>
    <w:bookmarkEnd w:id="353"/>
    <w:bookmarkEnd w:id="354"/>
    <w:bookmarkEnd w:id="355"/>
    <w:p w14:paraId="5458F859">
      <w:pPr>
        <w:pStyle w:val="501"/>
        <w:spacing w:line="380" w:lineRule="exact"/>
        <w:rPr>
          <w:rFonts w:ascii="宋体" w:hAnsi="宋体" w:cs="宋体"/>
          <w:color w:val="auto"/>
          <w:highlight w:val="none"/>
        </w:rPr>
      </w:pPr>
      <w:r>
        <w:rPr>
          <w:rFonts w:hint="eastAsia" w:ascii="宋体" w:hAnsi="宋体" w:cs="宋体"/>
          <w:color w:val="auto"/>
          <w:highlight w:val="none"/>
        </w:rPr>
        <w:t>1</w:t>
      </w:r>
      <w:bookmarkStart w:id="356" w:name="_Toc312677987"/>
      <w:bookmarkStart w:id="357" w:name="_Toc300934944"/>
      <w:bookmarkStart w:id="358" w:name="_Toc318581156"/>
      <w:bookmarkStart w:id="359" w:name="_Toc304295522"/>
      <w:bookmarkStart w:id="360" w:name="_Toc303539101"/>
      <w:r>
        <w:rPr>
          <w:rFonts w:hint="eastAsia" w:ascii="宋体" w:hAnsi="宋体" w:cs="宋体"/>
          <w:color w:val="auto"/>
          <w:highlight w:val="none"/>
        </w:rPr>
        <w:t>.10.3 场内交通</w:t>
      </w:r>
    </w:p>
    <w:p w14:paraId="0D82B3F3">
      <w:pPr>
        <w:pStyle w:val="501"/>
        <w:spacing w:line="380" w:lineRule="exact"/>
        <w:rPr>
          <w:rFonts w:ascii="宋体" w:hAnsi="宋体" w:cs="宋体"/>
          <w:color w:val="auto"/>
          <w:highlight w:val="none"/>
        </w:rPr>
      </w:pPr>
      <w:r>
        <w:rPr>
          <w:rFonts w:hint="eastAsia" w:ascii="宋体" w:hAnsi="宋体" w:cs="宋体"/>
          <w:color w:val="auto"/>
          <w:highlight w:val="none"/>
        </w:rPr>
        <w:t>关于场外交通和场内交通的边界的约定：</w:t>
      </w:r>
      <w:r>
        <w:rPr>
          <w:rFonts w:hint="eastAsia" w:ascii="宋体" w:hAnsi="宋体" w:cs="宋体"/>
          <w:color w:val="auto"/>
          <w:highlight w:val="none"/>
          <w:u w:val="single"/>
        </w:rPr>
        <w:t xml:space="preserve">  规划批复总平用地红线  </w:t>
      </w:r>
      <w:r>
        <w:rPr>
          <w:rFonts w:hint="eastAsia" w:ascii="宋体" w:hAnsi="宋体" w:cs="宋体"/>
          <w:color w:val="auto"/>
          <w:highlight w:val="none"/>
        </w:rPr>
        <w:t>。</w:t>
      </w:r>
    </w:p>
    <w:p w14:paraId="342D9232">
      <w:pPr>
        <w:pStyle w:val="501"/>
        <w:spacing w:line="380" w:lineRule="exact"/>
        <w:rPr>
          <w:rFonts w:ascii="宋体" w:hAnsi="宋体" w:cs="宋体"/>
          <w:color w:val="auto"/>
          <w:highlight w:val="none"/>
        </w:rPr>
      </w:pPr>
      <w:r>
        <w:rPr>
          <w:rFonts w:hint="eastAsia" w:ascii="宋体" w:hAnsi="宋体" w:cs="宋体"/>
          <w:color w:val="auto"/>
          <w:highlight w:val="none"/>
        </w:rPr>
        <w:t>关于发包人向承包人免费提供满足工程施工需要的场内道路和交通设施的约定：</w:t>
      </w:r>
      <w:r>
        <w:rPr>
          <w:rFonts w:hint="eastAsia" w:ascii="宋体" w:hAnsi="宋体" w:cs="宋体"/>
          <w:color w:val="auto"/>
          <w:highlight w:val="none"/>
          <w:u w:val="single"/>
        </w:rPr>
        <w:t>承包人负责场内道路和交通设施的修建并承担相应费用</w:t>
      </w:r>
      <w:r>
        <w:rPr>
          <w:rFonts w:hint="eastAsia" w:ascii="宋体" w:hAnsi="宋体" w:cs="宋体"/>
          <w:color w:val="auto"/>
          <w:highlight w:val="none"/>
        </w:rPr>
        <w:t>。</w:t>
      </w:r>
      <w:bookmarkEnd w:id="356"/>
      <w:bookmarkEnd w:id="357"/>
      <w:bookmarkEnd w:id="358"/>
      <w:bookmarkEnd w:id="359"/>
      <w:bookmarkEnd w:id="360"/>
      <w:r>
        <w:rPr>
          <w:rFonts w:hint="eastAsia" w:ascii="宋体" w:hAnsi="宋体" w:cs="宋体"/>
          <w:color w:val="auto"/>
          <w:highlight w:val="none"/>
        </w:rPr>
        <w:t xml:space="preserve">  </w:t>
      </w:r>
      <w:bookmarkStart w:id="361" w:name="_Toc318581157"/>
    </w:p>
    <w:p w14:paraId="0D366953">
      <w:pPr>
        <w:pStyle w:val="501"/>
        <w:spacing w:line="380" w:lineRule="exact"/>
        <w:rPr>
          <w:rFonts w:ascii="宋体" w:hAnsi="宋体" w:cs="宋体"/>
          <w:color w:val="auto"/>
          <w:highlight w:val="none"/>
        </w:rPr>
      </w:pPr>
      <w:r>
        <w:rPr>
          <w:rFonts w:hint="eastAsia" w:ascii="宋体" w:hAnsi="宋体" w:cs="宋体"/>
          <w:color w:val="auto"/>
          <w:highlight w:val="none"/>
        </w:rPr>
        <w:t>1.10.4超大件和超重件的运输</w:t>
      </w:r>
    </w:p>
    <w:p w14:paraId="7F18F362">
      <w:pPr>
        <w:pStyle w:val="501"/>
        <w:spacing w:line="380" w:lineRule="exact"/>
        <w:rPr>
          <w:rFonts w:ascii="宋体" w:hAnsi="宋体" w:cs="宋体"/>
          <w:color w:val="auto"/>
          <w:highlight w:val="none"/>
        </w:rPr>
      </w:pPr>
      <w:r>
        <w:rPr>
          <w:rFonts w:hint="eastAsia" w:ascii="宋体" w:hAnsi="宋体" w:cs="宋体"/>
          <w:color w:val="auto"/>
          <w:highlight w:val="none"/>
        </w:rPr>
        <w:t>运输超大件或超重件所需的道路和桥梁临时加固改造费用和其他有关费用由</w:t>
      </w:r>
      <w:r>
        <w:rPr>
          <w:rFonts w:hint="eastAsia" w:ascii="宋体" w:hAnsi="宋体" w:cs="宋体"/>
          <w:color w:val="auto"/>
          <w:highlight w:val="none"/>
          <w:u w:val="single"/>
        </w:rPr>
        <w:t>承包人</w:t>
      </w:r>
      <w:r>
        <w:rPr>
          <w:rFonts w:hint="eastAsia" w:ascii="宋体" w:hAnsi="宋体" w:cs="宋体"/>
          <w:color w:val="auto"/>
          <w:highlight w:val="none"/>
        </w:rPr>
        <w:t>承担。</w:t>
      </w:r>
    </w:p>
    <w:bookmarkEnd w:id="361"/>
    <w:p w14:paraId="2C0C3514">
      <w:pPr>
        <w:pStyle w:val="504"/>
        <w:spacing w:line="380" w:lineRule="exact"/>
        <w:ind w:firstLine="422" w:firstLineChars="200"/>
        <w:rPr>
          <w:rFonts w:ascii="宋体" w:cs="宋体"/>
          <w:color w:val="auto"/>
          <w:highlight w:val="none"/>
        </w:rPr>
      </w:pPr>
      <w:bookmarkStart w:id="362" w:name="_Toc497746782"/>
      <w:bookmarkStart w:id="363" w:name="_Toc256000181"/>
      <w:bookmarkStart w:id="364" w:name="_Toc522201731"/>
      <w:bookmarkStart w:id="365" w:name="_Toc497747179"/>
      <w:bookmarkStart w:id="366" w:name="_Toc406522221"/>
      <w:bookmarkStart w:id="367" w:name="_Toc418751797"/>
      <w:bookmarkStart w:id="368" w:name="_Toc418752243"/>
      <w:r>
        <w:rPr>
          <w:rFonts w:hint="eastAsia" w:ascii="宋体" w:cs="宋体"/>
          <w:color w:val="auto"/>
          <w:highlight w:val="none"/>
        </w:rPr>
        <w:t>1.11 知识产权</w:t>
      </w:r>
      <w:bookmarkEnd w:id="362"/>
      <w:bookmarkEnd w:id="363"/>
      <w:bookmarkEnd w:id="364"/>
      <w:bookmarkEnd w:id="365"/>
      <w:bookmarkEnd w:id="366"/>
      <w:bookmarkEnd w:id="367"/>
      <w:bookmarkEnd w:id="368"/>
    </w:p>
    <w:p w14:paraId="50873D22">
      <w:pPr>
        <w:pStyle w:val="501"/>
        <w:spacing w:line="380" w:lineRule="exact"/>
        <w:rPr>
          <w:rFonts w:ascii="宋体" w:hAnsi="宋体" w:cs="宋体"/>
          <w:color w:val="auto"/>
          <w:highlight w:val="none"/>
        </w:rPr>
      </w:pPr>
      <w:r>
        <w:rPr>
          <w:rFonts w:hint="eastAsia" w:ascii="宋体" w:hAnsi="宋体" w:cs="宋体"/>
          <w:color w:val="auto"/>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highlight w:val="none"/>
          <w:u w:val="single"/>
        </w:rPr>
        <w:t>著作权属于发包人</w:t>
      </w:r>
      <w:r>
        <w:rPr>
          <w:rFonts w:hint="eastAsia" w:ascii="宋体" w:hAnsi="宋体" w:cs="宋体"/>
          <w:color w:val="auto"/>
          <w:highlight w:val="none"/>
        </w:rPr>
        <w:t>。</w:t>
      </w:r>
    </w:p>
    <w:p w14:paraId="08CC0818">
      <w:pPr>
        <w:pStyle w:val="501"/>
        <w:spacing w:line="380" w:lineRule="exact"/>
        <w:rPr>
          <w:rFonts w:ascii="宋体" w:hAnsi="宋体" w:cs="宋体"/>
          <w:color w:val="auto"/>
          <w:highlight w:val="none"/>
        </w:rPr>
      </w:pPr>
      <w:r>
        <w:rPr>
          <w:rFonts w:hint="eastAsia" w:ascii="宋体" w:hAnsi="宋体" w:cs="宋体"/>
          <w:color w:val="auto"/>
          <w:highlight w:val="none"/>
        </w:rPr>
        <w:t>关于发包人提供的上述文件的使用限制的要求：</w:t>
      </w:r>
      <w:r>
        <w:rPr>
          <w:rFonts w:hint="eastAsia" w:ascii="宋体" w:hAnsi="宋体" w:cs="宋体"/>
          <w:color w:val="auto"/>
          <w:highlight w:val="none"/>
          <w:u w:val="single"/>
        </w:rPr>
        <w:t>未经发包人同意，承包人不得为了合同以外的目的而复制、使用上述文件或将之提供给任何第三方</w:t>
      </w:r>
      <w:r>
        <w:rPr>
          <w:rFonts w:hint="eastAsia" w:ascii="宋体" w:hAnsi="宋体" w:cs="宋体"/>
          <w:color w:val="auto"/>
          <w:highlight w:val="none"/>
        </w:rPr>
        <w:t>。</w:t>
      </w:r>
    </w:p>
    <w:p w14:paraId="55077B8A">
      <w:pPr>
        <w:pStyle w:val="501"/>
        <w:spacing w:line="380" w:lineRule="exact"/>
        <w:rPr>
          <w:rFonts w:ascii="宋体" w:hAnsi="宋体" w:cs="宋体"/>
          <w:color w:val="auto"/>
          <w:highlight w:val="none"/>
        </w:rPr>
      </w:pPr>
      <w:r>
        <w:rPr>
          <w:rFonts w:hint="eastAsia" w:ascii="宋体" w:hAnsi="宋体" w:cs="宋体"/>
          <w:color w:val="auto"/>
          <w:highlight w:val="none"/>
        </w:rPr>
        <w:t>1.11.2 关于承包人为实施工程所编制文件的著作权的归属：</w:t>
      </w:r>
      <w:r>
        <w:rPr>
          <w:rFonts w:hint="eastAsia" w:ascii="宋体" w:hAnsi="宋体" w:cs="宋体"/>
          <w:color w:val="auto"/>
          <w:highlight w:val="none"/>
          <w:u w:val="single"/>
        </w:rPr>
        <w:t>除署名以外著作权属于发包人</w:t>
      </w:r>
      <w:r>
        <w:rPr>
          <w:rFonts w:hint="eastAsia" w:ascii="宋体" w:hAnsi="宋体" w:cs="宋体"/>
          <w:color w:val="auto"/>
          <w:highlight w:val="none"/>
        </w:rPr>
        <w:t>。</w:t>
      </w:r>
    </w:p>
    <w:p w14:paraId="289DA42D">
      <w:pPr>
        <w:pStyle w:val="501"/>
        <w:spacing w:line="380" w:lineRule="exact"/>
        <w:rPr>
          <w:rFonts w:ascii="宋体" w:hAnsi="宋体" w:cs="宋体"/>
          <w:color w:val="auto"/>
          <w:highlight w:val="none"/>
        </w:rPr>
      </w:pPr>
      <w:r>
        <w:rPr>
          <w:rFonts w:hint="eastAsia" w:ascii="宋体" w:hAnsi="宋体" w:cs="宋体"/>
          <w:color w:val="auto"/>
          <w:highlight w:val="none"/>
        </w:rPr>
        <w:t>关于承包人提供的上述文件的使用限制的要求：</w:t>
      </w:r>
      <w:r>
        <w:rPr>
          <w:rFonts w:hint="eastAsia" w:ascii="宋体" w:hAnsi="宋体" w:cs="宋体"/>
          <w:color w:val="auto"/>
          <w:highlight w:val="none"/>
          <w:u w:val="single"/>
        </w:rPr>
        <w:t>未经发包人同意，承包人不得为了合同以外的目的而复制、使用上述文件或将之提供给任何第三方</w:t>
      </w:r>
      <w:r>
        <w:rPr>
          <w:rFonts w:hint="eastAsia" w:ascii="宋体" w:hAnsi="宋体" w:cs="宋体"/>
          <w:color w:val="auto"/>
          <w:highlight w:val="none"/>
        </w:rPr>
        <w:t>。</w:t>
      </w:r>
    </w:p>
    <w:p w14:paraId="19B870E7">
      <w:pPr>
        <w:pStyle w:val="501"/>
        <w:spacing w:line="380" w:lineRule="exact"/>
        <w:rPr>
          <w:rFonts w:ascii="宋体" w:hAnsi="宋体" w:cs="宋体"/>
          <w:color w:val="auto"/>
          <w:highlight w:val="none"/>
          <w:u w:val="single"/>
        </w:rPr>
      </w:pPr>
      <w:r>
        <w:rPr>
          <w:rFonts w:hint="eastAsia" w:ascii="宋体" w:hAnsi="宋体" w:cs="宋体"/>
          <w:color w:val="auto"/>
          <w:highlight w:val="none"/>
        </w:rPr>
        <w:t>1.11.4 承包人在施工过程中所采用的专利、专有技术、技术秘密的使用费的承担方式：</w:t>
      </w:r>
      <w:r>
        <w:rPr>
          <w:rFonts w:hint="eastAsia" w:ascii="宋体" w:hAnsi="宋体" w:cs="宋体"/>
          <w:color w:val="auto"/>
          <w:highlight w:val="none"/>
          <w:u w:val="single"/>
        </w:rPr>
        <w:t>由承包人承担</w:t>
      </w:r>
      <w:r>
        <w:rPr>
          <w:rFonts w:hint="eastAsia" w:ascii="宋体" w:hAnsi="宋体" w:cs="宋体"/>
          <w:color w:val="auto"/>
          <w:highlight w:val="none"/>
        </w:rPr>
        <w:t>。</w:t>
      </w:r>
    </w:p>
    <w:p w14:paraId="16CE6BE6">
      <w:pPr>
        <w:pStyle w:val="501"/>
        <w:spacing w:line="380" w:lineRule="exact"/>
        <w:rPr>
          <w:rFonts w:ascii="宋体" w:hAnsi="宋体" w:cs="宋体"/>
          <w:color w:val="auto"/>
          <w:highlight w:val="none"/>
        </w:rPr>
      </w:pPr>
      <w:r>
        <w:rPr>
          <w:rFonts w:hint="eastAsia" w:ascii="宋体" w:hAnsi="宋体" w:cs="宋体"/>
          <w:color w:val="auto"/>
          <w:highlight w:val="none"/>
        </w:rPr>
        <w:t>1.13工程量清单错误的修正</w:t>
      </w:r>
    </w:p>
    <w:p w14:paraId="01C52AD0">
      <w:pPr>
        <w:pStyle w:val="501"/>
        <w:spacing w:line="380" w:lineRule="exact"/>
        <w:rPr>
          <w:rFonts w:ascii="宋体" w:hAnsi="宋体" w:cs="宋体"/>
          <w:color w:val="auto"/>
          <w:highlight w:val="none"/>
          <w:u w:val="single"/>
        </w:rPr>
      </w:pPr>
      <w:r>
        <w:rPr>
          <w:rFonts w:hint="eastAsia" w:ascii="宋体" w:hAnsi="宋体" w:cs="宋体"/>
          <w:color w:val="auto"/>
          <w:highlight w:val="none"/>
        </w:rPr>
        <w:t>出现工程量清单错误时，是否调整合同价格：</w:t>
      </w:r>
      <w:r>
        <w:rPr>
          <w:rFonts w:ascii="宋体" w:hAnsi="宋体" w:eastAsia="宋体" w:cs="宋体"/>
          <w:spacing w:val="-4"/>
          <w:sz w:val="21"/>
          <w:szCs w:val="21"/>
          <w:u w:val="single" w:color="auto"/>
        </w:rPr>
        <w:t>调整，工程量清单存在缺项、漏项情</w:t>
      </w:r>
      <w:r>
        <w:rPr>
          <w:rFonts w:ascii="宋体" w:hAnsi="宋体" w:eastAsia="宋体" w:cs="宋体"/>
          <w:spacing w:val="-15"/>
          <w:sz w:val="21"/>
          <w:szCs w:val="21"/>
          <w:u w:val="single" w:color="auto"/>
        </w:rPr>
        <w:t>况</w:t>
      </w:r>
      <w:r>
        <w:rPr>
          <w:rFonts w:ascii="宋体" w:hAnsi="宋体" w:eastAsia="宋体" w:cs="宋体"/>
          <w:spacing w:val="-10"/>
          <w:sz w:val="21"/>
          <w:szCs w:val="21"/>
          <w:u w:val="single" w:color="auto"/>
        </w:rPr>
        <w:t>下予以调整。</w:t>
      </w:r>
      <w:r>
        <w:rPr>
          <w:rFonts w:ascii="宋体" w:hAnsi="宋体" w:eastAsia="宋体" w:cs="宋体"/>
          <w:sz w:val="21"/>
          <w:szCs w:val="21"/>
          <w:u w:val="single" w:color="auto"/>
        </w:rPr>
        <w:t xml:space="preserve"> </w:t>
      </w:r>
    </w:p>
    <w:p w14:paraId="4D5BE1A1">
      <w:pPr>
        <w:pStyle w:val="504"/>
        <w:spacing w:line="380" w:lineRule="exact"/>
        <w:rPr>
          <w:rFonts w:ascii="宋体" w:cs="宋体"/>
          <w:color w:val="auto"/>
          <w:highlight w:val="none"/>
        </w:rPr>
      </w:pPr>
      <w:bookmarkStart w:id="369" w:name="_Toc522201732"/>
      <w:bookmarkStart w:id="370" w:name="_Toc418752244"/>
      <w:bookmarkStart w:id="371" w:name="_Toc256000182"/>
      <w:bookmarkStart w:id="372" w:name="_Toc497747180"/>
      <w:bookmarkStart w:id="373" w:name="_Toc406522222"/>
      <w:bookmarkStart w:id="374" w:name="_Toc497746783"/>
      <w:bookmarkStart w:id="375" w:name="_Toc418751798"/>
      <w:bookmarkStart w:id="376" w:name="_Toc351203634"/>
      <w:r>
        <w:rPr>
          <w:rFonts w:hint="eastAsia" w:ascii="宋体" w:cs="宋体"/>
          <w:color w:val="auto"/>
          <w:highlight w:val="none"/>
        </w:rPr>
        <w:t>2</w:t>
      </w:r>
      <w:bookmarkStart w:id="377" w:name="_Toc296891197"/>
      <w:bookmarkStart w:id="378" w:name="_Toc297048343"/>
      <w:bookmarkStart w:id="379" w:name="_Toc292559867"/>
      <w:bookmarkStart w:id="380" w:name="_Toc296503157"/>
      <w:bookmarkStart w:id="381" w:name="_Toc292559362"/>
      <w:bookmarkStart w:id="382" w:name="_Toc296346658"/>
      <w:bookmarkStart w:id="383" w:name="_Toc296944496"/>
      <w:bookmarkStart w:id="384" w:name="_Toc296890985"/>
      <w:bookmarkStart w:id="385" w:name="_Toc296347156"/>
      <w:bookmarkStart w:id="386" w:name="_Toc297120457"/>
      <w:r>
        <w:rPr>
          <w:rFonts w:hint="eastAsia" w:ascii="宋体" w:cs="宋体"/>
          <w:color w:val="auto"/>
          <w:highlight w:val="none"/>
        </w:rPr>
        <w:t>. 发包人</w:t>
      </w:r>
      <w:bookmarkEnd w:id="369"/>
      <w:bookmarkEnd w:id="370"/>
      <w:bookmarkEnd w:id="371"/>
      <w:bookmarkEnd w:id="372"/>
      <w:bookmarkEnd w:id="373"/>
      <w:bookmarkEnd w:id="374"/>
      <w:bookmarkEnd w:id="375"/>
      <w:bookmarkEnd w:id="376"/>
    </w:p>
    <w:bookmarkEnd w:id="377"/>
    <w:bookmarkEnd w:id="378"/>
    <w:bookmarkEnd w:id="379"/>
    <w:bookmarkEnd w:id="380"/>
    <w:bookmarkEnd w:id="381"/>
    <w:bookmarkEnd w:id="382"/>
    <w:bookmarkEnd w:id="383"/>
    <w:bookmarkEnd w:id="384"/>
    <w:bookmarkEnd w:id="385"/>
    <w:bookmarkEnd w:id="386"/>
    <w:p w14:paraId="610C85EF">
      <w:pPr>
        <w:pStyle w:val="504"/>
        <w:spacing w:line="380" w:lineRule="exact"/>
        <w:ind w:firstLine="422" w:firstLineChars="200"/>
        <w:rPr>
          <w:rFonts w:ascii="宋体" w:cs="宋体"/>
          <w:color w:val="auto"/>
          <w:highlight w:val="none"/>
        </w:rPr>
      </w:pPr>
      <w:bookmarkStart w:id="387" w:name="_Toc522201733"/>
      <w:bookmarkStart w:id="388" w:name="_Toc406522223"/>
      <w:bookmarkStart w:id="389" w:name="_Toc418752245"/>
      <w:bookmarkStart w:id="390" w:name="_Toc418751799"/>
      <w:bookmarkStart w:id="391" w:name="_Toc256000183"/>
      <w:bookmarkStart w:id="392" w:name="_Toc497747181"/>
      <w:bookmarkStart w:id="393" w:name="_Toc497746784"/>
      <w:r>
        <w:rPr>
          <w:rFonts w:hint="eastAsia" w:ascii="宋体" w:cs="宋体"/>
          <w:color w:val="auto"/>
          <w:highlight w:val="none"/>
        </w:rPr>
        <w:t>2.2 发包人代表</w:t>
      </w:r>
      <w:bookmarkEnd w:id="387"/>
      <w:bookmarkEnd w:id="388"/>
      <w:bookmarkEnd w:id="389"/>
      <w:bookmarkEnd w:id="390"/>
      <w:bookmarkEnd w:id="391"/>
      <w:bookmarkEnd w:id="392"/>
      <w:bookmarkEnd w:id="393"/>
    </w:p>
    <w:p w14:paraId="093D5E9A">
      <w:pPr>
        <w:pStyle w:val="501"/>
        <w:spacing w:line="380" w:lineRule="exact"/>
        <w:rPr>
          <w:rFonts w:ascii="宋体" w:hAnsi="宋体" w:cs="宋体"/>
          <w:color w:val="auto"/>
          <w:highlight w:val="none"/>
        </w:rPr>
      </w:pPr>
      <w:r>
        <w:rPr>
          <w:rFonts w:hint="eastAsia" w:ascii="宋体" w:hAnsi="宋体" w:cs="宋体"/>
          <w:color w:val="auto"/>
          <w:highlight w:val="none"/>
        </w:rPr>
        <w:t>发包人代表：</w:t>
      </w:r>
    </w:p>
    <w:p w14:paraId="362CB8C7">
      <w:pPr>
        <w:pStyle w:val="501"/>
        <w:spacing w:line="380" w:lineRule="exact"/>
        <w:rPr>
          <w:rFonts w:ascii="宋体" w:hAnsi="宋体" w:cs="宋体"/>
          <w:color w:val="auto"/>
          <w:highlight w:val="none"/>
        </w:rPr>
      </w:pPr>
      <w:r>
        <w:rPr>
          <w:rFonts w:hint="eastAsia" w:ascii="宋体" w:hAnsi="宋体" w:cs="宋体"/>
          <w:color w:val="auto"/>
          <w:highlight w:val="none"/>
        </w:rPr>
        <w:t>姓    名：</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03B3777">
      <w:pPr>
        <w:pStyle w:val="501"/>
        <w:spacing w:line="380" w:lineRule="exact"/>
        <w:rPr>
          <w:rFonts w:ascii="宋体" w:hAnsi="宋体" w:cs="宋体"/>
          <w:color w:val="auto"/>
          <w:highlight w:val="none"/>
        </w:rPr>
      </w:pPr>
      <w:r>
        <w:rPr>
          <w:rFonts w:hint="eastAsia" w:ascii="宋体" w:hAnsi="宋体" w:cs="宋体"/>
          <w:color w:val="auto"/>
          <w:highlight w:val="none"/>
        </w:rPr>
        <w:t>职    务：</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2AF4127">
      <w:pPr>
        <w:pStyle w:val="501"/>
        <w:spacing w:line="380" w:lineRule="exact"/>
        <w:rPr>
          <w:rFonts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B9F2A45">
      <w:pPr>
        <w:pStyle w:val="501"/>
        <w:spacing w:line="380" w:lineRule="exact"/>
        <w:rPr>
          <w:rFonts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8480217">
      <w:pPr>
        <w:pStyle w:val="501"/>
        <w:spacing w:line="380" w:lineRule="exact"/>
        <w:rPr>
          <w:rFonts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w:t>
      </w:r>
    </w:p>
    <w:p w14:paraId="3E87D3D1">
      <w:pPr>
        <w:pStyle w:val="501"/>
        <w:spacing w:line="380" w:lineRule="exact"/>
        <w:rPr>
          <w:rFonts w:ascii="宋体" w:hAnsi="宋体" w:cs="宋体"/>
          <w:b/>
          <w:color w:val="auto"/>
          <w:highlight w:val="none"/>
          <w:u w:val="single"/>
        </w:rPr>
      </w:pPr>
      <w:r>
        <w:rPr>
          <w:rFonts w:hint="eastAsia" w:ascii="宋体" w:hAnsi="宋体" w:cs="宋体"/>
          <w:color w:val="auto"/>
          <w:highlight w:val="none"/>
        </w:rPr>
        <w:t>发包人对发包人代表的授权范围如下：</w:t>
      </w:r>
      <w:r>
        <w:rPr>
          <w:rFonts w:hint="eastAsia" w:ascii="宋体" w:hAnsi="宋体" w:cs="宋体"/>
          <w:color w:val="auto"/>
          <w:highlight w:val="none"/>
          <w:u w:val="single"/>
        </w:rPr>
        <w:t>督促指导监理工程师行使职权，协调施工现场各方面的关系， 协调工程质量，进度和安全文明施工中存在的问题，解决有关设计和技术签证，办理、签认现场经济技术签证，审核工程进度报表。</w:t>
      </w:r>
    </w:p>
    <w:p w14:paraId="54624EAB">
      <w:pPr>
        <w:pStyle w:val="504"/>
        <w:spacing w:line="380" w:lineRule="exact"/>
        <w:ind w:firstLine="422" w:firstLineChars="200"/>
        <w:rPr>
          <w:rFonts w:ascii="宋体" w:cs="宋体"/>
          <w:color w:val="auto"/>
          <w:highlight w:val="none"/>
        </w:rPr>
      </w:pPr>
      <w:bookmarkStart w:id="394" w:name="_Toc406522224"/>
      <w:bookmarkStart w:id="395" w:name="_Toc418751800"/>
      <w:bookmarkStart w:id="396" w:name="_Toc497747182"/>
      <w:bookmarkStart w:id="397" w:name="_Toc497746785"/>
      <w:bookmarkStart w:id="398" w:name="_Toc522201734"/>
      <w:bookmarkStart w:id="399" w:name="_Toc418752246"/>
      <w:bookmarkStart w:id="400" w:name="_Toc256000184"/>
      <w:r>
        <w:rPr>
          <w:rFonts w:hint="eastAsia" w:ascii="宋体" w:cs="宋体"/>
          <w:color w:val="auto"/>
          <w:highlight w:val="none"/>
        </w:rPr>
        <w:t>2.4 施工现场、施工条件和基础资料的提供</w:t>
      </w:r>
      <w:bookmarkEnd w:id="394"/>
      <w:bookmarkEnd w:id="395"/>
      <w:bookmarkEnd w:id="396"/>
      <w:bookmarkEnd w:id="397"/>
      <w:bookmarkEnd w:id="398"/>
      <w:bookmarkEnd w:id="399"/>
      <w:bookmarkEnd w:id="400"/>
    </w:p>
    <w:p w14:paraId="0873CE19">
      <w:pPr>
        <w:pStyle w:val="501"/>
        <w:spacing w:line="380" w:lineRule="exact"/>
        <w:rPr>
          <w:rFonts w:ascii="宋体" w:hAnsi="宋体" w:cs="宋体"/>
          <w:color w:val="auto"/>
          <w:highlight w:val="none"/>
        </w:rPr>
      </w:pPr>
      <w:r>
        <w:rPr>
          <w:rFonts w:hint="eastAsia" w:ascii="宋体" w:hAnsi="宋体" w:cs="宋体"/>
          <w:color w:val="auto"/>
          <w:highlight w:val="none"/>
        </w:rPr>
        <w:t>2.4.1 提供施工现场</w:t>
      </w:r>
    </w:p>
    <w:p w14:paraId="4C38B535">
      <w:pPr>
        <w:pStyle w:val="501"/>
        <w:spacing w:line="380" w:lineRule="exact"/>
        <w:rPr>
          <w:rFonts w:ascii="宋体" w:hAnsi="宋体" w:cs="宋体"/>
          <w:color w:val="auto"/>
          <w:highlight w:val="none"/>
        </w:rPr>
      </w:pPr>
      <w:r>
        <w:rPr>
          <w:rFonts w:hint="eastAsia" w:ascii="宋体" w:hAnsi="宋体" w:cs="宋体"/>
          <w:color w:val="auto"/>
          <w:highlight w:val="none"/>
        </w:rPr>
        <w:t>关于发包人移交施工现场的期限要求：</w:t>
      </w:r>
      <w:r>
        <w:rPr>
          <w:rFonts w:hint="eastAsia" w:ascii="宋体" w:hAnsi="宋体" w:cs="宋体"/>
          <w:color w:val="auto"/>
          <w:highlight w:val="none"/>
          <w:u w:val="single"/>
        </w:rPr>
        <w:t xml:space="preserve"> 施工场地应当在监理人发出的开工通知中载明的开工日期前七天具备施工条件并移交给承包人，具体施工条件在施工合同中约定。发包人最迟应当在移交施工场地的同时向承包人提供施工场地内地下管线和地下设施等有关资料，并保证资料的真实、准确和完整</w:t>
      </w:r>
      <w:r>
        <w:rPr>
          <w:rFonts w:hint="eastAsia" w:ascii="宋体" w:hAnsi="宋体" w:cs="宋体"/>
          <w:color w:val="auto"/>
          <w:highlight w:val="none"/>
        </w:rPr>
        <w:t>。</w:t>
      </w:r>
    </w:p>
    <w:p w14:paraId="2C68FF95">
      <w:pPr>
        <w:pStyle w:val="501"/>
        <w:spacing w:line="380" w:lineRule="exact"/>
        <w:rPr>
          <w:rFonts w:ascii="宋体" w:hAnsi="宋体" w:cs="宋体"/>
          <w:color w:val="auto"/>
          <w:highlight w:val="none"/>
        </w:rPr>
      </w:pPr>
      <w:r>
        <w:rPr>
          <w:rFonts w:hint="eastAsia" w:ascii="宋体" w:hAnsi="宋体" w:cs="宋体"/>
          <w:color w:val="auto"/>
          <w:highlight w:val="none"/>
        </w:rPr>
        <w:t>2.4.2 提供施工条件</w:t>
      </w:r>
    </w:p>
    <w:p w14:paraId="62EB16C5">
      <w:pPr>
        <w:pStyle w:val="501"/>
        <w:spacing w:line="380" w:lineRule="exact"/>
        <w:rPr>
          <w:rFonts w:ascii="宋体" w:hAnsi="宋体" w:cs="宋体"/>
          <w:color w:val="auto"/>
          <w:highlight w:val="none"/>
          <w:u w:val="single"/>
        </w:rPr>
      </w:pPr>
      <w:r>
        <w:rPr>
          <w:rFonts w:hint="eastAsia" w:ascii="宋体" w:hAnsi="宋体" w:cs="宋体"/>
          <w:color w:val="auto"/>
          <w:highlight w:val="none"/>
        </w:rPr>
        <w:t>关于发包人应负责提供施工所需要的条件，包括：</w:t>
      </w:r>
      <w:r>
        <w:rPr>
          <w:rFonts w:ascii="宋体" w:hAnsi="宋体" w:eastAsia="宋体" w:cs="宋体"/>
          <w:spacing w:val="-1"/>
          <w:sz w:val="21"/>
          <w:szCs w:val="21"/>
          <w:u w:val="single" w:color="auto"/>
        </w:rPr>
        <w:t>发包人按承包人的施工现场总平面布置</w:t>
      </w:r>
      <w:r>
        <w:rPr>
          <w:rFonts w:ascii="宋体" w:hAnsi="宋体" w:eastAsia="宋体" w:cs="宋体"/>
          <w:spacing w:val="-2"/>
          <w:sz w:val="21"/>
          <w:szCs w:val="21"/>
          <w:u w:val="single" w:color="auto"/>
        </w:rPr>
        <w:t>图的要</w:t>
      </w:r>
      <w:r>
        <w:rPr>
          <w:rFonts w:ascii="宋体" w:hAnsi="宋体" w:eastAsia="宋体" w:cs="宋体"/>
          <w:spacing w:val="-1"/>
          <w:sz w:val="21"/>
          <w:szCs w:val="21"/>
          <w:u w:val="single" w:color="auto"/>
        </w:rPr>
        <w:t>求于开工 7 日前达到三通一平的施工要求， 将水、电接至距拟建建筑物外墙(或构筑物</w:t>
      </w:r>
      <w:r>
        <w:rPr>
          <w:rFonts w:ascii="宋体" w:hAnsi="宋体" w:eastAsia="宋体" w:cs="宋体"/>
          <w:spacing w:val="-8"/>
          <w:sz w:val="21"/>
          <w:szCs w:val="21"/>
          <w:u w:val="single" w:color="auto"/>
        </w:rPr>
        <w:t>外边线)2</w:t>
      </w:r>
      <w:r>
        <w:rPr>
          <w:rFonts w:ascii="宋体" w:hAnsi="宋体" w:eastAsia="宋体" w:cs="宋体"/>
          <w:spacing w:val="-7"/>
          <w:sz w:val="21"/>
          <w:szCs w:val="21"/>
          <w:u w:val="single" w:color="auto"/>
        </w:rPr>
        <w:t>0</w:t>
      </w:r>
      <w:r>
        <w:rPr>
          <w:rFonts w:ascii="宋体" w:hAnsi="宋体" w:eastAsia="宋体" w:cs="宋体"/>
          <w:spacing w:val="-4"/>
          <w:sz w:val="21"/>
          <w:szCs w:val="21"/>
          <w:u w:val="single" w:color="auto"/>
        </w:rPr>
        <w:t>0 米范围内。电讯线路的接通由承包人自费解决；电气管线的接通由承包人自费解决；</w:t>
      </w:r>
      <w:r>
        <w:rPr>
          <w:rFonts w:ascii="宋体" w:hAnsi="宋体" w:eastAsia="宋体" w:cs="宋体"/>
          <w:spacing w:val="2"/>
          <w:sz w:val="21"/>
          <w:szCs w:val="21"/>
          <w:u w:val="single" w:color="auto"/>
        </w:rPr>
        <w:t>承包人施工期间的生活</w:t>
      </w:r>
      <w:r>
        <w:rPr>
          <w:rFonts w:ascii="宋体" w:hAnsi="宋体" w:eastAsia="宋体" w:cs="宋体"/>
          <w:spacing w:val="1"/>
          <w:sz w:val="21"/>
          <w:szCs w:val="21"/>
          <w:u w:val="single" w:color="auto"/>
        </w:rPr>
        <w:t>用水、电、电讯、电气费用由承包人支付；承包人负责在发包人指定的</w:t>
      </w:r>
      <w:r>
        <w:rPr>
          <w:rFonts w:ascii="宋体" w:hAnsi="宋体" w:eastAsia="宋体" w:cs="宋体"/>
          <w:spacing w:val="-1"/>
          <w:sz w:val="21"/>
          <w:szCs w:val="21"/>
          <w:u w:val="single" w:color="auto"/>
        </w:rPr>
        <w:t>部位安装计</w:t>
      </w:r>
      <w:r>
        <w:rPr>
          <w:rFonts w:ascii="宋体" w:hAnsi="宋体" w:eastAsia="宋体" w:cs="宋体"/>
          <w:sz w:val="21"/>
          <w:szCs w:val="21"/>
          <w:u w:val="single" w:color="auto"/>
        </w:rPr>
        <w:t>量表，水电费按表计量度数</w:t>
      </w:r>
      <w:r>
        <w:rPr>
          <w:rFonts w:hint="eastAsia" w:ascii="宋体" w:hAnsi="宋体" w:cs="宋体"/>
          <w:color w:val="auto"/>
          <w:highlight w:val="none"/>
        </w:rPr>
        <w:t>。</w:t>
      </w:r>
    </w:p>
    <w:p w14:paraId="20C0A479">
      <w:pPr>
        <w:pStyle w:val="504"/>
        <w:spacing w:line="380" w:lineRule="exact"/>
        <w:ind w:firstLine="422" w:firstLineChars="200"/>
        <w:rPr>
          <w:rFonts w:ascii="宋体" w:cs="宋体"/>
          <w:color w:val="auto"/>
          <w:highlight w:val="none"/>
        </w:rPr>
      </w:pPr>
      <w:bookmarkStart w:id="401" w:name="_Toc256000185"/>
      <w:bookmarkStart w:id="402" w:name="_Toc522201735"/>
      <w:bookmarkStart w:id="403" w:name="_Toc418751801"/>
      <w:bookmarkStart w:id="404" w:name="_Toc497746786"/>
      <w:bookmarkStart w:id="405" w:name="_Toc418752247"/>
      <w:bookmarkStart w:id="406" w:name="_Toc497747183"/>
      <w:bookmarkStart w:id="407" w:name="_Toc406522225"/>
      <w:r>
        <w:rPr>
          <w:rFonts w:hint="eastAsia" w:ascii="宋体" w:cs="宋体"/>
          <w:color w:val="auto"/>
          <w:highlight w:val="none"/>
        </w:rPr>
        <w:t>2.5 资金来源证明及支付担保</w:t>
      </w:r>
      <w:bookmarkEnd w:id="401"/>
      <w:bookmarkEnd w:id="402"/>
      <w:bookmarkEnd w:id="403"/>
      <w:bookmarkEnd w:id="404"/>
      <w:bookmarkEnd w:id="405"/>
      <w:bookmarkEnd w:id="406"/>
      <w:bookmarkEnd w:id="407"/>
    </w:p>
    <w:p w14:paraId="6358C810">
      <w:pPr>
        <w:pStyle w:val="501"/>
        <w:spacing w:line="380" w:lineRule="exact"/>
        <w:rPr>
          <w:rFonts w:ascii="宋体" w:hAnsi="宋体" w:cs="宋体"/>
          <w:color w:val="auto"/>
          <w:highlight w:val="none"/>
        </w:rPr>
      </w:pPr>
      <w:r>
        <w:rPr>
          <w:rFonts w:hint="eastAsia" w:ascii="宋体" w:hAnsi="宋体" w:cs="宋体"/>
          <w:color w:val="auto"/>
          <w:highlight w:val="none"/>
        </w:rPr>
        <w:t>发包人提供资金来源证明的期限要求：</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7146D46A">
      <w:pPr>
        <w:pStyle w:val="501"/>
        <w:spacing w:line="380" w:lineRule="exact"/>
        <w:rPr>
          <w:rFonts w:ascii="宋体" w:hAnsi="宋体" w:cs="宋体"/>
          <w:color w:val="auto"/>
          <w:highlight w:val="none"/>
        </w:rPr>
      </w:pPr>
      <w:r>
        <w:rPr>
          <w:rFonts w:hint="eastAsia" w:ascii="宋体" w:hAnsi="宋体" w:cs="宋体"/>
          <w:color w:val="auto"/>
          <w:highlight w:val="none"/>
        </w:rPr>
        <w:t>发包人是否提供支付担保：</w:t>
      </w:r>
      <w:r>
        <w:rPr>
          <w:rFonts w:hint="eastAsia" w:ascii="宋体" w:hAnsi="宋体" w:cs="宋体"/>
          <w:color w:val="auto"/>
          <w:highlight w:val="none"/>
          <w:u w:val="single"/>
        </w:rPr>
        <w:t xml:space="preserve">    否　　　   </w:t>
      </w:r>
      <w:r>
        <w:rPr>
          <w:rFonts w:hint="eastAsia" w:ascii="宋体" w:hAnsi="宋体" w:cs="宋体"/>
          <w:color w:val="auto"/>
          <w:highlight w:val="none"/>
        </w:rPr>
        <w:t>。</w:t>
      </w:r>
    </w:p>
    <w:p w14:paraId="5538175E">
      <w:pPr>
        <w:pStyle w:val="501"/>
        <w:spacing w:line="380" w:lineRule="exact"/>
        <w:rPr>
          <w:rFonts w:ascii="宋体" w:hAnsi="宋体" w:cs="宋体"/>
          <w:color w:val="auto"/>
          <w:highlight w:val="none"/>
          <w:u w:val="single"/>
        </w:rPr>
      </w:pPr>
      <w:r>
        <w:rPr>
          <w:rFonts w:hint="eastAsia" w:ascii="宋体" w:hAnsi="宋体" w:cs="宋体"/>
          <w:color w:val="auto"/>
          <w:highlight w:val="none"/>
        </w:rPr>
        <w:t>发包人提供支付担保的形式：</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676653EA">
      <w:pPr>
        <w:pStyle w:val="504"/>
        <w:spacing w:line="380" w:lineRule="exact"/>
        <w:rPr>
          <w:rFonts w:ascii="宋体" w:cs="宋体"/>
          <w:color w:val="auto"/>
          <w:highlight w:val="none"/>
        </w:rPr>
      </w:pPr>
      <w:bookmarkStart w:id="408" w:name="_Toc497747184"/>
      <w:bookmarkStart w:id="409" w:name="_Toc522201736"/>
      <w:bookmarkStart w:id="410" w:name="_Toc256000186"/>
      <w:bookmarkStart w:id="411" w:name="_Toc497746787"/>
      <w:bookmarkStart w:id="412" w:name="_Toc418751802"/>
      <w:bookmarkStart w:id="413" w:name="_Toc418752248"/>
      <w:bookmarkStart w:id="414" w:name="_Toc351203635"/>
      <w:bookmarkStart w:id="415" w:name="_Toc406522226"/>
      <w:r>
        <w:rPr>
          <w:rFonts w:hint="eastAsia" w:ascii="宋体" w:cs="宋体"/>
          <w:color w:val="auto"/>
          <w:highlight w:val="none"/>
        </w:rPr>
        <w:t>3</w:t>
      </w:r>
      <w:bookmarkStart w:id="416" w:name="_Toc297048344"/>
      <w:bookmarkStart w:id="417" w:name="_Toc296503158"/>
      <w:bookmarkStart w:id="418" w:name="_Toc296891198"/>
      <w:bookmarkStart w:id="419" w:name="_Toc292559363"/>
      <w:bookmarkStart w:id="420" w:name="_Toc292559868"/>
      <w:bookmarkStart w:id="421" w:name="_Toc296346659"/>
      <w:bookmarkStart w:id="422" w:name="_Toc296890986"/>
      <w:bookmarkStart w:id="423" w:name="_Toc297120458"/>
      <w:bookmarkStart w:id="424" w:name="_Toc296944497"/>
      <w:bookmarkStart w:id="425" w:name="_Toc296347157"/>
      <w:r>
        <w:rPr>
          <w:rFonts w:hint="eastAsia" w:ascii="宋体" w:cs="宋体"/>
          <w:color w:val="auto"/>
          <w:highlight w:val="none"/>
        </w:rPr>
        <w:t>. 承包人</w:t>
      </w:r>
      <w:bookmarkEnd w:id="408"/>
      <w:bookmarkEnd w:id="409"/>
      <w:bookmarkEnd w:id="410"/>
      <w:bookmarkEnd w:id="411"/>
      <w:bookmarkEnd w:id="412"/>
      <w:bookmarkEnd w:id="413"/>
      <w:bookmarkEnd w:id="414"/>
      <w:bookmarkEnd w:id="415"/>
    </w:p>
    <w:bookmarkEnd w:id="416"/>
    <w:bookmarkEnd w:id="417"/>
    <w:bookmarkEnd w:id="418"/>
    <w:bookmarkEnd w:id="419"/>
    <w:bookmarkEnd w:id="420"/>
    <w:bookmarkEnd w:id="421"/>
    <w:bookmarkEnd w:id="422"/>
    <w:bookmarkEnd w:id="423"/>
    <w:bookmarkEnd w:id="424"/>
    <w:bookmarkEnd w:id="425"/>
    <w:p w14:paraId="6D5867CD">
      <w:pPr>
        <w:pStyle w:val="504"/>
        <w:spacing w:line="380" w:lineRule="exact"/>
        <w:ind w:firstLine="422" w:firstLineChars="200"/>
        <w:rPr>
          <w:rFonts w:ascii="宋体" w:cs="宋体"/>
          <w:color w:val="auto"/>
          <w:highlight w:val="none"/>
        </w:rPr>
      </w:pPr>
      <w:bookmarkStart w:id="426" w:name="_Toc418752249"/>
      <w:bookmarkStart w:id="427" w:name="_Toc497746788"/>
      <w:bookmarkStart w:id="428" w:name="_Toc522201737"/>
      <w:bookmarkStart w:id="429" w:name="_Toc256000187"/>
      <w:bookmarkStart w:id="430" w:name="_Toc406522227"/>
      <w:bookmarkStart w:id="431" w:name="_Toc418751803"/>
      <w:bookmarkStart w:id="432" w:name="_Toc497747185"/>
      <w:r>
        <w:rPr>
          <w:rFonts w:hint="eastAsia" w:ascii="宋体" w:cs="宋体"/>
          <w:color w:val="auto"/>
          <w:highlight w:val="none"/>
        </w:rPr>
        <w:t>3.1 承包人的一般义务</w:t>
      </w:r>
      <w:bookmarkEnd w:id="426"/>
      <w:bookmarkEnd w:id="427"/>
      <w:bookmarkEnd w:id="428"/>
      <w:bookmarkEnd w:id="429"/>
      <w:bookmarkEnd w:id="430"/>
      <w:bookmarkEnd w:id="431"/>
      <w:bookmarkEnd w:id="432"/>
    </w:p>
    <w:p w14:paraId="736E4E52">
      <w:pPr>
        <w:pStyle w:val="396"/>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（9）</w:t>
      </w:r>
      <w:r>
        <w:rPr>
          <w:rFonts w:hint="eastAsia" w:ascii="宋体" w:hAnsi="宋体" w:cs="宋体"/>
          <w:color w:val="auto"/>
          <w:szCs w:val="21"/>
          <w:highlight w:val="none"/>
        </w:rPr>
        <w:t>承包人提交的竣工资料的内容：</w:t>
      </w:r>
      <w:r>
        <w:rPr>
          <w:rFonts w:hint="eastAsia" w:ascii="宋体" w:hAnsi="宋体" w:cs="宋体"/>
          <w:color w:val="auto"/>
          <w:szCs w:val="21"/>
          <w:highlight w:val="none"/>
          <w:u w:val="single"/>
        </w:rPr>
        <w:t>提供符合城建档案馆和行政质检监督部门要求的竣工图、施工资料、管理资料、竣工资料等</w:t>
      </w:r>
      <w:r>
        <w:rPr>
          <w:rFonts w:hint="eastAsia" w:ascii="宋体" w:hAnsi="宋体" w:cs="宋体"/>
          <w:color w:val="auto"/>
          <w:szCs w:val="21"/>
          <w:highlight w:val="none"/>
        </w:rPr>
        <w:t>。</w:t>
      </w:r>
    </w:p>
    <w:p w14:paraId="7C18DD10">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承包人需要提交的竣工资料套数：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按相关部门要求为准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C812FEF">
      <w:pPr>
        <w:pStyle w:val="396"/>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承包人提交的竣工资料的费用承担：</w:t>
      </w:r>
      <w:r>
        <w:rPr>
          <w:rFonts w:hint="eastAsia" w:ascii="宋体" w:hAnsi="宋体" w:cs="宋体"/>
          <w:color w:val="auto"/>
          <w:szCs w:val="21"/>
          <w:highlight w:val="none"/>
          <w:u w:val="single"/>
        </w:rPr>
        <w:t xml:space="preserve">  由承包人承担相关费用 </w:t>
      </w:r>
      <w:r>
        <w:rPr>
          <w:rFonts w:hint="eastAsia" w:ascii="宋体" w:hAnsi="宋体" w:cs="宋体"/>
          <w:color w:val="auto"/>
          <w:szCs w:val="21"/>
          <w:highlight w:val="none"/>
        </w:rPr>
        <w:t>。</w:t>
      </w:r>
    </w:p>
    <w:p w14:paraId="782D370D">
      <w:pPr>
        <w:pStyle w:val="396"/>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承包人提交的竣工资料移交时间：</w:t>
      </w:r>
      <w:r>
        <w:rPr>
          <w:rFonts w:hint="eastAsia" w:ascii="宋体" w:hAnsi="宋体" w:cs="宋体"/>
          <w:color w:val="auto"/>
          <w:szCs w:val="21"/>
          <w:highlight w:val="none"/>
          <w:u w:val="single"/>
        </w:rPr>
        <w:t xml:space="preserve">  工程竣工验收合格后30天内  </w:t>
      </w:r>
      <w:r>
        <w:rPr>
          <w:rFonts w:hint="eastAsia" w:ascii="宋体" w:hAnsi="宋体" w:cs="宋体"/>
          <w:color w:val="auto"/>
          <w:szCs w:val="21"/>
          <w:highlight w:val="none"/>
        </w:rPr>
        <w:t>。</w:t>
      </w:r>
    </w:p>
    <w:p w14:paraId="72879FE3">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承包人提交的竣工资料形式要求：</w:t>
      </w:r>
      <w:r>
        <w:rPr>
          <w:rFonts w:ascii="宋体" w:hAnsi="宋体" w:eastAsia="宋体" w:cs="宋体"/>
          <w:spacing w:val="1"/>
          <w:sz w:val="21"/>
          <w:szCs w:val="21"/>
          <w:u w:val="single" w:color="auto"/>
        </w:rPr>
        <w:t>纸质资料和电子扫描文档</w:t>
      </w:r>
      <w:r>
        <w:rPr>
          <w:rFonts w:hint="eastAsia" w:ascii="宋体" w:hAnsi="宋体" w:cs="宋体"/>
          <w:color w:val="auto"/>
          <w:szCs w:val="21"/>
          <w:highlight w:val="none"/>
        </w:rPr>
        <w:t>。</w:t>
      </w:r>
    </w:p>
    <w:p w14:paraId="6BCA7E42">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（10）承包人应履行的其他义务：</w:t>
      </w:r>
      <w:r>
        <w:rPr>
          <w:rFonts w:ascii="宋体" w:hAnsi="宋体" w:eastAsia="宋体" w:cs="宋体"/>
          <w:spacing w:val="3"/>
          <w:sz w:val="21"/>
          <w:szCs w:val="21"/>
          <w:u w:val="single" w:color="auto"/>
        </w:rPr>
        <w:t>承包人应当主动配合发包人协调相关关系，确保项目</w:t>
      </w:r>
      <w:r>
        <w:rPr>
          <w:rFonts w:ascii="宋体" w:hAnsi="宋体" w:eastAsia="宋体" w:cs="宋体"/>
          <w:spacing w:val="-1"/>
          <w:sz w:val="21"/>
          <w:szCs w:val="21"/>
          <w:u w:val="single" w:color="auto"/>
        </w:rPr>
        <w:t>施工</w:t>
      </w:r>
      <w:r>
        <w:rPr>
          <w:rFonts w:ascii="宋体" w:hAnsi="宋体" w:eastAsia="宋体" w:cs="宋体"/>
          <w:sz w:val="21"/>
          <w:szCs w:val="21"/>
          <w:u w:val="single" w:color="auto"/>
        </w:rPr>
        <w:t>顺利进行；为发包人依法发包的专业工程承包商提供一切施工方便</w:t>
      </w:r>
      <w:r>
        <w:rPr>
          <w:rFonts w:hint="eastAsia" w:ascii="宋体" w:hAnsi="宋体" w:cs="宋体"/>
          <w:color w:val="auto"/>
          <w:szCs w:val="21"/>
          <w:highlight w:val="none"/>
          <w:u w:val="single"/>
        </w:rPr>
        <w:t>。</w:t>
      </w:r>
    </w:p>
    <w:p w14:paraId="6E61B367">
      <w:pPr>
        <w:pStyle w:val="504"/>
        <w:spacing w:line="380" w:lineRule="exact"/>
        <w:ind w:firstLine="422" w:firstLineChars="200"/>
        <w:rPr>
          <w:rFonts w:ascii="宋体" w:cs="宋体"/>
          <w:color w:val="auto"/>
          <w:highlight w:val="none"/>
        </w:rPr>
      </w:pPr>
      <w:bookmarkStart w:id="433" w:name="_Toc389065274"/>
      <w:bookmarkStart w:id="434" w:name="_Toc522201738"/>
      <w:bookmarkStart w:id="435" w:name="_Toc373478355"/>
      <w:bookmarkStart w:id="436" w:name="_Toc497746789"/>
      <w:bookmarkStart w:id="437" w:name="_Toc418751804"/>
      <w:bookmarkStart w:id="438" w:name="_Toc418518118"/>
      <w:bookmarkStart w:id="439" w:name="_Toc373227708"/>
      <w:bookmarkStart w:id="440" w:name="_Toc497747186"/>
      <w:bookmarkStart w:id="441" w:name="_Toc418518354"/>
      <w:bookmarkStart w:id="442" w:name="_Toc418061319"/>
      <w:bookmarkStart w:id="443" w:name="_Toc418752250"/>
      <w:bookmarkStart w:id="444" w:name="_Toc256000188"/>
      <w:bookmarkStart w:id="445" w:name="_Toc403578942"/>
      <w:r>
        <w:rPr>
          <w:rFonts w:hint="eastAsia" w:ascii="宋体" w:cs="宋体"/>
          <w:color w:val="auto"/>
          <w:highlight w:val="none"/>
        </w:rPr>
        <w:t>3.2 项目经理</w:t>
      </w:r>
      <w:bookmarkEnd w:id="433"/>
      <w:bookmarkEnd w:id="434"/>
      <w:bookmarkEnd w:id="435"/>
      <w:bookmarkEnd w:id="436"/>
      <w:bookmarkEnd w:id="437"/>
      <w:bookmarkEnd w:id="438"/>
      <w:bookmarkEnd w:id="439"/>
      <w:bookmarkEnd w:id="440"/>
      <w:bookmarkEnd w:id="441"/>
      <w:bookmarkEnd w:id="442"/>
      <w:bookmarkEnd w:id="443"/>
      <w:bookmarkEnd w:id="444"/>
      <w:bookmarkEnd w:id="445"/>
    </w:p>
    <w:p w14:paraId="22608A7F">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 xml:space="preserve">3.2.1 </w:t>
      </w:r>
      <w:r>
        <w:rPr>
          <w:rFonts w:hint="eastAsia" w:ascii="宋体" w:hAnsi="宋体" w:cs="宋体"/>
          <w:color w:val="auto"/>
          <w:szCs w:val="21"/>
          <w:highlight w:val="none"/>
        </w:rPr>
        <w:t>项目经理：</w:t>
      </w:r>
    </w:p>
    <w:p w14:paraId="45219AD4">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73445A5">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E329338">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建造师执业资格等级：</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8EAEEFC">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建造师注册证书号：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B4D8220">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建造师执业印章号：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53C44CA">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安全生产考核合格证书号：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3D62CB5">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FF2D8DD">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5EF4AFC">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通信地址：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41452F1">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 xml:space="preserve">承包人对项目经理的授权范围如下： </w:t>
      </w:r>
      <w:r>
        <w:rPr>
          <w:rFonts w:hint="eastAsia" w:ascii="宋体" w:hAnsi="宋体" w:cs="宋体"/>
          <w:color w:val="auto"/>
          <w:szCs w:val="21"/>
          <w:highlight w:val="none"/>
          <w:u w:val="single"/>
        </w:rPr>
        <w:t>（1）对本工程的建设进行全面管理，行使合同约定的权利，履行合同约定的义务；（2）负责本工程的施工组织方案制定和施工组织设计；（3）负责本工程的劳动力组织和机械设备组织；（4）经发包人同意分包的专业工程，项目经理参与选择并使用具有相应资质的分包人； （5）合同约定由承包人采购的材料、工程设备，项目经理参与选择物资供应单位；（6）在授权范围内协调与项目有关的内、外部关系；（7）负责与发包人、监理人办理设计变更、现场签证等手续，及时办理本工程相关索赔；（8）负责签收发包人、监理人往来函件，承包人的要求、通知均应以书面形式由承包人项目经理签字并加盖承包人公司公章后递交发包人；（9）代表承包人接受监理工程师或发包人现场代表发出的指示和指令。但未经承包人盖章同意不得以承包人名义向外融资、 采购材料设备、 租用建筑周转材料、 雇佣劳动力、签订分包合同等从事一切为承包人设立义务或责任的行为</w:t>
      </w:r>
      <w:r>
        <w:rPr>
          <w:rFonts w:hint="eastAsia" w:ascii="宋体" w:hAnsi="宋体" w:cs="宋体"/>
          <w:color w:val="auto"/>
          <w:szCs w:val="21"/>
          <w:highlight w:val="none"/>
        </w:rPr>
        <w:t>。</w:t>
      </w:r>
    </w:p>
    <w:p w14:paraId="6DF51912">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关于项目经理每月在施工现场的时间要求：</w:t>
      </w:r>
      <w:r>
        <w:rPr>
          <w:rFonts w:hint="eastAsia" w:ascii="宋体" w:hAnsi="宋体" w:cs="宋体"/>
          <w:color w:val="auto"/>
          <w:szCs w:val="21"/>
          <w:highlight w:val="none"/>
          <w:u w:val="single"/>
        </w:rPr>
        <w:t xml:space="preserve">  不少于22个工作日,若项目经理每月在岗时间少于22个工作日，发包人有权要求承包人更换项目经理，由此造成的一切损失由承包人承担</w:t>
      </w:r>
      <w:r>
        <w:rPr>
          <w:rFonts w:hint="eastAsia" w:ascii="宋体" w:hAnsi="宋体" w:cs="宋体"/>
          <w:color w:val="auto"/>
          <w:szCs w:val="21"/>
          <w:highlight w:val="none"/>
        </w:rPr>
        <w:t>。</w:t>
      </w:r>
    </w:p>
    <w:p w14:paraId="7D1EB776">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承包人未提交劳动合同，以及没有为项目经理缴纳社会保险证明的违约责任：</w:t>
      </w:r>
      <w:r>
        <w:rPr>
          <w:rFonts w:hint="eastAsia" w:ascii="宋体" w:hAnsi="宋体" w:cs="宋体"/>
          <w:color w:val="auto"/>
          <w:szCs w:val="21"/>
          <w:highlight w:val="none"/>
          <w:u w:val="single"/>
        </w:rPr>
        <w:t>承包人不提交上述文件的，项目经理无权履行职责，发包人有权要求承包人更换项目经理，由此增加的费用和延误的工期由承包人承担</w:t>
      </w:r>
      <w:r>
        <w:rPr>
          <w:rFonts w:hint="eastAsia" w:ascii="宋体" w:hAnsi="宋体" w:cs="宋体"/>
          <w:color w:val="auto"/>
          <w:szCs w:val="21"/>
          <w:highlight w:val="none"/>
        </w:rPr>
        <w:t>。</w:t>
      </w:r>
    </w:p>
    <w:p w14:paraId="74C866EA">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项目经理未经批准，擅自离开施工现场的违约责任：</w:t>
      </w:r>
      <w:r>
        <w:rPr>
          <w:rFonts w:hint="eastAsia" w:ascii="宋体" w:hAnsi="宋体" w:cs="宋体"/>
          <w:color w:val="auto"/>
          <w:szCs w:val="21"/>
          <w:highlight w:val="none"/>
          <w:u w:val="single"/>
        </w:rPr>
        <w:t>项目经理每月在岗带班时间不得少于22天。未经发包人同意或正当理由，项目经理每月在岗带班时间少于22天的，少在岗带班一天，发包人有权处违约金 500元/日（人民币）</w:t>
      </w:r>
      <w:r>
        <w:rPr>
          <w:rFonts w:hint="eastAsia" w:ascii="宋体" w:hAnsi="宋体" w:cs="宋体"/>
          <w:color w:val="auto"/>
          <w:szCs w:val="21"/>
          <w:highlight w:val="none"/>
        </w:rPr>
        <w:t>。</w:t>
      </w:r>
    </w:p>
    <w:p w14:paraId="48DF016D">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3.2.3 承包人擅自更换项目经理的违约责任：</w:t>
      </w:r>
      <w:r>
        <w:rPr>
          <w:rFonts w:hint="eastAsia" w:ascii="宋体" w:hAnsi="宋体" w:cs="宋体"/>
          <w:color w:val="auto"/>
          <w:szCs w:val="21"/>
          <w:highlight w:val="none"/>
          <w:u w:val="single"/>
        </w:rPr>
        <w:t>承包人项目经理必须与承包人投标时所承诺的人员一致，并在（开工日期）前到任。在监理人向承包人颁发（竣工证明材料名称）前，项目经理不得同时兼任其他任何项目的项目经理（符合桂建管﹝2013﹞17号和桂建管﹝2014﹞25号文除外）。未经发包人书面同意，承包人擅自更换项目经理的视为违约，违约金处</w:t>
      </w:r>
      <w:r>
        <w:rPr>
          <w:rFonts w:hint="eastAsia" w:ascii="宋体" w:hAnsi="宋体" w:cs="宋体"/>
          <w:color w:val="auto"/>
          <w:szCs w:val="21"/>
          <w:highlight w:val="none"/>
          <w:u w:val="single"/>
          <w:lang w:val="en-US" w:eastAsia="zh-CN"/>
        </w:rPr>
        <w:t>500</w:t>
      </w:r>
      <w:r>
        <w:rPr>
          <w:rFonts w:hint="eastAsia" w:ascii="宋体" w:hAnsi="宋体" w:cs="宋体"/>
          <w:color w:val="auto"/>
          <w:szCs w:val="21"/>
          <w:highlight w:val="none"/>
          <w:u w:val="single"/>
        </w:rPr>
        <w:t>元/人•次（人民币）</w:t>
      </w:r>
      <w:r>
        <w:rPr>
          <w:rFonts w:hint="eastAsia" w:ascii="宋体" w:hAnsi="宋体" w:cs="宋体"/>
          <w:color w:val="auto"/>
          <w:szCs w:val="21"/>
          <w:highlight w:val="none"/>
        </w:rPr>
        <w:t>。</w:t>
      </w:r>
    </w:p>
    <w:p w14:paraId="63E009E4">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3.2.4 承包人无正当理由拒绝更换项目经理的违约责任：</w:t>
      </w:r>
      <w:r>
        <w:rPr>
          <w:rFonts w:hint="eastAsia" w:ascii="宋体" w:hAnsi="宋体" w:cs="宋体"/>
          <w:color w:val="auto"/>
          <w:szCs w:val="21"/>
          <w:highlight w:val="none"/>
          <w:u w:val="single"/>
        </w:rPr>
        <w:t>因承包人项目经理不称职，发包人要求调换而未及时调换的，视为承包人违约，必须向发包人交纳处罚金5000元/人•次（人民币）</w:t>
      </w:r>
      <w:r>
        <w:rPr>
          <w:rFonts w:hint="eastAsia" w:ascii="宋体" w:hAnsi="宋体" w:cs="宋体"/>
          <w:color w:val="auto"/>
          <w:szCs w:val="21"/>
          <w:highlight w:val="none"/>
        </w:rPr>
        <w:t>。</w:t>
      </w:r>
    </w:p>
    <w:p w14:paraId="68E9572D">
      <w:pPr>
        <w:pStyle w:val="504"/>
        <w:spacing w:line="380" w:lineRule="exact"/>
        <w:ind w:firstLine="422" w:firstLineChars="200"/>
        <w:rPr>
          <w:rFonts w:ascii="宋体" w:cs="宋体"/>
          <w:color w:val="auto"/>
          <w:highlight w:val="none"/>
        </w:rPr>
      </w:pPr>
      <w:bookmarkStart w:id="446" w:name="_Toc389065275"/>
      <w:bookmarkStart w:id="447" w:name="_Toc403578943"/>
      <w:bookmarkStart w:id="448" w:name="_Toc497746790"/>
      <w:bookmarkStart w:id="449" w:name="_Toc418061320"/>
      <w:bookmarkStart w:id="450" w:name="_Toc497747187"/>
      <w:bookmarkStart w:id="451" w:name="_Toc418518355"/>
      <w:bookmarkStart w:id="452" w:name="_Toc373227709"/>
      <w:bookmarkStart w:id="453" w:name="_Toc418752251"/>
      <w:bookmarkStart w:id="454" w:name="_Toc522201739"/>
      <w:bookmarkStart w:id="455" w:name="_Toc256000189"/>
      <w:bookmarkStart w:id="456" w:name="_Toc373478356"/>
      <w:bookmarkStart w:id="457" w:name="_Toc418518119"/>
      <w:bookmarkStart w:id="458" w:name="_Toc418751805"/>
      <w:r>
        <w:rPr>
          <w:rFonts w:hint="eastAsia" w:ascii="宋体" w:cs="宋体"/>
          <w:color w:val="auto"/>
          <w:highlight w:val="none"/>
        </w:rPr>
        <w:t>3.3 承包人人员</w:t>
      </w:r>
      <w:bookmarkEnd w:id="446"/>
      <w:bookmarkEnd w:id="447"/>
      <w:bookmarkEnd w:id="448"/>
      <w:bookmarkEnd w:id="449"/>
      <w:bookmarkEnd w:id="450"/>
      <w:bookmarkEnd w:id="451"/>
      <w:bookmarkEnd w:id="452"/>
      <w:bookmarkEnd w:id="453"/>
      <w:bookmarkEnd w:id="454"/>
      <w:bookmarkEnd w:id="455"/>
      <w:bookmarkEnd w:id="456"/>
      <w:bookmarkEnd w:id="457"/>
      <w:bookmarkEnd w:id="458"/>
    </w:p>
    <w:p w14:paraId="2C5ECBA3">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3.3.1 承包人提交项目管理机构及施工现场管理人员安排报告（格式见合同附件6）的期限：</w:t>
      </w:r>
      <w:r>
        <w:rPr>
          <w:rFonts w:hint="eastAsia" w:ascii="宋体" w:hAnsi="宋体" w:cs="宋体"/>
          <w:color w:val="auto"/>
          <w:szCs w:val="21"/>
          <w:highlight w:val="none"/>
          <w:u w:val="single"/>
        </w:rPr>
        <w:t>开工前7日内</w:t>
      </w:r>
      <w:r>
        <w:rPr>
          <w:rFonts w:hint="eastAsia" w:ascii="宋体" w:hAnsi="宋体" w:cs="宋体"/>
          <w:color w:val="auto"/>
          <w:szCs w:val="21"/>
          <w:highlight w:val="none"/>
        </w:rPr>
        <w:t>。</w:t>
      </w:r>
    </w:p>
    <w:p w14:paraId="368B8143">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3.3.3 承包人无正当理由拒绝撤换主要施工管理人员的违约责任：</w:t>
      </w:r>
      <w:r>
        <w:rPr>
          <w:rFonts w:hint="eastAsia" w:ascii="宋体" w:hAnsi="宋体" w:cs="宋体"/>
          <w:color w:val="auto"/>
          <w:szCs w:val="21"/>
          <w:highlight w:val="none"/>
          <w:u w:val="single"/>
        </w:rPr>
        <w:t>因承包人主要施工管理人员不称职，发包人要求调换而无正当理由拒绝撤换或未及时调换的，视为承包人违约，必须向发包人交纳处罚金，处罚标准：技术负责人</w:t>
      </w:r>
      <w:r>
        <w:rPr>
          <w:rFonts w:hint="eastAsia" w:ascii="宋体" w:hAnsi="宋体" w:cs="宋体"/>
          <w:color w:val="auto"/>
          <w:szCs w:val="21"/>
          <w:highlight w:val="none"/>
          <w:u w:val="single"/>
          <w:lang w:val="en-US" w:eastAsia="zh-CN"/>
        </w:rPr>
        <w:t>500</w:t>
      </w:r>
      <w:r>
        <w:rPr>
          <w:rFonts w:hint="eastAsia" w:ascii="宋体" w:hAnsi="宋体" w:cs="宋体"/>
          <w:color w:val="auto"/>
          <w:szCs w:val="21"/>
          <w:highlight w:val="none"/>
          <w:u w:val="single"/>
        </w:rPr>
        <w:t>元/人•次（人民币）；专业工程师</w:t>
      </w:r>
      <w:r>
        <w:rPr>
          <w:rFonts w:hint="eastAsia" w:ascii="宋体" w:hAnsi="宋体" w:cs="宋体"/>
          <w:color w:val="auto"/>
          <w:szCs w:val="21"/>
          <w:highlight w:val="none"/>
          <w:u w:val="single"/>
          <w:lang w:val="en-US" w:eastAsia="zh-CN"/>
        </w:rPr>
        <w:t>200</w:t>
      </w:r>
      <w:r>
        <w:rPr>
          <w:rFonts w:hint="eastAsia" w:ascii="宋体" w:hAnsi="宋体" w:cs="宋体"/>
          <w:color w:val="auto"/>
          <w:szCs w:val="21"/>
          <w:highlight w:val="none"/>
          <w:u w:val="single"/>
        </w:rPr>
        <w:t>元/人•次（人民币）</w:t>
      </w:r>
      <w:r>
        <w:rPr>
          <w:rFonts w:hint="eastAsia" w:ascii="宋体" w:hAnsi="宋体" w:cs="宋体"/>
          <w:color w:val="auto"/>
          <w:szCs w:val="21"/>
          <w:highlight w:val="none"/>
        </w:rPr>
        <w:t>。</w:t>
      </w:r>
    </w:p>
    <w:p w14:paraId="4E89E86C">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3.3.4 承包人主要施工管理人员离开施工现场的批准要求：</w:t>
      </w:r>
      <w:r>
        <w:rPr>
          <w:rFonts w:hint="eastAsia" w:ascii="宋体" w:hAnsi="宋体" w:cs="宋体"/>
          <w:color w:val="auto"/>
          <w:szCs w:val="21"/>
          <w:highlight w:val="none"/>
          <w:u w:val="single"/>
        </w:rPr>
        <w:t>经建设单位及监理单位批准同意后</w:t>
      </w:r>
      <w:r>
        <w:rPr>
          <w:rFonts w:hint="eastAsia" w:ascii="宋体" w:hAnsi="宋体" w:cs="宋体"/>
          <w:color w:val="auto"/>
          <w:szCs w:val="21"/>
          <w:highlight w:val="none"/>
        </w:rPr>
        <w:t>。</w:t>
      </w:r>
    </w:p>
    <w:p w14:paraId="32B5B37A">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3.3.5 承包人擅自更换主要施工管理人员的违约责任：</w:t>
      </w:r>
      <w:r>
        <w:rPr>
          <w:rFonts w:hint="eastAsia" w:ascii="宋体" w:hAnsi="宋体" w:cs="宋体"/>
          <w:color w:val="auto"/>
          <w:szCs w:val="21"/>
          <w:highlight w:val="none"/>
          <w:u w:val="single"/>
        </w:rPr>
        <w:t xml:space="preserve">项目技术负责人、专职安全员及其承诺的其它在场管理人员未经发包人书面同意不准擅自更换，擅自更换项目技术负责人处 </w:t>
      </w:r>
      <w:r>
        <w:rPr>
          <w:rFonts w:hint="eastAsia" w:ascii="宋体" w:hAnsi="宋体" w:cs="宋体"/>
          <w:color w:val="auto"/>
          <w:szCs w:val="21"/>
          <w:highlight w:val="none"/>
          <w:u w:val="single"/>
          <w:lang w:val="en-US" w:eastAsia="zh-CN"/>
        </w:rPr>
        <w:t>500</w:t>
      </w:r>
      <w:r>
        <w:rPr>
          <w:rFonts w:hint="eastAsia" w:ascii="宋体" w:hAnsi="宋体" w:cs="宋体"/>
          <w:color w:val="auto"/>
          <w:szCs w:val="21"/>
          <w:highlight w:val="none"/>
          <w:u w:val="single"/>
        </w:rPr>
        <w:t>元/人•次（人民币）违约金；擅自更换专职安全员处</w:t>
      </w:r>
      <w:r>
        <w:rPr>
          <w:rFonts w:hint="eastAsia" w:ascii="宋体" w:hAnsi="宋体" w:cs="宋体"/>
          <w:color w:val="auto"/>
          <w:szCs w:val="21"/>
          <w:highlight w:val="none"/>
          <w:u w:val="single"/>
          <w:lang w:val="en-US" w:eastAsia="zh-CN"/>
        </w:rPr>
        <w:t>200</w:t>
      </w:r>
      <w:r>
        <w:rPr>
          <w:rFonts w:hint="eastAsia" w:ascii="宋体" w:hAnsi="宋体" w:cs="宋体"/>
          <w:color w:val="auto"/>
          <w:szCs w:val="21"/>
          <w:highlight w:val="none"/>
          <w:u w:val="single"/>
        </w:rPr>
        <w:t>元/人•次（人民币）违约金；擅自更换其它在场管理人员处</w:t>
      </w:r>
      <w:r>
        <w:rPr>
          <w:rFonts w:hint="eastAsia" w:ascii="宋体" w:hAnsi="宋体" w:cs="宋体"/>
          <w:color w:val="auto"/>
          <w:szCs w:val="21"/>
          <w:highlight w:val="none"/>
          <w:u w:val="single"/>
          <w:lang w:val="en-US" w:eastAsia="zh-CN"/>
        </w:rPr>
        <w:t>200</w:t>
      </w:r>
      <w:r>
        <w:rPr>
          <w:rFonts w:hint="eastAsia" w:ascii="宋体" w:hAnsi="宋体" w:cs="宋体"/>
          <w:color w:val="auto"/>
          <w:szCs w:val="21"/>
          <w:highlight w:val="none"/>
          <w:u w:val="single"/>
        </w:rPr>
        <w:t>元/人•次（人民币）违约金</w:t>
      </w:r>
      <w:r>
        <w:rPr>
          <w:rFonts w:hint="eastAsia" w:ascii="宋体" w:hAnsi="宋体" w:cs="宋体"/>
          <w:color w:val="auto"/>
          <w:szCs w:val="21"/>
          <w:highlight w:val="none"/>
        </w:rPr>
        <w:t>。</w:t>
      </w:r>
    </w:p>
    <w:p w14:paraId="5353417F">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承包人主要施工管理人员擅自离开施工现场的违约责任：</w:t>
      </w:r>
      <w:r>
        <w:rPr>
          <w:rFonts w:hint="eastAsia" w:ascii="宋体" w:hAnsi="宋体" w:cs="宋体"/>
          <w:color w:val="auto"/>
          <w:szCs w:val="21"/>
          <w:highlight w:val="none"/>
          <w:u w:val="single"/>
        </w:rPr>
        <w:t>未经发包人同意，项目技术负责人擅自离岗的，视为承包人违约，发包人有权处违约金</w:t>
      </w:r>
      <w:r>
        <w:rPr>
          <w:rFonts w:hint="eastAsia" w:ascii="宋体" w:hAnsi="宋体" w:cs="宋体"/>
          <w:color w:val="auto"/>
          <w:szCs w:val="21"/>
          <w:highlight w:val="none"/>
          <w:u w:val="single"/>
          <w:lang w:val="en-US" w:eastAsia="zh-CN"/>
        </w:rPr>
        <w:t>500</w:t>
      </w:r>
      <w:r>
        <w:rPr>
          <w:rFonts w:hint="eastAsia" w:ascii="宋体" w:hAnsi="宋体" w:cs="宋体"/>
          <w:color w:val="auto"/>
          <w:szCs w:val="21"/>
          <w:highlight w:val="none"/>
          <w:u w:val="single"/>
        </w:rPr>
        <w:t>元/人•次（人民币）；未经发包人同意，专职安全员擅自离岗的，视为承包人违约，发包人有权处违约金</w:t>
      </w:r>
      <w:r>
        <w:rPr>
          <w:rFonts w:hint="eastAsia" w:ascii="宋体" w:hAnsi="宋体" w:cs="宋体"/>
          <w:color w:val="auto"/>
          <w:szCs w:val="21"/>
          <w:highlight w:val="none"/>
          <w:u w:val="single"/>
          <w:lang w:val="en-US" w:eastAsia="zh-CN"/>
        </w:rPr>
        <w:t>200</w:t>
      </w:r>
      <w:r>
        <w:rPr>
          <w:rFonts w:hint="eastAsia" w:ascii="宋体" w:hAnsi="宋体" w:cs="宋体"/>
          <w:color w:val="auto"/>
          <w:szCs w:val="21"/>
          <w:highlight w:val="none"/>
          <w:u w:val="single"/>
        </w:rPr>
        <w:t>元/人•次（人民币）；其它在场管理人员擅自离岗的，视为承包人违约，发包人有权处违约金</w:t>
      </w:r>
      <w:r>
        <w:rPr>
          <w:rFonts w:hint="eastAsia" w:ascii="宋体" w:hAnsi="宋体" w:cs="宋体"/>
          <w:color w:val="auto"/>
          <w:szCs w:val="21"/>
          <w:highlight w:val="none"/>
          <w:u w:val="single"/>
          <w:lang w:val="en-US" w:eastAsia="zh-CN"/>
        </w:rPr>
        <w:t>200</w:t>
      </w:r>
      <w:r>
        <w:rPr>
          <w:rFonts w:hint="eastAsia" w:ascii="宋体" w:hAnsi="宋体" w:cs="宋体"/>
          <w:color w:val="auto"/>
          <w:szCs w:val="21"/>
          <w:highlight w:val="none"/>
          <w:u w:val="single"/>
        </w:rPr>
        <w:t>元/人•次（人民币）</w:t>
      </w:r>
      <w:r>
        <w:rPr>
          <w:rFonts w:hint="eastAsia" w:ascii="宋体" w:hAnsi="宋体" w:cs="宋体"/>
          <w:color w:val="auto"/>
          <w:szCs w:val="21"/>
          <w:highlight w:val="none"/>
        </w:rPr>
        <w:t>。</w:t>
      </w:r>
    </w:p>
    <w:p w14:paraId="4834A5BE">
      <w:pPr>
        <w:pStyle w:val="504"/>
        <w:spacing w:line="380" w:lineRule="exact"/>
        <w:ind w:firstLine="422" w:firstLineChars="200"/>
        <w:rPr>
          <w:rFonts w:ascii="宋体" w:cs="宋体"/>
          <w:color w:val="auto"/>
          <w:highlight w:val="none"/>
        </w:rPr>
      </w:pPr>
      <w:bookmarkStart w:id="459" w:name="_Toc418518120"/>
      <w:bookmarkStart w:id="460" w:name="_Toc418518356"/>
      <w:bookmarkStart w:id="461" w:name="_Toc418061321"/>
      <w:bookmarkStart w:id="462" w:name="_Toc522201740"/>
      <w:bookmarkStart w:id="463" w:name="_Toc373227710"/>
      <w:bookmarkStart w:id="464" w:name="_Toc389065276"/>
      <w:bookmarkStart w:id="465" w:name="_Toc497746791"/>
      <w:bookmarkStart w:id="466" w:name="_Toc403578944"/>
      <w:bookmarkStart w:id="467" w:name="_Toc373478357"/>
      <w:bookmarkStart w:id="468" w:name="_Toc418751806"/>
      <w:bookmarkStart w:id="469" w:name="_Toc418752252"/>
      <w:bookmarkStart w:id="470" w:name="_Toc256000190"/>
      <w:bookmarkStart w:id="471" w:name="_Toc497747188"/>
      <w:r>
        <w:rPr>
          <w:rFonts w:hint="eastAsia" w:ascii="宋体" w:cs="宋体"/>
          <w:color w:val="auto"/>
          <w:highlight w:val="none"/>
        </w:rPr>
        <w:t>3</w:t>
      </w:r>
      <w:bookmarkStart w:id="472" w:name="_Toc297120459"/>
      <w:bookmarkStart w:id="473" w:name="_Toc296890987"/>
      <w:bookmarkStart w:id="474" w:name="_Toc297048345"/>
      <w:bookmarkStart w:id="475" w:name="_Toc300934945"/>
      <w:bookmarkStart w:id="476" w:name="_Toc296503159"/>
      <w:bookmarkStart w:id="477" w:name="_Toc296347158"/>
      <w:bookmarkStart w:id="478" w:name="_Toc292559869"/>
      <w:bookmarkStart w:id="479" w:name="_Toc297216151"/>
      <w:bookmarkStart w:id="480" w:name="_Toc296891199"/>
      <w:bookmarkStart w:id="481" w:name="_Toc312677988"/>
      <w:bookmarkStart w:id="482" w:name="_Toc304295523"/>
      <w:bookmarkStart w:id="483" w:name="_Toc296944498"/>
      <w:bookmarkStart w:id="484" w:name="_Toc303539102"/>
      <w:bookmarkStart w:id="485" w:name="_Toc296346660"/>
      <w:bookmarkStart w:id="486" w:name="_Toc297123492"/>
      <w:bookmarkStart w:id="487" w:name="_Toc292559364"/>
      <w:r>
        <w:rPr>
          <w:rFonts w:hint="eastAsia" w:ascii="宋体" w:cs="宋体"/>
          <w:color w:val="auto"/>
          <w:highlight w:val="none"/>
        </w:rPr>
        <w:t>.5 分包</w:t>
      </w:r>
      <w:bookmarkEnd w:id="459"/>
      <w:bookmarkEnd w:id="460"/>
      <w:bookmarkEnd w:id="461"/>
      <w:bookmarkEnd w:id="462"/>
      <w:bookmarkEnd w:id="463"/>
      <w:bookmarkEnd w:id="464"/>
      <w:bookmarkEnd w:id="465"/>
      <w:bookmarkEnd w:id="466"/>
      <w:bookmarkEnd w:id="467"/>
      <w:bookmarkEnd w:id="468"/>
      <w:bookmarkEnd w:id="469"/>
      <w:bookmarkEnd w:id="470"/>
      <w:bookmarkEnd w:id="471"/>
    </w:p>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14:paraId="69DFE1FC">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bookmarkStart w:id="488" w:name="_Toc292559870"/>
      <w:bookmarkStart w:id="489" w:name="_Toc297216152"/>
      <w:bookmarkStart w:id="490" w:name="_Toc297048346"/>
      <w:bookmarkStart w:id="491" w:name="_Toc303539103"/>
      <w:bookmarkStart w:id="492" w:name="_Toc292559365"/>
      <w:bookmarkStart w:id="493" w:name="_Toc297123493"/>
      <w:bookmarkStart w:id="494" w:name="_Toc304295524"/>
      <w:bookmarkStart w:id="495" w:name="_Toc296890988"/>
      <w:bookmarkStart w:id="496" w:name="_Toc296944499"/>
      <w:bookmarkStart w:id="497" w:name="_Toc312677989"/>
      <w:bookmarkStart w:id="498" w:name="_Toc296347159"/>
      <w:bookmarkStart w:id="499" w:name="_Toc296346661"/>
      <w:bookmarkStart w:id="500" w:name="_Toc296891200"/>
      <w:bookmarkStart w:id="501" w:name="_Toc297120460"/>
      <w:bookmarkStart w:id="502" w:name="_Toc318581158"/>
      <w:bookmarkStart w:id="503" w:name="_Toc296503160"/>
      <w:bookmarkStart w:id="504" w:name="_Toc300934946"/>
      <w:r>
        <w:rPr>
          <w:rFonts w:hint="eastAsia" w:ascii="宋体" w:hAnsi="宋体" w:cs="宋体"/>
          <w:color w:val="auto"/>
          <w:szCs w:val="21"/>
          <w:highlight w:val="none"/>
        </w:rPr>
        <w:t>.5.1 分包的一般约定</w:t>
      </w:r>
    </w:p>
    <w:p w14:paraId="72EE674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禁止分包的工程包括：</w:t>
      </w:r>
      <w:r>
        <w:rPr>
          <w:rFonts w:ascii="宋体" w:hAnsi="宋体" w:cs="宋体"/>
          <w:color w:val="auto"/>
          <w:szCs w:val="21"/>
          <w:highlight w:val="none"/>
          <w:u w:val="single"/>
        </w:rPr>
        <w:t></w:t>
      </w:r>
      <w:r>
        <w:rPr>
          <w:rFonts w:hint="eastAsia" w:ascii="宋体" w:hAnsi="宋体" w:cs="宋体"/>
          <w:color w:val="auto"/>
          <w:szCs w:val="21"/>
          <w:highlight w:val="none"/>
          <w:u w:val="single"/>
        </w:rPr>
        <w:t xml:space="preserve">除劳务工程外 </w:t>
      </w:r>
      <w:r>
        <w:rPr>
          <w:rFonts w:hint="eastAsia" w:ascii="宋体" w:hAnsi="宋体" w:cs="宋体"/>
          <w:color w:val="auto"/>
          <w:szCs w:val="21"/>
          <w:highlight w:val="none"/>
        </w:rPr>
        <w:t>。</w:t>
      </w:r>
    </w:p>
    <w:p w14:paraId="6258E8D5">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主体结构、关键性工作的范围：</w:t>
      </w:r>
      <w:r>
        <w:rPr>
          <w:rFonts w:ascii="宋体" w:hAnsi="宋体" w:cs="宋体"/>
          <w:color w:val="auto"/>
          <w:szCs w:val="21"/>
          <w:highlight w:val="none"/>
          <w:u w:val="single"/>
        </w:rPr>
        <w:t></w:t>
      </w:r>
      <w:r>
        <w:rPr>
          <w:rFonts w:hint="eastAsia" w:ascii="宋体" w:hAnsi="宋体" w:cs="宋体"/>
          <w:color w:val="auto"/>
          <w:szCs w:val="21"/>
          <w:highlight w:val="none"/>
          <w:u w:val="single"/>
        </w:rPr>
        <w:t xml:space="preserve">按现有法律规定执行  </w:t>
      </w:r>
      <w:r>
        <w:rPr>
          <w:rFonts w:hint="eastAsia" w:ascii="宋体" w:hAnsi="宋体" w:cs="宋体"/>
          <w:color w:val="auto"/>
          <w:szCs w:val="21"/>
          <w:highlight w:val="none"/>
        </w:rPr>
        <w:t>。</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1AD456E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w:t>
      </w:r>
      <w:bookmarkStart w:id="505" w:name="_Toc318581159"/>
      <w:bookmarkStart w:id="506" w:name="_Toc312677990"/>
      <w:r>
        <w:rPr>
          <w:rFonts w:hint="eastAsia" w:ascii="宋体" w:hAnsi="宋体" w:cs="宋体"/>
          <w:color w:val="auto"/>
          <w:szCs w:val="21"/>
          <w:highlight w:val="none"/>
        </w:rPr>
        <w:t>.5.2 分包的确定</w:t>
      </w:r>
    </w:p>
    <w:p w14:paraId="5DC01EC0">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允许分包的专业工程包括：</w:t>
      </w:r>
      <w:r>
        <w:rPr>
          <w:rFonts w:ascii="宋体" w:hAnsi="宋体" w:eastAsia="宋体" w:cs="宋体"/>
          <w:spacing w:val="-2"/>
          <w:sz w:val="21"/>
          <w:szCs w:val="21"/>
          <w:u w:val="single" w:color="auto"/>
        </w:rPr>
        <w:t>中标人按照</w:t>
      </w:r>
      <w:r>
        <w:rPr>
          <w:rFonts w:ascii="宋体" w:hAnsi="宋体" w:eastAsia="宋体" w:cs="宋体"/>
          <w:spacing w:val="-1"/>
          <w:sz w:val="21"/>
          <w:szCs w:val="21"/>
          <w:u w:val="single" w:color="auto"/>
        </w:rPr>
        <w:t>合同约定或者经招标人同意，可以将中标项目的部</w:t>
      </w:r>
      <w:r>
        <w:rPr>
          <w:rFonts w:ascii="宋体" w:hAnsi="宋体" w:eastAsia="宋体" w:cs="宋体"/>
          <w:spacing w:val="2"/>
          <w:sz w:val="21"/>
          <w:szCs w:val="21"/>
          <w:u w:val="single" w:color="auto"/>
        </w:rPr>
        <w:t>分非主体、非关键性</w:t>
      </w:r>
      <w:r>
        <w:rPr>
          <w:rFonts w:ascii="宋体" w:hAnsi="宋体" w:eastAsia="宋体" w:cs="宋体"/>
          <w:spacing w:val="1"/>
          <w:sz w:val="21"/>
          <w:szCs w:val="21"/>
          <w:u w:val="single" w:color="auto"/>
        </w:rPr>
        <w:t>工作分包给他人完成。接受分包的人应当具备相应的资格条件，并不得再</w:t>
      </w:r>
      <w:r>
        <w:rPr>
          <w:rFonts w:ascii="宋体" w:hAnsi="宋体" w:eastAsia="宋体" w:cs="宋体"/>
          <w:spacing w:val="-2"/>
          <w:sz w:val="21"/>
          <w:szCs w:val="21"/>
          <w:u w:val="single" w:color="auto"/>
        </w:rPr>
        <w:t>次分包</w:t>
      </w:r>
      <w:r>
        <w:rPr>
          <w:rFonts w:hint="eastAsia" w:ascii="宋体" w:hAnsi="宋体" w:cs="宋体"/>
          <w:color w:val="auto"/>
          <w:szCs w:val="21"/>
          <w:highlight w:val="none"/>
        </w:rPr>
        <w:t>。</w:t>
      </w:r>
    </w:p>
    <w:p w14:paraId="424D0AEF">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其他关于分包的约定：</w:t>
      </w:r>
    </w:p>
    <w:p w14:paraId="746EEDFB">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7。</w:t>
      </w:r>
    </w:p>
    <w:p w14:paraId="500ECDFF">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（2）在相关分包合同签订并报送有关建设行政主管部门备案后7天内，承包人应当将一份副本提交给监理人，承包人应保障分包工作不得再次分包。</w:t>
      </w:r>
    </w:p>
    <w:p w14:paraId="447FACC1">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（3）未经承包人和监理人审批同意的分包工程和分包人，承包人有权拒绝验收分包工程和支付相应款项，由此引起的发包人费用增加和(或)延误的工期由发包人承担。</w:t>
      </w:r>
    </w:p>
    <w:p w14:paraId="1BA4F8BF">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3.5.4 分包合同价款 </w:t>
      </w:r>
    </w:p>
    <w:p w14:paraId="79E465C0">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关于分包合同价款支付的约定：</w:t>
      </w:r>
      <w:r>
        <w:rPr>
          <w:rFonts w:hint="eastAsia" w:ascii="宋体" w:hAnsi="宋体" w:cs="宋体"/>
          <w:color w:val="auto"/>
          <w:szCs w:val="21"/>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cs="宋体"/>
          <w:color w:val="auto"/>
          <w:szCs w:val="21"/>
          <w:highlight w:val="none"/>
          <w:u w:val="none"/>
        </w:rPr>
        <w:t>。</w:t>
      </w:r>
      <w:r>
        <w:rPr>
          <w:rFonts w:hint="default"/>
          <w:color w:val="auto"/>
          <w:highlight w:val="none"/>
          <w:u w:val="none"/>
          <w:lang w:val="en-US" w:eastAsia="zh-CN"/>
        </w:rPr>
        <w:t>但发包人根据政府有权部门或者机构的指令以及法院生效判决支付的除外。</w:t>
      </w:r>
    </w:p>
    <w:bookmarkEnd w:id="505"/>
    <w:bookmarkEnd w:id="506"/>
    <w:p w14:paraId="7D40F832">
      <w:pPr>
        <w:pStyle w:val="504"/>
        <w:spacing w:line="380" w:lineRule="exact"/>
        <w:ind w:firstLine="422" w:firstLineChars="200"/>
        <w:rPr>
          <w:rFonts w:ascii="宋体" w:cs="宋体"/>
          <w:color w:val="auto"/>
          <w:highlight w:val="none"/>
        </w:rPr>
      </w:pPr>
      <w:bookmarkStart w:id="507" w:name="_Toc373478358"/>
      <w:bookmarkStart w:id="508" w:name="_Toc418061322"/>
      <w:bookmarkStart w:id="509" w:name="_Toc497746792"/>
      <w:bookmarkStart w:id="510" w:name="_Toc403578945"/>
      <w:bookmarkStart w:id="511" w:name="_Toc418752253"/>
      <w:bookmarkStart w:id="512" w:name="_Toc522201741"/>
      <w:bookmarkStart w:id="513" w:name="_Toc418518121"/>
      <w:bookmarkStart w:id="514" w:name="_Toc418518357"/>
      <w:bookmarkStart w:id="515" w:name="_Toc256000191"/>
      <w:bookmarkStart w:id="516" w:name="_Toc389065277"/>
      <w:bookmarkStart w:id="517" w:name="_Toc373227711"/>
      <w:bookmarkStart w:id="518" w:name="_Toc418751807"/>
      <w:bookmarkStart w:id="519" w:name="_Toc497747189"/>
      <w:r>
        <w:rPr>
          <w:rFonts w:hint="eastAsia" w:ascii="宋体" w:cs="宋体"/>
          <w:color w:val="auto"/>
          <w:highlight w:val="none"/>
        </w:rPr>
        <w:t>3.6 工程照管与成品、半成品保护</w:t>
      </w:r>
      <w:bookmarkEnd w:id="507"/>
      <w:bookmarkEnd w:id="508"/>
      <w:bookmarkEnd w:id="509"/>
      <w:bookmarkEnd w:id="510"/>
      <w:bookmarkEnd w:id="511"/>
      <w:bookmarkEnd w:id="512"/>
      <w:bookmarkEnd w:id="513"/>
      <w:bookmarkEnd w:id="514"/>
      <w:bookmarkEnd w:id="515"/>
      <w:bookmarkEnd w:id="516"/>
      <w:bookmarkEnd w:id="517"/>
      <w:bookmarkEnd w:id="518"/>
      <w:bookmarkEnd w:id="519"/>
    </w:p>
    <w:p w14:paraId="35F0D3CD">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承包人负责照管工程及工程相关的材料、工程设备的起始时间：</w:t>
      </w:r>
      <w:r>
        <w:rPr>
          <w:rFonts w:hint="eastAsia" w:ascii="宋体" w:hAnsi="宋体" w:cs="宋体"/>
          <w:color w:val="auto"/>
          <w:szCs w:val="21"/>
          <w:highlight w:val="none"/>
          <w:u w:val="single"/>
        </w:rPr>
        <w:t>自发包人向承包人移交施工现场之日起，到颁发工程接收证书之日止</w:t>
      </w:r>
      <w:r>
        <w:rPr>
          <w:rFonts w:hint="eastAsia" w:ascii="宋体" w:hAnsi="宋体" w:cs="宋体"/>
          <w:color w:val="auto"/>
          <w:kern w:val="0"/>
          <w:szCs w:val="21"/>
          <w:highlight w:val="none"/>
        </w:rPr>
        <w:t>。</w:t>
      </w:r>
    </w:p>
    <w:p w14:paraId="3079E2B9">
      <w:pPr>
        <w:pStyle w:val="501"/>
        <w:spacing w:line="380" w:lineRule="exact"/>
        <w:rPr>
          <w:rFonts w:ascii="宋体" w:hAnsi="宋体" w:cs="宋体"/>
          <w:color w:val="auto"/>
          <w:highlight w:val="none"/>
        </w:rPr>
      </w:pPr>
      <w:r>
        <w:rPr>
          <w:rFonts w:hint="eastAsia" w:ascii="宋体" w:hAnsi="宋体" w:cs="宋体"/>
          <w:color w:val="auto"/>
          <w:highlight w:val="none"/>
        </w:rPr>
        <w:t>承包人负责照管工程及工程相关的材料、工程设备的范围：</w:t>
      </w:r>
      <w:r>
        <w:rPr>
          <w:rFonts w:hint="eastAsia" w:ascii="宋体" w:hAnsi="宋体" w:cs="宋体"/>
          <w:strike w:val="0"/>
          <w:color w:val="auto"/>
          <w:highlight w:val="none"/>
          <w:u w:val="single"/>
        </w:rPr>
        <w:t>除承包人自身承包范围内的材料、工程设备外，也有义务照管与本项目相关的由发包人另行发包的其他专业工程设备。</w:t>
      </w:r>
      <w:r>
        <w:rPr>
          <w:rFonts w:hint="eastAsia" w:ascii="宋体" w:hAnsi="宋体" w:cs="宋体"/>
          <w:color w:val="auto"/>
          <w:highlight w:val="none"/>
          <w:u w:val="single"/>
        </w:rPr>
        <w:t>并有义务避免因自身的原因造成对其他承包人的成品、半成品的损坏、污染</w:t>
      </w:r>
      <w:r>
        <w:rPr>
          <w:rFonts w:hint="eastAsia" w:ascii="宋体" w:hAnsi="宋体" w:cs="宋体"/>
          <w:color w:val="auto"/>
          <w:highlight w:val="none"/>
        </w:rPr>
        <w:t>。</w:t>
      </w:r>
    </w:p>
    <w:p w14:paraId="1BE4E76C">
      <w:pPr>
        <w:pStyle w:val="504"/>
        <w:spacing w:line="380" w:lineRule="exact"/>
        <w:ind w:firstLine="422" w:firstLineChars="200"/>
        <w:rPr>
          <w:rFonts w:ascii="宋体" w:cs="宋体"/>
          <w:color w:val="auto"/>
          <w:highlight w:val="none"/>
        </w:rPr>
      </w:pPr>
      <w:bookmarkStart w:id="520" w:name="_Toc418752254"/>
      <w:bookmarkStart w:id="521" w:name="_Toc497746793"/>
      <w:bookmarkStart w:id="522" w:name="_Toc418518122"/>
      <w:bookmarkStart w:id="523" w:name="_Toc418518358"/>
      <w:bookmarkStart w:id="524" w:name="_Toc373227712"/>
      <w:bookmarkStart w:id="525" w:name="_Toc522201742"/>
      <w:bookmarkStart w:id="526" w:name="_Toc373478359"/>
      <w:bookmarkStart w:id="527" w:name="_Toc403578946"/>
      <w:bookmarkStart w:id="528" w:name="_Toc389065278"/>
      <w:bookmarkStart w:id="529" w:name="_Toc497747190"/>
      <w:bookmarkStart w:id="530" w:name="_Toc418061323"/>
      <w:bookmarkStart w:id="531" w:name="_Toc418751808"/>
      <w:bookmarkStart w:id="532" w:name="_Toc256000192"/>
      <w:r>
        <w:rPr>
          <w:rFonts w:hint="eastAsia" w:ascii="宋体" w:cs="宋体"/>
          <w:color w:val="auto"/>
          <w:highlight w:val="none"/>
        </w:rPr>
        <w:t>3.7 履约</w:t>
      </w:r>
      <w:bookmarkEnd w:id="520"/>
      <w:bookmarkEnd w:id="521"/>
      <w:bookmarkEnd w:id="522"/>
      <w:bookmarkEnd w:id="523"/>
      <w:bookmarkEnd w:id="524"/>
      <w:bookmarkEnd w:id="525"/>
      <w:bookmarkEnd w:id="526"/>
      <w:bookmarkEnd w:id="527"/>
      <w:bookmarkEnd w:id="528"/>
      <w:bookmarkEnd w:id="529"/>
      <w:bookmarkEnd w:id="530"/>
      <w:bookmarkEnd w:id="531"/>
      <w:r>
        <w:rPr>
          <w:rFonts w:hint="eastAsia" w:ascii="宋体" w:cs="宋体"/>
          <w:color w:val="auto"/>
          <w:highlight w:val="none"/>
        </w:rPr>
        <w:t>担保</w:t>
      </w:r>
      <w:bookmarkEnd w:id="532"/>
    </w:p>
    <w:p w14:paraId="454A90D5">
      <w:pPr>
        <w:pStyle w:val="501"/>
        <w:spacing w:line="380" w:lineRule="exact"/>
        <w:rPr>
          <w:rFonts w:ascii="宋体" w:hAnsi="宋体" w:cs="宋体"/>
          <w:color w:val="auto"/>
          <w:highlight w:val="none"/>
        </w:rPr>
      </w:pPr>
      <w:bookmarkStart w:id="533" w:name="_Toc418518123"/>
      <w:bookmarkStart w:id="534" w:name="_Toc418751809"/>
      <w:bookmarkStart w:id="535" w:name="_Toc373227713"/>
      <w:bookmarkStart w:id="536" w:name="_Toc403578947"/>
      <w:bookmarkStart w:id="537" w:name="_Toc351203636"/>
      <w:bookmarkStart w:id="538" w:name="_Toc389065279"/>
      <w:bookmarkStart w:id="539" w:name="_Toc418061324"/>
      <w:bookmarkStart w:id="540" w:name="_Toc418752255"/>
      <w:bookmarkStart w:id="541" w:name="_Toc373478360"/>
      <w:bookmarkStart w:id="542" w:name="_Toc418518359"/>
      <w:r>
        <w:rPr>
          <w:rFonts w:hint="eastAsia" w:ascii="宋体" w:hAnsi="宋体" w:cs="宋体"/>
          <w:color w:val="auto"/>
          <w:highlight w:val="none"/>
        </w:rPr>
        <w:t>承包人是否提供履约担保：</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否</w:t>
      </w:r>
      <w:r>
        <w:rPr>
          <w:rFonts w:hint="eastAsia" w:ascii="宋体" w:hAnsi="宋体" w:cs="宋体"/>
          <w:color w:val="auto"/>
          <w:highlight w:val="none"/>
          <w:u w:val="single"/>
        </w:rPr>
        <w:t>　</w:t>
      </w:r>
      <w:r>
        <w:rPr>
          <w:rFonts w:hint="eastAsia" w:ascii="宋体" w:hAnsi="宋体" w:cs="宋体"/>
          <w:color w:val="auto"/>
          <w:highlight w:val="none"/>
        </w:rPr>
        <w:t>。</w:t>
      </w:r>
    </w:p>
    <w:p w14:paraId="2642E072">
      <w:pPr>
        <w:pStyle w:val="396"/>
        <w:spacing w:line="380" w:lineRule="exact"/>
        <w:ind w:firstLine="420" w:firstLineChars="200"/>
        <w:rPr>
          <w:rFonts w:ascii="宋体" w:hAnsi="宋体" w:cs="宋体"/>
          <w:color w:val="auto"/>
          <w:kern w:val="0"/>
          <w:szCs w:val="21"/>
          <w:highlight w:val="none"/>
          <w:u w:val="none"/>
        </w:rPr>
      </w:pPr>
      <w:r>
        <w:rPr>
          <w:rFonts w:hint="eastAsia" w:ascii="宋体" w:hAnsi="宋体" w:cs="宋体"/>
          <w:color w:val="auto"/>
          <w:kern w:val="0"/>
          <w:szCs w:val="21"/>
          <w:highlight w:val="none"/>
        </w:rPr>
        <w:t>承包人提供履约担保的形式、金额及期限的：</w:t>
      </w:r>
      <w:r>
        <w:rPr>
          <w:rFonts w:hint="eastAsia" w:ascii="宋体" w:hAnsi="宋体" w:cs="宋体"/>
          <w:color w:val="auto"/>
          <w:szCs w:val="21"/>
          <w:highlight w:val="none"/>
          <w:u w:val="single"/>
          <w:lang w:val="en-US" w:eastAsia="zh-CN"/>
        </w:rPr>
        <w:t xml:space="preserve"> / </w:t>
      </w:r>
      <w:r>
        <w:rPr>
          <w:rFonts w:hint="eastAsia" w:ascii="宋体" w:hAnsi="宋体" w:cs="宋体"/>
          <w:color w:val="auto"/>
          <w:szCs w:val="21"/>
          <w:highlight w:val="none"/>
          <w:u w:val="none"/>
        </w:rPr>
        <w:t>。</w:t>
      </w:r>
    </w:p>
    <w:p w14:paraId="61D9023C">
      <w:pPr>
        <w:pStyle w:val="504"/>
        <w:spacing w:line="380" w:lineRule="exact"/>
        <w:rPr>
          <w:rFonts w:ascii="宋体" w:cs="宋体"/>
          <w:color w:val="auto"/>
          <w:highlight w:val="none"/>
        </w:rPr>
      </w:pPr>
      <w:bookmarkStart w:id="543" w:name="_Toc522201743"/>
      <w:bookmarkStart w:id="544" w:name="_Toc497747191"/>
      <w:bookmarkStart w:id="545" w:name="_Toc497746794"/>
      <w:bookmarkStart w:id="546" w:name="_Toc256000193"/>
      <w:r>
        <w:rPr>
          <w:rFonts w:hint="eastAsia" w:ascii="宋体" w:cs="宋体"/>
          <w:color w:val="auto"/>
          <w:highlight w:val="none"/>
        </w:rPr>
        <w:t>4</w:t>
      </w:r>
      <w:bookmarkStart w:id="547" w:name="_Toc296891202"/>
      <w:bookmarkStart w:id="548" w:name="_Toc297120462"/>
      <w:bookmarkStart w:id="549" w:name="_Toc296346663"/>
      <w:bookmarkStart w:id="550" w:name="_Toc292559871"/>
      <w:bookmarkStart w:id="551" w:name="_Toc296890990"/>
      <w:bookmarkStart w:id="552" w:name="_Toc292559366"/>
      <w:bookmarkStart w:id="553" w:name="_Toc296944501"/>
      <w:bookmarkStart w:id="554" w:name="_Toc296503162"/>
      <w:bookmarkStart w:id="555" w:name="_Toc296347161"/>
      <w:bookmarkStart w:id="556" w:name="_Toc267251413"/>
      <w:bookmarkStart w:id="557" w:name="_Toc297048348"/>
      <w:r>
        <w:rPr>
          <w:rFonts w:hint="eastAsia" w:ascii="宋体" w:cs="宋体"/>
          <w:color w:val="auto"/>
          <w:highlight w:val="none"/>
        </w:rPr>
        <w:t>. 监</w:t>
      </w:r>
      <w:bookmarkEnd w:id="547"/>
      <w:bookmarkEnd w:id="548"/>
      <w:bookmarkEnd w:id="549"/>
      <w:bookmarkEnd w:id="550"/>
      <w:bookmarkEnd w:id="551"/>
      <w:bookmarkEnd w:id="552"/>
      <w:bookmarkEnd w:id="553"/>
      <w:bookmarkEnd w:id="554"/>
      <w:bookmarkEnd w:id="555"/>
      <w:bookmarkEnd w:id="556"/>
      <w:bookmarkEnd w:id="557"/>
      <w:r>
        <w:rPr>
          <w:rFonts w:hint="eastAsia" w:ascii="宋体" w:cs="宋体"/>
          <w:color w:val="auto"/>
          <w:highlight w:val="none"/>
        </w:rPr>
        <w:t>理人</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14:paraId="398F921B">
      <w:pPr>
        <w:pStyle w:val="504"/>
        <w:spacing w:line="380" w:lineRule="exact"/>
        <w:ind w:firstLine="422" w:firstLineChars="200"/>
        <w:rPr>
          <w:rFonts w:ascii="宋体" w:cs="宋体"/>
          <w:color w:val="auto"/>
          <w:highlight w:val="none"/>
        </w:rPr>
      </w:pPr>
      <w:bookmarkStart w:id="558" w:name="_Toc403578948"/>
      <w:bookmarkStart w:id="559" w:name="_Toc373227714"/>
      <w:bookmarkStart w:id="560" w:name="_Toc418518360"/>
      <w:bookmarkStart w:id="561" w:name="_Toc418518124"/>
      <w:bookmarkStart w:id="562" w:name="_Toc418752256"/>
      <w:bookmarkStart w:id="563" w:name="_Toc373478361"/>
      <w:bookmarkStart w:id="564" w:name="_Toc522201744"/>
      <w:bookmarkStart w:id="565" w:name="_Toc497747192"/>
      <w:bookmarkStart w:id="566" w:name="_Toc389065280"/>
      <w:bookmarkStart w:id="567" w:name="_Toc497746795"/>
      <w:bookmarkStart w:id="568" w:name="_Toc418061325"/>
      <w:bookmarkStart w:id="569" w:name="_Toc256000194"/>
      <w:bookmarkStart w:id="570" w:name="_Toc418751810"/>
      <w:r>
        <w:rPr>
          <w:rFonts w:hint="eastAsia" w:ascii="宋体" w:cs="宋体"/>
          <w:color w:val="auto"/>
          <w:highlight w:val="none"/>
        </w:rPr>
        <w:t>4.1 监理人的一般规定</w:t>
      </w:r>
      <w:bookmarkEnd w:id="558"/>
      <w:bookmarkEnd w:id="559"/>
      <w:bookmarkEnd w:id="560"/>
      <w:bookmarkEnd w:id="561"/>
      <w:bookmarkEnd w:id="562"/>
      <w:bookmarkEnd w:id="563"/>
      <w:bookmarkEnd w:id="564"/>
      <w:bookmarkEnd w:id="565"/>
      <w:bookmarkEnd w:id="566"/>
      <w:bookmarkEnd w:id="567"/>
      <w:bookmarkEnd w:id="568"/>
      <w:bookmarkEnd w:id="569"/>
      <w:bookmarkEnd w:id="570"/>
    </w:p>
    <w:p w14:paraId="2891149F">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关于监理人的监理内容：</w:t>
      </w:r>
      <w:r>
        <w:rPr>
          <w:rFonts w:hint="eastAsia" w:ascii="宋体" w:hAnsi="宋体" w:cs="宋体"/>
          <w:color w:val="auto"/>
          <w:szCs w:val="21"/>
          <w:highlight w:val="none"/>
          <w:u w:val="single"/>
        </w:rPr>
        <w:t xml:space="preserve"> 工程施工阶段监理。</w:t>
      </w:r>
    </w:p>
    <w:p w14:paraId="7C68D51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关于监理人的监理权限：</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w:t>
      </w:r>
      <w:r>
        <w:rPr>
          <w:rFonts w:hint="eastAsia" w:ascii="宋体" w:hAnsi="宋体" w:cs="宋体"/>
          <w:color w:val="auto"/>
          <w:szCs w:val="21"/>
          <w:highlight w:val="none"/>
        </w:rPr>
        <w:t xml:space="preserve">  </w:t>
      </w:r>
    </w:p>
    <w:p w14:paraId="659994AA">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关于监理人在施工现场的办公场所、生活场所的提供和费用承担的约定：</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CD4ED5F">
      <w:pPr>
        <w:pStyle w:val="504"/>
        <w:spacing w:line="380" w:lineRule="exact"/>
        <w:ind w:firstLine="422" w:firstLineChars="200"/>
        <w:rPr>
          <w:rFonts w:ascii="宋体" w:cs="宋体"/>
          <w:color w:val="auto"/>
          <w:highlight w:val="none"/>
        </w:rPr>
      </w:pPr>
      <w:bookmarkStart w:id="571" w:name="_Toc403578949"/>
      <w:bookmarkStart w:id="572" w:name="_Toc418518125"/>
      <w:bookmarkStart w:id="573" w:name="_Toc418751811"/>
      <w:bookmarkStart w:id="574" w:name="_Toc497747193"/>
      <w:bookmarkStart w:id="575" w:name="_Toc418518361"/>
      <w:bookmarkStart w:id="576" w:name="_Toc418061326"/>
      <w:bookmarkStart w:id="577" w:name="_Toc373478362"/>
      <w:bookmarkStart w:id="578" w:name="_Toc418752257"/>
      <w:bookmarkStart w:id="579" w:name="_Toc373227715"/>
      <w:bookmarkStart w:id="580" w:name="_Toc522201745"/>
      <w:bookmarkStart w:id="581" w:name="_Toc389065281"/>
      <w:bookmarkStart w:id="582" w:name="_Toc256000195"/>
      <w:bookmarkStart w:id="583" w:name="_Toc497746796"/>
      <w:r>
        <w:rPr>
          <w:rFonts w:hint="eastAsia" w:ascii="宋体" w:cs="宋体"/>
          <w:color w:val="auto"/>
          <w:highlight w:val="none"/>
        </w:rPr>
        <w:t>4.2 监理人员</w:t>
      </w:r>
      <w:bookmarkEnd w:id="571"/>
      <w:bookmarkEnd w:id="572"/>
      <w:bookmarkEnd w:id="573"/>
      <w:bookmarkEnd w:id="574"/>
      <w:bookmarkEnd w:id="575"/>
      <w:bookmarkEnd w:id="576"/>
      <w:bookmarkEnd w:id="577"/>
      <w:bookmarkEnd w:id="578"/>
      <w:bookmarkEnd w:id="579"/>
      <w:bookmarkEnd w:id="580"/>
      <w:bookmarkEnd w:id="581"/>
      <w:bookmarkEnd w:id="582"/>
      <w:bookmarkEnd w:id="583"/>
    </w:p>
    <w:p w14:paraId="720B5977">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总监理工程师：</w:t>
      </w:r>
    </w:p>
    <w:p w14:paraId="6D6443AC">
      <w:pPr>
        <w:pStyle w:val="396"/>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79D842AA">
      <w:pPr>
        <w:pStyle w:val="396"/>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F960654">
      <w:pPr>
        <w:pStyle w:val="396"/>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监理工程师执业资格证书号：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56ED5AC">
      <w:pPr>
        <w:pStyle w:val="396"/>
        <w:spacing w:line="38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279F47F8">
      <w:pPr>
        <w:pStyle w:val="396"/>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74C74D15">
      <w:pPr>
        <w:pStyle w:val="396"/>
        <w:spacing w:line="380" w:lineRule="exact"/>
        <w:ind w:firstLine="420" w:firstLineChars="200"/>
        <w:rPr>
          <w:rFonts w:hint="eastAsia" w:ascii="宋体" w:hAnsi="宋体" w:cs="宋体"/>
          <w:color w:val="auto"/>
          <w:szCs w:val="21"/>
          <w:highlight w:val="none"/>
          <w:u w:val="none"/>
        </w:rPr>
      </w:pPr>
      <w:r>
        <w:rPr>
          <w:rFonts w:hint="eastAsia" w:ascii="宋体" w:hAnsi="宋体" w:cs="宋体"/>
          <w:color w:val="auto"/>
          <w:szCs w:val="21"/>
          <w:highlight w:val="none"/>
        </w:rPr>
        <w:t>通信地址：</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0445471C">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关于监理人的其他约定：</w:t>
      </w:r>
      <w:r>
        <w:rPr>
          <w:rFonts w:hint="eastAsia" w:ascii="宋体" w:hAnsi="宋体" w:cs="宋体"/>
          <w:color w:val="auto"/>
          <w:szCs w:val="21"/>
          <w:highlight w:val="none"/>
          <w:u w:val="single"/>
        </w:rPr>
        <w:t xml:space="preserve"> 见监理合同</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516075E5">
      <w:pPr>
        <w:pStyle w:val="504"/>
        <w:spacing w:line="380" w:lineRule="exact"/>
        <w:ind w:firstLine="422" w:firstLineChars="200"/>
        <w:rPr>
          <w:rFonts w:ascii="宋体" w:cs="宋体"/>
          <w:color w:val="auto"/>
          <w:highlight w:val="none"/>
        </w:rPr>
      </w:pPr>
      <w:bookmarkStart w:id="584" w:name="_Toc389065282"/>
      <w:bookmarkStart w:id="585" w:name="_Toc373227716"/>
      <w:bookmarkStart w:id="586" w:name="_Toc256000196"/>
      <w:bookmarkStart w:id="587" w:name="_Toc497746797"/>
      <w:bookmarkStart w:id="588" w:name="_Toc418518362"/>
      <w:bookmarkStart w:id="589" w:name="_Toc418751812"/>
      <w:bookmarkStart w:id="590" w:name="_Toc418752258"/>
      <w:bookmarkStart w:id="591" w:name="_Toc403578950"/>
      <w:bookmarkStart w:id="592" w:name="_Toc497747194"/>
      <w:bookmarkStart w:id="593" w:name="_Toc418061327"/>
      <w:bookmarkStart w:id="594" w:name="_Toc418518126"/>
      <w:bookmarkStart w:id="595" w:name="_Toc373478363"/>
      <w:bookmarkStart w:id="596" w:name="_Toc522201746"/>
      <w:r>
        <w:rPr>
          <w:rFonts w:hint="eastAsia" w:ascii="宋体" w:cs="宋体"/>
          <w:color w:val="auto"/>
          <w:highlight w:val="none"/>
        </w:rPr>
        <w:t>4.4 商定或确定</w:t>
      </w:r>
      <w:bookmarkEnd w:id="584"/>
      <w:bookmarkEnd w:id="585"/>
      <w:bookmarkEnd w:id="586"/>
      <w:bookmarkEnd w:id="587"/>
      <w:bookmarkEnd w:id="588"/>
      <w:bookmarkEnd w:id="589"/>
      <w:bookmarkEnd w:id="590"/>
      <w:bookmarkEnd w:id="591"/>
      <w:bookmarkEnd w:id="592"/>
      <w:bookmarkEnd w:id="593"/>
      <w:bookmarkEnd w:id="594"/>
      <w:bookmarkEnd w:id="595"/>
      <w:bookmarkEnd w:id="596"/>
    </w:p>
    <w:p w14:paraId="467288F6">
      <w:pPr>
        <w:pStyle w:val="396"/>
        <w:spacing w:line="380" w:lineRule="exact"/>
        <w:ind w:firstLine="420" w:firstLineChars="200"/>
        <w:rPr>
          <w:rFonts w:ascii="宋体" w:hAnsi="宋体" w:cs="宋体"/>
          <w:color w:val="auto"/>
          <w:szCs w:val="21"/>
          <w:highlight w:val="none"/>
        </w:rPr>
      </w:pPr>
      <w:bookmarkStart w:id="597" w:name="_Toc267251418"/>
      <w:r>
        <w:rPr>
          <w:rFonts w:hint="eastAsia" w:ascii="宋体" w:hAnsi="宋体" w:cs="宋体"/>
          <w:color w:val="auto"/>
          <w:szCs w:val="21"/>
          <w:highlight w:val="none"/>
        </w:rPr>
        <w:t>在发包人和承包人不能通过协商达成一致意见时，发包人授权监理人对以下事项进行确定：</w:t>
      </w:r>
      <w:r>
        <w:rPr>
          <w:rFonts w:hint="eastAsia" w:ascii="宋体" w:hAnsi="宋体" w:cs="宋体"/>
          <w:color w:val="auto"/>
          <w:kern w:val="0"/>
          <w:szCs w:val="21"/>
          <w:highlight w:val="none"/>
          <w:u w:val="single"/>
        </w:rPr>
        <w:t>无</w:t>
      </w:r>
      <w:r>
        <w:rPr>
          <w:rFonts w:hint="eastAsia" w:ascii="宋体" w:hAnsi="宋体" w:cs="宋体"/>
          <w:color w:val="auto"/>
          <w:szCs w:val="21"/>
          <w:highlight w:val="none"/>
        </w:rPr>
        <w:t>；</w:t>
      </w:r>
    </w:p>
    <w:p w14:paraId="5C5F2AC7">
      <w:pPr>
        <w:pStyle w:val="504"/>
        <w:spacing w:line="380" w:lineRule="exact"/>
        <w:rPr>
          <w:rFonts w:ascii="宋体" w:cs="宋体"/>
          <w:color w:val="auto"/>
          <w:highlight w:val="none"/>
        </w:rPr>
      </w:pPr>
      <w:bookmarkStart w:id="598" w:name="_Toc497746798"/>
      <w:bookmarkStart w:id="599" w:name="_Toc373227717"/>
      <w:bookmarkStart w:id="600" w:name="_Toc389065283"/>
      <w:bookmarkStart w:id="601" w:name="_Toc351203637"/>
      <w:bookmarkStart w:id="602" w:name="_Toc373478364"/>
      <w:bookmarkStart w:id="603" w:name="_Toc418518127"/>
      <w:bookmarkStart w:id="604" w:name="_Toc497747195"/>
      <w:bookmarkStart w:id="605" w:name="_Toc418061328"/>
      <w:bookmarkStart w:id="606" w:name="_Toc418518363"/>
      <w:bookmarkStart w:id="607" w:name="_Toc256000197"/>
      <w:bookmarkStart w:id="608" w:name="_Toc418751813"/>
      <w:bookmarkStart w:id="609" w:name="_Toc522201747"/>
      <w:bookmarkStart w:id="610" w:name="_Toc403578951"/>
      <w:bookmarkStart w:id="611" w:name="_Toc418752259"/>
      <w:r>
        <w:rPr>
          <w:rFonts w:hint="eastAsia" w:ascii="宋体" w:cs="宋体"/>
          <w:color w:val="auto"/>
          <w:highlight w:val="none"/>
        </w:rPr>
        <w:t>5</w:t>
      </w:r>
      <w:bookmarkEnd w:id="597"/>
      <w:bookmarkStart w:id="612" w:name="_Toc296347162"/>
      <w:bookmarkStart w:id="613" w:name="_Toc292559872"/>
      <w:bookmarkStart w:id="614" w:name="_Toc296503163"/>
      <w:bookmarkStart w:id="615" w:name="_Toc296346664"/>
      <w:bookmarkStart w:id="616" w:name="_Toc292559367"/>
      <w:bookmarkStart w:id="617" w:name="_Toc296944502"/>
      <w:bookmarkStart w:id="618" w:name="_Toc296890991"/>
      <w:bookmarkStart w:id="619" w:name="_Toc296891203"/>
      <w:bookmarkStart w:id="620" w:name="_Toc297120463"/>
      <w:bookmarkStart w:id="621" w:name="_Toc297048349"/>
      <w:r>
        <w:rPr>
          <w:rFonts w:hint="eastAsia" w:ascii="宋体" w:cs="宋体"/>
          <w:color w:val="auto"/>
          <w:highlight w:val="none"/>
        </w:rPr>
        <w:t>. 工程质量</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14:paraId="2AD59FD4">
      <w:pPr>
        <w:pStyle w:val="504"/>
        <w:spacing w:line="380" w:lineRule="exact"/>
        <w:ind w:firstLine="422" w:firstLineChars="200"/>
        <w:rPr>
          <w:rFonts w:ascii="宋体" w:cs="宋体"/>
          <w:color w:val="auto"/>
          <w:highlight w:val="none"/>
        </w:rPr>
      </w:pPr>
      <w:bookmarkStart w:id="622" w:name="_Toc418518364"/>
      <w:bookmarkStart w:id="623" w:name="_Toc373227718"/>
      <w:bookmarkStart w:id="624" w:name="_Toc418751814"/>
      <w:bookmarkStart w:id="625" w:name="_Toc522201748"/>
      <w:bookmarkStart w:id="626" w:name="_Toc418518128"/>
      <w:bookmarkStart w:id="627" w:name="_Toc403578952"/>
      <w:bookmarkStart w:id="628" w:name="_Toc389065284"/>
      <w:bookmarkStart w:id="629" w:name="_Toc497746799"/>
      <w:bookmarkStart w:id="630" w:name="_Toc418752260"/>
      <w:bookmarkStart w:id="631" w:name="_Toc373478365"/>
      <w:bookmarkStart w:id="632" w:name="_Toc418061329"/>
      <w:bookmarkStart w:id="633" w:name="_Toc256000198"/>
      <w:bookmarkStart w:id="634" w:name="_Toc497747196"/>
      <w:r>
        <w:rPr>
          <w:rFonts w:hint="eastAsia" w:ascii="宋体" w:cs="宋体"/>
          <w:color w:val="auto"/>
          <w:highlight w:val="none"/>
        </w:rPr>
        <w:t>5.1 质量要求</w:t>
      </w:r>
      <w:bookmarkEnd w:id="622"/>
      <w:bookmarkEnd w:id="623"/>
      <w:bookmarkEnd w:id="624"/>
      <w:bookmarkEnd w:id="625"/>
      <w:bookmarkEnd w:id="626"/>
      <w:bookmarkEnd w:id="627"/>
      <w:bookmarkEnd w:id="628"/>
      <w:bookmarkEnd w:id="629"/>
      <w:bookmarkEnd w:id="630"/>
      <w:bookmarkEnd w:id="631"/>
      <w:bookmarkEnd w:id="632"/>
      <w:bookmarkEnd w:id="633"/>
      <w:bookmarkEnd w:id="634"/>
    </w:p>
    <w:p w14:paraId="5AA4E3DD">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5</w:t>
      </w:r>
      <w:bookmarkStart w:id="635" w:name="_Toc297216155"/>
      <w:bookmarkStart w:id="636" w:name="_Toc303539106"/>
      <w:bookmarkStart w:id="637" w:name="_Toc318581164"/>
      <w:bookmarkStart w:id="638" w:name="_Toc300934949"/>
      <w:bookmarkStart w:id="639" w:name="_Toc312677997"/>
      <w:bookmarkStart w:id="640" w:name="_Toc304295527"/>
      <w:bookmarkStart w:id="641" w:name="_Toc297123496"/>
      <w:r>
        <w:rPr>
          <w:rFonts w:hint="eastAsia" w:ascii="宋体" w:hAnsi="宋体" w:cs="宋体"/>
          <w:color w:val="auto"/>
          <w:szCs w:val="21"/>
          <w:highlight w:val="none"/>
        </w:rPr>
        <w:t>.1.1 特殊质量标准和要求：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09A2D55">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关于工程奖项的约定：</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26EB0E85">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5.3 隐蔽工程检查</w:t>
      </w:r>
    </w:p>
    <w:p w14:paraId="620707E7">
      <w:pPr>
        <w:pStyle w:val="396"/>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szCs w:val="21"/>
          <w:highlight w:val="none"/>
        </w:rPr>
        <w:t>5.3.2承包人提前通知监理人隐蔽工程检查的期限的约定：</w:t>
      </w:r>
      <w:r>
        <w:rPr>
          <w:rFonts w:hint="eastAsia" w:ascii="宋体" w:hAnsi="宋体" w:cs="宋体"/>
          <w:color w:val="auto"/>
          <w:kern w:val="0"/>
          <w:szCs w:val="21"/>
          <w:highlight w:val="none"/>
          <w:u w:val="single"/>
        </w:rPr>
        <w:t>任何部位的隐蔽工程需要覆盖或隐蔽前，承包人均应提前 48 小时通知发包人、监理工程师和质量监督站进行中间验收并拍照</w:t>
      </w:r>
      <w:r>
        <w:rPr>
          <w:rFonts w:hint="eastAsia" w:ascii="宋体" w:hAnsi="宋体" w:cs="宋体"/>
          <w:strike w:val="0"/>
          <w:color w:val="auto"/>
          <w:kern w:val="0"/>
          <w:szCs w:val="21"/>
          <w:highlight w:val="none"/>
          <w:u w:val="single"/>
        </w:rPr>
        <w:t>，没有发包人、监理工程师和质量监督站的批准，均不得隐蔽或验收。对相关单位所提出涉及工程质量、</w:t>
      </w:r>
      <w:r>
        <w:rPr>
          <w:rFonts w:hint="eastAsia" w:ascii="宋体" w:hAnsi="宋体" w:cs="宋体"/>
          <w:color w:val="auto"/>
          <w:kern w:val="0"/>
          <w:szCs w:val="21"/>
          <w:highlight w:val="none"/>
          <w:u w:val="single"/>
        </w:rPr>
        <w:t>安全管理等存在问题时，必须进行整改，承包人应在监理人及相关人员指示的时间内修正返工后，由监理人及相关人员重新检查。否则发包人按规定有权进行经济处罚</w:t>
      </w:r>
      <w:r>
        <w:rPr>
          <w:rFonts w:hint="eastAsia" w:ascii="宋体" w:hAnsi="宋体" w:cs="宋体"/>
          <w:bCs/>
          <w:color w:val="auto"/>
          <w:szCs w:val="21"/>
          <w:highlight w:val="none"/>
          <w:u w:val="single"/>
        </w:rPr>
        <w:t>。</w:t>
      </w:r>
    </w:p>
    <w:p w14:paraId="3B28DF2C">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监理人不能按时进行检查时，应提前</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小时提交书面延期要求。</w:t>
      </w:r>
    </w:p>
    <w:p w14:paraId="1DD4A264">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关于延期最长不得超过：</w:t>
      </w:r>
      <w:r>
        <w:rPr>
          <w:rFonts w:hint="eastAsia" w:ascii="宋体" w:hAnsi="宋体" w:cs="宋体"/>
          <w:color w:val="auto"/>
          <w:szCs w:val="21"/>
          <w:highlight w:val="none"/>
          <w:u w:val="single"/>
        </w:rPr>
        <w:t xml:space="preserve"> 48 </w:t>
      </w:r>
      <w:r>
        <w:rPr>
          <w:rFonts w:hint="eastAsia" w:ascii="宋体" w:hAnsi="宋体" w:cs="宋体"/>
          <w:color w:val="auto"/>
          <w:szCs w:val="21"/>
          <w:highlight w:val="none"/>
        </w:rPr>
        <w:t>小时。</w:t>
      </w:r>
    </w:p>
    <w:p w14:paraId="432B2148">
      <w:pPr>
        <w:pStyle w:val="504"/>
        <w:spacing w:line="380" w:lineRule="exact"/>
        <w:rPr>
          <w:rFonts w:ascii="宋体" w:cs="宋体"/>
          <w:color w:val="auto"/>
          <w:highlight w:val="none"/>
        </w:rPr>
      </w:pPr>
      <w:bookmarkStart w:id="642" w:name="_Toc373478366"/>
      <w:bookmarkStart w:id="643" w:name="_Toc389065285"/>
      <w:bookmarkStart w:id="644" w:name="_Toc373227719"/>
      <w:bookmarkStart w:id="645" w:name="_Toc403578953"/>
      <w:bookmarkStart w:id="646" w:name="_Toc418752261"/>
      <w:bookmarkStart w:id="647" w:name="_Toc351203638"/>
      <w:bookmarkStart w:id="648" w:name="_Toc497746800"/>
      <w:bookmarkStart w:id="649" w:name="_Toc418061330"/>
      <w:bookmarkStart w:id="650" w:name="_Toc256000199"/>
      <w:bookmarkStart w:id="651" w:name="_Toc418751815"/>
      <w:bookmarkStart w:id="652" w:name="_Toc418518129"/>
      <w:bookmarkStart w:id="653" w:name="_Toc522201749"/>
      <w:bookmarkStart w:id="654" w:name="_Toc418518365"/>
      <w:bookmarkStart w:id="655" w:name="_Toc497747197"/>
      <w:r>
        <w:rPr>
          <w:rFonts w:hint="eastAsia" w:ascii="宋体" w:cs="宋体"/>
          <w:color w:val="auto"/>
          <w:highlight w:val="none"/>
        </w:rPr>
        <w:t>6. 安全文明施工与环境保护</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7FA0688C">
      <w:pPr>
        <w:pStyle w:val="504"/>
        <w:spacing w:line="380" w:lineRule="exact"/>
        <w:ind w:firstLine="422" w:firstLineChars="200"/>
        <w:rPr>
          <w:rFonts w:ascii="宋体" w:cs="宋体"/>
          <w:color w:val="auto"/>
          <w:highlight w:val="none"/>
        </w:rPr>
      </w:pPr>
      <w:bookmarkStart w:id="656" w:name="_Toc373227720"/>
      <w:bookmarkStart w:id="657" w:name="_Toc418518366"/>
      <w:bookmarkStart w:id="658" w:name="_Toc522201750"/>
      <w:bookmarkStart w:id="659" w:name="_Toc497747198"/>
      <w:bookmarkStart w:id="660" w:name="_Toc256000200"/>
      <w:bookmarkStart w:id="661" w:name="_Toc418061331"/>
      <w:bookmarkStart w:id="662" w:name="_Toc418518130"/>
      <w:bookmarkStart w:id="663" w:name="_Toc389065286"/>
      <w:bookmarkStart w:id="664" w:name="_Toc403578954"/>
      <w:bookmarkStart w:id="665" w:name="_Toc373478367"/>
      <w:bookmarkStart w:id="666" w:name="_Toc418752262"/>
      <w:bookmarkStart w:id="667" w:name="_Toc418751816"/>
      <w:bookmarkStart w:id="668" w:name="_Toc497746801"/>
      <w:r>
        <w:rPr>
          <w:rFonts w:hint="eastAsia" w:ascii="宋体" w:cs="宋体"/>
          <w:color w:val="auto"/>
          <w:highlight w:val="none"/>
        </w:rPr>
        <w:t>6.1 安全文明施工</w:t>
      </w:r>
      <w:bookmarkEnd w:id="656"/>
      <w:bookmarkEnd w:id="657"/>
      <w:bookmarkEnd w:id="658"/>
      <w:bookmarkEnd w:id="659"/>
      <w:bookmarkEnd w:id="660"/>
      <w:bookmarkEnd w:id="661"/>
      <w:bookmarkEnd w:id="662"/>
      <w:bookmarkEnd w:id="663"/>
      <w:bookmarkEnd w:id="664"/>
      <w:bookmarkEnd w:id="665"/>
      <w:bookmarkEnd w:id="666"/>
      <w:bookmarkEnd w:id="667"/>
      <w:bookmarkEnd w:id="668"/>
    </w:p>
    <w:p w14:paraId="6AF494A7">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6.1.1 项目安全生产的达标目标及相应事项的约定：</w:t>
      </w:r>
      <w:r>
        <w:rPr>
          <w:rFonts w:hint="eastAsia" w:ascii="宋体" w:hAnsi="宋体" w:cs="宋体"/>
          <w:color w:val="auto"/>
          <w:szCs w:val="21"/>
          <w:highlight w:val="none"/>
          <w:u w:val="single"/>
        </w:rPr>
        <w:t xml:space="preserve"> 按照国家及地方安全文明施工的有关规定执行 </w:t>
      </w:r>
      <w:r>
        <w:rPr>
          <w:rFonts w:hint="eastAsia" w:ascii="宋体" w:hAnsi="宋体" w:cs="宋体"/>
          <w:color w:val="auto"/>
          <w:szCs w:val="21"/>
          <w:highlight w:val="none"/>
        </w:rPr>
        <w:t>。</w:t>
      </w:r>
    </w:p>
    <w:p w14:paraId="292957F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关于安全文明施工奖项的约定：</w:t>
      </w:r>
      <w:r>
        <w:rPr>
          <w:rFonts w:hint="eastAsia" w:ascii="宋体" w:hAnsi="宋体" w:cs="宋体"/>
          <w:color w:val="auto"/>
          <w:szCs w:val="21"/>
          <w:highlight w:val="none"/>
          <w:u w:val="single"/>
        </w:rPr>
        <w:t xml:space="preserve">  承包人应当负责统一管理施工场地的治安保卫事项，履行合同工程的治安保卫职责  </w:t>
      </w:r>
      <w:r>
        <w:rPr>
          <w:rFonts w:hint="eastAsia" w:ascii="宋体" w:hAnsi="宋体" w:cs="宋体"/>
          <w:color w:val="auto"/>
          <w:szCs w:val="21"/>
          <w:highlight w:val="none"/>
        </w:rPr>
        <w:t>。</w:t>
      </w:r>
    </w:p>
    <w:p w14:paraId="09B6F447">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6.1.4 关于治安保卫的特别约定：</w:t>
      </w:r>
      <w:r>
        <w:rPr>
          <w:rFonts w:hint="eastAsia" w:ascii="宋体" w:hAnsi="宋体" w:cs="宋体"/>
          <w:color w:val="auto"/>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cs="宋体"/>
          <w:color w:val="auto"/>
          <w:szCs w:val="21"/>
          <w:highlight w:val="none"/>
        </w:rPr>
        <w:t>。</w:t>
      </w:r>
    </w:p>
    <w:p w14:paraId="136DEB84">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关于编制施工场地治安管理计划的约定：</w:t>
      </w:r>
      <w:r>
        <w:rPr>
          <w:rFonts w:hint="eastAsia" w:ascii="宋体" w:hAnsi="宋体" w:cs="宋体"/>
          <w:color w:val="auto"/>
          <w:szCs w:val="21"/>
          <w:highlight w:val="none"/>
          <w:u w:val="single"/>
        </w:rPr>
        <w:t xml:space="preserve">  开工前7天内承包人编制施工场地治安管理计划和突发治安事件紧急预案</w:t>
      </w:r>
      <w:r>
        <w:rPr>
          <w:rFonts w:hint="eastAsia" w:ascii="宋体" w:hAnsi="宋体" w:cs="宋体"/>
          <w:color w:val="auto"/>
          <w:szCs w:val="21"/>
          <w:highlight w:val="none"/>
        </w:rPr>
        <w:t>。</w:t>
      </w:r>
    </w:p>
    <w:p w14:paraId="1BE33F92">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6.1.5 文明施工</w:t>
      </w:r>
    </w:p>
    <w:p w14:paraId="0936C964">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合同当事人对文明施工的要求：</w:t>
      </w:r>
      <w:r>
        <w:rPr>
          <w:rFonts w:hint="eastAsia" w:ascii="宋体" w:hAnsi="宋体" w:cs="宋体"/>
          <w:color w:val="auto"/>
          <w:szCs w:val="21"/>
          <w:highlight w:val="none"/>
          <w:u w:val="single"/>
        </w:rPr>
        <w:t>按照国家及地方安全文明施工的有关规定执行</w:t>
      </w:r>
      <w:r>
        <w:rPr>
          <w:rFonts w:hint="eastAsia" w:ascii="宋体" w:hAnsi="宋体" w:cs="宋体"/>
          <w:color w:val="auto"/>
          <w:szCs w:val="21"/>
          <w:highlight w:val="none"/>
        </w:rPr>
        <w:t>。</w:t>
      </w:r>
    </w:p>
    <w:p w14:paraId="46DB4223">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宋体" w:hAnsi="宋体" w:cs="宋体"/>
          <w:color w:val="auto"/>
          <w:kern w:val="0"/>
          <w:highlight w:val="none"/>
        </w:rPr>
      </w:pPr>
      <w:r>
        <w:rPr>
          <w:rFonts w:hint="eastAsia" w:ascii="宋体" w:hAnsi="宋体" w:cs="宋体"/>
          <w:color w:val="auto"/>
          <w:szCs w:val="21"/>
          <w:highlight w:val="none"/>
        </w:rPr>
        <w:t>6.1.6 关于安全文明施工费支付比例和支付期限的约定：</w:t>
      </w:r>
      <w:r>
        <w:rPr>
          <w:rFonts w:hint="eastAsia" w:ascii="宋体" w:hAnsi="宋体" w:cs="宋体"/>
          <w:color w:val="auto"/>
          <w:kern w:val="0"/>
          <w:highlight w:val="none"/>
          <w:u w:val="single"/>
        </w:rPr>
        <w:t>专款专用</w:t>
      </w:r>
      <w:r>
        <w:rPr>
          <w:rFonts w:hint="eastAsia" w:ascii="宋体" w:hAnsi="宋体" w:cs="宋体"/>
          <w:color w:val="auto"/>
          <w:kern w:val="0"/>
          <w:highlight w:val="none"/>
        </w:rPr>
        <w:t>。具体按桂林市建规[2007]131 号文相关规定执行。</w:t>
      </w:r>
    </w:p>
    <w:p w14:paraId="05529A83">
      <w:pPr>
        <w:spacing w:line="221" w:lineRule="auto"/>
        <w:ind w:left="441"/>
        <w:rPr>
          <w:rFonts w:ascii="Arial"/>
          <w:sz w:val="21"/>
        </w:rPr>
      </w:pPr>
      <w:r>
        <w:rPr>
          <w:rFonts w:ascii="宋体" w:hAnsi="宋体" w:eastAsia="宋体" w:cs="宋体"/>
          <w:spacing w:val="-1"/>
          <w:sz w:val="21"/>
          <w:szCs w:val="21"/>
        </w:rPr>
        <w:t>6.</w:t>
      </w:r>
      <w:r>
        <w:rPr>
          <w:rFonts w:hint="eastAsia" w:ascii="宋体" w:hAnsi="宋体" w:eastAsia="宋体" w:cs="宋体"/>
          <w:spacing w:val="-1"/>
          <w:sz w:val="21"/>
          <w:szCs w:val="21"/>
          <w:lang w:val="en-US" w:eastAsia="zh-CN"/>
        </w:rPr>
        <w:t>1.7</w:t>
      </w:r>
      <w:r>
        <w:rPr>
          <w:rFonts w:ascii="宋体" w:hAnsi="宋体" w:eastAsia="宋体" w:cs="宋体"/>
          <w:spacing w:val="-1"/>
          <w:sz w:val="21"/>
          <w:szCs w:val="21"/>
        </w:rPr>
        <w:t xml:space="preserve"> 环境保</w:t>
      </w:r>
      <w:r>
        <w:rPr>
          <w:rFonts w:ascii="宋体" w:hAnsi="宋体" w:eastAsia="宋体" w:cs="宋体"/>
          <w:sz w:val="21"/>
          <w:szCs w:val="21"/>
        </w:rPr>
        <w:t>护</w:t>
      </w:r>
    </w:p>
    <w:p w14:paraId="4CFEB428">
      <w:pPr>
        <w:spacing w:before="69" w:line="353" w:lineRule="auto"/>
        <w:ind w:left="19" w:firstLine="419"/>
        <w:rPr>
          <w:rFonts w:ascii="宋体" w:hAnsi="宋体" w:cs="宋体"/>
          <w:color w:val="auto"/>
          <w:highlight w:val="none"/>
        </w:rPr>
      </w:pPr>
      <w:r>
        <w:rPr>
          <w:rFonts w:ascii="宋体" w:hAnsi="宋体" w:eastAsia="宋体" w:cs="宋体"/>
          <w:spacing w:val="-4"/>
          <w:sz w:val="21"/>
          <w:szCs w:val="21"/>
          <w:u w:val="single" w:color="auto"/>
        </w:rPr>
        <w:t>在施工期间对环境主要影响是</w:t>
      </w:r>
      <w:r>
        <w:rPr>
          <w:rFonts w:ascii="宋体" w:hAnsi="宋体" w:eastAsia="宋体" w:cs="宋体"/>
          <w:spacing w:val="-2"/>
          <w:sz w:val="21"/>
          <w:szCs w:val="21"/>
          <w:u w:val="single" w:color="auto"/>
        </w:rPr>
        <w:t>机械噪声和废水、废渣、尘埃， 对此承包人应采取相应的防</w:t>
      </w:r>
      <w:r>
        <w:rPr>
          <w:rFonts w:ascii="宋体" w:hAnsi="宋体" w:eastAsia="宋体" w:cs="宋体"/>
          <w:spacing w:val="-4"/>
          <w:sz w:val="21"/>
          <w:szCs w:val="21"/>
          <w:u w:val="single" w:color="auto"/>
        </w:rPr>
        <w:t>治措施和严格管理， 严格</w:t>
      </w:r>
      <w:r>
        <w:rPr>
          <w:rFonts w:ascii="宋体" w:hAnsi="宋体" w:eastAsia="宋体" w:cs="宋体"/>
          <w:spacing w:val="-2"/>
          <w:sz w:val="21"/>
          <w:szCs w:val="21"/>
          <w:u w:val="single" w:color="auto"/>
        </w:rPr>
        <w:t>控制污染物排放，污染物排放前必须处理，达到排污标准后再排放。</w:t>
      </w:r>
      <w:r>
        <w:rPr>
          <w:rFonts w:ascii="宋体" w:hAnsi="宋体" w:eastAsia="宋体" w:cs="宋体"/>
          <w:spacing w:val="-5"/>
          <w:sz w:val="21"/>
          <w:szCs w:val="21"/>
          <w:u w:val="single" w:color="auto"/>
        </w:rPr>
        <w:t>施工完毕后，承包人应及时将被破坏的场地，遵照监理工程师的指示进行清理、修正，并根</w:t>
      </w:r>
      <w:r>
        <w:rPr>
          <w:rFonts w:ascii="宋体" w:hAnsi="宋体" w:eastAsia="宋体" w:cs="宋体"/>
          <w:spacing w:val="-1"/>
          <w:sz w:val="21"/>
          <w:szCs w:val="21"/>
          <w:u w:val="single" w:color="auto"/>
        </w:rPr>
        <w:t>据</w:t>
      </w:r>
      <w:r>
        <w:rPr>
          <w:rFonts w:ascii="宋体" w:hAnsi="宋体" w:eastAsia="宋体" w:cs="宋体"/>
          <w:sz w:val="21"/>
          <w:szCs w:val="21"/>
        </w:rPr>
        <w:t xml:space="preserve"> </w:t>
      </w:r>
      <w:r>
        <w:rPr>
          <w:rFonts w:ascii="宋体" w:hAnsi="宋体" w:eastAsia="宋体" w:cs="宋体"/>
          <w:spacing w:val="-4"/>
          <w:sz w:val="21"/>
          <w:szCs w:val="21"/>
          <w:u w:val="single" w:color="auto"/>
        </w:rPr>
        <w:t>实际情况将</w:t>
      </w:r>
      <w:r>
        <w:rPr>
          <w:rFonts w:ascii="宋体" w:hAnsi="宋体" w:eastAsia="宋体" w:cs="宋体"/>
          <w:spacing w:val="-3"/>
          <w:sz w:val="21"/>
          <w:szCs w:val="21"/>
          <w:u w:val="single" w:color="auto"/>
        </w:rPr>
        <w:t>场</w:t>
      </w:r>
      <w:r>
        <w:rPr>
          <w:rFonts w:ascii="宋体" w:hAnsi="宋体" w:eastAsia="宋体" w:cs="宋体"/>
          <w:spacing w:val="-2"/>
          <w:sz w:val="21"/>
          <w:szCs w:val="21"/>
          <w:u w:val="single" w:color="auto"/>
        </w:rPr>
        <w:t>地恢复。施工期间因环境保护需办理的相关手续由承包人办理，并承担相关费用，</w:t>
      </w:r>
      <w:r>
        <w:rPr>
          <w:rFonts w:ascii="宋体" w:hAnsi="宋体" w:eastAsia="宋体" w:cs="宋体"/>
          <w:sz w:val="21"/>
          <w:szCs w:val="21"/>
          <w:u w:val="single" w:color="auto"/>
        </w:rPr>
        <w:t>如因承包人未交纳相关费用，发包人有权从工程款中扣除用于支付相关费用并计入结算。经过</w:t>
      </w:r>
      <w:r>
        <w:rPr>
          <w:rFonts w:ascii="宋体" w:hAnsi="宋体" w:eastAsia="宋体" w:cs="宋体"/>
          <w:spacing w:val="-1"/>
          <w:sz w:val="21"/>
          <w:szCs w:val="21"/>
          <w:u w:val="single" w:color="auto"/>
        </w:rPr>
        <w:t>城</w:t>
      </w:r>
      <w:r>
        <w:rPr>
          <w:rFonts w:ascii="宋体" w:hAnsi="宋体" w:eastAsia="宋体" w:cs="宋体"/>
          <w:sz w:val="21"/>
          <w:szCs w:val="21"/>
          <w:u w:val="single" w:color="auto"/>
        </w:rPr>
        <w:t>市道路的施工车辆，必须按交警、城管、运输等部门相关规定执行。由于施工车辆造成的道</w:t>
      </w:r>
      <w:r>
        <w:rPr>
          <w:rFonts w:ascii="宋体" w:hAnsi="宋体" w:eastAsia="宋体" w:cs="宋体"/>
          <w:spacing w:val="-6"/>
          <w:sz w:val="21"/>
          <w:szCs w:val="21"/>
          <w:u w:val="single" w:color="auto"/>
        </w:rPr>
        <w:t>路</w:t>
      </w:r>
      <w:r>
        <w:rPr>
          <w:rFonts w:ascii="宋体" w:hAnsi="宋体" w:eastAsia="宋体" w:cs="宋体"/>
          <w:spacing w:val="-5"/>
          <w:sz w:val="21"/>
          <w:szCs w:val="21"/>
          <w:u w:val="single" w:color="auto"/>
        </w:rPr>
        <w:t>、</w:t>
      </w:r>
      <w:r>
        <w:rPr>
          <w:rFonts w:ascii="宋体" w:hAnsi="宋体" w:eastAsia="宋体" w:cs="宋体"/>
          <w:spacing w:val="-3"/>
          <w:sz w:val="21"/>
          <w:szCs w:val="21"/>
          <w:u w:val="single" w:color="auto"/>
        </w:rPr>
        <w:t>环境等污染，其责任和费用均由承包人承担。</w:t>
      </w:r>
      <w:r>
        <w:rPr>
          <w:rFonts w:ascii="宋体" w:hAnsi="宋体" w:eastAsia="宋体" w:cs="宋体"/>
          <w:sz w:val="21"/>
          <w:szCs w:val="21"/>
          <w:u w:val="single" w:color="auto"/>
        </w:rPr>
        <w:t xml:space="preserve"> </w:t>
      </w:r>
    </w:p>
    <w:bookmarkEnd w:id="635"/>
    <w:bookmarkEnd w:id="636"/>
    <w:bookmarkEnd w:id="637"/>
    <w:bookmarkEnd w:id="638"/>
    <w:bookmarkEnd w:id="639"/>
    <w:bookmarkEnd w:id="640"/>
    <w:bookmarkEnd w:id="641"/>
    <w:p w14:paraId="09E18143">
      <w:pPr>
        <w:pStyle w:val="504"/>
        <w:spacing w:line="380" w:lineRule="exact"/>
        <w:rPr>
          <w:rFonts w:ascii="宋体" w:cs="宋体"/>
          <w:color w:val="auto"/>
          <w:highlight w:val="none"/>
        </w:rPr>
      </w:pPr>
      <w:bookmarkStart w:id="669" w:name="_Toc497747200"/>
      <w:bookmarkStart w:id="670" w:name="_Toc351203639"/>
      <w:bookmarkStart w:id="671" w:name="_Toc256000201"/>
      <w:bookmarkStart w:id="672" w:name="_Toc418752264"/>
      <w:bookmarkStart w:id="673" w:name="_Toc522201751"/>
      <w:bookmarkStart w:id="674" w:name="_Toc373478369"/>
      <w:bookmarkStart w:id="675" w:name="_Toc497746803"/>
      <w:bookmarkStart w:id="676" w:name="_Toc418518368"/>
      <w:bookmarkStart w:id="677" w:name="_Toc403578956"/>
      <w:bookmarkStart w:id="678" w:name="_Toc418751818"/>
      <w:bookmarkStart w:id="679" w:name="_Toc373227722"/>
      <w:bookmarkStart w:id="680" w:name="_Toc389065288"/>
      <w:bookmarkStart w:id="681" w:name="_Toc418518132"/>
      <w:bookmarkStart w:id="682" w:name="_Toc418061333"/>
      <w:r>
        <w:rPr>
          <w:rFonts w:hint="eastAsia" w:ascii="宋体" w:cs="宋体"/>
          <w:color w:val="auto"/>
          <w:highlight w:val="none"/>
        </w:rPr>
        <w:t>7. 工期和进度</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14:paraId="3431A681">
      <w:pPr>
        <w:pStyle w:val="504"/>
        <w:spacing w:line="380" w:lineRule="exact"/>
        <w:ind w:firstLine="422" w:firstLineChars="200"/>
        <w:rPr>
          <w:rFonts w:ascii="宋体" w:cs="宋体"/>
          <w:color w:val="auto"/>
          <w:highlight w:val="none"/>
        </w:rPr>
      </w:pPr>
      <w:bookmarkStart w:id="683" w:name="_Toc373227723"/>
      <w:bookmarkStart w:id="684" w:name="_Toc418061334"/>
      <w:bookmarkStart w:id="685" w:name="_Toc497746804"/>
      <w:bookmarkStart w:id="686" w:name="_Toc418518369"/>
      <w:bookmarkStart w:id="687" w:name="_Toc522201752"/>
      <w:bookmarkStart w:id="688" w:name="_Toc418752265"/>
      <w:bookmarkStart w:id="689" w:name="_Toc373478370"/>
      <w:bookmarkStart w:id="690" w:name="_Toc418751819"/>
      <w:bookmarkStart w:id="691" w:name="_Toc256000202"/>
      <w:bookmarkStart w:id="692" w:name="_Toc389065289"/>
      <w:bookmarkStart w:id="693" w:name="_Toc418518133"/>
      <w:bookmarkStart w:id="694" w:name="_Toc497747201"/>
      <w:bookmarkStart w:id="695" w:name="_Toc403578957"/>
      <w:r>
        <w:rPr>
          <w:rFonts w:hint="eastAsia" w:ascii="宋体" w:cs="宋体"/>
          <w:color w:val="auto"/>
          <w:highlight w:val="none"/>
        </w:rPr>
        <w:t>7.1 施工组织设计</w:t>
      </w:r>
      <w:bookmarkEnd w:id="683"/>
      <w:bookmarkEnd w:id="684"/>
      <w:bookmarkEnd w:id="685"/>
      <w:bookmarkEnd w:id="686"/>
      <w:bookmarkEnd w:id="687"/>
      <w:bookmarkEnd w:id="688"/>
      <w:bookmarkEnd w:id="689"/>
      <w:bookmarkEnd w:id="690"/>
      <w:bookmarkEnd w:id="691"/>
      <w:bookmarkEnd w:id="692"/>
      <w:bookmarkEnd w:id="693"/>
      <w:bookmarkEnd w:id="694"/>
      <w:bookmarkEnd w:id="695"/>
    </w:p>
    <w:p w14:paraId="647A561D">
      <w:pPr>
        <w:pStyle w:val="501"/>
        <w:spacing w:line="380" w:lineRule="exact"/>
        <w:rPr>
          <w:rFonts w:ascii="宋体" w:hAnsi="宋体" w:cs="宋体"/>
          <w:color w:val="auto"/>
          <w:highlight w:val="none"/>
          <w:u w:val="single"/>
        </w:rPr>
      </w:pPr>
      <w:r>
        <w:rPr>
          <w:rFonts w:hint="eastAsia" w:ascii="宋体" w:hAnsi="宋体" w:cs="宋体"/>
          <w:color w:val="auto"/>
          <w:highlight w:val="none"/>
        </w:rPr>
        <w:t>7.1.1 合同当事人约定的施工组织设计应包括的其他内容：</w:t>
      </w:r>
      <w:r>
        <w:rPr>
          <w:rFonts w:hint="eastAsia" w:ascii="宋体" w:hAnsi="宋体" w:cs="宋体"/>
          <w:color w:val="auto"/>
          <w:highlight w:val="none"/>
          <w:u w:val="single"/>
        </w:rPr>
        <w:t>(1)管理人员名单，含职称、职务并附相关人员岗位证书等复印件；（2）施工进度计划包括总进度计划、分阶段和分项进度计划、设备材料人员进场计划；施工方案说明包括分部、分项工程或工程部位的名称及施工顺序和方法；（3）国家及地方有关规定应当提交的内容。</w:t>
      </w:r>
    </w:p>
    <w:p w14:paraId="30CC6BFE">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 xml:space="preserve">7.1.2 </w:t>
      </w:r>
      <w:r>
        <w:rPr>
          <w:rFonts w:hint="eastAsia" w:ascii="宋体" w:hAnsi="宋体" w:cs="宋体"/>
          <w:color w:val="auto"/>
          <w:kern w:val="0"/>
          <w:szCs w:val="21"/>
          <w:highlight w:val="none"/>
        </w:rPr>
        <w:t>施工组织设计的提交和修改</w:t>
      </w:r>
    </w:p>
    <w:p w14:paraId="1362177D">
      <w:pPr>
        <w:pStyle w:val="396"/>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承包人提交详细施工组织设计的期限的约定：</w:t>
      </w:r>
      <w:r>
        <w:rPr>
          <w:rFonts w:hint="eastAsia" w:ascii="宋体" w:hAnsi="宋体" w:cs="宋体"/>
          <w:color w:val="auto"/>
          <w:szCs w:val="21"/>
          <w:highlight w:val="none"/>
          <w:u w:val="single"/>
        </w:rPr>
        <w:t xml:space="preserve">  </w:t>
      </w:r>
      <w:r>
        <w:rPr>
          <w:rFonts w:hint="eastAsia" w:ascii="宋体" w:hAnsi="宋体"/>
          <w:color w:val="auto"/>
          <w:szCs w:val="21"/>
          <w:highlight w:val="none"/>
          <w:u w:val="single"/>
        </w:rPr>
        <w:t>合同签订后14天内，最迟不得晚于开工通知载明的开工日期前7天</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FA05F06">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发包人和监理人在收到详细的施工组织设计后确认或提出修改意见的期限：</w:t>
      </w:r>
      <w:r>
        <w:rPr>
          <w:rFonts w:hint="eastAsia" w:ascii="宋体" w:hAnsi="宋体"/>
          <w:color w:val="auto"/>
          <w:szCs w:val="21"/>
          <w:highlight w:val="none"/>
          <w:u w:val="single"/>
        </w:rPr>
        <w:t>收到施工组织设计后7天内确认或提出修改意见。</w:t>
      </w:r>
    </w:p>
    <w:p w14:paraId="29088AF2">
      <w:pPr>
        <w:pStyle w:val="504"/>
        <w:spacing w:line="380" w:lineRule="exact"/>
        <w:ind w:firstLine="422" w:firstLineChars="200"/>
        <w:rPr>
          <w:rFonts w:ascii="宋体" w:cs="宋体"/>
          <w:color w:val="auto"/>
          <w:highlight w:val="none"/>
        </w:rPr>
      </w:pPr>
      <w:bookmarkStart w:id="696" w:name="_Toc497747202"/>
      <w:bookmarkStart w:id="697" w:name="_Toc373478371"/>
      <w:bookmarkStart w:id="698" w:name="_Toc389065290"/>
      <w:bookmarkStart w:id="699" w:name="_Toc256000203"/>
      <w:bookmarkStart w:id="700" w:name="_Toc522201753"/>
      <w:bookmarkStart w:id="701" w:name="_Toc418751820"/>
      <w:bookmarkStart w:id="702" w:name="_Toc418518370"/>
      <w:bookmarkStart w:id="703" w:name="_Toc418752266"/>
      <w:bookmarkStart w:id="704" w:name="_Toc418061335"/>
      <w:bookmarkStart w:id="705" w:name="_Toc403578958"/>
      <w:bookmarkStart w:id="706" w:name="_Toc373227724"/>
      <w:bookmarkStart w:id="707" w:name="_Toc418518134"/>
      <w:bookmarkStart w:id="708" w:name="_Toc497746805"/>
      <w:r>
        <w:rPr>
          <w:rFonts w:hint="eastAsia" w:ascii="宋体" w:cs="宋体"/>
          <w:color w:val="auto"/>
          <w:highlight w:val="none"/>
        </w:rPr>
        <w:t>7</w:t>
      </w:r>
      <w:bookmarkStart w:id="709" w:name="_Toc300934966"/>
      <w:bookmarkStart w:id="710" w:name="_Toc312677479"/>
      <w:bookmarkStart w:id="711" w:name="_Toc297216173"/>
      <w:bookmarkStart w:id="712" w:name="_Toc297123514"/>
      <w:bookmarkStart w:id="713" w:name="_Toc303539123"/>
      <w:bookmarkStart w:id="714" w:name="_Toc312678005"/>
      <w:bookmarkStart w:id="715" w:name="_Toc304295541"/>
      <w:r>
        <w:rPr>
          <w:rFonts w:hint="eastAsia" w:ascii="宋体" w:cs="宋体"/>
          <w:color w:val="auto"/>
          <w:highlight w:val="none"/>
        </w:rPr>
        <w:t>.2 施工进度计划</w:t>
      </w:r>
      <w:bookmarkEnd w:id="696"/>
      <w:bookmarkEnd w:id="697"/>
      <w:bookmarkEnd w:id="698"/>
      <w:bookmarkEnd w:id="699"/>
      <w:bookmarkEnd w:id="700"/>
      <w:bookmarkEnd w:id="701"/>
      <w:bookmarkEnd w:id="702"/>
      <w:bookmarkEnd w:id="703"/>
      <w:bookmarkEnd w:id="704"/>
      <w:bookmarkEnd w:id="705"/>
      <w:bookmarkEnd w:id="706"/>
      <w:bookmarkEnd w:id="707"/>
      <w:bookmarkEnd w:id="708"/>
    </w:p>
    <w:p w14:paraId="38FD607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7.2.2 施工进度计划的修订</w:t>
      </w:r>
    </w:p>
    <w:p w14:paraId="3EDFC746">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（1）发包人和监理人在收到修订的施工进度计划后确认或提出修改意见的期限：</w:t>
      </w:r>
      <w:r>
        <w:rPr>
          <w:rFonts w:hint="eastAsia" w:ascii="宋体" w:hAnsi="宋体" w:cs="宋体"/>
          <w:color w:val="auto"/>
          <w:szCs w:val="21"/>
          <w:highlight w:val="none"/>
          <w:u w:val="single"/>
        </w:rPr>
        <w:t>自监理人收到承包人报送的相关进度计划后 7天内。</w:t>
      </w:r>
      <w:r>
        <w:rPr>
          <w:rFonts w:hint="eastAsia" w:ascii="宋体" w:hAnsi="宋体" w:cs="宋体"/>
          <w:color w:val="auto"/>
          <w:szCs w:val="21"/>
          <w:highlight w:val="none"/>
        </w:rPr>
        <w:t xml:space="preserve"> </w:t>
      </w:r>
    </w:p>
    <w:p w14:paraId="55E377CC">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（2）承包人编制分阶段或分项施工进度计划和施工方案说明的内容：</w:t>
      </w:r>
      <w:r>
        <w:rPr>
          <w:rFonts w:hint="eastAsia" w:ascii="宋体" w:hAnsi="宋体" w:cs="宋体"/>
          <w:color w:val="auto"/>
          <w:szCs w:val="21"/>
          <w:highlight w:val="none"/>
          <w:u w:val="single"/>
        </w:rPr>
        <w:t>包含但不限于月进度计划、原地面测量方案、不良地基处理方案等。</w:t>
      </w:r>
      <w:r>
        <w:rPr>
          <w:rFonts w:hint="eastAsia" w:ascii="宋体" w:hAnsi="宋体" w:cs="宋体"/>
          <w:color w:val="auto"/>
          <w:szCs w:val="21"/>
          <w:highlight w:val="none"/>
        </w:rPr>
        <w:t xml:space="preserve"> </w:t>
      </w:r>
    </w:p>
    <w:p w14:paraId="4FD1BB3F">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（3） 承包人报送分阶段或分项施工进度计划和施工方案说明的期限： </w:t>
      </w:r>
      <w:r>
        <w:rPr>
          <w:rFonts w:hint="eastAsia" w:ascii="宋体" w:hAnsi="宋体" w:cs="宋体"/>
          <w:color w:val="auto"/>
          <w:szCs w:val="21"/>
          <w:highlight w:val="none"/>
          <w:u w:val="single"/>
        </w:rPr>
        <w:t>月进度计划于上月 30 日前提交，分项施工进度计划和施工方案说明应不迟于该分项工程施工前14 天提交。</w:t>
      </w:r>
    </w:p>
    <w:p w14:paraId="0ACE8343">
      <w:pPr>
        <w:pStyle w:val="504"/>
        <w:spacing w:line="380" w:lineRule="exact"/>
        <w:ind w:firstLine="422" w:firstLineChars="200"/>
        <w:rPr>
          <w:rFonts w:ascii="宋体" w:cs="宋体"/>
          <w:color w:val="auto"/>
          <w:highlight w:val="none"/>
        </w:rPr>
      </w:pPr>
      <w:bookmarkStart w:id="716" w:name="_Toc373227725"/>
      <w:bookmarkStart w:id="717" w:name="_Toc389065291"/>
      <w:bookmarkStart w:id="718" w:name="_Toc418518371"/>
      <w:bookmarkStart w:id="719" w:name="_Toc418751821"/>
      <w:bookmarkStart w:id="720" w:name="_Toc522201754"/>
      <w:bookmarkStart w:id="721" w:name="_Toc256000204"/>
      <w:bookmarkStart w:id="722" w:name="_Toc497747203"/>
      <w:bookmarkStart w:id="723" w:name="_Toc418061336"/>
      <w:bookmarkStart w:id="724" w:name="_Toc373478372"/>
      <w:bookmarkStart w:id="725" w:name="_Toc418752267"/>
      <w:bookmarkStart w:id="726" w:name="_Toc418518135"/>
      <w:bookmarkStart w:id="727" w:name="_Toc403578959"/>
      <w:bookmarkStart w:id="728" w:name="_Toc497746806"/>
      <w:r>
        <w:rPr>
          <w:rFonts w:hint="eastAsia" w:ascii="宋体" w:cs="宋体"/>
          <w:color w:val="auto"/>
          <w:highlight w:val="none"/>
        </w:rPr>
        <w:t>7.3 开工</w:t>
      </w:r>
      <w:bookmarkEnd w:id="716"/>
      <w:bookmarkEnd w:id="717"/>
      <w:bookmarkEnd w:id="718"/>
      <w:bookmarkEnd w:id="719"/>
      <w:bookmarkEnd w:id="720"/>
      <w:bookmarkEnd w:id="721"/>
      <w:bookmarkEnd w:id="722"/>
      <w:bookmarkEnd w:id="723"/>
      <w:bookmarkEnd w:id="724"/>
      <w:bookmarkEnd w:id="725"/>
      <w:bookmarkEnd w:id="726"/>
      <w:bookmarkEnd w:id="727"/>
      <w:bookmarkEnd w:id="728"/>
    </w:p>
    <w:p w14:paraId="093A8AAF">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7.3.1 开工准备</w:t>
      </w:r>
    </w:p>
    <w:p w14:paraId="542D5BC3">
      <w:pPr>
        <w:pStyle w:val="396"/>
        <w:spacing w:line="380" w:lineRule="exact"/>
        <w:ind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关于承包人提交</w:t>
      </w:r>
      <w:r>
        <w:rPr>
          <w:rFonts w:hint="eastAsia" w:ascii="宋体" w:hAnsi="宋体" w:cs="宋体"/>
          <w:color w:val="auto"/>
          <w:kern w:val="0"/>
          <w:szCs w:val="21"/>
          <w:highlight w:val="none"/>
        </w:rPr>
        <w:t>工程开工报审表的期限：</w:t>
      </w:r>
      <w:r>
        <w:rPr>
          <w:rFonts w:hint="eastAsia" w:ascii="宋体" w:hAnsi="宋体" w:cs="宋体"/>
          <w:color w:val="auto"/>
          <w:szCs w:val="21"/>
          <w:highlight w:val="none"/>
          <w:u w:val="single"/>
        </w:rPr>
        <w:t xml:space="preserve">  7天   </w:t>
      </w:r>
      <w:r>
        <w:rPr>
          <w:rFonts w:hint="eastAsia" w:ascii="宋体" w:hAnsi="宋体" w:cs="宋体"/>
          <w:color w:val="auto"/>
          <w:szCs w:val="21"/>
          <w:highlight w:val="none"/>
        </w:rPr>
        <w:t>。</w:t>
      </w:r>
    </w:p>
    <w:p w14:paraId="02BD0545">
      <w:pPr>
        <w:pStyle w:val="396"/>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关于发包人应完成的其他开工准备工作及期限：</w:t>
      </w:r>
      <w:r>
        <w:rPr>
          <w:rFonts w:hint="eastAsia" w:ascii="宋体" w:hAnsi="宋体" w:cs="宋体"/>
          <w:color w:val="auto"/>
          <w:szCs w:val="21"/>
          <w:highlight w:val="none"/>
          <w:u w:val="single"/>
        </w:rPr>
        <w:t xml:space="preserve">   7天    </w:t>
      </w:r>
      <w:r>
        <w:rPr>
          <w:rFonts w:hint="eastAsia" w:ascii="宋体" w:hAnsi="宋体" w:cs="宋体"/>
          <w:color w:val="auto"/>
          <w:szCs w:val="21"/>
          <w:highlight w:val="none"/>
        </w:rPr>
        <w:t>。</w:t>
      </w:r>
    </w:p>
    <w:p w14:paraId="4B1DCF0D">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 关于承包人应完成的其他开工准备工作及期限：</w:t>
      </w:r>
      <w:r>
        <w:rPr>
          <w:rFonts w:hint="eastAsia" w:ascii="宋体" w:hAnsi="宋体" w:cs="宋体"/>
          <w:color w:val="auto"/>
          <w:szCs w:val="21"/>
          <w:highlight w:val="none"/>
          <w:u w:val="single"/>
        </w:rPr>
        <w:t xml:space="preserve">   7天   </w:t>
      </w:r>
      <w:r>
        <w:rPr>
          <w:rFonts w:hint="eastAsia" w:ascii="宋体" w:hAnsi="宋体" w:cs="宋体"/>
          <w:color w:val="auto"/>
          <w:szCs w:val="21"/>
          <w:highlight w:val="none"/>
        </w:rPr>
        <w:t>。</w:t>
      </w:r>
    </w:p>
    <w:p w14:paraId="1F7A3FC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7.3.2 开工通知</w:t>
      </w:r>
    </w:p>
    <w:p w14:paraId="5AFECD6C">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因发包人原因造成监理人未能在计划开工日期之日起</w:t>
      </w:r>
      <w:r>
        <w:rPr>
          <w:rFonts w:hint="eastAsia" w:ascii="宋体" w:hAnsi="宋体" w:cs="宋体"/>
          <w:color w:val="auto"/>
          <w:szCs w:val="21"/>
          <w:highlight w:val="none"/>
          <w:u w:val="single"/>
        </w:rPr>
        <w:t xml:space="preserve"> </w:t>
      </w:r>
      <w:r>
        <w:rPr>
          <w:rFonts w:hint="eastAsia" w:ascii="宋体" w:hAnsi="宋体" w:cs="宋体"/>
          <w:strike w:val="0"/>
          <w:color w:val="auto"/>
          <w:szCs w:val="21"/>
          <w:highlight w:val="none"/>
          <w:u w:val="single"/>
          <w:lang w:val="en-US" w:eastAsia="zh-CN"/>
        </w:rPr>
        <w:t xml:space="preserve">90 </w:t>
      </w:r>
      <w:r>
        <w:rPr>
          <w:rFonts w:hint="eastAsia" w:ascii="宋体" w:hAnsi="宋体" w:cs="宋体"/>
          <w:color w:val="auto"/>
          <w:szCs w:val="21"/>
          <w:highlight w:val="none"/>
        </w:rPr>
        <w:t>天内发出开工通知的，承包人有权提出价格调整要求，或者解除合同。</w:t>
      </w:r>
    </w:p>
    <w:bookmarkEnd w:id="709"/>
    <w:bookmarkEnd w:id="710"/>
    <w:bookmarkEnd w:id="711"/>
    <w:bookmarkEnd w:id="712"/>
    <w:bookmarkEnd w:id="713"/>
    <w:bookmarkEnd w:id="714"/>
    <w:bookmarkEnd w:id="715"/>
    <w:p w14:paraId="6AFB3994">
      <w:pPr>
        <w:pStyle w:val="504"/>
        <w:spacing w:line="380" w:lineRule="exact"/>
        <w:ind w:firstLine="422" w:firstLineChars="200"/>
        <w:rPr>
          <w:rFonts w:ascii="宋体" w:cs="宋体"/>
          <w:color w:val="auto"/>
          <w:highlight w:val="none"/>
        </w:rPr>
      </w:pPr>
      <w:bookmarkStart w:id="729" w:name="_Toc373227726"/>
      <w:bookmarkStart w:id="730" w:name="_Toc256000205"/>
      <w:bookmarkStart w:id="731" w:name="_Toc373478373"/>
      <w:bookmarkStart w:id="732" w:name="_Toc418061337"/>
      <w:bookmarkStart w:id="733" w:name="_Toc418518372"/>
      <w:bookmarkStart w:id="734" w:name="_Toc418518136"/>
      <w:bookmarkStart w:id="735" w:name="_Toc497747204"/>
      <w:bookmarkStart w:id="736" w:name="_Toc418751822"/>
      <w:bookmarkStart w:id="737" w:name="_Toc522201755"/>
      <w:bookmarkStart w:id="738" w:name="_Toc403578960"/>
      <w:bookmarkStart w:id="739" w:name="_Toc497746807"/>
      <w:bookmarkStart w:id="740" w:name="_Toc418752268"/>
      <w:bookmarkStart w:id="741" w:name="_Toc389065292"/>
      <w:r>
        <w:rPr>
          <w:rFonts w:hint="eastAsia" w:ascii="宋体" w:cs="宋体"/>
          <w:color w:val="auto"/>
          <w:highlight w:val="none"/>
        </w:rPr>
        <w:t>7.4 测量放线</w:t>
      </w:r>
      <w:bookmarkEnd w:id="729"/>
      <w:bookmarkEnd w:id="730"/>
      <w:bookmarkEnd w:id="731"/>
      <w:bookmarkEnd w:id="732"/>
      <w:bookmarkEnd w:id="733"/>
      <w:bookmarkEnd w:id="734"/>
      <w:bookmarkEnd w:id="735"/>
      <w:bookmarkEnd w:id="736"/>
      <w:bookmarkEnd w:id="737"/>
      <w:bookmarkEnd w:id="738"/>
      <w:bookmarkEnd w:id="739"/>
      <w:bookmarkEnd w:id="740"/>
      <w:bookmarkEnd w:id="741"/>
    </w:p>
    <w:p w14:paraId="2AD26A95">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7.4.1发包人通过监理人向承包人提供测量基准点、基准线和水准点及其书面资料的期限：</w:t>
      </w:r>
      <w:r>
        <w:rPr>
          <w:rFonts w:hint="eastAsia" w:ascii="宋体" w:hAnsi="宋体" w:cs="宋体"/>
          <w:color w:val="auto"/>
          <w:szCs w:val="21"/>
          <w:highlight w:val="none"/>
          <w:u w:val="single"/>
        </w:rPr>
        <w:t>开工通知载明的开工日前 7 天，承包人进入工地后进行现场书面交桩。水准点、座标控制点交验完毕，即由承包人负责保护，此后由于破坏或失准带来的重新测量、放点费用及由此造成的其他损失均由承包人负担； 承包人应于开工通知后七天内现场校验，并根据国家测绘基准、测绘系统和工程测量技术规范，按上述基准点（线）以及合同工程精度要求，测设施工控制网，三方做好签认工作；承包人应于开工前3天，并在工程竣工后将施工控制网点移交发包人 。</w:t>
      </w:r>
    </w:p>
    <w:p w14:paraId="0C915CB0">
      <w:pPr>
        <w:pStyle w:val="504"/>
        <w:spacing w:line="380" w:lineRule="exact"/>
        <w:ind w:firstLine="422" w:firstLineChars="200"/>
        <w:rPr>
          <w:rFonts w:ascii="宋体" w:cs="宋体"/>
          <w:color w:val="auto"/>
          <w:highlight w:val="none"/>
        </w:rPr>
      </w:pPr>
      <w:bookmarkStart w:id="742" w:name="_Toc418518373"/>
      <w:bookmarkStart w:id="743" w:name="_Toc497747205"/>
      <w:bookmarkStart w:id="744" w:name="_Toc497746808"/>
      <w:bookmarkStart w:id="745" w:name="_Toc418751823"/>
      <w:bookmarkStart w:id="746" w:name="_Toc418518137"/>
      <w:bookmarkStart w:id="747" w:name="_Toc373478374"/>
      <w:bookmarkStart w:id="748" w:name="_Toc373227727"/>
      <w:bookmarkStart w:id="749" w:name="_Toc418061338"/>
      <w:bookmarkStart w:id="750" w:name="_Toc522201756"/>
      <w:bookmarkStart w:id="751" w:name="_Toc418752269"/>
      <w:bookmarkStart w:id="752" w:name="_Toc389065293"/>
      <w:bookmarkStart w:id="753" w:name="_Toc256000206"/>
      <w:bookmarkStart w:id="754" w:name="_Toc403578961"/>
      <w:r>
        <w:rPr>
          <w:rFonts w:hint="eastAsia" w:ascii="宋体" w:cs="宋体"/>
          <w:color w:val="auto"/>
          <w:highlight w:val="none"/>
        </w:rPr>
        <w:t>7</w:t>
      </w:r>
      <w:bookmarkStart w:id="755" w:name="_Toc312677484"/>
      <w:bookmarkStart w:id="756" w:name="_Toc304295546"/>
      <w:bookmarkStart w:id="757" w:name="_Toc297216175"/>
      <w:bookmarkStart w:id="758" w:name="_Toc303539125"/>
      <w:bookmarkStart w:id="759" w:name="_Toc300934968"/>
      <w:bookmarkStart w:id="760" w:name="_Toc297123516"/>
      <w:bookmarkStart w:id="761" w:name="_Toc312678010"/>
      <w:r>
        <w:rPr>
          <w:rFonts w:hint="eastAsia" w:ascii="宋体" w:cs="宋体"/>
          <w:color w:val="auto"/>
          <w:highlight w:val="none"/>
        </w:rPr>
        <w:t>.5 工期延误</w:t>
      </w:r>
      <w:bookmarkEnd w:id="742"/>
      <w:bookmarkEnd w:id="743"/>
      <w:bookmarkEnd w:id="744"/>
      <w:bookmarkEnd w:id="745"/>
      <w:bookmarkEnd w:id="746"/>
      <w:bookmarkEnd w:id="747"/>
      <w:bookmarkEnd w:id="748"/>
      <w:bookmarkEnd w:id="749"/>
      <w:bookmarkEnd w:id="750"/>
      <w:bookmarkEnd w:id="751"/>
      <w:bookmarkEnd w:id="752"/>
      <w:bookmarkEnd w:id="753"/>
      <w:bookmarkEnd w:id="754"/>
    </w:p>
    <w:bookmarkEnd w:id="755"/>
    <w:bookmarkEnd w:id="756"/>
    <w:bookmarkEnd w:id="757"/>
    <w:bookmarkEnd w:id="758"/>
    <w:bookmarkEnd w:id="759"/>
    <w:bookmarkEnd w:id="760"/>
    <w:bookmarkEnd w:id="761"/>
    <w:p w14:paraId="70570C50">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7.5.1 因发包人原因导致工期延误</w:t>
      </w:r>
    </w:p>
    <w:p w14:paraId="745BA74A">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（7）因发包人原因导致工期延误的其他情形：</w:t>
      </w:r>
      <w:r>
        <w:rPr>
          <w:rFonts w:hint="eastAsia" w:ascii="宋体" w:hAnsi="宋体" w:cs="宋体"/>
          <w:color w:val="auto"/>
          <w:szCs w:val="21"/>
          <w:highlight w:val="none"/>
          <w:u w:val="single"/>
        </w:rPr>
        <w:t xml:space="preserve">无  </w:t>
      </w:r>
      <w:r>
        <w:rPr>
          <w:rFonts w:hint="eastAsia" w:ascii="宋体" w:hAnsi="宋体" w:cs="宋体"/>
          <w:color w:val="auto"/>
          <w:szCs w:val="21"/>
          <w:highlight w:val="none"/>
        </w:rPr>
        <w:t>。</w:t>
      </w:r>
    </w:p>
    <w:p w14:paraId="753B86D1">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w:t>
      </w:r>
      <w:bookmarkStart w:id="762" w:name="_Toc312678012"/>
      <w:bookmarkStart w:id="763" w:name="_Toc312677486"/>
      <w:bookmarkStart w:id="764" w:name="_Toc318581169"/>
      <w:bookmarkStart w:id="765" w:name="_Toc297216177"/>
      <w:bookmarkStart w:id="766" w:name="_Toc297123518"/>
      <w:bookmarkStart w:id="767" w:name="_Toc304295548"/>
      <w:bookmarkStart w:id="768" w:name="_Toc300934970"/>
      <w:bookmarkStart w:id="769" w:name="_Toc303539127"/>
      <w:r>
        <w:rPr>
          <w:rFonts w:hint="eastAsia" w:ascii="宋体" w:hAnsi="宋体" w:cs="宋体"/>
          <w:color w:val="auto"/>
          <w:szCs w:val="21"/>
          <w:highlight w:val="none"/>
        </w:rPr>
        <w:t>.5.2 因承包人原因导致工期延误</w:t>
      </w:r>
    </w:p>
    <w:bookmarkEnd w:id="762"/>
    <w:bookmarkEnd w:id="763"/>
    <w:bookmarkEnd w:id="764"/>
    <w:p w14:paraId="4ADE3D8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双方约定经监理工程师确认，工期相应顺延的情况：</w:t>
      </w:r>
      <w:r>
        <w:rPr>
          <w:rFonts w:hint="eastAsia" w:ascii="宋体" w:hAnsi="宋体" w:cs="宋体"/>
          <w:color w:val="auto"/>
          <w:szCs w:val="21"/>
          <w:highlight w:val="none"/>
          <w:u w:val="single"/>
        </w:rPr>
        <w:t>非承包人原因导致的工期延误，合同工期</w:t>
      </w:r>
      <w:r>
        <w:rPr>
          <w:rFonts w:hint="eastAsia" w:ascii="宋体" w:hAnsi="宋体" w:cs="宋体"/>
          <w:color w:val="auto"/>
          <w:szCs w:val="21"/>
          <w:highlight w:val="none"/>
          <w:u w:val="single"/>
          <w:lang w:val="en-US" w:eastAsia="zh-CN"/>
        </w:rPr>
        <w:t>经包人及监理人书面签证进行</w:t>
      </w:r>
      <w:r>
        <w:rPr>
          <w:rFonts w:hint="eastAsia" w:ascii="宋体" w:hAnsi="宋体" w:cs="宋体"/>
          <w:color w:val="auto"/>
          <w:szCs w:val="21"/>
          <w:highlight w:val="none"/>
          <w:u w:val="single"/>
        </w:rPr>
        <w:t>相应顺延</w:t>
      </w:r>
      <w:r>
        <w:rPr>
          <w:rFonts w:hint="eastAsia" w:ascii="宋体" w:hAnsi="宋体" w:cs="宋体"/>
          <w:color w:val="auto"/>
          <w:szCs w:val="21"/>
          <w:highlight w:val="none"/>
        </w:rPr>
        <w:t>。</w:t>
      </w:r>
    </w:p>
    <w:p w14:paraId="20179670">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因</w:t>
      </w:r>
      <w:bookmarkStart w:id="770" w:name="_Toc312677487"/>
      <w:bookmarkStart w:id="771" w:name="_Toc318581170"/>
      <w:bookmarkStart w:id="772" w:name="_Toc312678013"/>
      <w:r>
        <w:rPr>
          <w:rFonts w:hint="eastAsia" w:ascii="宋体" w:hAnsi="宋体" w:cs="宋体"/>
          <w:color w:val="auto"/>
          <w:szCs w:val="21"/>
          <w:highlight w:val="none"/>
        </w:rPr>
        <w:t>承包人原因造成工期延误，逾期竣工违约金的计算方法为：</w:t>
      </w:r>
      <w:r>
        <w:rPr>
          <w:rFonts w:hint="eastAsia" w:ascii="宋体" w:hAnsi="宋体" w:cs="宋体"/>
          <w:strike w:val="0"/>
          <w:color w:val="auto"/>
          <w:szCs w:val="21"/>
          <w:highlight w:val="none"/>
          <w:u w:val="single"/>
        </w:rPr>
        <w:t>非上述原因，</w:t>
      </w:r>
      <w:r>
        <w:rPr>
          <w:rFonts w:hint="eastAsia" w:ascii="宋体" w:hAnsi="宋体" w:cs="宋体"/>
          <w:color w:val="auto"/>
          <w:szCs w:val="21"/>
          <w:highlight w:val="none"/>
          <w:u w:val="single"/>
        </w:rPr>
        <w:t>承包人不能按合同约定的时间竣工，承包人应承担违约责任，并应向发包人支付误期赔偿费（每天赔偿金额为合同价款扣除社会保险费、发包人材料价款、暂估专业工程、暂列金额后的的万分之四），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如非承包人原因造成工期延误则承包人须在规定的时间内提出书面意见，逾期则视为承包人自行放弃。由于承包人原因造成本工程延期三个月的，除按上述标准赔偿给发包人外，发包人有权</w:t>
      </w:r>
      <w:r>
        <w:rPr>
          <w:rFonts w:hint="eastAsia" w:ascii="宋体" w:hAnsi="宋体" w:cs="宋体"/>
          <w:color w:val="auto"/>
          <w:szCs w:val="21"/>
          <w:highlight w:val="none"/>
          <w:u w:val="single"/>
          <w:lang w:val="en-US" w:eastAsia="zh-CN"/>
        </w:rPr>
        <w:t>解除</w:t>
      </w:r>
      <w:r>
        <w:rPr>
          <w:rFonts w:hint="eastAsia" w:ascii="宋体" w:hAnsi="宋体" w:cs="宋体"/>
          <w:color w:val="auto"/>
          <w:szCs w:val="21"/>
          <w:highlight w:val="none"/>
          <w:u w:val="single"/>
        </w:rPr>
        <w:t xml:space="preserve">合同，并依法追究承包人的违约责任，由此造成的一切损失均由责任人负责。 </w:t>
      </w:r>
    </w:p>
    <w:bookmarkEnd w:id="765"/>
    <w:bookmarkEnd w:id="766"/>
    <w:bookmarkEnd w:id="767"/>
    <w:bookmarkEnd w:id="768"/>
    <w:bookmarkEnd w:id="769"/>
    <w:bookmarkEnd w:id="770"/>
    <w:bookmarkEnd w:id="771"/>
    <w:bookmarkEnd w:id="772"/>
    <w:p w14:paraId="1CAA65D7">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因承包人原因造成工期延误，逾</w:t>
      </w:r>
      <w:bookmarkStart w:id="773" w:name="_Toc318581171"/>
      <w:bookmarkStart w:id="774" w:name="_Toc312678014"/>
      <w:r>
        <w:rPr>
          <w:rFonts w:hint="eastAsia" w:ascii="宋体" w:hAnsi="宋体" w:cs="宋体"/>
          <w:color w:val="auto"/>
          <w:szCs w:val="21"/>
          <w:highlight w:val="none"/>
        </w:rPr>
        <w:t>期竣工违约金的上限：</w:t>
      </w:r>
      <w:r>
        <w:rPr>
          <w:rFonts w:ascii="宋体" w:hAnsi="宋体" w:eastAsia="宋体" w:cs="宋体"/>
          <w:spacing w:val="-4"/>
          <w:sz w:val="21"/>
          <w:szCs w:val="21"/>
          <w:u w:val="single" w:color="auto"/>
        </w:rPr>
        <w:t>以合同总价的 2%为上限</w:t>
      </w:r>
      <w:r>
        <w:rPr>
          <w:rFonts w:hint="eastAsia" w:ascii="宋体" w:hAnsi="宋体" w:cs="宋体"/>
          <w:color w:val="auto"/>
          <w:szCs w:val="21"/>
          <w:highlight w:val="none"/>
        </w:rPr>
        <w:t>。</w:t>
      </w:r>
    </w:p>
    <w:bookmarkEnd w:id="773"/>
    <w:bookmarkEnd w:id="774"/>
    <w:p w14:paraId="5C3187FA">
      <w:pPr>
        <w:pStyle w:val="504"/>
        <w:spacing w:line="380" w:lineRule="exact"/>
        <w:ind w:firstLine="422" w:firstLineChars="200"/>
        <w:rPr>
          <w:rFonts w:ascii="宋体" w:cs="宋体"/>
          <w:color w:val="auto"/>
          <w:highlight w:val="none"/>
        </w:rPr>
      </w:pPr>
      <w:bookmarkStart w:id="775" w:name="_Toc373227728"/>
      <w:bookmarkStart w:id="776" w:name="_Toc389065294"/>
      <w:bookmarkStart w:id="777" w:name="_Toc418518138"/>
      <w:bookmarkStart w:id="778" w:name="_Toc522201757"/>
      <w:bookmarkStart w:id="779" w:name="_Toc418061339"/>
      <w:bookmarkStart w:id="780" w:name="_Toc418518374"/>
      <w:bookmarkStart w:id="781" w:name="_Toc497746809"/>
      <w:bookmarkStart w:id="782" w:name="_Toc418751824"/>
      <w:bookmarkStart w:id="783" w:name="_Toc418752270"/>
      <w:bookmarkStart w:id="784" w:name="_Toc256000207"/>
      <w:bookmarkStart w:id="785" w:name="_Toc497747206"/>
      <w:bookmarkStart w:id="786" w:name="_Toc403578962"/>
      <w:bookmarkStart w:id="787" w:name="_Toc373478375"/>
      <w:r>
        <w:rPr>
          <w:rFonts w:hint="eastAsia" w:ascii="宋体" w:cs="宋体"/>
          <w:color w:val="auto"/>
          <w:highlight w:val="none"/>
        </w:rPr>
        <w:t>7</w:t>
      </w:r>
      <w:bookmarkStart w:id="788" w:name="_Toc303539128"/>
      <w:bookmarkStart w:id="789" w:name="_Toc300934971"/>
      <w:bookmarkStart w:id="790" w:name="_Toc297216178"/>
      <w:bookmarkStart w:id="791" w:name="_Toc304295549"/>
      <w:bookmarkStart w:id="792" w:name="_Toc312678015"/>
      <w:bookmarkStart w:id="793" w:name="_Toc297123519"/>
      <w:r>
        <w:rPr>
          <w:rFonts w:hint="eastAsia" w:ascii="宋体" w:cs="宋体"/>
          <w:color w:val="auto"/>
          <w:highlight w:val="none"/>
        </w:rPr>
        <w:t>.6 不</w:t>
      </w:r>
      <w:bookmarkEnd w:id="788"/>
      <w:bookmarkEnd w:id="789"/>
      <w:bookmarkEnd w:id="790"/>
      <w:bookmarkEnd w:id="791"/>
      <w:bookmarkEnd w:id="792"/>
      <w:bookmarkEnd w:id="793"/>
      <w:r>
        <w:rPr>
          <w:rFonts w:hint="eastAsia" w:ascii="宋体" w:cs="宋体"/>
          <w:color w:val="auto"/>
          <w:highlight w:val="none"/>
        </w:rPr>
        <w:t>利物质条件</w:t>
      </w:r>
      <w:bookmarkEnd w:id="775"/>
      <w:bookmarkEnd w:id="776"/>
      <w:bookmarkEnd w:id="777"/>
      <w:bookmarkEnd w:id="778"/>
      <w:bookmarkEnd w:id="779"/>
      <w:bookmarkEnd w:id="780"/>
      <w:bookmarkEnd w:id="781"/>
      <w:bookmarkEnd w:id="782"/>
      <w:bookmarkEnd w:id="783"/>
      <w:bookmarkEnd w:id="784"/>
      <w:bookmarkEnd w:id="785"/>
      <w:bookmarkEnd w:id="786"/>
      <w:bookmarkEnd w:id="787"/>
    </w:p>
    <w:p w14:paraId="1E45493A">
      <w:pPr>
        <w:pStyle w:val="396"/>
        <w:spacing w:line="380" w:lineRule="exact"/>
        <w:ind w:firstLine="420" w:firstLineChars="200"/>
        <w:jc w:val="left"/>
        <w:rPr>
          <w:rFonts w:ascii="宋体" w:hAnsi="宋体" w:cs="宋体"/>
          <w:color w:val="auto"/>
          <w:szCs w:val="21"/>
          <w:highlight w:val="none"/>
          <w:u w:val="single"/>
        </w:rPr>
      </w:pPr>
      <w:bookmarkStart w:id="794" w:name="_Toc297216179"/>
      <w:bookmarkStart w:id="795" w:name="_Toc312678016"/>
      <w:bookmarkStart w:id="796" w:name="_Toc297123520"/>
      <w:bookmarkStart w:id="797" w:name="_Toc303539129"/>
      <w:bookmarkStart w:id="798" w:name="_Toc304295550"/>
      <w:bookmarkStart w:id="799" w:name="_Toc318581172"/>
      <w:bookmarkStart w:id="800" w:name="_Toc300934972"/>
      <w:r>
        <w:rPr>
          <w:rFonts w:hint="eastAsia" w:ascii="宋体" w:hAnsi="宋体" w:cs="宋体"/>
          <w:color w:val="auto"/>
          <w:szCs w:val="21"/>
          <w:highlight w:val="none"/>
        </w:rPr>
        <w:t>不利物质条件的其他情形和有关约定：</w:t>
      </w:r>
      <w:r>
        <w:rPr>
          <w:rFonts w:hint="eastAsia" w:ascii="宋体" w:hAnsi="宋体" w:cs="宋体"/>
          <w:color w:val="auto"/>
          <w:szCs w:val="21"/>
          <w:highlight w:val="none"/>
          <w:u w:val="single"/>
        </w:rPr>
        <w:t xml:space="preserve">  一周内非承包人原因，停水、停电、停气造成停工连续超过8小时；重大设计变更和工程量增加；发包人手续不全致使施工不能正常进行；发包人未能按约定时间支付工程款致使施工不能正常进行的；非承包人原因的政府及发包人有关的停工通知，以上不利物质条件延误工期的相应延长工期，因发包人原因给承包人造成损失的由发包人相应赔偿承包人，属政府和环境等原因的，双方协商处理</w:t>
      </w:r>
      <w:r>
        <w:rPr>
          <w:rFonts w:hint="eastAsia" w:ascii="宋体" w:hAnsi="宋体" w:cs="宋体"/>
          <w:color w:val="auto"/>
          <w:szCs w:val="21"/>
          <w:highlight w:val="none"/>
        </w:rPr>
        <w:t>。</w:t>
      </w:r>
    </w:p>
    <w:bookmarkEnd w:id="794"/>
    <w:bookmarkEnd w:id="795"/>
    <w:bookmarkEnd w:id="796"/>
    <w:bookmarkEnd w:id="797"/>
    <w:bookmarkEnd w:id="798"/>
    <w:bookmarkEnd w:id="799"/>
    <w:bookmarkEnd w:id="800"/>
    <w:p w14:paraId="6481B2C5">
      <w:pPr>
        <w:pStyle w:val="504"/>
        <w:spacing w:line="380" w:lineRule="exact"/>
        <w:ind w:firstLine="422" w:firstLineChars="200"/>
        <w:rPr>
          <w:rFonts w:ascii="宋体" w:cs="宋体"/>
          <w:color w:val="auto"/>
          <w:highlight w:val="none"/>
        </w:rPr>
      </w:pPr>
      <w:bookmarkStart w:id="801" w:name="_Toc418752271"/>
      <w:bookmarkStart w:id="802" w:name="_Toc389065295"/>
      <w:bookmarkStart w:id="803" w:name="_Toc403578963"/>
      <w:bookmarkStart w:id="804" w:name="_Toc418751825"/>
      <w:bookmarkStart w:id="805" w:name="_Toc497746810"/>
      <w:bookmarkStart w:id="806" w:name="_Toc418518139"/>
      <w:bookmarkStart w:id="807" w:name="_Toc497747207"/>
      <w:bookmarkStart w:id="808" w:name="_Toc418061340"/>
      <w:bookmarkStart w:id="809" w:name="_Toc522201758"/>
      <w:bookmarkStart w:id="810" w:name="_Toc373478376"/>
      <w:bookmarkStart w:id="811" w:name="_Toc256000208"/>
      <w:bookmarkStart w:id="812" w:name="_Toc418518375"/>
      <w:bookmarkStart w:id="813" w:name="_Toc373227729"/>
      <w:r>
        <w:rPr>
          <w:rFonts w:hint="eastAsia" w:ascii="宋体" w:cs="宋体"/>
          <w:color w:val="auto"/>
          <w:highlight w:val="none"/>
        </w:rPr>
        <w:t>7</w:t>
      </w:r>
      <w:bookmarkStart w:id="814" w:name="_Toc312678017"/>
      <w:bookmarkStart w:id="815" w:name="_Toc303539130"/>
      <w:bookmarkStart w:id="816" w:name="_Toc297123521"/>
      <w:bookmarkStart w:id="817" w:name="_Toc297216180"/>
      <w:bookmarkStart w:id="818" w:name="_Toc304295551"/>
      <w:bookmarkStart w:id="819" w:name="_Toc300934973"/>
      <w:r>
        <w:rPr>
          <w:rFonts w:hint="eastAsia" w:ascii="宋体" w:cs="宋体"/>
          <w:color w:val="auto"/>
          <w:highlight w:val="none"/>
        </w:rPr>
        <w:t>.7 异常恶劣的气候条件</w:t>
      </w:r>
      <w:bookmarkEnd w:id="801"/>
      <w:bookmarkEnd w:id="802"/>
      <w:bookmarkEnd w:id="803"/>
      <w:bookmarkEnd w:id="804"/>
      <w:bookmarkEnd w:id="805"/>
      <w:bookmarkEnd w:id="806"/>
      <w:bookmarkEnd w:id="807"/>
      <w:bookmarkEnd w:id="808"/>
      <w:bookmarkEnd w:id="809"/>
      <w:bookmarkEnd w:id="810"/>
      <w:bookmarkEnd w:id="811"/>
      <w:bookmarkEnd w:id="812"/>
      <w:bookmarkEnd w:id="813"/>
    </w:p>
    <w:bookmarkEnd w:id="814"/>
    <w:bookmarkEnd w:id="815"/>
    <w:bookmarkEnd w:id="816"/>
    <w:bookmarkEnd w:id="817"/>
    <w:bookmarkEnd w:id="818"/>
    <w:bookmarkEnd w:id="819"/>
    <w:p w14:paraId="46E0C70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发包人和承包人同意以下情形视为异常恶劣的气候条件：</w:t>
      </w:r>
    </w:p>
    <w:p w14:paraId="4BDDC0BF">
      <w:pPr>
        <w:pStyle w:val="396"/>
        <w:spacing w:line="380" w:lineRule="exact"/>
        <w:ind w:firstLine="420" w:firstLineChars="200"/>
        <w:rPr>
          <w:rFonts w:ascii="宋体" w:hAnsi="宋体" w:cs="宋体"/>
          <w:color w:val="auto"/>
          <w:szCs w:val="21"/>
          <w:highlight w:val="none"/>
          <w:u w:val="single"/>
        </w:rPr>
      </w:pPr>
      <w:bookmarkStart w:id="820" w:name="_Toc373227730"/>
      <w:bookmarkStart w:id="821" w:name="_Toc497747208"/>
      <w:bookmarkStart w:id="822" w:name="_Toc418751826"/>
      <w:bookmarkStart w:id="823" w:name="_Toc418061341"/>
      <w:bookmarkStart w:id="824" w:name="_Toc403578964"/>
      <w:bookmarkStart w:id="825" w:name="_Toc418752272"/>
      <w:bookmarkStart w:id="826" w:name="_Toc389065296"/>
      <w:bookmarkStart w:id="827" w:name="_Toc497746811"/>
      <w:bookmarkStart w:id="828" w:name="_Toc373478377"/>
      <w:bookmarkStart w:id="829" w:name="_Toc418518140"/>
      <w:bookmarkStart w:id="830" w:name="_Toc418518376"/>
      <w:r>
        <w:rPr>
          <w:rFonts w:hint="eastAsia" w:ascii="宋体" w:hAnsi="宋体" w:cs="宋体"/>
          <w:color w:val="auto"/>
          <w:szCs w:val="21"/>
          <w:highlight w:val="none"/>
        </w:rPr>
        <w:t>（1）</w:t>
      </w:r>
      <w:r>
        <w:rPr>
          <w:rFonts w:hint="eastAsia" w:ascii="宋体" w:hAnsi="宋体" w:cs="宋体"/>
          <w:color w:val="auto"/>
          <w:szCs w:val="21"/>
          <w:highlight w:val="none"/>
          <w:u w:val="single"/>
        </w:rPr>
        <w:t>10级以上持续1天的大风；</w:t>
      </w:r>
    </w:p>
    <w:p w14:paraId="12E720FA">
      <w:pPr>
        <w:pStyle w:val="396"/>
        <w:numPr>
          <w:ilvl w:val="0"/>
          <w:numId w:val="5"/>
        </w:numPr>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暴雨级以上持续2天的大雨；</w:t>
      </w:r>
    </w:p>
    <w:p w14:paraId="4D72097A">
      <w:pPr>
        <w:pStyle w:val="396"/>
        <w:numPr>
          <w:ilvl w:val="0"/>
          <w:numId w:val="5"/>
        </w:numPr>
        <w:spacing w:line="380" w:lineRule="exact"/>
        <w:ind w:firstLine="420" w:firstLineChars="200"/>
        <w:rPr>
          <w:rFonts w:ascii="宋体" w:hAnsi="宋体" w:cs="宋体"/>
          <w:color w:val="auto"/>
          <w:szCs w:val="21"/>
          <w:highlight w:val="none"/>
          <w:u w:val="single"/>
        </w:rPr>
      </w:pPr>
      <w:r>
        <w:rPr>
          <w:rFonts w:hint="eastAsia" w:ascii="宋体" w:hAnsi="宋体"/>
          <w:color w:val="auto"/>
          <w:szCs w:val="21"/>
          <w:highlight w:val="none"/>
          <w:u w:val="single"/>
        </w:rPr>
        <w:t>当地6级以上的破坏性地震；</w:t>
      </w:r>
    </w:p>
    <w:p w14:paraId="7C4AA9D1">
      <w:pPr>
        <w:pStyle w:val="396"/>
        <w:numPr>
          <w:ilvl w:val="0"/>
          <w:numId w:val="5"/>
        </w:numPr>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50年以上未发生过的持续2天的高温天气；</w:t>
      </w:r>
    </w:p>
    <w:p w14:paraId="641D67C7">
      <w:pPr>
        <w:pStyle w:val="396"/>
        <w:numPr>
          <w:ilvl w:val="0"/>
          <w:numId w:val="5"/>
        </w:numPr>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50年以上未发生的持续2天的低温天气。</w:t>
      </w:r>
    </w:p>
    <w:p w14:paraId="5549A5F7">
      <w:pPr>
        <w:pStyle w:val="396"/>
        <w:spacing w:line="380" w:lineRule="exact"/>
        <w:ind w:firstLine="630" w:firstLineChars="300"/>
        <w:rPr>
          <w:rFonts w:ascii="宋体" w:hAnsi="宋体" w:cs="宋体"/>
          <w:color w:val="auto"/>
          <w:szCs w:val="21"/>
          <w:highlight w:val="none"/>
          <w:u w:val="single"/>
        </w:rPr>
      </w:pPr>
      <w:r>
        <w:rPr>
          <w:rFonts w:hint="eastAsia" w:ascii="宋体" w:hAnsi="宋体" w:cs="宋体"/>
          <w:color w:val="auto"/>
          <w:szCs w:val="21"/>
          <w:highlight w:val="none"/>
          <w:u w:val="single"/>
        </w:rPr>
        <w:t>施工场地受淹超过发包人提供设计图纸指明的设计洪水位以及因天气原因无法施工并经监理确认引起延误的情况。承包人有权要求发包人延长工期, 但对上述几种情形，对工程施工造成影响和灾害的，需提供政府相关部门对不可抗力认定的证明材料为依据。</w:t>
      </w:r>
    </w:p>
    <w:p w14:paraId="62BBA5DD">
      <w:pPr>
        <w:pStyle w:val="396"/>
        <w:spacing w:line="380" w:lineRule="exact"/>
        <w:jc w:val="left"/>
        <w:rPr>
          <w:rFonts w:ascii="宋体" w:hAnsi="宋体" w:cs="宋体"/>
          <w:b/>
          <w:bCs/>
          <w:color w:val="auto"/>
          <w:szCs w:val="21"/>
          <w:highlight w:val="none"/>
        </w:rPr>
      </w:pPr>
      <w:r>
        <w:rPr>
          <w:rFonts w:hint="eastAsia" w:ascii="宋体" w:hAnsi="宋体" w:cs="宋体"/>
          <w:b/>
          <w:bCs/>
          <w:color w:val="auto"/>
          <w:szCs w:val="21"/>
          <w:highlight w:val="none"/>
        </w:rPr>
        <w:t>7.8暂停施工</w:t>
      </w:r>
    </w:p>
    <w:p w14:paraId="28A9DCCC">
      <w:pPr>
        <w:pStyle w:val="501"/>
        <w:spacing w:line="380" w:lineRule="exact"/>
        <w:ind w:firstLine="0" w:firstLineChars="0"/>
        <w:rPr>
          <w:rFonts w:ascii="宋体" w:hAnsi="宋体" w:cs="宋体"/>
          <w:b/>
          <w:color w:val="auto"/>
          <w:highlight w:val="none"/>
        </w:rPr>
      </w:pPr>
      <w:r>
        <w:rPr>
          <w:rFonts w:hint="eastAsia" w:ascii="宋体" w:hAnsi="宋体" w:cs="宋体"/>
          <w:b/>
          <w:color w:val="auto"/>
          <w:highlight w:val="none"/>
        </w:rPr>
        <w:t>7.8.2承包人原因引起的暂停施工</w:t>
      </w:r>
    </w:p>
    <w:p w14:paraId="43A6C534">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承包人承担暂停施工责任的其他情形：</w:t>
      </w:r>
      <w:r>
        <w:rPr>
          <w:rFonts w:hint="eastAsia" w:ascii="宋体" w:hAnsi="宋体" w:cs="宋体"/>
          <w:color w:val="auto"/>
          <w:szCs w:val="21"/>
          <w:highlight w:val="none"/>
          <w:u w:val="single"/>
        </w:rPr>
        <w:t>（1）监理工程师为保证工程质量和施工安全所指令的暂停施工；（2）因质量安全隐患或事故，被建设行政主管部门及安全生产监督责令暂停施工或自行暂停施工；（3）因承包人违反规范或任何工程质量不合格而进行返工、重建、修建的工期；（4）未按设计要求进行施工、或因施工组织方案不可行导致发包人未能按时审批而影响开工的；（5）工程验收不合格发现存在质量问题或技术问题需要修改的；（6）承包人与发包人未能在约定时间内达成一致而暂停施工；（7）工程质量未达到等级标准要求，发包人要求承包人返工的；（8）承包人因农忙时期而暂停施工；综述其工期不予顺延，责任自负。</w:t>
      </w:r>
    </w:p>
    <w:p w14:paraId="488AD578">
      <w:pPr>
        <w:pStyle w:val="501"/>
        <w:spacing w:line="380" w:lineRule="exact"/>
        <w:rPr>
          <w:rFonts w:ascii="宋体" w:hAnsi="宋体" w:cs="宋体"/>
          <w:color w:val="auto"/>
          <w:highlight w:val="none"/>
          <w:u w:val="single"/>
        </w:rPr>
      </w:pPr>
      <w:r>
        <w:rPr>
          <w:rFonts w:hint="eastAsia" w:ascii="宋体" w:hAnsi="宋体" w:cs="宋体"/>
          <w:color w:val="auto"/>
          <w:highlight w:val="none"/>
          <w:u w:val="single"/>
        </w:rPr>
        <w:t>因承包人责任暂停施工延误施工时机而导致遭遇不利条件物质条件和异常恶劣的气候条件、不可抗力造成的工期延误和费用增加由承包人承担。</w:t>
      </w:r>
    </w:p>
    <w:p w14:paraId="6F1CE59D">
      <w:pPr>
        <w:pStyle w:val="501"/>
        <w:spacing w:line="380" w:lineRule="exact"/>
        <w:ind w:firstLine="0" w:firstLineChars="0"/>
        <w:rPr>
          <w:rFonts w:ascii="宋体" w:hAnsi="宋体" w:cs="宋体"/>
          <w:b/>
          <w:color w:val="auto"/>
          <w:highlight w:val="none"/>
        </w:rPr>
      </w:pPr>
      <w:r>
        <w:rPr>
          <w:rFonts w:hint="eastAsia" w:ascii="宋体" w:hAnsi="宋体" w:cs="宋体"/>
          <w:b/>
          <w:color w:val="auto"/>
          <w:highlight w:val="none"/>
        </w:rPr>
        <w:t>7.8.5暂停施工后的复工</w:t>
      </w:r>
    </w:p>
    <w:p w14:paraId="5141D47F">
      <w:pPr>
        <w:pStyle w:val="501"/>
        <w:spacing w:line="380" w:lineRule="exact"/>
        <w:rPr>
          <w:rFonts w:ascii="宋体" w:hAnsi="宋体" w:cs="宋体"/>
          <w:color w:val="auto"/>
          <w:highlight w:val="none"/>
        </w:rPr>
      </w:pPr>
      <w:r>
        <w:rPr>
          <w:rFonts w:hint="eastAsia" w:ascii="宋体" w:hAnsi="宋体" w:cs="宋体"/>
          <w:color w:val="auto"/>
          <w:highlight w:val="none"/>
          <w:u w:val="single"/>
        </w:rPr>
        <w:t>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17874583">
      <w:pPr>
        <w:pStyle w:val="504"/>
        <w:spacing w:line="380" w:lineRule="exact"/>
        <w:ind w:firstLine="422" w:firstLineChars="200"/>
        <w:rPr>
          <w:rFonts w:ascii="宋体" w:cs="宋体"/>
          <w:color w:val="auto"/>
          <w:highlight w:val="none"/>
        </w:rPr>
      </w:pPr>
      <w:bookmarkStart w:id="831" w:name="_Toc522201759"/>
      <w:bookmarkStart w:id="832" w:name="_Toc256000209"/>
      <w:r>
        <w:rPr>
          <w:rFonts w:hint="eastAsia" w:ascii="宋体" w:cs="宋体"/>
          <w:color w:val="auto"/>
          <w:highlight w:val="none"/>
        </w:rPr>
        <w:t>7.9 提前竣工</w:t>
      </w:r>
      <w:bookmarkEnd w:id="820"/>
      <w:bookmarkEnd w:id="821"/>
      <w:bookmarkEnd w:id="822"/>
      <w:bookmarkEnd w:id="823"/>
      <w:bookmarkEnd w:id="824"/>
      <w:bookmarkEnd w:id="825"/>
      <w:bookmarkEnd w:id="826"/>
      <w:bookmarkEnd w:id="827"/>
      <w:bookmarkEnd w:id="828"/>
      <w:bookmarkEnd w:id="829"/>
      <w:bookmarkEnd w:id="830"/>
      <w:bookmarkEnd w:id="831"/>
      <w:bookmarkEnd w:id="832"/>
    </w:p>
    <w:p w14:paraId="2B37B01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7.9.2提前竣工的奖励：</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1B81978A">
      <w:pPr>
        <w:pStyle w:val="504"/>
        <w:numPr>
          <w:ilvl w:val="0"/>
          <w:numId w:val="6"/>
        </w:numPr>
        <w:spacing w:line="380" w:lineRule="exact"/>
        <w:rPr>
          <w:rFonts w:ascii="宋体" w:cs="宋体"/>
          <w:color w:val="auto"/>
          <w:highlight w:val="none"/>
        </w:rPr>
      </w:pPr>
      <w:bookmarkStart w:id="833" w:name="_Toc373478378"/>
      <w:bookmarkStart w:id="834" w:name="_Toc373227731"/>
      <w:bookmarkStart w:id="835" w:name="_Toc403578965"/>
      <w:bookmarkStart w:id="836" w:name="_Toc497746812"/>
      <w:bookmarkStart w:id="837" w:name="_Toc418751827"/>
      <w:bookmarkStart w:id="838" w:name="_Toc418518377"/>
      <w:bookmarkStart w:id="839" w:name="_Toc522201760"/>
      <w:bookmarkStart w:id="840" w:name="_Toc256000210"/>
      <w:bookmarkStart w:id="841" w:name="_Toc418752273"/>
      <w:bookmarkStart w:id="842" w:name="_Toc418518141"/>
      <w:bookmarkStart w:id="843" w:name="_Toc351203640"/>
      <w:bookmarkStart w:id="844" w:name="_Toc389065297"/>
      <w:bookmarkStart w:id="845" w:name="_Toc418061342"/>
      <w:bookmarkStart w:id="846" w:name="_Toc497747209"/>
      <w:r>
        <w:rPr>
          <w:rFonts w:hint="eastAsia" w:ascii="宋体" w:cs="宋体"/>
          <w:color w:val="auto"/>
          <w:highlight w:val="none"/>
        </w:rPr>
        <w:t>材料与设备</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14:paraId="6D7F69DB">
      <w:pPr>
        <w:pStyle w:val="501"/>
        <w:spacing w:line="380" w:lineRule="exact"/>
        <w:rPr>
          <w:rFonts w:ascii="宋体" w:hAnsi="宋体" w:cs="宋体"/>
          <w:color w:val="auto"/>
          <w:highlight w:val="none"/>
        </w:rPr>
      </w:pPr>
      <w:r>
        <w:rPr>
          <w:rFonts w:ascii="宋体" w:hAnsi="宋体" w:cs="宋体"/>
          <w:color w:val="auto"/>
          <w:highlight w:val="none"/>
        </w:rPr>
        <w:t>承包人采购材料和设备的约定：</w:t>
      </w:r>
    </w:p>
    <w:bookmarkEnd w:id="612"/>
    <w:bookmarkEnd w:id="613"/>
    <w:bookmarkEnd w:id="614"/>
    <w:bookmarkEnd w:id="615"/>
    <w:bookmarkEnd w:id="616"/>
    <w:bookmarkEnd w:id="617"/>
    <w:bookmarkEnd w:id="618"/>
    <w:bookmarkEnd w:id="619"/>
    <w:bookmarkEnd w:id="620"/>
    <w:bookmarkEnd w:id="621"/>
    <w:p w14:paraId="50DDF177">
      <w:pPr>
        <w:pStyle w:val="504"/>
        <w:spacing w:line="380" w:lineRule="exact"/>
        <w:ind w:firstLine="422" w:firstLineChars="200"/>
        <w:rPr>
          <w:rFonts w:ascii="宋体" w:cs="宋体"/>
          <w:color w:val="auto"/>
          <w:highlight w:val="none"/>
        </w:rPr>
      </w:pPr>
      <w:bookmarkStart w:id="847" w:name="_Toc403578966"/>
      <w:bookmarkStart w:id="848" w:name="_Toc389065298"/>
      <w:bookmarkStart w:id="849" w:name="_Toc497747210"/>
      <w:bookmarkStart w:id="850" w:name="_Toc373227732"/>
      <w:bookmarkStart w:id="851" w:name="_Toc418751828"/>
      <w:bookmarkStart w:id="852" w:name="_Toc418518378"/>
      <w:bookmarkStart w:id="853" w:name="_Toc497746813"/>
      <w:bookmarkStart w:id="854" w:name="_Toc522201761"/>
      <w:bookmarkStart w:id="855" w:name="_Toc418061343"/>
      <w:bookmarkStart w:id="856" w:name="_Toc373478379"/>
      <w:bookmarkStart w:id="857" w:name="_Toc418518142"/>
      <w:bookmarkStart w:id="858" w:name="_Toc256000211"/>
      <w:bookmarkStart w:id="859" w:name="_Toc418752274"/>
      <w:r>
        <w:rPr>
          <w:rFonts w:hint="eastAsia" w:ascii="宋体" w:cs="宋体"/>
          <w:color w:val="auto"/>
          <w:highlight w:val="none"/>
        </w:rPr>
        <w:t>8.2 承包人采购材料与工程设备</w:t>
      </w:r>
      <w:bookmarkEnd w:id="847"/>
      <w:bookmarkEnd w:id="848"/>
      <w:bookmarkEnd w:id="849"/>
      <w:bookmarkEnd w:id="850"/>
      <w:bookmarkEnd w:id="851"/>
      <w:bookmarkEnd w:id="852"/>
      <w:bookmarkEnd w:id="853"/>
      <w:bookmarkEnd w:id="854"/>
      <w:bookmarkEnd w:id="855"/>
      <w:bookmarkEnd w:id="856"/>
      <w:bookmarkEnd w:id="857"/>
      <w:bookmarkEnd w:id="858"/>
      <w:bookmarkEnd w:id="859"/>
    </w:p>
    <w:p w14:paraId="5FA22CEF">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除已标价工程量清单《发包人提供主要材料和工程设备一览表》（表-21）中明确的材料、工程设备外，由承包人负责材料和工程设备的采购、运输和保管。《</w:t>
      </w:r>
      <w:r>
        <w:rPr>
          <w:rFonts w:hint="eastAsia" w:ascii="宋体" w:hAnsi="宋体" w:cs="宋体"/>
          <w:color w:val="auto"/>
          <w:szCs w:val="21"/>
          <w:highlight w:val="none"/>
        </w:rPr>
        <w:t>承包人提供主要材料和工程设备一览表》</w:t>
      </w:r>
      <w:r>
        <w:rPr>
          <w:rFonts w:hint="eastAsia" w:ascii="宋体" w:hAnsi="宋体" w:cs="宋体"/>
          <w:color w:val="auto"/>
          <w:kern w:val="0"/>
          <w:szCs w:val="21"/>
          <w:highlight w:val="none"/>
        </w:rPr>
        <w:t>（表-22）见已标价工程量清单。</w:t>
      </w:r>
    </w:p>
    <w:p w14:paraId="28B63AF7">
      <w:pPr>
        <w:pStyle w:val="504"/>
        <w:spacing w:line="380" w:lineRule="exact"/>
        <w:ind w:firstLine="422" w:firstLineChars="200"/>
        <w:rPr>
          <w:rFonts w:ascii="宋体" w:cs="宋体"/>
          <w:color w:val="auto"/>
          <w:highlight w:val="none"/>
        </w:rPr>
      </w:pPr>
      <w:bookmarkStart w:id="860" w:name="_Toc389065299"/>
      <w:bookmarkStart w:id="861" w:name="_Toc497747211"/>
      <w:bookmarkStart w:id="862" w:name="_Toc418752275"/>
      <w:bookmarkStart w:id="863" w:name="_Toc418518379"/>
      <w:bookmarkStart w:id="864" w:name="_Toc373478380"/>
      <w:bookmarkStart w:id="865" w:name="_Toc497746814"/>
      <w:bookmarkStart w:id="866" w:name="_Toc418061344"/>
      <w:bookmarkStart w:id="867" w:name="_Toc373227733"/>
      <w:bookmarkStart w:id="868" w:name="_Toc418518143"/>
      <w:bookmarkStart w:id="869" w:name="_Toc256000212"/>
      <w:bookmarkStart w:id="870" w:name="_Toc418751829"/>
      <w:bookmarkStart w:id="871" w:name="_Toc522201762"/>
      <w:bookmarkStart w:id="872" w:name="_Toc403578967"/>
      <w:r>
        <w:rPr>
          <w:rFonts w:hint="eastAsia" w:ascii="宋体" w:cs="宋体"/>
          <w:color w:val="auto"/>
          <w:highlight w:val="none"/>
        </w:rPr>
        <w:t>8</w:t>
      </w:r>
      <w:bookmarkStart w:id="873" w:name="_Toc303539136"/>
      <w:bookmarkStart w:id="874" w:name="_Toc296944506"/>
      <w:bookmarkStart w:id="875" w:name="_Toc280868654"/>
      <w:bookmarkStart w:id="876" w:name="_Toc292559877"/>
      <w:bookmarkStart w:id="877" w:name="_Toc304295556"/>
      <w:bookmarkStart w:id="878" w:name="_Toc296891207"/>
      <w:bookmarkStart w:id="879" w:name="_Toc312677493"/>
      <w:bookmarkStart w:id="880" w:name="_Toc297120467"/>
      <w:bookmarkStart w:id="881" w:name="_Toc292559372"/>
      <w:bookmarkStart w:id="882" w:name="_Toc296503167"/>
      <w:bookmarkStart w:id="883" w:name="_Toc312678019"/>
      <w:bookmarkStart w:id="884" w:name="_Toc296346668"/>
      <w:bookmarkStart w:id="885" w:name="_Toc297123527"/>
      <w:bookmarkStart w:id="886" w:name="_Toc296347166"/>
      <w:bookmarkStart w:id="887" w:name="_Toc297048353"/>
      <w:bookmarkStart w:id="888" w:name="_Toc296890995"/>
      <w:bookmarkStart w:id="889" w:name="_Toc297216186"/>
      <w:bookmarkStart w:id="890" w:name="_Toc300934979"/>
      <w:bookmarkStart w:id="891" w:name="_Toc267251424"/>
      <w:bookmarkStart w:id="892" w:name="_Toc280868656"/>
      <w:bookmarkStart w:id="893" w:name="_Toc280868655"/>
      <w:r>
        <w:rPr>
          <w:rFonts w:hint="eastAsia" w:ascii="宋体" w:cs="宋体"/>
          <w:color w:val="auto"/>
          <w:highlight w:val="none"/>
        </w:rPr>
        <w:t>.4 材料与工程设备的保管与使用</w:t>
      </w:r>
      <w:bookmarkEnd w:id="860"/>
      <w:bookmarkEnd w:id="861"/>
      <w:bookmarkEnd w:id="862"/>
      <w:bookmarkEnd w:id="863"/>
      <w:bookmarkEnd w:id="864"/>
      <w:bookmarkEnd w:id="865"/>
      <w:bookmarkEnd w:id="866"/>
      <w:bookmarkEnd w:id="867"/>
      <w:bookmarkEnd w:id="868"/>
      <w:bookmarkEnd w:id="869"/>
      <w:bookmarkEnd w:id="870"/>
      <w:bookmarkEnd w:id="871"/>
      <w:bookmarkEnd w:id="872"/>
    </w:p>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14:paraId="18AF341C">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8</w:t>
      </w:r>
      <w:bookmarkStart w:id="894" w:name="_Toc292559373"/>
      <w:bookmarkStart w:id="895" w:name="_Toc292559878"/>
      <w:bookmarkStart w:id="896" w:name="_Toc304295557"/>
      <w:bookmarkStart w:id="897" w:name="_Toc296890996"/>
      <w:bookmarkStart w:id="898" w:name="_Toc296503168"/>
      <w:bookmarkStart w:id="899" w:name="_Toc300934980"/>
      <w:bookmarkStart w:id="900" w:name="_Toc312677494"/>
      <w:bookmarkStart w:id="901" w:name="_Toc297123528"/>
      <w:bookmarkStart w:id="902" w:name="_Toc296944507"/>
      <w:bookmarkStart w:id="903" w:name="_Toc296346669"/>
      <w:bookmarkStart w:id="904" w:name="_Toc297048354"/>
      <w:bookmarkStart w:id="905" w:name="_Toc297216187"/>
      <w:bookmarkStart w:id="906" w:name="_Toc296347167"/>
      <w:bookmarkStart w:id="907" w:name="_Toc303539137"/>
      <w:bookmarkStart w:id="908" w:name="_Toc297120468"/>
      <w:bookmarkStart w:id="909" w:name="_Toc318581173"/>
      <w:bookmarkStart w:id="910" w:name="_Toc296891208"/>
      <w:bookmarkStart w:id="911" w:name="_Toc312678020"/>
      <w:r>
        <w:rPr>
          <w:rFonts w:hint="eastAsia" w:ascii="宋体" w:hAnsi="宋体" w:cs="宋体"/>
          <w:color w:val="auto"/>
          <w:szCs w:val="21"/>
          <w:highlight w:val="none"/>
        </w:rPr>
        <w:t>.4.1发包人供应的材料设备的保管费用的承担：</w:t>
      </w:r>
      <w:r>
        <w:rPr>
          <w:rFonts w:hint="eastAsia" w:ascii="宋体" w:hAnsi="宋体" w:cs="宋体"/>
          <w:color w:val="auto"/>
          <w:szCs w:val="21"/>
          <w:highlight w:val="none"/>
          <w:u w:val="single"/>
        </w:rPr>
        <w:t>发包人供应的材料和设备经三方验收合格后，保管费用由承包人承担</w:t>
      </w:r>
      <w:r>
        <w:rPr>
          <w:rFonts w:hint="eastAsia" w:ascii="宋体" w:hAnsi="宋体" w:cs="宋体"/>
          <w:color w:val="auto"/>
          <w:szCs w:val="21"/>
          <w:highlight w:val="none"/>
        </w:rPr>
        <w:t>。</w:t>
      </w:r>
    </w:p>
    <w:bookmarkEnd w:id="894"/>
    <w:bookmarkEnd w:id="895"/>
    <w:p w14:paraId="63AF573A">
      <w:pPr>
        <w:pStyle w:val="504"/>
        <w:spacing w:line="380" w:lineRule="exact"/>
        <w:ind w:firstLine="422" w:firstLineChars="200"/>
        <w:rPr>
          <w:rFonts w:ascii="宋体" w:cs="宋体"/>
          <w:color w:val="auto"/>
          <w:highlight w:val="none"/>
        </w:rPr>
      </w:pPr>
      <w:bookmarkStart w:id="912" w:name="_Toc418518144"/>
      <w:bookmarkStart w:id="913" w:name="_Toc418752276"/>
      <w:bookmarkStart w:id="914" w:name="_Toc522201763"/>
      <w:bookmarkStart w:id="915" w:name="_Toc418751830"/>
      <w:bookmarkStart w:id="916" w:name="_Toc497746815"/>
      <w:bookmarkStart w:id="917" w:name="_Toc497747212"/>
      <w:bookmarkStart w:id="918" w:name="_Toc418061345"/>
      <w:bookmarkStart w:id="919" w:name="_Toc373227734"/>
      <w:bookmarkStart w:id="920" w:name="_Toc373478381"/>
      <w:bookmarkStart w:id="921" w:name="_Toc389065300"/>
      <w:bookmarkStart w:id="922" w:name="_Toc403578968"/>
      <w:bookmarkStart w:id="923" w:name="_Toc256000213"/>
      <w:bookmarkStart w:id="924" w:name="_Toc418518380"/>
      <w:r>
        <w:rPr>
          <w:rFonts w:hint="eastAsia" w:ascii="宋体" w:cs="宋体"/>
          <w:color w:val="auto"/>
          <w:highlight w:val="none"/>
        </w:rPr>
        <w:t>8.6 样品</w:t>
      </w:r>
      <w:bookmarkEnd w:id="912"/>
      <w:bookmarkEnd w:id="913"/>
      <w:bookmarkEnd w:id="914"/>
      <w:bookmarkEnd w:id="915"/>
      <w:bookmarkEnd w:id="916"/>
      <w:bookmarkEnd w:id="917"/>
      <w:bookmarkEnd w:id="918"/>
      <w:bookmarkEnd w:id="919"/>
      <w:bookmarkEnd w:id="920"/>
      <w:bookmarkEnd w:id="921"/>
      <w:bookmarkEnd w:id="922"/>
      <w:bookmarkEnd w:id="923"/>
      <w:bookmarkEnd w:id="924"/>
    </w:p>
    <w:p w14:paraId="373F3823">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8.6.1 样品的报送与封存</w:t>
      </w:r>
    </w:p>
    <w:p w14:paraId="42DF219B">
      <w:pPr>
        <w:pStyle w:val="396"/>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需要承包人报送样品的材料或工程设备，样品的种类、名称、规格、数量要求：</w:t>
      </w:r>
      <w:r>
        <w:rPr>
          <w:rFonts w:hint="eastAsia" w:ascii="宋体" w:hAnsi="宋体" w:cs="宋体"/>
          <w:color w:val="auto"/>
          <w:szCs w:val="21"/>
          <w:highlight w:val="none"/>
          <w:u w:val="single"/>
        </w:rPr>
        <w:t>主要材料涉及品种、款式、颜色等方面内容的，承包人</w:t>
      </w:r>
      <w:r>
        <w:rPr>
          <w:rFonts w:ascii="宋体" w:hAnsi="宋体" w:eastAsia="宋体" w:cs="宋体"/>
          <w:spacing w:val="2"/>
          <w:sz w:val="21"/>
          <w:szCs w:val="21"/>
          <w:u w:val="single" w:color="auto"/>
        </w:rPr>
        <w:t>应提交准备合格的材料样品送发包人选定</w:t>
      </w:r>
      <w:r>
        <w:rPr>
          <w:rFonts w:hint="eastAsia" w:ascii="宋体" w:hAnsi="宋体" w:cs="宋体"/>
          <w:color w:val="auto"/>
          <w:szCs w:val="21"/>
          <w:highlight w:val="none"/>
          <w:u w:val="single"/>
        </w:rPr>
        <w:t>。</w:t>
      </w:r>
    </w:p>
    <w:p w14:paraId="5D9C03B0">
      <w:pPr>
        <w:pStyle w:val="504"/>
        <w:spacing w:line="380" w:lineRule="exact"/>
        <w:ind w:firstLine="422" w:firstLineChars="200"/>
        <w:rPr>
          <w:rFonts w:ascii="宋体" w:cs="宋体"/>
          <w:color w:val="auto"/>
          <w:highlight w:val="none"/>
        </w:rPr>
      </w:pPr>
      <w:bookmarkStart w:id="925" w:name="_Toc373478382"/>
      <w:bookmarkStart w:id="926" w:name="_Toc373227735"/>
      <w:bookmarkStart w:id="927" w:name="_Toc418518381"/>
      <w:bookmarkStart w:id="928" w:name="_Toc418518145"/>
      <w:bookmarkStart w:id="929" w:name="_Toc497747213"/>
      <w:bookmarkStart w:id="930" w:name="_Toc418751831"/>
      <w:bookmarkStart w:id="931" w:name="_Toc522201764"/>
      <w:bookmarkStart w:id="932" w:name="_Toc403578969"/>
      <w:bookmarkStart w:id="933" w:name="_Toc256000214"/>
      <w:bookmarkStart w:id="934" w:name="_Toc389065301"/>
      <w:bookmarkStart w:id="935" w:name="_Toc497746816"/>
      <w:bookmarkStart w:id="936" w:name="_Toc418752277"/>
      <w:bookmarkStart w:id="937" w:name="_Toc418061346"/>
      <w:r>
        <w:rPr>
          <w:rFonts w:hint="eastAsia" w:ascii="宋体" w:cs="宋体"/>
          <w:color w:val="auto"/>
          <w:highlight w:val="none"/>
        </w:rPr>
        <w:t>8.8 施工设备和临时设施</w:t>
      </w:r>
      <w:bookmarkEnd w:id="925"/>
      <w:bookmarkEnd w:id="926"/>
      <w:bookmarkEnd w:id="927"/>
      <w:bookmarkEnd w:id="928"/>
      <w:bookmarkEnd w:id="929"/>
      <w:bookmarkEnd w:id="930"/>
      <w:bookmarkEnd w:id="931"/>
      <w:bookmarkEnd w:id="932"/>
      <w:bookmarkEnd w:id="933"/>
      <w:bookmarkEnd w:id="934"/>
      <w:bookmarkEnd w:id="935"/>
      <w:bookmarkEnd w:id="936"/>
      <w:bookmarkEnd w:id="937"/>
    </w:p>
    <w:p w14:paraId="5E4249D5">
      <w:pPr>
        <w:pStyle w:val="396"/>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8.8.1 承包人提供的施工设备和临时设施</w:t>
      </w:r>
    </w:p>
    <w:p w14:paraId="5C9E2B83">
      <w:pPr>
        <w:pStyle w:val="396"/>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5。</w:t>
      </w:r>
    </w:p>
    <w:p w14:paraId="208CE0BC">
      <w:pPr>
        <w:pStyle w:val="396"/>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关于修建临时设施费用承担的约定：</w:t>
      </w:r>
    </w:p>
    <w:p w14:paraId="0AB95DF7">
      <w:pPr>
        <w:pStyle w:val="396"/>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 xml:space="preserve">①承包人的临时用地（含项目部驻地等）租用费（含拆迁补偿）、临时用地的环保、恢复、临时用地的青苗补偿及地面附着物拆除等费用均由承包人负责，以上费用在投标报价中综合考虑。 </w:t>
      </w:r>
    </w:p>
    <w:p w14:paraId="4762F861">
      <w:pPr>
        <w:pStyle w:val="396"/>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 xml:space="preserve">②承包人负责合同实施期间其合同段内临时交通道路和交通设施的修建、维修、养护和交通管理工作，并承担一切费用。 </w:t>
      </w:r>
    </w:p>
    <w:p w14:paraId="29CF327B">
      <w:pPr>
        <w:pStyle w:val="396"/>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 xml:space="preserve">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 </w:t>
      </w:r>
    </w:p>
    <w:p w14:paraId="71D8E2C1">
      <w:pPr>
        <w:pStyle w:val="396"/>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④承包人在发包人拟开发区域内已经搭设的施工现场办公等临时设施，一旦发包人因开发需要，通知承包人搬迁、拆除的，承包人应无条件在规定期限内搬迁、拆除，发包人不另行支付搬迁、拆除等费用。承包人自行解决民工住宿问题，并承担因此而增加的交通费用、工人生产降效等相关费用。</w:t>
      </w:r>
    </w:p>
    <w:p w14:paraId="03CBDDE1">
      <w:pPr>
        <w:pStyle w:val="396"/>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8.8.2 发包人提供的施工设备和临时设施</w:t>
      </w:r>
    </w:p>
    <w:p w14:paraId="5344F285">
      <w:pPr>
        <w:pStyle w:val="396"/>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发包人提供的施工设备和临时设施：</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7078826A">
      <w:pPr>
        <w:pStyle w:val="396"/>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发包人提供的施工设备和临时设施的运行、维护、拆除、清运费用的承担人：</w:t>
      </w:r>
      <w:r>
        <w:rPr>
          <w:rFonts w:hint="eastAsia" w:ascii="宋体" w:hAnsi="宋体" w:cs="宋体"/>
          <w:color w:val="auto"/>
          <w:szCs w:val="21"/>
          <w:highlight w:val="none"/>
          <w:u w:val="single"/>
        </w:rPr>
        <w:t xml:space="preserve">  承包人  </w:t>
      </w:r>
      <w:r>
        <w:rPr>
          <w:rFonts w:hint="eastAsia" w:ascii="宋体" w:hAnsi="宋体" w:cs="宋体"/>
          <w:color w:val="auto"/>
          <w:szCs w:val="21"/>
          <w:highlight w:val="none"/>
        </w:rPr>
        <w:t>。</w:t>
      </w:r>
    </w:p>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14:paraId="5F6382ED">
      <w:pPr>
        <w:pStyle w:val="504"/>
        <w:spacing w:line="380" w:lineRule="exact"/>
        <w:rPr>
          <w:rFonts w:ascii="宋体" w:cs="宋体"/>
          <w:color w:val="auto"/>
          <w:highlight w:val="none"/>
        </w:rPr>
      </w:pPr>
      <w:bookmarkStart w:id="938" w:name="_Toc403578970"/>
      <w:bookmarkStart w:id="939" w:name="_Toc418518146"/>
      <w:bookmarkStart w:id="940" w:name="_Toc418752278"/>
      <w:bookmarkStart w:id="941" w:name="_Toc373478383"/>
      <w:bookmarkStart w:id="942" w:name="_Toc351203641"/>
      <w:bookmarkStart w:id="943" w:name="_Toc522201765"/>
      <w:bookmarkStart w:id="944" w:name="_Toc256000215"/>
      <w:bookmarkStart w:id="945" w:name="_Toc418061347"/>
      <w:bookmarkStart w:id="946" w:name="_Toc497746817"/>
      <w:bookmarkStart w:id="947" w:name="_Toc497747214"/>
      <w:bookmarkStart w:id="948" w:name="_Toc373227736"/>
      <w:bookmarkStart w:id="949" w:name="_Toc389065302"/>
      <w:bookmarkStart w:id="950" w:name="_Toc418751832"/>
      <w:bookmarkStart w:id="951" w:name="_Toc418518382"/>
      <w:r>
        <w:rPr>
          <w:rFonts w:hint="eastAsia" w:ascii="宋体" w:cs="宋体"/>
          <w:color w:val="auto"/>
          <w:highlight w:val="none"/>
        </w:rPr>
        <w:t>9</w:t>
      </w:r>
      <w:bookmarkEnd w:id="891"/>
      <w:bookmarkEnd w:id="892"/>
      <w:bookmarkEnd w:id="893"/>
      <w:bookmarkStart w:id="952" w:name="_Toc304295559"/>
      <w:bookmarkStart w:id="953" w:name="_Toc300934982"/>
      <w:bookmarkStart w:id="954" w:name="_Toc312678021"/>
      <w:bookmarkStart w:id="955" w:name="_Toc297123533"/>
      <w:bookmarkStart w:id="956" w:name="_Toc312677495"/>
      <w:bookmarkStart w:id="957" w:name="_Toc303539139"/>
      <w:bookmarkStart w:id="958" w:name="_Toc297216192"/>
      <w:bookmarkStart w:id="959" w:name="_Toc296891213"/>
      <w:bookmarkStart w:id="960" w:name="_Toc296503173"/>
      <w:bookmarkStart w:id="961" w:name="_Toc292559883"/>
      <w:bookmarkStart w:id="962" w:name="_Toc267251428"/>
      <w:bookmarkStart w:id="963" w:name="_Toc296891001"/>
      <w:bookmarkStart w:id="964" w:name="_Toc296346674"/>
      <w:bookmarkStart w:id="965" w:name="_Toc296944512"/>
      <w:bookmarkStart w:id="966" w:name="_Toc292559378"/>
      <w:bookmarkStart w:id="967" w:name="_Toc297048359"/>
      <w:bookmarkStart w:id="968" w:name="_Toc296347172"/>
      <w:bookmarkStart w:id="969" w:name="_Toc297120473"/>
      <w:bookmarkStart w:id="970" w:name="_Toc267251427"/>
      <w:r>
        <w:rPr>
          <w:rFonts w:hint="eastAsia" w:ascii="宋体" w:cs="宋体"/>
          <w:color w:val="auto"/>
          <w:highlight w:val="none"/>
        </w:rPr>
        <w:t>. 试验与检验</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p>
    <w:bookmarkEnd w:id="952"/>
    <w:bookmarkEnd w:id="953"/>
    <w:bookmarkEnd w:id="954"/>
    <w:bookmarkEnd w:id="955"/>
    <w:bookmarkEnd w:id="956"/>
    <w:bookmarkEnd w:id="957"/>
    <w:bookmarkEnd w:id="958"/>
    <w:p w14:paraId="1262186A">
      <w:pPr>
        <w:pStyle w:val="504"/>
        <w:spacing w:line="380" w:lineRule="exact"/>
        <w:ind w:firstLine="422" w:firstLineChars="200"/>
        <w:rPr>
          <w:rFonts w:ascii="宋体" w:cs="宋体"/>
          <w:color w:val="auto"/>
          <w:highlight w:val="none"/>
        </w:rPr>
      </w:pPr>
      <w:bookmarkStart w:id="971" w:name="_Toc403578971"/>
      <w:bookmarkStart w:id="972" w:name="_Toc497746818"/>
      <w:bookmarkStart w:id="973" w:name="_Toc418061348"/>
      <w:bookmarkStart w:id="974" w:name="_Toc373227737"/>
      <w:bookmarkStart w:id="975" w:name="_Toc373478384"/>
      <w:bookmarkStart w:id="976" w:name="_Toc522201766"/>
      <w:bookmarkStart w:id="977" w:name="_Toc418518147"/>
      <w:bookmarkStart w:id="978" w:name="_Toc389065303"/>
      <w:bookmarkStart w:id="979" w:name="_Toc256000216"/>
      <w:bookmarkStart w:id="980" w:name="_Toc418752279"/>
      <w:bookmarkStart w:id="981" w:name="_Toc418751833"/>
      <w:bookmarkStart w:id="982" w:name="_Toc418518383"/>
      <w:bookmarkStart w:id="983" w:name="_Toc497747215"/>
      <w:r>
        <w:rPr>
          <w:rFonts w:hint="eastAsia" w:ascii="宋体" w:cs="宋体"/>
          <w:color w:val="auto"/>
          <w:highlight w:val="none"/>
        </w:rPr>
        <w:t>9</w:t>
      </w:r>
      <w:bookmarkStart w:id="984" w:name="_Toc297216193"/>
      <w:bookmarkStart w:id="985" w:name="_Toc297123534"/>
      <w:bookmarkStart w:id="986" w:name="_Toc300934983"/>
      <w:bookmarkStart w:id="987" w:name="_Toc312677496"/>
      <w:bookmarkStart w:id="988" w:name="_Toc304295560"/>
      <w:bookmarkStart w:id="989" w:name="_Toc312678022"/>
      <w:bookmarkStart w:id="990" w:name="_Toc303539140"/>
      <w:r>
        <w:rPr>
          <w:rFonts w:hint="eastAsia" w:ascii="宋体" w:cs="宋体"/>
          <w:color w:val="auto"/>
          <w:highlight w:val="none"/>
        </w:rPr>
        <w:t>.1 试验设备与试验人员</w:t>
      </w:r>
      <w:bookmarkEnd w:id="971"/>
      <w:bookmarkEnd w:id="972"/>
      <w:bookmarkEnd w:id="973"/>
      <w:bookmarkEnd w:id="974"/>
      <w:bookmarkEnd w:id="975"/>
      <w:bookmarkEnd w:id="976"/>
      <w:bookmarkEnd w:id="977"/>
      <w:bookmarkEnd w:id="978"/>
      <w:bookmarkEnd w:id="979"/>
      <w:bookmarkEnd w:id="980"/>
      <w:bookmarkEnd w:id="981"/>
      <w:bookmarkEnd w:id="982"/>
      <w:bookmarkEnd w:id="983"/>
    </w:p>
    <w:bookmarkEnd w:id="984"/>
    <w:bookmarkEnd w:id="985"/>
    <w:bookmarkEnd w:id="986"/>
    <w:bookmarkEnd w:id="987"/>
    <w:bookmarkEnd w:id="988"/>
    <w:bookmarkEnd w:id="989"/>
    <w:bookmarkEnd w:id="990"/>
    <w:p w14:paraId="5218ED9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w:t>
      </w:r>
      <w:bookmarkStart w:id="991" w:name="_Toc297216194"/>
      <w:bookmarkStart w:id="992" w:name="_Toc312677497"/>
      <w:bookmarkStart w:id="993" w:name="_Toc300934984"/>
      <w:bookmarkStart w:id="994" w:name="_Toc303539141"/>
      <w:bookmarkStart w:id="995" w:name="_Toc297123535"/>
      <w:bookmarkStart w:id="996" w:name="_Toc312678023"/>
      <w:bookmarkStart w:id="997" w:name="_Toc304295561"/>
      <w:bookmarkStart w:id="998" w:name="_Toc318581174"/>
      <w:r>
        <w:rPr>
          <w:rFonts w:hint="eastAsia" w:ascii="宋体" w:hAnsi="宋体" w:cs="宋体"/>
          <w:color w:val="auto"/>
          <w:szCs w:val="21"/>
          <w:highlight w:val="none"/>
        </w:rPr>
        <w:t>.1.2 试验设备</w:t>
      </w:r>
    </w:p>
    <w:bookmarkEnd w:id="991"/>
    <w:bookmarkEnd w:id="992"/>
    <w:bookmarkEnd w:id="993"/>
    <w:bookmarkEnd w:id="994"/>
    <w:bookmarkEnd w:id="995"/>
    <w:bookmarkEnd w:id="996"/>
    <w:bookmarkEnd w:id="997"/>
    <w:p w14:paraId="289AEA4C">
      <w:pPr>
        <w:pStyle w:val="396"/>
        <w:spacing w:line="380" w:lineRule="exact"/>
        <w:ind w:firstLine="420" w:firstLineChars="200"/>
        <w:jc w:val="left"/>
        <w:rPr>
          <w:rFonts w:ascii="宋体" w:hAnsi="宋体" w:cs="宋体"/>
          <w:color w:val="auto"/>
          <w:szCs w:val="21"/>
          <w:highlight w:val="none"/>
        </w:rPr>
      </w:pPr>
      <w:bookmarkStart w:id="999" w:name="_Toc312677498"/>
      <w:bookmarkStart w:id="1000" w:name="_Toc297216195"/>
      <w:bookmarkStart w:id="1001" w:name="_Toc312678024"/>
      <w:bookmarkStart w:id="1002" w:name="_Toc300934985"/>
      <w:bookmarkStart w:id="1003" w:name="_Toc303539142"/>
      <w:bookmarkStart w:id="1004" w:name="_Toc297123536"/>
      <w:bookmarkStart w:id="1005" w:name="_Toc304295562"/>
      <w:r>
        <w:rPr>
          <w:rFonts w:hint="eastAsia" w:ascii="宋体" w:hAnsi="宋体" w:cs="宋体"/>
          <w:color w:val="auto"/>
          <w:szCs w:val="21"/>
          <w:highlight w:val="none"/>
        </w:rPr>
        <w:t>施工现场需要配置的试验场所：</w:t>
      </w:r>
      <w:r>
        <w:rPr>
          <w:rFonts w:hint="eastAsia" w:ascii="宋体" w:hAnsi="宋体" w:cs="宋体"/>
          <w:color w:val="auto"/>
          <w:szCs w:val="21"/>
          <w:highlight w:val="none"/>
          <w:u w:val="single"/>
        </w:rPr>
        <w:t xml:space="preserve"> </w:t>
      </w:r>
      <w:r>
        <w:rPr>
          <w:rFonts w:ascii="宋体" w:hAnsi="宋体" w:eastAsia="宋体" w:cs="宋体"/>
          <w:spacing w:val="-1"/>
          <w:sz w:val="21"/>
          <w:szCs w:val="21"/>
          <w:u w:val="single" w:color="auto"/>
        </w:rPr>
        <w:t>根据国家及地方有关规定和现场实际情</w:t>
      </w:r>
      <w:r>
        <w:rPr>
          <w:rFonts w:ascii="宋体" w:hAnsi="宋体" w:eastAsia="宋体" w:cs="宋体"/>
          <w:sz w:val="21"/>
          <w:szCs w:val="21"/>
          <w:u w:val="single" w:color="auto"/>
        </w:rPr>
        <w:t>况配置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793CFA3">
      <w:pPr>
        <w:pStyle w:val="396"/>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施工现场需要配备的试验设备：</w:t>
      </w:r>
      <w:r>
        <w:rPr>
          <w:rFonts w:hint="eastAsia" w:ascii="宋体" w:hAnsi="宋体" w:cs="宋体"/>
          <w:color w:val="auto"/>
          <w:szCs w:val="21"/>
          <w:highlight w:val="none"/>
          <w:u w:val="single"/>
        </w:rPr>
        <w:t xml:space="preserve"> </w:t>
      </w:r>
      <w:r>
        <w:rPr>
          <w:rFonts w:ascii="宋体" w:hAnsi="宋体" w:eastAsia="宋体" w:cs="宋体"/>
          <w:spacing w:val="-1"/>
          <w:sz w:val="21"/>
          <w:szCs w:val="21"/>
          <w:u w:val="single" w:color="auto"/>
        </w:rPr>
        <w:t>根据国家及地方有关规定和现场实际情</w:t>
      </w:r>
      <w:r>
        <w:rPr>
          <w:rFonts w:ascii="宋体" w:hAnsi="宋体" w:eastAsia="宋体" w:cs="宋体"/>
          <w:sz w:val="21"/>
          <w:szCs w:val="21"/>
          <w:u w:val="single" w:color="auto"/>
        </w:rPr>
        <w:t>况配置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5791EF5">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施工现场需要具备的其他试验条件：</w:t>
      </w:r>
      <w:r>
        <w:rPr>
          <w:rFonts w:ascii="宋体" w:hAnsi="宋体" w:eastAsia="宋体" w:cs="宋体"/>
          <w:spacing w:val="-1"/>
          <w:sz w:val="21"/>
          <w:szCs w:val="21"/>
          <w:u w:val="single" w:color="auto"/>
        </w:rPr>
        <w:t>根据国家及地方有关规定和现场实际情</w:t>
      </w:r>
      <w:r>
        <w:rPr>
          <w:rFonts w:ascii="宋体" w:hAnsi="宋体" w:eastAsia="宋体" w:cs="宋体"/>
          <w:sz w:val="21"/>
          <w:szCs w:val="21"/>
          <w:u w:val="single" w:color="auto"/>
        </w:rPr>
        <w:t>况配置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80ED5BA">
      <w:pPr>
        <w:pStyle w:val="504"/>
        <w:spacing w:line="380" w:lineRule="exact"/>
        <w:ind w:firstLine="422" w:firstLineChars="200"/>
        <w:rPr>
          <w:rFonts w:ascii="宋体" w:cs="宋体"/>
          <w:color w:val="auto"/>
          <w:highlight w:val="none"/>
        </w:rPr>
      </w:pPr>
      <w:bookmarkStart w:id="1006" w:name="_Toc373478385"/>
      <w:bookmarkStart w:id="1007" w:name="_Toc497747216"/>
      <w:bookmarkStart w:id="1008" w:name="_Toc418061349"/>
      <w:bookmarkStart w:id="1009" w:name="_Toc497746819"/>
      <w:bookmarkStart w:id="1010" w:name="_Toc418518148"/>
      <w:bookmarkStart w:id="1011" w:name="_Toc256000217"/>
      <w:bookmarkStart w:id="1012" w:name="_Toc403578972"/>
      <w:bookmarkStart w:id="1013" w:name="_Toc522201767"/>
      <w:bookmarkStart w:id="1014" w:name="_Toc418751834"/>
      <w:bookmarkStart w:id="1015" w:name="_Toc418518384"/>
      <w:bookmarkStart w:id="1016" w:name="_Toc373227738"/>
      <w:bookmarkStart w:id="1017" w:name="_Toc389065304"/>
      <w:bookmarkStart w:id="1018" w:name="_Toc418752280"/>
      <w:r>
        <w:rPr>
          <w:rFonts w:hint="eastAsia" w:ascii="宋体" w:cs="宋体"/>
          <w:color w:val="auto"/>
          <w:highlight w:val="none"/>
        </w:rPr>
        <w:t>9.4 现场工艺试验</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r>
        <w:rPr>
          <w:rFonts w:hint="eastAsia" w:ascii="宋体" w:cs="宋体"/>
          <w:color w:val="auto"/>
          <w:highlight w:val="none"/>
        </w:rPr>
        <w:t xml:space="preserve"> </w:t>
      </w:r>
    </w:p>
    <w:p w14:paraId="62AF6032">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现场工艺试验的有关约定：</w:t>
      </w:r>
      <w:r>
        <w:rPr>
          <w:rFonts w:hint="eastAsia" w:ascii="宋体" w:hAnsi="宋体" w:cs="宋体"/>
          <w:color w:val="auto"/>
          <w:szCs w:val="21"/>
          <w:highlight w:val="none"/>
          <w:u w:val="single"/>
        </w:rPr>
        <w:t xml:space="preserve">  按通用条款执行</w:t>
      </w:r>
      <w:r>
        <w:rPr>
          <w:rFonts w:hint="eastAsia" w:ascii="宋体" w:hAnsi="宋体" w:cs="宋体"/>
          <w:color w:val="auto"/>
          <w:szCs w:val="21"/>
          <w:highlight w:val="none"/>
        </w:rPr>
        <w:t>。</w:t>
      </w:r>
      <w:bookmarkStart w:id="1019" w:name="_Toc406522259"/>
      <w:bookmarkStart w:id="1020" w:name="_Toc406420990"/>
      <w:bookmarkStart w:id="1021" w:name="_Toc395382541"/>
      <w:bookmarkStart w:id="1022" w:name="OLE_LINK1"/>
    </w:p>
    <w:p w14:paraId="56F26DC5">
      <w:pPr>
        <w:pStyle w:val="396"/>
        <w:spacing w:line="38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9.5 检验费用</w:t>
      </w:r>
      <w:bookmarkEnd w:id="1019"/>
      <w:bookmarkEnd w:id="1020"/>
      <w:bookmarkEnd w:id="1021"/>
    </w:p>
    <w:p w14:paraId="0B6E5359">
      <w:pPr>
        <w:pStyle w:val="396"/>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根据《建设工程质量检测管理办法》（建设部令第141号）以及</w:t>
      </w:r>
      <w:r>
        <w:rPr>
          <w:rFonts w:hint="eastAsia" w:ascii="宋体" w:hAnsi="宋体" w:cs="宋体"/>
          <w:bCs/>
          <w:color w:val="auto"/>
          <w:szCs w:val="21"/>
          <w:highlight w:val="none"/>
        </w:rPr>
        <w:t>《广西壮族自治区建设工程质量检测管理规定》（桂建管〔2013〕11号）</w:t>
      </w:r>
      <w:r>
        <w:rPr>
          <w:rFonts w:hint="eastAsia" w:ascii="宋体" w:hAnsi="宋体" w:cs="宋体"/>
          <w:color w:val="auto"/>
          <w:szCs w:val="21"/>
          <w:highlight w:val="none"/>
        </w:rPr>
        <w:t>规定，工程质量检测业务由发包人委托有相应资质的检测机构检测。费用从发包人的项目建设经费中支出并直接支付给检测机构，不计入合同价款内。</w:t>
      </w:r>
      <w:bookmarkEnd w:id="1022"/>
    </w:p>
    <w:bookmarkEnd w:id="998"/>
    <w:bookmarkEnd w:id="999"/>
    <w:bookmarkEnd w:id="1000"/>
    <w:bookmarkEnd w:id="1001"/>
    <w:bookmarkEnd w:id="1002"/>
    <w:bookmarkEnd w:id="1003"/>
    <w:bookmarkEnd w:id="1004"/>
    <w:bookmarkEnd w:id="1005"/>
    <w:p w14:paraId="40483C7E">
      <w:pPr>
        <w:pStyle w:val="504"/>
        <w:spacing w:line="380" w:lineRule="exact"/>
        <w:rPr>
          <w:rFonts w:ascii="宋体" w:cs="宋体"/>
          <w:color w:val="auto"/>
          <w:highlight w:val="none"/>
        </w:rPr>
      </w:pPr>
      <w:bookmarkStart w:id="1023" w:name="_Toc403578974"/>
      <w:bookmarkStart w:id="1024" w:name="_Toc497747218"/>
      <w:bookmarkStart w:id="1025" w:name="_Toc418752282"/>
      <w:bookmarkStart w:id="1026" w:name="_Toc418751836"/>
      <w:bookmarkStart w:id="1027" w:name="_Toc497746821"/>
      <w:bookmarkStart w:id="1028" w:name="_Toc418061351"/>
      <w:bookmarkStart w:id="1029" w:name="_Toc418518150"/>
      <w:bookmarkStart w:id="1030" w:name="_Toc418518386"/>
      <w:bookmarkStart w:id="1031" w:name="_Toc389065305"/>
      <w:bookmarkStart w:id="1032" w:name="_Toc351203642"/>
      <w:bookmarkStart w:id="1033" w:name="_Toc522201768"/>
      <w:bookmarkStart w:id="1034" w:name="_Toc256000218"/>
      <w:bookmarkStart w:id="1035" w:name="_Toc373478386"/>
      <w:bookmarkStart w:id="1036" w:name="_Toc373227739"/>
      <w:r>
        <w:rPr>
          <w:rFonts w:hint="eastAsia" w:ascii="宋体" w:cs="宋体"/>
          <w:color w:val="auto"/>
          <w:highlight w:val="none"/>
        </w:rPr>
        <w:t>1</w:t>
      </w:r>
      <w:bookmarkEnd w:id="959"/>
      <w:bookmarkEnd w:id="960"/>
      <w:bookmarkEnd w:id="961"/>
      <w:bookmarkEnd w:id="962"/>
      <w:bookmarkEnd w:id="963"/>
      <w:bookmarkEnd w:id="964"/>
      <w:bookmarkEnd w:id="965"/>
      <w:bookmarkEnd w:id="966"/>
      <w:bookmarkEnd w:id="967"/>
      <w:bookmarkEnd w:id="968"/>
      <w:bookmarkEnd w:id="969"/>
      <w:bookmarkEnd w:id="970"/>
      <w:bookmarkStart w:id="1037" w:name="_Toc304295566"/>
      <w:bookmarkStart w:id="1038" w:name="_Toc292559398"/>
      <w:bookmarkStart w:id="1039" w:name="_Toc296944532"/>
      <w:bookmarkStart w:id="1040" w:name="_Toc297048379"/>
      <w:bookmarkStart w:id="1041" w:name="_Toc296891021"/>
      <w:bookmarkStart w:id="1042" w:name="_Toc297123540"/>
      <w:bookmarkStart w:id="1043" w:name="_Toc296346694"/>
      <w:bookmarkStart w:id="1044" w:name="_Toc300934989"/>
      <w:bookmarkStart w:id="1045" w:name="_Toc296503193"/>
      <w:bookmarkStart w:id="1046" w:name="_Toc297216199"/>
      <w:bookmarkStart w:id="1047" w:name="_Toc297120493"/>
      <w:bookmarkStart w:id="1048" w:name="_Toc296347192"/>
      <w:bookmarkStart w:id="1049" w:name="_Toc292559903"/>
      <w:bookmarkStart w:id="1050" w:name="_Toc296891233"/>
      <w:bookmarkStart w:id="1051" w:name="_Toc303539146"/>
      <w:bookmarkStart w:id="1052" w:name="_Toc312678025"/>
      <w:bookmarkStart w:id="1053" w:name="_Toc312677499"/>
      <w:bookmarkStart w:id="1054" w:name="_Toc267251441"/>
      <w:bookmarkStart w:id="1055" w:name="_Toc267251437"/>
      <w:bookmarkStart w:id="1056" w:name="_Toc267251433"/>
      <w:bookmarkStart w:id="1057" w:name="_Toc267251439"/>
      <w:bookmarkStart w:id="1058" w:name="_Toc267251435"/>
      <w:bookmarkStart w:id="1059" w:name="_Toc267251440"/>
      <w:bookmarkStart w:id="1060" w:name="_Toc267251442"/>
      <w:r>
        <w:rPr>
          <w:rFonts w:hint="eastAsia" w:ascii="宋体" w:cs="宋体"/>
          <w:color w:val="auto"/>
          <w:highlight w:val="none"/>
        </w:rPr>
        <w:t>0. 变更</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bookmarkEnd w:id="1052"/>
    <w:bookmarkEnd w:id="1053"/>
    <w:p w14:paraId="1A3528BC">
      <w:pPr>
        <w:pStyle w:val="504"/>
        <w:spacing w:line="380" w:lineRule="exact"/>
        <w:ind w:firstLine="422" w:firstLineChars="200"/>
        <w:rPr>
          <w:rFonts w:ascii="宋体" w:cs="宋体"/>
          <w:color w:val="auto"/>
          <w:highlight w:val="none"/>
        </w:rPr>
      </w:pPr>
      <w:bookmarkStart w:id="1061" w:name="_Toc497746822"/>
      <w:bookmarkStart w:id="1062" w:name="_Toc418751837"/>
      <w:bookmarkStart w:id="1063" w:name="_Toc418752283"/>
      <w:bookmarkStart w:id="1064" w:name="_Toc373478387"/>
      <w:bookmarkStart w:id="1065" w:name="_Toc418518387"/>
      <w:bookmarkStart w:id="1066" w:name="_Toc418518151"/>
      <w:bookmarkStart w:id="1067" w:name="_Toc418061352"/>
      <w:bookmarkStart w:id="1068" w:name="_Toc497747219"/>
      <w:bookmarkStart w:id="1069" w:name="_Toc373227740"/>
      <w:bookmarkStart w:id="1070" w:name="_Toc522201769"/>
      <w:bookmarkStart w:id="1071" w:name="_Toc256000219"/>
      <w:bookmarkStart w:id="1072" w:name="_Toc389065306"/>
      <w:bookmarkStart w:id="1073" w:name="_Toc403578975"/>
      <w:r>
        <w:rPr>
          <w:rFonts w:hint="eastAsia" w:ascii="宋体" w:cs="宋体"/>
          <w:color w:val="auto"/>
          <w:highlight w:val="none"/>
        </w:rPr>
        <w:t>1</w:t>
      </w:r>
      <w:bookmarkStart w:id="1074" w:name="_Toc296346695"/>
      <w:bookmarkStart w:id="1075" w:name="_Toc292559399"/>
      <w:bookmarkStart w:id="1076" w:name="_Toc296891234"/>
      <w:bookmarkStart w:id="1077" w:name="_Toc297120494"/>
      <w:bookmarkStart w:id="1078" w:name="_Toc300934990"/>
      <w:bookmarkStart w:id="1079" w:name="_Toc297216200"/>
      <w:bookmarkStart w:id="1080" w:name="_Toc304295567"/>
      <w:bookmarkStart w:id="1081" w:name="_Toc296503194"/>
      <w:bookmarkStart w:id="1082" w:name="_Toc312678026"/>
      <w:bookmarkStart w:id="1083" w:name="_Toc296347193"/>
      <w:bookmarkStart w:id="1084" w:name="_Toc312677500"/>
      <w:bookmarkStart w:id="1085" w:name="_Toc297123541"/>
      <w:bookmarkStart w:id="1086" w:name="_Toc292559904"/>
      <w:bookmarkStart w:id="1087" w:name="_Toc303539147"/>
      <w:bookmarkStart w:id="1088" w:name="_Toc296944533"/>
      <w:bookmarkStart w:id="1089" w:name="_Toc296891022"/>
      <w:bookmarkStart w:id="1090" w:name="_Toc297048380"/>
      <w:r>
        <w:rPr>
          <w:rFonts w:hint="eastAsia" w:ascii="宋体" w:cs="宋体"/>
          <w:color w:val="auto"/>
          <w:highlight w:val="none"/>
        </w:rPr>
        <w:t>0.1 变更的范围</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14:paraId="44B6560E">
      <w:pPr>
        <w:pStyle w:val="396"/>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关于变更的范围的约定：</w:t>
      </w:r>
      <w:r>
        <w:rPr>
          <w:rFonts w:hint="eastAsia" w:ascii="宋体" w:hAnsi="宋体" w:cs="宋体"/>
          <w:color w:val="auto"/>
          <w:szCs w:val="21"/>
          <w:highlight w:val="none"/>
          <w:u w:val="single"/>
        </w:rPr>
        <w:t>施工期间因不可预见因素或发包人要求所发生的工程量增减（由</w:t>
      </w:r>
      <w:r>
        <w:rPr>
          <w:rFonts w:ascii="宋体" w:hAnsi="宋体" w:eastAsia="宋体" w:cs="宋体"/>
          <w:spacing w:val="-4"/>
          <w:sz w:val="21"/>
          <w:szCs w:val="21"/>
          <w:u w:val="single" w:color="auto"/>
        </w:rPr>
        <w:t>缺项、漏项、设计变更、签证等</w:t>
      </w:r>
      <w:r>
        <w:rPr>
          <w:rFonts w:ascii="宋体" w:hAnsi="宋体" w:eastAsia="宋体" w:cs="宋体"/>
          <w:spacing w:val="-3"/>
          <w:sz w:val="21"/>
          <w:szCs w:val="21"/>
          <w:u w:val="single" w:color="auto"/>
        </w:rPr>
        <w:t>产</w:t>
      </w:r>
      <w:r>
        <w:rPr>
          <w:rFonts w:ascii="宋体" w:hAnsi="宋体" w:eastAsia="宋体" w:cs="宋体"/>
          <w:spacing w:val="-2"/>
          <w:sz w:val="21"/>
          <w:szCs w:val="21"/>
          <w:u w:val="single" w:color="auto"/>
        </w:rPr>
        <w:t>生</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eastAsia="zh-CN"/>
        </w:rPr>
        <w:t>，</w:t>
      </w:r>
      <w:r>
        <w:rPr>
          <w:rFonts w:ascii="宋体" w:hAnsi="宋体" w:eastAsia="宋体" w:cs="宋体"/>
          <w:spacing w:val="-2"/>
          <w:sz w:val="21"/>
          <w:szCs w:val="21"/>
          <w:u w:val="single" w:color="auto"/>
        </w:rPr>
        <w:t>执行通用合同条款 10.1 款并经发包人、监理单位、设</w:t>
      </w:r>
      <w:r>
        <w:rPr>
          <w:rFonts w:ascii="宋体" w:hAnsi="宋体" w:eastAsia="宋体" w:cs="宋体"/>
          <w:spacing w:val="-6"/>
          <w:sz w:val="21"/>
          <w:szCs w:val="21"/>
          <w:u w:val="single" w:color="auto"/>
        </w:rPr>
        <w:t>计单位等有关单</w:t>
      </w:r>
      <w:r>
        <w:rPr>
          <w:rFonts w:ascii="宋体" w:hAnsi="宋体" w:eastAsia="宋体" w:cs="宋体"/>
          <w:spacing w:val="-5"/>
          <w:sz w:val="21"/>
          <w:szCs w:val="21"/>
          <w:u w:val="single" w:color="auto"/>
        </w:rPr>
        <w:t>位</w:t>
      </w:r>
      <w:r>
        <w:rPr>
          <w:rFonts w:ascii="宋体" w:hAnsi="宋体" w:eastAsia="宋体" w:cs="宋体"/>
          <w:spacing w:val="-3"/>
          <w:sz w:val="21"/>
          <w:szCs w:val="21"/>
          <w:u w:val="single" w:color="auto"/>
        </w:rPr>
        <w:t>签字确认后，方可作为工程结算依据，工程变更综合单价按专用条款第 10.4</w:t>
      </w:r>
      <w:r>
        <w:rPr>
          <w:rFonts w:ascii="宋体" w:hAnsi="宋体" w:eastAsia="宋体" w:cs="宋体"/>
          <w:spacing w:val="-1"/>
          <w:sz w:val="21"/>
          <w:szCs w:val="21"/>
          <w:u w:val="single" w:color="auto"/>
        </w:rPr>
        <w:t>点规定执行</w:t>
      </w:r>
      <w:r>
        <w:rPr>
          <w:rFonts w:hint="eastAsia" w:ascii="宋体" w:hAnsi="宋体" w:cs="宋体"/>
          <w:color w:val="auto"/>
          <w:szCs w:val="21"/>
          <w:highlight w:val="none"/>
        </w:rPr>
        <w:t>。</w:t>
      </w:r>
      <w:bookmarkStart w:id="1091" w:name="_Toc406522262"/>
      <w:bookmarkStart w:id="1092" w:name="_Toc395382544"/>
      <w:bookmarkStart w:id="1093" w:name="_Toc373478388"/>
      <w:bookmarkStart w:id="1094" w:name="_Toc389065307"/>
      <w:bookmarkStart w:id="1095" w:name="_Toc373227741"/>
    </w:p>
    <w:p w14:paraId="724D6529">
      <w:pPr>
        <w:pStyle w:val="504"/>
        <w:spacing w:line="380" w:lineRule="exact"/>
        <w:ind w:firstLine="422" w:firstLineChars="200"/>
        <w:rPr>
          <w:rFonts w:ascii="宋体" w:cs="宋体"/>
          <w:color w:val="auto"/>
          <w:highlight w:val="none"/>
        </w:rPr>
      </w:pPr>
      <w:bookmarkStart w:id="1096" w:name="_Toc256000220"/>
      <w:r>
        <w:rPr>
          <w:rFonts w:hint="eastAsia" w:ascii="宋体" w:cs="宋体"/>
          <w:color w:val="auto"/>
          <w:highlight w:val="none"/>
        </w:rPr>
        <w:t>10.3 变更程序</w:t>
      </w:r>
      <w:bookmarkEnd w:id="1091"/>
      <w:bookmarkEnd w:id="1092"/>
      <w:bookmarkEnd w:id="1093"/>
      <w:bookmarkEnd w:id="1094"/>
      <w:bookmarkEnd w:id="1095"/>
      <w:bookmarkEnd w:id="1096"/>
    </w:p>
    <w:p w14:paraId="69C27367">
      <w:pPr>
        <w:pStyle w:val="396"/>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10.3.1 国有投资项目：</w:t>
      </w:r>
    </w:p>
    <w:p w14:paraId="3706AC76">
      <w:pPr>
        <w:pStyle w:val="396"/>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⑴设计变更和工程签证，按各市政府或相关部门的规定办理。属不可抗力（自然灾害、突发事件等）造成变更的，按特事特办原则予以办理。</w:t>
      </w:r>
    </w:p>
    <w:p w14:paraId="6D0B41EF">
      <w:pPr>
        <w:pStyle w:val="396"/>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⑵发包人在实施项目过程中，若发生单价变动，由发包人、监理单位、承包人及其他相关单位共同商定并签字确认。</w:t>
      </w:r>
    </w:p>
    <w:p w14:paraId="4859E343">
      <w:pPr>
        <w:pStyle w:val="396"/>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79CA1E3C">
      <w:pPr>
        <w:pStyle w:val="396"/>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10.3.2 非国有投资项目： 同通用条款。</w:t>
      </w:r>
    </w:p>
    <w:p w14:paraId="26270163">
      <w:pPr>
        <w:pStyle w:val="504"/>
        <w:spacing w:line="380" w:lineRule="exact"/>
        <w:ind w:firstLine="422" w:firstLineChars="200"/>
        <w:rPr>
          <w:rFonts w:ascii="宋体" w:cs="宋体"/>
          <w:color w:val="auto"/>
          <w:highlight w:val="none"/>
        </w:rPr>
      </w:pPr>
      <w:bookmarkStart w:id="1097" w:name="_Toc522201770"/>
      <w:bookmarkStart w:id="1098" w:name="_Toc418518153"/>
      <w:bookmarkStart w:id="1099" w:name="_Toc418751839"/>
      <w:bookmarkStart w:id="1100" w:name="_Toc497747221"/>
      <w:bookmarkStart w:id="1101" w:name="_Toc418752285"/>
      <w:bookmarkStart w:id="1102" w:name="_Toc403578977"/>
      <w:bookmarkStart w:id="1103" w:name="_Toc418061354"/>
      <w:bookmarkStart w:id="1104" w:name="_Toc256000221"/>
      <w:bookmarkStart w:id="1105" w:name="_Toc418518389"/>
      <w:bookmarkStart w:id="1106" w:name="_Toc373478389"/>
      <w:bookmarkStart w:id="1107" w:name="_Toc389065308"/>
      <w:bookmarkStart w:id="1108" w:name="_Toc373227742"/>
      <w:bookmarkStart w:id="1109" w:name="_Toc497746824"/>
      <w:r>
        <w:rPr>
          <w:rFonts w:hint="eastAsia" w:ascii="宋体" w:cs="宋体"/>
          <w:color w:val="auto"/>
          <w:highlight w:val="none"/>
        </w:rPr>
        <w:t>10.4 变更估价</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14:paraId="6292698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10.4.1 变更估价原则</w:t>
      </w:r>
    </w:p>
    <w:p w14:paraId="7D5A6BD5">
      <w:pPr>
        <w:pStyle w:val="396"/>
        <w:spacing w:line="380" w:lineRule="exact"/>
        <w:ind w:firstLine="426"/>
        <w:rPr>
          <w:rFonts w:ascii="宋体" w:hAnsi="宋体" w:cs="宋体"/>
          <w:color w:val="auto"/>
          <w:szCs w:val="21"/>
          <w:highlight w:val="none"/>
          <w:u w:val="single"/>
        </w:rPr>
      </w:pPr>
      <w:r>
        <w:rPr>
          <w:rFonts w:hint="eastAsia" w:ascii="宋体" w:hAnsi="宋体" w:cs="宋体"/>
          <w:color w:val="auto"/>
          <w:szCs w:val="21"/>
          <w:highlight w:val="none"/>
        </w:rPr>
        <w:t xml:space="preserve">关于变更估价的约定: </w:t>
      </w:r>
      <w:r>
        <w:rPr>
          <w:rFonts w:ascii="宋体" w:hAnsi="宋体" w:eastAsia="宋体" w:cs="宋体"/>
          <w:spacing w:val="2"/>
          <w:sz w:val="21"/>
          <w:szCs w:val="21"/>
          <w:u w:val="single" w:color="auto"/>
        </w:rPr>
        <w:t>(1)投标报价中已有适用于变更工程的综合单价，按已有的综合单</w:t>
      </w:r>
      <w:r>
        <w:rPr>
          <w:rFonts w:ascii="宋体" w:hAnsi="宋体" w:eastAsia="宋体" w:cs="宋体"/>
          <w:spacing w:val="-4"/>
          <w:sz w:val="21"/>
          <w:szCs w:val="21"/>
          <w:u w:val="single" w:color="auto"/>
        </w:rPr>
        <w:t>价，综合单价不随工</w:t>
      </w:r>
      <w:r>
        <w:rPr>
          <w:rFonts w:ascii="宋体" w:hAnsi="宋体" w:eastAsia="宋体" w:cs="宋体"/>
          <w:spacing w:val="-3"/>
          <w:sz w:val="21"/>
          <w:szCs w:val="21"/>
          <w:u w:val="single" w:color="auto"/>
        </w:rPr>
        <w:t>程</w:t>
      </w:r>
      <w:r>
        <w:rPr>
          <w:rFonts w:ascii="宋体" w:hAnsi="宋体" w:eastAsia="宋体" w:cs="宋体"/>
          <w:spacing w:val="-2"/>
          <w:sz w:val="21"/>
          <w:szCs w:val="21"/>
          <w:u w:val="single" w:color="auto"/>
        </w:rPr>
        <w:t>量的增减而变化，(2) 投标报价中有类似变更工程的综合单价，可参照</w:t>
      </w:r>
      <w:r>
        <w:rPr>
          <w:rFonts w:ascii="宋体" w:hAnsi="宋体" w:eastAsia="宋体" w:cs="宋体"/>
          <w:spacing w:val="2"/>
          <w:sz w:val="21"/>
          <w:szCs w:val="21"/>
          <w:u w:val="single" w:color="auto"/>
        </w:rPr>
        <w:t>投标报价中类似的综合单价确定(</w:t>
      </w:r>
      <w:r>
        <w:rPr>
          <w:rFonts w:ascii="宋体" w:hAnsi="宋体" w:eastAsia="宋体" w:cs="宋体"/>
          <w:spacing w:val="1"/>
          <w:sz w:val="21"/>
          <w:szCs w:val="21"/>
          <w:u w:val="single" w:color="auto"/>
        </w:rPr>
        <w:t>3) 投标报价中没有适用或类似于变更工程的综合单价，则有</w:t>
      </w:r>
      <w:r>
        <w:rPr>
          <w:rFonts w:ascii="宋体" w:hAnsi="宋体" w:eastAsia="宋体" w:cs="宋体"/>
          <w:spacing w:val="-5"/>
          <w:sz w:val="21"/>
          <w:szCs w:val="21"/>
          <w:u w:val="single" w:color="auto"/>
        </w:rPr>
        <w:t>定额的套定额计算，执行本工程编制招标控制价的参考依据，其中材料价格有信息价的按合</w:t>
      </w:r>
      <w:r>
        <w:rPr>
          <w:rFonts w:ascii="宋体" w:hAnsi="宋体" w:eastAsia="宋体" w:cs="宋体"/>
          <w:spacing w:val="-2"/>
          <w:sz w:val="21"/>
          <w:szCs w:val="21"/>
          <w:u w:val="single" w:color="auto"/>
        </w:rPr>
        <w:t>同</w:t>
      </w:r>
      <w:r>
        <w:rPr>
          <w:rFonts w:ascii="宋体" w:hAnsi="宋体" w:eastAsia="宋体" w:cs="宋体"/>
          <w:spacing w:val="-4"/>
          <w:sz w:val="21"/>
          <w:szCs w:val="21"/>
          <w:u w:val="single" w:color="auto"/>
        </w:rPr>
        <w:t>该新增子项实施期间《桂</w:t>
      </w:r>
      <w:r>
        <w:rPr>
          <w:rFonts w:ascii="宋体" w:hAnsi="宋体" w:eastAsia="宋体" w:cs="宋体"/>
          <w:spacing w:val="-2"/>
          <w:sz w:val="21"/>
          <w:szCs w:val="21"/>
          <w:u w:val="single" w:color="auto"/>
        </w:rPr>
        <w:t>林市建设工程造价信息》的桂林市平均值计取，无信息价的，按市场</w:t>
      </w:r>
      <w:r>
        <mc:AlternateContent>
          <mc:Choice Requires="wps">
            <w:drawing>
              <wp:anchor distT="0" distB="0" distL="114300" distR="114300" simplePos="0" relativeHeight="251663360" behindDoc="0" locked="0" layoutInCell="0" allowOverlap="1">
                <wp:simplePos x="0" y="0"/>
                <wp:positionH relativeFrom="page">
                  <wp:posOffset>1141730</wp:posOffset>
                </wp:positionH>
                <wp:positionV relativeFrom="page">
                  <wp:posOffset>9578340</wp:posOffset>
                </wp:positionV>
                <wp:extent cx="734695" cy="7620"/>
                <wp:effectExtent l="0" t="0" r="0" b="0"/>
                <wp:wrapNone/>
                <wp:docPr id="2" name="任意多边形 2"/>
                <wp:cNvGraphicFramePr/>
                <a:graphic xmlns:a="http://schemas.openxmlformats.org/drawingml/2006/main">
                  <a:graphicData uri="http://schemas.microsoft.com/office/word/2010/wordprocessingShape">
                    <wps:wsp>
                      <wps:cNvSpPr/>
                      <wps:spPr>
                        <a:xfrm>
                          <a:off x="0" y="0"/>
                          <a:ext cx="734695" cy="7620"/>
                        </a:xfrm>
                        <a:custGeom>
                          <a:avLst/>
                          <a:gdLst/>
                          <a:ahLst/>
                          <a:cxnLst/>
                          <a:pathLst>
                            <a:path w="1156" h="12">
                              <a:moveTo>
                                <a:pt x="0" y="11"/>
                              </a:moveTo>
                              <a:lnTo>
                                <a:pt x="1156" y="11"/>
                              </a:lnTo>
                              <a:lnTo>
                                <a:pt x="1156" y="0"/>
                              </a:lnTo>
                              <a:lnTo>
                                <a:pt x="0" y="0"/>
                              </a:lnTo>
                              <a:lnTo>
                                <a:pt x="0" y="11"/>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9pt;margin-top:754.2pt;height:0.6pt;width:57.85pt;mso-position-horizontal-relative:page;mso-position-vertical-relative:page;z-index:251663360;mso-width-relative:page;mso-height-relative:page;" fillcolor="#000000" filled="t" stroked="f" coordsize="1156,12" o:allowincell="f" o:gfxdata="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jWpw/bAAAADQEAAA8A&#10;AAAAAAAAAQAgAAAAIgAAAGRycy9kb3ducmV2LnhtbFBLAQIUABQAAAAIAIdO4kC9o5i6FAIAAHsE&#10;AAAOAAAAAAAAAAEAIAAAACoBAABkcnMvZTJvRG9jLnhtbFBLBQYAAAAABgAGAFkBAACwBQAAAAA=&#10;" path="m0,11l1156,11,1156,0,0,0,0,11xe">
                <v:fill on="t" focussize="0,0"/>
                <v:stroke on="f"/>
                <v:imagedata o:title=""/>
                <o:lock v:ext="edit" aspectratio="f"/>
              </v:shape>
            </w:pict>
          </mc:Fallback>
        </mc:AlternateContent>
      </w:r>
      <w:r>
        <w:rPr>
          <w:rFonts w:ascii="宋体" w:hAnsi="宋体" w:eastAsia="宋体" w:cs="宋体"/>
          <w:spacing w:val="-2"/>
          <w:sz w:val="21"/>
          <w:szCs w:val="21"/>
          <w:u w:val="single" w:color="auto"/>
        </w:rPr>
        <w:t>价格由发包人、</w:t>
      </w:r>
      <w:r>
        <w:rPr>
          <w:rFonts w:ascii="宋体" w:hAnsi="宋体" w:eastAsia="宋体" w:cs="宋体"/>
          <w:spacing w:val="-1"/>
          <w:sz w:val="21"/>
          <w:szCs w:val="21"/>
          <w:u w:val="single" w:color="auto"/>
        </w:rPr>
        <w:t>承包人、发包人委托的造价咨询机构 (如有时)、现场监管代表及监理协商确定</w:t>
      </w:r>
      <w:r>
        <w:rPr>
          <w:rFonts w:ascii="宋体" w:hAnsi="宋体" w:eastAsia="宋体" w:cs="宋体"/>
          <w:spacing w:val="4"/>
          <w:sz w:val="21"/>
          <w:szCs w:val="21"/>
          <w:u w:val="single" w:color="auto"/>
        </w:rPr>
        <w:t>材料价，不在下浮</w:t>
      </w:r>
      <w:r>
        <w:rPr>
          <w:rFonts w:ascii="宋体" w:hAnsi="宋体" w:eastAsia="宋体" w:cs="宋体"/>
          <w:spacing w:val="3"/>
          <w:sz w:val="21"/>
          <w:szCs w:val="21"/>
          <w:u w:val="single" w:color="auto"/>
        </w:rPr>
        <w:t>范</w:t>
      </w:r>
      <w:r>
        <w:rPr>
          <w:rFonts w:ascii="宋体" w:hAnsi="宋体" w:eastAsia="宋体" w:cs="宋体"/>
          <w:spacing w:val="2"/>
          <w:sz w:val="21"/>
          <w:szCs w:val="21"/>
          <w:u w:val="single" w:color="auto"/>
        </w:rPr>
        <w:t>围之内；新增结算综合单价=定额计算的综合单价×(中标的投标报价/招</w:t>
      </w:r>
      <w:r>
        <w:rPr>
          <w:rFonts w:ascii="宋体" w:hAnsi="宋体" w:eastAsia="宋体" w:cs="宋体"/>
          <w:spacing w:val="-6"/>
          <w:sz w:val="21"/>
          <w:szCs w:val="21"/>
          <w:u w:val="single" w:color="auto"/>
        </w:rPr>
        <w:t>标控制价)，新增</w:t>
      </w:r>
      <w:r>
        <w:rPr>
          <w:rFonts w:ascii="宋体" w:hAnsi="宋体" w:eastAsia="宋体" w:cs="宋体"/>
          <w:spacing w:val="-4"/>
          <w:sz w:val="21"/>
          <w:szCs w:val="21"/>
          <w:u w:val="single" w:color="auto"/>
        </w:rPr>
        <w:t>项</w:t>
      </w:r>
      <w:r>
        <w:rPr>
          <w:rFonts w:ascii="宋体" w:hAnsi="宋体" w:eastAsia="宋体" w:cs="宋体"/>
          <w:spacing w:val="-3"/>
          <w:sz w:val="21"/>
          <w:szCs w:val="21"/>
          <w:u w:val="single" w:color="auto"/>
        </w:rPr>
        <w:t>目无定额可套时，由发包人、承包人驻现场代表、发包人委托的造价咨询机</w:t>
      </w:r>
      <w:r>
        <w:rPr>
          <w:rFonts w:ascii="宋体" w:hAnsi="宋体" w:eastAsia="宋体" w:cs="宋体"/>
          <w:spacing w:val="-1"/>
          <w:sz w:val="21"/>
          <w:szCs w:val="21"/>
          <w:u w:val="single" w:color="auto"/>
        </w:rPr>
        <w:t xml:space="preserve">构 </w:t>
      </w:r>
      <w:r>
        <w:rPr>
          <w:rFonts w:ascii="宋体" w:hAnsi="宋体" w:eastAsia="宋体" w:cs="宋体"/>
          <w:sz w:val="21"/>
          <w:szCs w:val="21"/>
          <w:u w:val="single" w:color="auto"/>
        </w:rPr>
        <w:t>(如有时) 及监理三方共同协商确定包干价</w:t>
      </w:r>
      <w:r>
        <w:rPr>
          <w:rFonts w:hint="eastAsia" w:ascii="宋体" w:hAnsi="宋体" w:eastAsia="宋体" w:cs="宋体"/>
          <w:sz w:val="21"/>
          <w:szCs w:val="21"/>
          <w:u w:val="single" w:color="auto"/>
          <w:lang w:eastAsia="zh-CN"/>
        </w:rPr>
        <w:t>，</w:t>
      </w:r>
      <w:r>
        <w:rPr>
          <w:rFonts w:ascii="宋体" w:hAnsi="宋体" w:eastAsia="宋体" w:cs="宋体"/>
          <w:sz w:val="21"/>
          <w:szCs w:val="21"/>
          <w:u w:val="single" w:color="auto"/>
        </w:rPr>
        <w:t>不在下浮范围之内。暂定价调整方法为：暂定</w:t>
      </w:r>
      <w:r>
        <w:rPr>
          <w:rFonts w:ascii="宋体" w:hAnsi="宋体" w:eastAsia="宋体" w:cs="宋体"/>
          <w:spacing w:val="-1"/>
          <w:sz w:val="21"/>
          <w:szCs w:val="21"/>
          <w:u w:val="single" w:color="auto"/>
        </w:rPr>
        <w:t>材料价格</w:t>
      </w:r>
      <w:r>
        <w:rPr>
          <w:rFonts w:ascii="宋体" w:hAnsi="宋体" w:eastAsia="宋体" w:cs="宋体"/>
          <w:sz w:val="21"/>
          <w:szCs w:val="21"/>
          <w:u w:val="single" w:color="auto"/>
        </w:rPr>
        <w:t>部分仅调整合同实施期间材料市场价与暂定价之间的价差并计相应的规费和增值税，</w:t>
      </w:r>
      <w:r>
        <w:rPr>
          <w:rFonts w:ascii="宋体" w:hAnsi="宋体" w:eastAsia="宋体" w:cs="宋体"/>
          <w:spacing w:val="-1"/>
          <w:sz w:val="21"/>
          <w:szCs w:val="21"/>
          <w:u w:val="single" w:color="auto"/>
        </w:rPr>
        <w:t>投</w:t>
      </w:r>
      <w:r>
        <w:rPr>
          <w:rFonts w:ascii="宋体" w:hAnsi="宋体" w:eastAsia="宋体" w:cs="宋体"/>
          <w:sz w:val="21"/>
          <w:szCs w:val="21"/>
          <w:u w:val="single" w:color="auto"/>
        </w:rPr>
        <w:t>标书中相应的综合单价不再调整。本工程最终结算经财政部门审定并经甲乙双方签字确认为</w:t>
      </w:r>
      <w:r>
        <w:rPr>
          <w:rFonts w:ascii="宋体" w:hAnsi="宋体" w:eastAsia="宋体" w:cs="宋体"/>
          <w:spacing w:val="8"/>
          <w:sz w:val="21"/>
          <w:szCs w:val="21"/>
          <w:u w:val="single" w:color="auto"/>
        </w:rPr>
        <w:t>准</w:t>
      </w:r>
      <w:r>
        <w:rPr>
          <w:rFonts w:ascii="宋体" w:hAnsi="宋体" w:eastAsia="宋体" w:cs="宋体"/>
          <w:spacing w:val="7"/>
          <w:sz w:val="21"/>
          <w:szCs w:val="21"/>
          <w:u w:val="single" w:color="auto"/>
        </w:rPr>
        <w:t>。</w:t>
      </w:r>
    </w:p>
    <w:p w14:paraId="35E69C1F">
      <w:pPr>
        <w:pStyle w:val="504"/>
        <w:spacing w:line="380" w:lineRule="exact"/>
        <w:ind w:firstLine="422" w:firstLineChars="200"/>
        <w:rPr>
          <w:rFonts w:ascii="宋体" w:cs="宋体"/>
          <w:color w:val="auto"/>
          <w:highlight w:val="none"/>
        </w:rPr>
      </w:pPr>
      <w:bookmarkStart w:id="1110" w:name="_Toc373478390"/>
      <w:bookmarkStart w:id="1111" w:name="_Toc256000222"/>
      <w:bookmarkStart w:id="1112" w:name="_Toc497746825"/>
      <w:bookmarkStart w:id="1113" w:name="_Toc418518390"/>
      <w:bookmarkStart w:id="1114" w:name="_Toc418061355"/>
      <w:bookmarkStart w:id="1115" w:name="_Toc403578978"/>
      <w:bookmarkStart w:id="1116" w:name="_Toc389065309"/>
      <w:bookmarkStart w:id="1117" w:name="_Toc418751840"/>
      <w:bookmarkStart w:id="1118" w:name="_Toc373227743"/>
      <w:bookmarkStart w:id="1119" w:name="_Toc418518154"/>
      <w:bookmarkStart w:id="1120" w:name="_Toc497747222"/>
      <w:bookmarkStart w:id="1121" w:name="_Toc522201771"/>
      <w:bookmarkStart w:id="1122" w:name="_Toc418752286"/>
      <w:r>
        <w:rPr>
          <w:rFonts w:hint="eastAsia" w:ascii="宋体" w:cs="宋体"/>
          <w:color w:val="auto"/>
          <w:highlight w:val="none"/>
        </w:rPr>
        <w:t>1</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Start w:id="1123" w:name="_Toc296891025"/>
      <w:bookmarkStart w:id="1124" w:name="_Toc296891237"/>
      <w:bookmarkStart w:id="1125" w:name="_Toc296347196"/>
      <w:bookmarkStart w:id="1126" w:name="_Toc300934993"/>
      <w:bookmarkStart w:id="1127" w:name="_Toc296944536"/>
      <w:bookmarkStart w:id="1128" w:name="_Toc292559907"/>
      <w:bookmarkStart w:id="1129" w:name="_Toc297216203"/>
      <w:bookmarkStart w:id="1130" w:name="_Toc297120497"/>
      <w:bookmarkStart w:id="1131" w:name="_Toc297123544"/>
      <w:bookmarkStart w:id="1132" w:name="_Toc292559402"/>
      <w:bookmarkStart w:id="1133" w:name="_Toc296503197"/>
      <w:bookmarkStart w:id="1134" w:name="_Toc303539150"/>
      <w:bookmarkStart w:id="1135" w:name="_Toc297048383"/>
      <w:bookmarkStart w:id="1136" w:name="_Toc296346698"/>
      <w:bookmarkStart w:id="1137" w:name="_Toc304295570"/>
      <w:bookmarkStart w:id="1138" w:name="_Toc312677503"/>
      <w:bookmarkStart w:id="1139" w:name="_Toc312678029"/>
      <w:r>
        <w:rPr>
          <w:rFonts w:hint="eastAsia" w:ascii="宋体" w:cs="宋体"/>
          <w:color w:val="auto"/>
          <w:highlight w:val="none"/>
        </w:rPr>
        <w:t>0.5 承</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Start w:id="1140" w:name="_Toc296503203"/>
      <w:bookmarkStart w:id="1141" w:name="_Toc292559913"/>
      <w:bookmarkStart w:id="1142" w:name="_Toc297048389"/>
      <w:bookmarkStart w:id="1143" w:name="_Toc296891243"/>
      <w:bookmarkStart w:id="1144" w:name="_Toc297120503"/>
      <w:bookmarkStart w:id="1145" w:name="_Toc297123545"/>
      <w:bookmarkStart w:id="1146" w:name="_Toc296346704"/>
      <w:bookmarkStart w:id="1147" w:name="_Toc300934994"/>
      <w:bookmarkStart w:id="1148" w:name="_Toc303539151"/>
      <w:bookmarkStart w:id="1149" w:name="_Toc297216204"/>
      <w:bookmarkStart w:id="1150" w:name="_Toc296347202"/>
      <w:bookmarkStart w:id="1151" w:name="_Toc292559408"/>
      <w:bookmarkStart w:id="1152" w:name="_Toc296944542"/>
      <w:bookmarkStart w:id="1153" w:name="_Toc296891031"/>
      <w:r>
        <w:rPr>
          <w:rFonts w:hint="eastAsia" w:ascii="宋体" w:cs="宋体"/>
          <w:color w:val="auto"/>
          <w:highlight w:val="none"/>
        </w:rPr>
        <w:t>包人的合理化建议</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p>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p w14:paraId="0B9A4DB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监理人审查承包人合理化建议的期限：</w:t>
      </w:r>
      <w:r>
        <w:rPr>
          <w:rFonts w:hint="eastAsia" w:ascii="宋体" w:hAnsi="宋体" w:cs="宋体"/>
          <w:color w:val="auto"/>
          <w:szCs w:val="21"/>
          <w:highlight w:val="none"/>
          <w:u w:val="single"/>
        </w:rPr>
        <w:t>监理人应在收到承包人提交的合理化建议后7天内审查完毕并报送发包人，发现其中存在技术上的缺陷，应通知承包人修改</w:t>
      </w:r>
      <w:r>
        <w:rPr>
          <w:rFonts w:hint="eastAsia" w:ascii="宋体" w:hAnsi="宋体" w:cs="宋体"/>
          <w:color w:val="auto"/>
          <w:szCs w:val="21"/>
          <w:highlight w:val="none"/>
        </w:rPr>
        <w:t>。</w:t>
      </w:r>
    </w:p>
    <w:p w14:paraId="43C30B3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发包人审批承包人合理化建议的期限：</w:t>
      </w:r>
      <w:r>
        <w:rPr>
          <w:rFonts w:hint="eastAsia" w:ascii="宋体" w:hAnsi="宋体" w:cs="宋体"/>
          <w:color w:val="auto"/>
          <w:szCs w:val="21"/>
          <w:highlight w:val="none"/>
          <w:u w:val="single"/>
        </w:rPr>
        <w:t>发包人应在收到监理人报送的合理化建议后7天内审批完毕</w:t>
      </w:r>
      <w:r>
        <w:rPr>
          <w:rFonts w:hint="eastAsia" w:ascii="宋体" w:hAnsi="宋体" w:cs="宋体"/>
          <w:color w:val="auto"/>
          <w:szCs w:val="21"/>
          <w:highlight w:val="none"/>
        </w:rPr>
        <w:t>。</w:t>
      </w:r>
    </w:p>
    <w:p w14:paraId="694464E5">
      <w:pPr>
        <w:pStyle w:val="396"/>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承</w:t>
      </w:r>
      <w:bookmarkStart w:id="1154" w:name="_Toc297216205"/>
      <w:bookmarkStart w:id="1155" w:name="_Toc292559914"/>
      <w:bookmarkStart w:id="1156" w:name="_Toc292559409"/>
      <w:bookmarkStart w:id="1157" w:name="_Toc300934995"/>
      <w:bookmarkStart w:id="1158" w:name="_Toc297048390"/>
      <w:bookmarkStart w:id="1159" w:name="_Toc296347203"/>
      <w:bookmarkStart w:id="1160" w:name="_Toc304295571"/>
      <w:bookmarkStart w:id="1161" w:name="_Toc296503204"/>
      <w:bookmarkStart w:id="1162" w:name="_Toc297120504"/>
      <w:bookmarkStart w:id="1163" w:name="_Toc296346705"/>
      <w:bookmarkStart w:id="1164" w:name="_Toc318581175"/>
      <w:bookmarkStart w:id="1165" w:name="_Toc296891244"/>
      <w:bookmarkStart w:id="1166" w:name="_Toc296891032"/>
      <w:bookmarkStart w:id="1167" w:name="_Toc312677504"/>
      <w:bookmarkStart w:id="1168" w:name="_Toc296944543"/>
      <w:bookmarkStart w:id="1169" w:name="_Toc312678030"/>
      <w:bookmarkStart w:id="1170" w:name="_Toc303539152"/>
      <w:bookmarkStart w:id="1171" w:name="_Toc297123546"/>
      <w:r>
        <w:rPr>
          <w:rFonts w:hint="eastAsia" w:ascii="宋体" w:hAnsi="宋体" w:cs="宋体"/>
          <w:color w:val="auto"/>
          <w:szCs w:val="21"/>
          <w:highlight w:val="none"/>
        </w:rPr>
        <w:t>包人提出的合理化建议降低了合同价格或者提高了工程经济效益的奖励的方法和金额为：</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p w14:paraId="5779A44B">
      <w:pPr>
        <w:pStyle w:val="504"/>
        <w:spacing w:line="380" w:lineRule="exact"/>
        <w:ind w:firstLine="422" w:firstLineChars="200"/>
        <w:rPr>
          <w:rFonts w:ascii="宋体" w:cs="宋体"/>
          <w:color w:val="auto"/>
          <w:highlight w:val="none"/>
        </w:rPr>
      </w:pPr>
      <w:bookmarkStart w:id="1172" w:name="_Toc373227744"/>
      <w:bookmarkStart w:id="1173" w:name="_Toc418518391"/>
      <w:bookmarkStart w:id="1174" w:name="_Toc373478391"/>
      <w:bookmarkStart w:id="1175" w:name="_Toc497747223"/>
      <w:bookmarkStart w:id="1176" w:name="_Toc522201772"/>
      <w:bookmarkStart w:id="1177" w:name="_Toc256000223"/>
      <w:bookmarkStart w:id="1178" w:name="_Toc418752287"/>
      <w:bookmarkStart w:id="1179" w:name="_Toc418061356"/>
      <w:bookmarkStart w:id="1180" w:name="_Toc418751841"/>
      <w:bookmarkStart w:id="1181" w:name="_Toc403578979"/>
      <w:bookmarkStart w:id="1182" w:name="_Toc497746826"/>
      <w:bookmarkStart w:id="1183" w:name="_Toc418518155"/>
      <w:bookmarkStart w:id="1184" w:name="_Toc389065310"/>
      <w:r>
        <w:rPr>
          <w:rFonts w:hint="eastAsia" w:ascii="宋体" w:cs="宋体"/>
          <w:color w:val="auto"/>
          <w:highlight w:val="none"/>
        </w:rPr>
        <w:t>1</w:t>
      </w:r>
      <w:bookmarkStart w:id="1185" w:name="_Toc297120499"/>
      <w:bookmarkStart w:id="1186" w:name="_Toc312677507"/>
      <w:bookmarkStart w:id="1187" w:name="_Toc296347198"/>
      <w:bookmarkStart w:id="1188" w:name="_Toc304295574"/>
      <w:bookmarkStart w:id="1189" w:name="_Toc296503199"/>
      <w:bookmarkStart w:id="1190" w:name="_Toc303539154"/>
      <w:bookmarkStart w:id="1191" w:name="_Toc292559404"/>
      <w:bookmarkStart w:id="1192" w:name="_Toc292559909"/>
      <w:bookmarkStart w:id="1193" w:name="_Toc296346700"/>
      <w:bookmarkStart w:id="1194" w:name="_Toc312678033"/>
      <w:bookmarkStart w:id="1195" w:name="_Toc296891027"/>
      <w:bookmarkStart w:id="1196" w:name="_Toc297216207"/>
      <w:bookmarkStart w:id="1197" w:name="_Toc297048385"/>
      <w:bookmarkStart w:id="1198" w:name="_Toc297123548"/>
      <w:bookmarkStart w:id="1199" w:name="_Toc296944538"/>
      <w:bookmarkStart w:id="1200" w:name="_Toc296891239"/>
      <w:bookmarkStart w:id="1201" w:name="_Toc300934997"/>
      <w:r>
        <w:rPr>
          <w:rFonts w:hint="eastAsia" w:ascii="宋体" w:cs="宋体"/>
          <w:color w:val="auto"/>
          <w:highlight w:val="none"/>
        </w:rPr>
        <w:t>0.7 暂估价</w:t>
      </w:r>
      <w:bookmarkEnd w:id="1172"/>
      <w:bookmarkEnd w:id="1173"/>
      <w:bookmarkEnd w:id="1174"/>
      <w:bookmarkEnd w:id="1175"/>
      <w:bookmarkEnd w:id="1176"/>
      <w:bookmarkEnd w:id="1177"/>
      <w:bookmarkEnd w:id="1178"/>
      <w:bookmarkEnd w:id="1179"/>
      <w:bookmarkEnd w:id="1180"/>
      <w:bookmarkEnd w:id="1181"/>
      <w:bookmarkEnd w:id="1182"/>
      <w:bookmarkEnd w:id="1183"/>
      <w:bookmarkEnd w:id="1184"/>
    </w:p>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14:paraId="52804BB6">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暂</w:t>
      </w:r>
      <w:bookmarkStart w:id="1202" w:name="_Toc312677508"/>
      <w:bookmarkStart w:id="1203" w:name="_Toc312678034"/>
      <w:bookmarkStart w:id="1204" w:name="_Toc318581176"/>
      <w:r>
        <w:rPr>
          <w:rFonts w:hint="eastAsia" w:ascii="宋体" w:hAnsi="宋体" w:cs="宋体"/>
          <w:color w:val="auto"/>
          <w:kern w:val="0"/>
          <w:szCs w:val="21"/>
          <w:highlight w:val="none"/>
        </w:rPr>
        <w:t>估价材料和工程设备的明细详见已标价工程量清单《</w:t>
      </w:r>
      <w:r>
        <w:rPr>
          <w:rFonts w:hint="eastAsia" w:ascii="宋体" w:hAnsi="宋体" w:cs="宋体"/>
          <w:color w:val="auto"/>
          <w:szCs w:val="21"/>
          <w:highlight w:val="none"/>
        </w:rPr>
        <w:t>材料（工程设备）暂估价格及调整表》</w:t>
      </w:r>
      <w:r>
        <w:rPr>
          <w:rFonts w:hint="eastAsia" w:ascii="宋体" w:hAnsi="宋体" w:cs="宋体"/>
          <w:color w:val="auto"/>
          <w:kern w:val="0"/>
          <w:szCs w:val="21"/>
          <w:highlight w:val="none"/>
        </w:rPr>
        <w:t>（表12-2）和《</w:t>
      </w:r>
      <w:r>
        <w:rPr>
          <w:rFonts w:hint="eastAsia" w:ascii="宋体" w:hAnsi="宋体" w:cs="宋体"/>
          <w:color w:val="auto"/>
          <w:szCs w:val="21"/>
          <w:highlight w:val="none"/>
        </w:rPr>
        <w:t>专业工程暂估价表》（</w:t>
      </w:r>
      <w:r>
        <w:rPr>
          <w:rFonts w:hint="eastAsia" w:ascii="宋体" w:hAnsi="宋体" w:cs="宋体"/>
          <w:color w:val="auto"/>
          <w:kern w:val="0"/>
          <w:szCs w:val="21"/>
          <w:highlight w:val="none"/>
        </w:rPr>
        <w:t>表12-3）。</w:t>
      </w:r>
    </w:p>
    <w:bookmarkEnd w:id="1202"/>
    <w:bookmarkEnd w:id="1203"/>
    <w:bookmarkEnd w:id="1204"/>
    <w:p w14:paraId="3D26FF7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w:t>
      </w:r>
      <w:bookmarkStart w:id="1205" w:name="_Toc318581177"/>
      <w:bookmarkStart w:id="1206" w:name="_Toc312678035"/>
      <w:bookmarkStart w:id="1207" w:name="_Toc312677509"/>
      <w:r>
        <w:rPr>
          <w:rFonts w:hint="eastAsia" w:ascii="宋体" w:hAnsi="宋体" w:cs="宋体"/>
          <w:color w:val="auto"/>
          <w:szCs w:val="21"/>
          <w:highlight w:val="none"/>
        </w:rPr>
        <w:t>0.7.1 依法必须招标的暂估价项目</w:t>
      </w:r>
    </w:p>
    <w:bookmarkEnd w:id="1205"/>
    <w:bookmarkEnd w:id="1206"/>
    <w:bookmarkEnd w:id="1207"/>
    <w:p w14:paraId="0117BE5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对于依法必须招标的暂估价项目的确认和批准采取第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双方协定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种方式确定。</w:t>
      </w:r>
    </w:p>
    <w:p w14:paraId="116C314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10.7.2 不属于依法必须招标的暂估价项目</w:t>
      </w:r>
    </w:p>
    <w:p w14:paraId="3B99F25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对于不属于依法必须招标的暂估价项目的确认和批准采取第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种方式确定。</w:t>
      </w:r>
    </w:p>
    <w:p w14:paraId="155803FA">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第3种方式：</w:t>
      </w:r>
      <w:r>
        <w:rPr>
          <w:rFonts w:hint="eastAsia" w:ascii="宋体" w:hAnsi="宋体" w:cs="宋体"/>
          <w:color w:val="auto"/>
          <w:kern w:val="0"/>
          <w:szCs w:val="21"/>
          <w:highlight w:val="none"/>
        </w:rPr>
        <w:t>承包人直接实施的暂估价项目</w:t>
      </w:r>
    </w:p>
    <w:p w14:paraId="7C22BBD1">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承包人直接实施的暂估价项目的约定：</w:t>
      </w:r>
      <w:r>
        <w:rPr>
          <w:rFonts w:hint="eastAsia" w:ascii="宋体" w:hAnsi="宋体" w:cs="宋体"/>
          <w:color w:val="auto"/>
          <w:szCs w:val="21"/>
          <w:highlight w:val="none"/>
          <w:u w:val="single"/>
        </w:rPr>
        <w:t xml:space="preserve"> </w:t>
      </w:r>
      <w:r>
        <w:rPr>
          <w:rFonts w:ascii="宋体" w:hAnsi="宋体" w:eastAsia="宋体" w:cs="宋体"/>
          <w:sz w:val="21"/>
          <w:szCs w:val="21"/>
          <w:u w:val="single" w:color="auto"/>
        </w:rPr>
        <w:t>按市场价格由发包人、承包人、发包人委托的造价</w:t>
      </w:r>
      <w:r>
        <w:rPr>
          <w:rFonts w:ascii="宋体" w:hAnsi="宋体" w:eastAsia="宋体" w:cs="宋体"/>
          <w:spacing w:val="-1"/>
          <w:sz w:val="21"/>
          <w:szCs w:val="21"/>
          <w:u w:val="single" w:color="auto"/>
        </w:rPr>
        <w:t>咨询机构 (如有</w:t>
      </w:r>
      <w:r>
        <w:rPr>
          <w:rFonts w:ascii="宋体" w:hAnsi="宋体" w:eastAsia="宋体" w:cs="宋体"/>
          <w:color w:val="auto"/>
          <w:spacing w:val="-1"/>
          <w:sz w:val="21"/>
          <w:szCs w:val="21"/>
          <w:u w:val="single" w:color="auto"/>
        </w:rPr>
        <w:t>时)、现</w:t>
      </w:r>
      <w:r>
        <w:rPr>
          <w:rFonts w:ascii="宋体" w:hAnsi="宋体" w:eastAsia="宋体" w:cs="宋体"/>
          <w:color w:val="auto"/>
          <w:sz w:val="21"/>
          <w:szCs w:val="21"/>
          <w:u w:val="single" w:color="auto"/>
        </w:rPr>
        <w:t>场监管代表及监理协商确定材料价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A6FB6A8">
      <w:pPr>
        <w:pStyle w:val="504"/>
        <w:spacing w:line="380" w:lineRule="exact"/>
        <w:ind w:firstLine="422" w:firstLineChars="200"/>
        <w:rPr>
          <w:rFonts w:ascii="宋体" w:cs="宋体"/>
          <w:color w:val="auto"/>
          <w:highlight w:val="none"/>
        </w:rPr>
      </w:pPr>
      <w:bookmarkStart w:id="1208" w:name="_Toc373478392"/>
      <w:bookmarkStart w:id="1209" w:name="_Toc497747224"/>
      <w:bookmarkStart w:id="1210" w:name="_Toc497746827"/>
      <w:bookmarkStart w:id="1211" w:name="_Toc522201773"/>
      <w:bookmarkStart w:id="1212" w:name="_Toc418061357"/>
      <w:bookmarkStart w:id="1213" w:name="_Toc418518156"/>
      <w:bookmarkStart w:id="1214" w:name="_Toc418518392"/>
      <w:bookmarkStart w:id="1215" w:name="_Toc256000224"/>
      <w:bookmarkStart w:id="1216" w:name="_Toc373227745"/>
      <w:bookmarkStart w:id="1217" w:name="_Toc403578980"/>
      <w:bookmarkStart w:id="1218" w:name="_Toc389065311"/>
      <w:bookmarkStart w:id="1219" w:name="_Toc418752288"/>
      <w:bookmarkStart w:id="1220" w:name="_Toc418751842"/>
      <w:r>
        <w:rPr>
          <w:rFonts w:hint="eastAsia" w:ascii="宋体" w:cs="宋体"/>
          <w:color w:val="auto"/>
          <w:highlight w:val="none"/>
        </w:rPr>
        <w:t>10.8 暂列金额</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14:paraId="5AFEB954">
      <w:pPr>
        <w:pStyle w:val="396"/>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合同当事人关于暂列金额使用的约定：</w:t>
      </w:r>
      <w:r>
        <w:rPr>
          <w:rFonts w:ascii="宋体" w:hAnsi="宋体" w:eastAsia="宋体" w:cs="宋体"/>
          <w:color w:val="auto"/>
          <w:sz w:val="21"/>
          <w:szCs w:val="21"/>
          <w:u w:val="single" w:color="auto"/>
        </w:rPr>
        <w:t>暂列金是招标人自行确定设立的，承包方无权使用</w:t>
      </w:r>
      <w:r>
        <w:rPr>
          <w:rFonts w:ascii="宋体" w:hAnsi="宋体" w:eastAsia="宋体" w:cs="宋体"/>
          <w:color w:val="auto"/>
          <w:spacing w:val="-4"/>
          <w:sz w:val="21"/>
          <w:szCs w:val="21"/>
          <w:u w:val="single" w:color="auto"/>
        </w:rPr>
        <w:t>此笔费用， 根据发包方</w:t>
      </w:r>
      <w:r>
        <w:rPr>
          <w:rFonts w:ascii="宋体" w:hAnsi="宋体" w:eastAsia="宋体" w:cs="宋体"/>
          <w:color w:val="auto"/>
          <w:spacing w:val="-3"/>
          <w:sz w:val="21"/>
          <w:szCs w:val="21"/>
          <w:u w:val="single" w:color="auto"/>
        </w:rPr>
        <w:t>需</w:t>
      </w:r>
      <w:r>
        <w:rPr>
          <w:rFonts w:ascii="宋体" w:hAnsi="宋体" w:eastAsia="宋体" w:cs="宋体"/>
          <w:color w:val="auto"/>
          <w:spacing w:val="-2"/>
          <w:sz w:val="21"/>
          <w:szCs w:val="21"/>
          <w:u w:val="single" w:color="auto"/>
        </w:rPr>
        <w:t>要进行使用，</w:t>
      </w:r>
      <w:r>
        <w:rPr>
          <w:rFonts w:ascii="宋体" w:hAnsi="宋体" w:eastAsia="宋体" w:cs="宋体"/>
          <w:spacing w:val="-2"/>
          <w:sz w:val="21"/>
          <w:szCs w:val="21"/>
          <w:u w:val="single" w:color="auto"/>
        </w:rPr>
        <w:t>此费用按实际发生经招标人签证后确定全部使用、部分</w:t>
      </w:r>
      <w:r>
        <w:rPr>
          <w:rFonts w:ascii="宋体" w:hAnsi="宋体" w:eastAsia="宋体" w:cs="宋体"/>
          <w:spacing w:val="-1"/>
          <w:sz w:val="21"/>
          <w:szCs w:val="21"/>
          <w:u w:val="single" w:color="auto"/>
        </w:rPr>
        <w:t>使用或不</w:t>
      </w:r>
      <w:r>
        <w:rPr>
          <w:rFonts w:ascii="宋体" w:hAnsi="宋体" w:eastAsia="宋体" w:cs="宋体"/>
          <w:sz w:val="21"/>
          <w:szCs w:val="21"/>
          <w:u w:val="single" w:color="auto"/>
        </w:rPr>
        <w:t>使用。暂列金不计入</w:t>
      </w:r>
      <w:r>
        <w:rPr>
          <w:rFonts w:hint="eastAsia" w:ascii="宋体" w:hAnsi="宋体" w:eastAsia="宋体" w:cs="宋体"/>
          <w:sz w:val="21"/>
          <w:szCs w:val="21"/>
          <w:u w:val="single" w:color="auto"/>
          <w:lang w:val="en-US" w:eastAsia="zh-CN"/>
        </w:rPr>
        <w:t>工程</w:t>
      </w:r>
      <w:r>
        <w:rPr>
          <w:rFonts w:ascii="宋体" w:hAnsi="宋体" w:eastAsia="宋体" w:cs="宋体"/>
          <w:sz w:val="21"/>
          <w:szCs w:val="21"/>
          <w:u w:val="single" w:color="auto"/>
        </w:rPr>
        <w:t>款付款的基数</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7E48EE40">
      <w:pPr>
        <w:pStyle w:val="504"/>
        <w:spacing w:line="380" w:lineRule="exact"/>
        <w:rPr>
          <w:rFonts w:ascii="宋体" w:cs="宋体"/>
          <w:color w:val="auto"/>
          <w:highlight w:val="none"/>
        </w:rPr>
      </w:pPr>
      <w:bookmarkStart w:id="1221" w:name="_Toc497747225"/>
      <w:bookmarkStart w:id="1222" w:name="_Toc522201774"/>
      <w:bookmarkStart w:id="1223" w:name="_Toc418061358"/>
      <w:bookmarkStart w:id="1224" w:name="_Toc418752289"/>
      <w:bookmarkStart w:id="1225" w:name="_Toc418751843"/>
      <w:bookmarkStart w:id="1226" w:name="_Toc403578981"/>
      <w:bookmarkStart w:id="1227" w:name="_Toc373227746"/>
      <w:bookmarkStart w:id="1228" w:name="_Toc373478393"/>
      <w:bookmarkStart w:id="1229" w:name="_Toc497746828"/>
      <w:bookmarkStart w:id="1230" w:name="_Toc418518393"/>
      <w:bookmarkStart w:id="1231" w:name="_Toc389065312"/>
      <w:bookmarkStart w:id="1232" w:name="_Toc351203643"/>
      <w:bookmarkStart w:id="1233" w:name="_Toc418518157"/>
      <w:bookmarkStart w:id="1234" w:name="_Toc256000225"/>
      <w:r>
        <w:rPr>
          <w:rFonts w:hint="eastAsia" w:ascii="宋体" w:cs="宋体"/>
          <w:color w:val="auto"/>
          <w:highlight w:val="none"/>
        </w:rPr>
        <w:t>11. 价格调整</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14:paraId="0BE3F2E7">
      <w:pPr>
        <w:pStyle w:val="504"/>
        <w:spacing w:line="380" w:lineRule="exact"/>
        <w:ind w:firstLine="422" w:firstLineChars="200"/>
        <w:rPr>
          <w:rFonts w:ascii="宋体" w:cs="宋体"/>
          <w:color w:val="auto"/>
          <w:highlight w:val="none"/>
        </w:rPr>
      </w:pPr>
      <w:bookmarkStart w:id="1235" w:name="_Toc389065313"/>
      <w:bookmarkStart w:id="1236" w:name="_Toc497746829"/>
      <w:bookmarkStart w:id="1237" w:name="_Toc418518158"/>
      <w:bookmarkStart w:id="1238" w:name="_Toc256000226"/>
      <w:bookmarkStart w:id="1239" w:name="_Toc418061359"/>
      <w:bookmarkStart w:id="1240" w:name="_Toc418751844"/>
      <w:bookmarkStart w:id="1241" w:name="_Toc403578982"/>
      <w:bookmarkStart w:id="1242" w:name="_Toc418518394"/>
      <w:bookmarkStart w:id="1243" w:name="_Toc497747226"/>
      <w:bookmarkStart w:id="1244" w:name="_Toc373227747"/>
      <w:bookmarkStart w:id="1245" w:name="_Toc373478394"/>
      <w:bookmarkStart w:id="1246" w:name="_Toc418752290"/>
      <w:bookmarkStart w:id="1247" w:name="_Toc522201775"/>
      <w:bookmarkStart w:id="1248" w:name="_Toc297216209"/>
      <w:bookmarkStart w:id="1249" w:name="_Toc304295577"/>
      <w:bookmarkStart w:id="1250" w:name="_Toc296891029"/>
      <w:bookmarkStart w:id="1251" w:name="_Toc312678039"/>
      <w:bookmarkStart w:id="1252" w:name="_Toc296347200"/>
      <w:bookmarkStart w:id="1253" w:name="_Toc296503201"/>
      <w:bookmarkStart w:id="1254" w:name="_Toc303539157"/>
      <w:bookmarkStart w:id="1255" w:name="_Toc296346702"/>
      <w:bookmarkStart w:id="1256" w:name="_Toc300935000"/>
      <w:bookmarkStart w:id="1257" w:name="_Toc292559911"/>
      <w:bookmarkStart w:id="1258" w:name="_Toc297048387"/>
      <w:bookmarkStart w:id="1259" w:name="_Toc296944540"/>
      <w:bookmarkStart w:id="1260" w:name="_Toc296891241"/>
      <w:bookmarkStart w:id="1261" w:name="_Toc297120501"/>
      <w:bookmarkStart w:id="1262" w:name="_Toc297123550"/>
      <w:bookmarkStart w:id="1263" w:name="_Toc292559406"/>
      <w:r>
        <w:rPr>
          <w:rFonts w:hint="eastAsia" w:ascii="宋体" w:cs="宋体"/>
          <w:color w:val="auto"/>
          <w:highlight w:val="none"/>
        </w:rPr>
        <w:t>11.1 市场价格波动引起的调整</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p>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14:paraId="356AC12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市场价格波动是否调整合同价格的约定：</w:t>
      </w:r>
      <w:r>
        <w:rPr>
          <w:rFonts w:hint="eastAsia" w:ascii="宋体" w:hAnsi="宋体" w:cs="宋体"/>
          <w:color w:val="auto"/>
          <w:szCs w:val="21"/>
          <w:highlight w:val="none"/>
          <w:u w:val="single"/>
        </w:rPr>
        <w:t xml:space="preserve"> 调整 </w:t>
      </w:r>
      <w:r>
        <w:rPr>
          <w:rFonts w:hint="eastAsia" w:ascii="宋体" w:hAnsi="宋体" w:cs="宋体"/>
          <w:color w:val="auto"/>
          <w:szCs w:val="21"/>
          <w:highlight w:val="none"/>
        </w:rPr>
        <w:t>。</w:t>
      </w:r>
    </w:p>
    <w:p w14:paraId="3DB947A4">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因市场价格波动调整合同价格，采用以下第</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rPr>
        <w:t>种方式对合同价格进行调整：</w:t>
      </w:r>
    </w:p>
    <w:p w14:paraId="048B2702">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第1种方式：采用价格指数进行价格调整。</w:t>
      </w:r>
    </w:p>
    <w:p w14:paraId="49D97AA1">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关于各可调因子、定值和变值权重，以及基本价格指数及其来源的约定：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w:t>
      </w:r>
    </w:p>
    <w:p w14:paraId="6DE5FF78">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第2种方式：采用造价信息进行价格调整。</w:t>
      </w:r>
    </w:p>
    <w:p w14:paraId="34B5FBFA">
      <w:pPr>
        <w:pStyle w:val="396"/>
        <w:spacing w:line="380" w:lineRule="exact"/>
        <w:ind w:firstLine="315" w:firstLineChars="150"/>
        <w:rPr>
          <w:rFonts w:ascii="宋体" w:hAnsi="宋体" w:cs="宋体"/>
          <w:color w:val="auto"/>
          <w:szCs w:val="21"/>
          <w:highlight w:val="none"/>
        </w:rPr>
      </w:pPr>
      <w:r>
        <w:rPr>
          <w:rFonts w:hint="eastAsia" w:ascii="宋体" w:hAnsi="宋体" w:cs="宋体"/>
          <w:color w:val="auto"/>
          <w:szCs w:val="21"/>
          <w:highlight w:val="none"/>
        </w:rPr>
        <w:t>（1）关于基准价格的约定：</w:t>
      </w:r>
      <w:r>
        <w:rPr>
          <w:rFonts w:ascii="宋体" w:hAnsi="宋体" w:eastAsia="宋体" w:cs="宋体"/>
          <w:spacing w:val="5"/>
          <w:sz w:val="21"/>
          <w:szCs w:val="21"/>
          <w:u w:val="single" w:color="auto"/>
        </w:rPr>
        <w:t xml:space="preserve">   无   </w:t>
      </w:r>
      <w:r>
        <w:rPr>
          <w:rFonts w:hint="eastAsia" w:ascii="宋体" w:hAnsi="宋体"/>
          <w:color w:val="auto"/>
          <w:szCs w:val="21"/>
          <w:highlight w:val="none"/>
          <w:u w:val="single"/>
        </w:rPr>
        <w:t>。</w:t>
      </w:r>
    </w:p>
    <w:p w14:paraId="6448F179">
      <w:pPr>
        <w:spacing w:before="160" w:line="359" w:lineRule="auto"/>
        <w:ind w:left="21" w:right="144" w:firstLine="419"/>
        <w:rPr>
          <w:rFonts w:ascii="宋体" w:hAnsi="宋体" w:eastAsia="宋体" w:cs="宋体"/>
          <w:sz w:val="21"/>
          <w:szCs w:val="21"/>
        </w:rPr>
      </w:pPr>
      <w:r>
        <w:rPr>
          <w:rFonts w:ascii="宋体" w:hAnsi="宋体" w:eastAsia="宋体" w:cs="宋体"/>
          <w:spacing w:val="-1"/>
          <w:sz w:val="21"/>
          <w:szCs w:val="21"/>
        </w:rPr>
        <w:t>专用</w:t>
      </w:r>
      <w:r>
        <w:rPr>
          <w:rFonts w:ascii="宋体" w:hAnsi="宋体" w:eastAsia="宋体" w:cs="宋体"/>
          <w:sz w:val="21"/>
          <w:szCs w:val="21"/>
        </w:rPr>
        <w:t>合同条款①承包人在已标价工程量清单或预算书中载明的材料单价低于基准价格的</w:t>
      </w:r>
      <w:r>
        <w:rPr>
          <w:rFonts w:hint="eastAsia" w:ascii="宋体" w:hAnsi="宋体" w:eastAsia="宋体" w:cs="宋体"/>
          <w:sz w:val="21"/>
          <w:szCs w:val="21"/>
          <w:lang w:eastAsia="zh-CN"/>
        </w:rPr>
        <w:t>：</w:t>
      </w:r>
      <w:r>
        <w:rPr>
          <w:rFonts w:ascii="宋体" w:hAnsi="宋体" w:eastAsia="宋体" w:cs="宋体"/>
          <w:spacing w:val="-1"/>
          <w:sz w:val="21"/>
          <w:szCs w:val="21"/>
        </w:rPr>
        <w:t>专用</w:t>
      </w:r>
      <w:r>
        <w:rPr>
          <w:rFonts w:ascii="宋体" w:hAnsi="宋体" w:eastAsia="宋体" w:cs="宋体"/>
          <w:sz w:val="21"/>
          <w:szCs w:val="21"/>
        </w:rPr>
        <w:t>合同条款合同履行期间材料单价涨幅以基准价格为基础超过</w:t>
      </w:r>
      <w:r>
        <w:rPr>
          <w:rFonts w:ascii="宋体" w:hAnsi="宋体" w:eastAsia="宋体" w:cs="宋体"/>
          <w:sz w:val="21"/>
          <w:szCs w:val="21"/>
          <w:u w:val="single" w:color="auto"/>
        </w:rPr>
        <w:t xml:space="preserve"> 5 </w:t>
      </w:r>
      <w:r>
        <w:rPr>
          <w:rFonts w:ascii="宋体" w:hAnsi="宋体" w:eastAsia="宋体" w:cs="宋体"/>
          <w:sz w:val="21"/>
          <w:szCs w:val="21"/>
        </w:rPr>
        <w:t>%时，或材料单价跌幅以已</w:t>
      </w:r>
      <w:r>
        <w:rPr>
          <w:rFonts w:ascii="宋体" w:hAnsi="宋体" w:eastAsia="宋体" w:cs="宋体"/>
          <w:spacing w:val="-4"/>
          <w:sz w:val="21"/>
          <w:szCs w:val="21"/>
        </w:rPr>
        <w:t>标价工程量清单或预算书中载</w:t>
      </w:r>
      <w:r>
        <w:rPr>
          <w:rFonts w:ascii="宋体" w:hAnsi="宋体" w:eastAsia="宋体" w:cs="宋体"/>
          <w:spacing w:val="-2"/>
          <w:sz w:val="21"/>
          <w:szCs w:val="21"/>
        </w:rPr>
        <w:t>明材料单价为基础超过</w:t>
      </w:r>
      <w:r>
        <w:rPr>
          <w:rFonts w:ascii="宋体" w:hAnsi="宋体" w:eastAsia="宋体" w:cs="宋体"/>
          <w:spacing w:val="-2"/>
          <w:sz w:val="21"/>
          <w:szCs w:val="21"/>
          <w:u w:val="single" w:color="auto"/>
        </w:rPr>
        <w:t xml:space="preserve"> 5 </w:t>
      </w:r>
      <w:r>
        <w:rPr>
          <w:rFonts w:ascii="宋体" w:hAnsi="宋体" w:eastAsia="宋体" w:cs="宋体"/>
          <w:spacing w:val="-2"/>
          <w:sz w:val="21"/>
          <w:szCs w:val="21"/>
        </w:rPr>
        <w:t>%时， 其超过部分据实调整。</w:t>
      </w:r>
    </w:p>
    <w:p w14:paraId="031776DD">
      <w:pPr>
        <w:spacing w:before="1" w:line="359" w:lineRule="auto"/>
        <w:ind w:left="21" w:right="144" w:firstLine="417"/>
        <w:rPr>
          <w:rFonts w:ascii="宋体" w:hAnsi="宋体" w:eastAsia="宋体" w:cs="宋体"/>
          <w:sz w:val="21"/>
          <w:szCs w:val="21"/>
        </w:rPr>
      </w:pPr>
      <w:r>
        <w:rPr>
          <w:rFonts w:ascii="宋体" w:hAnsi="宋体" w:eastAsia="宋体" w:cs="宋体"/>
          <w:spacing w:val="-4"/>
          <w:sz w:val="21"/>
          <w:szCs w:val="21"/>
        </w:rPr>
        <w:t>②承包人在已标价工程量清</w:t>
      </w:r>
      <w:r>
        <w:rPr>
          <w:rFonts w:ascii="宋体" w:hAnsi="宋体" w:eastAsia="宋体" w:cs="宋体"/>
          <w:spacing w:val="-2"/>
          <w:sz w:val="21"/>
          <w:szCs w:val="21"/>
        </w:rPr>
        <w:t>单或预算书中载明的材料单价高于基准价格的：专用合同条款</w:t>
      </w:r>
      <w:r>
        <w:rPr>
          <w:rFonts w:ascii="宋体" w:hAnsi="宋体" w:eastAsia="宋体" w:cs="宋体"/>
          <w:spacing w:val="-1"/>
          <w:sz w:val="21"/>
          <w:szCs w:val="21"/>
        </w:rPr>
        <w:t>合同履行</w:t>
      </w:r>
      <w:r>
        <w:rPr>
          <w:rFonts w:ascii="宋体" w:hAnsi="宋体" w:eastAsia="宋体" w:cs="宋体"/>
          <w:sz w:val="21"/>
          <w:szCs w:val="21"/>
        </w:rPr>
        <w:t>期间材料单价跌幅以基准价格为基础超过</w:t>
      </w:r>
      <w:r>
        <w:rPr>
          <w:rFonts w:ascii="宋体" w:hAnsi="宋体" w:eastAsia="宋体" w:cs="宋体"/>
          <w:sz w:val="21"/>
          <w:szCs w:val="21"/>
          <w:u w:val="single" w:color="auto"/>
        </w:rPr>
        <w:t xml:space="preserve"> 5 </w:t>
      </w:r>
      <w:r>
        <w:rPr>
          <w:rFonts w:ascii="宋体" w:hAnsi="宋体" w:eastAsia="宋体" w:cs="宋体"/>
          <w:sz w:val="21"/>
          <w:szCs w:val="21"/>
        </w:rPr>
        <w:t>%时，材料单价涨幅以已标价工程量清单</w:t>
      </w:r>
      <w:r>
        <w:rPr>
          <w:rFonts w:ascii="宋体" w:hAnsi="宋体" w:eastAsia="宋体" w:cs="宋体"/>
          <w:spacing w:val="-6"/>
          <w:sz w:val="21"/>
          <w:szCs w:val="21"/>
        </w:rPr>
        <w:t>或预算</w:t>
      </w:r>
      <w:r>
        <w:rPr>
          <w:rFonts w:ascii="宋体" w:hAnsi="宋体" w:eastAsia="宋体" w:cs="宋体"/>
          <w:spacing w:val="-3"/>
          <w:sz w:val="21"/>
          <w:szCs w:val="21"/>
        </w:rPr>
        <w:t>书中载明材料单价为基础超过</w:t>
      </w:r>
      <w:r>
        <w:rPr>
          <w:rFonts w:ascii="宋体" w:hAnsi="宋体" w:eastAsia="宋体" w:cs="宋体"/>
          <w:spacing w:val="-3"/>
          <w:sz w:val="21"/>
          <w:szCs w:val="21"/>
          <w:u w:val="single" w:color="auto"/>
        </w:rPr>
        <w:t xml:space="preserve"> 5 </w:t>
      </w:r>
      <w:r>
        <w:rPr>
          <w:rFonts w:ascii="宋体" w:hAnsi="宋体" w:eastAsia="宋体" w:cs="宋体"/>
          <w:spacing w:val="-3"/>
          <w:sz w:val="21"/>
          <w:szCs w:val="21"/>
        </w:rPr>
        <w:t>%时，其超过部分据实调整。</w:t>
      </w:r>
    </w:p>
    <w:p w14:paraId="2FB5E70A">
      <w:pPr>
        <w:spacing w:before="2" w:line="358" w:lineRule="auto"/>
        <w:ind w:left="21" w:right="144" w:firstLine="417"/>
        <w:rPr>
          <w:rFonts w:ascii="宋体" w:hAnsi="宋体" w:eastAsia="宋体" w:cs="宋体"/>
          <w:sz w:val="21"/>
          <w:szCs w:val="21"/>
        </w:rPr>
      </w:pPr>
      <w:r>
        <w:rPr>
          <w:rFonts w:ascii="宋体" w:hAnsi="宋体" w:eastAsia="宋体" w:cs="宋体"/>
          <w:spacing w:val="-4"/>
          <w:sz w:val="21"/>
          <w:szCs w:val="21"/>
        </w:rPr>
        <w:t>③承包人在已标价工程量清</w:t>
      </w:r>
      <w:r>
        <w:rPr>
          <w:rFonts w:ascii="宋体" w:hAnsi="宋体" w:eastAsia="宋体" w:cs="宋体"/>
          <w:spacing w:val="-3"/>
          <w:sz w:val="21"/>
          <w:szCs w:val="21"/>
        </w:rPr>
        <w:t>单</w:t>
      </w:r>
      <w:r>
        <w:rPr>
          <w:rFonts w:ascii="宋体" w:hAnsi="宋体" w:eastAsia="宋体" w:cs="宋体"/>
          <w:spacing w:val="-2"/>
          <w:sz w:val="21"/>
          <w:szCs w:val="21"/>
        </w:rPr>
        <w:t>或预算书中载明的材料单价等于基准单价的：专用合同条款</w:t>
      </w:r>
      <w:r>
        <w:rPr>
          <w:rFonts w:ascii="宋体" w:hAnsi="宋体" w:eastAsia="宋体" w:cs="宋体"/>
          <w:spacing w:val="-1"/>
          <w:sz w:val="21"/>
          <w:szCs w:val="21"/>
        </w:rPr>
        <w:t>合同履行期间材料单价涨跌幅以基准单</w:t>
      </w:r>
      <w:r>
        <w:rPr>
          <w:rFonts w:ascii="宋体" w:hAnsi="宋体" w:eastAsia="宋体" w:cs="宋体"/>
          <w:sz w:val="21"/>
          <w:szCs w:val="21"/>
        </w:rPr>
        <w:t>价为基础超过±</w:t>
      </w:r>
      <w:r>
        <w:rPr>
          <w:rFonts w:ascii="宋体" w:hAnsi="宋体" w:eastAsia="宋体" w:cs="宋体"/>
          <w:sz w:val="21"/>
          <w:szCs w:val="21"/>
          <w:u w:val="single" w:color="auto"/>
        </w:rPr>
        <w:t xml:space="preserve"> 5 </w:t>
      </w:r>
      <w:r>
        <w:rPr>
          <w:rFonts w:ascii="宋体" w:hAnsi="宋体" w:eastAsia="宋体" w:cs="宋体"/>
          <w:sz w:val="21"/>
          <w:szCs w:val="21"/>
        </w:rPr>
        <w:t>%时，其超过部分据实调整。</w:t>
      </w:r>
    </w:p>
    <w:p w14:paraId="76504016">
      <w:pPr>
        <w:spacing w:before="1" w:line="359" w:lineRule="auto"/>
        <w:ind w:left="19" w:right="89" w:firstLine="420"/>
        <w:rPr>
          <w:rFonts w:ascii="宋体" w:hAnsi="宋体" w:eastAsia="宋体" w:cs="宋体"/>
          <w:sz w:val="21"/>
          <w:szCs w:val="21"/>
        </w:rPr>
      </w:pPr>
      <w:r>
        <w:rPr>
          <w:rFonts w:ascii="宋体" w:hAnsi="宋体" w:eastAsia="宋体" w:cs="宋体"/>
          <w:spacing w:val="-4"/>
          <w:sz w:val="21"/>
          <w:szCs w:val="21"/>
        </w:rPr>
        <w:t>第 3 种方式：其他价格</w:t>
      </w:r>
      <w:r>
        <w:rPr>
          <w:rFonts w:ascii="宋体" w:hAnsi="宋体" w:eastAsia="宋体" w:cs="宋体"/>
          <w:spacing w:val="-3"/>
          <w:sz w:val="21"/>
          <w:szCs w:val="21"/>
        </w:rPr>
        <w:t>调</w:t>
      </w:r>
      <w:r>
        <w:rPr>
          <w:rFonts w:ascii="宋体" w:hAnsi="宋体" w:eastAsia="宋体" w:cs="宋体"/>
          <w:spacing w:val="-2"/>
          <w:sz w:val="21"/>
          <w:szCs w:val="21"/>
        </w:rPr>
        <w:t>整方式：在合同工期施工期间中，若工程所在地的工程造价管理</w:t>
      </w:r>
      <w:r>
        <w:rPr>
          <w:rFonts w:ascii="宋体" w:hAnsi="宋体" w:eastAsia="宋体" w:cs="宋体"/>
          <w:spacing w:val="-6"/>
          <w:sz w:val="21"/>
          <w:szCs w:val="21"/>
        </w:rPr>
        <w:t>机构《造</w:t>
      </w:r>
      <w:r>
        <w:rPr>
          <w:rFonts w:ascii="宋体" w:hAnsi="宋体" w:eastAsia="宋体" w:cs="宋体"/>
          <w:spacing w:val="-5"/>
          <w:sz w:val="21"/>
          <w:szCs w:val="21"/>
        </w:rPr>
        <w:t>价</w:t>
      </w:r>
      <w:r>
        <w:rPr>
          <w:rFonts w:ascii="宋体" w:hAnsi="宋体" w:eastAsia="宋体" w:cs="宋体"/>
          <w:spacing w:val="-3"/>
          <w:sz w:val="21"/>
          <w:szCs w:val="21"/>
        </w:rPr>
        <w:t>信息》上发布的材料价格超过上涨 5%时(或超过下跌 5%时) 允许调整，按以下方法</w:t>
      </w:r>
      <w:r>
        <w:rPr>
          <w:rFonts w:ascii="宋体" w:hAnsi="宋体" w:eastAsia="宋体" w:cs="宋体"/>
          <w:spacing w:val="-8"/>
          <w:sz w:val="21"/>
          <w:szCs w:val="21"/>
        </w:rPr>
        <w:t>调</w:t>
      </w:r>
      <w:r>
        <w:rPr>
          <w:rFonts w:ascii="宋体" w:hAnsi="宋体" w:eastAsia="宋体" w:cs="宋体"/>
          <w:spacing w:val="-5"/>
          <w:sz w:val="21"/>
          <w:szCs w:val="21"/>
        </w:rPr>
        <w:t>整超过 5%的部分：</w:t>
      </w:r>
    </w:p>
    <w:p w14:paraId="615CF96B">
      <w:pPr>
        <w:spacing w:before="2" w:line="358" w:lineRule="auto"/>
        <w:ind w:left="21" w:right="84" w:firstLine="425"/>
        <w:rPr>
          <w:rFonts w:ascii="宋体" w:hAnsi="宋体" w:eastAsia="宋体" w:cs="宋体"/>
          <w:sz w:val="21"/>
          <w:szCs w:val="21"/>
        </w:rPr>
      </w:pPr>
      <w:r>
        <w:rPr>
          <w:rFonts w:ascii="宋体" w:hAnsi="宋体" w:eastAsia="宋体" w:cs="宋体"/>
          <w:spacing w:val="-2"/>
          <w:sz w:val="21"/>
          <w:szCs w:val="21"/>
        </w:rPr>
        <w:t>(1) 关于基准价格的约定</w:t>
      </w:r>
      <w:r>
        <w:rPr>
          <w:rFonts w:ascii="宋体" w:hAnsi="宋体" w:eastAsia="宋体" w:cs="宋体"/>
          <w:spacing w:val="-1"/>
          <w:sz w:val="21"/>
          <w:szCs w:val="21"/>
        </w:rPr>
        <w:t xml:space="preserve">：编制招标控制价时采用的《桂林市建设工程造价信息》的 </w:t>
      </w:r>
      <w:r>
        <w:rPr>
          <w:rFonts w:hint="eastAsia" w:ascii="宋体" w:hAnsi="宋体" w:eastAsia="宋体" w:cs="宋体"/>
          <w:spacing w:val="-1"/>
          <w:sz w:val="21"/>
          <w:szCs w:val="21"/>
        </w:rPr>
        <w:t>资源县材料信息2026年第6期调整</w:t>
      </w:r>
      <w:r>
        <w:rPr>
          <w:rFonts w:ascii="宋体" w:hAnsi="宋体" w:eastAsia="宋体" w:cs="宋体"/>
          <w:spacing w:val="-3"/>
          <w:sz w:val="21"/>
          <w:szCs w:val="21"/>
        </w:rPr>
        <w:t>公布价。(基准价格原则上应当按照桂林市工程造价管理机构发布桂林市的信息</w:t>
      </w:r>
      <w:r>
        <w:rPr>
          <w:rFonts w:ascii="宋体" w:hAnsi="宋体" w:eastAsia="宋体" w:cs="宋体"/>
          <w:spacing w:val="-1"/>
          <w:sz w:val="21"/>
          <w:szCs w:val="21"/>
        </w:rPr>
        <w:t>价，信息价上没有的材料价通过市</w:t>
      </w:r>
      <w:r>
        <w:rPr>
          <w:rFonts w:ascii="宋体" w:hAnsi="宋体" w:eastAsia="宋体" w:cs="宋体"/>
          <w:sz w:val="21"/>
          <w:szCs w:val="21"/>
        </w:rPr>
        <w:t>场询价)。</w:t>
      </w:r>
    </w:p>
    <w:p w14:paraId="11B453BB">
      <w:pPr>
        <w:spacing w:line="220" w:lineRule="auto"/>
        <w:ind w:left="446"/>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7"/>
          <w:sz w:val="21"/>
          <w:szCs w:val="21"/>
        </w:rPr>
        <w:t>2) 具体计算办法如下：</w:t>
      </w:r>
    </w:p>
    <w:p w14:paraId="0AB868DF">
      <w:pPr>
        <w:spacing w:before="159" w:line="359" w:lineRule="auto"/>
        <w:ind w:left="21" w:right="84" w:firstLine="418"/>
        <w:rPr>
          <w:rFonts w:ascii="宋体" w:hAnsi="宋体" w:eastAsia="宋体" w:cs="宋体"/>
          <w:sz w:val="21"/>
          <w:szCs w:val="21"/>
        </w:rPr>
      </w:pPr>
      <w:r>
        <w:rPr>
          <w:rFonts w:ascii="宋体" w:hAnsi="宋体" w:eastAsia="宋体" w:cs="宋体"/>
          <w:spacing w:val="-2"/>
          <w:sz w:val="21"/>
          <w:szCs w:val="21"/>
        </w:rPr>
        <w:t>①当材料价格上涨超过 5%时</w:t>
      </w:r>
      <w:r>
        <w:rPr>
          <w:rFonts w:ascii="宋体" w:hAnsi="宋体" w:eastAsia="宋体" w:cs="宋体"/>
          <w:spacing w:val="-1"/>
          <w:sz w:val="21"/>
          <w:szCs w:val="21"/>
        </w:rPr>
        <w:t>，结算时应以税前项目的形式补偿承包人材料价差=施工期间</w:t>
      </w:r>
      <w:r>
        <w:rPr>
          <w:rFonts w:ascii="宋体" w:hAnsi="宋体" w:eastAsia="宋体" w:cs="宋体"/>
          <w:sz w:val="21"/>
          <w:szCs w:val="21"/>
        </w:rPr>
        <w:t xml:space="preserve"> </w:t>
      </w:r>
      <w:r>
        <w:rPr>
          <w:rFonts w:ascii="宋体" w:hAnsi="宋体" w:eastAsia="宋体" w:cs="宋体"/>
          <w:spacing w:val="-10"/>
          <w:sz w:val="21"/>
          <w:szCs w:val="21"/>
        </w:rPr>
        <w:t>《桂林市建设</w:t>
      </w:r>
      <w:r>
        <w:rPr>
          <w:rFonts w:ascii="宋体" w:hAnsi="宋体" w:eastAsia="宋体" w:cs="宋体"/>
          <w:spacing w:val="-7"/>
          <w:sz w:val="21"/>
          <w:szCs w:val="21"/>
        </w:rPr>
        <w:t>工</w:t>
      </w:r>
      <w:r>
        <w:rPr>
          <w:rFonts w:ascii="宋体" w:hAnsi="宋体" w:eastAsia="宋体" w:cs="宋体"/>
          <w:spacing w:val="-5"/>
          <w:sz w:val="21"/>
          <w:szCs w:val="21"/>
        </w:rPr>
        <w:t>程造价信息》桂林市相应公布价的算术平均值-《桂林市建设工程造价信息》2025</w:t>
      </w:r>
      <w:r>
        <w:rPr>
          <w:rFonts w:ascii="宋体" w:hAnsi="宋体" w:eastAsia="宋体" w:cs="宋体"/>
          <w:sz w:val="21"/>
          <w:szCs w:val="21"/>
        </w:rPr>
        <w:t xml:space="preserve"> </w:t>
      </w:r>
      <w:r>
        <w:rPr>
          <w:rFonts w:ascii="宋体" w:hAnsi="宋体" w:eastAsia="宋体" w:cs="宋体"/>
          <w:spacing w:val="-10"/>
          <w:sz w:val="21"/>
          <w:szCs w:val="21"/>
        </w:rPr>
        <w:t>年第</w:t>
      </w:r>
      <w:r>
        <w:rPr>
          <w:rFonts w:ascii="宋体" w:hAnsi="宋体" w:eastAsia="宋体" w:cs="宋体"/>
          <w:spacing w:val="-5"/>
          <w:sz w:val="21"/>
          <w:szCs w:val="21"/>
        </w:rPr>
        <w:t xml:space="preserve"> 7 期桂林市相应公布价×1.05；</w:t>
      </w:r>
    </w:p>
    <w:p w14:paraId="35AEE17B">
      <w:pPr>
        <w:spacing w:before="2" w:line="359" w:lineRule="auto"/>
        <w:ind w:left="21" w:firstLine="417"/>
        <w:rPr>
          <w:rFonts w:ascii="宋体" w:hAnsi="宋体" w:eastAsia="宋体" w:cs="宋体"/>
          <w:sz w:val="21"/>
          <w:szCs w:val="21"/>
        </w:rPr>
      </w:pPr>
      <w:r>
        <w:rPr>
          <w:rFonts w:ascii="宋体" w:hAnsi="宋体" w:eastAsia="宋体" w:cs="宋体"/>
          <w:spacing w:val="-4"/>
          <w:sz w:val="21"/>
          <w:szCs w:val="21"/>
        </w:rPr>
        <w:t>②当材料价格下跌超过 5%时，结算时应扣减承包人材料价</w:t>
      </w:r>
      <w:r>
        <w:rPr>
          <w:rFonts w:ascii="宋体" w:hAnsi="宋体" w:eastAsia="宋体" w:cs="宋体"/>
          <w:color w:val="auto"/>
          <w:spacing w:val="-4"/>
          <w:sz w:val="21"/>
          <w:szCs w:val="21"/>
        </w:rPr>
        <w:t>差=《桂林市建设工程造价信息</w:t>
      </w:r>
      <w:r>
        <w:rPr>
          <w:rFonts w:ascii="宋体" w:hAnsi="宋体" w:eastAsia="宋体" w:cs="宋体"/>
          <w:color w:val="auto"/>
          <w:spacing w:val="-2"/>
          <w:sz w:val="21"/>
          <w:szCs w:val="21"/>
        </w:rPr>
        <w:t>》</w:t>
      </w:r>
      <w:r>
        <w:rPr>
          <w:rFonts w:ascii="宋体" w:hAnsi="宋体" w:eastAsia="宋体" w:cs="宋体"/>
          <w:color w:val="auto"/>
          <w:spacing w:val="-10"/>
          <w:sz w:val="21"/>
          <w:szCs w:val="21"/>
        </w:rPr>
        <w:t>20</w:t>
      </w:r>
      <w:r>
        <w:rPr>
          <w:rFonts w:ascii="宋体" w:hAnsi="宋体" w:eastAsia="宋体" w:cs="宋体"/>
          <w:color w:val="auto"/>
          <w:spacing w:val="-9"/>
          <w:sz w:val="21"/>
          <w:szCs w:val="21"/>
        </w:rPr>
        <w:t>2</w:t>
      </w:r>
      <w:r>
        <w:rPr>
          <w:rFonts w:ascii="宋体" w:hAnsi="宋体" w:eastAsia="宋体" w:cs="宋体"/>
          <w:color w:val="auto"/>
          <w:spacing w:val="-5"/>
          <w:sz w:val="21"/>
          <w:szCs w:val="21"/>
        </w:rPr>
        <w:t>5 年第 7 期</w:t>
      </w:r>
      <w:r>
        <w:rPr>
          <w:rFonts w:ascii="宋体" w:hAnsi="宋体" w:eastAsia="宋体" w:cs="宋体"/>
          <w:spacing w:val="-5"/>
          <w:sz w:val="21"/>
          <w:szCs w:val="21"/>
        </w:rPr>
        <w:t>桂林市相应公布价×0.95-施工期间《桂林市建设工程造价信息》桂林市相应公布</w:t>
      </w:r>
      <w:r>
        <w:rPr>
          <w:rFonts w:ascii="宋体" w:hAnsi="宋体" w:eastAsia="宋体" w:cs="宋体"/>
          <w:spacing w:val="-1"/>
          <w:sz w:val="21"/>
          <w:szCs w:val="21"/>
        </w:rPr>
        <w:t>价的算术平均</w:t>
      </w:r>
      <w:r>
        <w:rPr>
          <w:rFonts w:ascii="宋体" w:hAnsi="宋体" w:eastAsia="宋体" w:cs="宋体"/>
          <w:sz w:val="21"/>
          <w:szCs w:val="21"/>
        </w:rPr>
        <w:t>值；</w:t>
      </w:r>
    </w:p>
    <w:p w14:paraId="669C8F96">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注：由于承包人的原因延误工期的施工期间的信息价不参与计算平均值。</w:t>
      </w:r>
    </w:p>
    <w:p w14:paraId="773EDA24">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第3种方式：</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bookmarkEnd w:id="1054"/>
    <w:bookmarkEnd w:id="1055"/>
    <w:bookmarkEnd w:id="1056"/>
    <w:bookmarkEnd w:id="1057"/>
    <w:bookmarkEnd w:id="1058"/>
    <w:bookmarkEnd w:id="1059"/>
    <w:p w14:paraId="092BE367">
      <w:pPr>
        <w:pStyle w:val="504"/>
        <w:spacing w:line="380" w:lineRule="exact"/>
        <w:rPr>
          <w:rFonts w:ascii="宋体" w:cs="宋体"/>
          <w:color w:val="auto"/>
          <w:highlight w:val="none"/>
        </w:rPr>
      </w:pPr>
      <w:bookmarkStart w:id="1264" w:name="_Toc297048391"/>
      <w:bookmarkStart w:id="1265" w:name="_Toc296346706"/>
      <w:bookmarkStart w:id="1266" w:name="_Toc292559915"/>
      <w:bookmarkStart w:id="1267" w:name="_Toc296891245"/>
      <w:bookmarkStart w:id="1268" w:name="_Toc296944544"/>
      <w:bookmarkStart w:id="1269" w:name="_Toc292559410"/>
      <w:bookmarkStart w:id="1270" w:name="_Toc296503205"/>
      <w:bookmarkStart w:id="1271" w:name="_Toc296891033"/>
      <w:bookmarkStart w:id="1272" w:name="_Toc296347204"/>
      <w:bookmarkStart w:id="1273" w:name="_Toc297120505"/>
      <w:bookmarkStart w:id="1274" w:name="_Toc522201776"/>
      <w:bookmarkStart w:id="1275" w:name="_Toc373227748"/>
      <w:bookmarkStart w:id="1276" w:name="_Toc418518395"/>
      <w:bookmarkStart w:id="1277" w:name="_Toc418061360"/>
      <w:bookmarkStart w:id="1278" w:name="_Toc373478395"/>
      <w:bookmarkStart w:id="1279" w:name="_Toc497746830"/>
      <w:bookmarkStart w:id="1280" w:name="_Toc351203644"/>
      <w:bookmarkStart w:id="1281" w:name="_Toc418752291"/>
      <w:bookmarkStart w:id="1282" w:name="_Toc403578983"/>
      <w:bookmarkStart w:id="1283" w:name="_Toc418751845"/>
      <w:bookmarkStart w:id="1284" w:name="_Toc497747227"/>
      <w:bookmarkStart w:id="1285" w:name="_Toc418518159"/>
      <w:bookmarkStart w:id="1286" w:name="_Toc256000227"/>
      <w:bookmarkStart w:id="1287" w:name="_Toc300935002"/>
      <w:bookmarkStart w:id="1288" w:name="_Toc312678040"/>
      <w:bookmarkStart w:id="1289" w:name="_Toc297216211"/>
      <w:bookmarkStart w:id="1290" w:name="_Toc297123552"/>
      <w:bookmarkStart w:id="1291" w:name="_Toc303539159"/>
      <w:bookmarkStart w:id="1292" w:name="_Toc304295579"/>
      <w:r>
        <w:rPr>
          <w:rFonts w:hint="eastAsia" w:ascii="宋体" w:cs="宋体"/>
          <w:color w:val="auto"/>
          <w:highlight w:val="none"/>
        </w:rPr>
        <w:t xml:space="preserve">12. </w:t>
      </w:r>
      <w:bookmarkEnd w:id="1264"/>
      <w:bookmarkEnd w:id="1265"/>
      <w:bookmarkEnd w:id="1266"/>
      <w:bookmarkEnd w:id="1267"/>
      <w:bookmarkEnd w:id="1268"/>
      <w:bookmarkEnd w:id="1269"/>
      <w:bookmarkEnd w:id="1270"/>
      <w:bookmarkEnd w:id="1271"/>
      <w:bookmarkEnd w:id="1272"/>
      <w:bookmarkEnd w:id="1273"/>
      <w:r>
        <w:rPr>
          <w:rFonts w:hint="eastAsia" w:ascii="宋体" w:cs="宋体"/>
          <w:color w:val="auto"/>
          <w:highlight w:val="none"/>
        </w:rPr>
        <w:t>合同价格、计量与支付</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p>
    <w:bookmarkEnd w:id="1287"/>
    <w:bookmarkEnd w:id="1288"/>
    <w:bookmarkEnd w:id="1289"/>
    <w:bookmarkEnd w:id="1290"/>
    <w:bookmarkEnd w:id="1291"/>
    <w:bookmarkEnd w:id="1292"/>
    <w:p w14:paraId="12BF1CE8">
      <w:pPr>
        <w:pStyle w:val="504"/>
        <w:spacing w:line="380" w:lineRule="exact"/>
        <w:ind w:firstLine="422" w:firstLineChars="200"/>
        <w:rPr>
          <w:rFonts w:ascii="宋体" w:cs="宋体"/>
          <w:color w:val="auto"/>
          <w:highlight w:val="none"/>
        </w:rPr>
      </w:pPr>
      <w:bookmarkStart w:id="1293" w:name="_Toc267251461"/>
      <w:bookmarkStart w:id="1294" w:name="_Toc292559411"/>
      <w:bookmarkStart w:id="1295" w:name="_Toc292559916"/>
      <w:bookmarkStart w:id="1296" w:name="_Toc296891246"/>
      <w:bookmarkStart w:id="1297" w:name="_Toc296891034"/>
      <w:bookmarkStart w:id="1298" w:name="_Toc297048392"/>
      <w:bookmarkStart w:id="1299" w:name="_Toc296346707"/>
      <w:bookmarkStart w:id="1300" w:name="_Toc297120506"/>
      <w:bookmarkStart w:id="1301" w:name="_Toc296503206"/>
      <w:bookmarkStart w:id="1302" w:name="_Toc296944545"/>
      <w:bookmarkStart w:id="1303" w:name="_Toc296347205"/>
      <w:bookmarkStart w:id="1304" w:name="_Toc418061361"/>
      <w:bookmarkStart w:id="1305" w:name="_Toc373227749"/>
      <w:bookmarkStart w:id="1306" w:name="_Toc256000228"/>
      <w:bookmarkStart w:id="1307" w:name="_Toc373478396"/>
      <w:bookmarkStart w:id="1308" w:name="_Toc418518160"/>
      <w:bookmarkStart w:id="1309" w:name="_Toc418518396"/>
      <w:bookmarkStart w:id="1310" w:name="_Toc389065314"/>
      <w:bookmarkStart w:id="1311" w:name="_Toc522201777"/>
      <w:bookmarkStart w:id="1312" w:name="_Toc497747228"/>
      <w:bookmarkStart w:id="1313" w:name="_Toc418752292"/>
      <w:bookmarkStart w:id="1314" w:name="_Toc497746831"/>
      <w:bookmarkStart w:id="1315" w:name="_Toc418751846"/>
      <w:bookmarkStart w:id="1316" w:name="_Toc403578984"/>
      <w:bookmarkStart w:id="1317" w:name="_Toc304295580"/>
      <w:bookmarkStart w:id="1318" w:name="_Toc303539160"/>
      <w:bookmarkStart w:id="1319" w:name="_Toc297216212"/>
      <w:bookmarkStart w:id="1320" w:name="_Toc312678041"/>
      <w:bookmarkStart w:id="1321" w:name="_Toc297123553"/>
      <w:bookmarkStart w:id="1322" w:name="_Toc300935003"/>
      <w:r>
        <w:rPr>
          <w:rFonts w:hint="eastAsia" w:ascii="宋体" w:cs="宋体"/>
          <w:color w:val="auto"/>
          <w:highlight w:val="none"/>
        </w:rPr>
        <w:t>12.1 合</w:t>
      </w:r>
      <w:bookmarkEnd w:id="1293"/>
      <w:bookmarkEnd w:id="1294"/>
      <w:bookmarkEnd w:id="1295"/>
      <w:r>
        <w:rPr>
          <w:rFonts w:hint="eastAsia" w:ascii="宋体" w:cs="宋体"/>
          <w:color w:val="auto"/>
          <w:highlight w:val="none"/>
        </w:rPr>
        <w:t>同价</w:t>
      </w:r>
      <w:bookmarkEnd w:id="1296"/>
      <w:bookmarkEnd w:id="1297"/>
      <w:bookmarkEnd w:id="1298"/>
      <w:bookmarkEnd w:id="1299"/>
      <w:bookmarkEnd w:id="1300"/>
      <w:bookmarkEnd w:id="1301"/>
      <w:bookmarkEnd w:id="1302"/>
      <w:bookmarkEnd w:id="1303"/>
      <w:r>
        <w:rPr>
          <w:rFonts w:hint="eastAsia" w:ascii="宋体" w:cs="宋体"/>
          <w:color w:val="auto"/>
          <w:highlight w:val="none"/>
        </w:rPr>
        <w:t>格形式</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p>
    <w:bookmarkEnd w:id="1317"/>
    <w:bookmarkEnd w:id="1318"/>
    <w:bookmarkEnd w:id="1319"/>
    <w:bookmarkEnd w:id="1320"/>
    <w:bookmarkEnd w:id="1321"/>
    <w:bookmarkEnd w:id="1322"/>
    <w:p w14:paraId="33B2519D">
      <w:pPr>
        <w:pStyle w:val="396"/>
        <w:spacing w:line="380" w:lineRule="exact"/>
        <w:ind w:firstLine="420" w:firstLineChars="200"/>
        <w:jc w:val="left"/>
        <w:rPr>
          <w:rFonts w:ascii="宋体" w:hAnsi="宋体" w:cs="宋体"/>
          <w:color w:val="auto"/>
          <w:szCs w:val="21"/>
          <w:highlight w:val="none"/>
        </w:rPr>
      </w:pPr>
      <w:bookmarkStart w:id="1323" w:name="_Toc389065315"/>
      <w:bookmarkStart w:id="1324" w:name="_Toc373478397"/>
      <w:bookmarkStart w:id="1325" w:name="_Toc373227750"/>
      <w:bookmarkStart w:id="1326" w:name="_Toc312678042"/>
      <w:bookmarkStart w:id="1327" w:name="_Toc300935004"/>
      <w:bookmarkStart w:id="1328" w:name="_Toc304295581"/>
      <w:bookmarkStart w:id="1329" w:name="_Toc297123554"/>
      <w:bookmarkStart w:id="1330" w:name="_Toc303539161"/>
      <w:bookmarkStart w:id="1331" w:name="_Toc297216213"/>
      <w:bookmarkStart w:id="1332" w:name="_Toc292559412"/>
      <w:bookmarkStart w:id="1333" w:name="_Toc296503207"/>
      <w:bookmarkStart w:id="1334" w:name="_Toc296944546"/>
      <w:bookmarkStart w:id="1335" w:name="_Toc297048393"/>
      <w:bookmarkStart w:id="1336" w:name="_Toc296347206"/>
      <w:bookmarkStart w:id="1337" w:name="_Toc296346708"/>
      <w:bookmarkStart w:id="1338" w:name="_Toc297120507"/>
      <w:bookmarkStart w:id="1339" w:name="_Toc292559917"/>
      <w:bookmarkStart w:id="1340" w:name="_Toc296891035"/>
      <w:bookmarkStart w:id="1341" w:name="_Toc296891247"/>
      <w:r>
        <w:rPr>
          <w:rFonts w:hint="eastAsia" w:ascii="宋体" w:hAnsi="宋体" w:cs="宋体"/>
          <w:color w:val="auto"/>
          <w:szCs w:val="21"/>
          <w:highlight w:val="none"/>
        </w:rPr>
        <w:t>（1）单价合同。</w:t>
      </w:r>
    </w:p>
    <w:p w14:paraId="39EE850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本合同价款采用</w:t>
      </w:r>
      <w:r>
        <w:rPr>
          <w:rFonts w:hint="eastAsia" w:ascii="宋体" w:hAnsi="宋体" w:cs="宋体"/>
          <w:color w:val="auto"/>
          <w:szCs w:val="21"/>
          <w:highlight w:val="none"/>
          <w:u w:val="single"/>
        </w:rPr>
        <w:t>固定综合单价方式</w:t>
      </w:r>
      <w:r>
        <w:rPr>
          <w:rFonts w:hint="eastAsia" w:ascii="宋体" w:hAnsi="宋体" w:cs="宋体"/>
          <w:color w:val="auto"/>
          <w:szCs w:val="21"/>
          <w:highlight w:val="none"/>
        </w:rPr>
        <w:t>确定。</w:t>
      </w:r>
    </w:p>
    <w:p w14:paraId="4A762EE3">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综合单价包含的风险范围：</w:t>
      </w:r>
      <w:r>
        <w:rPr>
          <w:rFonts w:ascii="宋体" w:hAnsi="宋体" w:eastAsia="宋体" w:cs="宋体"/>
          <w:sz w:val="21"/>
          <w:szCs w:val="21"/>
          <w:u w:val="single" w:color="auto"/>
        </w:rPr>
        <w:t>除工程变更(工程量按实结算)、项目特征不符、工程量清单缺</w:t>
      </w:r>
      <w:r>
        <w:rPr>
          <w:rFonts w:ascii="宋体" w:hAnsi="宋体" w:eastAsia="宋体" w:cs="宋体"/>
          <w:spacing w:val="-6"/>
          <w:sz w:val="21"/>
          <w:szCs w:val="21"/>
          <w:u w:val="single" w:color="auto"/>
        </w:rPr>
        <w:t>项、工程变</w:t>
      </w:r>
      <w:r>
        <w:rPr>
          <w:rFonts w:ascii="宋体" w:hAnsi="宋体" w:eastAsia="宋体" w:cs="宋体"/>
          <w:spacing w:val="-3"/>
          <w:sz w:val="21"/>
          <w:szCs w:val="21"/>
          <w:u w:val="single" w:color="auto"/>
        </w:rPr>
        <w:t>更签证、 政策性调整、市场价格波动、不可预见以外因素</w:t>
      </w:r>
      <w:r>
        <w:rPr>
          <w:rFonts w:ascii="宋体" w:hAnsi="宋体" w:eastAsia="宋体" w:cs="宋体"/>
          <w:spacing w:val="-3"/>
          <w:sz w:val="21"/>
          <w:szCs w:val="21"/>
        </w:rPr>
        <w:t>。</w:t>
      </w:r>
    </w:p>
    <w:p w14:paraId="7A2AD108">
      <w:pPr>
        <w:pStyle w:val="506"/>
        <w:spacing w:line="380" w:lineRule="exact"/>
        <w:ind w:firstLine="441" w:firstLineChars="210"/>
        <w:rPr>
          <w:rFonts w:hAnsi="宋体" w:cs="宋体"/>
          <w:color w:val="auto"/>
          <w:szCs w:val="21"/>
          <w:highlight w:val="none"/>
        </w:rPr>
      </w:pPr>
      <w:r>
        <w:rPr>
          <w:rFonts w:hint="eastAsia" w:hAnsi="宋体" w:cs="宋体"/>
          <w:color w:val="auto"/>
          <w:szCs w:val="21"/>
          <w:highlight w:val="none"/>
        </w:rPr>
        <w:t>风险范围以外合同价格的调整方法：</w:t>
      </w:r>
    </w:p>
    <w:p w14:paraId="2D0A4D62">
      <w:pPr>
        <w:pStyle w:val="396"/>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①工程变更、项目特征不符、工程量清单缺项：按 10.4.1 变更估价原则的约定调整。</w:t>
      </w:r>
    </w:p>
    <w:p w14:paraId="7A9EAE84">
      <w:pPr>
        <w:pStyle w:val="396"/>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②工程量偏差： 按 1.13 工程量清单错误修正的约定调整。</w:t>
      </w:r>
    </w:p>
    <w:p w14:paraId="6F56C961">
      <w:pPr>
        <w:pStyle w:val="396"/>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③政策性调整：按国家、自治区住房城乡建设厅或工程所在地市级住房城乡建设主管部门颁布的文件执行，并在结算时调整。</w:t>
      </w:r>
    </w:p>
    <w:p w14:paraId="3BEE797D">
      <w:pPr>
        <w:pStyle w:val="396"/>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④市场波动引起的调整： 按 11.1 的约定调整。</w:t>
      </w:r>
    </w:p>
    <w:p w14:paraId="1060FF2A">
      <w:pPr>
        <w:pStyle w:val="396"/>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⑤其它：在工程施工期间，国家如有新的人工费调整政策出台，按国家相关文件进行人工费调差。</w:t>
      </w:r>
    </w:p>
    <w:p w14:paraId="060FC062">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（2）总价合同。</w:t>
      </w:r>
    </w:p>
    <w:p w14:paraId="25D568F0">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总价包含的风险范围：</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73B59A1F">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风险范围以外合同价格的调整方法：</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434A8A3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（3）其他价格方式：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49A47DED">
      <w:pPr>
        <w:pStyle w:val="504"/>
        <w:spacing w:line="380" w:lineRule="exact"/>
        <w:ind w:firstLine="422" w:firstLineChars="200"/>
        <w:rPr>
          <w:rFonts w:ascii="宋体" w:cs="宋体"/>
          <w:color w:val="auto"/>
          <w:highlight w:val="none"/>
        </w:rPr>
      </w:pPr>
      <w:bookmarkStart w:id="1342" w:name="_Toc418518397"/>
      <w:bookmarkStart w:id="1343" w:name="_Toc256000229"/>
      <w:bookmarkStart w:id="1344" w:name="_Toc522201778"/>
      <w:bookmarkStart w:id="1345" w:name="_Toc418061362"/>
      <w:bookmarkStart w:id="1346" w:name="_Toc418518161"/>
      <w:bookmarkStart w:id="1347" w:name="_Toc497747229"/>
      <w:bookmarkStart w:id="1348" w:name="_Toc418752293"/>
      <w:bookmarkStart w:id="1349" w:name="_Toc497746832"/>
      <w:bookmarkStart w:id="1350" w:name="_Toc403578985"/>
      <w:bookmarkStart w:id="1351" w:name="_Toc418751847"/>
      <w:r>
        <w:rPr>
          <w:rFonts w:hint="eastAsia" w:ascii="宋体" w:cs="宋体"/>
          <w:color w:val="auto"/>
          <w:highlight w:val="none"/>
        </w:rPr>
        <w:t>12.2 预付款</w:t>
      </w:r>
      <w:bookmarkEnd w:id="1323"/>
      <w:bookmarkEnd w:id="1324"/>
      <w:bookmarkEnd w:id="1325"/>
      <w:bookmarkEnd w:id="1342"/>
      <w:bookmarkEnd w:id="1343"/>
      <w:bookmarkEnd w:id="1344"/>
      <w:bookmarkEnd w:id="1345"/>
      <w:bookmarkEnd w:id="1346"/>
      <w:bookmarkEnd w:id="1347"/>
      <w:bookmarkEnd w:id="1348"/>
      <w:bookmarkEnd w:id="1349"/>
      <w:bookmarkEnd w:id="1350"/>
      <w:bookmarkEnd w:id="1351"/>
    </w:p>
    <w:bookmarkEnd w:id="1326"/>
    <w:bookmarkEnd w:id="1327"/>
    <w:bookmarkEnd w:id="1328"/>
    <w:bookmarkEnd w:id="1329"/>
    <w:bookmarkEnd w:id="1330"/>
    <w:bookmarkEnd w:id="1331"/>
    <w:p w14:paraId="1B38865D">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12.2.1 预付款的支付</w:t>
      </w:r>
    </w:p>
    <w:p w14:paraId="07E72117">
      <w:pPr>
        <w:spacing w:before="157" w:line="359" w:lineRule="auto"/>
        <w:ind w:left="37" w:right="93" w:firstLine="404"/>
        <w:rPr>
          <w:rFonts w:ascii="宋体" w:hAnsi="宋体" w:eastAsia="宋体" w:cs="宋体"/>
          <w:color w:val="auto"/>
          <w:sz w:val="21"/>
          <w:szCs w:val="21"/>
        </w:rPr>
      </w:pPr>
      <w:r>
        <w:rPr>
          <w:rFonts w:ascii="宋体" w:hAnsi="宋体" w:eastAsia="宋体" w:cs="宋体"/>
          <w:color w:val="auto"/>
          <w:spacing w:val="-2"/>
          <w:sz w:val="21"/>
          <w:szCs w:val="21"/>
        </w:rPr>
        <w:t>预付款支付比例或金额：</w:t>
      </w:r>
      <w:r>
        <w:rPr>
          <w:rFonts w:ascii="宋体" w:hAnsi="宋体" w:eastAsia="宋体" w:cs="宋体"/>
          <w:color w:val="auto"/>
          <w:spacing w:val="-1"/>
          <w:sz w:val="21"/>
          <w:szCs w:val="21"/>
        </w:rPr>
        <w:t xml:space="preserve"> </w:t>
      </w:r>
      <w:r>
        <w:rPr>
          <w:rFonts w:ascii="宋体" w:hAnsi="宋体" w:eastAsia="宋体" w:cs="宋体"/>
          <w:color w:val="auto"/>
          <w:spacing w:val="-1"/>
          <w:sz w:val="21"/>
          <w:szCs w:val="21"/>
          <w:u w:val="single" w:color="auto"/>
        </w:rPr>
        <w:t>合同价款 (扣除发包人材料价款、专业工程暂估价、暂列金额)</w:t>
      </w:r>
      <w:r>
        <w:rPr>
          <w:rFonts w:ascii="宋体" w:hAnsi="宋体" w:eastAsia="宋体" w:cs="宋体"/>
          <w:color w:val="auto"/>
          <w:spacing w:val="-9"/>
          <w:sz w:val="21"/>
          <w:szCs w:val="21"/>
          <w:u w:val="single" w:color="auto"/>
        </w:rPr>
        <w:t>的</w:t>
      </w:r>
      <w:r>
        <w:rPr>
          <w:rFonts w:ascii="宋体" w:hAnsi="宋体" w:eastAsia="宋体" w:cs="宋体"/>
          <w:color w:val="auto"/>
          <w:spacing w:val="-8"/>
          <w:sz w:val="21"/>
          <w:szCs w:val="21"/>
          <w:u w:val="single" w:color="auto"/>
        </w:rPr>
        <w:t xml:space="preserve"> 30%。</w:t>
      </w:r>
    </w:p>
    <w:p w14:paraId="1324E057">
      <w:pPr>
        <w:spacing w:line="220" w:lineRule="auto"/>
        <w:ind w:left="441"/>
        <w:rPr>
          <w:rFonts w:ascii="宋体" w:hAnsi="宋体" w:eastAsia="宋体" w:cs="宋体"/>
          <w:color w:val="auto"/>
          <w:sz w:val="21"/>
          <w:szCs w:val="21"/>
        </w:rPr>
      </w:pPr>
      <w:r>
        <w:rPr>
          <w:rFonts w:ascii="宋体" w:hAnsi="宋体" w:eastAsia="宋体" w:cs="宋体"/>
          <w:color w:val="auto"/>
          <w:spacing w:val="-8"/>
          <w:sz w:val="21"/>
          <w:szCs w:val="21"/>
        </w:rPr>
        <w:t>预付款</w:t>
      </w:r>
      <w:r>
        <w:rPr>
          <w:rFonts w:ascii="宋体" w:hAnsi="宋体" w:eastAsia="宋体" w:cs="宋体"/>
          <w:color w:val="auto"/>
          <w:spacing w:val="-4"/>
          <w:sz w:val="21"/>
          <w:szCs w:val="21"/>
        </w:rPr>
        <w:t>支付期限：</w:t>
      </w:r>
      <w:r>
        <w:rPr>
          <w:rFonts w:ascii="宋体" w:hAnsi="宋体" w:eastAsia="宋体" w:cs="宋体"/>
          <w:color w:val="auto"/>
          <w:spacing w:val="-4"/>
          <w:sz w:val="21"/>
          <w:szCs w:val="21"/>
          <w:u w:val="single" w:color="auto"/>
        </w:rPr>
        <w:t xml:space="preserve">开工通知约定开工日期前 7 天 </w:t>
      </w:r>
      <w:r>
        <w:rPr>
          <w:rFonts w:ascii="宋体" w:hAnsi="宋体" w:eastAsia="宋体" w:cs="宋体"/>
          <w:color w:val="auto"/>
          <w:spacing w:val="-4"/>
          <w:sz w:val="21"/>
          <w:szCs w:val="21"/>
        </w:rPr>
        <w:t>。</w:t>
      </w:r>
    </w:p>
    <w:p w14:paraId="11CC8732">
      <w:pPr>
        <w:spacing w:before="156" w:line="360" w:lineRule="auto"/>
        <w:ind w:left="22" w:firstLine="419"/>
        <w:rPr>
          <w:rFonts w:ascii="宋体" w:hAnsi="宋体" w:eastAsia="宋体" w:cs="宋体"/>
          <w:color w:val="auto"/>
          <w:sz w:val="21"/>
          <w:szCs w:val="21"/>
        </w:rPr>
      </w:pPr>
      <w:r>
        <w:rPr>
          <w:rFonts w:ascii="宋体" w:hAnsi="宋体" w:eastAsia="宋体" w:cs="宋体"/>
          <w:color w:val="auto"/>
          <w:spacing w:val="-12"/>
          <w:sz w:val="21"/>
          <w:szCs w:val="21"/>
        </w:rPr>
        <w:t>预付</w:t>
      </w:r>
      <w:r>
        <w:rPr>
          <w:rFonts w:ascii="宋体" w:hAnsi="宋体" w:eastAsia="宋体" w:cs="宋体"/>
          <w:color w:val="auto"/>
          <w:spacing w:val="-10"/>
          <w:sz w:val="21"/>
          <w:szCs w:val="21"/>
        </w:rPr>
        <w:t>款</w:t>
      </w:r>
      <w:r>
        <w:rPr>
          <w:rFonts w:ascii="宋体" w:hAnsi="宋体" w:eastAsia="宋体" w:cs="宋体"/>
          <w:color w:val="auto"/>
          <w:spacing w:val="-6"/>
          <w:sz w:val="21"/>
          <w:szCs w:val="21"/>
        </w:rPr>
        <w:t>扣回的方式：</w:t>
      </w:r>
      <w:r>
        <w:rPr>
          <w:rFonts w:ascii="宋体" w:hAnsi="宋体" w:eastAsia="宋体" w:cs="宋体"/>
          <w:color w:val="auto"/>
          <w:spacing w:val="-6"/>
          <w:sz w:val="21"/>
          <w:szCs w:val="21"/>
          <w:u w:val="single" w:color="auto"/>
        </w:rPr>
        <w:t>发包人在每期工程进度款拨付时，按当期工程进度款的 30%扣回预付款，</w:t>
      </w:r>
      <w:r>
        <w:rPr>
          <w:rFonts w:ascii="宋体" w:hAnsi="宋体" w:eastAsia="宋体" w:cs="宋体"/>
          <w:color w:val="auto"/>
          <w:spacing w:val="-2"/>
          <w:sz w:val="21"/>
          <w:szCs w:val="21"/>
          <w:u w:val="single" w:color="auto"/>
        </w:rPr>
        <w:t>预付款的扣清最迟于工程款付至合同价款 (扣</w:t>
      </w:r>
      <w:r>
        <w:rPr>
          <w:rFonts w:ascii="宋体" w:hAnsi="宋体" w:eastAsia="宋体" w:cs="宋体"/>
          <w:color w:val="auto"/>
          <w:spacing w:val="-1"/>
          <w:sz w:val="21"/>
          <w:szCs w:val="21"/>
          <w:u w:val="single" w:color="auto"/>
        </w:rPr>
        <w:t>除发包人材料价款、专业工程暂估价、暂列金额)</w:t>
      </w:r>
      <w:r>
        <w:rPr>
          <w:rFonts w:ascii="宋体" w:hAnsi="宋体" w:eastAsia="宋体" w:cs="宋体"/>
          <w:color w:val="auto"/>
          <w:spacing w:val="-6"/>
          <w:sz w:val="21"/>
          <w:szCs w:val="21"/>
          <w:u w:val="single" w:color="auto"/>
        </w:rPr>
        <w:t>的</w:t>
      </w:r>
      <w:r>
        <w:rPr>
          <w:rFonts w:ascii="宋体" w:hAnsi="宋体" w:eastAsia="宋体" w:cs="宋体"/>
          <w:color w:val="auto"/>
          <w:spacing w:val="-4"/>
          <w:sz w:val="21"/>
          <w:szCs w:val="21"/>
          <w:u w:val="single" w:color="auto"/>
        </w:rPr>
        <w:t xml:space="preserve"> </w:t>
      </w:r>
      <w:r>
        <w:rPr>
          <w:rFonts w:ascii="宋体" w:hAnsi="宋体" w:eastAsia="宋体" w:cs="宋体"/>
          <w:color w:val="auto"/>
          <w:spacing w:val="-3"/>
          <w:sz w:val="21"/>
          <w:szCs w:val="21"/>
          <w:u w:val="single" w:color="auto"/>
        </w:rPr>
        <w:t>80%时扣清。</w:t>
      </w:r>
    </w:p>
    <w:p w14:paraId="544C7E4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12.2.2 预付款担保</w:t>
      </w:r>
    </w:p>
    <w:p w14:paraId="7C09730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承包人提交预付款担保的期限：</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382EB1C4">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预付款担保的形式为：</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46E10926">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预付款担保格式见合同附件9。</w:t>
      </w:r>
    </w:p>
    <w:bookmarkEnd w:id="1332"/>
    <w:bookmarkEnd w:id="1333"/>
    <w:bookmarkEnd w:id="1334"/>
    <w:bookmarkEnd w:id="1335"/>
    <w:bookmarkEnd w:id="1336"/>
    <w:bookmarkEnd w:id="1337"/>
    <w:bookmarkEnd w:id="1338"/>
    <w:bookmarkEnd w:id="1339"/>
    <w:bookmarkEnd w:id="1340"/>
    <w:bookmarkEnd w:id="1341"/>
    <w:p w14:paraId="748854D9">
      <w:pPr>
        <w:pStyle w:val="504"/>
        <w:spacing w:line="380" w:lineRule="exact"/>
        <w:ind w:firstLine="422" w:firstLineChars="200"/>
        <w:rPr>
          <w:rFonts w:ascii="宋体" w:cs="宋体"/>
          <w:color w:val="auto"/>
          <w:highlight w:val="none"/>
        </w:rPr>
      </w:pPr>
      <w:bookmarkStart w:id="1352" w:name="_Toc418752294"/>
      <w:bookmarkStart w:id="1353" w:name="_Toc418518398"/>
      <w:bookmarkStart w:id="1354" w:name="_Toc373478398"/>
      <w:bookmarkStart w:id="1355" w:name="_Toc256000230"/>
      <w:bookmarkStart w:id="1356" w:name="_Toc373227751"/>
      <w:bookmarkStart w:id="1357" w:name="_Toc403578986"/>
      <w:bookmarkStart w:id="1358" w:name="_Toc418518162"/>
      <w:bookmarkStart w:id="1359" w:name="_Toc497747230"/>
      <w:bookmarkStart w:id="1360" w:name="_Toc418751848"/>
      <w:bookmarkStart w:id="1361" w:name="_Toc522201779"/>
      <w:bookmarkStart w:id="1362" w:name="_Toc497746833"/>
      <w:bookmarkStart w:id="1363" w:name="_Toc418061363"/>
      <w:bookmarkStart w:id="1364" w:name="_Toc389065316"/>
      <w:r>
        <w:rPr>
          <w:rFonts w:hint="eastAsia" w:ascii="宋体" w:cs="宋体"/>
          <w:color w:val="auto"/>
          <w:highlight w:val="none"/>
        </w:rPr>
        <w:t>12.3 计量</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14:paraId="63E3234D">
      <w:pPr>
        <w:pStyle w:val="396"/>
        <w:spacing w:line="380" w:lineRule="exact"/>
        <w:ind w:firstLine="420" w:firstLineChars="200"/>
        <w:jc w:val="left"/>
        <w:rPr>
          <w:rFonts w:ascii="宋体" w:hAnsi="宋体" w:cs="宋体"/>
          <w:color w:val="auto"/>
          <w:szCs w:val="21"/>
          <w:highlight w:val="none"/>
        </w:rPr>
      </w:pPr>
      <w:bookmarkStart w:id="1365" w:name="_Toc373478399"/>
      <w:bookmarkStart w:id="1366" w:name="_Toc389065317"/>
      <w:bookmarkStart w:id="1367" w:name="_Toc497747231"/>
      <w:bookmarkStart w:id="1368" w:name="_Toc418518163"/>
      <w:bookmarkStart w:id="1369" w:name="_Toc418518399"/>
      <w:bookmarkStart w:id="1370" w:name="_Toc497746834"/>
      <w:bookmarkStart w:id="1371" w:name="_Toc373227752"/>
      <w:bookmarkStart w:id="1372" w:name="_Toc418751849"/>
      <w:bookmarkStart w:id="1373" w:name="_Toc418752295"/>
      <w:bookmarkStart w:id="1374" w:name="_Toc403578987"/>
      <w:bookmarkStart w:id="1375" w:name="_Toc418061364"/>
      <w:r>
        <w:rPr>
          <w:rFonts w:hint="eastAsia" w:ascii="宋体" w:hAnsi="宋体" w:cs="宋体"/>
          <w:color w:val="auto"/>
          <w:szCs w:val="21"/>
          <w:highlight w:val="none"/>
        </w:rPr>
        <w:t xml:space="preserve">12.3.1 计量原则 </w:t>
      </w:r>
    </w:p>
    <w:p w14:paraId="44768A72">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工程量计算规则：</w:t>
      </w:r>
      <w:r>
        <w:rPr>
          <w:rFonts w:hint="eastAsia" w:ascii="宋体" w:hAnsi="宋体" w:cs="宋体"/>
          <w:color w:val="auto"/>
          <w:szCs w:val="21"/>
          <w:highlight w:val="none"/>
          <w:u w:val="single"/>
        </w:rPr>
        <w:t>工程的计量均以《建设工程工程量清单计价规范》 （GB50500－2013）和及其广西壮族自治区实施细则、《建设工程工程量清单计算规范》 （GB50854～50862－2013）及其广西实施细则（修订本）、本工程补充项目清单为准。</w:t>
      </w:r>
      <w:r>
        <w:rPr>
          <w:rFonts w:hint="eastAsia" w:ascii="宋体" w:hAnsi="宋体" w:cs="宋体"/>
          <w:color w:val="auto"/>
          <w:szCs w:val="21"/>
          <w:highlight w:val="none"/>
        </w:rPr>
        <w:t xml:space="preserve"> </w:t>
      </w:r>
    </w:p>
    <w:p w14:paraId="110B9A08">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12.3.2 计量周期 </w:t>
      </w:r>
    </w:p>
    <w:p w14:paraId="268D1E5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关于计量周期的约定：</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承包人每月25日前向监理人报送上月20日至本月19日完成的工程量报告，并附具进度款申请单、已完成工程量报表和有关资料</w:t>
      </w:r>
      <w:r>
        <w:rPr>
          <w:rFonts w:hint="eastAsia" w:ascii="宋体" w:hAnsi="宋体" w:cs="宋体"/>
          <w:color w:val="auto"/>
          <w:szCs w:val="21"/>
          <w:highlight w:val="none"/>
          <w:u w:val="single"/>
        </w:rPr>
        <w:t>。</w:t>
      </w:r>
      <w:r>
        <w:rPr>
          <w:rFonts w:hint="eastAsia" w:ascii="宋体" w:hAnsi="宋体" w:cs="宋体"/>
          <w:color w:val="auto"/>
          <w:szCs w:val="21"/>
          <w:highlight w:val="none"/>
        </w:rPr>
        <w:t xml:space="preserve"> </w:t>
      </w:r>
    </w:p>
    <w:p w14:paraId="1A19F88C">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12.3.3 单价合同的计量 </w:t>
      </w:r>
    </w:p>
    <w:p w14:paraId="68ABEDD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关于单价合同计量的约定：</w:t>
      </w:r>
      <w:r>
        <w:rPr>
          <w:rFonts w:hint="eastAsia" w:ascii="宋体" w:hAnsi="宋体" w:cs="宋体"/>
          <w:color w:val="auto"/>
          <w:szCs w:val="21"/>
          <w:highlight w:val="none"/>
          <w:u w:val="single"/>
        </w:rPr>
        <w:t xml:space="preserve"> (1) </w:t>
      </w:r>
      <w:r>
        <w:rPr>
          <w:rFonts w:ascii="宋体" w:hAnsi="宋体" w:cs="宋体"/>
          <w:color w:val="auto"/>
          <w:szCs w:val="21"/>
          <w:highlight w:val="none"/>
          <w:u w:val="single"/>
        </w:rPr>
        <w:t>工程量清单所列的工程量，不能作为承包人按合同履行其责任依据，实际施工中发生的工程量增加或减少并不影响承包人履行合同的责任，工程结算以完成的实际工程量为准</w:t>
      </w:r>
      <w:r>
        <w:rPr>
          <w:rFonts w:hint="eastAsia" w:ascii="宋体" w:hAnsi="宋体" w:cs="宋体"/>
          <w:color w:val="auto"/>
          <w:szCs w:val="21"/>
          <w:highlight w:val="none"/>
          <w:u w:val="single"/>
        </w:rPr>
        <w:t xml:space="preserve">。(2) </w:t>
      </w:r>
      <w:r>
        <w:rPr>
          <w:rFonts w:ascii="宋体" w:hAnsi="宋体" w:cs="宋体"/>
          <w:color w:val="auto"/>
          <w:szCs w:val="21"/>
          <w:highlight w:val="none"/>
          <w:u w:val="single"/>
        </w:rPr>
        <w:t>除另有规定外，工程师应按照合同通过计量来核实确定已完成的工程量和价款，承包人应得到该价款扣除保留金后的金额。当工程师要对已完工的工程量进行计量时，应适时地通知承包人参加</w:t>
      </w:r>
      <w:r>
        <w:rPr>
          <w:rFonts w:hint="eastAsia" w:ascii="宋体" w:hAnsi="宋体" w:cs="宋体"/>
          <w:color w:val="auto"/>
          <w:szCs w:val="21"/>
          <w:highlight w:val="none"/>
        </w:rPr>
        <w:t xml:space="preserve">。 </w:t>
      </w:r>
    </w:p>
    <w:p w14:paraId="5D228503">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12.3.4 总价合同的计量 </w:t>
      </w:r>
    </w:p>
    <w:p w14:paraId="642CAB5A">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关于总价合同计量的约定：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E5EC502">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12.3.5 总价合同采用支付分解表计量支付的，是否适用第 12.3.4 项〔总价合同的计量〕约定进行计量：</w:t>
      </w:r>
      <w:r>
        <w:rPr>
          <w:rFonts w:hint="eastAsia" w:ascii="宋体" w:hAnsi="宋体" w:cs="宋体"/>
          <w:color w:val="auto"/>
          <w:szCs w:val="21"/>
          <w:highlight w:val="none"/>
          <w:u w:val="single"/>
        </w:rPr>
        <w:t xml:space="preserve">无 </w:t>
      </w:r>
      <w:r>
        <w:rPr>
          <w:rFonts w:hint="eastAsia" w:ascii="宋体" w:hAnsi="宋体" w:cs="宋体"/>
          <w:color w:val="auto"/>
          <w:szCs w:val="21"/>
          <w:highlight w:val="none"/>
        </w:rPr>
        <w:t xml:space="preserve">。 </w:t>
      </w:r>
    </w:p>
    <w:p w14:paraId="01B81D6F">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12.3.6 其他价格形式合同的计量 </w:t>
      </w:r>
    </w:p>
    <w:p w14:paraId="5C79316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其他价格形式的计量方式和程序：</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 xml:space="preserve">。 </w:t>
      </w:r>
    </w:p>
    <w:p w14:paraId="33CD68A2">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 工程进度款支付</w:t>
      </w:r>
      <w:bookmarkEnd w:id="1365"/>
      <w:bookmarkEnd w:id="1366"/>
      <w:bookmarkEnd w:id="1367"/>
      <w:bookmarkEnd w:id="1368"/>
      <w:bookmarkEnd w:id="1369"/>
      <w:bookmarkEnd w:id="1370"/>
      <w:bookmarkEnd w:id="1371"/>
      <w:bookmarkEnd w:id="1372"/>
      <w:bookmarkEnd w:id="1373"/>
      <w:bookmarkEnd w:id="1374"/>
      <w:bookmarkEnd w:id="1375"/>
    </w:p>
    <w:p w14:paraId="42C51D4F">
      <w:pPr>
        <w:pStyle w:val="396"/>
        <w:spacing w:line="380" w:lineRule="exact"/>
        <w:ind w:firstLine="420" w:firstLineChars="200"/>
        <w:jc w:val="left"/>
        <w:rPr>
          <w:rFonts w:ascii="宋体" w:hAnsi="宋体" w:cs="宋体"/>
          <w:color w:val="auto"/>
          <w:szCs w:val="21"/>
          <w:highlight w:val="none"/>
        </w:rPr>
      </w:pPr>
      <w:bookmarkStart w:id="1376" w:name="_Toc297123556"/>
      <w:bookmarkStart w:id="1377" w:name="_Toc296347210"/>
      <w:bookmarkStart w:id="1378" w:name="_Toc297216215"/>
      <w:bookmarkStart w:id="1379" w:name="_Toc300935006"/>
      <w:bookmarkStart w:id="1380" w:name="_Toc296891251"/>
      <w:bookmarkStart w:id="1381" w:name="_Toc292559416"/>
      <w:bookmarkStart w:id="1382" w:name="_Toc297120511"/>
      <w:bookmarkStart w:id="1383" w:name="_Toc296891039"/>
      <w:bookmarkStart w:id="1384" w:name="_Toc292559921"/>
      <w:bookmarkStart w:id="1385" w:name="_Toc297048397"/>
      <w:bookmarkStart w:id="1386" w:name="_Toc296944550"/>
      <w:bookmarkStart w:id="1387" w:name="_Toc296346712"/>
      <w:bookmarkStart w:id="1388" w:name="_Toc303539163"/>
      <w:bookmarkStart w:id="1389" w:name="_Toc296503211"/>
      <w:r>
        <w:rPr>
          <w:rFonts w:hint="eastAsia" w:ascii="宋体" w:hAnsi="宋体" w:cs="宋体"/>
          <w:color w:val="auto"/>
          <w:szCs w:val="21"/>
          <w:highlight w:val="none"/>
        </w:rPr>
        <w:t>12.4.1 付款周期</w:t>
      </w:r>
    </w:p>
    <w:p w14:paraId="29EE1918">
      <w:pPr>
        <w:spacing w:before="161" w:line="359" w:lineRule="auto"/>
        <w:ind w:left="21" w:right="1" w:firstLine="421"/>
        <w:rPr>
          <w:rFonts w:hint="eastAsia" w:ascii="宋体" w:hAnsi="宋体" w:cs="宋体"/>
          <w:color w:val="auto"/>
          <w:szCs w:val="21"/>
          <w:highlight w:val="none"/>
        </w:rPr>
      </w:pPr>
      <w:r>
        <w:rPr>
          <w:rFonts w:hint="eastAsia" w:ascii="宋体" w:hAnsi="宋体" w:cs="宋体"/>
          <w:color w:val="auto"/>
          <w:szCs w:val="21"/>
          <w:highlight w:val="none"/>
        </w:rPr>
        <w:t>关于付款周期的约定：乙方已充分勘察现场，对现场所存在一切现有或隐形风险均已充分考虑并预估到位，一切相关费用已含入报价中。</w:t>
      </w:r>
    </w:p>
    <w:p w14:paraId="7DEB3BB0">
      <w:pPr>
        <w:spacing w:before="161" w:line="359" w:lineRule="auto"/>
        <w:ind w:left="21" w:right="1" w:firstLine="421"/>
        <w:rPr>
          <w:rFonts w:hint="eastAsia" w:ascii="宋体" w:hAnsi="宋体" w:cs="宋体"/>
          <w:color w:val="auto"/>
          <w:szCs w:val="21"/>
          <w:highlight w:val="none"/>
        </w:rPr>
      </w:pPr>
      <w:r>
        <w:rPr>
          <w:rFonts w:hint="eastAsia" w:ascii="宋体" w:hAnsi="宋体" w:cs="宋体"/>
          <w:color w:val="auto"/>
          <w:szCs w:val="21"/>
          <w:highlight w:val="none"/>
        </w:rPr>
        <w:t>工程款结算:本合同生效后，甲方按如下约定向乙方支付工程款:</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481"/>
        <w:gridCol w:w="2076"/>
        <w:gridCol w:w="5409"/>
      </w:tblGrid>
      <w:tr w14:paraId="6849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81" w:type="dxa"/>
          </w:tcPr>
          <w:p w14:paraId="6B957C2D">
            <w:pPr>
              <w:spacing w:before="161" w:line="359" w:lineRule="auto"/>
              <w:ind w:right="1"/>
              <w:jc w:val="center"/>
              <w:rPr>
                <w:rFonts w:hint="eastAsia" w:ascii="宋体" w:hAnsi="宋体" w:cs="宋体"/>
                <w:color w:val="auto"/>
                <w:szCs w:val="21"/>
                <w:highlight w:val="none"/>
                <w:vertAlign w:val="baseline"/>
              </w:rPr>
            </w:pPr>
            <w:r>
              <w:rPr>
                <w:rFonts w:hint="eastAsia" w:ascii="宋体" w:hAnsi="宋体" w:cs="宋体"/>
                <w:color w:val="auto"/>
                <w:szCs w:val="21"/>
                <w:highlight w:val="none"/>
                <w:vertAlign w:val="baseline"/>
              </w:rPr>
              <w:t>付款时间</w:t>
            </w:r>
          </w:p>
        </w:tc>
        <w:tc>
          <w:tcPr>
            <w:tcW w:w="2076" w:type="dxa"/>
          </w:tcPr>
          <w:p w14:paraId="6B58297B">
            <w:pPr>
              <w:spacing w:before="161" w:line="359" w:lineRule="auto"/>
              <w:ind w:right="1"/>
              <w:jc w:val="center"/>
              <w:rPr>
                <w:rFonts w:hint="eastAsia" w:ascii="宋体" w:hAnsi="宋体" w:cs="宋体"/>
                <w:color w:val="auto"/>
                <w:szCs w:val="21"/>
                <w:highlight w:val="none"/>
                <w:vertAlign w:val="baseline"/>
              </w:rPr>
            </w:pPr>
            <w:r>
              <w:rPr>
                <w:rFonts w:hint="eastAsia" w:ascii="宋体" w:hAnsi="宋体" w:cs="宋体"/>
                <w:color w:val="auto"/>
                <w:szCs w:val="21"/>
                <w:highlight w:val="none"/>
                <w:vertAlign w:val="baseline"/>
              </w:rPr>
              <w:t>付款比例(%)</w:t>
            </w:r>
          </w:p>
        </w:tc>
        <w:tc>
          <w:tcPr>
            <w:tcW w:w="5409" w:type="dxa"/>
          </w:tcPr>
          <w:p w14:paraId="40C8BF3F">
            <w:pPr>
              <w:spacing w:before="161" w:line="359" w:lineRule="auto"/>
              <w:ind w:right="1"/>
              <w:jc w:val="center"/>
              <w:rPr>
                <w:rFonts w:hint="eastAsia" w:ascii="宋体" w:hAnsi="宋体" w:cs="宋体"/>
                <w:color w:val="auto"/>
                <w:szCs w:val="21"/>
                <w:highlight w:val="none"/>
                <w:vertAlign w:val="baseline"/>
              </w:rPr>
            </w:pPr>
            <w:r>
              <w:rPr>
                <w:rFonts w:hint="eastAsia" w:ascii="宋体" w:hAnsi="宋体" w:cs="宋体"/>
                <w:color w:val="auto"/>
                <w:szCs w:val="21"/>
                <w:highlight w:val="none"/>
                <w:vertAlign w:val="baseline"/>
              </w:rPr>
              <w:t>备注</w:t>
            </w:r>
          </w:p>
        </w:tc>
      </w:tr>
      <w:tr w14:paraId="4287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81" w:type="dxa"/>
            <w:vAlign w:val="center"/>
          </w:tcPr>
          <w:p w14:paraId="6CE90691">
            <w:pPr>
              <w:spacing w:before="161" w:line="359" w:lineRule="auto"/>
              <w:ind w:right="1"/>
              <w:jc w:val="center"/>
              <w:rPr>
                <w:rFonts w:hint="eastAsia" w:ascii="宋体" w:hAnsi="宋体" w:cs="宋体"/>
                <w:color w:val="auto"/>
                <w:szCs w:val="21"/>
                <w:highlight w:val="none"/>
                <w:vertAlign w:val="baseline"/>
              </w:rPr>
            </w:pPr>
            <w:r>
              <w:rPr>
                <w:rFonts w:hint="eastAsia" w:ascii="宋体" w:hAnsi="宋体" w:cs="宋体"/>
                <w:color w:val="auto"/>
                <w:szCs w:val="21"/>
                <w:highlight w:val="none"/>
                <w:vertAlign w:val="baseline"/>
              </w:rPr>
              <w:t>开工后</w:t>
            </w:r>
          </w:p>
        </w:tc>
        <w:tc>
          <w:tcPr>
            <w:tcW w:w="2076" w:type="dxa"/>
            <w:vAlign w:val="center"/>
          </w:tcPr>
          <w:p w14:paraId="3BE9430F">
            <w:pPr>
              <w:spacing w:before="161" w:line="359" w:lineRule="auto"/>
              <w:ind w:right="1"/>
              <w:jc w:val="center"/>
              <w:rPr>
                <w:rFonts w:hint="eastAsia" w:ascii="宋体" w:hAnsi="宋体" w:cs="宋体"/>
                <w:color w:val="auto"/>
                <w:szCs w:val="21"/>
                <w:highlight w:val="none"/>
                <w:vertAlign w:val="baseline"/>
              </w:rPr>
            </w:pPr>
            <w:r>
              <w:rPr>
                <w:rFonts w:hint="eastAsia" w:ascii="宋体" w:hAnsi="宋体" w:cs="宋体"/>
                <w:color w:val="auto"/>
                <w:szCs w:val="21"/>
                <w:highlight w:val="none"/>
                <w:vertAlign w:val="baseline"/>
              </w:rPr>
              <w:t>30.00</w:t>
            </w:r>
          </w:p>
        </w:tc>
        <w:tc>
          <w:tcPr>
            <w:tcW w:w="5409" w:type="dxa"/>
          </w:tcPr>
          <w:p w14:paraId="05C53625">
            <w:pPr>
              <w:spacing w:before="161" w:line="359" w:lineRule="auto"/>
              <w:ind w:right="1"/>
              <w:jc w:val="center"/>
              <w:rPr>
                <w:rFonts w:hint="eastAsia" w:ascii="宋体" w:hAnsi="宋体" w:cs="宋体"/>
                <w:color w:val="auto"/>
                <w:szCs w:val="21"/>
                <w:highlight w:val="none"/>
                <w:vertAlign w:val="baseline"/>
              </w:rPr>
            </w:pPr>
            <w:r>
              <w:rPr>
                <w:rFonts w:hint="eastAsia" w:ascii="宋体" w:hAnsi="宋体" w:cs="宋体"/>
                <w:color w:val="auto"/>
                <w:szCs w:val="21"/>
                <w:highlight w:val="none"/>
                <w:vertAlign w:val="baseline"/>
              </w:rPr>
              <w:t>签订合同后支付30%预付资金</w:t>
            </w:r>
          </w:p>
        </w:tc>
      </w:tr>
      <w:tr w14:paraId="05DB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481" w:type="dxa"/>
            <w:vAlign w:val="center"/>
          </w:tcPr>
          <w:p w14:paraId="4287BE46">
            <w:pPr>
              <w:spacing w:before="161" w:line="359" w:lineRule="auto"/>
              <w:ind w:right="1"/>
              <w:jc w:val="center"/>
              <w:rPr>
                <w:rFonts w:hint="eastAsia" w:ascii="宋体" w:hAnsi="宋体" w:cs="宋体"/>
                <w:color w:val="auto"/>
                <w:szCs w:val="21"/>
                <w:highlight w:val="none"/>
                <w:vertAlign w:val="baseline"/>
              </w:rPr>
            </w:pPr>
            <w:r>
              <w:rPr>
                <w:rFonts w:hint="eastAsia" w:ascii="宋体" w:hAnsi="宋体" w:cs="宋体"/>
                <w:color w:val="auto"/>
                <w:szCs w:val="21"/>
                <w:highlight w:val="none"/>
                <w:vertAlign w:val="baseline"/>
              </w:rPr>
              <w:t>根据进度</w:t>
            </w:r>
          </w:p>
        </w:tc>
        <w:tc>
          <w:tcPr>
            <w:tcW w:w="2076" w:type="dxa"/>
            <w:vAlign w:val="center"/>
          </w:tcPr>
          <w:p w14:paraId="7B2EEC84">
            <w:pPr>
              <w:spacing w:before="161" w:line="359" w:lineRule="auto"/>
              <w:ind w:right="1"/>
              <w:jc w:val="center"/>
              <w:rPr>
                <w:rFonts w:hint="eastAsia" w:ascii="宋体" w:hAnsi="宋体" w:cs="宋体"/>
                <w:color w:val="auto"/>
                <w:szCs w:val="21"/>
                <w:highlight w:val="none"/>
                <w:vertAlign w:val="baseline"/>
              </w:rPr>
            </w:pPr>
            <w:r>
              <w:rPr>
                <w:rFonts w:hint="eastAsia" w:ascii="宋体" w:hAnsi="宋体" w:cs="宋体"/>
                <w:color w:val="auto"/>
                <w:szCs w:val="21"/>
                <w:highlight w:val="none"/>
                <w:vertAlign w:val="baseline"/>
                <w:lang w:val="en-US" w:eastAsia="zh-CN"/>
              </w:rPr>
              <w:t>5</w:t>
            </w:r>
            <w:r>
              <w:rPr>
                <w:rFonts w:hint="eastAsia" w:ascii="宋体" w:hAnsi="宋体" w:cs="宋体"/>
                <w:color w:val="auto"/>
                <w:szCs w:val="21"/>
                <w:highlight w:val="none"/>
                <w:vertAlign w:val="baseline"/>
              </w:rPr>
              <w:t>0.00</w:t>
            </w:r>
          </w:p>
        </w:tc>
        <w:tc>
          <w:tcPr>
            <w:tcW w:w="5409" w:type="dxa"/>
          </w:tcPr>
          <w:p w14:paraId="3F0A6ED9">
            <w:pPr>
              <w:spacing w:before="161" w:line="359" w:lineRule="auto"/>
              <w:ind w:right="1"/>
              <w:jc w:val="center"/>
              <w:rPr>
                <w:rFonts w:hint="default" w:ascii="宋体" w:hAnsi="宋体" w:eastAsia="宋体" w:cs="宋体"/>
                <w:color w:val="auto"/>
                <w:szCs w:val="21"/>
                <w:highlight w:val="none"/>
                <w:vertAlign w:val="baseline"/>
                <w:lang w:val="en-US" w:eastAsia="zh-CN"/>
              </w:rPr>
            </w:pPr>
            <w:r>
              <w:rPr>
                <w:rFonts w:hint="eastAsia" w:ascii="宋体" w:hAnsi="宋体" w:cs="宋体"/>
                <w:color w:val="auto"/>
                <w:szCs w:val="21"/>
                <w:highlight w:val="none"/>
                <w:vertAlign w:val="baseline"/>
              </w:rPr>
              <w:t>按实际进度可最高支付至合同价</w:t>
            </w:r>
            <w:r>
              <w:rPr>
                <w:rFonts w:hint="eastAsia" w:ascii="宋体" w:hAnsi="宋体" w:cs="宋体"/>
                <w:color w:val="auto"/>
                <w:szCs w:val="21"/>
                <w:highlight w:val="none"/>
                <w:vertAlign w:val="baseline"/>
                <w:lang w:val="en-US" w:eastAsia="zh-CN"/>
              </w:rPr>
              <w:t>80%</w:t>
            </w:r>
          </w:p>
        </w:tc>
      </w:tr>
      <w:tr w14:paraId="298C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481" w:type="dxa"/>
            <w:vAlign w:val="center"/>
          </w:tcPr>
          <w:p w14:paraId="42DDA9A6">
            <w:pPr>
              <w:spacing w:before="161" w:line="359" w:lineRule="auto"/>
              <w:ind w:right="1"/>
              <w:jc w:val="center"/>
              <w:rPr>
                <w:rFonts w:hint="eastAsia" w:ascii="宋体" w:hAnsi="宋体" w:cs="宋体"/>
                <w:color w:val="auto"/>
                <w:szCs w:val="21"/>
                <w:highlight w:val="none"/>
                <w:vertAlign w:val="baseline"/>
              </w:rPr>
            </w:pPr>
            <w:r>
              <w:rPr>
                <w:rFonts w:hint="eastAsia" w:ascii="宋体" w:hAnsi="宋体" w:cs="宋体"/>
                <w:color w:val="auto"/>
                <w:szCs w:val="21"/>
                <w:highlight w:val="none"/>
                <w:vertAlign w:val="baseline"/>
              </w:rPr>
              <w:t>结算后</w:t>
            </w:r>
          </w:p>
        </w:tc>
        <w:tc>
          <w:tcPr>
            <w:tcW w:w="2076" w:type="dxa"/>
            <w:vAlign w:val="center"/>
          </w:tcPr>
          <w:p w14:paraId="6E9B1B13">
            <w:pPr>
              <w:spacing w:before="161" w:line="359" w:lineRule="auto"/>
              <w:ind w:right="1"/>
              <w:jc w:val="center"/>
              <w:rPr>
                <w:rFonts w:hint="default" w:ascii="宋体" w:hAnsi="宋体" w:cs="宋体"/>
                <w:color w:val="auto"/>
                <w:szCs w:val="21"/>
                <w:highlight w:val="none"/>
                <w:vertAlign w:val="baseline"/>
                <w:lang w:val="en-US"/>
              </w:rPr>
            </w:pPr>
            <w:r>
              <w:rPr>
                <w:rFonts w:hint="eastAsia" w:ascii="宋体" w:hAnsi="宋体" w:cs="宋体"/>
                <w:color w:val="auto"/>
                <w:szCs w:val="21"/>
                <w:highlight w:val="none"/>
                <w:vertAlign w:val="baseline"/>
                <w:lang w:val="en-US" w:eastAsia="zh-CN"/>
              </w:rPr>
              <w:t>17.00</w:t>
            </w:r>
          </w:p>
        </w:tc>
        <w:tc>
          <w:tcPr>
            <w:tcW w:w="5409" w:type="dxa"/>
          </w:tcPr>
          <w:p w14:paraId="34D4CEE7">
            <w:pPr>
              <w:spacing w:before="161" w:line="359" w:lineRule="auto"/>
              <w:ind w:right="1"/>
              <w:jc w:val="center"/>
              <w:rPr>
                <w:rFonts w:hint="eastAsia" w:ascii="宋体" w:hAnsi="宋体" w:cs="宋体"/>
                <w:color w:val="auto"/>
                <w:szCs w:val="21"/>
                <w:highlight w:val="none"/>
                <w:vertAlign w:val="baseline"/>
              </w:rPr>
            </w:pPr>
            <w:r>
              <w:rPr>
                <w:rFonts w:hint="eastAsia" w:ascii="宋体" w:hAnsi="宋体" w:cs="宋体"/>
                <w:color w:val="auto"/>
                <w:szCs w:val="21"/>
                <w:highlight w:val="none"/>
                <w:vertAlign w:val="baseline"/>
              </w:rPr>
              <w:t>工程结算后按最终审定的结算价支付至97%，预留3%作为工程质量保证金，待一年质保期满后无息支付</w:t>
            </w:r>
          </w:p>
        </w:tc>
      </w:tr>
    </w:tbl>
    <w:p w14:paraId="3AF6CF98">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12.4.2 进度付款申请单的编制</w:t>
      </w:r>
    </w:p>
    <w:p w14:paraId="304EDB3A">
      <w:pPr>
        <w:pStyle w:val="396"/>
        <w:spacing w:line="380" w:lineRule="exact"/>
        <w:ind w:firstLine="420" w:firstLineChars="200"/>
        <w:jc w:val="left"/>
        <w:rPr>
          <w:rFonts w:ascii="宋体" w:hAnsi="宋体" w:cs="宋体"/>
          <w:bCs/>
          <w:color w:val="auto"/>
          <w:szCs w:val="21"/>
          <w:highlight w:val="none"/>
          <w:u w:val="single"/>
        </w:rPr>
      </w:pPr>
      <w:r>
        <w:rPr>
          <w:rFonts w:hint="eastAsia" w:ascii="宋体" w:hAnsi="宋体" w:cs="宋体"/>
          <w:color w:val="auto"/>
          <w:szCs w:val="21"/>
          <w:highlight w:val="none"/>
        </w:rPr>
        <w:t>关于进度付款申请单编制的约定：</w:t>
      </w:r>
      <w:r>
        <w:rPr>
          <w:rFonts w:ascii="宋体" w:hAnsi="宋体" w:eastAsia="宋体" w:cs="宋体"/>
          <w:sz w:val="21"/>
          <w:szCs w:val="21"/>
          <w:u w:val="single" w:color="auto"/>
        </w:rPr>
        <w:t>按通用条款执行</w:t>
      </w:r>
      <w:r>
        <w:rPr>
          <w:rFonts w:hint="eastAsia" w:ascii="宋体" w:hAnsi="宋体" w:cs="宋体"/>
          <w:bCs/>
          <w:color w:val="auto"/>
          <w:szCs w:val="21"/>
          <w:highlight w:val="none"/>
          <w:u w:val="single"/>
        </w:rPr>
        <w:t>。</w:t>
      </w:r>
    </w:p>
    <w:p w14:paraId="7C06CF87">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r>
        <w:rPr>
          <w:rFonts w:hint="eastAsia" w:ascii="宋体" w:hAnsi="宋体" w:cs="宋体"/>
          <w:color w:val="auto"/>
          <w:szCs w:val="21"/>
          <w:highlight w:val="none"/>
        </w:rPr>
        <w:t>2.4.3 进度付款申请单的提交</w:t>
      </w:r>
    </w:p>
    <w:p w14:paraId="483F48EE">
      <w:pPr>
        <w:pStyle w:val="396"/>
        <w:spacing w:line="380" w:lineRule="exact"/>
        <w:ind w:firstLine="420" w:firstLineChars="200"/>
        <w:jc w:val="left"/>
        <w:rPr>
          <w:rFonts w:ascii="宋体" w:hAnsi="宋体" w:cs="宋体"/>
          <w:bCs/>
          <w:color w:val="auto"/>
          <w:szCs w:val="21"/>
          <w:highlight w:val="none"/>
          <w:u w:val="single"/>
        </w:rPr>
      </w:pPr>
      <w:r>
        <w:rPr>
          <w:rFonts w:hint="eastAsia" w:ascii="宋体" w:hAnsi="宋体" w:cs="宋体"/>
          <w:color w:val="auto"/>
          <w:szCs w:val="21"/>
          <w:highlight w:val="none"/>
        </w:rPr>
        <w:t>（1）单价合同进度付款申请单提交的约定：</w:t>
      </w:r>
      <w:r>
        <w:rPr>
          <w:rFonts w:ascii="宋体" w:hAnsi="宋体" w:eastAsia="宋体" w:cs="宋体"/>
          <w:sz w:val="21"/>
          <w:szCs w:val="21"/>
          <w:u w:val="single" w:color="auto"/>
        </w:rPr>
        <w:t>按通用条款执行</w:t>
      </w:r>
      <w:r>
        <w:rPr>
          <w:rFonts w:hint="eastAsia" w:ascii="宋体" w:hAnsi="宋体" w:cs="宋体"/>
          <w:bCs/>
          <w:color w:val="auto"/>
          <w:szCs w:val="21"/>
          <w:highlight w:val="none"/>
          <w:u w:val="single"/>
        </w:rPr>
        <w:t>。</w:t>
      </w:r>
    </w:p>
    <w:p w14:paraId="7535E073">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（2）总价合同进度付款申请单提交的约定：</w:t>
      </w:r>
      <w:r>
        <w:rPr>
          <w:rFonts w:hint="eastAsia" w:ascii="宋体" w:hAnsi="宋体" w:cs="宋体"/>
          <w:color w:val="auto"/>
          <w:szCs w:val="21"/>
          <w:highlight w:val="none"/>
          <w:u w:val="single"/>
        </w:rPr>
        <w:t xml:space="preserve"> </w:t>
      </w:r>
      <w:r>
        <w:rPr>
          <w:rFonts w:ascii="宋体" w:hAnsi="宋体" w:eastAsia="宋体" w:cs="宋体"/>
          <w:sz w:val="21"/>
          <w:szCs w:val="21"/>
          <w:u w:val="single" w:color="auto"/>
        </w:rPr>
        <w:t>按通用条款执行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FBE42DF">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（3）其他价格形式合同进度付款申请单提交的约定：</w:t>
      </w:r>
      <w:r>
        <w:rPr>
          <w:rFonts w:hint="eastAsia" w:ascii="宋体" w:hAnsi="宋体" w:cs="宋体"/>
          <w:color w:val="auto"/>
          <w:szCs w:val="21"/>
          <w:highlight w:val="none"/>
          <w:u w:val="single"/>
        </w:rPr>
        <w:t xml:space="preserve">   </w:t>
      </w:r>
      <w:r>
        <w:rPr>
          <w:rFonts w:ascii="宋体" w:hAnsi="宋体" w:eastAsia="宋体" w:cs="宋体"/>
          <w:sz w:val="21"/>
          <w:szCs w:val="21"/>
          <w:u w:val="single" w:color="auto"/>
        </w:rPr>
        <w:t>按通用条款执行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75DABB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12.4.4 进度款审核和支付</w:t>
      </w:r>
    </w:p>
    <w:p w14:paraId="49D03CD6">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（1）监理人审查并报送发包人的期限：</w:t>
      </w:r>
      <w:r>
        <w:rPr>
          <w:rFonts w:hint="eastAsia" w:ascii="宋体" w:hAnsi="宋体" w:cs="宋体"/>
          <w:color w:val="auto"/>
          <w:szCs w:val="21"/>
          <w:highlight w:val="none"/>
          <w:u w:val="single"/>
        </w:rPr>
        <w:t>监理人收到承包人进度付款申请单以及相关资料后 7 天内完成审查并报送发包人</w:t>
      </w:r>
      <w:r>
        <w:rPr>
          <w:rFonts w:hint="eastAsia" w:ascii="宋体" w:hAnsi="宋体" w:cs="宋体"/>
          <w:color w:val="auto"/>
          <w:szCs w:val="21"/>
          <w:highlight w:val="none"/>
        </w:rPr>
        <w:t>。</w:t>
      </w:r>
    </w:p>
    <w:p w14:paraId="3EE6518F">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发包人完成审批并签发进度款支付证书的期限：</w:t>
      </w:r>
      <w:r>
        <w:rPr>
          <w:rFonts w:hint="eastAsia" w:ascii="宋体" w:hAnsi="宋体" w:cs="宋体"/>
          <w:color w:val="auto"/>
          <w:szCs w:val="21"/>
          <w:highlight w:val="none"/>
          <w:u w:val="single"/>
        </w:rPr>
        <w:t>收到后 7 天内完成审批并签发</w:t>
      </w:r>
      <w:r>
        <w:rPr>
          <w:rFonts w:hint="eastAsia" w:ascii="宋体" w:hAnsi="宋体" w:cs="宋体"/>
          <w:color w:val="auto"/>
          <w:szCs w:val="21"/>
          <w:highlight w:val="none"/>
        </w:rPr>
        <w:t>。</w:t>
      </w:r>
    </w:p>
    <w:p w14:paraId="65A587A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（2）发包人支付进度款的期限：</w:t>
      </w:r>
      <w:r>
        <w:rPr>
          <w:rFonts w:hint="eastAsia" w:ascii="宋体" w:hAnsi="宋体" w:cs="宋体"/>
          <w:color w:val="auto"/>
          <w:szCs w:val="21"/>
          <w:highlight w:val="none"/>
          <w:u w:val="single"/>
        </w:rPr>
        <w:t xml:space="preserve">办理相关付款手续后的7天内 </w:t>
      </w:r>
      <w:r>
        <w:rPr>
          <w:rFonts w:hint="eastAsia" w:ascii="宋体" w:hAnsi="宋体" w:cs="宋体"/>
          <w:color w:val="auto"/>
          <w:szCs w:val="21"/>
          <w:highlight w:val="none"/>
        </w:rPr>
        <w:t>。</w:t>
      </w:r>
    </w:p>
    <w:p w14:paraId="4B891CD9">
      <w:pPr>
        <w:pStyle w:val="396"/>
        <w:spacing w:line="38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发包人逾期支付进度款的违约金的计算方式：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40B7D871">
      <w:pPr>
        <w:pStyle w:val="396"/>
        <w:spacing w:line="38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进度款支付方式：</w:t>
      </w:r>
      <w:r>
        <w:rPr>
          <w:rFonts w:hint="eastAsia" w:ascii="宋体" w:hAnsi="宋体" w:cs="宋体"/>
          <w:color w:val="auto"/>
          <w:szCs w:val="21"/>
          <w:highlight w:val="none"/>
          <w:u w:val="single"/>
        </w:rPr>
        <w:t>银行转账</w:t>
      </w:r>
      <w:r>
        <w:rPr>
          <w:rFonts w:hint="eastAsia" w:ascii="宋体" w:hAnsi="宋体" w:cs="宋体"/>
          <w:color w:val="auto"/>
          <w:szCs w:val="21"/>
          <w:highlight w:val="none"/>
        </w:rPr>
        <w:t>。</w:t>
      </w:r>
    </w:p>
    <w:p w14:paraId="52A69B9C">
      <w:pPr>
        <w:pStyle w:val="396"/>
        <w:spacing w:line="38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12.4.6 支付分解表的编制</w:t>
      </w:r>
    </w:p>
    <w:p w14:paraId="540EA8CA">
      <w:pPr>
        <w:pStyle w:val="396"/>
        <w:spacing w:line="380" w:lineRule="exact"/>
        <w:ind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2. 总价合同支付分解表的编制与审批：</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4F155BAA">
      <w:pPr>
        <w:pStyle w:val="396"/>
        <w:spacing w:line="380" w:lineRule="exact"/>
        <w:ind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3. 单价合同的总价项目支付分解表的编制与审批：</w:t>
      </w:r>
      <w:r>
        <w:rPr>
          <w:rFonts w:hint="eastAsia" w:ascii="宋体" w:hAnsi="宋体" w:cs="宋体"/>
          <w:color w:val="auto"/>
          <w:szCs w:val="21"/>
          <w:highlight w:val="none"/>
          <w:u w:val="single"/>
        </w:rPr>
        <w:t>单价项目不采用支付分解表的方式计算，而按《建设工程工程量清单计价规范（GB50500-2013）广西壮族自治区实施细则（修订本）》的规定执行。</w:t>
      </w:r>
    </w:p>
    <w:bookmarkEnd w:id="1060"/>
    <w:p w14:paraId="63ADA1B9">
      <w:pPr>
        <w:pStyle w:val="504"/>
        <w:spacing w:line="380" w:lineRule="exact"/>
        <w:rPr>
          <w:rFonts w:ascii="宋体" w:cs="宋体"/>
          <w:color w:val="auto"/>
          <w:highlight w:val="none"/>
        </w:rPr>
      </w:pPr>
      <w:bookmarkStart w:id="1390" w:name="_Toc418751850"/>
      <w:bookmarkStart w:id="1391" w:name="_Toc497746835"/>
      <w:bookmarkStart w:id="1392" w:name="_Toc418518400"/>
      <w:bookmarkStart w:id="1393" w:name="_Toc418518164"/>
      <w:bookmarkStart w:id="1394" w:name="_Toc418752296"/>
      <w:bookmarkStart w:id="1395" w:name="_Toc418061365"/>
      <w:bookmarkStart w:id="1396" w:name="_Toc403578988"/>
      <w:bookmarkStart w:id="1397" w:name="_Toc389065318"/>
      <w:bookmarkStart w:id="1398" w:name="_Toc497747232"/>
      <w:bookmarkStart w:id="1399" w:name="_Toc373227753"/>
      <w:bookmarkStart w:id="1400" w:name="_Toc522201780"/>
      <w:bookmarkStart w:id="1401" w:name="_Toc373478400"/>
      <w:bookmarkStart w:id="1402" w:name="_Toc256000231"/>
      <w:bookmarkStart w:id="1403" w:name="_Toc351203645"/>
      <w:bookmarkStart w:id="1404" w:name="_Toc297123564"/>
      <w:bookmarkStart w:id="1405" w:name="_Toc297120519"/>
      <w:bookmarkStart w:id="1406" w:name="_Toc296891259"/>
      <w:bookmarkStart w:id="1407" w:name="_Toc296503219"/>
      <w:bookmarkStart w:id="1408" w:name="_Toc300935015"/>
      <w:bookmarkStart w:id="1409" w:name="_Toc312678053"/>
      <w:bookmarkStart w:id="1410" w:name="_Toc292559424"/>
      <w:bookmarkStart w:id="1411" w:name="_Toc296347218"/>
      <w:bookmarkStart w:id="1412" w:name="_Toc297048405"/>
      <w:bookmarkStart w:id="1413" w:name="_Toc296346720"/>
      <w:bookmarkStart w:id="1414" w:name="_Toc292559929"/>
      <w:bookmarkStart w:id="1415" w:name="_Toc296944558"/>
      <w:bookmarkStart w:id="1416" w:name="_Toc296891047"/>
      <w:bookmarkStart w:id="1417" w:name="_Toc304295593"/>
      <w:bookmarkStart w:id="1418" w:name="_Toc297216223"/>
      <w:bookmarkStart w:id="1419" w:name="_Toc303539172"/>
      <w:r>
        <w:rPr>
          <w:rFonts w:hint="eastAsia" w:ascii="宋体" w:cs="宋体"/>
          <w:color w:val="auto"/>
          <w:highlight w:val="none"/>
        </w:rPr>
        <w:t>13. 验收和工程试车</w:t>
      </w:r>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p>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p w14:paraId="00BD23C3">
      <w:pPr>
        <w:pStyle w:val="504"/>
        <w:spacing w:line="380" w:lineRule="exact"/>
        <w:ind w:firstLine="422" w:firstLineChars="200"/>
        <w:rPr>
          <w:rFonts w:ascii="宋体" w:cs="宋体"/>
          <w:color w:val="auto"/>
          <w:highlight w:val="none"/>
        </w:rPr>
      </w:pPr>
      <w:bookmarkStart w:id="1420" w:name="_Toc389065319"/>
      <w:bookmarkStart w:id="1421" w:name="_Toc373227754"/>
      <w:bookmarkStart w:id="1422" w:name="_Toc256000232"/>
      <w:bookmarkStart w:id="1423" w:name="_Toc418752297"/>
      <w:bookmarkStart w:id="1424" w:name="_Toc418751851"/>
      <w:bookmarkStart w:id="1425" w:name="_Toc497746836"/>
      <w:bookmarkStart w:id="1426" w:name="_Toc418518401"/>
      <w:bookmarkStart w:id="1427" w:name="_Toc418518165"/>
      <w:bookmarkStart w:id="1428" w:name="_Toc403578989"/>
      <w:bookmarkStart w:id="1429" w:name="_Toc373478401"/>
      <w:bookmarkStart w:id="1430" w:name="_Toc522201781"/>
      <w:bookmarkStart w:id="1431" w:name="_Toc418061366"/>
      <w:bookmarkStart w:id="1432" w:name="_Toc497747233"/>
      <w:r>
        <w:rPr>
          <w:rFonts w:hint="eastAsia" w:ascii="宋体" w:cs="宋体"/>
          <w:color w:val="auto"/>
          <w:highlight w:val="none"/>
        </w:rPr>
        <w:t>13.1 分部分项工程验收</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p>
    <w:p w14:paraId="4DF11C6F">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13.1.2监理人不能按时进行验收时，应提前</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小时提交书面延期要求。</w:t>
      </w:r>
    </w:p>
    <w:p w14:paraId="05510A4C">
      <w:pPr>
        <w:pStyle w:val="396"/>
        <w:spacing w:line="380" w:lineRule="exact"/>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关于延期最长不得超过：</w:t>
      </w:r>
      <w:r>
        <w:rPr>
          <w:rFonts w:hint="eastAsia" w:ascii="宋体" w:hAnsi="宋体" w:cs="宋体"/>
          <w:color w:val="auto"/>
          <w:szCs w:val="21"/>
          <w:highlight w:val="none"/>
          <w:u w:val="single"/>
        </w:rPr>
        <w:t xml:space="preserve"> 48 </w:t>
      </w:r>
      <w:r>
        <w:rPr>
          <w:rFonts w:hint="eastAsia" w:ascii="宋体" w:hAnsi="宋体" w:cs="宋体"/>
          <w:color w:val="auto"/>
          <w:szCs w:val="21"/>
          <w:highlight w:val="none"/>
        </w:rPr>
        <w:t>小时。</w:t>
      </w:r>
    </w:p>
    <w:p w14:paraId="49C0D43E">
      <w:pPr>
        <w:pStyle w:val="504"/>
        <w:spacing w:line="380" w:lineRule="exact"/>
        <w:ind w:firstLine="422" w:firstLineChars="200"/>
        <w:rPr>
          <w:rFonts w:ascii="宋体" w:cs="宋体"/>
          <w:color w:val="auto"/>
          <w:highlight w:val="none"/>
        </w:rPr>
      </w:pPr>
      <w:bookmarkStart w:id="1433" w:name="_Toc256000233"/>
      <w:bookmarkStart w:id="1434" w:name="_Toc418752298"/>
      <w:bookmarkStart w:id="1435" w:name="_Toc373478402"/>
      <w:bookmarkStart w:id="1436" w:name="_Toc418061367"/>
      <w:bookmarkStart w:id="1437" w:name="_Toc418518166"/>
      <w:bookmarkStart w:id="1438" w:name="_Toc373227755"/>
      <w:bookmarkStart w:id="1439" w:name="_Toc389065320"/>
      <w:bookmarkStart w:id="1440" w:name="_Toc403578990"/>
      <w:bookmarkStart w:id="1441" w:name="_Toc497747234"/>
      <w:bookmarkStart w:id="1442" w:name="_Toc497746837"/>
      <w:bookmarkStart w:id="1443" w:name="_Toc522201782"/>
      <w:bookmarkStart w:id="1444" w:name="_Toc418751852"/>
      <w:bookmarkStart w:id="1445" w:name="_Toc418518402"/>
      <w:bookmarkStart w:id="1446" w:name="_Toc292559428"/>
      <w:bookmarkStart w:id="1447" w:name="_Toc296347222"/>
      <w:bookmarkStart w:id="1448" w:name="_Toc312678056"/>
      <w:bookmarkStart w:id="1449" w:name="_Toc296346724"/>
      <w:bookmarkStart w:id="1450" w:name="_Toc297048409"/>
      <w:bookmarkStart w:id="1451" w:name="_Toc296891051"/>
      <w:bookmarkStart w:id="1452" w:name="_Toc296944562"/>
      <w:bookmarkStart w:id="1453" w:name="_Toc304295596"/>
      <w:bookmarkStart w:id="1454" w:name="_Toc292559933"/>
      <w:bookmarkStart w:id="1455" w:name="_Toc300935016"/>
      <w:bookmarkStart w:id="1456" w:name="_Toc297216224"/>
      <w:bookmarkStart w:id="1457" w:name="_Toc296503223"/>
      <w:bookmarkStart w:id="1458" w:name="_Toc296891263"/>
      <w:bookmarkStart w:id="1459" w:name="_Toc297123565"/>
      <w:bookmarkStart w:id="1460" w:name="_Toc303539173"/>
      <w:bookmarkStart w:id="1461" w:name="_Toc297120523"/>
      <w:bookmarkStart w:id="1462" w:name="_Toc267251474"/>
      <w:bookmarkStart w:id="1463" w:name="_Toc267251476"/>
      <w:bookmarkStart w:id="1464" w:name="_Toc267251471"/>
      <w:bookmarkStart w:id="1465" w:name="_Toc267251472"/>
      <w:bookmarkStart w:id="1466" w:name="_Toc267251473"/>
      <w:bookmarkStart w:id="1467" w:name="_Toc267251470"/>
      <w:bookmarkStart w:id="1468" w:name="_Toc267251475"/>
      <w:r>
        <w:rPr>
          <w:rFonts w:hint="eastAsia" w:ascii="宋体" w:cs="宋体"/>
          <w:color w:val="auto"/>
          <w:highlight w:val="none"/>
        </w:rPr>
        <w:t>13.2 竣工验收</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p>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p w14:paraId="5CB04389">
      <w:pPr>
        <w:pStyle w:val="396"/>
        <w:spacing w:line="380" w:lineRule="exact"/>
        <w:ind w:firstLine="420" w:firstLineChars="200"/>
        <w:jc w:val="left"/>
        <w:rPr>
          <w:rFonts w:ascii="宋体" w:hAnsi="宋体" w:cs="宋体"/>
          <w:color w:val="auto"/>
          <w:szCs w:val="21"/>
          <w:highlight w:val="none"/>
        </w:rPr>
      </w:pPr>
      <w:bookmarkStart w:id="1469" w:name="_Toc280868704"/>
      <w:bookmarkStart w:id="1470" w:name="_Toc280868705"/>
      <w:bookmarkStart w:id="1471" w:name="_Toc280868706"/>
      <w:bookmarkStart w:id="1472" w:name="_Toc280868707"/>
      <w:bookmarkStart w:id="1473" w:name="_Toc280868708"/>
      <w:bookmarkStart w:id="1474" w:name="_Toc280868709"/>
      <w:r>
        <w:rPr>
          <w:rFonts w:hint="eastAsia" w:ascii="宋体" w:hAnsi="宋体" w:cs="宋体"/>
          <w:color w:val="auto"/>
          <w:szCs w:val="21"/>
          <w:highlight w:val="none"/>
        </w:rPr>
        <w:t>13.2.1竣工验收条件</w:t>
      </w:r>
    </w:p>
    <w:p w14:paraId="37D706A3">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（3）承包人负责整理和提交的竣工验收资料应当符合工程所在地建设行政主管部门和(或)城市建设档案管理机构有关施工资料的要求，具体内容包括：</w:t>
      </w:r>
      <w:r>
        <w:rPr>
          <w:rFonts w:hint="eastAsia" w:ascii="宋体" w:hAnsi="宋体" w:cs="宋体"/>
          <w:color w:val="auto"/>
          <w:szCs w:val="21"/>
          <w:highlight w:val="none"/>
          <w:u w:val="single"/>
        </w:rPr>
        <w:t xml:space="preserve">  1、工程具备竣工验收条件，承包人按工期竣工验收有关规定，向发包人提交符合桂林市城建档案馆归档要求内</w:t>
      </w:r>
      <w:r>
        <w:rPr>
          <w:rFonts w:hint="eastAsia" w:ascii="宋体" w:hAnsi="宋体" w:cs="宋体"/>
          <w:strike w:val="0"/>
          <w:dstrike w:val="0"/>
          <w:color w:val="auto"/>
          <w:szCs w:val="21"/>
          <w:highlight w:val="none"/>
          <w:u w:val="single"/>
        </w:rPr>
        <w:t>容装订成册的完整竣工资料及竣工验收报告、工程竣工图。2、承包人所提交的竣工资料必须符合《建设工程归档整理规范》要求，并在结算审批时出具《工程档案验收合格证明》及建设单位接收档</w:t>
      </w:r>
      <w:r>
        <w:rPr>
          <w:rFonts w:hint="eastAsia" w:ascii="宋体" w:hAnsi="宋体" w:cs="宋体"/>
          <w:color w:val="auto"/>
          <w:szCs w:val="21"/>
          <w:highlight w:val="none"/>
          <w:u w:val="single"/>
        </w:rPr>
        <w:t xml:space="preserve">案资料清单证明   </w:t>
      </w:r>
      <w:r>
        <w:rPr>
          <w:rFonts w:hint="eastAsia" w:ascii="宋体" w:hAnsi="宋体" w:cs="宋体"/>
          <w:color w:val="auto"/>
          <w:szCs w:val="21"/>
          <w:highlight w:val="none"/>
        </w:rPr>
        <w:t>。</w:t>
      </w:r>
    </w:p>
    <w:p w14:paraId="64871D84">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竣工验收资料的份数：</w:t>
      </w:r>
      <w:r>
        <w:rPr>
          <w:rFonts w:hint="eastAsia" w:ascii="宋体" w:hAnsi="宋体" w:cs="宋体"/>
          <w:color w:val="auto"/>
          <w:szCs w:val="21"/>
          <w:highlight w:val="none"/>
          <w:u w:val="single"/>
        </w:rPr>
        <w:t>肆份，承包人承担竣工验收资料编制、立卷及至档案馆归档等一切费用</w:t>
      </w:r>
      <w:r>
        <w:rPr>
          <w:rFonts w:hint="eastAsia" w:ascii="宋体" w:hAnsi="宋体" w:cs="宋体"/>
          <w:color w:val="auto"/>
          <w:szCs w:val="21"/>
          <w:highlight w:val="none"/>
        </w:rPr>
        <w:t>。</w:t>
      </w:r>
    </w:p>
    <w:p w14:paraId="49BF1D9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bCs/>
          <w:color w:val="auto"/>
          <w:szCs w:val="21"/>
          <w:highlight w:val="none"/>
        </w:rPr>
        <w:t>承包人提供竣工图的约定：</w:t>
      </w:r>
      <w:r>
        <w:rPr>
          <w:rFonts w:hint="eastAsia" w:ascii="宋体" w:hAnsi="宋体" w:cs="宋体"/>
          <w:bCs/>
          <w:color w:val="auto"/>
          <w:szCs w:val="21"/>
          <w:highlight w:val="none"/>
          <w:u w:val="single"/>
        </w:rPr>
        <w:t>竣工验收正式通过后15天，提供4套竣工图。</w:t>
      </w:r>
    </w:p>
    <w:p w14:paraId="3BB0D92D">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13.2.2竣工验收程序</w:t>
      </w:r>
    </w:p>
    <w:bookmarkEnd w:id="1469"/>
    <w:p w14:paraId="129CE54A">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关于竣工验收程序的约定</w:t>
      </w:r>
      <w:r>
        <w:rPr>
          <w:rFonts w:hint="eastAsia" w:ascii="宋体" w:hAnsi="宋体" w:cs="宋体"/>
          <w:color w:val="auto"/>
          <w:kern w:val="0"/>
          <w:szCs w:val="21"/>
          <w:highlight w:val="none"/>
          <w:lang w:eastAsia="zh-CN"/>
        </w:rPr>
        <w:t>：</w:t>
      </w:r>
      <w:r>
        <w:rPr>
          <w:rFonts w:ascii="宋体" w:hAnsi="宋体" w:eastAsia="宋体" w:cs="宋体"/>
          <w:sz w:val="21"/>
          <w:szCs w:val="21"/>
          <w:u w:val="single" w:color="auto"/>
        </w:rPr>
        <w:t>按通用条款执行</w:t>
      </w:r>
      <w:r>
        <w:rPr>
          <w:rFonts w:hint="eastAsia" w:ascii="宋体" w:hAnsi="宋体" w:cs="宋体"/>
          <w:color w:val="auto"/>
          <w:szCs w:val="21"/>
          <w:highlight w:val="none"/>
          <w:u w:val="single"/>
        </w:rPr>
        <w:t>。</w:t>
      </w:r>
    </w:p>
    <w:p w14:paraId="7F09BFE4">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发包人不按照本项约定组织竣工验收、颁发工程接收证书的违约金的计算方法：</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bookmarkEnd w:id="1470"/>
    <w:p w14:paraId="3CBE816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13.2.5移交、接收全部与部分工程</w:t>
      </w:r>
    </w:p>
    <w:bookmarkEnd w:id="1471"/>
    <w:p w14:paraId="70BFDF65">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承包人向发包人移交工程的期限：</w:t>
      </w:r>
      <w:r>
        <w:rPr>
          <w:rFonts w:hint="eastAsia" w:ascii="宋体" w:hAnsi="宋体" w:cs="宋体"/>
          <w:color w:val="auto"/>
          <w:szCs w:val="21"/>
          <w:highlight w:val="none"/>
          <w:u w:val="single"/>
        </w:rPr>
        <w:t xml:space="preserve"> </w:t>
      </w:r>
      <w:r>
        <w:rPr>
          <w:rFonts w:ascii="宋体" w:hAnsi="宋体" w:eastAsia="宋体" w:cs="宋体"/>
          <w:spacing w:val="3"/>
          <w:sz w:val="21"/>
          <w:szCs w:val="21"/>
          <w:u w:val="single" w:color="auto"/>
        </w:rPr>
        <w:t xml:space="preserve"> 按通用条款执行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FA13C8B">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发包人未按本合同约定接收全部或部分工程的，违约金的计算方法为：</w:t>
      </w:r>
      <w:r>
        <w:rPr>
          <w:rFonts w:hint="eastAsia" w:ascii="宋体" w:hAnsi="宋体" w:cs="宋体"/>
          <w:color w:val="auto"/>
          <w:szCs w:val="21"/>
          <w:highlight w:val="none"/>
          <w:u w:val="single"/>
        </w:rPr>
        <w:t xml:space="preserve"> </w:t>
      </w:r>
      <w:r>
        <w:rPr>
          <w:rFonts w:ascii="宋体" w:hAnsi="宋体" w:eastAsia="宋体" w:cs="宋体"/>
          <w:spacing w:val="-3"/>
          <w:sz w:val="21"/>
          <w:szCs w:val="21"/>
          <w:u w:val="single" w:color="auto"/>
        </w:rPr>
        <w:t>按通用条</w:t>
      </w:r>
      <w:r>
        <w:rPr>
          <w:rFonts w:ascii="宋体" w:hAnsi="宋体" w:eastAsia="宋体" w:cs="宋体"/>
          <w:sz w:val="21"/>
          <w:szCs w:val="21"/>
          <w:u w:val="single" w:color="auto"/>
        </w:rPr>
        <w:t>款执</w:t>
      </w:r>
      <w:r>
        <w:rPr>
          <w:rFonts w:ascii="宋体" w:hAnsi="宋体" w:eastAsia="宋体" w:cs="宋体"/>
          <w:spacing w:val="-2"/>
          <w:sz w:val="21"/>
          <w:szCs w:val="21"/>
          <w:u w:val="single" w:color="auto"/>
        </w:rPr>
        <w:t>行</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rPr>
        <w:t>。</w:t>
      </w:r>
    </w:p>
    <w:bookmarkEnd w:id="1472"/>
    <w:p w14:paraId="2056C334">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承包人未按时移交工程的，违约金的计算方法为：</w:t>
      </w:r>
      <w:r>
        <w:rPr>
          <w:rFonts w:hint="eastAsia" w:ascii="宋体" w:hAnsi="宋体" w:cs="宋体"/>
          <w:color w:val="auto"/>
          <w:szCs w:val="21"/>
          <w:highlight w:val="none"/>
          <w:u w:val="single"/>
        </w:rPr>
        <w:t xml:space="preserve">  </w:t>
      </w:r>
      <w:r>
        <w:rPr>
          <w:rFonts w:ascii="宋体" w:hAnsi="宋体" w:eastAsia="宋体" w:cs="宋体"/>
          <w:spacing w:val="-2"/>
          <w:sz w:val="21"/>
          <w:szCs w:val="21"/>
          <w:u w:val="single" w:color="auto"/>
        </w:rPr>
        <w:t>按本合同专用条款 7.</w:t>
      </w:r>
      <w:r>
        <w:rPr>
          <w:rFonts w:ascii="宋体" w:hAnsi="宋体" w:eastAsia="宋体" w:cs="宋体"/>
          <w:spacing w:val="-1"/>
          <w:sz w:val="21"/>
          <w:szCs w:val="21"/>
          <w:u w:val="single" w:color="auto"/>
        </w:rPr>
        <w:t xml:space="preserve">5.2 条约定执行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3365A43">
      <w:pPr>
        <w:pStyle w:val="504"/>
        <w:spacing w:line="380" w:lineRule="exact"/>
        <w:ind w:firstLine="422" w:firstLineChars="200"/>
        <w:rPr>
          <w:rFonts w:ascii="宋体" w:cs="宋体"/>
          <w:color w:val="auto"/>
          <w:highlight w:val="none"/>
        </w:rPr>
      </w:pPr>
      <w:bookmarkStart w:id="1475" w:name="_Toc403578991"/>
      <w:bookmarkStart w:id="1476" w:name="_Toc418752299"/>
      <w:bookmarkStart w:id="1477" w:name="_Toc497746838"/>
      <w:bookmarkStart w:id="1478" w:name="_Toc373227756"/>
      <w:bookmarkStart w:id="1479" w:name="_Toc418061368"/>
      <w:bookmarkStart w:id="1480" w:name="_Toc373478403"/>
      <w:bookmarkStart w:id="1481" w:name="_Toc522201783"/>
      <w:bookmarkStart w:id="1482" w:name="_Toc418518167"/>
      <w:bookmarkStart w:id="1483" w:name="_Toc418518403"/>
      <w:bookmarkStart w:id="1484" w:name="_Toc497747235"/>
      <w:bookmarkStart w:id="1485" w:name="_Toc256000234"/>
      <w:bookmarkStart w:id="1486" w:name="_Toc389065321"/>
      <w:bookmarkStart w:id="1487" w:name="_Toc418751853"/>
      <w:r>
        <w:rPr>
          <w:rFonts w:hint="eastAsia" w:ascii="宋体" w:cs="宋体"/>
          <w:color w:val="auto"/>
          <w:highlight w:val="none"/>
        </w:rPr>
        <w:t>13.3 工程试车</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p>
    <w:bookmarkEnd w:id="1473"/>
    <w:p w14:paraId="3F23A06B">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13.3.1 试车程序</w:t>
      </w:r>
    </w:p>
    <w:p w14:paraId="1DE0607A">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工程试车内容：</w:t>
      </w:r>
      <w:r>
        <w:rPr>
          <w:rFonts w:hint="eastAsia" w:ascii="宋体" w:hAnsi="宋体" w:cs="宋体"/>
          <w:color w:val="auto"/>
          <w:szCs w:val="21"/>
          <w:highlight w:val="none"/>
          <w:u w:val="single"/>
        </w:rPr>
        <w:t xml:space="preserve">  </w:t>
      </w:r>
      <w:r>
        <w:rPr>
          <w:rFonts w:ascii="宋体" w:hAnsi="宋体" w:eastAsia="宋体" w:cs="宋体"/>
          <w:sz w:val="21"/>
          <w:szCs w:val="21"/>
          <w:u w:val="single" w:color="auto"/>
        </w:rPr>
        <w:t>按通用条款执行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9D85425">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（1）单机无负荷试车费用由</w:t>
      </w:r>
      <w:r>
        <w:rPr>
          <w:rFonts w:hint="eastAsia" w:ascii="宋体" w:hAnsi="宋体" w:cs="宋体"/>
          <w:color w:val="auto"/>
          <w:szCs w:val="21"/>
          <w:highlight w:val="none"/>
          <w:u w:val="single"/>
        </w:rPr>
        <w:t xml:space="preserve">  承包人组织试运行，费用由承包人</w:t>
      </w:r>
      <w:r>
        <w:rPr>
          <w:rFonts w:hint="eastAsia" w:ascii="宋体" w:hAnsi="宋体" w:cs="宋体"/>
          <w:color w:val="auto"/>
          <w:kern w:val="0"/>
          <w:szCs w:val="21"/>
          <w:highlight w:val="none"/>
        </w:rPr>
        <w:t>承担；</w:t>
      </w:r>
    </w:p>
    <w:p w14:paraId="40AC1DBA">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（2）无负荷联动试车费用由</w:t>
      </w:r>
      <w:r>
        <w:rPr>
          <w:rFonts w:hint="eastAsia" w:ascii="宋体" w:hAnsi="宋体" w:cs="宋体"/>
          <w:color w:val="auto"/>
          <w:szCs w:val="21"/>
          <w:highlight w:val="none"/>
          <w:u w:val="single"/>
        </w:rPr>
        <w:t xml:space="preserve">  承包人组织试运行，费用由承包人</w:t>
      </w:r>
      <w:r>
        <w:rPr>
          <w:rFonts w:hint="eastAsia" w:ascii="宋体" w:hAnsi="宋体" w:cs="宋体"/>
          <w:color w:val="auto"/>
          <w:kern w:val="0"/>
          <w:szCs w:val="21"/>
          <w:highlight w:val="none"/>
        </w:rPr>
        <w:t>承担。</w:t>
      </w:r>
    </w:p>
    <w:p w14:paraId="2A6B2E93">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13.3.3 投料试车</w:t>
      </w:r>
    </w:p>
    <w:p w14:paraId="37937566">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关于投料试车相关事项的约定：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F6B9092">
      <w:pPr>
        <w:pStyle w:val="504"/>
        <w:spacing w:line="380" w:lineRule="exact"/>
        <w:ind w:firstLine="422" w:firstLineChars="200"/>
        <w:rPr>
          <w:rFonts w:ascii="宋体" w:cs="宋体"/>
          <w:color w:val="auto"/>
          <w:highlight w:val="none"/>
        </w:rPr>
      </w:pPr>
      <w:bookmarkStart w:id="1488" w:name="_Toc418752300"/>
      <w:bookmarkStart w:id="1489" w:name="_Toc389065322"/>
      <w:bookmarkStart w:id="1490" w:name="_Toc418751854"/>
      <w:bookmarkStart w:id="1491" w:name="_Toc418518404"/>
      <w:bookmarkStart w:id="1492" w:name="_Toc256000235"/>
      <w:bookmarkStart w:id="1493" w:name="_Toc373227757"/>
      <w:bookmarkStart w:id="1494" w:name="_Toc497746839"/>
      <w:bookmarkStart w:id="1495" w:name="_Toc497747236"/>
      <w:bookmarkStart w:id="1496" w:name="_Toc373478404"/>
      <w:bookmarkStart w:id="1497" w:name="_Toc418061369"/>
      <w:bookmarkStart w:id="1498" w:name="_Toc403578992"/>
      <w:bookmarkStart w:id="1499" w:name="_Toc522201784"/>
      <w:bookmarkStart w:id="1500" w:name="_Toc418518168"/>
      <w:r>
        <w:rPr>
          <w:rFonts w:hint="eastAsia" w:ascii="宋体" w:cs="宋体"/>
          <w:color w:val="auto"/>
          <w:highlight w:val="none"/>
        </w:rPr>
        <w:t>13.6 竣工退场</w:t>
      </w:r>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14:paraId="128784F2">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13.6.1 竣工退场</w:t>
      </w:r>
    </w:p>
    <w:p w14:paraId="124CF67B">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承包人完成竣工退场的期限：</w:t>
      </w:r>
      <w:r>
        <w:rPr>
          <w:rFonts w:ascii="宋体" w:hAnsi="宋体" w:eastAsia="宋体" w:cs="宋体"/>
          <w:spacing w:val="-3"/>
          <w:sz w:val="21"/>
          <w:szCs w:val="21"/>
          <w:u w:val="single" w:color="auto"/>
        </w:rPr>
        <w:t xml:space="preserve">竣工验收合格后 15 日内 </w:t>
      </w:r>
      <w:r>
        <w:rPr>
          <w:rFonts w:hint="eastAsia" w:ascii="宋体" w:hAnsi="宋体" w:cs="宋体"/>
          <w:color w:val="auto"/>
          <w:szCs w:val="21"/>
          <w:highlight w:val="none"/>
          <w:u w:val="single"/>
        </w:rPr>
        <w:t>。</w:t>
      </w:r>
    </w:p>
    <w:p w14:paraId="1AE8A851">
      <w:pPr>
        <w:pStyle w:val="504"/>
        <w:spacing w:line="380" w:lineRule="exact"/>
        <w:rPr>
          <w:rFonts w:ascii="宋体" w:cs="宋体"/>
          <w:color w:val="auto"/>
          <w:highlight w:val="none"/>
        </w:rPr>
      </w:pPr>
      <w:bookmarkStart w:id="1501" w:name="_Toc256000236"/>
      <w:bookmarkStart w:id="1502" w:name="_Toc418518169"/>
      <w:bookmarkStart w:id="1503" w:name="_Toc403578993"/>
      <w:bookmarkStart w:id="1504" w:name="_Toc497746840"/>
      <w:bookmarkStart w:id="1505" w:name="_Toc373478405"/>
      <w:bookmarkStart w:id="1506" w:name="_Toc418061370"/>
      <w:bookmarkStart w:id="1507" w:name="_Toc522201785"/>
      <w:bookmarkStart w:id="1508" w:name="_Toc418752301"/>
      <w:bookmarkStart w:id="1509" w:name="_Toc418518405"/>
      <w:bookmarkStart w:id="1510" w:name="_Toc351203646"/>
      <w:bookmarkStart w:id="1511" w:name="_Toc418751855"/>
      <w:bookmarkStart w:id="1512" w:name="_Toc389065323"/>
      <w:bookmarkStart w:id="1513" w:name="_Toc497747237"/>
      <w:bookmarkStart w:id="1514" w:name="_Toc373227758"/>
      <w:r>
        <w:rPr>
          <w:rFonts w:hint="eastAsia" w:ascii="宋体" w:cs="宋体"/>
          <w:color w:val="auto"/>
          <w:highlight w:val="none"/>
        </w:rPr>
        <w:t>14. 竣工结算</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p>
    <w:p w14:paraId="16B34224">
      <w:pPr>
        <w:pStyle w:val="504"/>
        <w:spacing w:line="380" w:lineRule="exact"/>
        <w:ind w:firstLine="422" w:firstLineChars="200"/>
        <w:rPr>
          <w:rFonts w:ascii="宋体" w:cs="宋体"/>
          <w:color w:val="auto"/>
          <w:highlight w:val="none"/>
        </w:rPr>
      </w:pPr>
      <w:bookmarkStart w:id="1515" w:name="_Toc373478406"/>
      <w:bookmarkStart w:id="1516" w:name="_Toc373227759"/>
      <w:bookmarkStart w:id="1517" w:name="_Toc418518170"/>
      <w:bookmarkStart w:id="1518" w:name="_Toc418751856"/>
      <w:bookmarkStart w:id="1519" w:name="_Toc403578994"/>
      <w:bookmarkStart w:id="1520" w:name="_Toc418518406"/>
      <w:bookmarkStart w:id="1521" w:name="_Toc497746841"/>
      <w:bookmarkStart w:id="1522" w:name="_Toc418061371"/>
      <w:bookmarkStart w:id="1523" w:name="_Toc256000237"/>
      <w:bookmarkStart w:id="1524" w:name="_Toc497747238"/>
      <w:bookmarkStart w:id="1525" w:name="_Toc522201786"/>
      <w:bookmarkStart w:id="1526" w:name="_Toc418752302"/>
      <w:bookmarkStart w:id="1527" w:name="_Toc389065324"/>
      <w:r>
        <w:rPr>
          <w:rFonts w:hint="eastAsia" w:ascii="宋体" w:cs="宋体"/>
          <w:color w:val="auto"/>
          <w:highlight w:val="none"/>
        </w:rPr>
        <w:t>14.1 竣工结算申请</w:t>
      </w:r>
      <w:bookmarkEnd w:id="1515"/>
      <w:bookmarkEnd w:id="1516"/>
      <w:bookmarkEnd w:id="1517"/>
      <w:bookmarkEnd w:id="1518"/>
      <w:bookmarkEnd w:id="1519"/>
      <w:bookmarkEnd w:id="1520"/>
      <w:bookmarkEnd w:id="1521"/>
      <w:bookmarkEnd w:id="1522"/>
      <w:bookmarkEnd w:id="1523"/>
      <w:bookmarkEnd w:id="1524"/>
      <w:bookmarkEnd w:id="1525"/>
      <w:bookmarkEnd w:id="1526"/>
      <w:bookmarkEnd w:id="1527"/>
    </w:p>
    <w:p w14:paraId="571B355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承包人提交竣工结算申请单的期限：</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具备竣工收条件后28天内</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80947C7">
      <w:pPr>
        <w:spacing w:before="159" w:line="359" w:lineRule="auto"/>
        <w:ind w:left="19" w:firstLine="421"/>
        <w:rPr>
          <w:rFonts w:ascii="宋体" w:hAnsi="宋体" w:cs="宋体"/>
          <w:color w:val="auto"/>
          <w:szCs w:val="21"/>
          <w:highlight w:val="none"/>
          <w:u w:val="single"/>
        </w:rPr>
      </w:pPr>
      <w:r>
        <w:rPr>
          <w:rFonts w:hint="eastAsia" w:ascii="宋体" w:hAnsi="宋体" w:cs="宋体"/>
          <w:color w:val="auto"/>
          <w:szCs w:val="21"/>
          <w:highlight w:val="none"/>
        </w:rPr>
        <w:t>竣工结算申请单应包括的内容：</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竣工结算由承包人提交相关结算资料（主要包括合同、工程量计算书、结算书、变更设计通知单、签证单、竣工图）</w:t>
      </w:r>
      <w:r>
        <w:rPr>
          <w:rFonts w:ascii="宋体" w:hAnsi="宋体" w:eastAsia="宋体" w:cs="宋体"/>
          <w:spacing w:val="-2"/>
          <w:sz w:val="21"/>
          <w:szCs w:val="21"/>
          <w:u w:val="single" w:color="auto"/>
        </w:rPr>
        <w:t>齐全后经监理初审、发包人审核后，</w:t>
      </w:r>
      <w:r>
        <w:rPr>
          <w:rFonts w:ascii="宋体" w:hAnsi="宋体" w:eastAsia="宋体" w:cs="宋体"/>
          <w:spacing w:val="-1"/>
          <w:sz w:val="21"/>
          <w:szCs w:val="21"/>
          <w:u w:val="single" w:color="auto"/>
        </w:rPr>
        <w:t>必须</w:t>
      </w:r>
      <w:r>
        <w:rPr>
          <w:rFonts w:ascii="宋体" w:hAnsi="宋体" w:eastAsia="宋体" w:cs="宋体"/>
          <w:sz w:val="21"/>
          <w:szCs w:val="21"/>
          <w:u w:val="single" w:color="auto"/>
        </w:rPr>
        <w:t>经发包人审定后方可办理工程结算或竣工决算</w:t>
      </w:r>
      <w:r>
        <w:rPr>
          <w:rFonts w:ascii="宋体" w:hAnsi="宋体" w:eastAsia="宋体" w:cs="宋体"/>
          <w:sz w:val="21"/>
          <w:szCs w:val="21"/>
        </w:rPr>
        <w:t>。</w:t>
      </w:r>
    </w:p>
    <w:p w14:paraId="470E2E1D">
      <w:pPr>
        <w:pStyle w:val="504"/>
        <w:spacing w:line="380" w:lineRule="exact"/>
        <w:ind w:firstLine="422" w:firstLineChars="200"/>
        <w:rPr>
          <w:rFonts w:ascii="宋体" w:cs="宋体"/>
          <w:color w:val="auto"/>
          <w:highlight w:val="none"/>
        </w:rPr>
      </w:pPr>
      <w:bookmarkStart w:id="1528" w:name="_Toc418751857"/>
      <w:bookmarkStart w:id="1529" w:name="_Toc256000238"/>
      <w:bookmarkStart w:id="1530" w:name="_Toc418061372"/>
      <w:bookmarkStart w:id="1531" w:name="_Toc418518171"/>
      <w:bookmarkStart w:id="1532" w:name="_Toc373478407"/>
      <w:bookmarkStart w:id="1533" w:name="_Toc373227760"/>
      <w:bookmarkStart w:id="1534" w:name="_Toc418518407"/>
      <w:bookmarkStart w:id="1535" w:name="_Toc522201787"/>
      <w:bookmarkStart w:id="1536" w:name="_Toc497747239"/>
      <w:bookmarkStart w:id="1537" w:name="_Toc389065325"/>
      <w:bookmarkStart w:id="1538" w:name="_Toc403578995"/>
      <w:bookmarkStart w:id="1539" w:name="_Toc418752303"/>
      <w:bookmarkStart w:id="1540" w:name="_Toc497746842"/>
      <w:r>
        <w:rPr>
          <w:rFonts w:hint="eastAsia" w:ascii="宋体" w:cs="宋体"/>
          <w:color w:val="auto"/>
          <w:highlight w:val="none"/>
        </w:rPr>
        <w:t>14.2 竣工结算审核</w:t>
      </w:r>
      <w:bookmarkEnd w:id="1528"/>
      <w:bookmarkEnd w:id="1529"/>
      <w:bookmarkEnd w:id="1530"/>
      <w:bookmarkEnd w:id="1531"/>
      <w:bookmarkEnd w:id="1532"/>
      <w:bookmarkEnd w:id="1533"/>
      <w:bookmarkEnd w:id="1534"/>
      <w:bookmarkEnd w:id="1535"/>
      <w:bookmarkEnd w:id="1536"/>
      <w:bookmarkEnd w:id="1537"/>
      <w:bookmarkEnd w:id="1538"/>
      <w:bookmarkEnd w:id="1539"/>
      <w:bookmarkEnd w:id="1540"/>
    </w:p>
    <w:p w14:paraId="4C432636">
      <w:pPr>
        <w:spacing w:before="276" w:line="360" w:lineRule="auto"/>
        <w:ind w:left="24" w:right="60" w:firstLine="419"/>
        <w:rPr>
          <w:rFonts w:ascii="宋体" w:hAnsi="宋体" w:eastAsia="宋体" w:cs="宋体"/>
          <w:sz w:val="21"/>
          <w:szCs w:val="21"/>
        </w:rPr>
      </w:pPr>
      <w:bookmarkStart w:id="1541" w:name="_Toc389065326"/>
      <w:bookmarkStart w:id="1542" w:name="_Toc403578996"/>
      <w:bookmarkStart w:id="1543" w:name="_Toc373478408"/>
      <w:bookmarkStart w:id="1544" w:name="_Toc256000239"/>
      <w:bookmarkStart w:id="1545" w:name="_Toc418751858"/>
      <w:bookmarkStart w:id="1546" w:name="_Toc418752304"/>
      <w:bookmarkStart w:id="1547" w:name="_Toc373227761"/>
      <w:bookmarkStart w:id="1548" w:name="_Toc497747240"/>
      <w:bookmarkStart w:id="1549" w:name="_Toc418518408"/>
      <w:bookmarkStart w:id="1550" w:name="_Toc418518172"/>
      <w:bookmarkStart w:id="1551" w:name="_Toc497746843"/>
      <w:bookmarkStart w:id="1552" w:name="_Toc418061373"/>
      <w:bookmarkStart w:id="1553" w:name="_Toc522201788"/>
      <w:r>
        <w:rPr>
          <w:rFonts w:ascii="宋体" w:hAnsi="宋体" w:eastAsia="宋体" w:cs="宋体"/>
          <w:spacing w:val="-12"/>
          <w:sz w:val="21"/>
          <w:szCs w:val="21"/>
        </w:rPr>
        <w:t>发</w:t>
      </w:r>
      <w:r>
        <w:rPr>
          <w:rFonts w:ascii="宋体" w:hAnsi="宋体" w:eastAsia="宋体" w:cs="宋体"/>
          <w:spacing w:val="-4"/>
          <w:sz w:val="21"/>
          <w:szCs w:val="21"/>
        </w:rPr>
        <w:t>包人审批竣工付款申请单的期限：</w:t>
      </w:r>
      <w:r>
        <w:rPr>
          <w:rFonts w:ascii="宋体" w:hAnsi="宋体" w:eastAsia="宋体" w:cs="宋体"/>
          <w:spacing w:val="-4"/>
          <w:sz w:val="21"/>
          <w:szCs w:val="21"/>
          <w:u w:val="single" w:color="auto"/>
        </w:rPr>
        <w:t xml:space="preserve">从接到竣工结算报告和完整的竣工结算资料之日起 </w:t>
      </w:r>
      <w:r>
        <w:rPr>
          <w:rFonts w:ascii="宋体" w:hAnsi="宋体" w:eastAsia="宋体" w:cs="宋体"/>
          <w:spacing w:val="-2"/>
          <w:sz w:val="21"/>
          <w:szCs w:val="21"/>
          <w:u w:val="single" w:color="auto"/>
        </w:rPr>
        <w:t>4</w:t>
      </w:r>
      <w:r>
        <w:rPr>
          <w:rFonts w:ascii="宋体" w:hAnsi="宋体" w:eastAsia="宋体" w:cs="宋体"/>
          <w:sz w:val="21"/>
          <w:szCs w:val="21"/>
          <w:u w:val="single" w:color="auto"/>
        </w:rPr>
        <w:t>5</w:t>
      </w:r>
      <w:r>
        <w:rPr>
          <w:rFonts w:ascii="宋体" w:hAnsi="宋体" w:eastAsia="宋体" w:cs="宋体"/>
          <w:spacing w:val="-7"/>
          <w:sz w:val="21"/>
          <w:szCs w:val="21"/>
          <w:u w:val="single" w:color="auto"/>
        </w:rPr>
        <w:t>天</w:t>
      </w:r>
      <w:r>
        <w:rPr>
          <w:rFonts w:ascii="宋体" w:hAnsi="宋体" w:eastAsia="宋体" w:cs="宋体"/>
          <w:spacing w:val="-5"/>
          <w:sz w:val="21"/>
          <w:szCs w:val="21"/>
        </w:rPr>
        <w:t>。</w:t>
      </w:r>
    </w:p>
    <w:p w14:paraId="0DF060CF">
      <w:pPr>
        <w:spacing w:before="1" w:line="219" w:lineRule="auto"/>
        <w:ind w:left="443"/>
        <w:rPr>
          <w:rFonts w:ascii="宋体" w:hAnsi="宋体" w:eastAsia="宋体" w:cs="宋体"/>
          <w:sz w:val="21"/>
          <w:szCs w:val="21"/>
        </w:rPr>
      </w:pPr>
      <w:r>
        <w:rPr>
          <w:rFonts w:ascii="宋体" w:hAnsi="宋体" w:eastAsia="宋体" w:cs="宋体"/>
          <w:spacing w:val="-12"/>
          <w:sz w:val="21"/>
          <w:szCs w:val="21"/>
        </w:rPr>
        <w:t>发包人完</w:t>
      </w:r>
      <w:r>
        <w:rPr>
          <w:rFonts w:ascii="宋体" w:hAnsi="宋体" w:eastAsia="宋体" w:cs="宋体"/>
          <w:spacing w:val="-7"/>
          <w:sz w:val="21"/>
          <w:szCs w:val="21"/>
        </w:rPr>
        <w:t>成</w:t>
      </w:r>
      <w:r>
        <w:rPr>
          <w:rFonts w:ascii="宋体" w:hAnsi="宋体" w:eastAsia="宋体" w:cs="宋体"/>
          <w:spacing w:val="-6"/>
          <w:sz w:val="21"/>
          <w:szCs w:val="21"/>
        </w:rPr>
        <w:t>竣工付款的期限：</w:t>
      </w:r>
      <w:r>
        <w:rPr>
          <w:rFonts w:ascii="宋体" w:hAnsi="宋体" w:eastAsia="宋体" w:cs="宋体"/>
          <w:spacing w:val="-6"/>
          <w:sz w:val="21"/>
          <w:szCs w:val="21"/>
          <w:u w:val="single" w:color="auto"/>
        </w:rPr>
        <w:t>在签发竣工付款证书后的 30 天内</w:t>
      </w:r>
      <w:r>
        <w:rPr>
          <w:rFonts w:ascii="宋体" w:hAnsi="宋体" w:eastAsia="宋体" w:cs="宋体"/>
          <w:spacing w:val="-6"/>
          <w:sz w:val="21"/>
          <w:szCs w:val="21"/>
        </w:rPr>
        <w:t>。</w:t>
      </w:r>
    </w:p>
    <w:p w14:paraId="16CD0631">
      <w:pPr>
        <w:spacing w:before="159" w:line="359" w:lineRule="auto"/>
        <w:ind w:left="18" w:right="60" w:firstLine="424"/>
        <w:rPr>
          <w:rFonts w:ascii="宋体" w:hAnsi="宋体" w:eastAsia="宋体" w:cs="宋体"/>
          <w:sz w:val="21"/>
          <w:szCs w:val="21"/>
        </w:rPr>
      </w:pPr>
      <w:r>
        <w:rPr>
          <w:rFonts w:ascii="宋体" w:hAnsi="宋体" w:eastAsia="宋体" w:cs="宋体"/>
          <w:spacing w:val="-1"/>
          <w:sz w:val="21"/>
          <w:szCs w:val="21"/>
        </w:rPr>
        <w:t>关于竣工付</w:t>
      </w:r>
      <w:r>
        <w:rPr>
          <w:rFonts w:ascii="宋体" w:hAnsi="宋体" w:eastAsia="宋体" w:cs="宋体"/>
          <w:sz w:val="21"/>
          <w:szCs w:val="21"/>
        </w:rPr>
        <w:t>款证书异议部分复核的方式和程序：</w:t>
      </w:r>
      <w:r>
        <w:rPr>
          <w:rFonts w:ascii="宋体" w:hAnsi="宋体" w:eastAsia="宋体" w:cs="宋体"/>
          <w:sz w:val="21"/>
          <w:szCs w:val="21"/>
          <w:u w:val="single" w:color="auto"/>
        </w:rPr>
        <w:t>竣工结算时若双方在合同约定的时间内对</w:t>
      </w:r>
      <w:r>
        <w:rPr>
          <w:rFonts w:ascii="宋体" w:hAnsi="宋体" w:eastAsia="宋体" w:cs="宋体"/>
          <w:spacing w:val="-2"/>
          <w:sz w:val="21"/>
          <w:szCs w:val="21"/>
          <w:u w:val="single" w:color="auto"/>
        </w:rPr>
        <w:t>结算报告及结算资</w:t>
      </w:r>
      <w:r>
        <w:rPr>
          <w:rFonts w:ascii="宋体" w:hAnsi="宋体" w:eastAsia="宋体" w:cs="宋体"/>
          <w:spacing w:val="-1"/>
          <w:sz w:val="21"/>
          <w:szCs w:val="21"/>
          <w:u w:val="single" w:color="auto"/>
        </w:rPr>
        <w:t>料不能完全达成意见一致，则对无异议的部分先行结算(暂留 3%的作为保修</w:t>
      </w:r>
      <w:r>
        <w:rPr>
          <w:rFonts w:ascii="宋体" w:hAnsi="宋体" w:eastAsia="宋体" w:cs="宋体"/>
          <w:spacing w:val="2"/>
          <w:sz w:val="21"/>
          <w:szCs w:val="21"/>
          <w:u w:val="single" w:color="auto"/>
        </w:rPr>
        <w:t>金等费用)，或</w:t>
      </w:r>
      <w:r>
        <w:rPr>
          <w:rFonts w:ascii="宋体" w:hAnsi="宋体" w:eastAsia="宋体" w:cs="宋体"/>
          <w:spacing w:val="1"/>
          <w:sz w:val="21"/>
          <w:szCs w:val="21"/>
          <w:u w:val="single" w:color="auto"/>
        </w:rPr>
        <w:t>暂按发包人审定的结果先行结算(暂留 3%的做为保修金费用)，同时双方就结算</w:t>
      </w:r>
      <w:r>
        <w:rPr>
          <w:rFonts w:ascii="宋体" w:hAnsi="宋体" w:eastAsia="宋体" w:cs="宋体"/>
          <w:spacing w:val="-5"/>
          <w:sz w:val="21"/>
          <w:szCs w:val="21"/>
          <w:u w:val="single" w:color="auto"/>
        </w:rPr>
        <w:t>报告及结算资料持不同意见的部分继续进行审定，直至双方取得一致意见；最终审定后的结</w:t>
      </w:r>
      <w:r>
        <w:rPr>
          <w:rFonts w:ascii="宋体" w:hAnsi="宋体" w:eastAsia="宋体" w:cs="宋体"/>
          <w:sz w:val="21"/>
          <w:szCs w:val="21"/>
          <w:u w:val="single" w:color="auto"/>
        </w:rPr>
        <w:t>算价若与已支付的价款有出入，其差额按银行同类同期利率支付利息</w:t>
      </w:r>
      <w:r>
        <w:rPr>
          <w:rFonts w:ascii="宋体" w:hAnsi="宋体" w:eastAsia="宋体" w:cs="宋体"/>
          <w:sz w:val="21"/>
          <w:szCs w:val="21"/>
        </w:rPr>
        <w:t>。</w:t>
      </w:r>
    </w:p>
    <w:p w14:paraId="18287B78">
      <w:pPr>
        <w:pStyle w:val="504"/>
        <w:spacing w:line="380" w:lineRule="exact"/>
        <w:ind w:firstLine="422" w:firstLineChars="200"/>
        <w:rPr>
          <w:rFonts w:ascii="宋体" w:cs="宋体"/>
          <w:color w:val="auto"/>
          <w:highlight w:val="none"/>
        </w:rPr>
      </w:pPr>
      <w:r>
        <w:rPr>
          <w:rFonts w:hint="eastAsia" w:ascii="宋体" w:cs="宋体"/>
          <w:color w:val="auto"/>
          <w:highlight w:val="none"/>
        </w:rPr>
        <w:t>14.4 最终结清</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p>
    <w:p w14:paraId="4F68E688">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14.4.1 最终结清申请单</w:t>
      </w:r>
    </w:p>
    <w:p w14:paraId="25E6E9C2">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承包人提交最终结清申请单的份数：</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一式四份 </w:t>
      </w:r>
      <w:r>
        <w:rPr>
          <w:rFonts w:hint="eastAsia" w:ascii="宋体" w:hAnsi="宋体" w:cs="宋体"/>
          <w:color w:val="auto"/>
          <w:szCs w:val="21"/>
          <w:highlight w:val="none"/>
        </w:rPr>
        <w:t>。</w:t>
      </w:r>
    </w:p>
    <w:p w14:paraId="3349BB4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承包人提交最终结算申请单的期限：</w:t>
      </w:r>
      <w:r>
        <w:rPr>
          <w:rFonts w:hint="eastAsia" w:ascii="宋体" w:hAnsi="宋体" w:cs="宋体"/>
          <w:color w:val="auto"/>
          <w:kern w:val="0"/>
          <w:szCs w:val="21"/>
          <w:highlight w:val="none"/>
          <w:u w:val="single"/>
        </w:rPr>
        <w:t>缺陷责任期终止证书签发后14天内向监理人提交4份竣工付款申请单及相关证明材料</w:t>
      </w:r>
      <w:r>
        <w:rPr>
          <w:rFonts w:hint="eastAsia" w:ascii="宋体" w:hAnsi="宋体" w:cs="宋体"/>
          <w:color w:val="auto"/>
          <w:szCs w:val="21"/>
          <w:highlight w:val="none"/>
        </w:rPr>
        <w:t xml:space="preserve">。 </w:t>
      </w:r>
    </w:p>
    <w:p w14:paraId="6832EBA8">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14.4.2 最终结清证书和支付</w:t>
      </w:r>
    </w:p>
    <w:p w14:paraId="7CD75C78">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（1）发包人完成最终结清申请单的审批并颁发最终结清证书的期限：</w:t>
      </w:r>
      <w:r>
        <w:rPr>
          <w:rFonts w:hint="eastAsia" w:ascii="宋体" w:hAnsi="宋体" w:cs="宋体"/>
          <w:color w:val="auto"/>
          <w:kern w:val="0"/>
          <w:szCs w:val="21"/>
          <w:highlight w:val="none"/>
          <w:u w:val="single"/>
        </w:rPr>
        <w:t xml:space="preserve">按通用条款执行 </w:t>
      </w:r>
      <w:r>
        <w:rPr>
          <w:rFonts w:hint="eastAsia" w:ascii="宋体" w:hAnsi="宋体" w:cs="宋体"/>
          <w:color w:val="auto"/>
          <w:szCs w:val="21"/>
          <w:highlight w:val="none"/>
        </w:rPr>
        <w:t>。</w:t>
      </w:r>
    </w:p>
    <w:p w14:paraId="5C88F80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（2）发包人完成支付的期限：</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在颁发最终结清证书后的30天内 </w:t>
      </w:r>
      <w:r>
        <w:rPr>
          <w:rFonts w:hint="eastAsia" w:ascii="宋体" w:hAnsi="宋体" w:cs="宋体"/>
          <w:color w:val="auto"/>
          <w:szCs w:val="21"/>
          <w:highlight w:val="none"/>
        </w:rPr>
        <w:t>。</w:t>
      </w:r>
    </w:p>
    <w:bookmarkEnd w:id="1462"/>
    <w:bookmarkEnd w:id="1463"/>
    <w:bookmarkEnd w:id="1464"/>
    <w:bookmarkEnd w:id="1465"/>
    <w:bookmarkEnd w:id="1466"/>
    <w:bookmarkEnd w:id="1467"/>
    <w:bookmarkEnd w:id="1468"/>
    <w:bookmarkEnd w:id="1474"/>
    <w:p w14:paraId="79599EA2">
      <w:pPr>
        <w:pStyle w:val="504"/>
        <w:spacing w:line="380" w:lineRule="exact"/>
        <w:rPr>
          <w:rFonts w:ascii="宋体" w:cs="宋体"/>
          <w:color w:val="auto"/>
          <w:highlight w:val="none"/>
        </w:rPr>
      </w:pPr>
      <w:bookmarkStart w:id="1554" w:name="_Toc418061374"/>
      <w:bookmarkStart w:id="1555" w:name="_Toc497747241"/>
      <w:bookmarkStart w:id="1556" w:name="_Toc389065327"/>
      <w:bookmarkStart w:id="1557" w:name="_Toc256000240"/>
      <w:bookmarkStart w:id="1558" w:name="_Toc418518173"/>
      <w:bookmarkStart w:id="1559" w:name="_Toc522201789"/>
      <w:bookmarkStart w:id="1560" w:name="_Toc418751859"/>
      <w:bookmarkStart w:id="1561" w:name="_Toc403578997"/>
      <w:bookmarkStart w:id="1562" w:name="_Toc373478409"/>
      <w:bookmarkStart w:id="1563" w:name="_Toc418752305"/>
      <w:bookmarkStart w:id="1564" w:name="_Toc351203647"/>
      <w:bookmarkStart w:id="1565" w:name="_Toc497746844"/>
      <w:bookmarkStart w:id="1566" w:name="_Toc373227762"/>
      <w:bookmarkStart w:id="1567" w:name="_Toc418518409"/>
      <w:bookmarkStart w:id="1568" w:name="_Toc267251483"/>
      <w:bookmarkStart w:id="1569" w:name="_Toc267251484"/>
      <w:bookmarkStart w:id="1570" w:name="_Toc267251482"/>
      <w:bookmarkStart w:id="1571" w:name="_Toc267251485"/>
      <w:bookmarkStart w:id="1572" w:name="_Toc267251486"/>
      <w:bookmarkStart w:id="1573" w:name="_Toc267251489"/>
      <w:bookmarkStart w:id="1574" w:name="_Toc267251490"/>
      <w:bookmarkStart w:id="1575" w:name="_Toc267251488"/>
      <w:bookmarkStart w:id="1576" w:name="_Toc267251492"/>
      <w:bookmarkStart w:id="1577" w:name="_Toc267251501"/>
      <w:bookmarkStart w:id="1578" w:name="_Toc267251497"/>
      <w:bookmarkStart w:id="1579" w:name="_Toc267251502"/>
      <w:bookmarkStart w:id="1580" w:name="_Toc267251495"/>
      <w:bookmarkStart w:id="1581" w:name="_Toc267251498"/>
      <w:bookmarkStart w:id="1582" w:name="_Toc267251491"/>
      <w:bookmarkStart w:id="1583" w:name="_Toc267251503"/>
      <w:bookmarkStart w:id="1584" w:name="_Toc267251499"/>
      <w:bookmarkStart w:id="1585" w:name="_Toc267251494"/>
      <w:bookmarkStart w:id="1586" w:name="_Toc267251493"/>
      <w:bookmarkStart w:id="1587" w:name="_Toc267251496"/>
      <w:bookmarkStart w:id="1588" w:name="_Toc267251504"/>
      <w:bookmarkStart w:id="1589" w:name="_Toc267251506"/>
      <w:bookmarkStart w:id="1590" w:name="_Toc267251507"/>
      <w:bookmarkStart w:id="1591" w:name="_Toc267251508"/>
      <w:bookmarkStart w:id="1592" w:name="_Toc267251513"/>
      <w:bookmarkStart w:id="1593" w:name="_Toc267251509"/>
      <w:bookmarkStart w:id="1594" w:name="_Toc267251514"/>
      <w:bookmarkStart w:id="1595" w:name="_Toc267251511"/>
      <w:bookmarkStart w:id="1596" w:name="_Toc267251515"/>
      <w:bookmarkStart w:id="1597" w:name="_Toc267251510"/>
      <w:r>
        <w:rPr>
          <w:rFonts w:hint="eastAsia" w:ascii="宋体" w:cs="宋体"/>
          <w:color w:val="auto"/>
          <w:highlight w:val="none"/>
        </w:rPr>
        <w:t>15. 缺陷责任期与保修</w:t>
      </w:r>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p>
    <w:p w14:paraId="5DD3536E">
      <w:pPr>
        <w:pStyle w:val="504"/>
        <w:spacing w:line="380" w:lineRule="exact"/>
        <w:ind w:firstLine="422" w:firstLineChars="200"/>
        <w:rPr>
          <w:rFonts w:ascii="宋体" w:cs="宋体"/>
          <w:color w:val="auto"/>
          <w:highlight w:val="none"/>
        </w:rPr>
      </w:pPr>
      <w:bookmarkStart w:id="1598" w:name="_Toc497747242"/>
      <w:bookmarkStart w:id="1599" w:name="_Toc418061375"/>
      <w:bookmarkStart w:id="1600" w:name="_Toc418518174"/>
      <w:bookmarkStart w:id="1601" w:name="_Toc403578998"/>
      <w:bookmarkStart w:id="1602" w:name="_Toc418752306"/>
      <w:bookmarkStart w:id="1603" w:name="_Toc373478410"/>
      <w:bookmarkStart w:id="1604" w:name="_Toc389065328"/>
      <w:bookmarkStart w:id="1605" w:name="_Toc418751860"/>
      <w:bookmarkStart w:id="1606" w:name="_Toc418518410"/>
      <w:bookmarkStart w:id="1607" w:name="_Toc373227763"/>
      <w:bookmarkStart w:id="1608" w:name="_Toc256000241"/>
      <w:bookmarkStart w:id="1609" w:name="_Toc497746845"/>
      <w:bookmarkStart w:id="1610" w:name="_Toc522201790"/>
      <w:r>
        <w:rPr>
          <w:rFonts w:hint="eastAsia" w:ascii="宋体" w:cs="宋体"/>
          <w:color w:val="auto"/>
          <w:highlight w:val="none"/>
        </w:rPr>
        <w:t>15.2 缺陷责任期</w:t>
      </w:r>
      <w:bookmarkEnd w:id="1568"/>
      <w:bookmarkEnd w:id="1598"/>
      <w:bookmarkEnd w:id="1599"/>
      <w:bookmarkEnd w:id="1600"/>
      <w:bookmarkEnd w:id="1601"/>
      <w:bookmarkEnd w:id="1602"/>
      <w:bookmarkEnd w:id="1603"/>
      <w:bookmarkEnd w:id="1604"/>
      <w:bookmarkEnd w:id="1605"/>
      <w:bookmarkEnd w:id="1606"/>
      <w:bookmarkEnd w:id="1607"/>
      <w:bookmarkEnd w:id="1608"/>
      <w:bookmarkEnd w:id="1609"/>
      <w:bookmarkEnd w:id="1610"/>
    </w:p>
    <w:p w14:paraId="6A34502C">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缺陷责任期的具体期限：</w:t>
      </w:r>
      <w:r>
        <w:rPr>
          <w:rFonts w:hint="eastAsia" w:ascii="宋体" w:hAnsi="宋体" w:cs="宋体"/>
          <w:color w:val="auto"/>
          <w:szCs w:val="21"/>
          <w:highlight w:val="none"/>
          <w:u w:val="single"/>
          <w:lang w:val="en-US" w:eastAsia="zh-CN"/>
        </w:rPr>
        <w:t>24</w:t>
      </w:r>
      <w:r>
        <w:rPr>
          <w:rFonts w:hint="eastAsia" w:ascii="宋体" w:hAnsi="宋体" w:cs="宋体"/>
          <w:color w:val="auto"/>
          <w:szCs w:val="21"/>
          <w:highlight w:val="none"/>
          <w:u w:val="single"/>
        </w:rPr>
        <w:t>个月，</w:t>
      </w:r>
      <w:r>
        <w:rPr>
          <w:rFonts w:hint="eastAsia" w:ascii="宋体" w:hAnsi="宋体" w:cs="宋体"/>
          <w:color w:val="auto"/>
          <w:kern w:val="0"/>
          <w:szCs w:val="21"/>
          <w:highlight w:val="none"/>
          <w:u w:val="single"/>
        </w:rPr>
        <w:t>工程竣工验收合格，自交付使用之日起计算</w:t>
      </w:r>
      <w:r>
        <w:rPr>
          <w:rFonts w:hint="eastAsia" w:ascii="宋体" w:hAnsi="宋体" w:cs="宋体"/>
          <w:color w:val="auto"/>
          <w:szCs w:val="21"/>
          <w:highlight w:val="none"/>
          <w:u w:val="single"/>
        </w:rPr>
        <w:t xml:space="preserve"> ，按照《建设工程质量管理条例》执行，</w:t>
      </w:r>
      <w:r>
        <w:rPr>
          <w:rFonts w:hint="eastAsia" w:ascii="宋体" w:hAnsi="宋体" w:cs="宋体"/>
          <w:bCs/>
          <w:color w:val="auto"/>
          <w:szCs w:val="21"/>
          <w:highlight w:val="none"/>
          <w:u w:val="single"/>
        </w:rPr>
        <w:t xml:space="preserve">详见本合同附件3：《工程质量保修书》 </w:t>
      </w:r>
      <w:r>
        <w:rPr>
          <w:rFonts w:hint="eastAsia" w:ascii="宋体" w:hAnsi="宋体" w:cs="宋体"/>
          <w:color w:val="auto"/>
          <w:szCs w:val="21"/>
          <w:highlight w:val="none"/>
        </w:rPr>
        <w:t>。</w:t>
      </w:r>
    </w:p>
    <w:p w14:paraId="03EB2206">
      <w:pPr>
        <w:pStyle w:val="504"/>
        <w:spacing w:line="380" w:lineRule="exact"/>
        <w:ind w:firstLine="422" w:firstLineChars="200"/>
        <w:rPr>
          <w:rFonts w:ascii="宋体" w:cs="宋体"/>
          <w:color w:val="auto"/>
          <w:highlight w:val="none"/>
        </w:rPr>
      </w:pPr>
      <w:bookmarkStart w:id="1611" w:name="_Toc389065329"/>
      <w:bookmarkStart w:id="1612" w:name="_Toc418751861"/>
      <w:bookmarkStart w:id="1613" w:name="_Toc418518411"/>
      <w:bookmarkStart w:id="1614" w:name="_Toc418518175"/>
      <w:bookmarkStart w:id="1615" w:name="_Toc373478411"/>
      <w:bookmarkStart w:id="1616" w:name="_Toc403578999"/>
      <w:bookmarkStart w:id="1617" w:name="_Toc373227764"/>
      <w:bookmarkStart w:id="1618" w:name="_Toc522201791"/>
      <w:bookmarkStart w:id="1619" w:name="_Toc256000242"/>
      <w:bookmarkStart w:id="1620" w:name="_Toc497747243"/>
      <w:bookmarkStart w:id="1621" w:name="_Toc418061376"/>
      <w:bookmarkStart w:id="1622" w:name="_Toc418752307"/>
      <w:bookmarkStart w:id="1623" w:name="_Toc497746846"/>
      <w:r>
        <w:rPr>
          <w:rFonts w:hint="eastAsia" w:ascii="宋体" w:cs="宋体"/>
          <w:color w:val="auto"/>
          <w:highlight w:val="none"/>
        </w:rPr>
        <w:t>15.3 质量保证金</w:t>
      </w:r>
      <w:bookmarkEnd w:id="1611"/>
      <w:bookmarkEnd w:id="1612"/>
      <w:bookmarkEnd w:id="1613"/>
      <w:bookmarkEnd w:id="1614"/>
      <w:bookmarkEnd w:id="1615"/>
      <w:bookmarkEnd w:id="1616"/>
      <w:bookmarkEnd w:id="1617"/>
      <w:bookmarkEnd w:id="1618"/>
      <w:bookmarkEnd w:id="1619"/>
      <w:bookmarkEnd w:id="1620"/>
      <w:bookmarkEnd w:id="1621"/>
      <w:bookmarkEnd w:id="1622"/>
      <w:bookmarkEnd w:id="1623"/>
    </w:p>
    <w:p w14:paraId="6808FBB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关于是否扣留质量保证金的约定：</w:t>
      </w:r>
      <w:r>
        <w:rPr>
          <w:rFonts w:hint="eastAsia" w:ascii="宋体" w:hAnsi="宋体" w:cs="宋体"/>
          <w:color w:val="auto"/>
          <w:kern w:val="0"/>
          <w:szCs w:val="21"/>
          <w:highlight w:val="none"/>
          <w:u w:val="single"/>
        </w:rPr>
        <w:t>按工程价款结算总额的</w:t>
      </w:r>
      <w:r>
        <w:rPr>
          <w:rFonts w:hint="eastAsia" w:ascii="宋体" w:hAnsi="宋体" w:cs="宋体"/>
          <w:color w:val="auto"/>
          <w:kern w:val="0"/>
          <w:szCs w:val="21"/>
          <w:highlight w:val="none"/>
          <w:u w:val="single"/>
          <w:lang w:val="en-US" w:eastAsia="zh-CN"/>
        </w:rPr>
        <w:t>3</w:t>
      </w:r>
      <w:r>
        <w:rPr>
          <w:rFonts w:hint="eastAsia" w:ascii="宋体" w:hAnsi="宋体" w:cs="宋体"/>
          <w:color w:val="auto"/>
          <w:kern w:val="0"/>
          <w:szCs w:val="21"/>
          <w:highlight w:val="none"/>
          <w:u w:val="single"/>
        </w:rPr>
        <w:t>%作为</w:t>
      </w:r>
      <w:r>
        <w:rPr>
          <w:rFonts w:hint="eastAsia" w:ascii="宋体" w:hAnsi="宋体" w:cs="宋体"/>
          <w:color w:val="auto"/>
          <w:szCs w:val="21"/>
          <w:highlight w:val="none"/>
          <w:u w:val="single"/>
        </w:rPr>
        <w:t>质量保证金</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rPr>
        <w:t>。</w:t>
      </w:r>
    </w:p>
    <w:p w14:paraId="250EE918">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15.3.1 承包人提供质量保证金的方式</w:t>
      </w:r>
    </w:p>
    <w:p w14:paraId="232CC70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质量保证金采用以下第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w:t>
      </w:r>
    </w:p>
    <w:p w14:paraId="7DEF2FAD">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（1）质量保证金保函，保证金额为：</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2F17C195">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bCs/>
          <w:color w:val="auto"/>
          <w:szCs w:val="21"/>
          <w:highlight w:val="none"/>
        </w:rPr>
        <w:t>发包人按工程价款结算总额的</w:t>
      </w:r>
      <w:r>
        <w:rPr>
          <w:rFonts w:hint="eastAsia" w:ascii="宋体" w:hAnsi="宋体" w:cs="宋体"/>
          <w:bCs/>
          <w:color w:val="auto"/>
          <w:szCs w:val="21"/>
          <w:highlight w:val="none"/>
          <w:u w:val="single"/>
        </w:rPr>
        <w:t xml:space="preserve"> 3 </w:t>
      </w:r>
      <w:r>
        <w:rPr>
          <w:rFonts w:hint="eastAsia" w:ascii="宋体" w:hAnsi="宋体" w:cs="宋体"/>
          <w:bCs/>
          <w:color w:val="auto"/>
          <w:szCs w:val="21"/>
          <w:highlight w:val="none"/>
        </w:rPr>
        <w:t>%预留工程</w:t>
      </w:r>
      <w:r>
        <w:rPr>
          <w:rFonts w:hint="eastAsia" w:ascii="宋体" w:hAnsi="宋体" w:cs="宋体"/>
          <w:bCs/>
          <w:color w:val="auto"/>
          <w:szCs w:val="21"/>
          <w:highlight w:val="none"/>
          <w:lang w:eastAsia="zh-CN"/>
        </w:rPr>
        <w:t>质量保证金</w:t>
      </w:r>
      <w:r>
        <w:rPr>
          <w:rFonts w:hint="eastAsia" w:ascii="宋体" w:hAnsi="宋体" w:cs="宋体"/>
          <w:bCs/>
          <w:color w:val="auto"/>
          <w:szCs w:val="21"/>
          <w:highlight w:val="none"/>
        </w:rPr>
        <w:t>，待缺陷责任期届满最终验收</w:t>
      </w:r>
      <w:r>
        <w:rPr>
          <w:rFonts w:hint="eastAsia" w:ascii="宋体" w:hAnsi="宋体" w:cs="宋体"/>
          <w:bCs/>
          <w:color w:val="auto"/>
          <w:szCs w:val="21"/>
          <w:highlight w:val="none"/>
          <w:lang w:val="en-US" w:eastAsia="zh-CN"/>
        </w:rPr>
        <w:t>合格</w:t>
      </w:r>
      <w:r>
        <w:rPr>
          <w:rFonts w:hint="eastAsia" w:ascii="宋体" w:hAnsi="宋体" w:cs="宋体"/>
          <w:bCs/>
          <w:color w:val="auto"/>
          <w:szCs w:val="21"/>
          <w:highlight w:val="none"/>
        </w:rPr>
        <w:t>后返还</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详见</w:t>
      </w:r>
      <w:r>
        <w:rPr>
          <w:rFonts w:hint="eastAsia" w:ascii="宋体" w:hAnsi="宋体" w:cs="宋体"/>
          <w:color w:val="auto"/>
          <w:szCs w:val="21"/>
          <w:highlight w:val="none"/>
          <w:u w:val="none"/>
        </w:rPr>
        <w:t>《工程质量保修书》</w:t>
      </w:r>
      <w:r>
        <w:rPr>
          <w:rFonts w:hint="eastAsia" w:ascii="宋体" w:hAnsi="宋体" w:cs="宋体"/>
          <w:color w:val="auto"/>
          <w:kern w:val="0"/>
          <w:szCs w:val="21"/>
          <w:highlight w:val="none"/>
        </w:rPr>
        <w:t>；</w:t>
      </w:r>
    </w:p>
    <w:p w14:paraId="49D277CD">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（3）其他方式：</w:t>
      </w:r>
      <w:r>
        <w:rPr>
          <w:rFonts w:hint="eastAsia" w:ascii="宋体" w:hAnsi="宋体" w:cs="宋体"/>
          <w:bCs/>
          <w:color w:val="auto"/>
          <w:szCs w:val="21"/>
          <w:highlight w:val="none"/>
          <w:u w:val="single"/>
        </w:rPr>
        <w:t xml:space="preserve">   /        </w:t>
      </w:r>
      <w:r>
        <w:rPr>
          <w:rFonts w:hint="eastAsia" w:ascii="宋体" w:hAnsi="宋体" w:cs="宋体"/>
          <w:bCs/>
          <w:color w:val="auto"/>
          <w:szCs w:val="21"/>
          <w:highlight w:val="none"/>
        </w:rPr>
        <w:t>。</w:t>
      </w:r>
    </w:p>
    <w:p w14:paraId="5A13BDC2">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15.3.2 质量保证金的扣留</w:t>
      </w:r>
    </w:p>
    <w:p w14:paraId="7A316604">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质量保证金的扣留采取以下第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w:t>
      </w:r>
    </w:p>
    <w:p w14:paraId="7D844037">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（1）在支付工程进度款时逐次扣留，在此情形下，质量保证金的计算基数不包括预付款的支付、扣回以及价格调整的金额；</w:t>
      </w:r>
    </w:p>
    <w:p w14:paraId="0822C59A">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（2）工程竣工结算时一次性扣留质量保证金；</w:t>
      </w:r>
    </w:p>
    <w:p w14:paraId="1386FD7C">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（3）其他扣留方式:</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5BC92C48">
      <w:pPr>
        <w:pStyle w:val="396"/>
        <w:spacing w:line="380" w:lineRule="exact"/>
        <w:ind w:firstLine="420" w:firstLineChars="200"/>
        <w:jc w:val="both"/>
        <w:rPr>
          <w:rFonts w:ascii="宋体" w:hAnsi="宋体" w:cs="宋体"/>
          <w:color w:val="auto"/>
          <w:kern w:val="0"/>
          <w:szCs w:val="21"/>
          <w:highlight w:val="none"/>
          <w:u w:val="single"/>
        </w:rPr>
      </w:pPr>
      <w:r>
        <w:rPr>
          <w:rFonts w:hint="eastAsia" w:ascii="宋体" w:hAnsi="宋体" w:cs="宋体"/>
          <w:color w:val="auto"/>
          <w:szCs w:val="21"/>
          <w:highlight w:val="none"/>
        </w:rPr>
        <w:t>关于质量保证金的补充约定：</w:t>
      </w:r>
      <w:r>
        <w:rPr>
          <w:rFonts w:ascii="宋体" w:hAnsi="宋体" w:eastAsia="宋体" w:cs="宋体"/>
          <w:spacing w:val="-5"/>
          <w:sz w:val="21"/>
          <w:szCs w:val="21"/>
          <w:u w:val="single" w:color="auto"/>
        </w:rPr>
        <w:t>承包人认真履行合同约定的责任，</w:t>
      </w:r>
      <w:r>
        <w:rPr>
          <w:rFonts w:ascii="宋体" w:hAnsi="宋体" w:eastAsia="宋体" w:cs="宋体"/>
          <w:spacing w:val="-5"/>
          <w:sz w:val="21"/>
          <w:szCs w:val="21"/>
        </w:rPr>
        <w:t>缺陷责任期满</w:t>
      </w:r>
      <w:r>
        <w:rPr>
          <w:rFonts w:ascii="宋体" w:hAnsi="宋体" w:eastAsia="宋体" w:cs="宋体"/>
          <w:spacing w:val="-5"/>
          <w:sz w:val="21"/>
          <w:szCs w:val="21"/>
          <w:u w:val="single" w:color="auto"/>
        </w:rPr>
        <w:t>后，承包人</w:t>
      </w:r>
      <w:r>
        <w:rPr>
          <w:rFonts w:ascii="宋体" w:hAnsi="宋体" w:eastAsia="宋体" w:cs="宋体"/>
          <w:spacing w:val="-6"/>
          <w:sz w:val="21"/>
          <w:szCs w:val="21"/>
          <w:u w:val="single" w:color="auto"/>
        </w:rPr>
        <w:t>可向发包人申请</w:t>
      </w:r>
      <w:r>
        <w:rPr>
          <w:rFonts w:ascii="宋体" w:hAnsi="宋体" w:eastAsia="宋体" w:cs="宋体"/>
          <w:spacing w:val="-5"/>
          <w:sz w:val="21"/>
          <w:szCs w:val="21"/>
          <w:u w:val="single" w:color="auto"/>
        </w:rPr>
        <w:t>返</w:t>
      </w:r>
      <w:r>
        <w:rPr>
          <w:rFonts w:ascii="宋体" w:hAnsi="宋体" w:eastAsia="宋体" w:cs="宋体"/>
          <w:spacing w:val="-3"/>
          <w:sz w:val="21"/>
          <w:szCs w:val="21"/>
          <w:u w:val="single" w:color="auto"/>
        </w:rPr>
        <w:t>还保证金。发包人在接到承包人返还保证金申请后，于 14 天内会同承包人按</w:t>
      </w:r>
      <w:r>
        <w:rPr>
          <w:rFonts w:ascii="宋体" w:hAnsi="宋体" w:eastAsia="宋体" w:cs="宋体"/>
          <w:spacing w:val="4"/>
          <w:sz w:val="21"/>
          <w:szCs w:val="21"/>
          <w:u w:val="single" w:color="auto"/>
        </w:rPr>
        <w:t>照合同约定的内容进</w:t>
      </w:r>
      <w:r>
        <w:rPr>
          <w:rFonts w:ascii="宋体" w:hAnsi="宋体" w:eastAsia="宋体" w:cs="宋体"/>
          <w:spacing w:val="2"/>
          <w:sz w:val="21"/>
          <w:szCs w:val="21"/>
          <w:u w:val="single" w:color="auto"/>
        </w:rPr>
        <w:t>行核实。如无异议，按照约定将保证金返还(无息)给承包人；质量保修</w:t>
      </w:r>
      <w:r>
        <w:rPr>
          <w:rFonts w:ascii="宋体" w:hAnsi="宋体" w:eastAsia="宋体" w:cs="宋体"/>
          <w:spacing w:val="-4"/>
          <w:sz w:val="21"/>
          <w:szCs w:val="21"/>
          <w:u w:val="single" w:color="auto"/>
        </w:rPr>
        <w:t>金的返还，并不能免除</w:t>
      </w:r>
      <w:r>
        <w:rPr>
          <w:rFonts w:ascii="宋体" w:hAnsi="宋体" w:eastAsia="宋体" w:cs="宋体"/>
          <w:spacing w:val="-3"/>
          <w:sz w:val="21"/>
          <w:szCs w:val="21"/>
          <w:u w:val="single" w:color="auto"/>
        </w:rPr>
        <w:t>承</w:t>
      </w:r>
      <w:r>
        <w:rPr>
          <w:rFonts w:ascii="宋体" w:hAnsi="宋体" w:eastAsia="宋体" w:cs="宋体"/>
          <w:spacing w:val="-2"/>
          <w:sz w:val="21"/>
          <w:szCs w:val="21"/>
          <w:u w:val="single" w:color="auto"/>
        </w:rPr>
        <w:t>包人按照合同约定应承担的质量保修责任和应履行的质量保修义务</w:t>
      </w:r>
      <w:r>
        <w:rPr>
          <w:rFonts w:ascii="宋体" w:hAnsi="宋体" w:eastAsia="宋体" w:cs="宋体"/>
          <w:spacing w:val="-2"/>
          <w:sz w:val="21"/>
          <w:szCs w:val="21"/>
        </w:rPr>
        <w:t>。</w:t>
      </w:r>
    </w:p>
    <w:bookmarkEnd w:id="1569"/>
    <w:bookmarkEnd w:id="1570"/>
    <w:p w14:paraId="3744BDB5">
      <w:pPr>
        <w:pStyle w:val="504"/>
        <w:spacing w:line="380" w:lineRule="exact"/>
        <w:ind w:firstLine="422" w:firstLineChars="200"/>
        <w:rPr>
          <w:rFonts w:ascii="宋体" w:cs="宋体"/>
          <w:color w:val="auto"/>
          <w:highlight w:val="none"/>
        </w:rPr>
      </w:pPr>
      <w:bookmarkStart w:id="1624" w:name="_Toc418518176"/>
      <w:bookmarkStart w:id="1625" w:name="_Toc403579000"/>
      <w:bookmarkStart w:id="1626" w:name="_Toc256000243"/>
      <w:bookmarkStart w:id="1627" w:name="_Toc418518412"/>
      <w:bookmarkStart w:id="1628" w:name="_Toc373227765"/>
      <w:bookmarkStart w:id="1629" w:name="_Toc497746847"/>
      <w:bookmarkStart w:id="1630" w:name="_Toc418061377"/>
      <w:bookmarkStart w:id="1631" w:name="_Toc497747244"/>
      <w:bookmarkStart w:id="1632" w:name="_Toc389065330"/>
      <w:bookmarkStart w:id="1633" w:name="_Toc418752308"/>
      <w:bookmarkStart w:id="1634" w:name="_Toc373478412"/>
      <w:bookmarkStart w:id="1635" w:name="_Toc522201792"/>
      <w:bookmarkStart w:id="1636" w:name="_Toc418751862"/>
      <w:r>
        <w:rPr>
          <w:rFonts w:hint="eastAsia" w:ascii="宋体" w:cs="宋体"/>
          <w:color w:val="auto"/>
          <w:highlight w:val="none"/>
        </w:rPr>
        <w:t>15.4 保修</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p>
    <w:bookmarkEnd w:id="1571"/>
    <w:p w14:paraId="3023F53D">
      <w:pPr>
        <w:pStyle w:val="396"/>
        <w:spacing w:line="380" w:lineRule="exact"/>
        <w:ind w:firstLine="409" w:firstLineChars="195"/>
        <w:jc w:val="left"/>
        <w:rPr>
          <w:rFonts w:ascii="宋体" w:hAnsi="宋体" w:cs="宋体"/>
          <w:color w:val="auto"/>
          <w:szCs w:val="21"/>
          <w:highlight w:val="none"/>
        </w:rPr>
      </w:pPr>
      <w:r>
        <w:rPr>
          <w:rFonts w:hint="eastAsia" w:ascii="宋体" w:hAnsi="宋体" w:cs="宋体"/>
          <w:color w:val="auto"/>
          <w:szCs w:val="21"/>
          <w:highlight w:val="none"/>
        </w:rPr>
        <w:t>15.4.1 保修责任</w:t>
      </w:r>
    </w:p>
    <w:p w14:paraId="4F32381B">
      <w:pPr>
        <w:pStyle w:val="396"/>
        <w:spacing w:line="380" w:lineRule="exact"/>
        <w:ind w:firstLine="409" w:firstLineChars="195"/>
        <w:jc w:val="left"/>
        <w:rPr>
          <w:rFonts w:ascii="宋体" w:hAnsi="宋体" w:cs="宋体"/>
          <w:color w:val="auto"/>
          <w:kern w:val="0"/>
          <w:szCs w:val="21"/>
          <w:highlight w:val="none"/>
        </w:rPr>
      </w:pPr>
      <w:r>
        <w:rPr>
          <w:rFonts w:hint="eastAsia" w:ascii="宋体" w:hAnsi="宋体" w:cs="宋体"/>
          <w:color w:val="auto"/>
          <w:szCs w:val="21"/>
          <w:highlight w:val="none"/>
        </w:rPr>
        <w:t>工程保修期为：</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根据《建设工程质量管理条例》及有关规定，约定本工程的保修期详见《工程质量保修书》。</w:t>
      </w:r>
    </w:p>
    <w:p w14:paraId="353E02A4">
      <w:pPr>
        <w:pStyle w:val="396"/>
        <w:spacing w:line="380" w:lineRule="exact"/>
        <w:ind w:firstLine="409" w:firstLineChars="195"/>
        <w:jc w:val="left"/>
        <w:rPr>
          <w:rFonts w:ascii="宋体" w:hAnsi="宋体" w:cs="宋体"/>
          <w:color w:val="auto"/>
          <w:kern w:val="0"/>
          <w:szCs w:val="21"/>
          <w:highlight w:val="none"/>
          <w:u w:val="single"/>
        </w:rPr>
      </w:pPr>
      <w:r>
        <w:rPr>
          <w:rFonts w:hint="eastAsia" w:ascii="宋体" w:hAnsi="宋体" w:cs="宋体"/>
          <w:color w:val="auto"/>
          <w:szCs w:val="21"/>
          <w:highlight w:val="none"/>
        </w:rPr>
        <w:t>工程保修书具体内容见合同附件3。</w:t>
      </w:r>
    </w:p>
    <w:p w14:paraId="4FDD1E18">
      <w:pPr>
        <w:pStyle w:val="396"/>
        <w:spacing w:line="380" w:lineRule="exact"/>
        <w:ind w:firstLine="409" w:firstLineChars="195"/>
        <w:jc w:val="left"/>
        <w:rPr>
          <w:rFonts w:ascii="宋体" w:hAnsi="宋体" w:cs="宋体"/>
          <w:color w:val="auto"/>
          <w:szCs w:val="21"/>
          <w:highlight w:val="none"/>
        </w:rPr>
      </w:pPr>
      <w:r>
        <w:rPr>
          <w:rFonts w:hint="eastAsia" w:ascii="宋体" w:hAnsi="宋体" w:cs="宋体"/>
          <w:color w:val="auto"/>
          <w:szCs w:val="21"/>
          <w:highlight w:val="none"/>
        </w:rPr>
        <w:t>15.4.3 修复通知</w:t>
      </w:r>
    </w:p>
    <w:p w14:paraId="4307B52A">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承包人收到保修通知并到达工程现场的合理时间：</w:t>
      </w:r>
      <w:r>
        <w:rPr>
          <w:rFonts w:hint="eastAsia" w:ascii="宋体" w:hAnsi="宋体" w:cs="宋体"/>
          <w:color w:val="auto"/>
          <w:kern w:val="0"/>
          <w:szCs w:val="21"/>
          <w:highlight w:val="none"/>
          <w:u w:val="single"/>
        </w:rPr>
        <w:t xml:space="preserve"> </w:t>
      </w:r>
      <w:r>
        <w:rPr>
          <w:rFonts w:ascii="宋体" w:hAnsi="宋体" w:eastAsia="宋体" w:cs="宋体"/>
          <w:spacing w:val="-4"/>
          <w:sz w:val="21"/>
          <w:szCs w:val="21"/>
        </w:rPr>
        <w:t>承包人收到保修通知并到达工</w:t>
      </w:r>
      <w:r>
        <w:rPr>
          <w:rFonts w:ascii="宋体" w:hAnsi="宋体" w:eastAsia="宋体" w:cs="宋体"/>
          <w:spacing w:val="-2"/>
          <w:sz w:val="21"/>
          <w:szCs w:val="21"/>
        </w:rPr>
        <w:t>程现场的合理时间：承包人收到保修通知并到达工程现场的</w:t>
      </w:r>
      <w:r>
        <w:rPr>
          <w:rFonts w:ascii="宋体" w:hAnsi="宋体" w:eastAsia="宋体" w:cs="宋体"/>
          <w:spacing w:val="-14"/>
          <w:sz w:val="21"/>
          <w:szCs w:val="21"/>
        </w:rPr>
        <w:t>合理时间</w:t>
      </w:r>
      <w:r>
        <w:rPr>
          <w:rFonts w:ascii="宋体" w:hAnsi="宋体" w:eastAsia="宋体" w:cs="宋体"/>
          <w:spacing w:val="-13"/>
          <w:sz w:val="21"/>
          <w:szCs w:val="21"/>
        </w:rPr>
        <w:t>：</w:t>
      </w:r>
      <w:r>
        <w:rPr>
          <w:rFonts w:ascii="宋体" w:hAnsi="宋体" w:eastAsia="宋体" w:cs="宋体"/>
          <w:spacing w:val="-7"/>
          <w:sz w:val="21"/>
          <w:szCs w:val="21"/>
        </w:rPr>
        <w:t xml:space="preserve"> 24 小时内。质量保修完成后，由发包人组织验收。如同一问题半年内反复修理 3 次</w:t>
      </w:r>
      <w:r>
        <w:rPr>
          <w:rFonts w:ascii="宋体" w:hAnsi="宋体" w:eastAsia="宋体" w:cs="宋体"/>
          <w:sz w:val="21"/>
          <w:szCs w:val="21"/>
        </w:rPr>
        <w:t xml:space="preserve"> </w:t>
      </w:r>
      <w:r>
        <w:rPr>
          <w:rFonts w:ascii="宋体" w:hAnsi="宋体" w:eastAsia="宋体" w:cs="宋体"/>
          <w:spacing w:val="-6"/>
          <w:sz w:val="21"/>
          <w:szCs w:val="21"/>
        </w:rPr>
        <w:t>及</w:t>
      </w:r>
      <w:r>
        <w:rPr>
          <w:rFonts w:ascii="宋体" w:hAnsi="宋体" w:eastAsia="宋体" w:cs="宋体"/>
          <w:spacing w:val="-5"/>
          <w:sz w:val="21"/>
          <w:szCs w:val="21"/>
        </w:rPr>
        <w:t>以上发包人有权另安排工人抢修，费用由承包人负责</w:t>
      </w:r>
      <w:r>
        <w:rPr>
          <w:rFonts w:hint="eastAsia" w:ascii="宋体" w:hAnsi="宋体" w:eastAsia="宋体" w:cs="宋体"/>
          <w:spacing w:val="-5"/>
          <w:sz w:val="21"/>
          <w:szCs w:val="21"/>
          <w:lang w:eastAsia="zh-CN"/>
        </w:rPr>
        <w:t>，</w:t>
      </w:r>
      <w:r>
        <w:rPr>
          <w:rFonts w:ascii="宋体" w:hAnsi="宋体" w:eastAsia="宋体" w:cs="宋体"/>
          <w:spacing w:val="-5"/>
          <w:sz w:val="21"/>
          <w:szCs w:val="21"/>
        </w:rPr>
        <w:t>发包人有权直接从质保金扣减。</w:t>
      </w:r>
    </w:p>
    <w:bookmarkEnd w:id="1572"/>
    <w:bookmarkEnd w:id="1573"/>
    <w:bookmarkEnd w:id="1574"/>
    <w:bookmarkEnd w:id="1575"/>
    <w:p w14:paraId="17F2639B">
      <w:pPr>
        <w:pStyle w:val="504"/>
        <w:spacing w:line="380" w:lineRule="exact"/>
        <w:rPr>
          <w:rFonts w:ascii="宋体" w:cs="宋体"/>
          <w:color w:val="auto"/>
          <w:highlight w:val="none"/>
        </w:rPr>
      </w:pPr>
      <w:bookmarkStart w:id="1637" w:name="_Toc497747245"/>
      <w:bookmarkStart w:id="1638" w:name="_Toc373478413"/>
      <w:bookmarkStart w:id="1639" w:name="_Toc418751863"/>
      <w:bookmarkStart w:id="1640" w:name="_Toc256000244"/>
      <w:bookmarkStart w:id="1641" w:name="_Toc373227766"/>
      <w:bookmarkStart w:id="1642" w:name="_Toc418518413"/>
      <w:bookmarkStart w:id="1643" w:name="_Toc418518177"/>
      <w:bookmarkStart w:id="1644" w:name="_Toc418061378"/>
      <w:bookmarkStart w:id="1645" w:name="_Toc389065331"/>
      <w:bookmarkStart w:id="1646" w:name="_Toc418752309"/>
      <w:bookmarkStart w:id="1647" w:name="_Toc351203648"/>
      <w:bookmarkStart w:id="1648" w:name="_Toc497746848"/>
      <w:bookmarkStart w:id="1649" w:name="_Toc403579001"/>
      <w:bookmarkStart w:id="1650" w:name="_Toc522201793"/>
      <w:bookmarkStart w:id="1651" w:name="_Toc280868717"/>
      <w:bookmarkStart w:id="1652" w:name="_Toc280868718"/>
      <w:r>
        <w:rPr>
          <w:rFonts w:hint="eastAsia" w:ascii="宋体" w:cs="宋体"/>
          <w:color w:val="auto"/>
          <w:highlight w:val="none"/>
        </w:rPr>
        <w:t>16. 违约</w:t>
      </w:r>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p>
    <w:p w14:paraId="2313229A">
      <w:pPr>
        <w:pStyle w:val="504"/>
        <w:spacing w:line="380" w:lineRule="exact"/>
        <w:ind w:firstLine="422" w:firstLineChars="200"/>
        <w:rPr>
          <w:rFonts w:ascii="宋体" w:cs="宋体"/>
          <w:color w:val="auto"/>
          <w:highlight w:val="none"/>
        </w:rPr>
      </w:pPr>
      <w:bookmarkStart w:id="1653" w:name="_Toc373227767"/>
      <w:bookmarkStart w:id="1654" w:name="_Toc418061379"/>
      <w:bookmarkStart w:id="1655" w:name="_Toc497746849"/>
      <w:bookmarkStart w:id="1656" w:name="_Toc373478414"/>
      <w:bookmarkStart w:id="1657" w:name="_Toc418518414"/>
      <w:bookmarkStart w:id="1658" w:name="_Toc256000245"/>
      <w:bookmarkStart w:id="1659" w:name="_Toc418518178"/>
      <w:bookmarkStart w:id="1660" w:name="_Toc522201794"/>
      <w:bookmarkStart w:id="1661" w:name="_Toc389065332"/>
      <w:bookmarkStart w:id="1662" w:name="_Toc497747246"/>
      <w:bookmarkStart w:id="1663" w:name="_Toc403579002"/>
      <w:bookmarkStart w:id="1664" w:name="_Toc418752310"/>
      <w:bookmarkStart w:id="1665" w:name="_Toc418751864"/>
      <w:r>
        <w:rPr>
          <w:rFonts w:hint="eastAsia" w:ascii="宋体" w:cs="宋体"/>
          <w:color w:val="auto"/>
          <w:highlight w:val="none"/>
        </w:rPr>
        <w:t>16.1 发包人违约</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p>
    <w:p w14:paraId="2FC953F2">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16.1.1发包人违约的情形</w:t>
      </w:r>
    </w:p>
    <w:p w14:paraId="15AFCFAB">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发包人违约的其他情形：</w:t>
      </w:r>
      <w:r>
        <w:rPr>
          <w:rFonts w:hint="eastAsia" w:ascii="宋体" w:hAnsi="宋体" w:cs="宋体"/>
          <w:color w:val="auto"/>
          <w:kern w:val="0"/>
          <w:szCs w:val="21"/>
          <w:highlight w:val="none"/>
          <w:u w:val="single"/>
        </w:rPr>
        <w:t xml:space="preserve">    </w:t>
      </w:r>
      <w:r>
        <w:rPr>
          <w:rFonts w:ascii="宋体" w:hAnsi="宋体" w:eastAsia="宋体" w:cs="宋体"/>
          <w:sz w:val="21"/>
          <w:szCs w:val="21"/>
          <w:u w:val="single" w:color="auto"/>
        </w:rPr>
        <w:t>按通用条款执行</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67236E90">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16.1.2 发包人违约的责任</w:t>
      </w:r>
    </w:p>
    <w:p w14:paraId="5632FA8D">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发包人违约责任的承担方式和计算方法：</w:t>
      </w:r>
    </w:p>
    <w:p w14:paraId="312D8F07">
      <w:pPr>
        <w:pStyle w:val="396"/>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（1）因发包人原因未能在计划开工日期前7天内下达开工通知的违约责任：</w:t>
      </w:r>
      <w:r>
        <w:rPr>
          <w:rFonts w:hint="eastAsia" w:ascii="宋体" w:hAnsi="宋体" w:cs="宋体"/>
          <w:color w:val="auto"/>
          <w:kern w:val="0"/>
          <w:szCs w:val="21"/>
          <w:highlight w:val="none"/>
          <w:u w:val="single"/>
        </w:rPr>
        <w:t>工期相应顺延</w:t>
      </w:r>
      <w:r>
        <w:rPr>
          <w:rFonts w:hint="eastAsia" w:ascii="宋体" w:hAnsi="宋体" w:cs="宋体"/>
          <w:color w:val="auto"/>
          <w:kern w:val="0"/>
          <w:szCs w:val="21"/>
          <w:highlight w:val="none"/>
        </w:rPr>
        <w:t>。</w:t>
      </w:r>
    </w:p>
    <w:p w14:paraId="613E0D7E">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（2）因发包人原因未能按合同约定支付合同价款的违约责任：</w:t>
      </w:r>
      <w:r>
        <w:rPr>
          <w:rFonts w:hint="eastAsia" w:ascii="宋体" w:hAnsi="宋体" w:cs="宋体"/>
          <w:color w:val="auto"/>
          <w:kern w:val="0"/>
          <w:szCs w:val="21"/>
          <w:highlight w:val="none"/>
          <w:u w:val="single"/>
        </w:rPr>
        <w:t xml:space="preserve"> 按照</w:t>
      </w:r>
      <w:r>
        <w:rPr>
          <w:rFonts w:hint="eastAsia" w:ascii="宋体" w:hAnsi="宋体" w:cs="宋体"/>
          <w:color w:val="auto"/>
          <w:kern w:val="0"/>
          <w:szCs w:val="21"/>
          <w:highlight w:val="none"/>
          <w:u w:val="single"/>
          <w:lang w:val="en-US" w:eastAsia="zh-CN"/>
        </w:rPr>
        <w:t>应付</w:t>
      </w:r>
      <w:r>
        <w:rPr>
          <w:rFonts w:hint="eastAsia" w:ascii="宋体" w:hAnsi="宋体" w:cs="宋体"/>
          <w:color w:val="auto"/>
          <w:kern w:val="0"/>
          <w:szCs w:val="21"/>
          <w:highlight w:val="none"/>
          <w:u w:val="single"/>
        </w:rPr>
        <w:t xml:space="preserve">未付的金额的年利率2%计付 </w:t>
      </w:r>
      <w:r>
        <w:rPr>
          <w:rFonts w:hint="eastAsia" w:ascii="宋体" w:hAnsi="宋体" w:cs="宋体"/>
          <w:color w:val="auto"/>
          <w:kern w:val="0"/>
          <w:szCs w:val="21"/>
          <w:highlight w:val="none"/>
        </w:rPr>
        <w:t>。</w:t>
      </w:r>
    </w:p>
    <w:p w14:paraId="5811E355">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（3）发包人违反第10.1款〔变更的范围〕第（2）项约定，自行实施被取消的工作或转由他人实施的违约责任：</w:t>
      </w:r>
      <w:r>
        <w:rPr>
          <w:rFonts w:hint="eastAsia" w:ascii="宋体" w:hAnsi="宋体" w:cs="宋体"/>
          <w:color w:val="auto"/>
          <w:kern w:val="0"/>
          <w:szCs w:val="21"/>
          <w:highlight w:val="none"/>
          <w:u w:val="single"/>
        </w:rPr>
        <w:t xml:space="preserve">  </w:t>
      </w:r>
      <w:r>
        <w:rPr>
          <w:rFonts w:ascii="宋体" w:hAnsi="宋体" w:eastAsia="宋体" w:cs="宋体"/>
          <w:sz w:val="21"/>
          <w:szCs w:val="21"/>
          <w:u w:val="single" w:color="auto"/>
        </w:rPr>
        <w:t>按通用条款执行</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12B22104">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（4）发包人提供的材料、工程设备的规格、数量或质量不符合合同约定，或因发包人原因导致交货日期延误或交货地点变更等情况的违约责任：</w:t>
      </w:r>
      <w:r>
        <w:rPr>
          <w:rFonts w:hint="eastAsia" w:ascii="宋体" w:hAnsi="宋体" w:cs="宋体"/>
          <w:color w:val="auto"/>
          <w:kern w:val="0"/>
          <w:szCs w:val="21"/>
          <w:highlight w:val="none"/>
          <w:u w:val="single"/>
        </w:rPr>
        <w:t>工期相应顺延</w:t>
      </w:r>
      <w:r>
        <w:rPr>
          <w:rFonts w:hint="eastAsia" w:ascii="宋体" w:hAnsi="宋体" w:cs="宋体"/>
          <w:color w:val="auto"/>
          <w:kern w:val="0"/>
          <w:szCs w:val="21"/>
          <w:highlight w:val="none"/>
        </w:rPr>
        <w:t>。</w:t>
      </w:r>
    </w:p>
    <w:p w14:paraId="1D1D1392">
      <w:pPr>
        <w:pStyle w:val="396"/>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（5）因发包人违反合同约定造成暂停施工的违约责任：</w:t>
      </w:r>
      <w:r>
        <w:rPr>
          <w:rFonts w:hint="eastAsia" w:ascii="宋体" w:hAnsi="宋体" w:cs="宋体"/>
          <w:color w:val="auto"/>
          <w:kern w:val="0"/>
          <w:szCs w:val="21"/>
          <w:highlight w:val="none"/>
          <w:u w:val="single"/>
        </w:rPr>
        <w:t>工期相应顺延</w:t>
      </w:r>
      <w:r>
        <w:rPr>
          <w:rFonts w:hint="eastAsia" w:ascii="宋体" w:hAnsi="宋体" w:cs="宋体"/>
          <w:color w:val="auto"/>
          <w:kern w:val="0"/>
          <w:szCs w:val="21"/>
          <w:highlight w:val="none"/>
        </w:rPr>
        <w:t>。</w:t>
      </w:r>
    </w:p>
    <w:p w14:paraId="0878AE08">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（6）发包人无正当理由没有在约定期限内发出复工指示，导致承包人无法复工的违约责任：</w:t>
      </w:r>
      <w:r>
        <w:rPr>
          <w:rFonts w:hint="eastAsia" w:ascii="宋体" w:hAnsi="宋体" w:cs="宋体"/>
          <w:color w:val="auto"/>
          <w:kern w:val="0"/>
          <w:szCs w:val="21"/>
          <w:highlight w:val="none"/>
          <w:u w:val="single"/>
        </w:rPr>
        <w:t xml:space="preserve"> 工期相应顺延</w:t>
      </w:r>
      <w:r>
        <w:rPr>
          <w:rFonts w:hint="eastAsia" w:ascii="宋体" w:hAnsi="宋体" w:cs="宋体"/>
          <w:color w:val="auto"/>
          <w:kern w:val="0"/>
          <w:szCs w:val="21"/>
          <w:highlight w:val="none"/>
        </w:rPr>
        <w:t>。</w:t>
      </w:r>
    </w:p>
    <w:p w14:paraId="750DF8DF">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（7）其他：</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3DB6E0F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16.1.3 因发包人违约解除合同</w:t>
      </w:r>
    </w:p>
    <w:p w14:paraId="116F73C8">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承包人按16.1.1项〔发包人违约的情形〕约定暂停施工</w:t>
      </w:r>
      <w:r>
        <w:rPr>
          <w:rFonts w:hint="eastAsia" w:ascii="宋体" w:hAnsi="宋体" w:cs="宋体"/>
          <w:color w:val="auto"/>
          <w:kern w:val="0"/>
          <w:szCs w:val="21"/>
          <w:highlight w:val="none"/>
          <w:u w:val="single"/>
          <w:lang w:val="en-US" w:eastAsia="zh-CN"/>
        </w:rPr>
        <w:t xml:space="preserve"> </w:t>
      </w:r>
      <w:r>
        <w:rPr>
          <w:rFonts w:ascii="宋体" w:hAnsi="宋体" w:eastAsia="宋体" w:cs="宋体"/>
          <w:sz w:val="21"/>
          <w:szCs w:val="21"/>
          <w:u w:val="single" w:color="auto"/>
        </w:rPr>
        <w:t>按通用条款执行</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发包人仍不纠正其违约行为并致使合同目的不能实现的，承包人有权解除合同。</w:t>
      </w:r>
    </w:p>
    <w:p w14:paraId="077100AE">
      <w:pPr>
        <w:pStyle w:val="504"/>
        <w:spacing w:line="380" w:lineRule="exact"/>
        <w:ind w:firstLine="422" w:firstLineChars="200"/>
        <w:rPr>
          <w:rFonts w:ascii="宋体" w:cs="宋体"/>
          <w:color w:val="auto"/>
          <w:highlight w:val="none"/>
        </w:rPr>
      </w:pPr>
      <w:bookmarkStart w:id="1666" w:name="_Toc418752311"/>
      <w:bookmarkStart w:id="1667" w:name="_Toc389065333"/>
      <w:bookmarkStart w:id="1668" w:name="_Toc373227768"/>
      <w:bookmarkStart w:id="1669" w:name="_Toc497747247"/>
      <w:bookmarkStart w:id="1670" w:name="_Toc418061380"/>
      <w:bookmarkStart w:id="1671" w:name="_Toc418518415"/>
      <w:bookmarkStart w:id="1672" w:name="_Toc373478415"/>
      <w:bookmarkStart w:id="1673" w:name="_Toc497746850"/>
      <w:bookmarkStart w:id="1674" w:name="_Toc256000246"/>
      <w:bookmarkStart w:id="1675" w:name="_Toc418751865"/>
      <w:bookmarkStart w:id="1676" w:name="_Toc522201795"/>
      <w:bookmarkStart w:id="1677" w:name="_Toc418518179"/>
      <w:bookmarkStart w:id="1678" w:name="_Toc403579003"/>
      <w:r>
        <w:rPr>
          <w:rFonts w:hint="eastAsia" w:ascii="宋体" w:cs="宋体"/>
          <w:color w:val="auto"/>
          <w:highlight w:val="none"/>
        </w:rPr>
        <w:t>16.2 承包人违约</w:t>
      </w:r>
      <w:bookmarkEnd w:id="1666"/>
      <w:bookmarkEnd w:id="1667"/>
      <w:bookmarkEnd w:id="1668"/>
      <w:bookmarkEnd w:id="1669"/>
      <w:bookmarkEnd w:id="1670"/>
      <w:bookmarkEnd w:id="1671"/>
      <w:bookmarkEnd w:id="1672"/>
      <w:bookmarkEnd w:id="1673"/>
      <w:bookmarkEnd w:id="1674"/>
      <w:bookmarkEnd w:id="1675"/>
      <w:bookmarkEnd w:id="1676"/>
      <w:bookmarkEnd w:id="1677"/>
      <w:bookmarkEnd w:id="1678"/>
    </w:p>
    <w:p w14:paraId="1F59E0B1">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16.2.1 承包人违约的情形</w:t>
      </w:r>
    </w:p>
    <w:p w14:paraId="1CA09B4C">
      <w:pPr>
        <w:pStyle w:val="396"/>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承包人违约的其他情形：</w:t>
      </w:r>
      <w:r>
        <w:rPr>
          <w:rFonts w:hint="eastAsia" w:ascii="宋体" w:hAnsi="宋体" w:cs="宋体"/>
          <w:color w:val="auto"/>
          <w:kern w:val="0"/>
          <w:szCs w:val="21"/>
          <w:highlight w:val="none"/>
          <w:u w:val="single"/>
        </w:rPr>
        <w:t xml:space="preserve">按通用条款执行 </w:t>
      </w:r>
      <w:r>
        <w:rPr>
          <w:rFonts w:hint="eastAsia" w:ascii="宋体" w:hAnsi="宋体" w:cs="宋体"/>
          <w:color w:val="auto"/>
          <w:kern w:val="0"/>
          <w:szCs w:val="21"/>
          <w:highlight w:val="none"/>
        </w:rPr>
        <w:t>。</w:t>
      </w:r>
    </w:p>
    <w:p w14:paraId="5E43EFA8">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16.2.2承包人违约的责任</w:t>
      </w:r>
    </w:p>
    <w:p w14:paraId="542DDF22">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承包人违约责任的承担方式和计算方法：</w:t>
      </w:r>
    </w:p>
    <w:p w14:paraId="0C88EF2E">
      <w:pPr>
        <w:keepNext w:val="0"/>
        <w:keepLines w:val="0"/>
        <w:pageBreakBefore w:val="0"/>
        <w:widowControl/>
        <w:tabs>
          <w:tab w:val="left" w:pos="131"/>
        </w:tabs>
        <w:kinsoku w:val="0"/>
        <w:wordWrap/>
        <w:overflowPunct/>
        <w:topLinePunct w:val="0"/>
        <w:autoSpaceDE w:val="0"/>
        <w:autoSpaceDN w:val="0"/>
        <w:bidi w:val="0"/>
        <w:adjustRightInd w:val="0"/>
        <w:snapToGrid w:val="0"/>
        <w:spacing w:before="159" w:line="420" w:lineRule="exact"/>
        <w:ind w:left="12" w:firstLine="428"/>
        <w:textAlignment w:val="baseline"/>
        <w:rPr>
          <w:rFonts w:ascii="宋体" w:hAnsi="宋体" w:eastAsia="宋体" w:cs="宋体"/>
          <w:sz w:val="21"/>
          <w:szCs w:val="21"/>
        </w:rPr>
      </w:pPr>
      <w:r>
        <w:rPr>
          <w:rFonts w:ascii="宋体" w:hAnsi="宋体" w:eastAsia="宋体" w:cs="宋体"/>
          <w:spacing w:val="-2"/>
          <w:sz w:val="21"/>
          <w:szCs w:val="21"/>
          <w:u w:val="single" w:color="auto"/>
        </w:rPr>
        <w:t>(1)承包人未按本合同</w:t>
      </w:r>
      <w:r>
        <w:rPr>
          <w:rFonts w:ascii="宋体" w:hAnsi="宋体" w:eastAsia="宋体" w:cs="宋体"/>
          <w:spacing w:val="-1"/>
          <w:sz w:val="21"/>
          <w:szCs w:val="21"/>
          <w:u w:val="single" w:color="auto"/>
        </w:rPr>
        <w:t>通用条款第 16.2.1 (2)、</w:t>
      </w:r>
      <w:r>
        <w:rPr>
          <w:rFonts w:ascii="宋体" w:hAnsi="宋体" w:eastAsia="宋体" w:cs="宋体"/>
          <w:spacing w:val="-6"/>
          <w:sz w:val="21"/>
          <w:szCs w:val="21"/>
          <w:u w:val="single" w:color="auto"/>
        </w:rPr>
        <w:t>(3) 条内容完成的， 承包人无条件返工处理， 修复至工程质量要求并承担相关费用，并在发</w:t>
      </w:r>
      <w:r>
        <w:rPr>
          <w:rFonts w:ascii="宋体" w:hAnsi="宋体" w:eastAsia="宋体" w:cs="宋体"/>
          <w:spacing w:val="-1"/>
          <w:sz w:val="21"/>
          <w:szCs w:val="21"/>
          <w:u w:val="single" w:color="auto"/>
        </w:rPr>
        <w:t>包人规定的时间内完成返工，否则发包人有权扣罚该分项工程 2%的工程款作为处罚。(2) 承</w:t>
      </w:r>
      <w:r>
        <w:rPr>
          <w:rFonts w:ascii="宋体" w:hAnsi="宋体" w:eastAsia="宋体" w:cs="宋体"/>
          <w:sz w:val="21"/>
          <w:szCs w:val="21"/>
          <w:u w:val="single" w:color="auto"/>
        </w:rPr>
        <w:t>包人</w:t>
      </w:r>
      <w:r>
        <w:rPr>
          <w:rFonts w:ascii="宋体" w:hAnsi="宋体" w:eastAsia="宋体" w:cs="宋体"/>
          <w:spacing w:val="-10"/>
          <w:sz w:val="21"/>
          <w:szCs w:val="21"/>
          <w:u w:val="single" w:color="auto"/>
        </w:rPr>
        <w:t>有</w:t>
      </w:r>
      <w:r>
        <w:rPr>
          <w:rFonts w:ascii="宋体" w:hAnsi="宋体" w:eastAsia="宋体" w:cs="宋体"/>
          <w:spacing w:val="-5"/>
          <w:sz w:val="21"/>
          <w:szCs w:val="21"/>
          <w:u w:val="single" w:color="auto"/>
        </w:rPr>
        <w:t>本合同通用条款第 16.2.1 (6) 条情形的， 或经监理人检验认为修复质量不合格而承包人拒绝</w:t>
      </w:r>
      <w:r>
        <w:rPr>
          <w:rFonts w:ascii="宋体" w:hAnsi="宋体" w:eastAsia="宋体" w:cs="宋体"/>
          <w:spacing w:val="-1"/>
          <w:sz w:val="21"/>
          <w:szCs w:val="21"/>
          <w:u w:val="single" w:color="auto"/>
        </w:rPr>
        <w:t xml:space="preserve">再进行修补的，发包人将扣除承包人全部质量保修金。(3) 承包人有本专用合同条款 </w:t>
      </w:r>
      <w:r>
        <w:rPr>
          <w:rFonts w:ascii="宋体" w:hAnsi="宋体" w:eastAsia="宋体" w:cs="宋体"/>
          <w:sz w:val="21"/>
          <w:szCs w:val="21"/>
          <w:u w:val="single" w:color="auto"/>
        </w:rPr>
        <w:t>3.2、3.3</w:t>
      </w:r>
      <w:r>
        <w:rPr>
          <w:rFonts w:ascii="宋体" w:hAnsi="宋体" w:eastAsia="宋体" w:cs="宋体"/>
          <w:sz w:val="21"/>
          <w:szCs w:val="21"/>
        </w:rPr>
        <w:t xml:space="preserve"> </w:t>
      </w:r>
      <w:r>
        <w:rPr>
          <w:rFonts w:ascii="宋体" w:hAnsi="宋体" w:eastAsia="宋体" w:cs="宋体"/>
          <w:spacing w:val="-4"/>
          <w:sz w:val="21"/>
          <w:szCs w:val="21"/>
          <w:u w:val="single" w:color="auto"/>
        </w:rPr>
        <w:t>条违约责任的，</w:t>
      </w:r>
      <w:r>
        <w:rPr>
          <w:rFonts w:ascii="宋体" w:hAnsi="宋体" w:eastAsia="宋体" w:cs="宋体"/>
          <w:spacing w:val="-2"/>
          <w:sz w:val="21"/>
          <w:szCs w:val="21"/>
          <w:u w:val="single" w:color="auto"/>
        </w:rPr>
        <w:t>发包人有权扣除承包人的违约金。违约金金额均在承包人的履约保证金及计量</w:t>
      </w:r>
      <w:r>
        <w:rPr>
          <w:rFonts w:ascii="宋体" w:hAnsi="宋体" w:eastAsia="宋体" w:cs="宋体"/>
          <w:spacing w:val="-4"/>
          <w:sz w:val="21"/>
          <w:szCs w:val="21"/>
          <w:u w:val="single" w:color="auto"/>
        </w:rPr>
        <w:t>支付款内扣除。</w:t>
      </w:r>
      <w:r>
        <w:rPr>
          <w:rFonts w:ascii="宋体" w:hAnsi="宋体" w:eastAsia="宋体" w:cs="宋体"/>
          <w:spacing w:val="-3"/>
          <w:sz w:val="21"/>
          <w:szCs w:val="21"/>
          <w:u w:val="single" w:color="auto"/>
        </w:rPr>
        <w:t>监</w:t>
      </w:r>
      <w:r>
        <w:rPr>
          <w:rFonts w:ascii="宋体" w:hAnsi="宋体" w:eastAsia="宋体" w:cs="宋体"/>
          <w:spacing w:val="-2"/>
          <w:sz w:val="21"/>
          <w:szCs w:val="21"/>
          <w:u w:val="single" w:color="auto"/>
        </w:rPr>
        <w:t>理人预先下发含有罚款意向的指令，如承包人不及时采取措施纠正，则在指</w:t>
      </w:r>
      <w:r>
        <w:rPr>
          <w:rFonts w:ascii="宋体" w:hAnsi="宋体" w:eastAsia="宋体" w:cs="宋体"/>
          <w:spacing w:val="10"/>
          <w:sz w:val="21"/>
          <w:szCs w:val="21"/>
          <w:u w:val="single" w:color="auto"/>
        </w:rPr>
        <w:t>令下</w:t>
      </w:r>
      <w:r>
        <w:rPr>
          <w:rFonts w:ascii="宋体" w:hAnsi="宋体" w:eastAsia="宋体" w:cs="宋体"/>
          <w:spacing w:val="7"/>
          <w:sz w:val="21"/>
          <w:szCs w:val="21"/>
          <w:u w:val="single" w:color="auto"/>
        </w:rPr>
        <w:t>达</w:t>
      </w:r>
      <w:r>
        <w:rPr>
          <w:rFonts w:ascii="宋体" w:hAnsi="宋体" w:eastAsia="宋体" w:cs="宋体"/>
          <w:spacing w:val="5"/>
          <w:sz w:val="21"/>
          <w:szCs w:val="21"/>
          <w:u w:val="single" w:color="auto"/>
        </w:rPr>
        <w:t>后十五天下发罚款通知书(不再陈述罚款理由)。承包人履约保证金被罚款后由发包人</w:t>
      </w:r>
      <w:r>
        <w:rPr>
          <w:rFonts w:ascii="宋体" w:hAnsi="宋体" w:eastAsia="宋体" w:cs="宋体"/>
          <w:spacing w:val="-4"/>
          <w:sz w:val="21"/>
          <w:szCs w:val="21"/>
          <w:u w:val="single" w:color="auto"/>
        </w:rPr>
        <w:t>从最后一次计量</w:t>
      </w:r>
      <w:r>
        <w:rPr>
          <w:rFonts w:ascii="宋体" w:hAnsi="宋体" w:eastAsia="宋体" w:cs="宋体"/>
          <w:spacing w:val="-2"/>
          <w:sz w:val="21"/>
          <w:szCs w:val="21"/>
          <w:u w:val="single" w:color="auto"/>
        </w:rPr>
        <w:t>支付时扣除相应金额补足履约保证金。承包人在合同期内，完成合同规定的全</w:t>
      </w:r>
      <w:r>
        <w:rPr>
          <w:rFonts w:ascii="宋体" w:hAnsi="宋体" w:eastAsia="宋体" w:cs="宋体"/>
          <w:spacing w:val="-4"/>
          <w:sz w:val="21"/>
          <w:szCs w:val="21"/>
          <w:u w:val="single" w:color="auto"/>
        </w:rPr>
        <w:t>部工程，且质量</w:t>
      </w:r>
      <w:r>
        <w:rPr>
          <w:rFonts w:ascii="宋体" w:hAnsi="宋体" w:eastAsia="宋体" w:cs="宋体"/>
          <w:spacing w:val="-2"/>
          <w:sz w:val="21"/>
          <w:szCs w:val="21"/>
          <w:u w:val="single" w:color="auto"/>
        </w:rPr>
        <w:t>合格，在本工程施工竣工验收后十五天内可申请返还全部或部分罚款，返还金</w:t>
      </w:r>
      <w:r>
        <w:rPr>
          <w:rFonts w:ascii="宋体" w:hAnsi="宋体" w:eastAsia="宋体" w:cs="宋体"/>
          <w:spacing w:val="6"/>
          <w:sz w:val="21"/>
          <w:szCs w:val="21"/>
          <w:u w:val="single" w:color="auto"/>
        </w:rPr>
        <w:t>额由监理人审</w:t>
      </w:r>
      <w:r>
        <w:rPr>
          <w:rFonts w:ascii="宋体" w:hAnsi="宋体" w:eastAsia="宋体" w:cs="宋体"/>
          <w:spacing w:val="4"/>
          <w:sz w:val="21"/>
          <w:szCs w:val="21"/>
          <w:u w:val="single" w:color="auto"/>
        </w:rPr>
        <w:t>核</w:t>
      </w:r>
      <w:r>
        <w:rPr>
          <w:rFonts w:ascii="宋体" w:hAnsi="宋体" w:eastAsia="宋体" w:cs="宋体"/>
          <w:spacing w:val="3"/>
          <w:sz w:val="21"/>
          <w:szCs w:val="21"/>
          <w:u w:val="single" w:color="auto"/>
        </w:rPr>
        <w:t xml:space="preserve">，发包人批准。罚款金额返还时不包括银行利息 </w:t>
      </w:r>
      <w:r>
        <w:rPr>
          <w:rFonts w:ascii="宋体" w:hAnsi="宋体" w:eastAsia="宋体" w:cs="宋体"/>
          <w:spacing w:val="3"/>
          <w:sz w:val="21"/>
          <w:szCs w:val="21"/>
        </w:rPr>
        <w:t>。</w:t>
      </w:r>
    </w:p>
    <w:p w14:paraId="6A5F1B08">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16.2.3 因承包人违约解除合同</w:t>
      </w:r>
    </w:p>
    <w:p w14:paraId="6D5B8EB6">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关于承包人违约解除合同的特别约定：</w:t>
      </w:r>
      <w:r>
        <w:rPr>
          <w:rFonts w:ascii="宋体" w:hAnsi="宋体" w:eastAsia="宋体" w:cs="宋体"/>
          <w:spacing w:val="3"/>
          <w:sz w:val="21"/>
          <w:szCs w:val="21"/>
          <w:u w:val="single" w:color="auto"/>
        </w:rPr>
        <w:t>无</w:t>
      </w:r>
      <w:r>
        <w:rPr>
          <w:rFonts w:ascii="宋体" w:hAnsi="宋体" w:eastAsia="宋体" w:cs="宋体"/>
          <w:sz w:val="21"/>
          <w:szCs w:val="21"/>
          <w:u w:val="single" w:color="auto"/>
        </w:rPr>
        <w:t xml:space="preserve"> </w:t>
      </w:r>
      <w:r>
        <w:rPr>
          <w:rFonts w:hint="eastAsia" w:ascii="宋体" w:hAnsi="宋体" w:cs="宋体"/>
          <w:color w:val="auto"/>
          <w:kern w:val="0"/>
          <w:szCs w:val="21"/>
          <w:highlight w:val="none"/>
        </w:rPr>
        <w:t>。</w:t>
      </w:r>
    </w:p>
    <w:p w14:paraId="476760B3">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发包人继续使用承包人在施工现场的材料、设备、临时工程、承包人文件和由承包人或以其名义编制的其他文件的费用承担方式：</w:t>
      </w:r>
      <w:r>
        <w:rPr>
          <w:rFonts w:hint="eastAsia" w:ascii="宋体" w:hAnsi="宋体" w:cs="宋体"/>
          <w:color w:val="auto"/>
          <w:kern w:val="0"/>
          <w:szCs w:val="21"/>
          <w:highlight w:val="none"/>
          <w:u w:val="single"/>
        </w:rPr>
        <w:t xml:space="preserve">   协商决定   </w:t>
      </w:r>
      <w:r>
        <w:rPr>
          <w:rFonts w:hint="eastAsia" w:ascii="宋体" w:hAnsi="宋体" w:cs="宋体"/>
          <w:color w:val="auto"/>
          <w:kern w:val="0"/>
          <w:szCs w:val="21"/>
          <w:highlight w:val="none"/>
        </w:rPr>
        <w:t>。</w:t>
      </w:r>
    </w:p>
    <w:p w14:paraId="4C7AFF30">
      <w:pPr>
        <w:pStyle w:val="504"/>
        <w:spacing w:line="380" w:lineRule="exact"/>
        <w:rPr>
          <w:rFonts w:ascii="宋体" w:cs="宋体"/>
          <w:color w:val="auto"/>
          <w:highlight w:val="none"/>
        </w:rPr>
      </w:pPr>
      <w:bookmarkStart w:id="1679" w:name="_Toc497746851"/>
      <w:bookmarkStart w:id="1680" w:name="_Toc497747248"/>
      <w:bookmarkStart w:id="1681" w:name="_Toc373227769"/>
      <w:bookmarkStart w:id="1682" w:name="_Toc256000247"/>
      <w:bookmarkStart w:id="1683" w:name="_Toc403579004"/>
      <w:bookmarkStart w:id="1684" w:name="_Toc418061381"/>
      <w:bookmarkStart w:id="1685" w:name="_Toc389065334"/>
      <w:bookmarkStart w:id="1686" w:name="_Toc418518416"/>
      <w:bookmarkStart w:id="1687" w:name="_Toc373478416"/>
      <w:bookmarkStart w:id="1688" w:name="_Toc351203649"/>
      <w:bookmarkStart w:id="1689" w:name="_Toc522201796"/>
      <w:bookmarkStart w:id="1690" w:name="_Toc418518180"/>
      <w:bookmarkStart w:id="1691" w:name="_Toc418752312"/>
      <w:bookmarkStart w:id="1692" w:name="_Toc418751866"/>
      <w:r>
        <w:rPr>
          <w:rFonts w:hint="eastAsia" w:ascii="宋体" w:cs="宋体"/>
          <w:color w:val="auto"/>
          <w:highlight w:val="none"/>
        </w:rPr>
        <w:t>17. 不可抗力</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r>
        <w:rPr>
          <w:rFonts w:hint="eastAsia" w:ascii="宋体" w:cs="宋体"/>
          <w:color w:val="auto"/>
          <w:highlight w:val="none"/>
        </w:rPr>
        <w:t xml:space="preserve"> </w:t>
      </w:r>
      <w:bookmarkEnd w:id="1651"/>
    </w:p>
    <w:p w14:paraId="3F57446B">
      <w:pPr>
        <w:pStyle w:val="504"/>
        <w:spacing w:line="380" w:lineRule="exact"/>
        <w:ind w:firstLine="422" w:firstLineChars="200"/>
        <w:rPr>
          <w:rFonts w:ascii="宋体" w:cs="宋体"/>
          <w:color w:val="auto"/>
          <w:highlight w:val="none"/>
        </w:rPr>
      </w:pPr>
      <w:bookmarkStart w:id="1693" w:name="_Toc418518417"/>
      <w:bookmarkStart w:id="1694" w:name="_Toc418752313"/>
      <w:bookmarkStart w:id="1695" w:name="_Toc497746852"/>
      <w:bookmarkStart w:id="1696" w:name="_Toc389065335"/>
      <w:bookmarkStart w:id="1697" w:name="_Toc373227770"/>
      <w:bookmarkStart w:id="1698" w:name="_Toc373478417"/>
      <w:bookmarkStart w:id="1699" w:name="_Toc418518181"/>
      <w:bookmarkStart w:id="1700" w:name="_Toc418061382"/>
      <w:bookmarkStart w:id="1701" w:name="_Toc522201797"/>
      <w:bookmarkStart w:id="1702" w:name="_Toc497747249"/>
      <w:bookmarkStart w:id="1703" w:name="_Toc256000248"/>
      <w:bookmarkStart w:id="1704" w:name="_Toc418751867"/>
      <w:bookmarkStart w:id="1705" w:name="_Toc403579005"/>
      <w:r>
        <w:rPr>
          <w:rFonts w:hint="eastAsia" w:ascii="宋体" w:cs="宋体"/>
          <w:color w:val="auto"/>
          <w:highlight w:val="none"/>
        </w:rPr>
        <w:t>17.1 不可抗力的确认</w:t>
      </w:r>
      <w:bookmarkEnd w:id="1693"/>
      <w:bookmarkEnd w:id="1694"/>
      <w:bookmarkEnd w:id="1695"/>
      <w:bookmarkEnd w:id="1696"/>
      <w:bookmarkEnd w:id="1697"/>
      <w:bookmarkEnd w:id="1698"/>
      <w:bookmarkEnd w:id="1699"/>
      <w:bookmarkEnd w:id="1700"/>
      <w:bookmarkEnd w:id="1701"/>
      <w:bookmarkEnd w:id="1702"/>
      <w:bookmarkEnd w:id="1703"/>
      <w:bookmarkEnd w:id="1704"/>
      <w:bookmarkEnd w:id="1705"/>
    </w:p>
    <w:p w14:paraId="7D6BE92C">
      <w:pPr>
        <w:pStyle w:val="396"/>
        <w:spacing w:line="380" w:lineRule="exact"/>
        <w:ind w:firstLine="420" w:firstLineChars="200"/>
        <w:rPr>
          <w:rFonts w:ascii="宋体" w:hAnsi="宋体" w:cs="宋体"/>
          <w:color w:val="auto"/>
          <w:kern w:val="0"/>
          <w:szCs w:val="21"/>
          <w:highlight w:val="none"/>
          <w:u w:val="single"/>
        </w:rPr>
      </w:pPr>
      <w:r>
        <w:rPr>
          <w:rFonts w:hint="eastAsia" w:ascii="宋体" w:hAnsi="宋体" w:cs="宋体"/>
          <w:color w:val="auto"/>
          <w:szCs w:val="21"/>
          <w:highlight w:val="none"/>
        </w:rPr>
        <w:t>除通用合同条款约定的不可抗力事件之外，视为不可抗力的其他情形：</w:t>
      </w:r>
      <w:r>
        <w:rPr>
          <w:rFonts w:hint="eastAsia" w:ascii="宋体" w:hAnsi="宋体" w:cs="宋体"/>
          <w:color w:val="auto"/>
          <w:kern w:val="0"/>
          <w:szCs w:val="21"/>
          <w:highlight w:val="none"/>
          <w:u w:val="single"/>
        </w:rPr>
        <w:t>（1）、6级以上地震；（2）、10级以上持续1天的大风；（3）、暴雨级以上持续1天的大雨；（4）、50年以上未发生过，持续2天的高温天气；（5）、50年以上未发生过，持续2天的低温天气；（6）、50年以上未发生过 的洪水；（7）、战争、敌对行动（不论宣战与否）、入侵、外敌行动；（8）、暴乱、骚乱、叛乱、革命、暴动，或军事政变、篡夺政权、内战等；（9）、由于任何有危险性物质所引起的离子辐射或放射性污染；（10）、以音速飞行的飞机或其他飞行装置产生的压力波；（11）、对以上几种形式，应以造成灾害和影响施工为准</w:t>
      </w:r>
      <w:r>
        <w:rPr>
          <w:rFonts w:hint="eastAsia" w:ascii="宋体" w:hAnsi="宋体" w:cs="宋体"/>
          <w:color w:val="auto"/>
          <w:kern w:val="0"/>
          <w:szCs w:val="21"/>
          <w:highlight w:val="none"/>
        </w:rPr>
        <w:t>。</w:t>
      </w:r>
    </w:p>
    <w:p w14:paraId="427D73B1">
      <w:pPr>
        <w:pStyle w:val="504"/>
        <w:spacing w:line="380" w:lineRule="exact"/>
        <w:ind w:firstLine="422" w:firstLineChars="200"/>
        <w:rPr>
          <w:rFonts w:ascii="宋体" w:cs="宋体"/>
          <w:color w:val="auto"/>
          <w:highlight w:val="none"/>
        </w:rPr>
      </w:pPr>
      <w:bookmarkStart w:id="1706" w:name="_Toc373227771"/>
      <w:bookmarkStart w:id="1707" w:name="_Toc497746853"/>
      <w:bookmarkStart w:id="1708" w:name="_Toc418752314"/>
      <w:bookmarkStart w:id="1709" w:name="_Toc389065336"/>
      <w:bookmarkStart w:id="1710" w:name="_Toc522201798"/>
      <w:bookmarkStart w:id="1711" w:name="_Toc403579006"/>
      <w:bookmarkStart w:id="1712" w:name="_Toc497747250"/>
      <w:bookmarkStart w:id="1713" w:name="_Toc418061383"/>
      <w:bookmarkStart w:id="1714" w:name="_Toc256000249"/>
      <w:bookmarkStart w:id="1715" w:name="_Toc418518182"/>
      <w:bookmarkStart w:id="1716" w:name="_Toc418751868"/>
      <w:bookmarkStart w:id="1717" w:name="_Toc373478418"/>
      <w:bookmarkStart w:id="1718" w:name="_Toc418518418"/>
      <w:r>
        <w:rPr>
          <w:rFonts w:hint="eastAsia" w:ascii="宋体" w:cs="宋体"/>
          <w:color w:val="auto"/>
          <w:highlight w:val="none"/>
        </w:rPr>
        <w:t>17.4 因不可抗力解除合同</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14:paraId="61D27AB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合同解除后，发包人应在商定或确定发包人应支付款项后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天内完成款项的支付。</w:t>
      </w:r>
    </w:p>
    <w:p w14:paraId="165D6C8E">
      <w:pPr>
        <w:pStyle w:val="504"/>
        <w:spacing w:line="380" w:lineRule="exact"/>
        <w:rPr>
          <w:rFonts w:ascii="宋体" w:cs="宋体"/>
          <w:color w:val="auto"/>
          <w:highlight w:val="none"/>
        </w:rPr>
      </w:pPr>
      <w:bookmarkStart w:id="1719" w:name="_Toc497746854"/>
      <w:bookmarkStart w:id="1720" w:name="_Toc256000250"/>
      <w:bookmarkStart w:id="1721" w:name="_Toc418752315"/>
      <w:bookmarkStart w:id="1722" w:name="_Toc418518183"/>
      <w:bookmarkStart w:id="1723" w:name="_Toc418518419"/>
      <w:bookmarkStart w:id="1724" w:name="_Toc373478419"/>
      <w:bookmarkStart w:id="1725" w:name="_Toc418751869"/>
      <w:bookmarkStart w:id="1726" w:name="_Toc351203650"/>
      <w:bookmarkStart w:id="1727" w:name="_Toc418061384"/>
      <w:bookmarkStart w:id="1728" w:name="_Toc389065337"/>
      <w:bookmarkStart w:id="1729" w:name="_Toc522201799"/>
      <w:bookmarkStart w:id="1730" w:name="_Toc373227772"/>
      <w:bookmarkStart w:id="1731" w:name="_Toc497747251"/>
      <w:bookmarkStart w:id="1732" w:name="_Toc403579007"/>
      <w:r>
        <w:rPr>
          <w:rFonts w:hint="eastAsia" w:ascii="宋体" w:cs="宋体"/>
          <w:color w:val="auto"/>
          <w:highlight w:val="none"/>
        </w:rPr>
        <w:t>18. 保险</w:t>
      </w:r>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p>
    <w:bookmarkEnd w:id="1652"/>
    <w:p w14:paraId="24592872">
      <w:pPr>
        <w:pStyle w:val="504"/>
        <w:spacing w:line="380" w:lineRule="exact"/>
        <w:ind w:firstLine="422" w:firstLineChars="200"/>
        <w:rPr>
          <w:rFonts w:ascii="宋体" w:cs="宋体"/>
          <w:color w:val="auto"/>
          <w:highlight w:val="none"/>
        </w:rPr>
      </w:pPr>
      <w:bookmarkStart w:id="1733" w:name="_Toc373478420"/>
      <w:bookmarkStart w:id="1734" w:name="_Toc418752316"/>
      <w:bookmarkStart w:id="1735" w:name="_Toc497747252"/>
      <w:bookmarkStart w:id="1736" w:name="_Toc403579008"/>
      <w:bookmarkStart w:id="1737" w:name="_Toc256000251"/>
      <w:bookmarkStart w:id="1738" w:name="_Toc418751870"/>
      <w:bookmarkStart w:id="1739" w:name="_Toc522201800"/>
      <w:bookmarkStart w:id="1740" w:name="_Toc389065338"/>
      <w:bookmarkStart w:id="1741" w:name="_Toc418061385"/>
      <w:bookmarkStart w:id="1742" w:name="_Toc497746855"/>
      <w:bookmarkStart w:id="1743" w:name="_Toc418518184"/>
      <w:bookmarkStart w:id="1744" w:name="_Toc418518420"/>
      <w:bookmarkStart w:id="1745" w:name="_Toc373227773"/>
      <w:r>
        <w:rPr>
          <w:rFonts w:hint="eastAsia" w:ascii="宋体" w:cs="宋体"/>
          <w:color w:val="auto"/>
          <w:highlight w:val="none"/>
        </w:rPr>
        <w:t>18.1 工程保险</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p>
    <w:p w14:paraId="1E31917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关于工程保险的特别约定：</w:t>
      </w:r>
      <w:r>
        <w:rPr>
          <w:rFonts w:hint="eastAsia" w:ascii="宋体" w:hAnsi="宋体" w:cs="宋体"/>
          <w:color w:val="auto"/>
          <w:kern w:val="0"/>
          <w:szCs w:val="21"/>
          <w:highlight w:val="none"/>
          <w:u w:val="single"/>
        </w:rPr>
        <w:t>承包人应投保建筑工程一切险并承担与之相关的所有费用</w:t>
      </w:r>
      <w:r>
        <w:rPr>
          <w:rFonts w:hint="eastAsia" w:ascii="宋体" w:hAnsi="宋体" w:cs="宋体"/>
          <w:color w:val="auto"/>
          <w:kern w:val="0"/>
          <w:szCs w:val="21"/>
          <w:highlight w:val="none"/>
        </w:rPr>
        <w:t>。</w:t>
      </w:r>
    </w:p>
    <w:p w14:paraId="509CC169">
      <w:pPr>
        <w:pStyle w:val="504"/>
        <w:spacing w:line="380" w:lineRule="exact"/>
        <w:ind w:firstLine="422" w:firstLineChars="200"/>
        <w:rPr>
          <w:rFonts w:ascii="宋体" w:cs="宋体"/>
          <w:color w:val="auto"/>
          <w:highlight w:val="none"/>
        </w:rPr>
      </w:pPr>
      <w:bookmarkStart w:id="1746" w:name="_Toc373227774"/>
      <w:bookmarkStart w:id="1747" w:name="_Toc497747253"/>
      <w:bookmarkStart w:id="1748" w:name="_Toc497746856"/>
      <w:bookmarkStart w:id="1749" w:name="_Toc389065339"/>
      <w:bookmarkStart w:id="1750" w:name="_Toc403579009"/>
      <w:bookmarkStart w:id="1751" w:name="_Toc418518421"/>
      <w:bookmarkStart w:id="1752" w:name="_Toc256000252"/>
      <w:bookmarkStart w:id="1753" w:name="_Toc522201801"/>
      <w:bookmarkStart w:id="1754" w:name="_Toc418752317"/>
      <w:bookmarkStart w:id="1755" w:name="_Toc418518185"/>
      <w:bookmarkStart w:id="1756" w:name="_Toc418061386"/>
      <w:bookmarkStart w:id="1757" w:name="_Toc373478421"/>
      <w:bookmarkStart w:id="1758" w:name="_Toc418751871"/>
      <w:r>
        <w:rPr>
          <w:rFonts w:hint="eastAsia" w:ascii="宋体" w:cs="宋体"/>
          <w:color w:val="auto"/>
          <w:highlight w:val="none"/>
        </w:rPr>
        <w:t>18.3 其他保险</w:t>
      </w:r>
      <w:bookmarkEnd w:id="1746"/>
      <w:bookmarkEnd w:id="1747"/>
      <w:bookmarkEnd w:id="1748"/>
      <w:bookmarkEnd w:id="1749"/>
      <w:bookmarkEnd w:id="1750"/>
      <w:bookmarkEnd w:id="1751"/>
      <w:bookmarkEnd w:id="1752"/>
      <w:bookmarkEnd w:id="1753"/>
      <w:bookmarkEnd w:id="1754"/>
      <w:bookmarkEnd w:id="1755"/>
      <w:bookmarkEnd w:id="1756"/>
      <w:bookmarkEnd w:id="1757"/>
      <w:bookmarkEnd w:id="1758"/>
    </w:p>
    <w:p w14:paraId="25555F0B">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关于其他保险的约定：</w:t>
      </w:r>
      <w:r>
        <w:rPr>
          <w:rFonts w:ascii="宋体" w:hAnsi="宋体" w:eastAsia="宋体" w:cs="宋体"/>
          <w:sz w:val="21"/>
          <w:szCs w:val="21"/>
          <w:u w:val="single" w:color="auto"/>
        </w:rPr>
        <w:t>承包人根据《广西壮族自治区房屋建筑和市政基础设施工程安全生</w:t>
      </w:r>
      <w:r>
        <w:rPr>
          <w:rFonts w:ascii="宋体" w:hAnsi="宋体" w:eastAsia="宋体" w:cs="宋体"/>
          <w:spacing w:val="-6"/>
          <w:sz w:val="21"/>
          <w:szCs w:val="21"/>
          <w:u w:val="single" w:color="auto"/>
        </w:rPr>
        <w:t>产责任保</w:t>
      </w:r>
      <w:r>
        <w:rPr>
          <w:rFonts w:ascii="宋体" w:hAnsi="宋体" w:eastAsia="宋体" w:cs="宋体"/>
          <w:spacing w:val="-4"/>
          <w:sz w:val="21"/>
          <w:szCs w:val="21"/>
          <w:u w:val="single" w:color="auto"/>
        </w:rPr>
        <w:t>险</w:t>
      </w:r>
      <w:r>
        <w:rPr>
          <w:rFonts w:ascii="宋体" w:hAnsi="宋体" w:eastAsia="宋体" w:cs="宋体"/>
          <w:spacing w:val="-3"/>
          <w:sz w:val="21"/>
          <w:szCs w:val="21"/>
          <w:u w:val="single" w:color="auto"/>
        </w:rPr>
        <w:t>实施办法》(桂建发〔2023〕1 号) 相关条款， 以工程项目为单元参保建筑工程安责</w:t>
      </w:r>
      <w:r>
        <w:rPr>
          <w:rFonts w:ascii="宋体" w:hAnsi="宋体" w:eastAsia="宋体" w:cs="宋体"/>
          <w:spacing w:val="2"/>
          <w:sz w:val="21"/>
          <w:szCs w:val="21"/>
          <w:u w:val="single" w:color="auto"/>
        </w:rPr>
        <w:t>险。(注:安全生产责任保险费</w:t>
      </w:r>
      <w:r>
        <w:rPr>
          <w:rFonts w:ascii="宋体" w:hAnsi="宋体" w:eastAsia="宋体" w:cs="宋体"/>
          <w:spacing w:val="1"/>
          <w:sz w:val="21"/>
          <w:szCs w:val="21"/>
          <w:u w:val="single" w:color="auto"/>
        </w:rPr>
        <w:t>先由承包人支付，在工程结算时，发承包双方按《广西壮族自治</w:t>
      </w:r>
      <w:r>
        <w:rPr>
          <w:rFonts w:ascii="宋体" w:hAnsi="宋体" w:eastAsia="宋体" w:cs="宋体"/>
          <w:spacing w:val="-2"/>
          <w:sz w:val="21"/>
          <w:szCs w:val="21"/>
          <w:u w:val="single" w:color="auto"/>
        </w:rPr>
        <w:t>区房屋</w:t>
      </w:r>
      <w:r>
        <w:rPr>
          <w:rFonts w:ascii="宋体" w:hAnsi="宋体" w:eastAsia="宋体" w:cs="宋体"/>
          <w:spacing w:val="-1"/>
          <w:sz w:val="21"/>
          <w:szCs w:val="21"/>
          <w:u w:val="single" w:color="auto"/>
        </w:rPr>
        <w:t>建筑和市政基础设施工程安全生产责任保险计价规定的通知》(桂建发〔2023〕6 号) 的</w:t>
      </w:r>
      <w:r>
        <w:rPr>
          <w:rFonts w:ascii="宋体" w:hAnsi="宋体" w:eastAsia="宋体" w:cs="宋体"/>
          <w:spacing w:val="-6"/>
          <w:sz w:val="21"/>
          <w:szCs w:val="21"/>
          <w:u w:val="single" w:color="auto"/>
        </w:rPr>
        <w:t>相关</w:t>
      </w:r>
      <w:r>
        <w:rPr>
          <w:rFonts w:ascii="宋体" w:hAnsi="宋体" w:eastAsia="宋体" w:cs="宋体"/>
          <w:spacing w:val="-4"/>
          <w:sz w:val="21"/>
          <w:szCs w:val="21"/>
          <w:u w:val="single" w:color="auto"/>
        </w:rPr>
        <w:t>条</w:t>
      </w:r>
      <w:r>
        <w:rPr>
          <w:rFonts w:ascii="宋体" w:hAnsi="宋体" w:eastAsia="宋体" w:cs="宋体"/>
          <w:spacing w:val="-3"/>
          <w:sz w:val="21"/>
          <w:szCs w:val="21"/>
          <w:u w:val="single" w:color="auto"/>
        </w:rPr>
        <w:t>款，根据工程实际情况确认的安全生产责任保险费计入工程造价进行结算)</w:t>
      </w:r>
      <w:r>
        <w:rPr>
          <w:rFonts w:ascii="宋体" w:hAnsi="宋体" w:eastAsia="宋体" w:cs="宋体"/>
          <w:sz w:val="21"/>
          <w:szCs w:val="21"/>
          <w:u w:val="single" w:color="auto"/>
        </w:rPr>
        <w:t xml:space="preserve"> </w:t>
      </w:r>
      <w:r>
        <w:rPr>
          <w:rFonts w:hint="eastAsia" w:ascii="宋体" w:hAnsi="宋体" w:cs="宋体"/>
          <w:bCs/>
          <w:color w:val="auto"/>
          <w:szCs w:val="21"/>
          <w:highlight w:val="none"/>
        </w:rPr>
        <w:t>。</w:t>
      </w:r>
    </w:p>
    <w:p w14:paraId="2724503E">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承包人是否应为其施工设备等办理财产保险：</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按通用条款执行，无特殊约定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DB3ED68">
      <w:pPr>
        <w:pStyle w:val="504"/>
        <w:spacing w:line="380" w:lineRule="exact"/>
        <w:ind w:firstLine="422" w:firstLineChars="200"/>
        <w:rPr>
          <w:rFonts w:ascii="宋体" w:cs="宋体"/>
          <w:color w:val="auto"/>
          <w:highlight w:val="none"/>
        </w:rPr>
      </w:pPr>
      <w:bookmarkStart w:id="1759" w:name="_Toc418751872"/>
      <w:bookmarkStart w:id="1760" w:name="_Toc256000253"/>
      <w:bookmarkStart w:id="1761" w:name="_Toc403579010"/>
      <w:bookmarkStart w:id="1762" w:name="_Toc497747254"/>
      <w:bookmarkStart w:id="1763" w:name="_Toc373227775"/>
      <w:bookmarkStart w:id="1764" w:name="_Toc522201802"/>
      <w:bookmarkStart w:id="1765" w:name="_Toc418518422"/>
      <w:bookmarkStart w:id="1766" w:name="_Toc389065340"/>
      <w:bookmarkStart w:id="1767" w:name="_Toc418518186"/>
      <w:bookmarkStart w:id="1768" w:name="_Toc418061387"/>
      <w:bookmarkStart w:id="1769" w:name="_Toc418752318"/>
      <w:bookmarkStart w:id="1770" w:name="_Toc373478422"/>
      <w:bookmarkStart w:id="1771" w:name="_Toc497746857"/>
      <w:r>
        <w:rPr>
          <w:rFonts w:hint="eastAsia" w:ascii="宋体" w:cs="宋体"/>
          <w:color w:val="auto"/>
          <w:highlight w:val="none"/>
        </w:rPr>
        <w:t>18.7 通知义务</w:t>
      </w:r>
      <w:bookmarkEnd w:id="1759"/>
      <w:bookmarkEnd w:id="1760"/>
      <w:bookmarkEnd w:id="1761"/>
      <w:bookmarkEnd w:id="1762"/>
      <w:bookmarkEnd w:id="1763"/>
      <w:bookmarkEnd w:id="1764"/>
      <w:bookmarkEnd w:id="1765"/>
      <w:bookmarkEnd w:id="1766"/>
      <w:bookmarkEnd w:id="1767"/>
      <w:bookmarkEnd w:id="1768"/>
      <w:bookmarkEnd w:id="1769"/>
      <w:bookmarkEnd w:id="1770"/>
      <w:bookmarkEnd w:id="1771"/>
    </w:p>
    <w:p w14:paraId="46183880">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关于变更保险合同时的通知义务的约定：</w:t>
      </w:r>
      <w:r>
        <w:rPr>
          <w:rFonts w:hint="eastAsia" w:ascii="宋体" w:hAnsi="宋体" w:cs="宋体"/>
          <w:color w:val="auto"/>
          <w:szCs w:val="21"/>
          <w:highlight w:val="none"/>
          <w:u w:val="single"/>
        </w:rPr>
        <w:t xml:space="preserve">  变更应通知当事人 </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rPr>
        <w:t>。</w:t>
      </w:r>
    </w:p>
    <w:bookmarkEnd w:id="1576"/>
    <w:bookmarkEnd w:id="1577"/>
    <w:bookmarkEnd w:id="1578"/>
    <w:bookmarkEnd w:id="1579"/>
    <w:bookmarkEnd w:id="1580"/>
    <w:bookmarkEnd w:id="1581"/>
    <w:bookmarkEnd w:id="1582"/>
    <w:bookmarkEnd w:id="1583"/>
    <w:bookmarkEnd w:id="1584"/>
    <w:bookmarkEnd w:id="1585"/>
    <w:bookmarkEnd w:id="1586"/>
    <w:bookmarkEnd w:id="1587"/>
    <w:p w14:paraId="7045A825">
      <w:pPr>
        <w:pStyle w:val="504"/>
        <w:spacing w:line="380" w:lineRule="exact"/>
        <w:rPr>
          <w:rFonts w:ascii="宋体" w:cs="宋体"/>
          <w:color w:val="auto"/>
          <w:highlight w:val="none"/>
        </w:rPr>
      </w:pPr>
      <w:bookmarkStart w:id="1772" w:name="_Toc418061388"/>
      <w:bookmarkStart w:id="1773" w:name="_Toc418752319"/>
      <w:bookmarkStart w:id="1774" w:name="_Toc351203651"/>
      <w:bookmarkStart w:id="1775" w:name="_Toc497747255"/>
      <w:bookmarkStart w:id="1776" w:name="_Toc373478423"/>
      <w:bookmarkStart w:id="1777" w:name="_Toc256000254"/>
      <w:bookmarkStart w:id="1778" w:name="_Toc389065341"/>
      <w:bookmarkStart w:id="1779" w:name="_Toc522201803"/>
      <w:bookmarkStart w:id="1780" w:name="_Toc403579011"/>
      <w:bookmarkStart w:id="1781" w:name="_Toc497746858"/>
      <w:bookmarkStart w:id="1782" w:name="_Toc418518187"/>
      <w:bookmarkStart w:id="1783" w:name="_Toc373227776"/>
      <w:bookmarkStart w:id="1784" w:name="_Toc418751873"/>
      <w:bookmarkStart w:id="1785" w:name="_Toc418518423"/>
      <w:r>
        <w:rPr>
          <w:rFonts w:hint="eastAsia" w:ascii="宋体" w:cs="宋体"/>
          <w:color w:val="auto"/>
          <w:highlight w:val="none"/>
        </w:rPr>
        <w:t>20. 争议解决</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p>
    <w:bookmarkEnd w:id="1588"/>
    <w:bookmarkEnd w:id="1589"/>
    <w:p w14:paraId="5D789AE4">
      <w:pPr>
        <w:pStyle w:val="504"/>
        <w:spacing w:line="380" w:lineRule="exact"/>
        <w:ind w:firstLine="422" w:firstLineChars="200"/>
        <w:rPr>
          <w:rFonts w:ascii="宋体" w:cs="宋体"/>
          <w:color w:val="auto"/>
          <w:highlight w:val="none"/>
        </w:rPr>
      </w:pPr>
      <w:bookmarkStart w:id="1786" w:name="_Toc522201804"/>
      <w:bookmarkStart w:id="1787" w:name="_Toc373478424"/>
      <w:bookmarkStart w:id="1788" w:name="_Toc256000255"/>
      <w:bookmarkStart w:id="1789" w:name="_Toc389065342"/>
      <w:bookmarkStart w:id="1790" w:name="_Toc497746859"/>
      <w:bookmarkStart w:id="1791" w:name="_Toc403579012"/>
      <w:bookmarkStart w:id="1792" w:name="_Toc418518188"/>
      <w:bookmarkStart w:id="1793" w:name="_Toc418518424"/>
      <w:bookmarkStart w:id="1794" w:name="_Toc373227777"/>
      <w:bookmarkStart w:id="1795" w:name="_Toc497747256"/>
      <w:bookmarkStart w:id="1796" w:name="_Toc418752320"/>
      <w:bookmarkStart w:id="1797" w:name="_Toc418061389"/>
      <w:bookmarkStart w:id="1798" w:name="_Toc418751874"/>
      <w:r>
        <w:rPr>
          <w:rFonts w:hint="eastAsia" w:ascii="宋体" w:cs="宋体"/>
          <w:color w:val="auto"/>
          <w:highlight w:val="none"/>
        </w:rPr>
        <w:t>20.3 争</w:t>
      </w:r>
      <w:bookmarkEnd w:id="1590"/>
      <w:r>
        <w:rPr>
          <w:rFonts w:hint="eastAsia" w:ascii="宋体" w:cs="宋体"/>
          <w:color w:val="auto"/>
          <w:highlight w:val="none"/>
        </w:rPr>
        <w:t>议评审</w:t>
      </w:r>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14:paraId="36CE7272">
      <w:pPr>
        <w:pStyle w:val="396"/>
        <w:spacing w:line="380" w:lineRule="exact"/>
        <w:ind w:left="149" w:leftChars="71" w:firstLine="315" w:firstLineChars="150"/>
        <w:jc w:val="left"/>
        <w:rPr>
          <w:rFonts w:ascii="宋体" w:hAnsi="宋体" w:cs="宋体"/>
          <w:color w:val="auto"/>
          <w:szCs w:val="21"/>
          <w:highlight w:val="none"/>
          <w:u w:val="single"/>
        </w:rPr>
      </w:pPr>
      <w:r>
        <w:rPr>
          <w:rFonts w:hint="eastAsia" w:ascii="宋体" w:hAnsi="宋体" w:cs="宋体"/>
          <w:color w:val="auto"/>
          <w:szCs w:val="21"/>
          <w:highlight w:val="none"/>
        </w:rPr>
        <w:t>合同当事人是否同意将工程争议提交争议评审小组决定：</w:t>
      </w:r>
      <w:r>
        <w:rPr>
          <w:rFonts w:hint="eastAsia" w:ascii="宋体" w:hAnsi="宋体" w:cs="宋体"/>
          <w:color w:val="auto"/>
          <w:szCs w:val="21"/>
          <w:highlight w:val="none"/>
          <w:u w:val="single"/>
        </w:rPr>
        <w:t xml:space="preserve">  不同意  </w:t>
      </w:r>
      <w:r>
        <w:rPr>
          <w:rFonts w:hint="eastAsia" w:ascii="宋体" w:hAnsi="宋体" w:cs="宋体"/>
          <w:color w:val="auto"/>
          <w:szCs w:val="21"/>
          <w:highlight w:val="none"/>
        </w:rPr>
        <w:t>。</w:t>
      </w:r>
    </w:p>
    <w:p w14:paraId="7EFBA70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20.3.1 争议评审小组的确定</w:t>
      </w:r>
    </w:p>
    <w:p w14:paraId="663B51FF">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争议评审小组成员的确定：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2B77D79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选定争议评审员的期限：</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623E7900">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争议评审小组成员的报酬承担方式：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7CD741D7">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其他事项的约定：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BA46C1C">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20.3.2 争议评审小组的决定</w:t>
      </w:r>
    </w:p>
    <w:p w14:paraId="2BC8662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合同当事人关于本项的约定：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0536127D">
      <w:pPr>
        <w:pStyle w:val="504"/>
        <w:spacing w:line="380" w:lineRule="exact"/>
        <w:ind w:firstLine="422" w:firstLineChars="200"/>
        <w:rPr>
          <w:rFonts w:ascii="宋体" w:cs="宋体"/>
          <w:color w:val="auto"/>
          <w:highlight w:val="none"/>
        </w:rPr>
      </w:pPr>
      <w:bookmarkStart w:id="1799" w:name="_Toc497746860"/>
      <w:bookmarkStart w:id="1800" w:name="_Toc403579013"/>
      <w:bookmarkStart w:id="1801" w:name="_Toc418751875"/>
      <w:bookmarkStart w:id="1802" w:name="_Toc522201805"/>
      <w:bookmarkStart w:id="1803" w:name="_Toc497747257"/>
      <w:bookmarkStart w:id="1804" w:name="_Toc373478425"/>
      <w:bookmarkStart w:id="1805" w:name="_Toc418061390"/>
      <w:bookmarkStart w:id="1806" w:name="_Toc373227778"/>
      <w:bookmarkStart w:id="1807" w:name="_Toc256000256"/>
      <w:bookmarkStart w:id="1808" w:name="_Toc418518189"/>
      <w:bookmarkStart w:id="1809" w:name="_Toc418752321"/>
      <w:bookmarkStart w:id="1810" w:name="_Toc418518425"/>
      <w:bookmarkStart w:id="1811" w:name="_Toc389065343"/>
      <w:r>
        <w:rPr>
          <w:rFonts w:hint="eastAsia" w:ascii="宋体" w:cs="宋体"/>
          <w:color w:val="auto"/>
          <w:highlight w:val="none"/>
        </w:rPr>
        <w:t>20.4 仲裁或诉讼</w:t>
      </w:r>
      <w:bookmarkEnd w:id="1591"/>
      <w:bookmarkEnd w:id="1799"/>
      <w:bookmarkEnd w:id="1800"/>
      <w:bookmarkEnd w:id="1801"/>
      <w:bookmarkEnd w:id="1802"/>
      <w:bookmarkEnd w:id="1803"/>
      <w:bookmarkEnd w:id="1804"/>
      <w:bookmarkEnd w:id="1805"/>
      <w:bookmarkEnd w:id="1806"/>
      <w:bookmarkEnd w:id="1807"/>
      <w:bookmarkEnd w:id="1808"/>
      <w:bookmarkEnd w:id="1809"/>
      <w:bookmarkEnd w:id="1810"/>
      <w:bookmarkEnd w:id="1811"/>
    </w:p>
    <w:p w14:paraId="65860D56">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因合同及合同有关事项发生的争议，按下列第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种方式解决：</w:t>
      </w:r>
    </w:p>
    <w:p w14:paraId="520B7CCF">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（1）提请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仲裁委员会按照该会仲裁规则进行仲裁，仲裁裁决是终局的，对合同双方均有约束力。</w:t>
      </w:r>
    </w:p>
    <w:p w14:paraId="697F644D">
      <w:pPr>
        <w:pStyle w:val="396"/>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（2）向</w:t>
      </w:r>
      <w:r>
        <w:rPr>
          <w:rFonts w:hint="eastAsia" w:ascii="宋体" w:hAnsi="宋体" w:cs="宋体"/>
          <w:color w:val="auto"/>
          <w:szCs w:val="21"/>
          <w:highlight w:val="none"/>
          <w:u w:val="single"/>
        </w:rPr>
        <w:t xml:space="preserve">    桂林市本工程辖区内     </w:t>
      </w:r>
      <w:r>
        <w:rPr>
          <w:rFonts w:hint="eastAsia" w:ascii="宋体" w:hAnsi="宋体" w:cs="宋体"/>
          <w:color w:val="auto"/>
          <w:szCs w:val="21"/>
          <w:highlight w:val="none"/>
        </w:rPr>
        <w:t>人民法院起诉。</w:t>
      </w:r>
      <w:bookmarkEnd w:id="1592"/>
      <w:bookmarkEnd w:id="1593"/>
      <w:bookmarkEnd w:id="1594"/>
      <w:bookmarkEnd w:id="1595"/>
      <w:bookmarkEnd w:id="1596"/>
      <w:bookmarkEnd w:id="1597"/>
    </w:p>
    <w:p w14:paraId="10C62330">
      <w:pPr>
        <w:pStyle w:val="397"/>
        <w:jc w:val="both"/>
        <w:rPr>
          <w:rFonts w:hint="default" w:eastAsia="宋体"/>
          <w:b/>
          <w:bCs/>
          <w:color w:val="auto"/>
          <w:sz w:val="21"/>
          <w:szCs w:val="21"/>
          <w:highlight w:val="none"/>
          <w:lang w:val="en-US" w:eastAsia="zh-CN"/>
        </w:rPr>
      </w:pPr>
      <w:r>
        <w:rPr>
          <w:rFonts w:hint="eastAsia" w:ascii="宋体" w:cs="宋体"/>
          <w:b/>
          <w:bCs/>
          <w:color w:val="auto"/>
          <w:sz w:val="21"/>
          <w:szCs w:val="21"/>
          <w:highlight w:val="none"/>
        </w:rPr>
        <w:t>21.</w:t>
      </w:r>
      <w:r>
        <w:rPr>
          <w:rFonts w:hint="eastAsia" w:ascii="宋体" w:cs="宋体"/>
          <w:b/>
          <w:bCs/>
          <w:color w:val="auto"/>
          <w:sz w:val="21"/>
          <w:szCs w:val="21"/>
          <w:highlight w:val="none"/>
          <w:lang w:val="en-US" w:eastAsia="zh-CN"/>
        </w:rPr>
        <w:t xml:space="preserve"> </w:t>
      </w:r>
      <w:r>
        <w:rPr>
          <w:rFonts w:hint="default" w:eastAsia="宋体"/>
          <w:b/>
          <w:bCs/>
          <w:color w:val="auto"/>
          <w:sz w:val="21"/>
          <w:szCs w:val="21"/>
          <w:highlight w:val="none"/>
          <w:lang w:val="en-US" w:eastAsia="zh-CN"/>
        </w:rPr>
        <w:t>通知与送达</w:t>
      </w:r>
    </w:p>
    <w:p w14:paraId="014A481A">
      <w:pPr>
        <w:pStyle w:val="397"/>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 xml:space="preserve">21.1 </w:t>
      </w:r>
      <w:r>
        <w:rPr>
          <w:rFonts w:hint="default" w:eastAsia="宋体"/>
          <w:color w:val="auto"/>
          <w:sz w:val="21"/>
          <w:szCs w:val="21"/>
          <w:highlight w:val="none"/>
          <w:lang w:val="en-US" w:eastAsia="zh-CN"/>
        </w:rPr>
        <w:t>双方约定，双方的通信地址为：</w:t>
      </w:r>
    </w:p>
    <w:p w14:paraId="61671032">
      <w:pPr>
        <w:pStyle w:val="397"/>
        <w:jc w:val="both"/>
        <w:rPr>
          <w:rFonts w:hint="default" w:eastAsia="宋体"/>
          <w:color w:val="auto"/>
          <w:sz w:val="21"/>
          <w:szCs w:val="21"/>
          <w:highlight w:val="none"/>
          <w:lang w:val="en-US" w:eastAsia="zh-CN"/>
        </w:rPr>
      </w:pPr>
      <w:r>
        <w:rPr>
          <w:rFonts w:hint="default" w:eastAsia="宋体"/>
          <w:color w:val="auto"/>
          <w:sz w:val="21"/>
          <w:szCs w:val="21"/>
          <w:highlight w:val="none"/>
          <w:lang w:val="en-US" w:eastAsia="zh-CN"/>
        </w:rPr>
        <w:t>甲方指定的联系方式为：</w:t>
      </w:r>
    </w:p>
    <w:p w14:paraId="7FDEB2E8">
      <w:pPr>
        <w:pStyle w:val="397"/>
        <w:jc w:val="both"/>
        <w:rPr>
          <w:rFonts w:hint="default" w:eastAsia="宋体"/>
          <w:color w:val="auto"/>
          <w:sz w:val="21"/>
          <w:szCs w:val="21"/>
          <w:highlight w:val="none"/>
          <w:lang w:val="en-US" w:eastAsia="zh-CN"/>
        </w:rPr>
      </w:pPr>
      <w:r>
        <w:rPr>
          <w:rFonts w:hint="default" w:eastAsia="宋体"/>
          <w:color w:val="auto"/>
          <w:sz w:val="21"/>
          <w:szCs w:val="21"/>
          <w:highlight w:val="none"/>
          <w:lang w:val="en-US" w:eastAsia="zh-CN"/>
        </w:rPr>
        <w:t>电话：</w:t>
      </w:r>
      <w:r>
        <w:rPr>
          <w:rFonts w:hint="eastAsia"/>
          <w:color w:val="auto"/>
          <w:sz w:val="21"/>
          <w:szCs w:val="21"/>
          <w:highlight w:val="none"/>
          <w:lang w:val="en-US" w:eastAsia="zh-CN"/>
        </w:rPr>
        <w:t xml:space="preserve"> </w:t>
      </w:r>
      <w:r>
        <w:rPr>
          <w:rFonts w:hint="default" w:eastAsia="宋体"/>
          <w:color w:val="auto"/>
          <w:sz w:val="21"/>
          <w:szCs w:val="21"/>
          <w:highlight w:val="none"/>
          <w:lang w:val="en-US" w:eastAsia="zh-CN"/>
        </w:rPr>
        <w:t>；电子信箱：</w:t>
      </w:r>
      <w:r>
        <w:rPr>
          <w:rFonts w:hint="eastAsia"/>
          <w:color w:val="auto"/>
          <w:sz w:val="21"/>
          <w:szCs w:val="21"/>
          <w:highlight w:val="none"/>
          <w:lang w:val="en-US" w:eastAsia="zh-CN"/>
        </w:rPr>
        <w:t xml:space="preserve"> </w:t>
      </w:r>
      <w:r>
        <w:rPr>
          <w:rFonts w:hint="default" w:eastAsia="宋体"/>
          <w:color w:val="auto"/>
          <w:sz w:val="21"/>
          <w:szCs w:val="21"/>
          <w:highlight w:val="none"/>
          <w:lang w:val="en-US" w:eastAsia="zh-CN"/>
        </w:rPr>
        <w:t>；通信地址：</w:t>
      </w:r>
      <w:r>
        <w:rPr>
          <w:rFonts w:hint="eastAsia"/>
          <w:color w:val="auto"/>
          <w:sz w:val="21"/>
          <w:szCs w:val="21"/>
          <w:highlight w:val="none"/>
          <w:lang w:val="en-US" w:eastAsia="zh-CN"/>
        </w:rPr>
        <w:t xml:space="preserve"> </w:t>
      </w:r>
      <w:r>
        <w:rPr>
          <w:rFonts w:hint="default" w:eastAsia="宋体"/>
          <w:color w:val="auto"/>
          <w:sz w:val="21"/>
          <w:szCs w:val="21"/>
          <w:highlight w:val="none"/>
          <w:lang w:val="en-US" w:eastAsia="zh-CN"/>
        </w:rPr>
        <w:t xml:space="preserve">。                                         </w:t>
      </w:r>
    </w:p>
    <w:p w14:paraId="1D51ECF7">
      <w:pPr>
        <w:pStyle w:val="397"/>
        <w:jc w:val="both"/>
        <w:rPr>
          <w:rFonts w:hint="default" w:eastAsia="宋体"/>
          <w:color w:val="auto"/>
          <w:sz w:val="21"/>
          <w:szCs w:val="21"/>
          <w:highlight w:val="none"/>
          <w:lang w:val="en-US" w:eastAsia="zh-CN"/>
        </w:rPr>
      </w:pPr>
      <w:r>
        <w:rPr>
          <w:rFonts w:hint="default" w:eastAsia="宋体"/>
          <w:color w:val="auto"/>
          <w:sz w:val="21"/>
          <w:szCs w:val="21"/>
          <w:highlight w:val="none"/>
          <w:lang w:val="en-US" w:eastAsia="zh-CN"/>
        </w:rPr>
        <w:t>乙方指定联系方式：</w:t>
      </w:r>
    </w:p>
    <w:p w14:paraId="6BEA68E3">
      <w:pPr>
        <w:pStyle w:val="397"/>
        <w:jc w:val="both"/>
        <w:rPr>
          <w:rFonts w:hint="default" w:eastAsia="宋体"/>
          <w:color w:val="auto"/>
          <w:sz w:val="21"/>
          <w:szCs w:val="21"/>
          <w:highlight w:val="none"/>
          <w:lang w:val="en-US" w:eastAsia="zh-CN"/>
        </w:rPr>
      </w:pPr>
      <w:r>
        <w:rPr>
          <w:rFonts w:hint="default" w:eastAsia="宋体"/>
          <w:color w:val="auto"/>
          <w:sz w:val="21"/>
          <w:szCs w:val="21"/>
          <w:highlight w:val="none"/>
          <w:lang w:val="en-US" w:eastAsia="zh-CN"/>
        </w:rPr>
        <w:t>电话：</w:t>
      </w:r>
      <w:r>
        <w:rPr>
          <w:rFonts w:hint="eastAsia"/>
          <w:color w:val="auto"/>
          <w:sz w:val="21"/>
          <w:szCs w:val="21"/>
          <w:highlight w:val="none"/>
          <w:lang w:val="en-US" w:eastAsia="zh-CN"/>
        </w:rPr>
        <w:t xml:space="preserve">    </w:t>
      </w:r>
      <w:r>
        <w:rPr>
          <w:rFonts w:hint="default" w:eastAsia="宋体"/>
          <w:color w:val="auto"/>
          <w:sz w:val="21"/>
          <w:szCs w:val="21"/>
          <w:highlight w:val="none"/>
          <w:lang w:val="en-US" w:eastAsia="zh-CN"/>
        </w:rPr>
        <w:t>；电子信箱：     ；通信地址：</w:t>
      </w:r>
      <w:r>
        <w:rPr>
          <w:rFonts w:hint="eastAsia"/>
          <w:color w:val="auto"/>
          <w:sz w:val="21"/>
          <w:szCs w:val="21"/>
          <w:highlight w:val="none"/>
          <w:lang w:val="en-US" w:eastAsia="zh-CN"/>
        </w:rPr>
        <w:t xml:space="preserve">     </w:t>
      </w:r>
      <w:r>
        <w:rPr>
          <w:rFonts w:hint="default" w:eastAsia="宋体"/>
          <w:color w:val="auto"/>
          <w:sz w:val="21"/>
          <w:szCs w:val="21"/>
          <w:highlight w:val="none"/>
          <w:lang w:val="en-US" w:eastAsia="zh-CN"/>
        </w:rPr>
        <w:t xml:space="preserve">。  </w:t>
      </w:r>
    </w:p>
    <w:p w14:paraId="09214ADB">
      <w:pPr>
        <w:pStyle w:val="397"/>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 xml:space="preserve">22.2 </w:t>
      </w:r>
      <w:r>
        <w:rPr>
          <w:rFonts w:hint="default" w:eastAsia="宋体"/>
          <w:color w:val="auto"/>
          <w:sz w:val="21"/>
          <w:szCs w:val="21"/>
          <w:highlight w:val="none"/>
          <w:lang w:val="en-US" w:eastAsia="zh-CN"/>
        </w:rPr>
        <w:t>与签订及履行本合同有关的一切通知、函件或其他法律文件，发包人和编制方双方均应向上述指定联系人及地址送达。以专人送达的，由指定联系人签字之日为送达日；以信件或快递方式送达的，以发邮后第三日为送达日；以电子邮件或手机信息方式送达的，以发送一方系统显示的发送成功之日为送达日。</w:t>
      </w:r>
    </w:p>
    <w:p w14:paraId="0D2CF215">
      <w:pPr>
        <w:pStyle w:val="397"/>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 xml:space="preserve">22.3 </w:t>
      </w:r>
      <w:r>
        <w:rPr>
          <w:rFonts w:hint="default" w:eastAsia="宋体"/>
          <w:color w:val="auto"/>
          <w:sz w:val="21"/>
          <w:szCs w:val="21"/>
          <w:highlight w:val="none"/>
          <w:lang w:val="en-US" w:eastAsia="zh-CN"/>
        </w:rPr>
        <w:t>双方确认，本合同载明的各方地址为双方真实有效通讯地址，一方地址变更的，应在变更后10日内书面通知对方，否则本合同载明的地址仍为真实有效通讯地址。</w:t>
      </w:r>
    </w:p>
    <w:p w14:paraId="56BA0847">
      <w:pPr>
        <w:pStyle w:val="397"/>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22.4</w:t>
      </w:r>
      <w:r>
        <w:rPr>
          <w:rFonts w:hint="default" w:eastAsia="宋体"/>
          <w:color w:val="auto"/>
          <w:sz w:val="21"/>
          <w:szCs w:val="21"/>
          <w:highlight w:val="none"/>
          <w:lang w:val="en-US" w:eastAsia="zh-CN"/>
        </w:rPr>
        <w:t xml:space="preserve">上述送达地址和联系方式适用范围包括双方非诉时各类通知、合同等文件以及就合同发生纠纷时相关文件和法律文书的送达，同时包括在争议进入仲裁、民事诉讼程序后的一审、二审、再审和执行程序。 </w:t>
      </w:r>
    </w:p>
    <w:p w14:paraId="1B8A48C6">
      <w:pPr>
        <w:pStyle w:val="397"/>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 xml:space="preserve">22.5 </w:t>
      </w:r>
      <w:r>
        <w:rPr>
          <w:rFonts w:hint="default" w:eastAsia="宋体"/>
          <w:color w:val="auto"/>
          <w:sz w:val="21"/>
          <w:szCs w:val="21"/>
          <w:highlight w:val="none"/>
          <w:lang w:val="en-US" w:eastAsia="zh-CN"/>
        </w:rPr>
        <w:t>合同送达条款为独立条款，不受合同整体或其他条款的效力的影响。</w:t>
      </w:r>
    </w:p>
    <w:p w14:paraId="70A0D5D7">
      <w:pPr>
        <w:pStyle w:val="504"/>
        <w:spacing w:line="380" w:lineRule="exact"/>
        <w:rPr>
          <w:rFonts w:ascii="宋体" w:cs="宋体"/>
          <w:color w:val="auto"/>
          <w:highlight w:val="none"/>
        </w:rPr>
      </w:pPr>
      <w:bookmarkStart w:id="1812" w:name="_Toc373227779"/>
      <w:bookmarkStart w:id="1813" w:name="_Toc389065344"/>
      <w:bookmarkStart w:id="1814" w:name="_Toc373478426"/>
      <w:bookmarkStart w:id="1815" w:name="_Toc497746861"/>
      <w:bookmarkStart w:id="1816" w:name="_Toc522201806"/>
      <w:bookmarkStart w:id="1817" w:name="_Toc395382582"/>
      <w:bookmarkStart w:id="1818" w:name="_Toc256000257"/>
      <w:bookmarkStart w:id="1819" w:name="_Toc497747258"/>
      <w:r>
        <w:rPr>
          <w:rFonts w:hint="eastAsia" w:ascii="宋体" w:cs="宋体"/>
          <w:color w:val="auto"/>
          <w:highlight w:val="none"/>
        </w:rPr>
        <w:t>2</w:t>
      </w:r>
      <w:r>
        <w:rPr>
          <w:rFonts w:hint="eastAsia" w:ascii="宋体" w:cs="宋体"/>
          <w:color w:val="auto"/>
          <w:highlight w:val="none"/>
          <w:lang w:val="en-US" w:eastAsia="zh-CN"/>
        </w:rPr>
        <w:t>2</w:t>
      </w:r>
      <w:r>
        <w:rPr>
          <w:rFonts w:hint="eastAsia" w:ascii="宋体" w:cs="宋体"/>
          <w:color w:val="auto"/>
          <w:highlight w:val="none"/>
        </w:rPr>
        <w:t>. 补充条款</w:t>
      </w:r>
      <w:bookmarkEnd w:id="1812"/>
      <w:bookmarkEnd w:id="1813"/>
      <w:bookmarkEnd w:id="1814"/>
      <w:bookmarkEnd w:id="1815"/>
      <w:bookmarkEnd w:id="1816"/>
      <w:bookmarkEnd w:id="1817"/>
      <w:bookmarkEnd w:id="1818"/>
      <w:bookmarkEnd w:id="1819"/>
    </w:p>
    <w:p w14:paraId="716E8E5C">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 xml:space="preserve">1 根据桂人社规[2021]16号文，承包人在投标时必须在投标文件中承诺，在发包人发出交款通知之日起 7 个工作日内足额将民工工资保障金转入建设行政主管部门设立的农民工工资保障金专用帐号。发包人按节点足额支付工程款后，一旦其承包的建设工程项目中出现拖欠农民工工资情况的，由主管部门从其农民工工资保障金中先予支付。 </w:t>
      </w:r>
    </w:p>
    <w:p w14:paraId="59C45286">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 xml:space="preserve">2 承包方采用新工艺新材料，必须在使用前 2 个月，向发包方提交相关的技术资料、发明专利、产品证书、样品及应用的实例、单价组成等有关资料；经发包方、设计单位认可后方可使用，凡未经批准擅自使用者除费用自行承担外还应赔偿发包方由此引起的经济损失。 </w:t>
      </w:r>
    </w:p>
    <w:p w14:paraId="0AE9B065">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3 赶工费、夜间施工费由投标人结合自身企业的实际情况及对施工现场的考察、提供的图纸等各方面的资料自行报价，并包干使用，今后不作任何调整和签证。</w:t>
      </w:r>
    </w:p>
    <w:p w14:paraId="120431F9">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 xml:space="preserve">4 根据《建设工程质量检测管理办法》（建设部令第 141 号）以及《广西壮族自治区建设工程质量检测管理规定》（桂建管〔2013〕11 号）规定，工程质量检测业务由招标人委托有相应资质的检测机构检测。费用从招标人的项目建设经费中支出并直接支付给检测机构，不计入合同价款内。 </w:t>
      </w:r>
    </w:p>
    <w:p w14:paraId="6F83E50E">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6 发包人需要</w:t>
      </w:r>
      <w:r>
        <w:rPr>
          <w:rFonts w:hint="eastAsia" w:ascii="宋体" w:hAnsi="宋体" w:cs="宋体"/>
          <w:strike w:val="0"/>
          <w:dstrike w:val="0"/>
          <w:color w:val="auto"/>
          <w:kern w:val="0"/>
          <w:szCs w:val="21"/>
          <w:highlight w:val="none"/>
        </w:rPr>
        <w:t>持散装水泥、</w:t>
      </w:r>
      <w:r>
        <w:rPr>
          <w:rFonts w:hint="eastAsia" w:ascii="宋体" w:hAnsi="宋体" w:cs="宋体"/>
          <w:color w:val="auto"/>
          <w:kern w:val="0"/>
          <w:szCs w:val="21"/>
          <w:highlight w:val="none"/>
        </w:rPr>
        <w:t xml:space="preserve">多孔砖、砼砌块的材料发票原件到政府有关部门办理退款手续，承包人必须及时提供。否则，发包人有权按政府有关部门收缴标准及数额在承包人工程款中扣罚。 </w:t>
      </w:r>
    </w:p>
    <w:p w14:paraId="1A9E202C">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 xml:space="preserve">7 由于承包人不能按时提供属承包人应提供的文件导致发包人不能及时办理施工许可证，所有造成的后果由承包人承担责任。造成发包人损失的，承包人应赔偿发包人损失。 </w:t>
      </w:r>
    </w:p>
    <w:p w14:paraId="011C5D68">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 xml:space="preserve">8 已完工程成品保护的特殊要求及费用承担： 已竣工工程未交付发包人之前，承包人负责已完工程的成品保护工作，保护期间发生损坏，承包人自费予以修复。工程已交付发包人或发包人提前使用后的损坏及所需的修理费用、 工程成品毁损的风险， 由发包人承担。 若发包人要求承包人采取特殊措施保护的，由发包人就保护的工程部位和相应的追加合同价款另外进行协商。 </w:t>
      </w:r>
    </w:p>
    <w:p w14:paraId="1165F6A1">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 xml:space="preserve">9 材料严格保证质量，相同类型材料质量应一致，若发现有材料以次品冒充，则该部分所有材料均按次品处理且须重新更换合格材料才能使用。 </w:t>
      </w:r>
    </w:p>
    <w:p w14:paraId="298C36EE">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 xml:space="preserve">10 承包人必须配合监理工程师和发包人派驻工程师的工作，一切签证事宜均须在规定的时间内作出书面签证申请，过期补签无效，发包人超过规定期限没有签证的视为此签证发包人已同意。夜间施工增加费（含夜间加班加点）已包含在合同价款内，施工期间不予再签证。 </w:t>
      </w:r>
    </w:p>
    <w:p w14:paraId="73832D26">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11 承包人有以下情形之一者，视为违约，发包人有权依法解除合同，没收其全部履约保证金，承包人还应承担相应的法律责任。其中承包人有第① 、② 情形之一，且被法院确认的，无论工程是否完工，承包人已完工工程量的价款均减按财政评审价格的9</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 xml:space="preserve">%计算。 </w:t>
      </w:r>
    </w:p>
    <w:p w14:paraId="3A3F3002">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① 经有关建设主管部门鉴定确认，承包人有挂靠行为。 </w:t>
      </w:r>
    </w:p>
    <w:p w14:paraId="656F9237">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② 转包工程，以牟取转让费、管理费。  </w:t>
      </w:r>
    </w:p>
    <w:p w14:paraId="1F8AA339">
      <w:pPr>
        <w:pStyle w:val="396"/>
        <w:autoSpaceDE w:val="0"/>
        <w:autoSpaceDN w:val="0"/>
        <w:adjustRightInd w:val="0"/>
        <w:spacing w:line="380" w:lineRule="exact"/>
        <w:ind w:firstLine="420" w:firstLineChars="200"/>
        <w:rPr>
          <w:color w:val="auto"/>
          <w:highlight w:val="none"/>
        </w:rPr>
      </w:pPr>
      <w:r>
        <w:rPr>
          <w:rFonts w:hint="eastAsia" w:ascii="宋体" w:hAnsi="宋体" w:cs="宋体"/>
          <w:color w:val="auto"/>
          <w:kern w:val="0"/>
          <w:szCs w:val="21"/>
          <w:highlight w:val="none"/>
        </w:rPr>
        <w:t xml:space="preserve">③ 自签订合同之日起 15 日内，因承包人责任无法组织合同规定的人员、机械进场或进场人员机械与合同严重不符。 </w:t>
      </w:r>
    </w:p>
    <w:p w14:paraId="29AECF31">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12 工程竣工验收通过后 14 天之内，承包人必须将临时工棚、建筑垃圾等全部清理出现场，否则从第15天起，每天处以1000元罚款且不办理结算。</w:t>
      </w:r>
    </w:p>
    <w:p w14:paraId="64906B19">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13 禁止使用童工。</w:t>
      </w:r>
    </w:p>
    <w:bookmarkEnd w:id="290"/>
    <w:p w14:paraId="37123027">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14 如因政策性原因或者项目暂时（或永久）取消导致开工延误或无法开工，发包人不支付承包人任何赔偿或补偿，并可根据政策要求或项目情况延时开工或取消部分合同内容。</w:t>
      </w:r>
    </w:p>
    <w:p w14:paraId="758CCC0D">
      <w:pPr>
        <w:pStyle w:val="396"/>
        <w:autoSpaceDE w:val="0"/>
        <w:autoSpaceDN w:val="0"/>
        <w:adjustRightInd w:val="0"/>
        <w:spacing w:line="38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15 承包人应自行协调与施工现场周边及村民的关系，确保项目施工顺利进行。发包人不再支付承包人因协调施工现场周边及村民关系而发生的任何费用。如因征地拆迁造成的问题由发包人负责牵头解决。</w:t>
      </w:r>
    </w:p>
    <w:p w14:paraId="6F9A67D8">
      <w:pPr>
        <w:pStyle w:val="396"/>
        <w:autoSpaceDE w:val="0"/>
        <w:autoSpaceDN w:val="0"/>
        <w:adjustRightInd w:val="0"/>
        <w:spacing w:line="380" w:lineRule="exact"/>
        <w:ind w:firstLine="420" w:firstLineChars="200"/>
        <w:rPr>
          <w:color w:val="auto"/>
          <w:highlight w:val="none"/>
        </w:rPr>
      </w:pPr>
      <w:r>
        <w:rPr>
          <w:rFonts w:hint="eastAsia" w:ascii="宋体" w:hAnsi="宋体" w:cs="宋体"/>
          <w:color w:val="auto"/>
          <w:kern w:val="0"/>
          <w:szCs w:val="21"/>
          <w:highlight w:val="none"/>
          <w:lang w:val="en-US" w:eastAsia="zh-CN"/>
        </w:rPr>
        <w:t xml:space="preserve">22.16 </w:t>
      </w:r>
      <w:r>
        <w:rPr>
          <w:rFonts w:hint="eastAsia" w:ascii="宋体" w:hAnsi="宋体" w:cs="宋体"/>
          <w:color w:val="auto"/>
          <w:kern w:val="0"/>
          <w:szCs w:val="21"/>
          <w:highlight w:val="none"/>
        </w:rPr>
        <w:t>安全生产责任保险费:根据《广西壮族自治区房屋建筑和市政基础设施工程安全生产责任保险计价规定的通知》(桂建发(2023)6号)、《广西壮族自治区房屋建筑和市政基础设施工程安全生产责任保险费计价规定的通知》(桂建价(2024)2号)相关规定执行</w:t>
      </w:r>
      <w:r>
        <w:rPr>
          <w:rFonts w:hint="eastAsia" w:ascii="宋体" w:hAnsi="宋体" w:cs="宋体"/>
          <w:color w:val="auto"/>
          <w:kern w:val="0"/>
          <w:szCs w:val="21"/>
          <w:highlight w:val="none"/>
          <w:lang w:eastAsia="zh-CN"/>
        </w:rPr>
        <w:t>。</w:t>
      </w:r>
    </w:p>
    <w:p w14:paraId="11B52159">
      <w:pPr>
        <w:pStyle w:val="397"/>
        <w:ind w:left="63" w:right="63"/>
        <w:rPr>
          <w:color w:val="auto"/>
          <w:highlight w:val="none"/>
        </w:rPr>
      </w:pPr>
    </w:p>
    <w:p w14:paraId="668C7686">
      <w:pPr>
        <w:pStyle w:val="397"/>
        <w:ind w:left="63" w:right="63"/>
        <w:rPr>
          <w:color w:val="auto"/>
          <w:highlight w:val="none"/>
        </w:rPr>
      </w:pPr>
    </w:p>
    <w:p w14:paraId="5AF8F826">
      <w:pPr>
        <w:pStyle w:val="397"/>
        <w:ind w:left="63" w:right="63"/>
        <w:rPr>
          <w:color w:val="auto"/>
          <w:highlight w:val="none"/>
        </w:rPr>
      </w:pPr>
    </w:p>
    <w:p w14:paraId="727E9F63">
      <w:pPr>
        <w:pStyle w:val="397"/>
        <w:ind w:left="63" w:right="63"/>
        <w:rPr>
          <w:color w:val="auto"/>
          <w:highlight w:val="none"/>
        </w:rPr>
      </w:pPr>
    </w:p>
    <w:p w14:paraId="68C23135">
      <w:pPr>
        <w:pStyle w:val="397"/>
        <w:ind w:left="63" w:right="63"/>
        <w:rPr>
          <w:color w:val="auto"/>
          <w:highlight w:val="none"/>
        </w:rPr>
      </w:pPr>
    </w:p>
    <w:p w14:paraId="657287EE">
      <w:pPr>
        <w:pStyle w:val="397"/>
        <w:ind w:left="63" w:right="63"/>
        <w:rPr>
          <w:color w:val="auto"/>
          <w:highlight w:val="none"/>
        </w:rPr>
      </w:pPr>
    </w:p>
    <w:p w14:paraId="5A6742B0">
      <w:pPr>
        <w:pStyle w:val="501"/>
        <w:tabs>
          <w:tab w:val="left" w:pos="0"/>
        </w:tabs>
        <w:spacing w:line="276" w:lineRule="auto"/>
        <w:ind w:firstLine="0" w:firstLineChars="0"/>
        <w:rPr>
          <w:color w:val="auto"/>
          <w:sz w:val="30"/>
          <w:szCs w:val="30"/>
          <w:highlight w:val="none"/>
        </w:rPr>
      </w:pPr>
      <w:r>
        <w:rPr>
          <w:color w:val="auto"/>
          <w:sz w:val="30"/>
          <w:szCs w:val="30"/>
          <w:highlight w:val="none"/>
        </w:rPr>
        <w:t xml:space="preserve">附件：    </w:t>
      </w:r>
    </w:p>
    <w:p w14:paraId="38E8F8EA">
      <w:pPr>
        <w:pStyle w:val="396"/>
        <w:jc w:val="center"/>
        <w:rPr>
          <w:rFonts w:ascii="宋体" w:hAnsi="宋体"/>
          <w:color w:val="auto"/>
          <w:sz w:val="28"/>
          <w:szCs w:val="28"/>
          <w:highlight w:val="none"/>
        </w:rPr>
      </w:pPr>
      <w:r>
        <w:rPr>
          <w:rFonts w:ascii="宋体" w:hAnsi="宋体"/>
          <w:color w:val="auto"/>
          <w:sz w:val="28"/>
          <w:szCs w:val="28"/>
          <w:highlight w:val="none"/>
        </w:rPr>
        <w:t>工程质量保修书</w:t>
      </w:r>
    </w:p>
    <w:p w14:paraId="42429671">
      <w:pPr>
        <w:pStyle w:val="501"/>
        <w:spacing w:line="320" w:lineRule="exact"/>
        <w:ind w:firstLine="0" w:firstLineChars="0"/>
        <w:rPr>
          <w:rFonts w:ascii="宋体" w:hAnsi="宋体" w:cs="宋体"/>
          <w:color w:val="auto"/>
          <w:highlight w:val="none"/>
        </w:rPr>
      </w:pPr>
      <w:r>
        <w:rPr>
          <w:rFonts w:hint="eastAsia" w:ascii="宋体" w:hAnsi="宋体" w:cs="宋体"/>
          <w:color w:val="auto"/>
          <w:highlight w:val="none"/>
        </w:rPr>
        <w:t>发包人（全称）：</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6FED1D54">
      <w:pPr>
        <w:pStyle w:val="501"/>
        <w:spacing w:line="320" w:lineRule="exact"/>
        <w:ind w:firstLine="0" w:firstLineChars="0"/>
        <w:rPr>
          <w:rFonts w:ascii="宋体" w:hAnsi="宋体" w:cs="宋体"/>
          <w:color w:val="auto"/>
          <w:highlight w:val="none"/>
        </w:rPr>
      </w:pPr>
      <w:r>
        <w:rPr>
          <w:rFonts w:hint="eastAsia" w:ascii="宋体" w:hAnsi="宋体" w:cs="宋体"/>
          <w:color w:val="auto"/>
          <w:highlight w:val="none"/>
        </w:rPr>
        <w:t>承包人（全称）：</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 xml:space="preserve"> </w:t>
      </w:r>
    </w:p>
    <w:p w14:paraId="1D43F8BE">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为保证</w:t>
      </w:r>
      <w:r>
        <w:rPr>
          <w:rFonts w:hint="eastAsia" w:ascii="宋体" w:hAnsi="宋体" w:cs="宋体"/>
          <w:color w:val="auto"/>
          <w:szCs w:val="21"/>
          <w:highlight w:val="none"/>
          <w:u w:val="single"/>
        </w:rPr>
        <w:t xml:space="preserve">  </w:t>
      </w:r>
      <w:r>
        <w:rPr>
          <w:rFonts w:hint="eastAsia" w:ascii="宋体" w:hAnsi="宋体" w:cs="宋体"/>
          <w:b/>
          <w:bCs/>
          <w:color w:val="auto"/>
          <w:szCs w:val="21"/>
          <w:highlight w:val="none"/>
          <w:u w:val="single"/>
          <w:lang w:eastAsia="zh-CN"/>
        </w:rPr>
        <w:t>工程</w:t>
      </w:r>
      <w:r>
        <w:rPr>
          <w:rFonts w:hint="eastAsia" w:ascii="宋体" w:hAnsi="宋体" w:cs="宋体"/>
          <w:color w:val="auto"/>
          <w:szCs w:val="21"/>
          <w:highlight w:val="none"/>
        </w:rPr>
        <w:t>在合理使用期限内正常使用，经发包人、承包人协商一致签订本工程质量保修书。承包人在质量保修期内按照有关管理规定及双方约定承担工程质量保修责任。</w:t>
      </w:r>
    </w:p>
    <w:p w14:paraId="13716F76">
      <w:pPr>
        <w:pStyle w:val="516"/>
        <w:spacing w:line="400" w:lineRule="exact"/>
        <w:ind w:firstLine="420" w:firstLineChars="200"/>
        <w:outlineLvl w:val="0"/>
        <w:rPr>
          <w:rFonts w:ascii="宋体" w:hAnsi="宋体" w:cs="宋体"/>
          <w:color w:val="auto"/>
          <w:szCs w:val="21"/>
          <w:highlight w:val="none"/>
        </w:rPr>
      </w:pPr>
      <w:bookmarkStart w:id="1820" w:name="_Toc522201808"/>
      <w:r>
        <w:rPr>
          <w:rFonts w:hint="eastAsia" w:ascii="宋体" w:hAnsi="宋体" w:cs="宋体"/>
          <w:color w:val="auto"/>
          <w:szCs w:val="21"/>
          <w:highlight w:val="none"/>
        </w:rPr>
        <w:t>一、工程保修范围和内容</w:t>
      </w:r>
      <w:bookmarkEnd w:id="1820"/>
    </w:p>
    <w:p w14:paraId="2B242DF3">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highlight w:val="none"/>
        </w:rPr>
        <w:t>质量保修范围为施工图纸所包括的工程内容</w:t>
      </w:r>
      <w:r>
        <w:rPr>
          <w:rFonts w:hint="eastAsia" w:ascii="宋体" w:hAnsi="宋体" w:cs="宋体"/>
          <w:color w:val="auto"/>
          <w:highlight w:val="none"/>
          <w:lang w:eastAsia="zh-CN"/>
        </w:rPr>
        <w:t>，</w:t>
      </w:r>
      <w:r>
        <w:rPr>
          <w:rFonts w:hint="eastAsia" w:ascii="宋体" w:hAnsi="宋体" w:cs="宋体"/>
          <w:color w:val="auto"/>
          <w:szCs w:val="21"/>
          <w:highlight w:val="none"/>
        </w:rPr>
        <w:t>具体质量保修内容双方约定如下：</w:t>
      </w:r>
      <w:r>
        <w:rPr>
          <w:rFonts w:hint="eastAsia" w:ascii="宋体" w:hAnsi="宋体" w:cs="宋体"/>
          <w:color w:val="auto"/>
          <w:szCs w:val="21"/>
          <w:highlight w:val="none"/>
          <w:u w:val="single"/>
        </w:rPr>
        <w:t xml:space="preserve"> 承包方所承包施工的全部工程内容 </w:t>
      </w:r>
      <w:r>
        <w:rPr>
          <w:rFonts w:hint="eastAsia" w:ascii="宋体" w:hAnsi="宋体" w:cs="宋体"/>
          <w:color w:val="auto"/>
          <w:szCs w:val="21"/>
          <w:highlight w:val="none"/>
        </w:rPr>
        <w:t>。</w:t>
      </w:r>
    </w:p>
    <w:p w14:paraId="6EB3F08C">
      <w:pPr>
        <w:pStyle w:val="516"/>
        <w:spacing w:line="400" w:lineRule="exact"/>
        <w:ind w:firstLine="420" w:firstLineChars="200"/>
        <w:outlineLvl w:val="0"/>
        <w:rPr>
          <w:rFonts w:ascii="宋体" w:hAnsi="宋体" w:cs="宋体"/>
          <w:color w:val="auto"/>
          <w:szCs w:val="21"/>
          <w:highlight w:val="none"/>
        </w:rPr>
      </w:pPr>
      <w:bookmarkStart w:id="1821" w:name="_Toc522201809"/>
      <w:r>
        <w:rPr>
          <w:rFonts w:hint="eastAsia" w:ascii="宋体" w:hAnsi="宋体" w:cs="宋体"/>
          <w:color w:val="auto"/>
          <w:szCs w:val="21"/>
          <w:highlight w:val="none"/>
        </w:rPr>
        <w:t>二、</w:t>
      </w:r>
      <w:r>
        <w:rPr>
          <w:rFonts w:hint="eastAsia" w:ascii="宋体" w:hAnsi="宋体" w:cs="宋体"/>
          <w:color w:val="auto"/>
          <w:szCs w:val="21"/>
          <w:highlight w:val="none"/>
          <w:lang w:eastAsia="zh-CN"/>
        </w:rPr>
        <w:t>质量</w:t>
      </w:r>
      <w:r>
        <w:rPr>
          <w:rFonts w:hint="eastAsia" w:ascii="宋体" w:hAnsi="宋体" w:cs="宋体"/>
          <w:color w:val="auto"/>
          <w:szCs w:val="21"/>
          <w:highlight w:val="none"/>
        </w:rPr>
        <w:t>保修期</w:t>
      </w:r>
      <w:bookmarkEnd w:id="1821"/>
    </w:p>
    <w:p w14:paraId="47B9D962">
      <w:pPr>
        <w:pStyle w:val="162"/>
        <w:spacing w:line="360" w:lineRule="auto"/>
        <w:ind w:firstLine="540"/>
        <w:rPr>
          <w:rFonts w:hint="eastAsia" w:ascii="宋体" w:hAnsi="宋体" w:cs="宋体"/>
          <w:color w:val="auto"/>
          <w:highlight w:val="none"/>
        </w:rPr>
      </w:pPr>
      <w:r>
        <w:rPr>
          <w:rFonts w:hint="eastAsia" w:ascii="宋体" w:hAnsi="宋体" w:cs="宋体"/>
          <w:color w:val="auto"/>
          <w:highlight w:val="none"/>
        </w:rPr>
        <w:t>质量保修期从工程实际竣工验收通过之日算起。分单项竣工验收的工程，按单项工程分别计算质量保修期。</w:t>
      </w:r>
    </w:p>
    <w:p w14:paraId="134D8767">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根据《建设工程质量管理条例》及有关规定，工程的质量保修期如下：</w:t>
      </w:r>
    </w:p>
    <w:p w14:paraId="6314B7DC">
      <w:pPr>
        <w:pageBreakBefore w:val="0"/>
        <w:kinsoku/>
        <w:wordWrap/>
        <w:topLinePunct w:val="0"/>
        <w:bidi w:val="0"/>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1．地基基础工程和主体结构工程为设计文件规定的工程合理使用年限；</w:t>
      </w:r>
    </w:p>
    <w:p w14:paraId="1D4882A5">
      <w:pPr>
        <w:pageBreakBefore w:val="0"/>
        <w:kinsoku/>
        <w:wordWrap/>
        <w:topLinePunct w:val="0"/>
        <w:bidi w:val="0"/>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2．屋面防水工程、有防水要求的卫生间、房间和外墙面的防渗为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5</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14:paraId="3459A734">
      <w:pPr>
        <w:pageBreakBefore w:val="0"/>
        <w:kinsoku/>
        <w:wordWrap/>
        <w:topLinePunct w:val="0"/>
        <w:bidi w:val="0"/>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3．装修工程为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14:paraId="566C7C24">
      <w:pPr>
        <w:pageBreakBefore w:val="0"/>
        <w:kinsoku/>
        <w:wordWrap/>
        <w:topLinePunct w:val="0"/>
        <w:bidi w:val="0"/>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4．电气管线、给排水管道、设备安装工程为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14:paraId="2CA90635">
      <w:pPr>
        <w:pageBreakBefore w:val="0"/>
        <w:kinsoku/>
        <w:wordWrap/>
        <w:topLinePunct w:val="0"/>
        <w:bidi w:val="0"/>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5．供热与供冷系统为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个采暖期、供冷期；</w:t>
      </w:r>
    </w:p>
    <w:p w14:paraId="197B9263">
      <w:pPr>
        <w:pageBreakBefore w:val="0"/>
        <w:kinsoku/>
        <w:wordWrap/>
        <w:topLinePunct w:val="0"/>
        <w:bidi w:val="0"/>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6．住宅小区内的给排水设施、道路等配套工程为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14:paraId="5BAF4FBF">
      <w:pPr>
        <w:pStyle w:val="396"/>
        <w:spacing w:line="400" w:lineRule="exact"/>
        <w:ind w:firstLine="420" w:firstLineChars="200"/>
        <w:rPr>
          <w:rFonts w:hint="eastAsia" w:ascii="宋体" w:hAnsi="宋体" w:cs="宋体"/>
          <w:color w:val="auto"/>
          <w:highlight w:val="none"/>
          <w:u w:val="single"/>
          <w:lang w:val="en-US" w:eastAsia="zh-CN"/>
        </w:rPr>
      </w:pPr>
      <w:r>
        <w:rPr>
          <w:rFonts w:hint="eastAsia" w:ascii="宋体" w:hAnsi="宋体" w:eastAsia="宋体" w:cs="宋体"/>
          <w:color w:val="auto"/>
          <w:highlight w:val="none"/>
        </w:rPr>
        <w:t>7．其他项目保修期限约定如下：</w:t>
      </w:r>
      <w:r>
        <w:rPr>
          <w:rFonts w:hint="eastAsia" w:ascii="宋体" w:hAnsi="宋体" w:cs="宋体"/>
          <w:color w:val="auto"/>
          <w:highlight w:val="none"/>
          <w:u w:val="single"/>
          <w:lang w:val="en-US" w:eastAsia="zh-CN"/>
        </w:rPr>
        <w:t>本工程其余项目质保期均为两年，质量保修规范如国家有新规定，则按新规定执行</w:t>
      </w:r>
    </w:p>
    <w:p w14:paraId="1AF24EED">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质量保修期自工程竣工验收合格之日起计算。 </w:t>
      </w:r>
    </w:p>
    <w:p w14:paraId="2385CDCE">
      <w:pPr>
        <w:pStyle w:val="516"/>
        <w:spacing w:line="400" w:lineRule="exact"/>
        <w:ind w:firstLine="420" w:firstLineChars="200"/>
        <w:outlineLvl w:val="0"/>
        <w:rPr>
          <w:rFonts w:ascii="宋体" w:hAnsi="宋体" w:cs="宋体"/>
          <w:color w:val="auto"/>
          <w:szCs w:val="21"/>
          <w:highlight w:val="none"/>
        </w:rPr>
      </w:pPr>
      <w:r>
        <w:rPr>
          <w:rFonts w:hint="eastAsia" w:ascii="宋体" w:hAnsi="宋体" w:cs="宋体"/>
          <w:color w:val="auto"/>
          <w:szCs w:val="21"/>
          <w:highlight w:val="none"/>
        </w:rPr>
        <w:t>三、缺陷责任期</w:t>
      </w:r>
    </w:p>
    <w:p w14:paraId="4E0AB070">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工程缺陷责任期为</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个月（最长不超过24个月），缺陷责任期自工程竣工验收合格之日起计算。单位工程先于全部工程进行验收，单位工程缺陷责任期自单位工程验收合格之日起算。</w:t>
      </w:r>
    </w:p>
    <w:p w14:paraId="3143A6B2">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缺陷责任期终止后，发包人应退还剩余的质量保证金。</w:t>
      </w:r>
    </w:p>
    <w:p w14:paraId="3D15E29A">
      <w:pPr>
        <w:pStyle w:val="516"/>
        <w:spacing w:line="400" w:lineRule="exact"/>
        <w:ind w:firstLine="420" w:firstLineChars="200"/>
        <w:outlineLvl w:val="0"/>
        <w:rPr>
          <w:rFonts w:ascii="宋体" w:hAnsi="宋体" w:cs="宋体"/>
          <w:color w:val="auto"/>
          <w:szCs w:val="21"/>
          <w:highlight w:val="none"/>
        </w:rPr>
      </w:pPr>
      <w:r>
        <w:rPr>
          <w:rFonts w:hint="eastAsia" w:ascii="宋体" w:hAnsi="宋体" w:cs="宋体"/>
          <w:color w:val="auto"/>
          <w:szCs w:val="21"/>
          <w:highlight w:val="none"/>
        </w:rPr>
        <w:t>四、质量保修责任</w:t>
      </w:r>
    </w:p>
    <w:p w14:paraId="0D64399E">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1．属于保修范围、内容的项目，承包人应当在接到保修通知之日起</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天内派人保修。承包人不在约定期限内派人保修的，发包人可以委托他人修理，修理费用从</w:t>
      </w:r>
      <w:r>
        <w:rPr>
          <w:rFonts w:hint="eastAsia" w:ascii="宋体" w:hAnsi="宋体" w:cs="宋体"/>
          <w:color w:val="auto"/>
          <w:szCs w:val="21"/>
          <w:highlight w:val="none"/>
          <w:lang w:eastAsia="zh-CN"/>
        </w:rPr>
        <w:t>质量保证金</w:t>
      </w:r>
      <w:r>
        <w:rPr>
          <w:rFonts w:hint="eastAsia" w:ascii="宋体" w:hAnsi="宋体" w:cs="宋体"/>
          <w:color w:val="auto"/>
          <w:szCs w:val="21"/>
          <w:highlight w:val="none"/>
        </w:rPr>
        <w:t>内扣除。</w:t>
      </w:r>
    </w:p>
    <w:p w14:paraId="1BF9C0A6">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2．发生紧急事故需抢修的，承包人在接到事故通知后，应当立即到达事故现场抢修。</w:t>
      </w:r>
    </w:p>
    <w:p w14:paraId="20BAFF90">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01C4C2B">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4．质量保修完成后，由发包人组织验收。</w:t>
      </w:r>
    </w:p>
    <w:p w14:paraId="658F99EE">
      <w:pPr>
        <w:pStyle w:val="516"/>
        <w:spacing w:line="400" w:lineRule="exact"/>
        <w:ind w:firstLine="420" w:firstLineChars="200"/>
        <w:outlineLvl w:val="0"/>
        <w:rPr>
          <w:rFonts w:ascii="宋体" w:hAnsi="宋体" w:cs="宋体"/>
          <w:color w:val="auto"/>
          <w:szCs w:val="21"/>
          <w:highlight w:val="none"/>
        </w:rPr>
      </w:pPr>
      <w:r>
        <w:rPr>
          <w:rFonts w:hint="eastAsia" w:ascii="宋体" w:hAnsi="宋体" w:cs="宋体"/>
          <w:color w:val="auto"/>
          <w:szCs w:val="21"/>
          <w:highlight w:val="none"/>
        </w:rPr>
        <w:t>五、保修费用</w:t>
      </w:r>
    </w:p>
    <w:p w14:paraId="2B3FB359">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保修费用由造成质量缺陷的责任方承担。</w:t>
      </w:r>
    </w:p>
    <w:p w14:paraId="70A24E06">
      <w:pPr>
        <w:pStyle w:val="5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u w:val="none"/>
        </w:rPr>
      </w:pPr>
      <w:r>
        <w:rPr>
          <w:rFonts w:hint="eastAsia" w:ascii="宋体" w:hAnsi="宋体" w:cs="宋体"/>
          <w:color w:val="auto"/>
          <w:highlight w:val="none"/>
          <w:u w:val="none"/>
        </w:rPr>
        <w:t>六、</w:t>
      </w:r>
      <w:r>
        <w:rPr>
          <w:rFonts w:hint="eastAsia" w:ascii="宋体" w:hAnsi="宋体" w:cs="宋体"/>
          <w:color w:val="auto"/>
          <w:szCs w:val="21"/>
          <w:highlight w:val="none"/>
        </w:rPr>
        <w:t>缺陷责任期</w:t>
      </w:r>
      <w:r>
        <w:rPr>
          <w:rFonts w:hint="eastAsia" w:ascii="宋体" w:hAnsi="宋体" w:cs="宋体"/>
          <w:color w:val="auto"/>
          <w:highlight w:val="none"/>
          <w:u w:val="none"/>
        </w:rPr>
        <w:t>届满最终验收</w:t>
      </w:r>
    </w:p>
    <w:p w14:paraId="7CE91595">
      <w:pPr>
        <w:pStyle w:val="5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u w:val="none"/>
        </w:rPr>
      </w:pPr>
      <w:r>
        <w:rPr>
          <w:rFonts w:hint="eastAsia" w:ascii="宋体" w:hAnsi="宋体" w:cs="宋体"/>
          <w:color w:val="auto"/>
          <w:highlight w:val="none"/>
          <w:u w:val="none"/>
        </w:rPr>
        <w:t>1、在本合同约定的工程</w:t>
      </w:r>
      <w:r>
        <w:rPr>
          <w:rFonts w:hint="eastAsia" w:ascii="宋体" w:hAnsi="宋体" w:cs="宋体"/>
          <w:color w:val="auto"/>
          <w:szCs w:val="21"/>
          <w:highlight w:val="none"/>
        </w:rPr>
        <w:t>缺陷责任期</w:t>
      </w:r>
      <w:r>
        <w:rPr>
          <w:rFonts w:hint="eastAsia" w:ascii="宋体" w:hAnsi="宋体" w:cs="宋体"/>
          <w:color w:val="auto"/>
          <w:highlight w:val="none"/>
          <w:u w:val="none"/>
        </w:rPr>
        <w:t>届满之日起10日内，承包人应主动以书面形式向发包人提出组织最终验收的申请，发包人在收到承包人书面申请及报告后，应积极配合，并在10日内组织验收。</w:t>
      </w:r>
    </w:p>
    <w:p w14:paraId="3FE6E2DC">
      <w:pPr>
        <w:pStyle w:val="5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u w:val="none"/>
        </w:rPr>
      </w:pPr>
      <w:r>
        <w:rPr>
          <w:rFonts w:hint="eastAsia" w:ascii="宋体" w:hAnsi="宋体" w:cs="宋体"/>
          <w:color w:val="auto"/>
          <w:highlight w:val="none"/>
          <w:u w:val="none"/>
        </w:rPr>
        <w:t>2、验收内容：为承包方所承包施工的全部工程内容。</w:t>
      </w:r>
    </w:p>
    <w:p w14:paraId="34C75E75">
      <w:pPr>
        <w:pStyle w:val="5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u w:val="none"/>
        </w:rPr>
      </w:pPr>
      <w:r>
        <w:rPr>
          <w:rFonts w:hint="eastAsia" w:ascii="宋体" w:hAnsi="宋体" w:cs="宋体"/>
          <w:color w:val="auto"/>
          <w:highlight w:val="none"/>
          <w:u w:val="none"/>
        </w:rPr>
        <w:t>3、验收结果：若双方一致确认所有工程质量问题已处理完毕，工程质量符合合格标准。应共同签署《工程最终验收合格证书》。若发现仍有未处理的缺陷，承包人须在10日内完成修复，如承包人不在约定期限内修复的，发包人可以委托他人修理，修理费用从剩余工程款及质保金内扣除。修复完成后，应重新发起最终验收程序。由此导致的延误及费用由承包人承担。</w:t>
      </w:r>
    </w:p>
    <w:p w14:paraId="7B2CE217">
      <w:pPr>
        <w:pStyle w:val="5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highlight w:val="none"/>
          <w:u w:val="none"/>
        </w:rPr>
      </w:pPr>
      <w:r>
        <w:rPr>
          <w:rFonts w:hint="eastAsia" w:ascii="宋体" w:hAnsi="宋体" w:cs="宋体"/>
          <w:color w:val="auto"/>
          <w:highlight w:val="none"/>
          <w:u w:val="none"/>
        </w:rPr>
        <w:t>4、若承包人未按本条约定主动发起最终验收申请，则视为承包人同意：</w:t>
      </w:r>
      <w:r>
        <w:rPr>
          <w:rFonts w:hint="eastAsia" w:ascii="宋体" w:hAnsi="宋体" w:cs="宋体"/>
          <w:color w:val="auto"/>
          <w:szCs w:val="21"/>
          <w:highlight w:val="none"/>
        </w:rPr>
        <w:t>缺陷责任期</w:t>
      </w:r>
      <w:r>
        <w:rPr>
          <w:rFonts w:hint="eastAsia" w:ascii="宋体" w:hAnsi="宋体" w:cs="宋体"/>
          <w:color w:val="auto"/>
          <w:highlight w:val="none"/>
          <w:u w:val="none"/>
        </w:rPr>
        <w:t>顺延，直至承包人提出最终验收申请之日止；如</w:t>
      </w:r>
      <w:r>
        <w:rPr>
          <w:rFonts w:hint="eastAsia" w:ascii="宋体" w:hAnsi="宋体" w:cs="宋体"/>
          <w:color w:val="auto"/>
          <w:szCs w:val="21"/>
          <w:highlight w:val="none"/>
        </w:rPr>
        <w:t>缺陷责任期</w:t>
      </w:r>
      <w:r>
        <w:rPr>
          <w:rFonts w:hint="eastAsia" w:ascii="宋体" w:hAnsi="宋体" w:cs="宋体"/>
          <w:color w:val="auto"/>
          <w:highlight w:val="none"/>
          <w:u w:val="none"/>
        </w:rPr>
        <w:t>顺延超过2年，承包人仍未向发包人提出最终验收申请的，视为承包人放弃工程质量保证金。</w:t>
      </w:r>
    </w:p>
    <w:p w14:paraId="119F1999">
      <w:pPr>
        <w:pStyle w:val="501"/>
        <w:numPr>
          <w:ilvl w:val="0"/>
          <w:numId w:val="0"/>
        </w:numPr>
        <w:spacing w:line="400" w:lineRule="exact"/>
        <w:ind w:firstLine="420" w:firstLineChars="200"/>
        <w:rPr>
          <w:rFonts w:hint="eastAsia" w:ascii="宋体" w:hAnsi="宋体" w:cs="宋体"/>
          <w:color w:val="auto"/>
          <w:highlight w:val="none"/>
        </w:rPr>
      </w:pPr>
      <w:r>
        <w:rPr>
          <w:rFonts w:hint="eastAsia" w:ascii="宋体" w:hAnsi="宋体" w:cs="宋体"/>
          <w:color w:val="auto"/>
          <w:kern w:val="2"/>
          <w:sz w:val="21"/>
          <w:szCs w:val="21"/>
          <w:highlight w:val="none"/>
          <w:lang w:val="en-US" w:eastAsia="zh-CN" w:bidi="ar-SA"/>
        </w:rPr>
        <w:t>七</w:t>
      </w:r>
      <w:r>
        <w:rPr>
          <w:rFonts w:hint="eastAsia" w:ascii="宋体" w:hAnsi="宋体" w:cs="宋体" w:eastAsiaTheme="minorEastAsia"/>
          <w:color w:val="auto"/>
          <w:kern w:val="2"/>
          <w:sz w:val="21"/>
          <w:szCs w:val="21"/>
          <w:highlight w:val="none"/>
          <w:lang w:val="en-US" w:eastAsia="zh-CN" w:bidi="ar-SA"/>
        </w:rPr>
        <w:t>、</w:t>
      </w:r>
      <w:r>
        <w:rPr>
          <w:rFonts w:hint="eastAsia" w:ascii="宋体" w:hAnsi="宋体" w:cs="宋体"/>
          <w:color w:val="auto"/>
          <w:highlight w:val="none"/>
        </w:rPr>
        <w:t xml:space="preserve">双方约定的其他工程质量保修事项： </w:t>
      </w:r>
    </w:p>
    <w:p w14:paraId="5A166DFE">
      <w:pPr>
        <w:pStyle w:val="501"/>
        <w:numPr>
          <w:ilvl w:val="0"/>
          <w:numId w:val="0"/>
        </w:numPr>
        <w:spacing w:line="400" w:lineRule="exact"/>
        <w:ind w:firstLine="420" w:firstLineChars="200"/>
        <w:rPr>
          <w:rFonts w:ascii="宋体" w:hAnsi="宋体" w:cs="宋体"/>
          <w:color w:val="auto"/>
          <w:highlight w:val="none"/>
          <w:u w:val="single"/>
        </w:rPr>
      </w:pPr>
      <w:r>
        <w:rPr>
          <w:rFonts w:hint="eastAsia" w:ascii="宋体" w:hAnsi="宋体" w:cs="宋体"/>
          <w:color w:val="auto"/>
          <w:highlight w:val="none"/>
        </w:rPr>
        <w:t xml:space="preserve"> 1. </w:t>
      </w:r>
      <w:r>
        <w:rPr>
          <w:rFonts w:hint="eastAsia" w:ascii="宋体" w:hAnsi="宋体" w:cs="宋体"/>
          <w:color w:val="auto"/>
          <w:highlight w:val="none"/>
          <w:u w:val="single"/>
        </w:rPr>
        <w:t>承包人未按照法律法规有关规定和合同约定履行质量保修义务的，发包人有权从质量保证金中扣留用于质量保修的各项支出。</w:t>
      </w:r>
    </w:p>
    <w:p w14:paraId="781A9B04">
      <w:pPr>
        <w:pStyle w:val="501"/>
        <w:numPr>
          <w:ilvl w:val="0"/>
          <w:numId w:val="7"/>
        </w:numPr>
        <w:spacing w:line="400" w:lineRule="exact"/>
        <w:rPr>
          <w:rFonts w:ascii="宋体" w:hAnsi="宋体" w:cs="宋体"/>
          <w:color w:val="auto"/>
          <w:highlight w:val="none"/>
          <w:u w:val="single"/>
        </w:rPr>
      </w:pP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比例：工程结算价的</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w:t>
      </w:r>
    </w:p>
    <w:p w14:paraId="6341A606">
      <w:pPr>
        <w:pStyle w:val="501"/>
        <w:numPr>
          <w:ilvl w:val="0"/>
          <w:numId w:val="7"/>
        </w:numPr>
        <w:spacing w:line="400" w:lineRule="exact"/>
        <w:rPr>
          <w:rFonts w:ascii="宋体" w:hAnsi="宋体" w:cs="宋体"/>
          <w:color w:val="auto"/>
          <w:highlight w:val="none"/>
        </w:rPr>
      </w:pP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返还：发包人在</w:t>
      </w:r>
      <w:r>
        <w:rPr>
          <w:rFonts w:hint="eastAsia" w:ascii="宋体" w:hAnsi="宋体" w:cs="宋体"/>
          <w:color w:val="auto"/>
          <w:szCs w:val="21"/>
          <w:highlight w:val="none"/>
          <w:u w:val="single"/>
        </w:rPr>
        <w:t>缺陷责任期</w:t>
      </w:r>
      <w:r>
        <w:rPr>
          <w:rFonts w:hint="eastAsia" w:ascii="宋体" w:hAnsi="宋体" w:cs="宋体"/>
          <w:color w:val="auto"/>
          <w:highlight w:val="none"/>
          <w:u w:val="single"/>
        </w:rPr>
        <w:t>届满最终验收</w:t>
      </w:r>
      <w:r>
        <w:rPr>
          <w:rFonts w:hint="eastAsia" w:ascii="宋体" w:hAnsi="宋体" w:cs="宋体"/>
          <w:color w:val="auto"/>
          <w:highlight w:val="none"/>
          <w:u w:val="single"/>
          <w:lang w:val="en-US" w:eastAsia="zh-CN"/>
        </w:rPr>
        <w:t>合格</w:t>
      </w:r>
      <w:r>
        <w:rPr>
          <w:rFonts w:hint="eastAsia" w:ascii="宋体" w:hAnsi="宋体" w:cs="宋体"/>
          <w:color w:val="auto"/>
          <w:highlight w:val="none"/>
          <w:u w:val="single"/>
        </w:rPr>
        <w:t>后</w:t>
      </w:r>
      <w:r>
        <w:rPr>
          <w:rFonts w:hint="eastAsia" w:ascii="宋体" w:hAnsi="宋体" w:cs="宋体"/>
          <w:color w:val="auto"/>
          <w:highlight w:val="none"/>
          <w:u w:val="single"/>
          <w:lang w:val="en-US" w:eastAsia="zh-CN"/>
        </w:rPr>
        <w:t>30个工作日</w:t>
      </w:r>
      <w:r>
        <w:rPr>
          <w:rFonts w:hint="eastAsia" w:ascii="宋体" w:hAnsi="宋体" w:cs="宋体"/>
          <w:color w:val="auto"/>
          <w:highlight w:val="none"/>
          <w:u w:val="single"/>
        </w:rPr>
        <w:t>内将</w:t>
      </w: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（无息）的返回给承包人，</w:t>
      </w: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 xml:space="preserve">的返还，并不能免除承包人按照合同约定应承担的质量保修责任和应履行的质量保修义务  </w:t>
      </w:r>
      <w:r>
        <w:rPr>
          <w:rFonts w:hint="eastAsia" w:ascii="宋体" w:hAnsi="宋体" w:cs="宋体"/>
          <w:color w:val="auto"/>
          <w:highlight w:val="none"/>
        </w:rPr>
        <w:t>。</w:t>
      </w:r>
    </w:p>
    <w:p w14:paraId="5787E628">
      <w:pPr>
        <w:pStyle w:val="396"/>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工程质量保修书由发包人、承包人在工程竣工验收前共同签署，作为施工合同附件，其有效期限至保修期满。</w:t>
      </w:r>
    </w:p>
    <w:p w14:paraId="48C555A7">
      <w:pPr>
        <w:pStyle w:val="396"/>
        <w:spacing w:line="320" w:lineRule="exact"/>
        <w:ind w:firstLine="420" w:firstLineChars="200"/>
        <w:rPr>
          <w:rFonts w:ascii="宋体" w:hAnsi="宋体" w:cs="宋体"/>
          <w:color w:val="auto"/>
          <w:szCs w:val="21"/>
          <w:highlight w:val="none"/>
        </w:rPr>
      </w:pPr>
    </w:p>
    <w:p w14:paraId="70BCE70D">
      <w:pPr>
        <w:pStyle w:val="397"/>
        <w:ind w:left="63" w:right="63"/>
        <w:rPr>
          <w:rFonts w:hint="eastAsia"/>
          <w:color w:val="auto"/>
          <w:highlight w:val="none"/>
          <w:lang w:val="en-US" w:eastAsia="zh-CN"/>
        </w:rPr>
      </w:pPr>
    </w:p>
    <w:p w14:paraId="01B52068">
      <w:pPr>
        <w:pStyle w:val="501"/>
        <w:spacing w:line="320" w:lineRule="exact"/>
        <w:ind w:left="0" w:leftChars="0" w:firstLine="0" w:firstLineChars="0"/>
        <w:rPr>
          <w:rFonts w:hint="default" w:ascii="宋体" w:hAnsi="宋体" w:cs="宋体" w:eastAsiaTheme="minorEastAsia"/>
          <w:color w:val="auto"/>
          <w:highlight w:val="none"/>
          <w:u w:val="single"/>
          <w:lang w:val="en-US" w:eastAsia="zh-CN"/>
        </w:rPr>
      </w:pPr>
      <w:r>
        <w:rPr>
          <w:rFonts w:hint="eastAsia" w:ascii="宋体" w:hAnsi="宋体" w:cs="宋体"/>
          <w:color w:val="auto"/>
          <w:highlight w:val="none"/>
        </w:rPr>
        <w:t>发包人(公章)：</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 xml:space="preserve">                           </w:t>
      </w:r>
      <w:r>
        <w:rPr>
          <w:rFonts w:hint="eastAsia" w:ascii="宋体" w:hAnsi="宋体" w:cs="宋体"/>
          <w:color w:val="auto"/>
          <w:highlight w:val="none"/>
        </w:rPr>
        <w:t>承包人(公章)：</w:t>
      </w:r>
      <w:r>
        <w:rPr>
          <w:rFonts w:hint="eastAsia" w:ascii="宋体" w:hAnsi="宋体" w:cs="宋体"/>
          <w:color w:val="auto"/>
          <w:highlight w:val="none"/>
          <w:u w:val="single"/>
          <w:lang w:val="en-US" w:eastAsia="zh-CN"/>
        </w:rPr>
        <w:t xml:space="preserve">     </w:t>
      </w:r>
    </w:p>
    <w:p w14:paraId="465CC157">
      <w:pPr>
        <w:pStyle w:val="501"/>
        <w:spacing w:line="320" w:lineRule="exact"/>
        <w:ind w:left="0" w:leftChars="0" w:firstLine="0" w:firstLineChars="0"/>
        <w:rPr>
          <w:rFonts w:ascii="宋体" w:hAnsi="宋体" w:cs="宋体"/>
          <w:color w:val="auto"/>
          <w:highlight w:val="none"/>
        </w:rPr>
      </w:pPr>
      <w:r>
        <w:rPr>
          <w:rFonts w:hint="eastAsia" w:ascii="宋体" w:hAnsi="宋体" w:cs="宋体"/>
          <w:color w:val="auto"/>
          <w:highlight w:val="none"/>
        </w:rPr>
        <w:t xml:space="preserve"> </w:t>
      </w:r>
    </w:p>
    <w:p w14:paraId="54C6FB32">
      <w:pPr>
        <w:pStyle w:val="501"/>
        <w:spacing w:line="320" w:lineRule="exact"/>
        <w:ind w:left="0" w:leftChars="0" w:firstLine="0" w:firstLineChars="0"/>
        <w:rPr>
          <w:rFonts w:hint="eastAsia" w:ascii="宋体" w:hAnsi="宋体" w:cs="宋体" w:eastAsiaTheme="minorEastAsia"/>
          <w:color w:val="auto"/>
          <w:highlight w:val="none"/>
          <w:lang w:eastAsia="zh-CN"/>
        </w:rPr>
      </w:pPr>
      <w:r>
        <w:rPr>
          <w:rFonts w:hint="eastAsia" w:ascii="宋体" w:hAnsi="宋体" w:cs="宋体"/>
          <w:color w:val="auto"/>
          <w:highlight w:val="none"/>
        </w:rPr>
        <w:t>地  址：</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地  址：</w:t>
      </w:r>
      <w:r>
        <w:rPr>
          <w:rFonts w:hint="eastAsia" w:ascii="宋体" w:hAnsi="宋体" w:cs="宋体"/>
          <w:color w:val="auto"/>
          <w:highlight w:val="none"/>
          <w:u w:val="single"/>
          <w:lang w:val="en-US" w:eastAsia="zh-CN"/>
        </w:rPr>
        <w:t xml:space="preserve">     </w:t>
      </w:r>
      <w:r>
        <w:rPr>
          <w:rFonts w:hint="eastAsia" w:ascii="宋体" w:hAnsi="宋体"/>
          <w:color w:val="auto"/>
          <w:highlight w:val="none"/>
          <w:u w:val="single"/>
          <w:lang w:val="en-US" w:eastAsia="zh-CN"/>
        </w:rPr>
        <w:t xml:space="preserve"> </w:t>
      </w:r>
    </w:p>
    <w:p w14:paraId="7963FEA8">
      <w:pPr>
        <w:pStyle w:val="501"/>
        <w:spacing w:line="320" w:lineRule="exact"/>
        <w:ind w:left="0" w:leftChars="0" w:firstLine="0" w:firstLineChars="0"/>
        <w:rPr>
          <w:rFonts w:hint="eastAsia" w:ascii="宋体" w:hAnsi="宋体" w:cs="宋体" w:eastAsiaTheme="minorEastAsia"/>
          <w:color w:val="auto"/>
          <w:highlight w:val="none"/>
          <w:lang w:eastAsia="zh-CN"/>
        </w:rPr>
      </w:pPr>
      <w:r>
        <w:rPr>
          <w:rFonts w:hint="eastAsia" w:ascii="宋体" w:hAnsi="宋体" w:cs="宋体"/>
          <w:color w:val="auto"/>
          <w:highlight w:val="none"/>
        </w:rPr>
        <w:t>法定代表人</w:t>
      </w:r>
      <w:r>
        <w:rPr>
          <w:rFonts w:hint="eastAsia" w:ascii="宋体" w:hAnsi="宋体" w:cs="宋体"/>
          <w:color w:val="auto"/>
          <w:highlight w:val="none"/>
          <w:lang w:eastAsia="zh-CN"/>
        </w:rPr>
        <w:t>或</w:t>
      </w:r>
      <w:r>
        <w:rPr>
          <w:rFonts w:hint="eastAsia" w:ascii="宋体" w:hAnsi="宋体" w:cs="宋体"/>
          <w:color w:val="auto"/>
          <w:highlight w:val="none"/>
        </w:rPr>
        <w:t xml:space="preserve">委托代理人    </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法定代表人</w:t>
      </w:r>
      <w:r>
        <w:rPr>
          <w:rFonts w:hint="eastAsia" w:ascii="宋体" w:hAnsi="宋体" w:cs="宋体"/>
          <w:color w:val="auto"/>
          <w:highlight w:val="none"/>
          <w:lang w:eastAsia="zh-CN"/>
        </w:rPr>
        <w:t>或</w:t>
      </w:r>
      <w:r>
        <w:rPr>
          <w:rFonts w:hint="eastAsia" w:ascii="宋体" w:hAnsi="宋体" w:cs="宋体"/>
          <w:color w:val="auto"/>
          <w:highlight w:val="none"/>
        </w:rPr>
        <w:t>委托代理人</w:t>
      </w:r>
    </w:p>
    <w:p w14:paraId="21AAAF62">
      <w:pPr>
        <w:pStyle w:val="501"/>
        <w:spacing w:line="320" w:lineRule="exact"/>
        <w:ind w:left="0" w:leftChars="0" w:firstLine="0" w:firstLineChars="0"/>
        <w:rPr>
          <w:rFonts w:hint="eastAsia" w:ascii="宋体" w:hAnsi="宋体" w:cs="宋体" w:eastAsiaTheme="minorEastAsia"/>
          <w:color w:val="auto"/>
          <w:highlight w:val="none"/>
          <w:lang w:val="en-US" w:eastAsia="zh-CN"/>
        </w:rPr>
      </w:pPr>
      <w:r>
        <w:rPr>
          <w:rFonts w:hint="eastAsia" w:ascii="宋体" w:hAnsi="宋体" w:cs="宋体"/>
          <w:color w:val="auto"/>
          <w:highlight w:val="none"/>
        </w:rPr>
        <w:t>(签字</w:t>
      </w:r>
      <w:r>
        <w:rPr>
          <w:rFonts w:hint="eastAsia" w:ascii="宋体" w:hAnsi="宋体" w:cs="宋体"/>
          <w:color w:val="auto"/>
          <w:highlight w:val="none"/>
          <w:lang w:eastAsia="zh-CN"/>
        </w:rPr>
        <w:t>或盖章</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(签字</w:t>
      </w:r>
      <w:r>
        <w:rPr>
          <w:rFonts w:hint="eastAsia" w:ascii="宋体" w:hAnsi="宋体" w:cs="宋体"/>
          <w:color w:val="auto"/>
          <w:highlight w:val="none"/>
          <w:lang w:eastAsia="zh-CN"/>
        </w:rPr>
        <w:t>或盖章</w:t>
      </w:r>
      <w:r>
        <w:rPr>
          <w:rFonts w:hint="eastAsia" w:ascii="宋体" w:hAnsi="宋体" w:cs="宋体"/>
          <w:color w:val="auto"/>
          <w:highlight w:val="none"/>
        </w:rPr>
        <w:t>)：</w:t>
      </w:r>
      <w:r>
        <w:rPr>
          <w:rFonts w:hint="eastAsia" w:ascii="宋体" w:hAnsi="宋体" w:cs="宋体"/>
          <w:color w:val="auto"/>
          <w:highlight w:val="none"/>
          <w:u w:val="single"/>
          <w:lang w:val="en-US" w:eastAsia="zh-CN"/>
        </w:rPr>
        <w:t xml:space="preserve">   </w:t>
      </w:r>
    </w:p>
    <w:p w14:paraId="4AD7FBA0">
      <w:pPr>
        <w:pStyle w:val="501"/>
        <w:spacing w:line="320" w:lineRule="exact"/>
        <w:ind w:left="0" w:leftChars="0" w:firstLine="0" w:firstLineChars="0"/>
        <w:rPr>
          <w:rFonts w:ascii="宋体" w:hAnsi="宋体" w:cs="宋体"/>
          <w:color w:val="auto"/>
          <w:highlight w:val="none"/>
        </w:rPr>
      </w:pPr>
      <w:r>
        <w:rPr>
          <w:rFonts w:hint="eastAsia" w:ascii="宋体" w:hAnsi="宋体" w:cs="宋体"/>
          <w:color w:val="auto"/>
          <w:highlight w:val="none"/>
        </w:rPr>
        <w:t>电  话：</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电  话：</w:t>
      </w:r>
      <w:r>
        <w:rPr>
          <w:rFonts w:hint="eastAsia" w:ascii="宋体" w:hAnsi="宋体" w:cs="宋体"/>
          <w:color w:val="auto"/>
          <w:highlight w:val="none"/>
          <w:u w:val="single"/>
        </w:rPr>
        <w:t></w:t>
      </w:r>
    </w:p>
    <w:p w14:paraId="48D6BF3D">
      <w:pPr>
        <w:rPr>
          <w:color w:val="auto"/>
          <w:highlight w:val="none"/>
        </w:rPr>
      </w:pPr>
    </w:p>
    <w:p w14:paraId="555CB039">
      <w:pPr>
        <w:pStyle w:val="501"/>
        <w:spacing w:line="320" w:lineRule="exact"/>
        <w:ind w:left="0" w:leftChars="0" w:firstLine="0" w:firstLineChars="0"/>
        <w:rPr>
          <w:rFonts w:hint="eastAsia" w:ascii="宋体" w:hAnsi="宋体" w:cs="宋体"/>
          <w:color w:val="auto"/>
          <w:highlight w:val="none"/>
          <w:u w:val="single"/>
        </w:rPr>
      </w:pPr>
    </w:p>
    <w:p w14:paraId="537B929F">
      <w:pPr>
        <w:pStyle w:val="501"/>
        <w:spacing w:line="320" w:lineRule="exact"/>
        <w:ind w:left="0" w:leftChars="0" w:firstLine="0" w:firstLineChars="0"/>
        <w:rPr>
          <w:rFonts w:hint="eastAsia" w:ascii="宋体" w:hAnsi="宋体" w:cs="宋体"/>
          <w:color w:val="auto"/>
          <w:highlight w:val="none"/>
          <w:u w:val="single"/>
        </w:rPr>
      </w:pPr>
    </w:p>
    <w:p w14:paraId="318FD69A">
      <w:pPr>
        <w:pStyle w:val="501"/>
        <w:spacing w:line="320" w:lineRule="exact"/>
        <w:ind w:left="0" w:leftChars="0" w:firstLine="0" w:firstLineChars="0"/>
        <w:rPr>
          <w:rFonts w:hint="eastAsia" w:ascii="宋体" w:hAnsi="宋体" w:cs="宋体"/>
          <w:color w:val="auto"/>
          <w:highlight w:val="none"/>
          <w:u w:val="single"/>
        </w:rPr>
      </w:pPr>
    </w:p>
    <w:p w14:paraId="49E93173">
      <w:pPr>
        <w:pStyle w:val="501"/>
        <w:spacing w:line="320" w:lineRule="exact"/>
        <w:ind w:left="0" w:leftChars="0" w:firstLine="0" w:firstLineChars="0"/>
        <w:rPr>
          <w:rFonts w:hint="eastAsia" w:ascii="宋体" w:hAnsi="宋体" w:cs="宋体"/>
          <w:color w:val="auto"/>
          <w:highlight w:val="none"/>
          <w:u w:val="single"/>
        </w:rPr>
      </w:pPr>
    </w:p>
    <w:p w14:paraId="759131DD">
      <w:pPr>
        <w:pStyle w:val="501"/>
        <w:spacing w:line="320" w:lineRule="exact"/>
        <w:ind w:left="0" w:leftChars="0" w:firstLine="0" w:firstLineChars="0"/>
        <w:rPr>
          <w:rFonts w:hint="eastAsia" w:ascii="宋体" w:hAnsi="宋体" w:cs="宋体"/>
          <w:color w:val="auto"/>
          <w:highlight w:val="none"/>
          <w:u w:val="single"/>
        </w:rPr>
      </w:pPr>
    </w:p>
    <w:p w14:paraId="29EFBD4C">
      <w:pPr>
        <w:pStyle w:val="501"/>
        <w:spacing w:line="320" w:lineRule="exact"/>
        <w:ind w:left="0" w:leftChars="0" w:firstLine="0" w:firstLineChars="0"/>
        <w:rPr>
          <w:rFonts w:hint="eastAsia" w:ascii="宋体" w:hAnsi="宋体" w:cs="宋体"/>
          <w:color w:val="auto"/>
          <w:highlight w:val="none"/>
          <w:u w:val="single"/>
        </w:rPr>
      </w:pPr>
    </w:p>
    <w:p w14:paraId="3BA68CEC">
      <w:pPr>
        <w:pStyle w:val="501"/>
        <w:spacing w:line="320" w:lineRule="exact"/>
        <w:ind w:left="0" w:leftChars="0" w:firstLine="0" w:firstLineChars="0"/>
        <w:rPr>
          <w:rFonts w:hint="eastAsia" w:ascii="宋体" w:hAnsi="宋体" w:cs="宋体"/>
          <w:color w:val="auto"/>
          <w:highlight w:val="none"/>
          <w:u w:val="single"/>
        </w:rPr>
      </w:pPr>
    </w:p>
    <w:p w14:paraId="78250368">
      <w:pPr>
        <w:pStyle w:val="501"/>
        <w:spacing w:line="320" w:lineRule="exact"/>
        <w:ind w:left="0" w:leftChars="0" w:firstLine="0" w:firstLineChars="0"/>
        <w:rPr>
          <w:rFonts w:hint="eastAsia" w:ascii="宋体" w:hAnsi="宋体" w:cs="宋体"/>
          <w:color w:val="auto"/>
          <w:highlight w:val="none"/>
          <w:u w:val="single"/>
        </w:rPr>
      </w:pPr>
    </w:p>
    <w:p w14:paraId="70892E18">
      <w:pPr>
        <w:pStyle w:val="501"/>
        <w:spacing w:line="320" w:lineRule="exact"/>
        <w:ind w:left="0" w:leftChars="0" w:firstLine="0" w:firstLineChars="0"/>
        <w:rPr>
          <w:rFonts w:hint="eastAsia" w:ascii="宋体" w:hAnsi="宋体" w:cs="宋体"/>
          <w:color w:val="auto"/>
          <w:highlight w:val="none"/>
          <w:u w:val="single"/>
        </w:rPr>
      </w:pPr>
    </w:p>
    <w:p w14:paraId="1E3EF67A">
      <w:pPr>
        <w:rPr>
          <w:color w:val="auto"/>
          <w:highlight w:val="none"/>
        </w:rPr>
      </w:pPr>
    </w:p>
    <w:p w14:paraId="0CBD125E">
      <w:pPr>
        <w:pStyle w:val="513"/>
        <w:spacing w:line="440" w:lineRule="exact"/>
        <w:rPr>
          <w:rFonts w:eastAsia="黑体"/>
          <w:color w:val="auto"/>
          <w:sz w:val="30"/>
          <w:szCs w:val="30"/>
          <w:highlight w:val="none"/>
        </w:rPr>
      </w:pPr>
      <w:r>
        <w:rPr>
          <w:rFonts w:eastAsia="仿宋_GB2312"/>
          <w:color w:val="auto"/>
          <w:sz w:val="30"/>
          <w:szCs w:val="30"/>
          <w:highlight w:val="none"/>
        </w:rPr>
        <w:t>附件</w:t>
      </w:r>
      <w:r>
        <w:rPr>
          <w:rFonts w:hint="eastAsia" w:eastAsia="仿宋_GB2312"/>
          <w:color w:val="auto"/>
          <w:sz w:val="30"/>
          <w:szCs w:val="30"/>
          <w:highlight w:val="none"/>
        </w:rPr>
        <w:t>3</w:t>
      </w:r>
      <w:r>
        <w:rPr>
          <w:rFonts w:eastAsia="仿宋_GB2312"/>
          <w:color w:val="auto"/>
          <w:sz w:val="30"/>
          <w:szCs w:val="30"/>
          <w:highlight w:val="none"/>
        </w:rPr>
        <w:t>：</w:t>
      </w:r>
    </w:p>
    <w:p w14:paraId="55A67B43">
      <w:pPr>
        <w:pStyle w:val="513"/>
        <w:spacing w:before="156" w:beforeLines="50" w:after="156"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5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183AB3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7620D988">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文件名称</w:t>
            </w:r>
          </w:p>
        </w:tc>
        <w:tc>
          <w:tcPr>
            <w:tcW w:w="1276" w:type="dxa"/>
            <w:tcBorders>
              <w:top w:val="single" w:color="auto" w:sz="12" w:space="0"/>
              <w:bottom w:val="double" w:color="auto" w:sz="6" w:space="0"/>
            </w:tcBorders>
            <w:noWrap w:val="0"/>
            <w:vAlign w:val="center"/>
          </w:tcPr>
          <w:p w14:paraId="02ED16F2">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套数</w:t>
            </w:r>
          </w:p>
        </w:tc>
        <w:tc>
          <w:tcPr>
            <w:tcW w:w="1450" w:type="dxa"/>
            <w:tcBorders>
              <w:top w:val="single" w:color="auto" w:sz="12" w:space="0"/>
              <w:bottom w:val="double" w:color="auto" w:sz="6" w:space="0"/>
            </w:tcBorders>
            <w:noWrap w:val="0"/>
            <w:vAlign w:val="center"/>
          </w:tcPr>
          <w:p w14:paraId="7EBC1FBB">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费用（元）</w:t>
            </w:r>
          </w:p>
        </w:tc>
        <w:tc>
          <w:tcPr>
            <w:tcW w:w="1243" w:type="dxa"/>
            <w:tcBorders>
              <w:top w:val="single" w:color="auto" w:sz="12" w:space="0"/>
              <w:bottom w:val="double" w:color="auto" w:sz="6" w:space="0"/>
            </w:tcBorders>
            <w:noWrap w:val="0"/>
            <w:vAlign w:val="center"/>
          </w:tcPr>
          <w:p w14:paraId="6B14BB0D">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w:t>
            </w:r>
          </w:p>
        </w:tc>
        <w:tc>
          <w:tcPr>
            <w:tcW w:w="1450" w:type="dxa"/>
            <w:tcBorders>
              <w:top w:val="single" w:color="auto" w:sz="12" w:space="0"/>
              <w:bottom w:val="double" w:color="auto" w:sz="6" w:space="0"/>
            </w:tcBorders>
            <w:noWrap w:val="0"/>
            <w:vAlign w:val="top"/>
          </w:tcPr>
          <w:p w14:paraId="1DBC322A">
            <w:pPr>
              <w:pStyle w:val="513"/>
              <w:spacing w:line="440" w:lineRule="exact"/>
              <w:jc w:val="center"/>
              <w:rPr>
                <w:rFonts w:eastAsia="仿宋_GB2312"/>
                <w:color w:val="auto"/>
                <w:sz w:val="28"/>
                <w:szCs w:val="30"/>
                <w:highlight w:val="none"/>
              </w:rPr>
            </w:pPr>
            <w:r>
              <w:rPr>
                <w:rFonts w:eastAsia="仿宋_GB2312"/>
                <w:color w:val="auto"/>
                <w:sz w:val="28"/>
                <w:szCs w:val="30"/>
                <w:highlight w:val="none"/>
              </w:rPr>
              <w:t>移交时间</w:t>
            </w:r>
          </w:p>
        </w:tc>
        <w:tc>
          <w:tcPr>
            <w:tcW w:w="1667" w:type="dxa"/>
            <w:tcBorders>
              <w:top w:val="single" w:color="auto" w:sz="12" w:space="0"/>
              <w:bottom w:val="double" w:color="auto" w:sz="6" w:space="0"/>
            </w:tcBorders>
            <w:noWrap w:val="0"/>
            <w:vAlign w:val="top"/>
          </w:tcPr>
          <w:p w14:paraId="4BE29806">
            <w:pPr>
              <w:pStyle w:val="513"/>
              <w:spacing w:line="440" w:lineRule="exact"/>
              <w:jc w:val="center"/>
              <w:rPr>
                <w:rFonts w:eastAsia="仿宋_GB2312"/>
                <w:color w:val="auto"/>
                <w:sz w:val="28"/>
                <w:szCs w:val="30"/>
                <w:highlight w:val="none"/>
              </w:rPr>
            </w:pPr>
            <w:r>
              <w:rPr>
                <w:rFonts w:eastAsia="仿宋_GB2312"/>
                <w:color w:val="auto"/>
                <w:sz w:val="28"/>
                <w:szCs w:val="30"/>
                <w:highlight w:val="none"/>
              </w:rPr>
              <w:t>责任人</w:t>
            </w:r>
          </w:p>
        </w:tc>
      </w:tr>
      <w:tr w14:paraId="39009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6508B15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double" w:color="auto" w:sz="6" w:space="0"/>
              <w:bottom w:val="single" w:color="auto" w:sz="6" w:space="0"/>
            </w:tcBorders>
            <w:noWrap w:val="0"/>
            <w:vAlign w:val="center"/>
          </w:tcPr>
          <w:p w14:paraId="5DBFC70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270379D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double" w:color="auto" w:sz="6" w:space="0"/>
              <w:bottom w:val="single" w:color="auto" w:sz="6" w:space="0"/>
            </w:tcBorders>
            <w:noWrap w:val="0"/>
            <w:vAlign w:val="center"/>
          </w:tcPr>
          <w:p w14:paraId="44FF6B8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18BD39E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double" w:color="auto" w:sz="6" w:space="0"/>
              <w:bottom w:val="single" w:color="auto" w:sz="6" w:space="0"/>
            </w:tcBorders>
            <w:noWrap w:val="0"/>
            <w:vAlign w:val="center"/>
          </w:tcPr>
          <w:p w14:paraId="2734B71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43CC6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5E7CD72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nil"/>
            </w:tcBorders>
            <w:noWrap w:val="0"/>
            <w:vAlign w:val="center"/>
          </w:tcPr>
          <w:p w14:paraId="346B883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noWrap w:val="0"/>
            <w:vAlign w:val="center"/>
          </w:tcPr>
          <w:p w14:paraId="0499489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nil"/>
            </w:tcBorders>
            <w:noWrap w:val="0"/>
            <w:vAlign w:val="center"/>
          </w:tcPr>
          <w:p w14:paraId="3297D1C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noWrap w:val="0"/>
            <w:vAlign w:val="center"/>
          </w:tcPr>
          <w:p w14:paraId="3E89FF6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nil"/>
            </w:tcBorders>
            <w:noWrap w:val="0"/>
            <w:vAlign w:val="center"/>
          </w:tcPr>
          <w:p w14:paraId="500D393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661D3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0295BF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3B47EEC3">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2316BC6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15F7402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7D730D6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608AE05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7E52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2B03CC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7893A12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57301CC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4EF1000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252EC54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73937FF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14C81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5C6F10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4922ABA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01F02BD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50AAD74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2CA3616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442022A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4CF1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3EE7E1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1E04B3D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623B172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1299CD0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6C0F819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52F0EE6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B1C8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763F6E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6D3D137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604DC45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25D628A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328DF37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0ECE8E7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1162C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4550DE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179BEB3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1214F37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7D5066D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1B91C3B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413B154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2B260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3196B74">
            <w:pPr>
              <w:pStyle w:val="513"/>
              <w:rPr>
                <w:rFonts w:eastAsia="仿宋_GB2312"/>
                <w:color w:val="auto"/>
                <w:sz w:val="30"/>
                <w:szCs w:val="30"/>
                <w:highlight w:val="none"/>
              </w:rPr>
            </w:pPr>
          </w:p>
        </w:tc>
        <w:tc>
          <w:tcPr>
            <w:tcW w:w="1276" w:type="dxa"/>
            <w:noWrap w:val="0"/>
            <w:vAlign w:val="top"/>
          </w:tcPr>
          <w:p w14:paraId="646528F4">
            <w:pPr>
              <w:pStyle w:val="513"/>
              <w:rPr>
                <w:rFonts w:eastAsia="仿宋_GB2312"/>
                <w:color w:val="auto"/>
                <w:sz w:val="30"/>
                <w:szCs w:val="30"/>
                <w:highlight w:val="none"/>
              </w:rPr>
            </w:pPr>
          </w:p>
        </w:tc>
        <w:tc>
          <w:tcPr>
            <w:tcW w:w="1450" w:type="dxa"/>
            <w:noWrap w:val="0"/>
            <w:vAlign w:val="top"/>
          </w:tcPr>
          <w:p w14:paraId="379E9F97">
            <w:pPr>
              <w:pStyle w:val="513"/>
              <w:rPr>
                <w:rFonts w:eastAsia="仿宋_GB2312"/>
                <w:color w:val="auto"/>
                <w:sz w:val="30"/>
                <w:szCs w:val="30"/>
                <w:highlight w:val="none"/>
              </w:rPr>
            </w:pPr>
          </w:p>
        </w:tc>
        <w:tc>
          <w:tcPr>
            <w:tcW w:w="1243" w:type="dxa"/>
            <w:noWrap w:val="0"/>
            <w:vAlign w:val="top"/>
          </w:tcPr>
          <w:p w14:paraId="4BD7E078">
            <w:pPr>
              <w:pStyle w:val="513"/>
              <w:rPr>
                <w:rFonts w:eastAsia="仿宋_GB2312"/>
                <w:color w:val="auto"/>
                <w:sz w:val="30"/>
                <w:szCs w:val="30"/>
                <w:highlight w:val="none"/>
              </w:rPr>
            </w:pPr>
          </w:p>
        </w:tc>
        <w:tc>
          <w:tcPr>
            <w:tcW w:w="1450" w:type="dxa"/>
            <w:noWrap w:val="0"/>
            <w:vAlign w:val="top"/>
          </w:tcPr>
          <w:p w14:paraId="31C9D4C7">
            <w:pPr>
              <w:pStyle w:val="513"/>
              <w:rPr>
                <w:rFonts w:eastAsia="仿宋_GB2312"/>
                <w:color w:val="auto"/>
                <w:sz w:val="30"/>
                <w:szCs w:val="30"/>
                <w:highlight w:val="none"/>
              </w:rPr>
            </w:pPr>
          </w:p>
        </w:tc>
        <w:tc>
          <w:tcPr>
            <w:tcW w:w="1667" w:type="dxa"/>
            <w:noWrap w:val="0"/>
            <w:vAlign w:val="top"/>
          </w:tcPr>
          <w:p w14:paraId="4F242FD4">
            <w:pPr>
              <w:pStyle w:val="513"/>
              <w:rPr>
                <w:rFonts w:eastAsia="仿宋_GB2312"/>
                <w:color w:val="auto"/>
                <w:sz w:val="30"/>
                <w:szCs w:val="30"/>
                <w:highlight w:val="none"/>
              </w:rPr>
            </w:pPr>
          </w:p>
        </w:tc>
      </w:tr>
      <w:tr w14:paraId="748505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F5BA148">
            <w:pPr>
              <w:pStyle w:val="513"/>
              <w:rPr>
                <w:rFonts w:eastAsia="仿宋_GB2312"/>
                <w:color w:val="auto"/>
                <w:sz w:val="30"/>
                <w:szCs w:val="30"/>
                <w:highlight w:val="none"/>
              </w:rPr>
            </w:pPr>
          </w:p>
        </w:tc>
        <w:tc>
          <w:tcPr>
            <w:tcW w:w="1276" w:type="dxa"/>
            <w:noWrap w:val="0"/>
            <w:vAlign w:val="top"/>
          </w:tcPr>
          <w:p w14:paraId="4EDEC75D">
            <w:pPr>
              <w:pStyle w:val="513"/>
              <w:rPr>
                <w:rFonts w:eastAsia="仿宋_GB2312"/>
                <w:color w:val="auto"/>
                <w:sz w:val="30"/>
                <w:szCs w:val="30"/>
                <w:highlight w:val="none"/>
              </w:rPr>
            </w:pPr>
          </w:p>
        </w:tc>
        <w:tc>
          <w:tcPr>
            <w:tcW w:w="1450" w:type="dxa"/>
            <w:noWrap w:val="0"/>
            <w:vAlign w:val="top"/>
          </w:tcPr>
          <w:p w14:paraId="29BECC51">
            <w:pPr>
              <w:pStyle w:val="513"/>
              <w:rPr>
                <w:rFonts w:eastAsia="仿宋_GB2312"/>
                <w:color w:val="auto"/>
                <w:sz w:val="30"/>
                <w:szCs w:val="30"/>
                <w:highlight w:val="none"/>
              </w:rPr>
            </w:pPr>
          </w:p>
        </w:tc>
        <w:tc>
          <w:tcPr>
            <w:tcW w:w="1243" w:type="dxa"/>
            <w:noWrap w:val="0"/>
            <w:vAlign w:val="top"/>
          </w:tcPr>
          <w:p w14:paraId="7F396C11">
            <w:pPr>
              <w:pStyle w:val="513"/>
              <w:rPr>
                <w:rFonts w:eastAsia="仿宋_GB2312"/>
                <w:color w:val="auto"/>
                <w:sz w:val="30"/>
                <w:szCs w:val="30"/>
                <w:highlight w:val="none"/>
              </w:rPr>
            </w:pPr>
          </w:p>
        </w:tc>
        <w:tc>
          <w:tcPr>
            <w:tcW w:w="1450" w:type="dxa"/>
            <w:noWrap w:val="0"/>
            <w:vAlign w:val="top"/>
          </w:tcPr>
          <w:p w14:paraId="4751F840">
            <w:pPr>
              <w:pStyle w:val="513"/>
              <w:rPr>
                <w:rFonts w:eastAsia="仿宋_GB2312"/>
                <w:color w:val="auto"/>
                <w:sz w:val="30"/>
                <w:szCs w:val="30"/>
                <w:highlight w:val="none"/>
              </w:rPr>
            </w:pPr>
          </w:p>
        </w:tc>
        <w:tc>
          <w:tcPr>
            <w:tcW w:w="1667" w:type="dxa"/>
            <w:noWrap w:val="0"/>
            <w:vAlign w:val="top"/>
          </w:tcPr>
          <w:p w14:paraId="0D9318D3">
            <w:pPr>
              <w:pStyle w:val="513"/>
              <w:rPr>
                <w:rFonts w:eastAsia="仿宋_GB2312"/>
                <w:color w:val="auto"/>
                <w:sz w:val="30"/>
                <w:szCs w:val="30"/>
                <w:highlight w:val="none"/>
              </w:rPr>
            </w:pPr>
          </w:p>
        </w:tc>
      </w:tr>
      <w:tr w14:paraId="39AF44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9A0E2A7">
            <w:pPr>
              <w:pStyle w:val="513"/>
              <w:rPr>
                <w:rFonts w:eastAsia="仿宋_GB2312"/>
                <w:color w:val="auto"/>
                <w:sz w:val="30"/>
                <w:szCs w:val="30"/>
                <w:highlight w:val="none"/>
              </w:rPr>
            </w:pPr>
          </w:p>
        </w:tc>
        <w:tc>
          <w:tcPr>
            <w:tcW w:w="1276" w:type="dxa"/>
            <w:noWrap w:val="0"/>
            <w:vAlign w:val="top"/>
          </w:tcPr>
          <w:p w14:paraId="17B3D8A0">
            <w:pPr>
              <w:pStyle w:val="513"/>
              <w:rPr>
                <w:rFonts w:eastAsia="仿宋_GB2312"/>
                <w:color w:val="auto"/>
                <w:sz w:val="30"/>
                <w:szCs w:val="30"/>
                <w:highlight w:val="none"/>
              </w:rPr>
            </w:pPr>
          </w:p>
        </w:tc>
        <w:tc>
          <w:tcPr>
            <w:tcW w:w="1450" w:type="dxa"/>
            <w:noWrap w:val="0"/>
            <w:vAlign w:val="top"/>
          </w:tcPr>
          <w:p w14:paraId="684A4810">
            <w:pPr>
              <w:pStyle w:val="513"/>
              <w:rPr>
                <w:rFonts w:eastAsia="仿宋_GB2312"/>
                <w:color w:val="auto"/>
                <w:sz w:val="30"/>
                <w:szCs w:val="30"/>
                <w:highlight w:val="none"/>
              </w:rPr>
            </w:pPr>
          </w:p>
        </w:tc>
        <w:tc>
          <w:tcPr>
            <w:tcW w:w="1243" w:type="dxa"/>
            <w:noWrap w:val="0"/>
            <w:vAlign w:val="top"/>
          </w:tcPr>
          <w:p w14:paraId="46906DB3">
            <w:pPr>
              <w:pStyle w:val="513"/>
              <w:rPr>
                <w:rFonts w:eastAsia="仿宋_GB2312"/>
                <w:color w:val="auto"/>
                <w:sz w:val="30"/>
                <w:szCs w:val="30"/>
                <w:highlight w:val="none"/>
              </w:rPr>
            </w:pPr>
          </w:p>
        </w:tc>
        <w:tc>
          <w:tcPr>
            <w:tcW w:w="1450" w:type="dxa"/>
            <w:noWrap w:val="0"/>
            <w:vAlign w:val="top"/>
          </w:tcPr>
          <w:p w14:paraId="0ED98AB3">
            <w:pPr>
              <w:pStyle w:val="513"/>
              <w:rPr>
                <w:rFonts w:eastAsia="仿宋_GB2312"/>
                <w:color w:val="auto"/>
                <w:sz w:val="30"/>
                <w:szCs w:val="30"/>
                <w:highlight w:val="none"/>
              </w:rPr>
            </w:pPr>
          </w:p>
        </w:tc>
        <w:tc>
          <w:tcPr>
            <w:tcW w:w="1667" w:type="dxa"/>
            <w:noWrap w:val="0"/>
            <w:vAlign w:val="top"/>
          </w:tcPr>
          <w:p w14:paraId="2A1513E2">
            <w:pPr>
              <w:pStyle w:val="513"/>
              <w:rPr>
                <w:rFonts w:eastAsia="仿宋_GB2312"/>
                <w:color w:val="auto"/>
                <w:sz w:val="30"/>
                <w:szCs w:val="30"/>
                <w:highlight w:val="none"/>
              </w:rPr>
            </w:pPr>
          </w:p>
        </w:tc>
      </w:tr>
      <w:tr w14:paraId="74F0D1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CC60EBF">
            <w:pPr>
              <w:pStyle w:val="513"/>
              <w:rPr>
                <w:rFonts w:eastAsia="仿宋_GB2312"/>
                <w:color w:val="auto"/>
                <w:sz w:val="30"/>
                <w:szCs w:val="30"/>
                <w:highlight w:val="none"/>
              </w:rPr>
            </w:pPr>
          </w:p>
        </w:tc>
        <w:tc>
          <w:tcPr>
            <w:tcW w:w="1276" w:type="dxa"/>
            <w:noWrap w:val="0"/>
            <w:vAlign w:val="top"/>
          </w:tcPr>
          <w:p w14:paraId="6A135AB5">
            <w:pPr>
              <w:pStyle w:val="513"/>
              <w:rPr>
                <w:rFonts w:eastAsia="仿宋_GB2312"/>
                <w:color w:val="auto"/>
                <w:sz w:val="30"/>
                <w:szCs w:val="30"/>
                <w:highlight w:val="none"/>
              </w:rPr>
            </w:pPr>
          </w:p>
        </w:tc>
        <w:tc>
          <w:tcPr>
            <w:tcW w:w="1450" w:type="dxa"/>
            <w:noWrap w:val="0"/>
            <w:vAlign w:val="top"/>
          </w:tcPr>
          <w:p w14:paraId="54E84FCE">
            <w:pPr>
              <w:pStyle w:val="513"/>
              <w:rPr>
                <w:rFonts w:eastAsia="仿宋_GB2312"/>
                <w:color w:val="auto"/>
                <w:sz w:val="30"/>
                <w:szCs w:val="30"/>
                <w:highlight w:val="none"/>
              </w:rPr>
            </w:pPr>
          </w:p>
        </w:tc>
        <w:tc>
          <w:tcPr>
            <w:tcW w:w="1243" w:type="dxa"/>
            <w:noWrap w:val="0"/>
            <w:vAlign w:val="top"/>
          </w:tcPr>
          <w:p w14:paraId="24031AED">
            <w:pPr>
              <w:pStyle w:val="513"/>
              <w:rPr>
                <w:rFonts w:eastAsia="仿宋_GB2312"/>
                <w:color w:val="auto"/>
                <w:sz w:val="30"/>
                <w:szCs w:val="30"/>
                <w:highlight w:val="none"/>
              </w:rPr>
            </w:pPr>
          </w:p>
        </w:tc>
        <w:tc>
          <w:tcPr>
            <w:tcW w:w="1450" w:type="dxa"/>
            <w:noWrap w:val="0"/>
            <w:vAlign w:val="top"/>
          </w:tcPr>
          <w:p w14:paraId="5FC4D461">
            <w:pPr>
              <w:pStyle w:val="513"/>
              <w:rPr>
                <w:rFonts w:eastAsia="仿宋_GB2312"/>
                <w:color w:val="auto"/>
                <w:sz w:val="30"/>
                <w:szCs w:val="30"/>
                <w:highlight w:val="none"/>
              </w:rPr>
            </w:pPr>
          </w:p>
        </w:tc>
        <w:tc>
          <w:tcPr>
            <w:tcW w:w="1667" w:type="dxa"/>
            <w:noWrap w:val="0"/>
            <w:vAlign w:val="top"/>
          </w:tcPr>
          <w:p w14:paraId="457F624D">
            <w:pPr>
              <w:pStyle w:val="513"/>
              <w:rPr>
                <w:rFonts w:eastAsia="仿宋_GB2312"/>
                <w:color w:val="auto"/>
                <w:sz w:val="30"/>
                <w:szCs w:val="30"/>
                <w:highlight w:val="none"/>
              </w:rPr>
            </w:pPr>
          </w:p>
        </w:tc>
      </w:tr>
      <w:tr w14:paraId="23543C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6BE9525">
            <w:pPr>
              <w:pStyle w:val="513"/>
              <w:rPr>
                <w:rFonts w:eastAsia="仿宋_GB2312"/>
                <w:color w:val="auto"/>
                <w:sz w:val="30"/>
                <w:szCs w:val="30"/>
                <w:highlight w:val="none"/>
              </w:rPr>
            </w:pPr>
          </w:p>
        </w:tc>
        <w:tc>
          <w:tcPr>
            <w:tcW w:w="1276" w:type="dxa"/>
            <w:noWrap w:val="0"/>
            <w:vAlign w:val="top"/>
          </w:tcPr>
          <w:p w14:paraId="7EF6F9A9">
            <w:pPr>
              <w:pStyle w:val="513"/>
              <w:rPr>
                <w:rFonts w:eastAsia="仿宋_GB2312"/>
                <w:color w:val="auto"/>
                <w:sz w:val="30"/>
                <w:szCs w:val="30"/>
                <w:highlight w:val="none"/>
              </w:rPr>
            </w:pPr>
          </w:p>
        </w:tc>
        <w:tc>
          <w:tcPr>
            <w:tcW w:w="1450" w:type="dxa"/>
            <w:noWrap w:val="0"/>
            <w:vAlign w:val="top"/>
          </w:tcPr>
          <w:p w14:paraId="5B70AA69">
            <w:pPr>
              <w:pStyle w:val="513"/>
              <w:rPr>
                <w:rFonts w:eastAsia="仿宋_GB2312"/>
                <w:color w:val="auto"/>
                <w:sz w:val="30"/>
                <w:szCs w:val="30"/>
                <w:highlight w:val="none"/>
              </w:rPr>
            </w:pPr>
          </w:p>
        </w:tc>
        <w:tc>
          <w:tcPr>
            <w:tcW w:w="1243" w:type="dxa"/>
            <w:noWrap w:val="0"/>
            <w:vAlign w:val="top"/>
          </w:tcPr>
          <w:p w14:paraId="0F5286BF">
            <w:pPr>
              <w:pStyle w:val="513"/>
              <w:rPr>
                <w:rFonts w:eastAsia="仿宋_GB2312"/>
                <w:color w:val="auto"/>
                <w:sz w:val="30"/>
                <w:szCs w:val="30"/>
                <w:highlight w:val="none"/>
              </w:rPr>
            </w:pPr>
          </w:p>
        </w:tc>
        <w:tc>
          <w:tcPr>
            <w:tcW w:w="1450" w:type="dxa"/>
            <w:noWrap w:val="0"/>
            <w:vAlign w:val="top"/>
          </w:tcPr>
          <w:p w14:paraId="59BF7B47">
            <w:pPr>
              <w:pStyle w:val="513"/>
              <w:rPr>
                <w:rFonts w:eastAsia="仿宋_GB2312"/>
                <w:color w:val="auto"/>
                <w:sz w:val="30"/>
                <w:szCs w:val="30"/>
                <w:highlight w:val="none"/>
              </w:rPr>
            </w:pPr>
          </w:p>
        </w:tc>
        <w:tc>
          <w:tcPr>
            <w:tcW w:w="1667" w:type="dxa"/>
            <w:noWrap w:val="0"/>
            <w:vAlign w:val="top"/>
          </w:tcPr>
          <w:p w14:paraId="3A48F25D">
            <w:pPr>
              <w:pStyle w:val="513"/>
              <w:rPr>
                <w:rFonts w:eastAsia="仿宋_GB2312"/>
                <w:color w:val="auto"/>
                <w:sz w:val="30"/>
                <w:szCs w:val="30"/>
                <w:highlight w:val="none"/>
              </w:rPr>
            </w:pPr>
          </w:p>
        </w:tc>
      </w:tr>
      <w:tr w14:paraId="51C51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F587878">
            <w:pPr>
              <w:pStyle w:val="513"/>
              <w:rPr>
                <w:rFonts w:eastAsia="仿宋_GB2312"/>
                <w:color w:val="auto"/>
                <w:sz w:val="30"/>
                <w:szCs w:val="30"/>
                <w:highlight w:val="none"/>
              </w:rPr>
            </w:pPr>
          </w:p>
        </w:tc>
        <w:tc>
          <w:tcPr>
            <w:tcW w:w="1276" w:type="dxa"/>
            <w:noWrap w:val="0"/>
            <w:vAlign w:val="top"/>
          </w:tcPr>
          <w:p w14:paraId="08FF75C6">
            <w:pPr>
              <w:pStyle w:val="513"/>
              <w:rPr>
                <w:rFonts w:eastAsia="仿宋_GB2312"/>
                <w:color w:val="auto"/>
                <w:sz w:val="30"/>
                <w:szCs w:val="30"/>
                <w:highlight w:val="none"/>
              </w:rPr>
            </w:pPr>
          </w:p>
        </w:tc>
        <w:tc>
          <w:tcPr>
            <w:tcW w:w="1450" w:type="dxa"/>
            <w:noWrap w:val="0"/>
            <w:vAlign w:val="top"/>
          </w:tcPr>
          <w:p w14:paraId="6E345DB8">
            <w:pPr>
              <w:pStyle w:val="513"/>
              <w:rPr>
                <w:rFonts w:eastAsia="仿宋_GB2312"/>
                <w:color w:val="auto"/>
                <w:sz w:val="30"/>
                <w:szCs w:val="30"/>
                <w:highlight w:val="none"/>
              </w:rPr>
            </w:pPr>
          </w:p>
        </w:tc>
        <w:tc>
          <w:tcPr>
            <w:tcW w:w="1243" w:type="dxa"/>
            <w:noWrap w:val="0"/>
            <w:vAlign w:val="top"/>
          </w:tcPr>
          <w:p w14:paraId="64A4A9CC">
            <w:pPr>
              <w:pStyle w:val="513"/>
              <w:rPr>
                <w:rFonts w:eastAsia="仿宋_GB2312"/>
                <w:color w:val="auto"/>
                <w:sz w:val="30"/>
                <w:szCs w:val="30"/>
                <w:highlight w:val="none"/>
              </w:rPr>
            </w:pPr>
          </w:p>
        </w:tc>
        <w:tc>
          <w:tcPr>
            <w:tcW w:w="1450" w:type="dxa"/>
            <w:noWrap w:val="0"/>
            <w:vAlign w:val="top"/>
          </w:tcPr>
          <w:p w14:paraId="53387259">
            <w:pPr>
              <w:pStyle w:val="513"/>
              <w:rPr>
                <w:rFonts w:eastAsia="仿宋_GB2312"/>
                <w:color w:val="auto"/>
                <w:sz w:val="30"/>
                <w:szCs w:val="30"/>
                <w:highlight w:val="none"/>
              </w:rPr>
            </w:pPr>
          </w:p>
        </w:tc>
        <w:tc>
          <w:tcPr>
            <w:tcW w:w="1667" w:type="dxa"/>
            <w:noWrap w:val="0"/>
            <w:vAlign w:val="top"/>
          </w:tcPr>
          <w:p w14:paraId="294291FA">
            <w:pPr>
              <w:pStyle w:val="513"/>
              <w:rPr>
                <w:rFonts w:eastAsia="仿宋_GB2312"/>
                <w:color w:val="auto"/>
                <w:sz w:val="30"/>
                <w:szCs w:val="30"/>
                <w:highlight w:val="none"/>
              </w:rPr>
            </w:pPr>
          </w:p>
        </w:tc>
      </w:tr>
      <w:tr w14:paraId="3C240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23DEDDF">
            <w:pPr>
              <w:pStyle w:val="513"/>
              <w:rPr>
                <w:rFonts w:eastAsia="仿宋_GB2312"/>
                <w:color w:val="auto"/>
                <w:sz w:val="30"/>
                <w:szCs w:val="30"/>
                <w:highlight w:val="none"/>
              </w:rPr>
            </w:pPr>
          </w:p>
        </w:tc>
        <w:tc>
          <w:tcPr>
            <w:tcW w:w="1276" w:type="dxa"/>
            <w:noWrap w:val="0"/>
            <w:vAlign w:val="top"/>
          </w:tcPr>
          <w:p w14:paraId="3C606DA7">
            <w:pPr>
              <w:pStyle w:val="513"/>
              <w:rPr>
                <w:rFonts w:eastAsia="仿宋_GB2312"/>
                <w:color w:val="auto"/>
                <w:sz w:val="30"/>
                <w:szCs w:val="30"/>
                <w:highlight w:val="none"/>
              </w:rPr>
            </w:pPr>
          </w:p>
        </w:tc>
        <w:tc>
          <w:tcPr>
            <w:tcW w:w="1450" w:type="dxa"/>
            <w:noWrap w:val="0"/>
            <w:vAlign w:val="top"/>
          </w:tcPr>
          <w:p w14:paraId="53032D5D">
            <w:pPr>
              <w:pStyle w:val="513"/>
              <w:rPr>
                <w:rFonts w:eastAsia="仿宋_GB2312"/>
                <w:color w:val="auto"/>
                <w:sz w:val="30"/>
                <w:szCs w:val="30"/>
                <w:highlight w:val="none"/>
              </w:rPr>
            </w:pPr>
          </w:p>
        </w:tc>
        <w:tc>
          <w:tcPr>
            <w:tcW w:w="1243" w:type="dxa"/>
            <w:noWrap w:val="0"/>
            <w:vAlign w:val="top"/>
          </w:tcPr>
          <w:p w14:paraId="6ED8ACA1">
            <w:pPr>
              <w:pStyle w:val="513"/>
              <w:rPr>
                <w:rFonts w:eastAsia="仿宋_GB2312"/>
                <w:color w:val="auto"/>
                <w:sz w:val="30"/>
                <w:szCs w:val="30"/>
                <w:highlight w:val="none"/>
              </w:rPr>
            </w:pPr>
          </w:p>
        </w:tc>
        <w:tc>
          <w:tcPr>
            <w:tcW w:w="1450" w:type="dxa"/>
            <w:noWrap w:val="0"/>
            <w:vAlign w:val="top"/>
          </w:tcPr>
          <w:p w14:paraId="278D7091">
            <w:pPr>
              <w:pStyle w:val="513"/>
              <w:rPr>
                <w:rFonts w:eastAsia="仿宋_GB2312"/>
                <w:color w:val="auto"/>
                <w:sz w:val="30"/>
                <w:szCs w:val="30"/>
                <w:highlight w:val="none"/>
              </w:rPr>
            </w:pPr>
          </w:p>
        </w:tc>
        <w:tc>
          <w:tcPr>
            <w:tcW w:w="1667" w:type="dxa"/>
            <w:noWrap w:val="0"/>
            <w:vAlign w:val="top"/>
          </w:tcPr>
          <w:p w14:paraId="33F314F5">
            <w:pPr>
              <w:pStyle w:val="513"/>
              <w:rPr>
                <w:rFonts w:eastAsia="仿宋_GB2312"/>
                <w:color w:val="auto"/>
                <w:sz w:val="30"/>
                <w:szCs w:val="30"/>
                <w:highlight w:val="none"/>
              </w:rPr>
            </w:pPr>
          </w:p>
        </w:tc>
      </w:tr>
    </w:tbl>
    <w:p w14:paraId="1F223FA6">
      <w:pPr>
        <w:pStyle w:val="513"/>
        <w:spacing w:line="440" w:lineRule="exact"/>
        <w:rPr>
          <w:rFonts w:eastAsia="仿宋_GB2312"/>
          <w:color w:val="auto"/>
          <w:sz w:val="30"/>
          <w:szCs w:val="30"/>
          <w:highlight w:val="none"/>
        </w:rPr>
      </w:pPr>
    </w:p>
    <w:p w14:paraId="7854F877">
      <w:pPr>
        <w:pStyle w:val="513"/>
        <w:spacing w:line="440" w:lineRule="exact"/>
        <w:rPr>
          <w:rFonts w:eastAsia="黑体"/>
          <w:color w:val="auto"/>
          <w:sz w:val="30"/>
          <w:szCs w:val="30"/>
          <w:highlight w:val="none"/>
        </w:rPr>
      </w:pPr>
      <w:r>
        <w:rPr>
          <w:rFonts w:eastAsia="仿宋_GB2312"/>
          <w:color w:val="auto"/>
          <w:sz w:val="30"/>
          <w:szCs w:val="30"/>
          <w:highlight w:val="none"/>
        </w:rPr>
        <w:br w:type="page"/>
      </w:r>
      <w:r>
        <w:rPr>
          <w:rFonts w:eastAsia="仿宋_GB2312"/>
          <w:color w:val="auto"/>
          <w:sz w:val="30"/>
          <w:szCs w:val="30"/>
          <w:highlight w:val="none"/>
        </w:rPr>
        <w:t>附件</w:t>
      </w:r>
      <w:r>
        <w:rPr>
          <w:rFonts w:hint="eastAsia" w:eastAsia="仿宋_GB2312"/>
          <w:color w:val="auto"/>
          <w:sz w:val="30"/>
          <w:szCs w:val="30"/>
          <w:highlight w:val="none"/>
        </w:rPr>
        <w:t>4</w:t>
      </w:r>
      <w:r>
        <w:rPr>
          <w:rFonts w:eastAsia="仿宋_GB2312"/>
          <w:color w:val="auto"/>
          <w:sz w:val="30"/>
          <w:szCs w:val="30"/>
          <w:highlight w:val="none"/>
        </w:rPr>
        <w:t>：</w:t>
      </w:r>
    </w:p>
    <w:p w14:paraId="2FE7B4DB">
      <w:pPr>
        <w:pStyle w:val="513"/>
        <w:spacing w:before="156" w:beforeLines="50" w:after="156" w:afterLines="50" w:line="440" w:lineRule="exact"/>
        <w:jc w:val="center"/>
        <w:rPr>
          <w:rFonts w:eastAsia="黑体"/>
          <w:color w:val="auto"/>
          <w:sz w:val="30"/>
          <w:szCs w:val="30"/>
          <w:highlight w:val="none"/>
        </w:rPr>
      </w:pPr>
      <w:r>
        <w:rPr>
          <w:rFonts w:eastAsia="黑体"/>
          <w:color w:val="auto"/>
          <w:sz w:val="30"/>
          <w:szCs w:val="30"/>
          <w:highlight w:val="none"/>
        </w:rPr>
        <w:t>承包人用于本工程施工的机械设备表</w:t>
      </w:r>
    </w:p>
    <w:tbl>
      <w:tblPr>
        <w:tblStyle w:val="5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64A709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noWrap w:val="0"/>
            <w:vAlign w:val="center"/>
          </w:tcPr>
          <w:p w14:paraId="4590DA74">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序号</w:t>
            </w:r>
          </w:p>
        </w:tc>
        <w:tc>
          <w:tcPr>
            <w:tcW w:w="1418" w:type="dxa"/>
            <w:tcBorders>
              <w:top w:val="single" w:color="auto" w:sz="12" w:space="0"/>
              <w:bottom w:val="double" w:color="auto" w:sz="6" w:space="0"/>
            </w:tcBorders>
            <w:noWrap w:val="0"/>
            <w:vAlign w:val="center"/>
          </w:tcPr>
          <w:p w14:paraId="26732A8C">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机械或设备名称</w:t>
            </w:r>
          </w:p>
        </w:tc>
        <w:tc>
          <w:tcPr>
            <w:tcW w:w="850" w:type="dxa"/>
            <w:tcBorders>
              <w:top w:val="single" w:color="auto" w:sz="12" w:space="0"/>
              <w:bottom w:val="double" w:color="auto" w:sz="6" w:space="0"/>
            </w:tcBorders>
            <w:noWrap w:val="0"/>
            <w:vAlign w:val="center"/>
          </w:tcPr>
          <w:p w14:paraId="7C166D80">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规格型号</w:t>
            </w:r>
          </w:p>
        </w:tc>
        <w:tc>
          <w:tcPr>
            <w:tcW w:w="1058" w:type="dxa"/>
            <w:tcBorders>
              <w:top w:val="single" w:color="auto" w:sz="12" w:space="0"/>
              <w:bottom w:val="double" w:color="auto" w:sz="6" w:space="0"/>
            </w:tcBorders>
            <w:noWrap w:val="0"/>
            <w:vAlign w:val="center"/>
          </w:tcPr>
          <w:p w14:paraId="57DE6754">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数量</w:t>
            </w:r>
          </w:p>
        </w:tc>
        <w:tc>
          <w:tcPr>
            <w:tcW w:w="880" w:type="dxa"/>
            <w:tcBorders>
              <w:top w:val="single" w:color="auto" w:sz="12" w:space="0"/>
              <w:bottom w:val="double" w:color="auto" w:sz="6" w:space="0"/>
            </w:tcBorders>
            <w:noWrap w:val="0"/>
            <w:vAlign w:val="center"/>
          </w:tcPr>
          <w:p w14:paraId="16CB4B75">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产地</w:t>
            </w:r>
          </w:p>
        </w:tc>
        <w:tc>
          <w:tcPr>
            <w:tcW w:w="1020" w:type="dxa"/>
            <w:tcBorders>
              <w:top w:val="single" w:color="auto" w:sz="12" w:space="0"/>
              <w:bottom w:val="double" w:color="auto" w:sz="6" w:space="0"/>
            </w:tcBorders>
            <w:noWrap w:val="0"/>
            <w:vAlign w:val="center"/>
          </w:tcPr>
          <w:p w14:paraId="3334AFB2">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制造年份</w:t>
            </w:r>
          </w:p>
        </w:tc>
        <w:tc>
          <w:tcPr>
            <w:tcW w:w="1480" w:type="dxa"/>
            <w:tcBorders>
              <w:top w:val="single" w:color="auto" w:sz="12" w:space="0"/>
              <w:bottom w:val="double" w:color="auto" w:sz="6" w:space="0"/>
            </w:tcBorders>
            <w:noWrap w:val="0"/>
            <w:vAlign w:val="center"/>
          </w:tcPr>
          <w:p w14:paraId="54760BA1">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额定功率(kW)</w:t>
            </w:r>
          </w:p>
        </w:tc>
        <w:tc>
          <w:tcPr>
            <w:tcW w:w="1020" w:type="dxa"/>
            <w:tcBorders>
              <w:top w:val="single" w:color="auto" w:sz="12" w:space="0"/>
              <w:bottom w:val="double" w:color="auto" w:sz="6" w:space="0"/>
            </w:tcBorders>
            <w:noWrap w:val="0"/>
            <w:vAlign w:val="center"/>
          </w:tcPr>
          <w:p w14:paraId="4FAFEB83">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生产能力</w:t>
            </w:r>
          </w:p>
        </w:tc>
        <w:tc>
          <w:tcPr>
            <w:tcW w:w="921" w:type="dxa"/>
            <w:tcBorders>
              <w:top w:val="single" w:color="auto" w:sz="12" w:space="0"/>
              <w:bottom w:val="double" w:color="auto" w:sz="6" w:space="0"/>
            </w:tcBorders>
            <w:noWrap w:val="0"/>
            <w:vAlign w:val="center"/>
          </w:tcPr>
          <w:p w14:paraId="40931EDF">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备注</w:t>
            </w:r>
          </w:p>
        </w:tc>
      </w:tr>
      <w:tr w14:paraId="34910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cBorders>
            <w:noWrap w:val="0"/>
            <w:vAlign w:val="center"/>
          </w:tcPr>
          <w:p w14:paraId="2E3F592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tcBorders>
              <w:top w:val="double" w:color="auto" w:sz="6" w:space="0"/>
              <w:bottom w:val="single" w:color="auto" w:sz="6" w:space="0"/>
            </w:tcBorders>
            <w:noWrap w:val="0"/>
            <w:vAlign w:val="center"/>
          </w:tcPr>
          <w:p w14:paraId="5E5DD05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double" w:color="auto" w:sz="6" w:space="0"/>
              <w:bottom w:val="single" w:color="auto" w:sz="6" w:space="0"/>
            </w:tcBorders>
            <w:noWrap w:val="0"/>
            <w:vAlign w:val="center"/>
          </w:tcPr>
          <w:p w14:paraId="4DCC5CC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tcBorders>
              <w:top w:val="double" w:color="auto" w:sz="6" w:space="0"/>
              <w:bottom w:val="single" w:color="auto" w:sz="6" w:space="0"/>
            </w:tcBorders>
            <w:noWrap w:val="0"/>
            <w:vAlign w:val="center"/>
          </w:tcPr>
          <w:p w14:paraId="6A8046B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tcBorders>
              <w:top w:val="double" w:color="auto" w:sz="6" w:space="0"/>
              <w:bottom w:val="single" w:color="auto" w:sz="6" w:space="0"/>
            </w:tcBorders>
            <w:noWrap w:val="0"/>
            <w:vAlign w:val="center"/>
          </w:tcPr>
          <w:p w14:paraId="0431B5D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double" w:color="auto" w:sz="6" w:space="0"/>
              <w:bottom w:val="single" w:color="auto" w:sz="6" w:space="0"/>
            </w:tcBorders>
            <w:noWrap w:val="0"/>
            <w:vAlign w:val="center"/>
          </w:tcPr>
          <w:p w14:paraId="5D5AA0A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tcBorders>
              <w:top w:val="double" w:color="auto" w:sz="6" w:space="0"/>
              <w:bottom w:val="single" w:color="auto" w:sz="6" w:space="0"/>
            </w:tcBorders>
            <w:noWrap w:val="0"/>
            <w:vAlign w:val="center"/>
          </w:tcPr>
          <w:p w14:paraId="6AAC11A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double" w:color="auto" w:sz="6" w:space="0"/>
              <w:bottom w:val="single" w:color="auto" w:sz="6" w:space="0"/>
            </w:tcBorders>
            <w:noWrap w:val="0"/>
            <w:vAlign w:val="center"/>
          </w:tcPr>
          <w:p w14:paraId="243E7FF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tcBorders>
              <w:top w:val="double" w:color="auto" w:sz="6" w:space="0"/>
              <w:bottom w:val="single" w:color="auto" w:sz="6" w:space="0"/>
            </w:tcBorders>
            <w:noWrap w:val="0"/>
            <w:vAlign w:val="center"/>
          </w:tcPr>
          <w:p w14:paraId="5D44E74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EB2B4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noWrap w:val="0"/>
            <w:vAlign w:val="center"/>
          </w:tcPr>
          <w:p w14:paraId="25A4F1C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tcBorders>
              <w:top w:val="nil"/>
            </w:tcBorders>
            <w:noWrap w:val="0"/>
            <w:vAlign w:val="center"/>
          </w:tcPr>
          <w:p w14:paraId="1E482163">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3EB452D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tcBorders>
              <w:top w:val="nil"/>
            </w:tcBorders>
            <w:noWrap w:val="0"/>
            <w:vAlign w:val="center"/>
          </w:tcPr>
          <w:p w14:paraId="55C88C5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tcBorders>
              <w:top w:val="nil"/>
            </w:tcBorders>
            <w:noWrap w:val="0"/>
            <w:vAlign w:val="center"/>
          </w:tcPr>
          <w:p w14:paraId="7C330F1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nil"/>
            </w:tcBorders>
            <w:noWrap w:val="0"/>
            <w:vAlign w:val="center"/>
          </w:tcPr>
          <w:p w14:paraId="22C0F37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tcBorders>
              <w:top w:val="nil"/>
            </w:tcBorders>
            <w:noWrap w:val="0"/>
            <w:vAlign w:val="center"/>
          </w:tcPr>
          <w:p w14:paraId="0190195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nil"/>
            </w:tcBorders>
            <w:noWrap w:val="0"/>
            <w:vAlign w:val="center"/>
          </w:tcPr>
          <w:p w14:paraId="567CBCB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tcBorders>
              <w:top w:val="nil"/>
            </w:tcBorders>
            <w:noWrap w:val="0"/>
            <w:vAlign w:val="center"/>
          </w:tcPr>
          <w:p w14:paraId="34EEE29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1419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7E6EEA3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13145143">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1940359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35A7E3D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47E2A4D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64A4D35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2823DC4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161E21E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265E526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8071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39563BB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167F0E2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47CE4C3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21E75A0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328D7FE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41C62B5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0E0BE7A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654A661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6B34A363">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4FC7C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4E67AB0">
            <w:pPr>
              <w:pStyle w:val="513"/>
              <w:rPr>
                <w:rFonts w:eastAsia="仿宋_GB2312"/>
                <w:color w:val="auto"/>
                <w:sz w:val="30"/>
                <w:szCs w:val="30"/>
                <w:highlight w:val="none"/>
              </w:rPr>
            </w:pPr>
          </w:p>
        </w:tc>
        <w:tc>
          <w:tcPr>
            <w:tcW w:w="1418" w:type="dxa"/>
            <w:noWrap w:val="0"/>
            <w:vAlign w:val="top"/>
          </w:tcPr>
          <w:p w14:paraId="167884CF">
            <w:pPr>
              <w:pStyle w:val="513"/>
              <w:rPr>
                <w:rFonts w:eastAsia="仿宋_GB2312"/>
                <w:color w:val="auto"/>
                <w:sz w:val="30"/>
                <w:szCs w:val="30"/>
                <w:highlight w:val="none"/>
              </w:rPr>
            </w:pPr>
          </w:p>
        </w:tc>
        <w:tc>
          <w:tcPr>
            <w:tcW w:w="850" w:type="dxa"/>
            <w:noWrap w:val="0"/>
            <w:vAlign w:val="top"/>
          </w:tcPr>
          <w:p w14:paraId="2C68D3F8">
            <w:pPr>
              <w:pStyle w:val="513"/>
              <w:rPr>
                <w:rFonts w:eastAsia="仿宋_GB2312"/>
                <w:color w:val="auto"/>
                <w:sz w:val="30"/>
                <w:szCs w:val="30"/>
                <w:highlight w:val="none"/>
              </w:rPr>
            </w:pPr>
          </w:p>
        </w:tc>
        <w:tc>
          <w:tcPr>
            <w:tcW w:w="1058" w:type="dxa"/>
            <w:noWrap w:val="0"/>
            <w:vAlign w:val="top"/>
          </w:tcPr>
          <w:p w14:paraId="46BBED64">
            <w:pPr>
              <w:pStyle w:val="513"/>
              <w:rPr>
                <w:rFonts w:eastAsia="仿宋_GB2312"/>
                <w:color w:val="auto"/>
                <w:sz w:val="30"/>
                <w:szCs w:val="30"/>
                <w:highlight w:val="none"/>
              </w:rPr>
            </w:pPr>
          </w:p>
        </w:tc>
        <w:tc>
          <w:tcPr>
            <w:tcW w:w="880" w:type="dxa"/>
            <w:noWrap w:val="0"/>
            <w:vAlign w:val="top"/>
          </w:tcPr>
          <w:p w14:paraId="2853EF88">
            <w:pPr>
              <w:pStyle w:val="513"/>
              <w:rPr>
                <w:rFonts w:eastAsia="仿宋_GB2312"/>
                <w:color w:val="auto"/>
                <w:sz w:val="30"/>
                <w:szCs w:val="30"/>
                <w:highlight w:val="none"/>
              </w:rPr>
            </w:pPr>
          </w:p>
        </w:tc>
        <w:tc>
          <w:tcPr>
            <w:tcW w:w="1020" w:type="dxa"/>
            <w:noWrap w:val="0"/>
            <w:vAlign w:val="top"/>
          </w:tcPr>
          <w:p w14:paraId="416D9FEA">
            <w:pPr>
              <w:pStyle w:val="513"/>
              <w:rPr>
                <w:rFonts w:eastAsia="仿宋_GB2312"/>
                <w:color w:val="auto"/>
                <w:sz w:val="30"/>
                <w:szCs w:val="30"/>
                <w:highlight w:val="none"/>
              </w:rPr>
            </w:pPr>
          </w:p>
        </w:tc>
        <w:tc>
          <w:tcPr>
            <w:tcW w:w="1480" w:type="dxa"/>
            <w:noWrap w:val="0"/>
            <w:vAlign w:val="top"/>
          </w:tcPr>
          <w:p w14:paraId="61B7A1F1">
            <w:pPr>
              <w:pStyle w:val="513"/>
              <w:rPr>
                <w:rFonts w:eastAsia="仿宋_GB2312"/>
                <w:color w:val="auto"/>
                <w:sz w:val="30"/>
                <w:szCs w:val="30"/>
                <w:highlight w:val="none"/>
              </w:rPr>
            </w:pPr>
          </w:p>
        </w:tc>
        <w:tc>
          <w:tcPr>
            <w:tcW w:w="1020" w:type="dxa"/>
            <w:noWrap w:val="0"/>
            <w:vAlign w:val="top"/>
          </w:tcPr>
          <w:p w14:paraId="541F2907">
            <w:pPr>
              <w:pStyle w:val="513"/>
              <w:rPr>
                <w:rFonts w:eastAsia="仿宋_GB2312"/>
                <w:color w:val="auto"/>
                <w:sz w:val="30"/>
                <w:szCs w:val="30"/>
                <w:highlight w:val="none"/>
              </w:rPr>
            </w:pPr>
          </w:p>
        </w:tc>
        <w:tc>
          <w:tcPr>
            <w:tcW w:w="921" w:type="dxa"/>
            <w:noWrap w:val="0"/>
            <w:vAlign w:val="top"/>
          </w:tcPr>
          <w:p w14:paraId="32AB4128">
            <w:pPr>
              <w:pStyle w:val="513"/>
              <w:rPr>
                <w:rFonts w:eastAsia="仿宋_GB2312"/>
                <w:color w:val="auto"/>
                <w:sz w:val="30"/>
                <w:szCs w:val="30"/>
                <w:highlight w:val="none"/>
              </w:rPr>
            </w:pPr>
          </w:p>
        </w:tc>
      </w:tr>
      <w:tr w14:paraId="17526B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1321688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6D99CB0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33613AF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3B32779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36DE19D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049D4C9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0F50EB0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7626EE0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4B3AD91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D6BF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661536D">
            <w:pPr>
              <w:pStyle w:val="513"/>
              <w:rPr>
                <w:rFonts w:eastAsia="仿宋_GB2312"/>
                <w:color w:val="auto"/>
                <w:sz w:val="30"/>
                <w:szCs w:val="30"/>
                <w:highlight w:val="none"/>
              </w:rPr>
            </w:pPr>
          </w:p>
        </w:tc>
        <w:tc>
          <w:tcPr>
            <w:tcW w:w="1418" w:type="dxa"/>
            <w:noWrap w:val="0"/>
            <w:vAlign w:val="top"/>
          </w:tcPr>
          <w:p w14:paraId="5BE3AB53">
            <w:pPr>
              <w:pStyle w:val="513"/>
              <w:rPr>
                <w:rFonts w:eastAsia="仿宋_GB2312"/>
                <w:color w:val="auto"/>
                <w:sz w:val="30"/>
                <w:szCs w:val="30"/>
                <w:highlight w:val="none"/>
              </w:rPr>
            </w:pPr>
          </w:p>
        </w:tc>
        <w:tc>
          <w:tcPr>
            <w:tcW w:w="850" w:type="dxa"/>
            <w:noWrap w:val="0"/>
            <w:vAlign w:val="top"/>
          </w:tcPr>
          <w:p w14:paraId="2D0105CF">
            <w:pPr>
              <w:pStyle w:val="513"/>
              <w:rPr>
                <w:rFonts w:eastAsia="仿宋_GB2312"/>
                <w:color w:val="auto"/>
                <w:sz w:val="30"/>
                <w:szCs w:val="30"/>
                <w:highlight w:val="none"/>
              </w:rPr>
            </w:pPr>
          </w:p>
        </w:tc>
        <w:tc>
          <w:tcPr>
            <w:tcW w:w="1058" w:type="dxa"/>
            <w:noWrap w:val="0"/>
            <w:vAlign w:val="top"/>
          </w:tcPr>
          <w:p w14:paraId="00DE6FBB">
            <w:pPr>
              <w:pStyle w:val="513"/>
              <w:rPr>
                <w:rFonts w:eastAsia="仿宋_GB2312"/>
                <w:color w:val="auto"/>
                <w:sz w:val="30"/>
                <w:szCs w:val="30"/>
                <w:highlight w:val="none"/>
              </w:rPr>
            </w:pPr>
          </w:p>
        </w:tc>
        <w:tc>
          <w:tcPr>
            <w:tcW w:w="880" w:type="dxa"/>
            <w:noWrap w:val="0"/>
            <w:vAlign w:val="top"/>
          </w:tcPr>
          <w:p w14:paraId="3D64B213">
            <w:pPr>
              <w:pStyle w:val="513"/>
              <w:rPr>
                <w:rFonts w:eastAsia="仿宋_GB2312"/>
                <w:color w:val="auto"/>
                <w:sz w:val="30"/>
                <w:szCs w:val="30"/>
                <w:highlight w:val="none"/>
              </w:rPr>
            </w:pPr>
          </w:p>
        </w:tc>
        <w:tc>
          <w:tcPr>
            <w:tcW w:w="1020" w:type="dxa"/>
            <w:noWrap w:val="0"/>
            <w:vAlign w:val="top"/>
          </w:tcPr>
          <w:p w14:paraId="0C4F2392">
            <w:pPr>
              <w:pStyle w:val="513"/>
              <w:rPr>
                <w:rFonts w:eastAsia="仿宋_GB2312"/>
                <w:color w:val="auto"/>
                <w:sz w:val="30"/>
                <w:szCs w:val="30"/>
                <w:highlight w:val="none"/>
              </w:rPr>
            </w:pPr>
          </w:p>
        </w:tc>
        <w:tc>
          <w:tcPr>
            <w:tcW w:w="1480" w:type="dxa"/>
            <w:noWrap w:val="0"/>
            <w:vAlign w:val="top"/>
          </w:tcPr>
          <w:p w14:paraId="68EAF465">
            <w:pPr>
              <w:pStyle w:val="513"/>
              <w:rPr>
                <w:rFonts w:eastAsia="仿宋_GB2312"/>
                <w:color w:val="auto"/>
                <w:sz w:val="30"/>
                <w:szCs w:val="30"/>
                <w:highlight w:val="none"/>
              </w:rPr>
            </w:pPr>
          </w:p>
        </w:tc>
        <w:tc>
          <w:tcPr>
            <w:tcW w:w="1020" w:type="dxa"/>
            <w:noWrap w:val="0"/>
            <w:vAlign w:val="top"/>
          </w:tcPr>
          <w:p w14:paraId="046254D6">
            <w:pPr>
              <w:pStyle w:val="513"/>
              <w:rPr>
                <w:rFonts w:eastAsia="仿宋_GB2312"/>
                <w:color w:val="auto"/>
                <w:sz w:val="30"/>
                <w:szCs w:val="30"/>
                <w:highlight w:val="none"/>
              </w:rPr>
            </w:pPr>
          </w:p>
        </w:tc>
        <w:tc>
          <w:tcPr>
            <w:tcW w:w="921" w:type="dxa"/>
            <w:noWrap w:val="0"/>
            <w:vAlign w:val="top"/>
          </w:tcPr>
          <w:p w14:paraId="6087927C">
            <w:pPr>
              <w:pStyle w:val="513"/>
              <w:rPr>
                <w:rFonts w:eastAsia="仿宋_GB2312"/>
                <w:color w:val="auto"/>
                <w:sz w:val="30"/>
                <w:szCs w:val="30"/>
                <w:highlight w:val="none"/>
              </w:rPr>
            </w:pPr>
          </w:p>
        </w:tc>
      </w:tr>
      <w:tr w14:paraId="16D230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5BA56825">
            <w:pPr>
              <w:pStyle w:val="513"/>
              <w:rPr>
                <w:rFonts w:eastAsia="仿宋_GB2312"/>
                <w:color w:val="auto"/>
                <w:sz w:val="30"/>
                <w:szCs w:val="30"/>
                <w:highlight w:val="none"/>
              </w:rPr>
            </w:pPr>
          </w:p>
        </w:tc>
        <w:tc>
          <w:tcPr>
            <w:tcW w:w="1418" w:type="dxa"/>
            <w:noWrap w:val="0"/>
            <w:vAlign w:val="top"/>
          </w:tcPr>
          <w:p w14:paraId="5701D505">
            <w:pPr>
              <w:pStyle w:val="513"/>
              <w:rPr>
                <w:rFonts w:eastAsia="仿宋_GB2312"/>
                <w:color w:val="auto"/>
                <w:sz w:val="30"/>
                <w:szCs w:val="30"/>
                <w:highlight w:val="none"/>
              </w:rPr>
            </w:pPr>
          </w:p>
        </w:tc>
        <w:tc>
          <w:tcPr>
            <w:tcW w:w="850" w:type="dxa"/>
            <w:noWrap w:val="0"/>
            <w:vAlign w:val="top"/>
          </w:tcPr>
          <w:p w14:paraId="40E37ED8">
            <w:pPr>
              <w:pStyle w:val="513"/>
              <w:rPr>
                <w:rFonts w:eastAsia="仿宋_GB2312"/>
                <w:color w:val="auto"/>
                <w:sz w:val="30"/>
                <w:szCs w:val="30"/>
                <w:highlight w:val="none"/>
              </w:rPr>
            </w:pPr>
          </w:p>
        </w:tc>
        <w:tc>
          <w:tcPr>
            <w:tcW w:w="1058" w:type="dxa"/>
            <w:noWrap w:val="0"/>
            <w:vAlign w:val="top"/>
          </w:tcPr>
          <w:p w14:paraId="3B2717F7">
            <w:pPr>
              <w:pStyle w:val="513"/>
              <w:rPr>
                <w:rFonts w:eastAsia="仿宋_GB2312"/>
                <w:color w:val="auto"/>
                <w:sz w:val="30"/>
                <w:szCs w:val="30"/>
                <w:highlight w:val="none"/>
              </w:rPr>
            </w:pPr>
          </w:p>
        </w:tc>
        <w:tc>
          <w:tcPr>
            <w:tcW w:w="880" w:type="dxa"/>
            <w:noWrap w:val="0"/>
            <w:vAlign w:val="top"/>
          </w:tcPr>
          <w:p w14:paraId="727EC2F5">
            <w:pPr>
              <w:pStyle w:val="513"/>
              <w:rPr>
                <w:rFonts w:eastAsia="仿宋_GB2312"/>
                <w:color w:val="auto"/>
                <w:sz w:val="30"/>
                <w:szCs w:val="30"/>
                <w:highlight w:val="none"/>
              </w:rPr>
            </w:pPr>
          </w:p>
        </w:tc>
        <w:tc>
          <w:tcPr>
            <w:tcW w:w="1020" w:type="dxa"/>
            <w:noWrap w:val="0"/>
            <w:vAlign w:val="top"/>
          </w:tcPr>
          <w:p w14:paraId="74DC62E3">
            <w:pPr>
              <w:pStyle w:val="513"/>
              <w:rPr>
                <w:rFonts w:eastAsia="仿宋_GB2312"/>
                <w:color w:val="auto"/>
                <w:sz w:val="30"/>
                <w:szCs w:val="30"/>
                <w:highlight w:val="none"/>
              </w:rPr>
            </w:pPr>
          </w:p>
        </w:tc>
        <w:tc>
          <w:tcPr>
            <w:tcW w:w="1480" w:type="dxa"/>
            <w:noWrap w:val="0"/>
            <w:vAlign w:val="top"/>
          </w:tcPr>
          <w:p w14:paraId="0098C6E0">
            <w:pPr>
              <w:pStyle w:val="513"/>
              <w:rPr>
                <w:rFonts w:eastAsia="仿宋_GB2312"/>
                <w:color w:val="auto"/>
                <w:sz w:val="30"/>
                <w:szCs w:val="30"/>
                <w:highlight w:val="none"/>
              </w:rPr>
            </w:pPr>
          </w:p>
        </w:tc>
        <w:tc>
          <w:tcPr>
            <w:tcW w:w="1020" w:type="dxa"/>
            <w:noWrap w:val="0"/>
            <w:vAlign w:val="top"/>
          </w:tcPr>
          <w:p w14:paraId="57F99FB6">
            <w:pPr>
              <w:pStyle w:val="513"/>
              <w:rPr>
                <w:rFonts w:eastAsia="仿宋_GB2312"/>
                <w:color w:val="auto"/>
                <w:sz w:val="30"/>
                <w:szCs w:val="30"/>
                <w:highlight w:val="none"/>
              </w:rPr>
            </w:pPr>
          </w:p>
        </w:tc>
        <w:tc>
          <w:tcPr>
            <w:tcW w:w="921" w:type="dxa"/>
            <w:noWrap w:val="0"/>
            <w:vAlign w:val="top"/>
          </w:tcPr>
          <w:p w14:paraId="72BA7EEF">
            <w:pPr>
              <w:pStyle w:val="513"/>
              <w:rPr>
                <w:rFonts w:eastAsia="仿宋_GB2312"/>
                <w:color w:val="auto"/>
                <w:sz w:val="30"/>
                <w:szCs w:val="30"/>
                <w:highlight w:val="none"/>
              </w:rPr>
            </w:pPr>
          </w:p>
        </w:tc>
      </w:tr>
      <w:tr w14:paraId="54B9D8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CC52323">
            <w:pPr>
              <w:pStyle w:val="513"/>
              <w:rPr>
                <w:rFonts w:eastAsia="仿宋_GB2312"/>
                <w:color w:val="auto"/>
                <w:sz w:val="30"/>
                <w:szCs w:val="30"/>
                <w:highlight w:val="none"/>
              </w:rPr>
            </w:pPr>
          </w:p>
        </w:tc>
        <w:tc>
          <w:tcPr>
            <w:tcW w:w="1418" w:type="dxa"/>
            <w:noWrap w:val="0"/>
            <w:vAlign w:val="top"/>
          </w:tcPr>
          <w:p w14:paraId="6A4CB7C9">
            <w:pPr>
              <w:pStyle w:val="513"/>
              <w:rPr>
                <w:rFonts w:eastAsia="仿宋_GB2312"/>
                <w:color w:val="auto"/>
                <w:sz w:val="30"/>
                <w:szCs w:val="30"/>
                <w:highlight w:val="none"/>
              </w:rPr>
            </w:pPr>
          </w:p>
        </w:tc>
        <w:tc>
          <w:tcPr>
            <w:tcW w:w="850" w:type="dxa"/>
            <w:noWrap w:val="0"/>
            <w:vAlign w:val="top"/>
          </w:tcPr>
          <w:p w14:paraId="2DBDF85B">
            <w:pPr>
              <w:pStyle w:val="513"/>
              <w:rPr>
                <w:rFonts w:eastAsia="仿宋_GB2312"/>
                <w:color w:val="auto"/>
                <w:sz w:val="30"/>
                <w:szCs w:val="30"/>
                <w:highlight w:val="none"/>
              </w:rPr>
            </w:pPr>
          </w:p>
        </w:tc>
        <w:tc>
          <w:tcPr>
            <w:tcW w:w="1058" w:type="dxa"/>
            <w:noWrap w:val="0"/>
            <w:vAlign w:val="top"/>
          </w:tcPr>
          <w:p w14:paraId="2B36B836">
            <w:pPr>
              <w:pStyle w:val="513"/>
              <w:rPr>
                <w:rFonts w:eastAsia="仿宋_GB2312"/>
                <w:color w:val="auto"/>
                <w:sz w:val="30"/>
                <w:szCs w:val="30"/>
                <w:highlight w:val="none"/>
              </w:rPr>
            </w:pPr>
          </w:p>
        </w:tc>
        <w:tc>
          <w:tcPr>
            <w:tcW w:w="880" w:type="dxa"/>
            <w:noWrap w:val="0"/>
            <w:vAlign w:val="top"/>
          </w:tcPr>
          <w:p w14:paraId="112FC490">
            <w:pPr>
              <w:pStyle w:val="513"/>
              <w:rPr>
                <w:rFonts w:eastAsia="仿宋_GB2312"/>
                <w:color w:val="auto"/>
                <w:sz w:val="30"/>
                <w:szCs w:val="30"/>
                <w:highlight w:val="none"/>
              </w:rPr>
            </w:pPr>
          </w:p>
        </w:tc>
        <w:tc>
          <w:tcPr>
            <w:tcW w:w="1020" w:type="dxa"/>
            <w:noWrap w:val="0"/>
            <w:vAlign w:val="top"/>
          </w:tcPr>
          <w:p w14:paraId="03912CF9">
            <w:pPr>
              <w:pStyle w:val="513"/>
              <w:rPr>
                <w:rFonts w:eastAsia="仿宋_GB2312"/>
                <w:color w:val="auto"/>
                <w:sz w:val="30"/>
                <w:szCs w:val="30"/>
                <w:highlight w:val="none"/>
              </w:rPr>
            </w:pPr>
          </w:p>
        </w:tc>
        <w:tc>
          <w:tcPr>
            <w:tcW w:w="1480" w:type="dxa"/>
            <w:noWrap w:val="0"/>
            <w:vAlign w:val="top"/>
          </w:tcPr>
          <w:p w14:paraId="0BBCFE07">
            <w:pPr>
              <w:pStyle w:val="513"/>
              <w:rPr>
                <w:rFonts w:eastAsia="仿宋_GB2312"/>
                <w:color w:val="auto"/>
                <w:sz w:val="30"/>
                <w:szCs w:val="30"/>
                <w:highlight w:val="none"/>
              </w:rPr>
            </w:pPr>
          </w:p>
        </w:tc>
        <w:tc>
          <w:tcPr>
            <w:tcW w:w="1020" w:type="dxa"/>
            <w:noWrap w:val="0"/>
            <w:vAlign w:val="top"/>
          </w:tcPr>
          <w:p w14:paraId="3824F681">
            <w:pPr>
              <w:pStyle w:val="513"/>
              <w:rPr>
                <w:rFonts w:eastAsia="仿宋_GB2312"/>
                <w:color w:val="auto"/>
                <w:sz w:val="30"/>
                <w:szCs w:val="30"/>
                <w:highlight w:val="none"/>
              </w:rPr>
            </w:pPr>
          </w:p>
        </w:tc>
        <w:tc>
          <w:tcPr>
            <w:tcW w:w="921" w:type="dxa"/>
            <w:noWrap w:val="0"/>
            <w:vAlign w:val="top"/>
          </w:tcPr>
          <w:p w14:paraId="4B525C14">
            <w:pPr>
              <w:pStyle w:val="513"/>
              <w:rPr>
                <w:rFonts w:eastAsia="仿宋_GB2312"/>
                <w:color w:val="auto"/>
                <w:sz w:val="30"/>
                <w:szCs w:val="30"/>
                <w:highlight w:val="none"/>
              </w:rPr>
            </w:pPr>
          </w:p>
        </w:tc>
      </w:tr>
      <w:tr w14:paraId="1CA867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EEDC29E">
            <w:pPr>
              <w:pStyle w:val="513"/>
              <w:rPr>
                <w:rFonts w:eastAsia="仿宋_GB2312"/>
                <w:color w:val="auto"/>
                <w:sz w:val="30"/>
                <w:szCs w:val="30"/>
                <w:highlight w:val="none"/>
              </w:rPr>
            </w:pPr>
          </w:p>
        </w:tc>
        <w:tc>
          <w:tcPr>
            <w:tcW w:w="1418" w:type="dxa"/>
            <w:noWrap w:val="0"/>
            <w:vAlign w:val="top"/>
          </w:tcPr>
          <w:p w14:paraId="2FCBE0A4">
            <w:pPr>
              <w:pStyle w:val="513"/>
              <w:rPr>
                <w:rFonts w:eastAsia="仿宋_GB2312"/>
                <w:color w:val="auto"/>
                <w:sz w:val="30"/>
                <w:szCs w:val="30"/>
                <w:highlight w:val="none"/>
              </w:rPr>
            </w:pPr>
          </w:p>
        </w:tc>
        <w:tc>
          <w:tcPr>
            <w:tcW w:w="850" w:type="dxa"/>
            <w:noWrap w:val="0"/>
            <w:vAlign w:val="top"/>
          </w:tcPr>
          <w:p w14:paraId="46C9A029">
            <w:pPr>
              <w:pStyle w:val="513"/>
              <w:rPr>
                <w:rFonts w:eastAsia="仿宋_GB2312"/>
                <w:color w:val="auto"/>
                <w:sz w:val="30"/>
                <w:szCs w:val="30"/>
                <w:highlight w:val="none"/>
              </w:rPr>
            </w:pPr>
          </w:p>
        </w:tc>
        <w:tc>
          <w:tcPr>
            <w:tcW w:w="1058" w:type="dxa"/>
            <w:noWrap w:val="0"/>
            <w:vAlign w:val="top"/>
          </w:tcPr>
          <w:p w14:paraId="5E1AF617">
            <w:pPr>
              <w:pStyle w:val="513"/>
              <w:rPr>
                <w:rFonts w:eastAsia="仿宋_GB2312"/>
                <w:color w:val="auto"/>
                <w:sz w:val="30"/>
                <w:szCs w:val="30"/>
                <w:highlight w:val="none"/>
              </w:rPr>
            </w:pPr>
          </w:p>
        </w:tc>
        <w:tc>
          <w:tcPr>
            <w:tcW w:w="880" w:type="dxa"/>
            <w:noWrap w:val="0"/>
            <w:vAlign w:val="top"/>
          </w:tcPr>
          <w:p w14:paraId="5E9F1A1F">
            <w:pPr>
              <w:pStyle w:val="513"/>
              <w:rPr>
                <w:rFonts w:eastAsia="仿宋_GB2312"/>
                <w:color w:val="auto"/>
                <w:sz w:val="30"/>
                <w:szCs w:val="30"/>
                <w:highlight w:val="none"/>
              </w:rPr>
            </w:pPr>
          </w:p>
        </w:tc>
        <w:tc>
          <w:tcPr>
            <w:tcW w:w="1020" w:type="dxa"/>
            <w:noWrap w:val="0"/>
            <w:vAlign w:val="top"/>
          </w:tcPr>
          <w:p w14:paraId="35641B27">
            <w:pPr>
              <w:pStyle w:val="513"/>
              <w:rPr>
                <w:rFonts w:eastAsia="仿宋_GB2312"/>
                <w:color w:val="auto"/>
                <w:sz w:val="30"/>
                <w:szCs w:val="30"/>
                <w:highlight w:val="none"/>
              </w:rPr>
            </w:pPr>
          </w:p>
        </w:tc>
        <w:tc>
          <w:tcPr>
            <w:tcW w:w="1480" w:type="dxa"/>
            <w:noWrap w:val="0"/>
            <w:vAlign w:val="top"/>
          </w:tcPr>
          <w:p w14:paraId="72A0F189">
            <w:pPr>
              <w:pStyle w:val="513"/>
              <w:rPr>
                <w:rFonts w:eastAsia="仿宋_GB2312"/>
                <w:color w:val="auto"/>
                <w:sz w:val="30"/>
                <w:szCs w:val="30"/>
                <w:highlight w:val="none"/>
              </w:rPr>
            </w:pPr>
          </w:p>
        </w:tc>
        <w:tc>
          <w:tcPr>
            <w:tcW w:w="1020" w:type="dxa"/>
            <w:noWrap w:val="0"/>
            <w:vAlign w:val="top"/>
          </w:tcPr>
          <w:p w14:paraId="419208BA">
            <w:pPr>
              <w:pStyle w:val="513"/>
              <w:rPr>
                <w:rFonts w:eastAsia="仿宋_GB2312"/>
                <w:color w:val="auto"/>
                <w:sz w:val="30"/>
                <w:szCs w:val="30"/>
                <w:highlight w:val="none"/>
              </w:rPr>
            </w:pPr>
          </w:p>
        </w:tc>
        <w:tc>
          <w:tcPr>
            <w:tcW w:w="921" w:type="dxa"/>
            <w:noWrap w:val="0"/>
            <w:vAlign w:val="top"/>
          </w:tcPr>
          <w:p w14:paraId="5325ED4E">
            <w:pPr>
              <w:pStyle w:val="513"/>
              <w:rPr>
                <w:rFonts w:eastAsia="仿宋_GB2312"/>
                <w:color w:val="auto"/>
                <w:sz w:val="30"/>
                <w:szCs w:val="30"/>
                <w:highlight w:val="none"/>
              </w:rPr>
            </w:pPr>
          </w:p>
        </w:tc>
      </w:tr>
      <w:tr w14:paraId="1B3F4A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F1FC0F5">
            <w:pPr>
              <w:pStyle w:val="513"/>
              <w:rPr>
                <w:rFonts w:eastAsia="仿宋_GB2312"/>
                <w:color w:val="auto"/>
                <w:sz w:val="30"/>
                <w:szCs w:val="30"/>
                <w:highlight w:val="none"/>
              </w:rPr>
            </w:pPr>
          </w:p>
        </w:tc>
        <w:tc>
          <w:tcPr>
            <w:tcW w:w="1418" w:type="dxa"/>
            <w:noWrap w:val="0"/>
            <w:vAlign w:val="top"/>
          </w:tcPr>
          <w:p w14:paraId="66E07382">
            <w:pPr>
              <w:pStyle w:val="513"/>
              <w:rPr>
                <w:rFonts w:eastAsia="仿宋_GB2312"/>
                <w:color w:val="auto"/>
                <w:sz w:val="30"/>
                <w:szCs w:val="30"/>
                <w:highlight w:val="none"/>
              </w:rPr>
            </w:pPr>
          </w:p>
        </w:tc>
        <w:tc>
          <w:tcPr>
            <w:tcW w:w="850" w:type="dxa"/>
            <w:noWrap w:val="0"/>
            <w:vAlign w:val="top"/>
          </w:tcPr>
          <w:p w14:paraId="04EDEEBA">
            <w:pPr>
              <w:pStyle w:val="513"/>
              <w:rPr>
                <w:rFonts w:eastAsia="仿宋_GB2312"/>
                <w:color w:val="auto"/>
                <w:sz w:val="30"/>
                <w:szCs w:val="30"/>
                <w:highlight w:val="none"/>
              </w:rPr>
            </w:pPr>
          </w:p>
        </w:tc>
        <w:tc>
          <w:tcPr>
            <w:tcW w:w="1058" w:type="dxa"/>
            <w:noWrap w:val="0"/>
            <w:vAlign w:val="top"/>
          </w:tcPr>
          <w:p w14:paraId="5F5ECFE9">
            <w:pPr>
              <w:pStyle w:val="513"/>
              <w:rPr>
                <w:rFonts w:eastAsia="仿宋_GB2312"/>
                <w:color w:val="auto"/>
                <w:sz w:val="30"/>
                <w:szCs w:val="30"/>
                <w:highlight w:val="none"/>
              </w:rPr>
            </w:pPr>
          </w:p>
        </w:tc>
        <w:tc>
          <w:tcPr>
            <w:tcW w:w="880" w:type="dxa"/>
            <w:noWrap w:val="0"/>
            <w:vAlign w:val="top"/>
          </w:tcPr>
          <w:p w14:paraId="7A0C4920">
            <w:pPr>
              <w:pStyle w:val="513"/>
              <w:rPr>
                <w:rFonts w:eastAsia="仿宋_GB2312"/>
                <w:color w:val="auto"/>
                <w:sz w:val="30"/>
                <w:szCs w:val="30"/>
                <w:highlight w:val="none"/>
              </w:rPr>
            </w:pPr>
          </w:p>
        </w:tc>
        <w:tc>
          <w:tcPr>
            <w:tcW w:w="1020" w:type="dxa"/>
            <w:noWrap w:val="0"/>
            <w:vAlign w:val="top"/>
          </w:tcPr>
          <w:p w14:paraId="2E1C0078">
            <w:pPr>
              <w:pStyle w:val="513"/>
              <w:rPr>
                <w:rFonts w:eastAsia="仿宋_GB2312"/>
                <w:color w:val="auto"/>
                <w:sz w:val="30"/>
                <w:szCs w:val="30"/>
                <w:highlight w:val="none"/>
              </w:rPr>
            </w:pPr>
          </w:p>
        </w:tc>
        <w:tc>
          <w:tcPr>
            <w:tcW w:w="1480" w:type="dxa"/>
            <w:noWrap w:val="0"/>
            <w:vAlign w:val="top"/>
          </w:tcPr>
          <w:p w14:paraId="768657A7">
            <w:pPr>
              <w:pStyle w:val="513"/>
              <w:rPr>
                <w:rFonts w:eastAsia="仿宋_GB2312"/>
                <w:color w:val="auto"/>
                <w:sz w:val="30"/>
                <w:szCs w:val="30"/>
                <w:highlight w:val="none"/>
              </w:rPr>
            </w:pPr>
          </w:p>
        </w:tc>
        <w:tc>
          <w:tcPr>
            <w:tcW w:w="1020" w:type="dxa"/>
            <w:noWrap w:val="0"/>
            <w:vAlign w:val="top"/>
          </w:tcPr>
          <w:p w14:paraId="65D3E2EB">
            <w:pPr>
              <w:pStyle w:val="513"/>
              <w:rPr>
                <w:rFonts w:eastAsia="仿宋_GB2312"/>
                <w:color w:val="auto"/>
                <w:sz w:val="30"/>
                <w:szCs w:val="30"/>
                <w:highlight w:val="none"/>
              </w:rPr>
            </w:pPr>
          </w:p>
        </w:tc>
        <w:tc>
          <w:tcPr>
            <w:tcW w:w="921" w:type="dxa"/>
            <w:noWrap w:val="0"/>
            <w:vAlign w:val="top"/>
          </w:tcPr>
          <w:p w14:paraId="54328201">
            <w:pPr>
              <w:pStyle w:val="513"/>
              <w:rPr>
                <w:rFonts w:eastAsia="仿宋_GB2312"/>
                <w:color w:val="auto"/>
                <w:sz w:val="30"/>
                <w:szCs w:val="30"/>
                <w:highlight w:val="none"/>
              </w:rPr>
            </w:pPr>
          </w:p>
        </w:tc>
      </w:tr>
      <w:tr w14:paraId="5B4DA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D6CDA34">
            <w:pPr>
              <w:pStyle w:val="513"/>
              <w:rPr>
                <w:rFonts w:eastAsia="仿宋_GB2312"/>
                <w:color w:val="auto"/>
                <w:sz w:val="30"/>
                <w:szCs w:val="30"/>
                <w:highlight w:val="none"/>
              </w:rPr>
            </w:pPr>
          </w:p>
        </w:tc>
        <w:tc>
          <w:tcPr>
            <w:tcW w:w="1418" w:type="dxa"/>
            <w:noWrap w:val="0"/>
            <w:vAlign w:val="top"/>
          </w:tcPr>
          <w:p w14:paraId="34E76660">
            <w:pPr>
              <w:pStyle w:val="513"/>
              <w:rPr>
                <w:rFonts w:eastAsia="仿宋_GB2312"/>
                <w:color w:val="auto"/>
                <w:sz w:val="30"/>
                <w:szCs w:val="30"/>
                <w:highlight w:val="none"/>
              </w:rPr>
            </w:pPr>
          </w:p>
        </w:tc>
        <w:tc>
          <w:tcPr>
            <w:tcW w:w="850" w:type="dxa"/>
            <w:noWrap w:val="0"/>
            <w:vAlign w:val="top"/>
          </w:tcPr>
          <w:p w14:paraId="08A5395D">
            <w:pPr>
              <w:pStyle w:val="513"/>
              <w:rPr>
                <w:rFonts w:eastAsia="仿宋_GB2312"/>
                <w:color w:val="auto"/>
                <w:sz w:val="30"/>
                <w:szCs w:val="30"/>
                <w:highlight w:val="none"/>
              </w:rPr>
            </w:pPr>
          </w:p>
        </w:tc>
        <w:tc>
          <w:tcPr>
            <w:tcW w:w="1058" w:type="dxa"/>
            <w:noWrap w:val="0"/>
            <w:vAlign w:val="top"/>
          </w:tcPr>
          <w:p w14:paraId="3EC66D23">
            <w:pPr>
              <w:pStyle w:val="513"/>
              <w:rPr>
                <w:rFonts w:eastAsia="仿宋_GB2312"/>
                <w:color w:val="auto"/>
                <w:sz w:val="30"/>
                <w:szCs w:val="30"/>
                <w:highlight w:val="none"/>
              </w:rPr>
            </w:pPr>
          </w:p>
        </w:tc>
        <w:tc>
          <w:tcPr>
            <w:tcW w:w="880" w:type="dxa"/>
            <w:noWrap w:val="0"/>
            <w:vAlign w:val="top"/>
          </w:tcPr>
          <w:p w14:paraId="58B584EB">
            <w:pPr>
              <w:pStyle w:val="513"/>
              <w:rPr>
                <w:rFonts w:eastAsia="仿宋_GB2312"/>
                <w:color w:val="auto"/>
                <w:sz w:val="30"/>
                <w:szCs w:val="30"/>
                <w:highlight w:val="none"/>
              </w:rPr>
            </w:pPr>
          </w:p>
        </w:tc>
        <w:tc>
          <w:tcPr>
            <w:tcW w:w="1020" w:type="dxa"/>
            <w:noWrap w:val="0"/>
            <w:vAlign w:val="top"/>
          </w:tcPr>
          <w:p w14:paraId="23E33A06">
            <w:pPr>
              <w:pStyle w:val="513"/>
              <w:rPr>
                <w:rFonts w:eastAsia="仿宋_GB2312"/>
                <w:color w:val="auto"/>
                <w:sz w:val="30"/>
                <w:szCs w:val="30"/>
                <w:highlight w:val="none"/>
              </w:rPr>
            </w:pPr>
          </w:p>
        </w:tc>
        <w:tc>
          <w:tcPr>
            <w:tcW w:w="1480" w:type="dxa"/>
            <w:noWrap w:val="0"/>
            <w:vAlign w:val="top"/>
          </w:tcPr>
          <w:p w14:paraId="5845ABBC">
            <w:pPr>
              <w:pStyle w:val="513"/>
              <w:rPr>
                <w:rFonts w:eastAsia="仿宋_GB2312"/>
                <w:color w:val="auto"/>
                <w:sz w:val="30"/>
                <w:szCs w:val="30"/>
                <w:highlight w:val="none"/>
              </w:rPr>
            </w:pPr>
          </w:p>
        </w:tc>
        <w:tc>
          <w:tcPr>
            <w:tcW w:w="1020" w:type="dxa"/>
            <w:noWrap w:val="0"/>
            <w:vAlign w:val="top"/>
          </w:tcPr>
          <w:p w14:paraId="5DBDE22C">
            <w:pPr>
              <w:pStyle w:val="513"/>
              <w:rPr>
                <w:rFonts w:eastAsia="仿宋_GB2312"/>
                <w:color w:val="auto"/>
                <w:sz w:val="30"/>
                <w:szCs w:val="30"/>
                <w:highlight w:val="none"/>
              </w:rPr>
            </w:pPr>
          </w:p>
        </w:tc>
        <w:tc>
          <w:tcPr>
            <w:tcW w:w="921" w:type="dxa"/>
            <w:noWrap w:val="0"/>
            <w:vAlign w:val="top"/>
          </w:tcPr>
          <w:p w14:paraId="524BFB54">
            <w:pPr>
              <w:pStyle w:val="513"/>
              <w:rPr>
                <w:rFonts w:eastAsia="仿宋_GB2312"/>
                <w:color w:val="auto"/>
                <w:sz w:val="30"/>
                <w:szCs w:val="30"/>
                <w:highlight w:val="none"/>
              </w:rPr>
            </w:pPr>
          </w:p>
        </w:tc>
      </w:tr>
      <w:tr w14:paraId="791B2A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1CD00026">
            <w:pPr>
              <w:pStyle w:val="513"/>
              <w:rPr>
                <w:rFonts w:eastAsia="仿宋_GB2312"/>
                <w:color w:val="auto"/>
                <w:sz w:val="30"/>
                <w:szCs w:val="30"/>
                <w:highlight w:val="none"/>
              </w:rPr>
            </w:pPr>
          </w:p>
        </w:tc>
        <w:tc>
          <w:tcPr>
            <w:tcW w:w="1418" w:type="dxa"/>
            <w:noWrap w:val="0"/>
            <w:vAlign w:val="top"/>
          </w:tcPr>
          <w:p w14:paraId="15271F84">
            <w:pPr>
              <w:pStyle w:val="513"/>
              <w:rPr>
                <w:rFonts w:eastAsia="仿宋_GB2312"/>
                <w:color w:val="auto"/>
                <w:sz w:val="30"/>
                <w:szCs w:val="30"/>
                <w:highlight w:val="none"/>
              </w:rPr>
            </w:pPr>
          </w:p>
        </w:tc>
        <w:tc>
          <w:tcPr>
            <w:tcW w:w="850" w:type="dxa"/>
            <w:noWrap w:val="0"/>
            <w:vAlign w:val="top"/>
          </w:tcPr>
          <w:p w14:paraId="06042BBE">
            <w:pPr>
              <w:pStyle w:val="513"/>
              <w:rPr>
                <w:rFonts w:eastAsia="仿宋_GB2312"/>
                <w:color w:val="auto"/>
                <w:sz w:val="30"/>
                <w:szCs w:val="30"/>
                <w:highlight w:val="none"/>
              </w:rPr>
            </w:pPr>
          </w:p>
        </w:tc>
        <w:tc>
          <w:tcPr>
            <w:tcW w:w="1058" w:type="dxa"/>
            <w:noWrap w:val="0"/>
            <w:vAlign w:val="top"/>
          </w:tcPr>
          <w:p w14:paraId="17F38497">
            <w:pPr>
              <w:pStyle w:val="513"/>
              <w:rPr>
                <w:rFonts w:eastAsia="仿宋_GB2312"/>
                <w:color w:val="auto"/>
                <w:sz w:val="30"/>
                <w:szCs w:val="30"/>
                <w:highlight w:val="none"/>
              </w:rPr>
            </w:pPr>
          </w:p>
        </w:tc>
        <w:tc>
          <w:tcPr>
            <w:tcW w:w="880" w:type="dxa"/>
            <w:noWrap w:val="0"/>
            <w:vAlign w:val="top"/>
          </w:tcPr>
          <w:p w14:paraId="57BE3F28">
            <w:pPr>
              <w:pStyle w:val="513"/>
              <w:rPr>
                <w:rFonts w:eastAsia="仿宋_GB2312"/>
                <w:color w:val="auto"/>
                <w:sz w:val="30"/>
                <w:szCs w:val="30"/>
                <w:highlight w:val="none"/>
              </w:rPr>
            </w:pPr>
          </w:p>
        </w:tc>
        <w:tc>
          <w:tcPr>
            <w:tcW w:w="1020" w:type="dxa"/>
            <w:noWrap w:val="0"/>
            <w:vAlign w:val="top"/>
          </w:tcPr>
          <w:p w14:paraId="73BBBAE2">
            <w:pPr>
              <w:pStyle w:val="513"/>
              <w:rPr>
                <w:rFonts w:eastAsia="仿宋_GB2312"/>
                <w:color w:val="auto"/>
                <w:sz w:val="30"/>
                <w:szCs w:val="30"/>
                <w:highlight w:val="none"/>
              </w:rPr>
            </w:pPr>
          </w:p>
        </w:tc>
        <w:tc>
          <w:tcPr>
            <w:tcW w:w="1480" w:type="dxa"/>
            <w:noWrap w:val="0"/>
            <w:vAlign w:val="top"/>
          </w:tcPr>
          <w:p w14:paraId="62D0F62D">
            <w:pPr>
              <w:pStyle w:val="513"/>
              <w:rPr>
                <w:rFonts w:eastAsia="仿宋_GB2312"/>
                <w:color w:val="auto"/>
                <w:sz w:val="30"/>
                <w:szCs w:val="30"/>
                <w:highlight w:val="none"/>
              </w:rPr>
            </w:pPr>
          </w:p>
        </w:tc>
        <w:tc>
          <w:tcPr>
            <w:tcW w:w="1020" w:type="dxa"/>
            <w:noWrap w:val="0"/>
            <w:vAlign w:val="top"/>
          </w:tcPr>
          <w:p w14:paraId="191FD19E">
            <w:pPr>
              <w:pStyle w:val="513"/>
              <w:rPr>
                <w:rFonts w:eastAsia="仿宋_GB2312"/>
                <w:color w:val="auto"/>
                <w:sz w:val="30"/>
                <w:szCs w:val="30"/>
                <w:highlight w:val="none"/>
              </w:rPr>
            </w:pPr>
          </w:p>
        </w:tc>
        <w:tc>
          <w:tcPr>
            <w:tcW w:w="921" w:type="dxa"/>
            <w:noWrap w:val="0"/>
            <w:vAlign w:val="top"/>
          </w:tcPr>
          <w:p w14:paraId="2464D04A">
            <w:pPr>
              <w:pStyle w:val="513"/>
              <w:rPr>
                <w:rFonts w:eastAsia="仿宋_GB2312"/>
                <w:color w:val="auto"/>
                <w:sz w:val="30"/>
                <w:szCs w:val="30"/>
                <w:highlight w:val="none"/>
              </w:rPr>
            </w:pPr>
          </w:p>
        </w:tc>
      </w:tr>
      <w:tr w14:paraId="60EA33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76081EC">
            <w:pPr>
              <w:pStyle w:val="513"/>
              <w:rPr>
                <w:rFonts w:eastAsia="仿宋_GB2312"/>
                <w:color w:val="auto"/>
                <w:sz w:val="30"/>
                <w:szCs w:val="30"/>
                <w:highlight w:val="none"/>
              </w:rPr>
            </w:pPr>
          </w:p>
        </w:tc>
        <w:tc>
          <w:tcPr>
            <w:tcW w:w="1418" w:type="dxa"/>
            <w:noWrap w:val="0"/>
            <w:vAlign w:val="top"/>
          </w:tcPr>
          <w:p w14:paraId="65731CD0">
            <w:pPr>
              <w:pStyle w:val="513"/>
              <w:rPr>
                <w:rFonts w:eastAsia="仿宋_GB2312"/>
                <w:color w:val="auto"/>
                <w:sz w:val="30"/>
                <w:szCs w:val="30"/>
                <w:highlight w:val="none"/>
              </w:rPr>
            </w:pPr>
          </w:p>
        </w:tc>
        <w:tc>
          <w:tcPr>
            <w:tcW w:w="850" w:type="dxa"/>
            <w:noWrap w:val="0"/>
            <w:vAlign w:val="top"/>
          </w:tcPr>
          <w:p w14:paraId="35C45F66">
            <w:pPr>
              <w:pStyle w:val="513"/>
              <w:rPr>
                <w:rFonts w:eastAsia="仿宋_GB2312"/>
                <w:color w:val="auto"/>
                <w:sz w:val="30"/>
                <w:szCs w:val="30"/>
                <w:highlight w:val="none"/>
              </w:rPr>
            </w:pPr>
          </w:p>
        </w:tc>
        <w:tc>
          <w:tcPr>
            <w:tcW w:w="1058" w:type="dxa"/>
            <w:noWrap w:val="0"/>
            <w:vAlign w:val="top"/>
          </w:tcPr>
          <w:p w14:paraId="7EE8FD71">
            <w:pPr>
              <w:pStyle w:val="513"/>
              <w:rPr>
                <w:rFonts w:eastAsia="仿宋_GB2312"/>
                <w:color w:val="auto"/>
                <w:sz w:val="30"/>
                <w:szCs w:val="30"/>
                <w:highlight w:val="none"/>
              </w:rPr>
            </w:pPr>
          </w:p>
        </w:tc>
        <w:tc>
          <w:tcPr>
            <w:tcW w:w="880" w:type="dxa"/>
            <w:noWrap w:val="0"/>
            <w:vAlign w:val="top"/>
          </w:tcPr>
          <w:p w14:paraId="16EB09FE">
            <w:pPr>
              <w:pStyle w:val="513"/>
              <w:rPr>
                <w:rFonts w:eastAsia="仿宋_GB2312"/>
                <w:color w:val="auto"/>
                <w:sz w:val="30"/>
                <w:szCs w:val="30"/>
                <w:highlight w:val="none"/>
              </w:rPr>
            </w:pPr>
          </w:p>
        </w:tc>
        <w:tc>
          <w:tcPr>
            <w:tcW w:w="1020" w:type="dxa"/>
            <w:noWrap w:val="0"/>
            <w:vAlign w:val="top"/>
          </w:tcPr>
          <w:p w14:paraId="084AA38A">
            <w:pPr>
              <w:pStyle w:val="513"/>
              <w:rPr>
                <w:rFonts w:eastAsia="仿宋_GB2312"/>
                <w:color w:val="auto"/>
                <w:sz w:val="30"/>
                <w:szCs w:val="30"/>
                <w:highlight w:val="none"/>
              </w:rPr>
            </w:pPr>
          </w:p>
        </w:tc>
        <w:tc>
          <w:tcPr>
            <w:tcW w:w="1480" w:type="dxa"/>
            <w:noWrap w:val="0"/>
            <w:vAlign w:val="top"/>
          </w:tcPr>
          <w:p w14:paraId="62EE63E9">
            <w:pPr>
              <w:pStyle w:val="513"/>
              <w:rPr>
                <w:rFonts w:eastAsia="仿宋_GB2312"/>
                <w:color w:val="auto"/>
                <w:sz w:val="30"/>
                <w:szCs w:val="30"/>
                <w:highlight w:val="none"/>
              </w:rPr>
            </w:pPr>
          </w:p>
        </w:tc>
        <w:tc>
          <w:tcPr>
            <w:tcW w:w="1020" w:type="dxa"/>
            <w:noWrap w:val="0"/>
            <w:vAlign w:val="top"/>
          </w:tcPr>
          <w:p w14:paraId="016644ED">
            <w:pPr>
              <w:pStyle w:val="513"/>
              <w:rPr>
                <w:rFonts w:eastAsia="仿宋_GB2312"/>
                <w:color w:val="auto"/>
                <w:sz w:val="30"/>
                <w:szCs w:val="30"/>
                <w:highlight w:val="none"/>
              </w:rPr>
            </w:pPr>
          </w:p>
        </w:tc>
        <w:tc>
          <w:tcPr>
            <w:tcW w:w="921" w:type="dxa"/>
            <w:noWrap w:val="0"/>
            <w:vAlign w:val="top"/>
          </w:tcPr>
          <w:p w14:paraId="32F449C1">
            <w:pPr>
              <w:pStyle w:val="513"/>
              <w:rPr>
                <w:rFonts w:eastAsia="仿宋_GB2312"/>
                <w:color w:val="auto"/>
                <w:sz w:val="30"/>
                <w:szCs w:val="30"/>
                <w:highlight w:val="none"/>
              </w:rPr>
            </w:pPr>
          </w:p>
        </w:tc>
      </w:tr>
      <w:tr w14:paraId="7EEF7F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5111D7F">
            <w:pPr>
              <w:pStyle w:val="513"/>
              <w:rPr>
                <w:rFonts w:eastAsia="仿宋_GB2312"/>
                <w:color w:val="auto"/>
                <w:sz w:val="30"/>
                <w:szCs w:val="30"/>
                <w:highlight w:val="none"/>
              </w:rPr>
            </w:pPr>
          </w:p>
        </w:tc>
        <w:tc>
          <w:tcPr>
            <w:tcW w:w="1418" w:type="dxa"/>
            <w:noWrap w:val="0"/>
            <w:vAlign w:val="top"/>
          </w:tcPr>
          <w:p w14:paraId="177B12E6">
            <w:pPr>
              <w:pStyle w:val="513"/>
              <w:rPr>
                <w:rFonts w:eastAsia="仿宋_GB2312"/>
                <w:color w:val="auto"/>
                <w:sz w:val="30"/>
                <w:szCs w:val="30"/>
                <w:highlight w:val="none"/>
              </w:rPr>
            </w:pPr>
          </w:p>
        </w:tc>
        <w:tc>
          <w:tcPr>
            <w:tcW w:w="850" w:type="dxa"/>
            <w:noWrap w:val="0"/>
            <w:vAlign w:val="top"/>
          </w:tcPr>
          <w:p w14:paraId="586DB6D0">
            <w:pPr>
              <w:pStyle w:val="513"/>
              <w:rPr>
                <w:rFonts w:eastAsia="仿宋_GB2312"/>
                <w:color w:val="auto"/>
                <w:sz w:val="30"/>
                <w:szCs w:val="30"/>
                <w:highlight w:val="none"/>
              </w:rPr>
            </w:pPr>
          </w:p>
        </w:tc>
        <w:tc>
          <w:tcPr>
            <w:tcW w:w="1058" w:type="dxa"/>
            <w:noWrap w:val="0"/>
            <w:vAlign w:val="top"/>
          </w:tcPr>
          <w:p w14:paraId="240E1D8D">
            <w:pPr>
              <w:pStyle w:val="513"/>
              <w:rPr>
                <w:rFonts w:eastAsia="仿宋_GB2312"/>
                <w:color w:val="auto"/>
                <w:sz w:val="30"/>
                <w:szCs w:val="30"/>
                <w:highlight w:val="none"/>
              </w:rPr>
            </w:pPr>
          </w:p>
        </w:tc>
        <w:tc>
          <w:tcPr>
            <w:tcW w:w="880" w:type="dxa"/>
            <w:noWrap w:val="0"/>
            <w:vAlign w:val="top"/>
          </w:tcPr>
          <w:p w14:paraId="4327330D">
            <w:pPr>
              <w:pStyle w:val="513"/>
              <w:rPr>
                <w:rFonts w:eastAsia="仿宋_GB2312"/>
                <w:color w:val="auto"/>
                <w:sz w:val="30"/>
                <w:szCs w:val="30"/>
                <w:highlight w:val="none"/>
              </w:rPr>
            </w:pPr>
          </w:p>
        </w:tc>
        <w:tc>
          <w:tcPr>
            <w:tcW w:w="1020" w:type="dxa"/>
            <w:noWrap w:val="0"/>
            <w:vAlign w:val="top"/>
          </w:tcPr>
          <w:p w14:paraId="5FBABFA0">
            <w:pPr>
              <w:pStyle w:val="513"/>
              <w:rPr>
                <w:rFonts w:eastAsia="仿宋_GB2312"/>
                <w:color w:val="auto"/>
                <w:sz w:val="30"/>
                <w:szCs w:val="30"/>
                <w:highlight w:val="none"/>
              </w:rPr>
            </w:pPr>
          </w:p>
        </w:tc>
        <w:tc>
          <w:tcPr>
            <w:tcW w:w="1480" w:type="dxa"/>
            <w:noWrap w:val="0"/>
            <w:vAlign w:val="top"/>
          </w:tcPr>
          <w:p w14:paraId="71599367">
            <w:pPr>
              <w:pStyle w:val="513"/>
              <w:rPr>
                <w:rFonts w:eastAsia="仿宋_GB2312"/>
                <w:color w:val="auto"/>
                <w:sz w:val="30"/>
                <w:szCs w:val="30"/>
                <w:highlight w:val="none"/>
              </w:rPr>
            </w:pPr>
          </w:p>
        </w:tc>
        <w:tc>
          <w:tcPr>
            <w:tcW w:w="1020" w:type="dxa"/>
            <w:noWrap w:val="0"/>
            <w:vAlign w:val="top"/>
          </w:tcPr>
          <w:p w14:paraId="2D94115E">
            <w:pPr>
              <w:pStyle w:val="513"/>
              <w:rPr>
                <w:rFonts w:eastAsia="仿宋_GB2312"/>
                <w:color w:val="auto"/>
                <w:sz w:val="30"/>
                <w:szCs w:val="30"/>
                <w:highlight w:val="none"/>
              </w:rPr>
            </w:pPr>
          </w:p>
        </w:tc>
        <w:tc>
          <w:tcPr>
            <w:tcW w:w="921" w:type="dxa"/>
            <w:noWrap w:val="0"/>
            <w:vAlign w:val="top"/>
          </w:tcPr>
          <w:p w14:paraId="460D8E03">
            <w:pPr>
              <w:pStyle w:val="513"/>
              <w:rPr>
                <w:rFonts w:eastAsia="仿宋_GB2312"/>
                <w:color w:val="auto"/>
                <w:sz w:val="30"/>
                <w:szCs w:val="30"/>
                <w:highlight w:val="none"/>
              </w:rPr>
            </w:pPr>
          </w:p>
        </w:tc>
      </w:tr>
    </w:tbl>
    <w:p w14:paraId="58E8FB3F">
      <w:pPr>
        <w:pStyle w:val="513"/>
        <w:spacing w:line="440" w:lineRule="exact"/>
        <w:rPr>
          <w:rFonts w:hint="eastAsia" w:eastAsia="仿宋_GB2312"/>
          <w:color w:val="auto"/>
          <w:sz w:val="30"/>
          <w:szCs w:val="30"/>
          <w:highlight w:val="none"/>
        </w:rPr>
      </w:pPr>
    </w:p>
    <w:p w14:paraId="6D8F0535">
      <w:pPr>
        <w:pStyle w:val="513"/>
        <w:spacing w:line="440" w:lineRule="exact"/>
        <w:rPr>
          <w:rFonts w:hint="eastAsia" w:eastAsia="仿宋_GB2312"/>
          <w:color w:val="auto"/>
          <w:sz w:val="30"/>
          <w:szCs w:val="30"/>
          <w:highlight w:val="none"/>
        </w:rPr>
      </w:pPr>
    </w:p>
    <w:p w14:paraId="62F15431">
      <w:pPr>
        <w:pStyle w:val="513"/>
        <w:spacing w:line="440" w:lineRule="exact"/>
        <w:rPr>
          <w:rFonts w:hint="eastAsia" w:eastAsia="仿宋_GB2312"/>
          <w:color w:val="auto"/>
          <w:sz w:val="30"/>
          <w:szCs w:val="30"/>
          <w:highlight w:val="none"/>
        </w:rPr>
      </w:pPr>
    </w:p>
    <w:p w14:paraId="576788F0">
      <w:pPr>
        <w:pStyle w:val="513"/>
        <w:spacing w:line="440" w:lineRule="exact"/>
        <w:rPr>
          <w:rFonts w:hint="eastAsia" w:eastAsia="仿宋_GB2312"/>
          <w:color w:val="auto"/>
          <w:sz w:val="30"/>
          <w:szCs w:val="30"/>
          <w:highlight w:val="none"/>
        </w:rPr>
      </w:pPr>
    </w:p>
    <w:p w14:paraId="7E91FB55">
      <w:pPr>
        <w:pStyle w:val="513"/>
        <w:spacing w:line="440" w:lineRule="exact"/>
        <w:rPr>
          <w:rFonts w:hint="eastAsia" w:eastAsia="仿宋_GB2312"/>
          <w:color w:val="auto"/>
          <w:sz w:val="30"/>
          <w:szCs w:val="30"/>
          <w:highlight w:val="none"/>
        </w:rPr>
      </w:pPr>
    </w:p>
    <w:p w14:paraId="3C9A22FF">
      <w:pPr>
        <w:pStyle w:val="513"/>
        <w:spacing w:line="440" w:lineRule="exact"/>
        <w:rPr>
          <w:rFonts w:hint="eastAsia" w:eastAsia="仿宋_GB2312"/>
          <w:color w:val="auto"/>
          <w:sz w:val="30"/>
          <w:szCs w:val="30"/>
          <w:highlight w:val="none"/>
        </w:rPr>
      </w:pPr>
    </w:p>
    <w:p w14:paraId="4D65263A">
      <w:pPr>
        <w:pStyle w:val="513"/>
        <w:spacing w:line="440" w:lineRule="exact"/>
        <w:rPr>
          <w:rFonts w:hint="eastAsia" w:eastAsia="仿宋_GB2312"/>
          <w:color w:val="auto"/>
          <w:sz w:val="30"/>
          <w:szCs w:val="30"/>
          <w:highlight w:val="none"/>
        </w:rPr>
      </w:pPr>
    </w:p>
    <w:p w14:paraId="23466D6A">
      <w:pPr>
        <w:pStyle w:val="513"/>
        <w:spacing w:line="440" w:lineRule="exact"/>
        <w:rPr>
          <w:rFonts w:hint="eastAsia" w:eastAsia="仿宋_GB2312"/>
          <w:color w:val="auto"/>
          <w:sz w:val="30"/>
          <w:szCs w:val="30"/>
          <w:highlight w:val="none"/>
        </w:rPr>
      </w:pPr>
      <w:r>
        <w:rPr>
          <w:rFonts w:eastAsia="仿宋_GB2312"/>
          <w:color w:val="auto"/>
          <w:sz w:val="30"/>
          <w:szCs w:val="30"/>
          <w:highlight w:val="none"/>
        </w:rPr>
        <w:t>附件</w:t>
      </w:r>
      <w:r>
        <w:rPr>
          <w:rFonts w:hint="eastAsia" w:eastAsia="仿宋_GB2312"/>
          <w:color w:val="auto"/>
          <w:sz w:val="30"/>
          <w:szCs w:val="30"/>
          <w:highlight w:val="none"/>
        </w:rPr>
        <w:t>5</w:t>
      </w:r>
      <w:r>
        <w:rPr>
          <w:rFonts w:eastAsia="仿宋_GB2312"/>
          <w:color w:val="auto"/>
          <w:sz w:val="30"/>
          <w:szCs w:val="30"/>
          <w:highlight w:val="none"/>
        </w:rPr>
        <w:t>：</w:t>
      </w:r>
    </w:p>
    <w:p w14:paraId="4CE3996F">
      <w:pPr>
        <w:pStyle w:val="513"/>
        <w:spacing w:line="440" w:lineRule="exact"/>
        <w:jc w:val="center"/>
        <w:rPr>
          <w:rFonts w:eastAsia="黑体"/>
          <w:color w:val="auto"/>
          <w:sz w:val="30"/>
          <w:szCs w:val="30"/>
          <w:highlight w:val="none"/>
        </w:rPr>
      </w:pPr>
      <w:r>
        <w:rPr>
          <w:rFonts w:eastAsia="黑体"/>
          <w:color w:val="auto"/>
          <w:sz w:val="30"/>
          <w:szCs w:val="30"/>
          <w:highlight w:val="none"/>
        </w:rPr>
        <w:t>承包人主要施工管理人员表</w:t>
      </w:r>
    </w:p>
    <w:tbl>
      <w:tblPr>
        <w:tblStyle w:val="54"/>
        <w:tblpPr w:leftFromText="180" w:rightFromText="180" w:vertAnchor="text" w:horzAnchor="margin" w:tblpY="19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7"/>
        <w:gridCol w:w="1331"/>
        <w:gridCol w:w="1064"/>
        <w:gridCol w:w="1064"/>
        <w:gridCol w:w="3994"/>
      </w:tblGrid>
      <w:tr w14:paraId="1FC925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tcBorders>
              <w:top w:val="single" w:color="auto" w:sz="12" w:space="0"/>
              <w:bottom w:val="double" w:color="auto" w:sz="6" w:space="0"/>
            </w:tcBorders>
            <w:noWrap w:val="0"/>
            <w:vAlign w:val="center"/>
          </w:tcPr>
          <w:p w14:paraId="64ACAE90">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名    称</w:t>
            </w:r>
          </w:p>
        </w:tc>
        <w:tc>
          <w:tcPr>
            <w:tcW w:w="1331" w:type="dxa"/>
            <w:tcBorders>
              <w:top w:val="single" w:color="auto" w:sz="12" w:space="0"/>
              <w:bottom w:val="double" w:color="auto" w:sz="6" w:space="0"/>
            </w:tcBorders>
            <w:noWrap w:val="0"/>
            <w:vAlign w:val="center"/>
          </w:tcPr>
          <w:p w14:paraId="1718E691">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姓名</w:t>
            </w:r>
          </w:p>
        </w:tc>
        <w:tc>
          <w:tcPr>
            <w:tcW w:w="1064" w:type="dxa"/>
            <w:tcBorders>
              <w:top w:val="single" w:color="auto" w:sz="12" w:space="0"/>
              <w:bottom w:val="double" w:color="auto" w:sz="6" w:space="0"/>
            </w:tcBorders>
            <w:noWrap w:val="0"/>
            <w:vAlign w:val="center"/>
          </w:tcPr>
          <w:p w14:paraId="20D4781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职务</w:t>
            </w:r>
          </w:p>
        </w:tc>
        <w:tc>
          <w:tcPr>
            <w:tcW w:w="1064" w:type="dxa"/>
            <w:tcBorders>
              <w:top w:val="single" w:color="auto" w:sz="12" w:space="0"/>
              <w:bottom w:val="double" w:color="auto" w:sz="6" w:space="0"/>
            </w:tcBorders>
            <w:noWrap w:val="0"/>
            <w:vAlign w:val="center"/>
          </w:tcPr>
          <w:p w14:paraId="08432D7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职称</w:t>
            </w:r>
          </w:p>
        </w:tc>
        <w:tc>
          <w:tcPr>
            <w:tcW w:w="3994" w:type="dxa"/>
            <w:tcBorders>
              <w:top w:val="single" w:color="auto" w:sz="12" w:space="0"/>
              <w:bottom w:val="double" w:color="auto" w:sz="6" w:space="0"/>
            </w:tcBorders>
            <w:noWrap w:val="0"/>
            <w:vAlign w:val="center"/>
          </w:tcPr>
          <w:p w14:paraId="621893B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主要资历、经验及承担过的项目</w:t>
            </w:r>
          </w:p>
        </w:tc>
      </w:tr>
      <w:tr w14:paraId="6C360A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9210" w:type="dxa"/>
            <w:gridSpan w:val="5"/>
            <w:tcBorders>
              <w:top w:val="double" w:color="auto" w:sz="6" w:space="0"/>
              <w:bottom w:val="single" w:color="auto" w:sz="6" w:space="0"/>
            </w:tcBorders>
            <w:noWrap w:val="0"/>
            <w:vAlign w:val="center"/>
          </w:tcPr>
          <w:p w14:paraId="7B7DB6A7">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一、总部人员</w:t>
            </w:r>
          </w:p>
        </w:tc>
      </w:tr>
      <w:tr w14:paraId="3A580B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nil"/>
              <w:bottom w:val="nil"/>
            </w:tcBorders>
            <w:noWrap w:val="0"/>
            <w:vAlign w:val="center"/>
          </w:tcPr>
          <w:p w14:paraId="6482DAAD">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项目主管</w:t>
            </w:r>
          </w:p>
        </w:tc>
        <w:tc>
          <w:tcPr>
            <w:tcW w:w="1331" w:type="dxa"/>
            <w:tcBorders>
              <w:top w:val="nil"/>
            </w:tcBorders>
            <w:noWrap w:val="0"/>
            <w:vAlign w:val="center"/>
          </w:tcPr>
          <w:p w14:paraId="14081500">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tcBorders>
              <w:top w:val="nil"/>
            </w:tcBorders>
            <w:noWrap w:val="0"/>
            <w:vAlign w:val="center"/>
          </w:tcPr>
          <w:p w14:paraId="2BBC9DA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tcBorders>
              <w:top w:val="nil"/>
            </w:tcBorders>
            <w:noWrap w:val="0"/>
            <w:vAlign w:val="center"/>
          </w:tcPr>
          <w:p w14:paraId="7708FA0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tcBorders>
              <w:top w:val="nil"/>
            </w:tcBorders>
            <w:noWrap w:val="0"/>
            <w:vAlign w:val="center"/>
          </w:tcPr>
          <w:p w14:paraId="66D3514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1E48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tcBorders>
              <w:top w:val="single" w:color="auto" w:sz="6" w:space="0"/>
              <w:bottom w:val="nil"/>
            </w:tcBorders>
            <w:noWrap w:val="0"/>
            <w:vAlign w:val="center"/>
          </w:tcPr>
          <w:p w14:paraId="4F6B4D3E">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noWrap w:val="0"/>
            <w:vAlign w:val="center"/>
          </w:tcPr>
          <w:p w14:paraId="5B17DBF6">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2260E0D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7DB024F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76B2838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4577C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nil"/>
              <w:bottom w:val="nil"/>
            </w:tcBorders>
            <w:noWrap w:val="0"/>
            <w:vAlign w:val="center"/>
          </w:tcPr>
          <w:p w14:paraId="2F161D4A">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其他人员</w:t>
            </w:r>
          </w:p>
        </w:tc>
        <w:tc>
          <w:tcPr>
            <w:tcW w:w="1331" w:type="dxa"/>
            <w:noWrap w:val="0"/>
            <w:vAlign w:val="center"/>
          </w:tcPr>
          <w:p w14:paraId="348F55ED">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7DCC023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0FEDA07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7091929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A1E56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nil"/>
              <w:bottom w:val="nil"/>
            </w:tcBorders>
            <w:noWrap w:val="0"/>
            <w:vAlign w:val="center"/>
          </w:tcPr>
          <w:p w14:paraId="7A1C8C66">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noWrap w:val="0"/>
            <w:vAlign w:val="center"/>
          </w:tcPr>
          <w:p w14:paraId="7848DE07">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1F28D79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180810A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587E5A6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EE53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9210" w:type="dxa"/>
            <w:gridSpan w:val="5"/>
            <w:tcBorders>
              <w:top w:val="single" w:color="auto" w:sz="6" w:space="0"/>
              <w:bottom w:val="single" w:color="auto" w:sz="6" w:space="0"/>
            </w:tcBorders>
            <w:noWrap w:val="0"/>
            <w:vAlign w:val="center"/>
          </w:tcPr>
          <w:p w14:paraId="5C626351">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二、现场人员</w:t>
            </w:r>
          </w:p>
        </w:tc>
      </w:tr>
      <w:tr w14:paraId="792CFD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023A0C5E">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项目经理</w:t>
            </w:r>
          </w:p>
        </w:tc>
        <w:tc>
          <w:tcPr>
            <w:tcW w:w="1331" w:type="dxa"/>
            <w:noWrap w:val="0"/>
            <w:vAlign w:val="center"/>
          </w:tcPr>
          <w:p w14:paraId="00355EA4">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16321F3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7C31BA6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53345E5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11FD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45C38EB0">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项目副经理</w:t>
            </w:r>
          </w:p>
        </w:tc>
        <w:tc>
          <w:tcPr>
            <w:tcW w:w="1331" w:type="dxa"/>
            <w:noWrap w:val="0"/>
            <w:vAlign w:val="center"/>
          </w:tcPr>
          <w:p w14:paraId="60F1C1B4">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6935CC4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3E2D7A3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4F6E5EB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C3A84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tcBorders>
              <w:top w:val="single" w:color="auto" w:sz="6" w:space="0"/>
              <w:bottom w:val="single" w:color="auto" w:sz="6" w:space="0"/>
            </w:tcBorders>
            <w:noWrap w:val="0"/>
            <w:vAlign w:val="center"/>
          </w:tcPr>
          <w:p w14:paraId="1A73CC51">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技术负责人</w:t>
            </w:r>
          </w:p>
        </w:tc>
        <w:tc>
          <w:tcPr>
            <w:tcW w:w="1331" w:type="dxa"/>
            <w:noWrap w:val="0"/>
            <w:vAlign w:val="center"/>
          </w:tcPr>
          <w:p w14:paraId="0651D0BD">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61A1B8C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1CF2BF4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6ED6478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3430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7171C63E">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造价管理</w:t>
            </w:r>
          </w:p>
        </w:tc>
        <w:tc>
          <w:tcPr>
            <w:tcW w:w="1331" w:type="dxa"/>
            <w:noWrap w:val="0"/>
            <w:vAlign w:val="center"/>
          </w:tcPr>
          <w:p w14:paraId="1379DA94">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5BAD48F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2C7DEA5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22F5303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4989E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1C4C901E">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质量管理</w:t>
            </w:r>
          </w:p>
        </w:tc>
        <w:tc>
          <w:tcPr>
            <w:tcW w:w="1331" w:type="dxa"/>
            <w:noWrap w:val="0"/>
            <w:vAlign w:val="center"/>
          </w:tcPr>
          <w:p w14:paraId="3FEB26BE">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031ABA9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16637EF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60B2648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5C7FC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tcBorders>
              <w:top w:val="single" w:color="auto" w:sz="6" w:space="0"/>
              <w:bottom w:val="single" w:color="auto" w:sz="6" w:space="0"/>
            </w:tcBorders>
            <w:noWrap w:val="0"/>
            <w:vAlign w:val="center"/>
          </w:tcPr>
          <w:p w14:paraId="3A5FD58E">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材料管理</w:t>
            </w:r>
          </w:p>
        </w:tc>
        <w:tc>
          <w:tcPr>
            <w:tcW w:w="1331" w:type="dxa"/>
            <w:noWrap w:val="0"/>
            <w:vAlign w:val="center"/>
          </w:tcPr>
          <w:p w14:paraId="67F52EA8">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4C0A054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3571E4F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4ADD5EE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55706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629695EA">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计划管理</w:t>
            </w:r>
          </w:p>
        </w:tc>
        <w:tc>
          <w:tcPr>
            <w:tcW w:w="1331" w:type="dxa"/>
            <w:noWrap w:val="0"/>
            <w:vAlign w:val="center"/>
          </w:tcPr>
          <w:p w14:paraId="1ACAAA06">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30A2C98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51DE558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7C8C703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27FB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20F9B6B3">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安全管理</w:t>
            </w:r>
          </w:p>
        </w:tc>
        <w:tc>
          <w:tcPr>
            <w:tcW w:w="1331" w:type="dxa"/>
            <w:noWrap w:val="0"/>
            <w:vAlign w:val="center"/>
          </w:tcPr>
          <w:p w14:paraId="5F6F699B">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55EE86C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066C080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7F48C0A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2250E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vMerge w:val="restart"/>
            <w:tcBorders>
              <w:top w:val="single" w:color="auto" w:sz="6" w:space="0"/>
            </w:tcBorders>
            <w:noWrap w:val="0"/>
            <w:vAlign w:val="center"/>
          </w:tcPr>
          <w:p w14:paraId="1604C8E6">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其他人员</w:t>
            </w:r>
          </w:p>
        </w:tc>
        <w:tc>
          <w:tcPr>
            <w:tcW w:w="1331" w:type="dxa"/>
            <w:noWrap w:val="0"/>
            <w:vAlign w:val="center"/>
          </w:tcPr>
          <w:p w14:paraId="316480A2">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4C291CB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6D290AD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0AA48A1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796CA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1" w:hRule="atLeast"/>
        </w:trPr>
        <w:tc>
          <w:tcPr>
            <w:tcW w:w="1757" w:type="dxa"/>
            <w:vMerge w:val="continue"/>
            <w:noWrap w:val="0"/>
            <w:vAlign w:val="center"/>
          </w:tcPr>
          <w:p w14:paraId="5DBFABEC">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tcBorders>
              <w:bottom w:val="nil"/>
            </w:tcBorders>
            <w:noWrap w:val="0"/>
            <w:vAlign w:val="center"/>
          </w:tcPr>
          <w:p w14:paraId="1D5C74AA">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tcBorders>
              <w:bottom w:val="nil"/>
            </w:tcBorders>
            <w:noWrap w:val="0"/>
            <w:vAlign w:val="center"/>
          </w:tcPr>
          <w:p w14:paraId="1D8ED86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tcBorders>
              <w:bottom w:val="nil"/>
            </w:tcBorders>
            <w:noWrap w:val="0"/>
            <w:vAlign w:val="center"/>
          </w:tcPr>
          <w:p w14:paraId="6BA1814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tcBorders>
              <w:bottom w:val="nil"/>
            </w:tcBorders>
            <w:noWrap w:val="0"/>
            <w:vAlign w:val="center"/>
          </w:tcPr>
          <w:p w14:paraId="7E0F892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AD33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 w:hRule="atLeast"/>
        </w:trPr>
        <w:tc>
          <w:tcPr>
            <w:tcW w:w="1757" w:type="dxa"/>
            <w:vMerge w:val="continue"/>
            <w:noWrap w:val="0"/>
            <w:vAlign w:val="center"/>
          </w:tcPr>
          <w:p w14:paraId="584172FD">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noWrap w:val="0"/>
            <w:vAlign w:val="center"/>
          </w:tcPr>
          <w:p w14:paraId="2C979CC1">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375E6C5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1154B5D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5E6DD00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2927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 w:hRule="atLeast"/>
        </w:trPr>
        <w:tc>
          <w:tcPr>
            <w:tcW w:w="1757" w:type="dxa"/>
            <w:noWrap w:val="0"/>
            <w:vAlign w:val="center"/>
          </w:tcPr>
          <w:p w14:paraId="45EC02D1">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noWrap w:val="0"/>
            <w:vAlign w:val="center"/>
          </w:tcPr>
          <w:p w14:paraId="2B998D37">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35C21BF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76C71A0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37043F0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4E23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 w:hRule="atLeast"/>
        </w:trPr>
        <w:tc>
          <w:tcPr>
            <w:tcW w:w="1757" w:type="dxa"/>
            <w:noWrap w:val="0"/>
            <w:vAlign w:val="center"/>
          </w:tcPr>
          <w:p w14:paraId="565C3DC7">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noWrap w:val="0"/>
            <w:vAlign w:val="center"/>
          </w:tcPr>
          <w:p w14:paraId="627BFA84">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7BE03B4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4D98CCC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4D4AA19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F29D8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 w:hRule="atLeast"/>
        </w:trPr>
        <w:tc>
          <w:tcPr>
            <w:tcW w:w="1757" w:type="dxa"/>
            <w:tcBorders>
              <w:bottom w:val="single" w:color="auto" w:sz="12" w:space="0"/>
            </w:tcBorders>
            <w:noWrap w:val="0"/>
            <w:vAlign w:val="center"/>
          </w:tcPr>
          <w:p w14:paraId="6E59941E">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tcBorders>
              <w:bottom w:val="single" w:color="auto" w:sz="12" w:space="0"/>
            </w:tcBorders>
            <w:noWrap w:val="0"/>
            <w:vAlign w:val="center"/>
          </w:tcPr>
          <w:p w14:paraId="33BEE45C">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tcBorders>
              <w:bottom w:val="single" w:color="auto" w:sz="12" w:space="0"/>
            </w:tcBorders>
            <w:noWrap w:val="0"/>
            <w:vAlign w:val="center"/>
          </w:tcPr>
          <w:p w14:paraId="0D98089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tcBorders>
              <w:bottom w:val="single" w:color="auto" w:sz="12" w:space="0"/>
            </w:tcBorders>
            <w:noWrap w:val="0"/>
            <w:vAlign w:val="center"/>
          </w:tcPr>
          <w:p w14:paraId="1AA4AC7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tcBorders>
              <w:bottom w:val="single" w:color="auto" w:sz="12" w:space="0"/>
            </w:tcBorders>
            <w:noWrap w:val="0"/>
            <w:vAlign w:val="center"/>
          </w:tcPr>
          <w:p w14:paraId="3AFCC8B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78B50CC0">
      <w:pPr>
        <w:pStyle w:val="513"/>
        <w:rPr>
          <w:color w:val="auto"/>
          <w:highlight w:val="none"/>
        </w:rPr>
      </w:pPr>
    </w:p>
    <w:p w14:paraId="3B17797E">
      <w:pPr>
        <w:pStyle w:val="513"/>
        <w:spacing w:line="440" w:lineRule="exact"/>
        <w:rPr>
          <w:rFonts w:eastAsia="黑体"/>
          <w:color w:val="auto"/>
          <w:sz w:val="30"/>
          <w:szCs w:val="30"/>
          <w:highlight w:val="none"/>
        </w:rPr>
      </w:pPr>
      <w:r>
        <w:rPr>
          <w:rFonts w:eastAsia="仿宋_GB2312"/>
          <w:color w:val="auto"/>
          <w:sz w:val="30"/>
          <w:szCs w:val="30"/>
          <w:highlight w:val="none"/>
        </w:rPr>
        <w:br w:type="page"/>
      </w:r>
      <w:r>
        <w:rPr>
          <w:rFonts w:eastAsia="仿宋_GB2312"/>
          <w:color w:val="auto"/>
          <w:sz w:val="30"/>
          <w:szCs w:val="30"/>
          <w:highlight w:val="none"/>
        </w:rPr>
        <w:t>附件</w:t>
      </w:r>
      <w:r>
        <w:rPr>
          <w:rFonts w:hint="eastAsia" w:eastAsia="仿宋_GB2312"/>
          <w:color w:val="auto"/>
          <w:sz w:val="30"/>
          <w:szCs w:val="30"/>
          <w:highlight w:val="none"/>
        </w:rPr>
        <w:t>6</w:t>
      </w:r>
      <w:r>
        <w:rPr>
          <w:rFonts w:eastAsia="仿宋_GB2312"/>
          <w:color w:val="auto"/>
          <w:sz w:val="30"/>
          <w:szCs w:val="30"/>
          <w:highlight w:val="none"/>
        </w:rPr>
        <w:t>：</w:t>
      </w:r>
    </w:p>
    <w:p w14:paraId="131F23EC">
      <w:pPr>
        <w:pStyle w:val="513"/>
        <w:spacing w:before="156" w:beforeLines="50" w:after="156" w:afterLines="50" w:line="440" w:lineRule="exact"/>
        <w:jc w:val="center"/>
        <w:rPr>
          <w:rFonts w:hint="eastAsia" w:eastAsia="黑体"/>
          <w:color w:val="auto"/>
          <w:sz w:val="30"/>
          <w:szCs w:val="30"/>
          <w:highlight w:val="none"/>
        </w:rPr>
      </w:pPr>
      <w:r>
        <w:rPr>
          <w:rFonts w:eastAsia="黑体"/>
          <w:color w:val="auto"/>
          <w:sz w:val="30"/>
          <w:szCs w:val="30"/>
          <w:highlight w:val="none"/>
        </w:rPr>
        <w:t>分包人主要施工管理人员表</w:t>
      </w:r>
    </w:p>
    <w:tbl>
      <w:tblPr>
        <w:tblStyle w:val="54"/>
        <w:tblpPr w:leftFromText="180" w:rightFromText="180" w:vertAnchor="text" w:horzAnchor="margin" w:tblpY="27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626BE8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12" w:space="0"/>
              <w:bottom w:val="double" w:color="auto" w:sz="6" w:space="0"/>
            </w:tcBorders>
            <w:noWrap w:val="0"/>
            <w:vAlign w:val="center"/>
          </w:tcPr>
          <w:p w14:paraId="3699FC5B">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名    称</w:t>
            </w:r>
          </w:p>
        </w:tc>
        <w:tc>
          <w:tcPr>
            <w:tcW w:w="1418" w:type="dxa"/>
            <w:tcBorders>
              <w:top w:val="single" w:color="auto" w:sz="12" w:space="0"/>
              <w:bottom w:val="double" w:color="auto" w:sz="6" w:space="0"/>
            </w:tcBorders>
            <w:noWrap w:val="0"/>
            <w:vAlign w:val="center"/>
          </w:tcPr>
          <w:p w14:paraId="7EAFCBD9">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姓名</w:t>
            </w:r>
          </w:p>
        </w:tc>
        <w:tc>
          <w:tcPr>
            <w:tcW w:w="1134" w:type="dxa"/>
            <w:tcBorders>
              <w:top w:val="single" w:color="auto" w:sz="12" w:space="0"/>
              <w:bottom w:val="double" w:color="auto" w:sz="6" w:space="0"/>
            </w:tcBorders>
            <w:noWrap w:val="0"/>
            <w:vAlign w:val="center"/>
          </w:tcPr>
          <w:p w14:paraId="69C3AD9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职务</w:t>
            </w:r>
          </w:p>
        </w:tc>
        <w:tc>
          <w:tcPr>
            <w:tcW w:w="1134" w:type="dxa"/>
            <w:tcBorders>
              <w:top w:val="single" w:color="auto" w:sz="12" w:space="0"/>
              <w:bottom w:val="double" w:color="auto" w:sz="6" w:space="0"/>
            </w:tcBorders>
            <w:noWrap w:val="0"/>
            <w:vAlign w:val="center"/>
          </w:tcPr>
          <w:p w14:paraId="28EBAA93">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职称</w:t>
            </w:r>
          </w:p>
        </w:tc>
        <w:tc>
          <w:tcPr>
            <w:tcW w:w="4252" w:type="dxa"/>
            <w:tcBorders>
              <w:top w:val="single" w:color="auto" w:sz="12" w:space="0"/>
              <w:bottom w:val="double" w:color="auto" w:sz="6" w:space="0"/>
            </w:tcBorders>
            <w:noWrap w:val="0"/>
            <w:vAlign w:val="center"/>
          </w:tcPr>
          <w:p w14:paraId="73A846B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主要资历、经验及承担过的项目</w:t>
            </w:r>
          </w:p>
        </w:tc>
      </w:tr>
      <w:tr w14:paraId="52C63E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09" w:type="dxa"/>
            <w:gridSpan w:val="5"/>
            <w:tcBorders>
              <w:top w:val="double" w:color="auto" w:sz="6" w:space="0"/>
              <w:bottom w:val="single" w:color="auto" w:sz="6" w:space="0"/>
            </w:tcBorders>
            <w:noWrap w:val="0"/>
            <w:vAlign w:val="center"/>
          </w:tcPr>
          <w:p w14:paraId="338797BE">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一、总部人员</w:t>
            </w:r>
          </w:p>
        </w:tc>
      </w:tr>
      <w:tr w14:paraId="3F539A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nil"/>
              <w:bottom w:val="nil"/>
            </w:tcBorders>
            <w:noWrap w:val="0"/>
            <w:vAlign w:val="center"/>
          </w:tcPr>
          <w:p w14:paraId="1005EBF9">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项目主管</w:t>
            </w:r>
          </w:p>
        </w:tc>
        <w:tc>
          <w:tcPr>
            <w:tcW w:w="1418" w:type="dxa"/>
            <w:tcBorders>
              <w:top w:val="nil"/>
            </w:tcBorders>
            <w:noWrap w:val="0"/>
            <w:vAlign w:val="center"/>
          </w:tcPr>
          <w:p w14:paraId="50423D72">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tcBorders>
              <w:top w:val="nil"/>
            </w:tcBorders>
            <w:noWrap w:val="0"/>
            <w:vAlign w:val="center"/>
          </w:tcPr>
          <w:p w14:paraId="6A8A5CF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tcBorders>
              <w:top w:val="nil"/>
            </w:tcBorders>
            <w:noWrap w:val="0"/>
            <w:vAlign w:val="center"/>
          </w:tcPr>
          <w:p w14:paraId="7227618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tcBorders>
              <w:top w:val="nil"/>
            </w:tcBorders>
            <w:noWrap w:val="0"/>
            <w:vAlign w:val="center"/>
          </w:tcPr>
          <w:p w14:paraId="3748C5A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75A97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nil"/>
            </w:tcBorders>
            <w:noWrap w:val="0"/>
            <w:vAlign w:val="center"/>
          </w:tcPr>
          <w:p w14:paraId="174D110C">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4ABCFA42">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3B7ACB1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13AFDD7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409257D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383A2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nil"/>
              <w:bottom w:val="nil"/>
            </w:tcBorders>
            <w:noWrap w:val="0"/>
            <w:vAlign w:val="center"/>
          </w:tcPr>
          <w:p w14:paraId="06FDE2AA">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其他人员</w:t>
            </w:r>
          </w:p>
        </w:tc>
        <w:tc>
          <w:tcPr>
            <w:tcW w:w="1418" w:type="dxa"/>
            <w:noWrap w:val="0"/>
            <w:vAlign w:val="center"/>
          </w:tcPr>
          <w:p w14:paraId="4A01FB34">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4583082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4A1E611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71D5C32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4E618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nil"/>
              <w:bottom w:val="nil"/>
            </w:tcBorders>
            <w:noWrap w:val="0"/>
            <w:vAlign w:val="center"/>
          </w:tcPr>
          <w:p w14:paraId="585C01A7">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44814056">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6116BC8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59743AC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1BE7FA93">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1096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09" w:type="dxa"/>
            <w:gridSpan w:val="5"/>
            <w:tcBorders>
              <w:top w:val="single" w:color="auto" w:sz="6" w:space="0"/>
              <w:bottom w:val="single" w:color="auto" w:sz="6" w:space="0"/>
            </w:tcBorders>
            <w:noWrap w:val="0"/>
            <w:vAlign w:val="center"/>
          </w:tcPr>
          <w:p w14:paraId="113BB8DD">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二、现场人员</w:t>
            </w:r>
          </w:p>
        </w:tc>
      </w:tr>
      <w:tr w14:paraId="692AF7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06B6F70C">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项目经理</w:t>
            </w:r>
          </w:p>
        </w:tc>
        <w:tc>
          <w:tcPr>
            <w:tcW w:w="1418" w:type="dxa"/>
            <w:noWrap w:val="0"/>
            <w:vAlign w:val="center"/>
          </w:tcPr>
          <w:p w14:paraId="2CCCFB53">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1FD8F01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004A141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FBD756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B2F48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6B6F0085">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项目副经理</w:t>
            </w:r>
          </w:p>
        </w:tc>
        <w:tc>
          <w:tcPr>
            <w:tcW w:w="1418" w:type="dxa"/>
            <w:noWrap w:val="0"/>
            <w:vAlign w:val="center"/>
          </w:tcPr>
          <w:p w14:paraId="5308459F">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45D92AA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41B1ECC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534A131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8A8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485C8FBC">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技术负责人</w:t>
            </w:r>
          </w:p>
        </w:tc>
        <w:tc>
          <w:tcPr>
            <w:tcW w:w="1418" w:type="dxa"/>
            <w:noWrap w:val="0"/>
            <w:vAlign w:val="center"/>
          </w:tcPr>
          <w:p w14:paraId="55A13746">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0311B2A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49AFE49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521A72F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66F96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46BA4E43">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造价管理</w:t>
            </w:r>
          </w:p>
        </w:tc>
        <w:tc>
          <w:tcPr>
            <w:tcW w:w="1418" w:type="dxa"/>
            <w:noWrap w:val="0"/>
            <w:vAlign w:val="center"/>
          </w:tcPr>
          <w:p w14:paraId="02161F83">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3C68960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0B6C82C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1461EB8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C1FB1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7F2B5D0F">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质量管理</w:t>
            </w:r>
          </w:p>
        </w:tc>
        <w:tc>
          <w:tcPr>
            <w:tcW w:w="1418" w:type="dxa"/>
            <w:noWrap w:val="0"/>
            <w:vAlign w:val="center"/>
          </w:tcPr>
          <w:p w14:paraId="2EA35409">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32070AF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5961D0C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4234BAF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A4950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558943CA">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材料管理</w:t>
            </w:r>
          </w:p>
        </w:tc>
        <w:tc>
          <w:tcPr>
            <w:tcW w:w="1418" w:type="dxa"/>
            <w:noWrap w:val="0"/>
            <w:vAlign w:val="center"/>
          </w:tcPr>
          <w:p w14:paraId="56B39CD3">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5EBB6CD3">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1A0CF27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479E11B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91E43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6BE486CD">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计划管理</w:t>
            </w:r>
          </w:p>
        </w:tc>
        <w:tc>
          <w:tcPr>
            <w:tcW w:w="1418" w:type="dxa"/>
            <w:noWrap w:val="0"/>
            <w:vAlign w:val="center"/>
          </w:tcPr>
          <w:p w14:paraId="32364BBC">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735AF98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2CDAB39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79D747E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10618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5EA4ED29">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安全管理</w:t>
            </w:r>
          </w:p>
        </w:tc>
        <w:tc>
          <w:tcPr>
            <w:tcW w:w="1418" w:type="dxa"/>
            <w:noWrap w:val="0"/>
            <w:vAlign w:val="center"/>
          </w:tcPr>
          <w:p w14:paraId="15598629">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605B1F8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06A74FE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207C028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D7E54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restart"/>
            <w:tcBorders>
              <w:top w:val="single" w:color="auto" w:sz="6" w:space="0"/>
            </w:tcBorders>
            <w:noWrap w:val="0"/>
            <w:vAlign w:val="center"/>
          </w:tcPr>
          <w:p w14:paraId="34BA0575">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其他人员</w:t>
            </w:r>
          </w:p>
        </w:tc>
        <w:tc>
          <w:tcPr>
            <w:tcW w:w="1418" w:type="dxa"/>
            <w:noWrap w:val="0"/>
            <w:vAlign w:val="center"/>
          </w:tcPr>
          <w:p w14:paraId="6834FECB">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7C66976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7982EBB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14AD833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742A8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noWrap w:val="0"/>
            <w:vAlign w:val="center"/>
          </w:tcPr>
          <w:p w14:paraId="7A16EA50">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tcBorders>
              <w:bottom w:val="nil"/>
            </w:tcBorders>
            <w:noWrap w:val="0"/>
            <w:vAlign w:val="center"/>
          </w:tcPr>
          <w:p w14:paraId="66B57419">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tcBorders>
              <w:bottom w:val="nil"/>
            </w:tcBorders>
            <w:noWrap w:val="0"/>
            <w:vAlign w:val="center"/>
          </w:tcPr>
          <w:p w14:paraId="1BEBE80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tcBorders>
              <w:bottom w:val="nil"/>
            </w:tcBorders>
            <w:noWrap w:val="0"/>
            <w:vAlign w:val="center"/>
          </w:tcPr>
          <w:p w14:paraId="6E8B7E5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tcBorders>
              <w:bottom w:val="nil"/>
            </w:tcBorders>
            <w:noWrap w:val="0"/>
            <w:vAlign w:val="center"/>
          </w:tcPr>
          <w:p w14:paraId="09DB874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A4CE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noWrap w:val="0"/>
            <w:vAlign w:val="center"/>
          </w:tcPr>
          <w:p w14:paraId="029F5556">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3677D919">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5C9F8A4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43C58C0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46B149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60285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noWrap w:val="0"/>
            <w:vAlign w:val="center"/>
          </w:tcPr>
          <w:p w14:paraId="10CE560B">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6A3ABE77">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755950D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6D3944C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506E1D2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54F13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noWrap w:val="0"/>
            <w:vAlign w:val="center"/>
          </w:tcPr>
          <w:p w14:paraId="3A4BB9DA">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74CBAB2F">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6FF39F2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7759D1A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A30AD3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6D6B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tcBorders>
              <w:bottom w:val="single" w:color="auto" w:sz="12" w:space="0"/>
            </w:tcBorders>
            <w:noWrap w:val="0"/>
            <w:vAlign w:val="center"/>
          </w:tcPr>
          <w:p w14:paraId="4E317F91">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tcBorders>
              <w:bottom w:val="single" w:color="auto" w:sz="12" w:space="0"/>
            </w:tcBorders>
            <w:noWrap w:val="0"/>
            <w:vAlign w:val="center"/>
          </w:tcPr>
          <w:p w14:paraId="259FA040">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tcBorders>
              <w:bottom w:val="single" w:color="auto" w:sz="12" w:space="0"/>
            </w:tcBorders>
            <w:noWrap w:val="0"/>
            <w:vAlign w:val="center"/>
          </w:tcPr>
          <w:p w14:paraId="3D6E593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tcBorders>
              <w:bottom w:val="single" w:color="auto" w:sz="12" w:space="0"/>
            </w:tcBorders>
            <w:noWrap w:val="0"/>
            <w:vAlign w:val="center"/>
          </w:tcPr>
          <w:p w14:paraId="2B1171F3">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tcBorders>
              <w:bottom w:val="single" w:color="auto" w:sz="12" w:space="0"/>
            </w:tcBorders>
            <w:noWrap w:val="0"/>
            <w:vAlign w:val="center"/>
          </w:tcPr>
          <w:p w14:paraId="20CBA5B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232A04B5">
      <w:pPr>
        <w:pStyle w:val="513"/>
        <w:spacing w:before="156" w:beforeLines="50" w:after="156" w:afterLines="50" w:line="440" w:lineRule="exact"/>
        <w:jc w:val="center"/>
        <w:rPr>
          <w:rFonts w:eastAsia="黑体"/>
          <w:color w:val="auto"/>
          <w:sz w:val="30"/>
          <w:szCs w:val="30"/>
          <w:highlight w:val="none"/>
        </w:rPr>
      </w:pPr>
    </w:p>
    <w:p w14:paraId="3A5A1758">
      <w:pPr>
        <w:pStyle w:val="513"/>
        <w:spacing w:line="440" w:lineRule="exact"/>
        <w:rPr>
          <w:rFonts w:eastAsia="黑体"/>
          <w:color w:val="auto"/>
          <w:sz w:val="30"/>
          <w:szCs w:val="30"/>
          <w:highlight w:val="none"/>
        </w:rPr>
      </w:pPr>
      <w:r>
        <w:rPr>
          <w:rFonts w:eastAsia="仿宋_GB2312"/>
          <w:color w:val="auto"/>
          <w:sz w:val="30"/>
          <w:szCs w:val="30"/>
          <w:highlight w:val="none"/>
        </w:rPr>
        <w:br w:type="page"/>
      </w:r>
      <w:r>
        <w:rPr>
          <w:rFonts w:eastAsia="仿宋_GB2312"/>
          <w:color w:val="auto"/>
          <w:sz w:val="30"/>
          <w:szCs w:val="30"/>
          <w:highlight w:val="none"/>
        </w:rPr>
        <w:t>附件</w:t>
      </w:r>
      <w:r>
        <w:rPr>
          <w:rFonts w:hint="eastAsia" w:eastAsia="仿宋_GB2312"/>
          <w:color w:val="auto"/>
          <w:sz w:val="30"/>
          <w:szCs w:val="30"/>
          <w:highlight w:val="none"/>
        </w:rPr>
        <w:t>7</w:t>
      </w:r>
      <w:r>
        <w:rPr>
          <w:rFonts w:eastAsia="仿宋_GB2312"/>
          <w:color w:val="auto"/>
          <w:sz w:val="30"/>
          <w:szCs w:val="30"/>
          <w:highlight w:val="none"/>
        </w:rPr>
        <w:t>：</w:t>
      </w:r>
    </w:p>
    <w:p w14:paraId="121C624B">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55F0B39E">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（独立保函）</w:t>
      </w:r>
    </w:p>
    <w:p w14:paraId="6B62182C">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167DDD67">
      <w:pPr>
        <w:spacing w:line="360" w:lineRule="auto"/>
        <w:rPr>
          <w:rFonts w:hint="eastAsia" w:ascii="宋体" w:hAnsi="宋体"/>
          <w:color w:val="auto"/>
          <w:szCs w:val="21"/>
          <w:highlight w:val="none"/>
        </w:rPr>
      </w:pPr>
      <w:r>
        <w:rPr>
          <w:rFonts w:hint="eastAsia" w:ascii="宋体" w:hAnsi="宋体"/>
          <w:color w:val="auto"/>
          <w:szCs w:val="21"/>
          <w:highlight w:val="none"/>
        </w:rPr>
        <w:t>申请人：</w:t>
      </w:r>
    </w:p>
    <w:p w14:paraId="236B0CDB">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58830B5F">
      <w:pPr>
        <w:spacing w:line="360" w:lineRule="auto"/>
        <w:rPr>
          <w:rFonts w:hint="eastAsia" w:ascii="宋体" w:hAnsi="宋体"/>
          <w:color w:val="auto"/>
          <w:szCs w:val="21"/>
          <w:highlight w:val="none"/>
        </w:rPr>
      </w:pPr>
      <w:r>
        <w:rPr>
          <w:rFonts w:hint="eastAsia" w:ascii="宋体" w:hAnsi="宋体"/>
          <w:color w:val="auto"/>
          <w:szCs w:val="21"/>
          <w:highlight w:val="none"/>
        </w:rPr>
        <w:t>受益人：</w:t>
      </w:r>
    </w:p>
    <w:p w14:paraId="5D93D083">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4511CF7E">
      <w:pPr>
        <w:spacing w:line="360" w:lineRule="auto"/>
        <w:rPr>
          <w:rFonts w:hint="eastAsia" w:ascii="宋体" w:hAnsi="宋体"/>
          <w:color w:val="auto"/>
          <w:szCs w:val="21"/>
          <w:highlight w:val="none"/>
        </w:rPr>
      </w:pPr>
      <w:r>
        <w:rPr>
          <w:rFonts w:hint="eastAsia" w:ascii="宋体" w:hAnsi="宋体"/>
          <w:color w:val="auto"/>
          <w:szCs w:val="21"/>
          <w:highlight w:val="none"/>
        </w:rPr>
        <w:t>开立人：</w:t>
      </w:r>
    </w:p>
    <w:p w14:paraId="7667DC90">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0B05B831">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14:paraId="6E2F0A73">
      <w:pPr>
        <w:spacing w:line="360" w:lineRule="auto"/>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（受益人名称）： </w:t>
      </w:r>
    </w:p>
    <w:p w14:paraId="46CB1D5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（以下简称“受益人”）与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（以下简称“申请人”）于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14:paraId="008FC2F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一、本保函担保范围：承包人未按照基础合同的约定履行义务，应当向贵方承担的违约责任和赔偿因此造成的损失、利息、律师费、诉讼费用等实现债权的费用。</w:t>
      </w:r>
    </w:p>
    <w:p w14:paraId="5CC3F88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二、本保函担保金额最高不超过人民币（大写）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C2BE63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三、本保函有效期自开立之日起至基础合同约定的缺陷责任期后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1438EA8C">
      <w:pPr>
        <w:spacing w:line="360" w:lineRule="auto"/>
        <w:ind w:firstLine="480"/>
        <w:rPr>
          <w:rFonts w:hint="eastAsia" w:ascii="宋体" w:hAnsi="宋体"/>
          <w:color w:val="auto"/>
          <w:szCs w:val="21"/>
          <w:highlight w:val="none"/>
        </w:rPr>
      </w:pPr>
      <w:r>
        <w:rPr>
          <w:rFonts w:hint="eastAsia" w:ascii="宋体" w:hAnsi="宋体"/>
          <w:color w:val="auto"/>
          <w:szCs w:val="21"/>
          <w:highlight w:val="none"/>
        </w:rPr>
        <w:t>四、我方承诺，在收到受益人发来的书面付款通知后的</w:t>
      </w:r>
      <w:r>
        <w:rPr>
          <w:rFonts w:hint="eastAsia" w:ascii="宋体" w:hAnsi="宋体"/>
          <w:color w:val="auto"/>
          <w:szCs w:val="21"/>
          <w:highlight w:val="none"/>
          <w:u w:val="single"/>
        </w:rPr>
        <w:t xml:space="preserve">    </w:t>
      </w:r>
      <w:r>
        <w:rPr>
          <w:rFonts w:hint="eastAsia" w:ascii="宋体" w:hAnsi="宋体"/>
          <w:color w:val="auto"/>
          <w:szCs w:val="21"/>
          <w:highlight w:val="none"/>
        </w:rPr>
        <w:t>日内无条件支付，前述书面付款通知即为付款要求之单据，且应满足以下要求：</w:t>
      </w:r>
    </w:p>
    <w:p w14:paraId="5D889E5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（1）付款通知到达的日期在本保函的有效期内；</w:t>
      </w:r>
    </w:p>
    <w:p w14:paraId="41E76D7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（2）载明要求支付的金额；</w:t>
      </w:r>
    </w:p>
    <w:p w14:paraId="4AE60EC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（3）载明申请人违反合同义务的条款和内容；</w:t>
      </w:r>
    </w:p>
    <w:p w14:paraId="2FB4FC2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（4）声明不存在合同文件约定或我国法律规定免除申请人或开立人支付责任的情形；</w:t>
      </w:r>
    </w:p>
    <w:p w14:paraId="7B72ECA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（5）付款通知应在本保函有效期内到达的地址是：</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111F5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受益人发出的书面付款通知应由其为鉴明受益人法定代表人（负责人）或授权代理人签字并加盖公章。</w:t>
      </w:r>
    </w:p>
    <w:p w14:paraId="294F263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五、本保函项下的权利不得转让，不得设定担保。贵方未经我方书面同意转 让本保函或其项下任何权利，对我方不发生法律效力。 </w:t>
      </w:r>
    </w:p>
    <w:p w14:paraId="4A858AF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六、与本保函有关的基础合同不成立、不生效、无效、被撤销、被解除，不影响本保函的独立有效。 </w:t>
      </w:r>
    </w:p>
    <w:p w14:paraId="06FB702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49FAD8C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八、本保函适用的法律为中华人民共和国法律，争议裁判管辖地为中华人民共和国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00EE9B2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九、本保函自我方法定代表人或授权代表签字并加盖公章之日起生效。 </w:t>
      </w:r>
    </w:p>
    <w:p w14:paraId="664B4B8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开 立 人：                              （公章） </w:t>
      </w:r>
    </w:p>
    <w:p w14:paraId="7AA6E61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6B827F1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0B3B223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01E03A4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475BD5B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1BA58713">
      <w:pPr>
        <w:spacing w:line="360" w:lineRule="auto"/>
        <w:ind w:firstLine="420" w:firstLineChars="200"/>
        <w:rPr>
          <w:rFonts w:hint="eastAsia"/>
          <w:color w:val="auto"/>
          <w:szCs w:val="21"/>
          <w:highlight w:val="none"/>
        </w:rPr>
      </w:pPr>
      <w:r>
        <w:rPr>
          <w:rFonts w:hint="eastAsia" w:ascii="宋体" w:hAnsi="宋体"/>
          <w:color w:val="auto"/>
          <w:szCs w:val="21"/>
          <w:highlight w:val="none"/>
        </w:rPr>
        <w:t xml:space="preserve">开立时间：      年      月    </w:t>
      </w:r>
    </w:p>
    <w:p w14:paraId="1A339222">
      <w:pPr>
        <w:rPr>
          <w:color w:val="auto"/>
          <w:highlight w:val="none"/>
        </w:rPr>
      </w:pPr>
    </w:p>
    <w:p w14:paraId="1C07A853">
      <w:pPr>
        <w:pStyle w:val="513"/>
        <w:spacing w:line="360" w:lineRule="auto"/>
        <w:rPr>
          <w:rFonts w:hint="eastAsia" w:ascii="仿宋" w:hAnsi="仿宋" w:eastAsia="仿宋"/>
          <w:color w:val="auto"/>
          <w:sz w:val="30"/>
          <w:szCs w:val="30"/>
          <w:highlight w:val="none"/>
        </w:rPr>
      </w:pPr>
    </w:p>
    <w:p w14:paraId="1748BC74">
      <w:pPr>
        <w:pStyle w:val="513"/>
        <w:spacing w:line="360" w:lineRule="auto"/>
        <w:rPr>
          <w:rFonts w:hint="eastAsia" w:ascii="仿宋" w:hAnsi="仿宋" w:eastAsia="仿宋"/>
          <w:color w:val="auto"/>
          <w:sz w:val="30"/>
          <w:szCs w:val="30"/>
          <w:highlight w:val="none"/>
        </w:rPr>
      </w:pPr>
    </w:p>
    <w:p w14:paraId="1554278A">
      <w:pPr>
        <w:pStyle w:val="513"/>
        <w:spacing w:line="360" w:lineRule="auto"/>
        <w:rPr>
          <w:rFonts w:hint="eastAsia" w:ascii="仿宋" w:hAnsi="仿宋" w:eastAsia="仿宋"/>
          <w:color w:val="auto"/>
          <w:sz w:val="30"/>
          <w:szCs w:val="30"/>
          <w:highlight w:val="none"/>
        </w:rPr>
      </w:pPr>
    </w:p>
    <w:p w14:paraId="50BDFCB9">
      <w:pPr>
        <w:pStyle w:val="513"/>
        <w:spacing w:line="360" w:lineRule="auto"/>
        <w:rPr>
          <w:rFonts w:hint="eastAsia" w:ascii="仿宋" w:hAnsi="仿宋" w:eastAsia="仿宋"/>
          <w:color w:val="auto"/>
          <w:sz w:val="30"/>
          <w:szCs w:val="30"/>
          <w:highlight w:val="none"/>
        </w:rPr>
      </w:pPr>
    </w:p>
    <w:p w14:paraId="5F6AA91A">
      <w:pPr>
        <w:pStyle w:val="513"/>
        <w:spacing w:line="360" w:lineRule="auto"/>
        <w:rPr>
          <w:rFonts w:hint="eastAsia" w:ascii="仿宋" w:hAnsi="仿宋" w:eastAsia="仿宋"/>
          <w:color w:val="auto"/>
          <w:sz w:val="30"/>
          <w:szCs w:val="30"/>
          <w:highlight w:val="none"/>
        </w:rPr>
      </w:pPr>
    </w:p>
    <w:p w14:paraId="602C20B4">
      <w:pPr>
        <w:pStyle w:val="513"/>
        <w:spacing w:line="360" w:lineRule="auto"/>
        <w:rPr>
          <w:rFonts w:hint="eastAsia" w:ascii="仿宋" w:hAnsi="仿宋" w:eastAsia="仿宋"/>
          <w:color w:val="auto"/>
          <w:sz w:val="30"/>
          <w:szCs w:val="30"/>
          <w:highlight w:val="none"/>
        </w:rPr>
      </w:pPr>
    </w:p>
    <w:p w14:paraId="714288A1">
      <w:pPr>
        <w:pStyle w:val="513"/>
        <w:spacing w:line="360" w:lineRule="auto"/>
        <w:rPr>
          <w:rFonts w:hint="eastAsia" w:ascii="仿宋" w:hAnsi="仿宋" w:eastAsia="仿宋"/>
          <w:color w:val="auto"/>
          <w:sz w:val="30"/>
          <w:szCs w:val="30"/>
          <w:highlight w:val="none"/>
        </w:rPr>
      </w:pPr>
    </w:p>
    <w:p w14:paraId="5AA307CD">
      <w:pPr>
        <w:pStyle w:val="513"/>
        <w:spacing w:line="360" w:lineRule="auto"/>
        <w:rPr>
          <w:rFonts w:hint="eastAsia" w:ascii="仿宋" w:hAnsi="仿宋" w:eastAsia="仿宋"/>
          <w:color w:val="auto"/>
          <w:sz w:val="30"/>
          <w:szCs w:val="30"/>
          <w:highlight w:val="none"/>
        </w:rPr>
      </w:pPr>
    </w:p>
    <w:p w14:paraId="48EF9958">
      <w:pPr>
        <w:pStyle w:val="513"/>
        <w:spacing w:line="360" w:lineRule="auto"/>
        <w:rPr>
          <w:rFonts w:hint="eastAsia" w:ascii="仿宋" w:hAnsi="仿宋" w:eastAsia="仿宋"/>
          <w:color w:val="auto"/>
          <w:sz w:val="30"/>
          <w:szCs w:val="30"/>
          <w:highlight w:val="none"/>
        </w:rPr>
      </w:pPr>
    </w:p>
    <w:p w14:paraId="5D5A0CA3">
      <w:pPr>
        <w:pStyle w:val="513"/>
        <w:spacing w:line="360" w:lineRule="auto"/>
        <w:rPr>
          <w:rFonts w:hint="eastAsia" w:ascii="仿宋" w:hAnsi="仿宋" w:eastAsia="仿宋"/>
          <w:color w:val="auto"/>
          <w:sz w:val="30"/>
          <w:szCs w:val="30"/>
          <w:highlight w:val="none"/>
        </w:rPr>
      </w:pPr>
    </w:p>
    <w:p w14:paraId="4C2F7D08">
      <w:pPr>
        <w:pStyle w:val="513"/>
        <w:spacing w:line="360" w:lineRule="auto"/>
        <w:rPr>
          <w:rFonts w:hint="eastAsia" w:ascii="仿宋" w:hAnsi="仿宋" w:eastAsia="仿宋"/>
          <w:color w:val="auto"/>
          <w:sz w:val="30"/>
          <w:szCs w:val="30"/>
          <w:highlight w:val="none"/>
        </w:rPr>
      </w:pPr>
    </w:p>
    <w:p w14:paraId="17835B0C">
      <w:pPr>
        <w:pStyle w:val="513"/>
        <w:spacing w:line="360" w:lineRule="auto"/>
        <w:rPr>
          <w:rFonts w:hint="eastAsia" w:ascii="仿宋" w:hAnsi="仿宋" w:eastAsia="仿宋"/>
          <w:color w:val="auto"/>
          <w:sz w:val="30"/>
          <w:szCs w:val="30"/>
          <w:highlight w:val="none"/>
        </w:rPr>
      </w:pPr>
    </w:p>
    <w:p w14:paraId="759CF3E5">
      <w:pPr>
        <w:pStyle w:val="513"/>
        <w:spacing w:line="360" w:lineRule="auto"/>
        <w:rPr>
          <w:rFonts w:hint="eastAsia" w:ascii="仿宋" w:hAnsi="仿宋" w:eastAsia="仿宋"/>
          <w:color w:val="auto"/>
          <w:sz w:val="30"/>
          <w:szCs w:val="30"/>
          <w:highlight w:val="none"/>
        </w:rPr>
      </w:pPr>
    </w:p>
    <w:p w14:paraId="7374D593">
      <w:pPr>
        <w:pStyle w:val="513"/>
        <w:spacing w:line="360" w:lineRule="auto"/>
        <w:rPr>
          <w:rFonts w:hint="eastAsia" w:ascii="仿宋" w:hAnsi="仿宋" w:eastAsia="仿宋"/>
          <w:color w:val="auto"/>
          <w:sz w:val="30"/>
          <w:szCs w:val="30"/>
          <w:highlight w:val="none"/>
        </w:rPr>
      </w:pPr>
    </w:p>
    <w:p w14:paraId="64E7CEBF">
      <w:pPr>
        <w:pStyle w:val="513"/>
        <w:spacing w:line="360" w:lineRule="auto"/>
        <w:rPr>
          <w:rFonts w:hint="eastAsia" w:ascii="仿宋" w:hAnsi="仿宋" w:eastAsia="仿宋"/>
          <w:color w:val="auto"/>
          <w:sz w:val="30"/>
          <w:szCs w:val="30"/>
          <w:highlight w:val="none"/>
        </w:rPr>
      </w:pPr>
    </w:p>
    <w:p w14:paraId="3DC271AF">
      <w:pPr>
        <w:pStyle w:val="513"/>
        <w:spacing w:line="360" w:lineRule="auto"/>
        <w:rPr>
          <w:rFonts w:hint="eastAsia" w:ascii="仿宋" w:hAnsi="仿宋" w:eastAsia="仿宋"/>
          <w:color w:val="auto"/>
          <w:sz w:val="30"/>
          <w:szCs w:val="30"/>
          <w:highlight w:val="none"/>
        </w:rPr>
      </w:pPr>
    </w:p>
    <w:p w14:paraId="5B9727EE">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19E80CCA">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（非独立保函）</w:t>
      </w:r>
    </w:p>
    <w:p w14:paraId="22D89799">
      <w:pPr>
        <w:spacing w:line="360" w:lineRule="auto"/>
        <w:jc w:val="center"/>
        <w:rPr>
          <w:rFonts w:hint="eastAsia" w:ascii="宋体" w:hAnsi="宋体"/>
          <w:b/>
          <w:bCs/>
          <w:color w:val="auto"/>
          <w:sz w:val="32"/>
          <w:szCs w:val="32"/>
          <w:highlight w:val="none"/>
        </w:rPr>
      </w:pPr>
    </w:p>
    <w:p w14:paraId="1F61AC4B">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47058FBA">
      <w:pPr>
        <w:spacing w:line="360" w:lineRule="auto"/>
        <w:rPr>
          <w:rFonts w:hint="eastAsia" w:ascii="宋体" w:hAnsi="宋体"/>
          <w:color w:val="auto"/>
          <w:szCs w:val="21"/>
          <w:highlight w:val="none"/>
        </w:rPr>
      </w:pPr>
      <w:r>
        <w:rPr>
          <w:rFonts w:hint="eastAsia" w:ascii="宋体" w:hAnsi="宋体"/>
          <w:color w:val="auto"/>
          <w:szCs w:val="21"/>
          <w:highlight w:val="none"/>
        </w:rPr>
        <w:t>承包人：</w:t>
      </w:r>
    </w:p>
    <w:p w14:paraId="5EE696E8">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7180188B">
      <w:pPr>
        <w:spacing w:line="360" w:lineRule="auto"/>
        <w:rPr>
          <w:rFonts w:hint="eastAsia" w:ascii="宋体" w:hAnsi="宋体"/>
          <w:color w:val="auto"/>
          <w:szCs w:val="21"/>
          <w:highlight w:val="none"/>
        </w:rPr>
      </w:pPr>
      <w:r>
        <w:rPr>
          <w:rFonts w:hint="eastAsia" w:ascii="宋体" w:hAnsi="宋体"/>
          <w:color w:val="auto"/>
          <w:szCs w:val="21"/>
          <w:highlight w:val="none"/>
        </w:rPr>
        <w:t xml:space="preserve">担保权人/发包人： </w:t>
      </w:r>
    </w:p>
    <w:p w14:paraId="0EE894AC">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4944DDE3">
      <w:pPr>
        <w:spacing w:line="360" w:lineRule="auto"/>
        <w:rPr>
          <w:rFonts w:hint="eastAsia" w:ascii="宋体" w:hAnsi="宋体"/>
          <w:color w:val="auto"/>
          <w:szCs w:val="21"/>
          <w:highlight w:val="none"/>
        </w:rPr>
      </w:pPr>
      <w:r>
        <w:rPr>
          <w:rFonts w:hint="eastAsia" w:ascii="宋体" w:hAnsi="宋体"/>
          <w:color w:val="auto"/>
          <w:szCs w:val="21"/>
          <w:highlight w:val="none"/>
        </w:rPr>
        <w:t>保证人：</w:t>
      </w:r>
    </w:p>
    <w:p w14:paraId="5DA2C3A6">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2DA58391">
      <w:pPr>
        <w:spacing w:line="360" w:lineRule="auto"/>
        <w:rPr>
          <w:rFonts w:hint="eastAsia" w:ascii="宋体" w:hAnsi="宋体"/>
          <w:color w:val="auto"/>
          <w:szCs w:val="21"/>
          <w:highlight w:val="none"/>
        </w:rPr>
      </w:pPr>
    </w:p>
    <w:p w14:paraId="37E1A229">
      <w:pPr>
        <w:spacing w:line="360" w:lineRule="auto"/>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（发包人名称）： </w:t>
      </w:r>
    </w:p>
    <w:p w14:paraId="764E935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（以下简称“发包人”）与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（以下简称“承包人”）于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（以下简称“主合同”），我方即保证人基于承包人的请求，同意就承包人履行与贵方签订的主合同项下的义务，向贵方提供如下保证担保（以下简称“本保证担保”）。 </w:t>
      </w:r>
    </w:p>
    <w:p w14:paraId="40CAFB85">
      <w:pPr>
        <w:spacing w:line="360" w:lineRule="auto"/>
        <w:rPr>
          <w:rFonts w:hint="eastAsia" w:ascii="宋体" w:hAnsi="宋体"/>
          <w:b/>
          <w:bCs/>
          <w:color w:val="auto"/>
          <w:szCs w:val="21"/>
          <w:highlight w:val="none"/>
        </w:rPr>
      </w:pPr>
      <w:r>
        <w:rPr>
          <w:rFonts w:hint="eastAsia" w:ascii="宋体" w:hAnsi="宋体"/>
          <w:color w:val="auto"/>
          <w:szCs w:val="21"/>
          <w:highlight w:val="none"/>
        </w:rPr>
        <w:t xml:space="preserve">    </w:t>
      </w:r>
      <w:r>
        <w:rPr>
          <w:rFonts w:hint="eastAsia" w:ascii="宋体" w:hAnsi="宋体"/>
          <w:b/>
          <w:bCs/>
          <w:color w:val="auto"/>
          <w:szCs w:val="21"/>
          <w:highlight w:val="none"/>
        </w:rPr>
        <w:t>一、保证担保的范围及保证担保金额</w:t>
      </w:r>
    </w:p>
    <w:p w14:paraId="5F6CB08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1.保证担保范围：承包人未按照主合同的约定履行义务，应当向贵方承担的违约责任和赔偿因此造成的损失、利息、律师费、诉讼费用等实现债权的费用。</w:t>
      </w:r>
    </w:p>
    <w:p w14:paraId="27A0FB3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2.保证担保金额最高不超过人民币（大写）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6AC57007">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二、保证担保的方式及保证期间 </w:t>
      </w:r>
    </w:p>
    <w:p w14:paraId="23241A0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1.保证担保方式：连带责任保证。</w:t>
      </w:r>
    </w:p>
    <w:p w14:paraId="04720F0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2.保证期间：自出具之日起至主合同约定的缺陷责任期后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4AC72F83">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三、承担保证担保责任的形式</w:t>
      </w:r>
    </w:p>
    <w:p w14:paraId="5B6DA59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我方按照贵方的要求以下列方式之一承担保证担保责任： </w:t>
      </w:r>
    </w:p>
    <w:p w14:paraId="4E57695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1.向承包人资金、设备或者技术援助，使其能继续履行合同义务；</w:t>
      </w:r>
    </w:p>
    <w:p w14:paraId="7FF12F5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2.直接接管该项工程或者委托经贵方同意的其他承包商，继续履行合同义务；</w:t>
      </w:r>
    </w:p>
    <w:p w14:paraId="0525481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3.在保证担保金额最高限额内，按照合同约定，向贵方承担违约责任和赔偿因此造成的损失，以及利息和律师费、诉讼费用等实现债权的费用。</w:t>
      </w:r>
    </w:p>
    <w:p w14:paraId="006EB679">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四、代偿的安排 </w:t>
      </w:r>
    </w:p>
    <w:p w14:paraId="1545C19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22C6D8A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2.贵方以工程质量不符合主合同约定标准为由，向我方提出违约索赔的，还需同时提供符合相应条件要求的工程质量检测部门出具的质量说明材料。</w:t>
      </w:r>
    </w:p>
    <w:p w14:paraId="3E3CFC2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3.我方收到贵方的书面索赔通知及相应证明材料后，在</w:t>
      </w:r>
      <w:r>
        <w:rPr>
          <w:rFonts w:hint="eastAsia" w:ascii="宋体" w:hAnsi="宋体"/>
          <w:color w:val="auto"/>
          <w:szCs w:val="21"/>
          <w:highlight w:val="none"/>
          <w:u w:val="single"/>
        </w:rPr>
        <w:t xml:space="preserve">   </w:t>
      </w:r>
      <w:r>
        <w:rPr>
          <w:rFonts w:hint="eastAsia" w:ascii="宋体" w:hAnsi="宋体"/>
          <w:color w:val="auto"/>
          <w:szCs w:val="21"/>
          <w:highlight w:val="none"/>
        </w:rPr>
        <w:t>工作日内进行核定后按照本保函的承诺承担保证责任。</w:t>
      </w:r>
    </w:p>
    <w:p w14:paraId="312EA852">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五、保证担保责任的解除 </w:t>
      </w:r>
    </w:p>
    <w:p w14:paraId="26F1181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1.保证期间届满贵方未向我方书面主张保证责任的，自保证期间届满次日起，我方解除保证责任。 </w:t>
      </w:r>
    </w:p>
    <w:p w14:paraId="19E2165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2.我方按照本保证担保向贵方履行了保证担保责任后，自我方向贵方支付的金额达到最高保证担保金额之日起，保证担保责任解除。 </w:t>
      </w:r>
    </w:p>
    <w:p w14:paraId="05C0D38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3.按照法律法规的规定应解除我方保证担保责任的其它情形的，我方在本保证担保项下的保证担保责任亦解除。 </w:t>
      </w:r>
    </w:p>
    <w:p w14:paraId="713946C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11C1C18F">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六、免责条款 </w:t>
      </w:r>
    </w:p>
    <w:p w14:paraId="69CB189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1.因贵方原因致使承包人未按照主合同约定履行义务的，我方不承担保证担保责任。 </w:t>
      </w:r>
    </w:p>
    <w:p w14:paraId="2EF8294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2.依照法律规定或贵方与发包人的另行约定，免除承包人部分或全部义务的，我方亦免除其相应的保证担保责任。 </w:t>
      </w:r>
    </w:p>
    <w:p w14:paraId="310A491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3.因不可抗力造成承包人未按照主合同约定履行义务的，我方不承担保证担保责任。</w:t>
      </w:r>
    </w:p>
    <w:p w14:paraId="128AFD40">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七、其他</w:t>
      </w:r>
    </w:p>
    <w:p w14:paraId="305F62B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1.本保证担保项下的权利不得转让，不得设定担保。贵方未经我方书面同意转让本保证担保或其项下任何权利，对我方不发生法律效力。 </w:t>
      </w:r>
    </w:p>
    <w:p w14:paraId="268A9E5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2.本保证担保适用的法律为中华人民共和国法律，争议裁判管辖地为中华人民共和国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BEF447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3.本保证担保自我方法定代表人或授权代表签字并加盖公章之日起生效。 </w:t>
      </w:r>
    </w:p>
    <w:p w14:paraId="3FC5BFCF">
      <w:pPr>
        <w:spacing w:line="360" w:lineRule="auto"/>
        <w:ind w:firstLine="420" w:firstLineChars="200"/>
        <w:rPr>
          <w:rFonts w:hint="eastAsia" w:ascii="宋体" w:hAnsi="宋体"/>
          <w:color w:val="auto"/>
          <w:szCs w:val="21"/>
          <w:highlight w:val="none"/>
        </w:rPr>
      </w:pPr>
    </w:p>
    <w:p w14:paraId="32A1873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保 证 人：                              （公章） </w:t>
      </w:r>
    </w:p>
    <w:p w14:paraId="6D57013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21C9FA1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261B14A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2852879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749DA14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304264B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时    间：      年      月        日</w:t>
      </w:r>
    </w:p>
    <w:p w14:paraId="5BD7B7D0">
      <w:pPr>
        <w:rPr>
          <w:rFonts w:hint="eastAsia"/>
          <w:color w:val="auto"/>
          <w:highlight w:val="none"/>
        </w:rPr>
      </w:pPr>
    </w:p>
    <w:p w14:paraId="2B5A28B9">
      <w:pPr>
        <w:rPr>
          <w:color w:val="auto"/>
          <w:highlight w:val="none"/>
        </w:rPr>
      </w:pPr>
    </w:p>
    <w:p w14:paraId="418A9524">
      <w:pPr>
        <w:pStyle w:val="513"/>
        <w:spacing w:line="360" w:lineRule="auto"/>
        <w:rPr>
          <w:rFonts w:hint="eastAsia" w:ascii="仿宋" w:hAnsi="仿宋" w:eastAsia="仿宋"/>
          <w:color w:val="auto"/>
          <w:sz w:val="30"/>
          <w:szCs w:val="30"/>
          <w:highlight w:val="none"/>
        </w:rPr>
      </w:pPr>
    </w:p>
    <w:p w14:paraId="1D77F767">
      <w:pPr>
        <w:pStyle w:val="513"/>
        <w:spacing w:line="360" w:lineRule="auto"/>
        <w:rPr>
          <w:rFonts w:ascii="仿宋" w:hAnsi="仿宋" w:eastAsia="仿宋"/>
          <w:color w:val="auto"/>
          <w:sz w:val="30"/>
          <w:szCs w:val="30"/>
          <w:highlight w:val="none"/>
        </w:rPr>
      </w:pPr>
      <w:r>
        <w:rPr>
          <w:rFonts w:ascii="仿宋" w:hAnsi="仿宋" w:eastAsia="仿宋"/>
          <w:color w:val="auto"/>
          <w:sz w:val="30"/>
          <w:szCs w:val="30"/>
          <w:highlight w:val="none"/>
        </w:rPr>
        <w:t>附件</w:t>
      </w:r>
      <w:r>
        <w:rPr>
          <w:rFonts w:hint="eastAsia" w:ascii="仿宋" w:hAnsi="仿宋" w:eastAsia="仿宋"/>
          <w:color w:val="auto"/>
          <w:sz w:val="30"/>
          <w:szCs w:val="30"/>
          <w:highlight w:val="none"/>
        </w:rPr>
        <w:t>8</w:t>
      </w:r>
      <w:r>
        <w:rPr>
          <w:rFonts w:ascii="仿宋" w:hAnsi="仿宋" w:eastAsia="仿宋"/>
          <w:color w:val="auto"/>
          <w:sz w:val="30"/>
          <w:szCs w:val="30"/>
          <w:highlight w:val="none"/>
        </w:rPr>
        <w:t xml:space="preserve"> ：</w:t>
      </w:r>
    </w:p>
    <w:p w14:paraId="2BCBBC58">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0248174E">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（独立保函）</w:t>
      </w:r>
    </w:p>
    <w:p w14:paraId="1B8F174E">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56C784E6">
      <w:pPr>
        <w:spacing w:line="360" w:lineRule="auto"/>
        <w:rPr>
          <w:rFonts w:hint="eastAsia" w:ascii="宋体" w:hAnsi="宋体"/>
          <w:color w:val="auto"/>
          <w:sz w:val="24"/>
          <w:highlight w:val="none"/>
        </w:rPr>
      </w:pPr>
    </w:p>
    <w:p w14:paraId="57A7402B">
      <w:pPr>
        <w:spacing w:line="360" w:lineRule="auto"/>
        <w:rPr>
          <w:rFonts w:hint="eastAsia" w:ascii="宋体" w:hAnsi="宋体"/>
          <w:color w:val="auto"/>
          <w:szCs w:val="21"/>
          <w:highlight w:val="none"/>
        </w:rPr>
      </w:pPr>
      <w:r>
        <w:rPr>
          <w:rFonts w:hint="eastAsia" w:ascii="宋体" w:hAnsi="宋体"/>
          <w:color w:val="auto"/>
          <w:szCs w:val="21"/>
          <w:highlight w:val="none"/>
        </w:rPr>
        <w:t>申请人：</w:t>
      </w:r>
    </w:p>
    <w:p w14:paraId="13600E3D">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348E6805">
      <w:pPr>
        <w:spacing w:line="360" w:lineRule="auto"/>
        <w:rPr>
          <w:rFonts w:hint="eastAsia" w:ascii="宋体" w:hAnsi="宋体"/>
          <w:color w:val="auto"/>
          <w:szCs w:val="21"/>
          <w:highlight w:val="none"/>
        </w:rPr>
      </w:pPr>
      <w:r>
        <w:rPr>
          <w:rFonts w:hint="eastAsia" w:ascii="宋体" w:hAnsi="宋体"/>
          <w:color w:val="auto"/>
          <w:szCs w:val="21"/>
          <w:highlight w:val="none"/>
        </w:rPr>
        <w:t>受益人：</w:t>
      </w:r>
    </w:p>
    <w:p w14:paraId="0FB4E0D5">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47D308B9">
      <w:pPr>
        <w:spacing w:line="360" w:lineRule="auto"/>
        <w:rPr>
          <w:rFonts w:hint="eastAsia" w:ascii="宋体" w:hAnsi="宋体"/>
          <w:color w:val="auto"/>
          <w:szCs w:val="21"/>
          <w:highlight w:val="none"/>
        </w:rPr>
      </w:pPr>
      <w:r>
        <w:rPr>
          <w:rFonts w:hint="eastAsia" w:ascii="宋体" w:hAnsi="宋体"/>
          <w:color w:val="auto"/>
          <w:szCs w:val="21"/>
          <w:highlight w:val="none"/>
        </w:rPr>
        <w:t>开立人：</w:t>
      </w:r>
    </w:p>
    <w:p w14:paraId="4252F5D5">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43310CBE">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14:paraId="4130CF08">
      <w:pPr>
        <w:spacing w:line="360" w:lineRule="auto"/>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（受益人名称）： </w:t>
      </w:r>
    </w:p>
    <w:p w14:paraId="064612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（以下简称“受益人”）与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（以下简称“申请人”）于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基础合同”），我方（即“开立人”）根据主合同了解到申请人为主合同项下之承包人，受益人为主合同项下之发包人，基于申请人的请求，我方同意就申请人按照合同约定正确和合理地为合同目的使用预付款，向贵方提供不可撤销、不可转让的见索即付独立保函（以下简称“本保函”）。 </w:t>
      </w:r>
    </w:p>
    <w:p w14:paraId="620590D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一、本保函担保范围：申请人未按照合同约定正确和合理地为合同目的使用预付款，应当向贵方承担的违约责任和赔偿因此造成的损失、利息、律师费、诉讼费用等实现债权的费用。</w:t>
      </w:r>
    </w:p>
    <w:p w14:paraId="5A1F86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二、本保函担保金额最高不超过人民币（大写）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4864C4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三、本保函有效期自开立之日起至发包人全额扣回预付款后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4B69EC7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四、我方承诺，在收到受益人发来的书面付款通知后的</w:t>
      </w:r>
      <w:r>
        <w:rPr>
          <w:rFonts w:hint="eastAsia" w:ascii="宋体" w:hAnsi="宋体"/>
          <w:color w:val="auto"/>
          <w:szCs w:val="21"/>
          <w:highlight w:val="none"/>
          <w:u w:val="single"/>
        </w:rPr>
        <w:t xml:space="preserve">    </w:t>
      </w:r>
      <w:r>
        <w:rPr>
          <w:rFonts w:hint="eastAsia" w:ascii="宋体" w:hAnsi="宋体"/>
          <w:color w:val="auto"/>
          <w:szCs w:val="21"/>
          <w:highlight w:val="none"/>
        </w:rPr>
        <w:t>日内无条件支付，前述书面付款通知即为付款要求之单据，且应满足以下要求：</w:t>
      </w:r>
    </w:p>
    <w:p w14:paraId="3B1A676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（1）付款通知到达的日期在本保函的有效期内；</w:t>
      </w:r>
    </w:p>
    <w:p w14:paraId="12D82A5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（2）载明要求支付的金额；</w:t>
      </w:r>
    </w:p>
    <w:p w14:paraId="32EF701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（3）载明申请人违反合同义务的条款和内容；</w:t>
      </w:r>
    </w:p>
    <w:p w14:paraId="2B1B19D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（4）声明不存在合同文件约定或我国法律规定免除申请人或开立人支付责任的情形；</w:t>
      </w:r>
    </w:p>
    <w:p w14:paraId="5D0FF25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（5）付款通知应在本保函有效期内到达的地址是：</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806A47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受益人发出的书面付款通知应由其为鉴明受益人法定代表人（负责人）或授权代理人签字并加盖公章。</w:t>
      </w:r>
    </w:p>
    <w:p w14:paraId="6D9E2C3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五、本保函项下的权利不得转让，不得设定担保。贵方未经我方书面同意转 让本保函或其项下任何权利，对我方不发生法律效力。 </w:t>
      </w:r>
    </w:p>
    <w:p w14:paraId="58066B1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六、与本保函有关的基础合同不成立、不生效、无效、被撤销、被解除，不影响本保函的独立有效。 </w:t>
      </w:r>
    </w:p>
    <w:p w14:paraId="6612427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6388E12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八、本保函适用的法律为中华人民共和国法律，争议裁判管辖地为中华人民共和国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01321B0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九、本保函自我方法定代表人或授权代表签字并加盖公章之日起生效。 </w:t>
      </w:r>
    </w:p>
    <w:p w14:paraId="0E16E9E0">
      <w:pPr>
        <w:spacing w:line="360" w:lineRule="auto"/>
        <w:rPr>
          <w:rFonts w:hint="eastAsia" w:ascii="宋体" w:hAnsi="宋体"/>
          <w:color w:val="auto"/>
          <w:szCs w:val="21"/>
          <w:highlight w:val="none"/>
        </w:rPr>
      </w:pPr>
    </w:p>
    <w:p w14:paraId="5FC2F37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开 立 人：                              （公章） </w:t>
      </w:r>
    </w:p>
    <w:p w14:paraId="4B5FA63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016D649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4DDA590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7B2E7E1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0B6A3CF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4536E4CD">
      <w:pPr>
        <w:rPr>
          <w:rFonts w:hint="eastAsia"/>
          <w:color w:val="auto"/>
          <w:szCs w:val="21"/>
          <w:highlight w:val="none"/>
        </w:rPr>
      </w:pPr>
      <w:r>
        <w:rPr>
          <w:rFonts w:hint="eastAsia" w:ascii="宋体" w:hAnsi="宋体"/>
          <w:color w:val="auto"/>
          <w:szCs w:val="21"/>
          <w:highlight w:val="none"/>
        </w:rPr>
        <w:t xml:space="preserve">    开立时间：      年      月        日</w:t>
      </w:r>
    </w:p>
    <w:p w14:paraId="6E904B1C">
      <w:pPr>
        <w:pStyle w:val="513"/>
        <w:spacing w:line="440" w:lineRule="exact"/>
        <w:rPr>
          <w:rFonts w:hint="eastAsia" w:ascii="仿宋" w:hAnsi="仿宋" w:eastAsia="仿宋"/>
          <w:color w:val="auto"/>
          <w:sz w:val="30"/>
          <w:szCs w:val="30"/>
          <w:highlight w:val="none"/>
        </w:rPr>
      </w:pPr>
    </w:p>
    <w:p w14:paraId="76BBB7DB">
      <w:pPr>
        <w:pStyle w:val="513"/>
        <w:spacing w:line="440" w:lineRule="exact"/>
        <w:rPr>
          <w:rFonts w:hint="eastAsia" w:ascii="仿宋" w:hAnsi="仿宋" w:eastAsia="仿宋"/>
          <w:color w:val="auto"/>
          <w:sz w:val="30"/>
          <w:szCs w:val="30"/>
          <w:highlight w:val="none"/>
        </w:rPr>
      </w:pPr>
    </w:p>
    <w:p w14:paraId="11651F21">
      <w:pPr>
        <w:pStyle w:val="513"/>
        <w:spacing w:line="440" w:lineRule="exact"/>
        <w:rPr>
          <w:rFonts w:hint="eastAsia" w:ascii="仿宋" w:hAnsi="仿宋" w:eastAsia="仿宋"/>
          <w:color w:val="auto"/>
          <w:sz w:val="30"/>
          <w:szCs w:val="30"/>
          <w:highlight w:val="none"/>
        </w:rPr>
      </w:pPr>
    </w:p>
    <w:p w14:paraId="1ECFB9C8">
      <w:pPr>
        <w:pStyle w:val="513"/>
        <w:spacing w:line="440" w:lineRule="exact"/>
        <w:rPr>
          <w:rFonts w:hint="eastAsia" w:ascii="仿宋" w:hAnsi="仿宋" w:eastAsia="仿宋"/>
          <w:color w:val="auto"/>
          <w:sz w:val="30"/>
          <w:szCs w:val="30"/>
          <w:highlight w:val="none"/>
        </w:rPr>
      </w:pPr>
    </w:p>
    <w:p w14:paraId="378E762C">
      <w:pPr>
        <w:pStyle w:val="513"/>
        <w:spacing w:line="440" w:lineRule="exact"/>
        <w:rPr>
          <w:rFonts w:hint="eastAsia" w:ascii="仿宋" w:hAnsi="仿宋" w:eastAsia="仿宋"/>
          <w:color w:val="auto"/>
          <w:sz w:val="30"/>
          <w:szCs w:val="30"/>
          <w:highlight w:val="none"/>
        </w:rPr>
      </w:pPr>
    </w:p>
    <w:p w14:paraId="057EA5C2">
      <w:pPr>
        <w:pStyle w:val="513"/>
        <w:spacing w:line="440" w:lineRule="exact"/>
        <w:rPr>
          <w:rFonts w:hint="eastAsia" w:ascii="仿宋" w:hAnsi="仿宋" w:eastAsia="仿宋"/>
          <w:color w:val="auto"/>
          <w:sz w:val="30"/>
          <w:szCs w:val="30"/>
          <w:highlight w:val="none"/>
        </w:rPr>
      </w:pPr>
    </w:p>
    <w:p w14:paraId="24F700E3">
      <w:pPr>
        <w:pStyle w:val="513"/>
        <w:spacing w:line="440" w:lineRule="exact"/>
        <w:rPr>
          <w:rFonts w:hint="eastAsia" w:ascii="仿宋" w:hAnsi="仿宋" w:eastAsia="仿宋"/>
          <w:color w:val="auto"/>
          <w:sz w:val="30"/>
          <w:szCs w:val="30"/>
          <w:highlight w:val="none"/>
        </w:rPr>
      </w:pPr>
    </w:p>
    <w:p w14:paraId="72043F14">
      <w:pPr>
        <w:pStyle w:val="513"/>
        <w:spacing w:line="440" w:lineRule="exact"/>
        <w:rPr>
          <w:rFonts w:hint="eastAsia" w:ascii="仿宋" w:hAnsi="仿宋" w:eastAsia="仿宋"/>
          <w:color w:val="auto"/>
          <w:sz w:val="30"/>
          <w:szCs w:val="30"/>
          <w:highlight w:val="none"/>
        </w:rPr>
      </w:pPr>
    </w:p>
    <w:p w14:paraId="5518426C">
      <w:pPr>
        <w:pStyle w:val="513"/>
        <w:spacing w:line="440" w:lineRule="exact"/>
        <w:rPr>
          <w:rFonts w:hint="eastAsia" w:ascii="仿宋" w:hAnsi="仿宋" w:eastAsia="仿宋"/>
          <w:color w:val="auto"/>
          <w:sz w:val="30"/>
          <w:szCs w:val="30"/>
          <w:highlight w:val="none"/>
        </w:rPr>
      </w:pPr>
    </w:p>
    <w:p w14:paraId="3B2089DA">
      <w:pPr>
        <w:pStyle w:val="513"/>
        <w:spacing w:line="440" w:lineRule="exact"/>
        <w:rPr>
          <w:rFonts w:hint="eastAsia" w:ascii="仿宋" w:hAnsi="仿宋" w:eastAsia="仿宋"/>
          <w:color w:val="auto"/>
          <w:sz w:val="30"/>
          <w:szCs w:val="30"/>
          <w:highlight w:val="none"/>
        </w:rPr>
      </w:pPr>
    </w:p>
    <w:p w14:paraId="3C58E081">
      <w:pPr>
        <w:pStyle w:val="513"/>
        <w:spacing w:line="440" w:lineRule="exact"/>
        <w:rPr>
          <w:rFonts w:hint="eastAsia" w:ascii="仿宋" w:hAnsi="仿宋" w:eastAsia="仿宋"/>
          <w:color w:val="auto"/>
          <w:sz w:val="30"/>
          <w:szCs w:val="30"/>
          <w:highlight w:val="none"/>
        </w:rPr>
      </w:pPr>
    </w:p>
    <w:p w14:paraId="11403B37">
      <w:pPr>
        <w:pStyle w:val="513"/>
        <w:spacing w:line="440" w:lineRule="exact"/>
        <w:rPr>
          <w:rFonts w:hint="eastAsia" w:ascii="仿宋" w:hAnsi="仿宋" w:eastAsia="仿宋"/>
          <w:color w:val="auto"/>
          <w:sz w:val="30"/>
          <w:szCs w:val="30"/>
          <w:highlight w:val="none"/>
        </w:rPr>
      </w:pPr>
    </w:p>
    <w:p w14:paraId="478AE83B">
      <w:pPr>
        <w:pStyle w:val="513"/>
        <w:spacing w:line="440" w:lineRule="exact"/>
        <w:rPr>
          <w:rFonts w:hint="eastAsia" w:ascii="仿宋" w:hAnsi="仿宋" w:eastAsia="仿宋"/>
          <w:color w:val="auto"/>
          <w:sz w:val="30"/>
          <w:szCs w:val="30"/>
          <w:highlight w:val="none"/>
        </w:rPr>
      </w:pPr>
    </w:p>
    <w:p w14:paraId="304741AA">
      <w:pPr>
        <w:pStyle w:val="513"/>
        <w:spacing w:line="440" w:lineRule="exact"/>
        <w:rPr>
          <w:rFonts w:hint="eastAsia" w:ascii="仿宋" w:hAnsi="仿宋" w:eastAsia="仿宋"/>
          <w:color w:val="auto"/>
          <w:sz w:val="30"/>
          <w:szCs w:val="30"/>
          <w:highlight w:val="none"/>
        </w:rPr>
      </w:pPr>
    </w:p>
    <w:p w14:paraId="547EB784">
      <w:pPr>
        <w:pStyle w:val="513"/>
        <w:spacing w:line="440" w:lineRule="exact"/>
        <w:rPr>
          <w:rFonts w:hint="eastAsia" w:ascii="仿宋" w:hAnsi="仿宋" w:eastAsia="仿宋"/>
          <w:color w:val="auto"/>
          <w:sz w:val="30"/>
          <w:szCs w:val="30"/>
          <w:highlight w:val="none"/>
        </w:rPr>
      </w:pPr>
    </w:p>
    <w:p w14:paraId="2E964A91">
      <w:pPr>
        <w:pStyle w:val="513"/>
        <w:spacing w:line="440" w:lineRule="exact"/>
        <w:rPr>
          <w:rFonts w:hint="eastAsia" w:ascii="仿宋" w:hAnsi="仿宋" w:eastAsia="仿宋"/>
          <w:color w:val="auto"/>
          <w:sz w:val="30"/>
          <w:szCs w:val="30"/>
          <w:highlight w:val="none"/>
        </w:rPr>
      </w:pPr>
    </w:p>
    <w:p w14:paraId="1F2CDAAB">
      <w:pPr>
        <w:pStyle w:val="513"/>
        <w:spacing w:line="440" w:lineRule="exact"/>
        <w:rPr>
          <w:rFonts w:hint="eastAsia" w:ascii="仿宋" w:hAnsi="仿宋" w:eastAsia="仿宋"/>
          <w:color w:val="auto"/>
          <w:sz w:val="30"/>
          <w:szCs w:val="30"/>
          <w:highlight w:val="none"/>
        </w:rPr>
      </w:pPr>
    </w:p>
    <w:p w14:paraId="2F339FFD">
      <w:pPr>
        <w:pStyle w:val="513"/>
        <w:spacing w:line="440" w:lineRule="exact"/>
        <w:rPr>
          <w:rFonts w:hint="eastAsia" w:ascii="仿宋" w:hAnsi="仿宋" w:eastAsia="仿宋"/>
          <w:color w:val="auto"/>
          <w:sz w:val="30"/>
          <w:szCs w:val="30"/>
          <w:highlight w:val="none"/>
        </w:rPr>
      </w:pPr>
    </w:p>
    <w:p w14:paraId="35F440F0">
      <w:pPr>
        <w:pStyle w:val="513"/>
        <w:spacing w:line="440" w:lineRule="exact"/>
        <w:rPr>
          <w:rFonts w:hint="eastAsia" w:ascii="仿宋" w:hAnsi="仿宋" w:eastAsia="仿宋"/>
          <w:color w:val="auto"/>
          <w:sz w:val="30"/>
          <w:szCs w:val="30"/>
          <w:highlight w:val="none"/>
        </w:rPr>
      </w:pPr>
    </w:p>
    <w:p w14:paraId="518FBB3E">
      <w:pPr>
        <w:pStyle w:val="513"/>
        <w:spacing w:line="440" w:lineRule="exact"/>
        <w:rPr>
          <w:rFonts w:hint="eastAsia" w:ascii="仿宋" w:hAnsi="仿宋" w:eastAsia="仿宋"/>
          <w:color w:val="auto"/>
          <w:sz w:val="30"/>
          <w:szCs w:val="30"/>
          <w:highlight w:val="none"/>
        </w:rPr>
      </w:pPr>
    </w:p>
    <w:p w14:paraId="0386CCD7">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3CC328D7">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（非独立保函）</w:t>
      </w:r>
    </w:p>
    <w:p w14:paraId="4A2BF3F2">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2EDAE0D6">
      <w:pPr>
        <w:spacing w:line="360" w:lineRule="auto"/>
        <w:rPr>
          <w:rFonts w:hint="eastAsia" w:ascii="宋体" w:hAnsi="宋体"/>
          <w:color w:val="auto"/>
          <w:sz w:val="24"/>
          <w:highlight w:val="none"/>
        </w:rPr>
      </w:pPr>
    </w:p>
    <w:p w14:paraId="04FCDA50">
      <w:pPr>
        <w:spacing w:line="360" w:lineRule="auto"/>
        <w:rPr>
          <w:rFonts w:hint="eastAsia" w:ascii="宋体" w:hAnsi="宋体"/>
          <w:color w:val="auto"/>
          <w:szCs w:val="21"/>
          <w:highlight w:val="none"/>
        </w:rPr>
      </w:pPr>
      <w:r>
        <w:rPr>
          <w:rFonts w:hint="eastAsia" w:ascii="宋体" w:hAnsi="宋体"/>
          <w:color w:val="auto"/>
          <w:szCs w:val="21"/>
          <w:highlight w:val="none"/>
        </w:rPr>
        <w:t>担保权人/发包人：</w:t>
      </w:r>
    </w:p>
    <w:p w14:paraId="4AFAC8CF">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4B1F86A7">
      <w:pPr>
        <w:spacing w:line="360" w:lineRule="auto"/>
        <w:rPr>
          <w:rFonts w:hint="eastAsia" w:ascii="宋体" w:hAnsi="宋体"/>
          <w:color w:val="auto"/>
          <w:szCs w:val="21"/>
          <w:highlight w:val="none"/>
        </w:rPr>
      </w:pPr>
      <w:r>
        <w:rPr>
          <w:rFonts w:hint="eastAsia" w:ascii="宋体" w:hAnsi="宋体"/>
          <w:color w:val="auto"/>
          <w:szCs w:val="21"/>
          <w:highlight w:val="none"/>
        </w:rPr>
        <w:t xml:space="preserve">承包人： </w:t>
      </w:r>
    </w:p>
    <w:p w14:paraId="6C449EB9">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2EBFDAEA">
      <w:pPr>
        <w:spacing w:line="360" w:lineRule="auto"/>
        <w:rPr>
          <w:rFonts w:hint="eastAsia" w:ascii="宋体" w:hAnsi="宋体"/>
          <w:color w:val="auto"/>
          <w:szCs w:val="21"/>
          <w:highlight w:val="none"/>
        </w:rPr>
      </w:pPr>
      <w:r>
        <w:rPr>
          <w:rFonts w:hint="eastAsia" w:ascii="宋体" w:hAnsi="宋体"/>
          <w:color w:val="auto"/>
          <w:szCs w:val="21"/>
          <w:highlight w:val="none"/>
        </w:rPr>
        <w:t>保证人：</w:t>
      </w:r>
    </w:p>
    <w:p w14:paraId="49CEB5AD">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2BF1E863">
      <w:pPr>
        <w:spacing w:line="360" w:lineRule="auto"/>
        <w:rPr>
          <w:rFonts w:hint="eastAsia" w:ascii="宋体" w:hAnsi="宋体"/>
          <w:color w:val="auto"/>
          <w:szCs w:val="21"/>
          <w:highlight w:val="none"/>
        </w:rPr>
      </w:pPr>
    </w:p>
    <w:p w14:paraId="3DA7292D">
      <w:pPr>
        <w:spacing w:line="360" w:lineRule="auto"/>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（发包人名称）： </w:t>
      </w:r>
    </w:p>
    <w:p w14:paraId="6312759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（以下简称“发包人”）与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（以下简称“承包人”）于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（以下简称“主合同”），我方即保证人基于承包人的请求，同意就承包人按照合同约定正确和合理地为合同目的使用预付款，不将预付款挪作他用，向贵方提供如下保证担保（以下简称“本保证担保”）。 </w:t>
      </w:r>
    </w:p>
    <w:p w14:paraId="648082F2">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一、保证担保的范围及保证担保金额</w:t>
      </w:r>
    </w:p>
    <w:p w14:paraId="5A065EE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1.保证担保范围：申请人未按照合同约定正确和合理地为合同目的使用预付款，应当向贵方承担的违约责任和赔偿因此造成的损失、利息、律师费、诉讼费用等实现债权的费用。</w:t>
      </w:r>
    </w:p>
    <w:p w14:paraId="46EF2F3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2.保证担保金额最高不超过人民币（大写）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5C57BF2">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二、保证担保的方式及保证期间 </w:t>
      </w:r>
    </w:p>
    <w:p w14:paraId="4CCFC13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1.保证担保方式：连带责任保证。</w:t>
      </w:r>
    </w:p>
    <w:p w14:paraId="0AA7446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2.保证期间：自出具之日起至发包人全额扣回预付款后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40400234">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三、承担保证担保责任的形式</w:t>
      </w:r>
    </w:p>
    <w:p w14:paraId="1FB02F5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发生应承担保证责任情形的，我方在保证金额内向贵方支付，并赔偿因此给贵方造成的损失，以及利息和律师费、诉讼费用等实现债权的费用。</w:t>
      </w:r>
    </w:p>
    <w:p w14:paraId="49996323">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四、代偿的安排 </w:t>
      </w:r>
    </w:p>
    <w:p w14:paraId="2A09E04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26C8227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2.我方收到贵方的书面索赔通知及相应证明材料后，在</w:t>
      </w:r>
      <w:r>
        <w:rPr>
          <w:rFonts w:hint="eastAsia" w:ascii="宋体" w:hAnsi="宋体"/>
          <w:color w:val="auto"/>
          <w:szCs w:val="21"/>
          <w:highlight w:val="none"/>
          <w:u w:val="single"/>
        </w:rPr>
        <w:t xml:space="preserve">    </w:t>
      </w:r>
      <w:r>
        <w:rPr>
          <w:rFonts w:hint="eastAsia" w:ascii="宋体" w:hAnsi="宋体"/>
          <w:color w:val="auto"/>
          <w:szCs w:val="21"/>
          <w:highlight w:val="none"/>
        </w:rPr>
        <w:t>工作日内进行核定后按照本保函的承诺承担保证责任。</w:t>
      </w:r>
    </w:p>
    <w:p w14:paraId="3FF798EA">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五、保证担保责任的解除 </w:t>
      </w:r>
    </w:p>
    <w:p w14:paraId="1E2F296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1.保证期间届满贵方未向我方书面主张保证责任的，自保证期间届满次日起，我方解除保证责任。 </w:t>
      </w:r>
    </w:p>
    <w:p w14:paraId="6A18844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2.我方按照本保证担保向贵方履行了保证担保责任后，自我方向贵方支付的金额达到最高保证担保金额之日起，保证担保责任解除。 </w:t>
      </w:r>
    </w:p>
    <w:p w14:paraId="6CF6829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3.按照法律法规的规定应解除我方保证担保责任的其它情形的，我方在本保证担保项下的保证担保责任亦解除。 </w:t>
      </w:r>
    </w:p>
    <w:p w14:paraId="07F4FF7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1763F9B6">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六、免责条款 </w:t>
      </w:r>
    </w:p>
    <w:p w14:paraId="6DC8F52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1.因贵方原因致使发生应承担保证责任情形的，我方不承担保证担保责任。 </w:t>
      </w:r>
    </w:p>
    <w:p w14:paraId="5669960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2.依照法律规定或贵方与承包人的另行约定，免除承包人部分或全部义务的，我方亦免除其相应的保证担保责任。 </w:t>
      </w:r>
    </w:p>
    <w:p w14:paraId="5CB26E7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3.因不可抗力造成发生应承担保证责任情形的，我方不承担保证担保责任。</w:t>
      </w:r>
    </w:p>
    <w:p w14:paraId="6B91B4DE">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七、其他</w:t>
      </w:r>
    </w:p>
    <w:p w14:paraId="6BF4AF9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1.本保证担保项下的权利不得转让，不得设定担保。贵方未经我方书面同意转让本保证担保或其项下任何权利，对我方不发生法律效力。 </w:t>
      </w:r>
    </w:p>
    <w:p w14:paraId="5BCE548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2.本保证担保适用的法律为中华人民共和国法律，争议裁判管辖地为中华人民共和国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0CF584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3.本保证担保自我方法定代表人或授权代表签字并加盖公章之日起生效。 </w:t>
      </w:r>
    </w:p>
    <w:p w14:paraId="325CF4FD">
      <w:pPr>
        <w:spacing w:line="360" w:lineRule="auto"/>
        <w:ind w:firstLine="420" w:firstLineChars="200"/>
        <w:rPr>
          <w:rFonts w:hint="eastAsia" w:ascii="宋体" w:hAnsi="宋体"/>
          <w:color w:val="auto"/>
          <w:szCs w:val="21"/>
          <w:highlight w:val="none"/>
        </w:rPr>
      </w:pPr>
    </w:p>
    <w:p w14:paraId="52D923F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保 证 人：                              （公章） </w:t>
      </w:r>
    </w:p>
    <w:p w14:paraId="083357B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58F01C6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2F547DC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6ACE719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34098CB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7AD824B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时    间：      年      月        日</w:t>
      </w:r>
    </w:p>
    <w:p w14:paraId="6EB52BA9">
      <w:pPr>
        <w:spacing w:line="360" w:lineRule="auto"/>
        <w:ind w:firstLine="420" w:firstLineChars="200"/>
        <w:rPr>
          <w:rFonts w:hint="eastAsia" w:ascii="宋体" w:hAnsi="宋体"/>
          <w:color w:val="auto"/>
          <w:szCs w:val="21"/>
          <w:highlight w:val="none"/>
        </w:rPr>
      </w:pPr>
    </w:p>
    <w:p w14:paraId="6851C1B4">
      <w:pPr>
        <w:spacing w:line="360" w:lineRule="auto"/>
        <w:ind w:firstLine="420" w:firstLineChars="200"/>
        <w:rPr>
          <w:rFonts w:hint="eastAsia" w:ascii="宋体" w:hAnsi="宋体"/>
          <w:color w:val="auto"/>
          <w:szCs w:val="21"/>
          <w:highlight w:val="none"/>
        </w:rPr>
      </w:pPr>
    </w:p>
    <w:p w14:paraId="10A88784">
      <w:pPr>
        <w:spacing w:line="360" w:lineRule="auto"/>
        <w:ind w:firstLine="420" w:firstLineChars="200"/>
        <w:rPr>
          <w:rFonts w:hint="eastAsia" w:ascii="宋体" w:hAnsi="宋体"/>
          <w:color w:val="auto"/>
          <w:szCs w:val="21"/>
          <w:highlight w:val="none"/>
        </w:rPr>
      </w:pPr>
    </w:p>
    <w:p w14:paraId="7C853CE2">
      <w:pPr>
        <w:spacing w:line="360" w:lineRule="auto"/>
        <w:ind w:firstLine="420" w:firstLineChars="200"/>
        <w:rPr>
          <w:rFonts w:hint="eastAsia" w:ascii="宋体" w:hAnsi="宋体"/>
          <w:color w:val="auto"/>
          <w:szCs w:val="21"/>
          <w:highlight w:val="none"/>
        </w:rPr>
      </w:pPr>
    </w:p>
    <w:p w14:paraId="2304E9EC">
      <w:pPr>
        <w:spacing w:line="360" w:lineRule="auto"/>
        <w:ind w:firstLine="420" w:firstLineChars="200"/>
        <w:rPr>
          <w:rFonts w:hint="eastAsia" w:ascii="宋体" w:hAnsi="宋体"/>
          <w:color w:val="auto"/>
          <w:szCs w:val="21"/>
          <w:highlight w:val="none"/>
        </w:rPr>
      </w:pPr>
    </w:p>
    <w:p w14:paraId="5C231C18">
      <w:pPr>
        <w:spacing w:line="360" w:lineRule="auto"/>
        <w:ind w:firstLine="420" w:firstLineChars="200"/>
        <w:rPr>
          <w:rFonts w:hint="eastAsia" w:ascii="宋体" w:hAnsi="宋体"/>
          <w:color w:val="auto"/>
          <w:szCs w:val="21"/>
          <w:highlight w:val="none"/>
        </w:rPr>
      </w:pPr>
    </w:p>
    <w:p w14:paraId="051F74B2">
      <w:pPr>
        <w:spacing w:line="360" w:lineRule="auto"/>
        <w:ind w:firstLine="420" w:firstLineChars="200"/>
        <w:rPr>
          <w:rFonts w:hint="eastAsia" w:ascii="宋体" w:hAnsi="宋体"/>
          <w:color w:val="auto"/>
          <w:szCs w:val="21"/>
          <w:highlight w:val="none"/>
        </w:rPr>
      </w:pPr>
    </w:p>
    <w:p w14:paraId="7E803697">
      <w:pPr>
        <w:pStyle w:val="513"/>
        <w:spacing w:line="440" w:lineRule="exact"/>
        <w:rPr>
          <w:rFonts w:ascii="仿宋" w:hAnsi="仿宋" w:eastAsia="仿宋"/>
          <w:color w:val="auto"/>
          <w:sz w:val="30"/>
          <w:szCs w:val="30"/>
          <w:highlight w:val="none"/>
        </w:rPr>
      </w:pPr>
      <w:r>
        <w:rPr>
          <w:rFonts w:ascii="仿宋" w:hAnsi="仿宋" w:eastAsia="仿宋"/>
          <w:color w:val="auto"/>
          <w:sz w:val="30"/>
          <w:szCs w:val="30"/>
          <w:highlight w:val="none"/>
        </w:rPr>
        <w:t>附件</w:t>
      </w:r>
      <w:r>
        <w:rPr>
          <w:rFonts w:hint="eastAsia" w:ascii="仿宋" w:hAnsi="仿宋" w:eastAsia="仿宋"/>
          <w:color w:val="auto"/>
          <w:sz w:val="30"/>
          <w:szCs w:val="30"/>
          <w:highlight w:val="none"/>
        </w:rPr>
        <w:t>9</w:t>
      </w:r>
      <w:r>
        <w:rPr>
          <w:rFonts w:ascii="仿宋" w:hAnsi="仿宋" w:eastAsia="仿宋"/>
          <w:color w:val="auto"/>
          <w:sz w:val="30"/>
          <w:szCs w:val="30"/>
          <w:highlight w:val="none"/>
        </w:rPr>
        <w:t xml:space="preserve">:  </w:t>
      </w:r>
    </w:p>
    <w:p w14:paraId="75D5D23C">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2E4C58C7">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（独立保函）</w:t>
      </w:r>
    </w:p>
    <w:p w14:paraId="617B9EB2">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0CB4AF27">
      <w:pPr>
        <w:spacing w:line="360" w:lineRule="auto"/>
        <w:rPr>
          <w:rFonts w:hint="eastAsia" w:ascii="宋体" w:hAnsi="宋体"/>
          <w:color w:val="auto"/>
          <w:szCs w:val="21"/>
          <w:highlight w:val="none"/>
        </w:rPr>
      </w:pPr>
      <w:r>
        <w:rPr>
          <w:rFonts w:hint="eastAsia" w:ascii="宋体" w:hAnsi="宋体"/>
          <w:color w:val="auto"/>
          <w:szCs w:val="21"/>
          <w:highlight w:val="none"/>
        </w:rPr>
        <w:t>申请人：</w:t>
      </w:r>
    </w:p>
    <w:p w14:paraId="5AB2986E">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058DCD91">
      <w:pPr>
        <w:spacing w:line="360" w:lineRule="auto"/>
        <w:rPr>
          <w:rFonts w:hint="eastAsia" w:ascii="宋体" w:hAnsi="宋体"/>
          <w:color w:val="auto"/>
          <w:szCs w:val="21"/>
          <w:highlight w:val="none"/>
        </w:rPr>
      </w:pPr>
      <w:r>
        <w:rPr>
          <w:rFonts w:hint="eastAsia" w:ascii="宋体" w:hAnsi="宋体"/>
          <w:color w:val="auto"/>
          <w:szCs w:val="21"/>
          <w:highlight w:val="none"/>
        </w:rPr>
        <w:t>受益人：</w:t>
      </w:r>
    </w:p>
    <w:p w14:paraId="2CB83B89">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63A2A0BB">
      <w:pPr>
        <w:spacing w:line="360" w:lineRule="auto"/>
        <w:rPr>
          <w:rFonts w:hint="eastAsia" w:ascii="宋体" w:hAnsi="宋体"/>
          <w:color w:val="auto"/>
          <w:szCs w:val="21"/>
          <w:highlight w:val="none"/>
        </w:rPr>
      </w:pPr>
      <w:r>
        <w:rPr>
          <w:rFonts w:hint="eastAsia" w:ascii="宋体" w:hAnsi="宋体"/>
          <w:color w:val="auto"/>
          <w:szCs w:val="21"/>
          <w:highlight w:val="none"/>
        </w:rPr>
        <w:t>开立人：</w:t>
      </w:r>
    </w:p>
    <w:p w14:paraId="6E5E8048">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34E131DD">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14:paraId="3B4C0FB0">
      <w:pPr>
        <w:spacing w:line="360" w:lineRule="auto"/>
        <w:rPr>
          <w:rFonts w:hint="eastAsia" w:ascii="宋体" w:hAnsi="宋体"/>
          <w:color w:val="auto"/>
          <w:szCs w:val="21"/>
          <w:highlight w:val="none"/>
        </w:rPr>
      </w:pPr>
      <w:bookmarkStart w:id="1822" w:name="_Hlk40355074"/>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（受益人名称）： </w:t>
      </w:r>
    </w:p>
    <w:bookmarkEnd w:id="1822"/>
    <w:p w14:paraId="465BCC1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（以下简称“受益人”）与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（以下简称“申请人”）于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基础合同”），我方（即“开立人”）根据基础合同了解到申请人为基础合同项下之发包人，受益人为基础合同项下之承包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14:paraId="6820EDE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一、本保函担保范围：申请人未履行基础合同约定的工程款支付义务，应当向贵方承担的违约责任和赔偿因此造成的损失、利息、律师费、诉讼费用等实现债权的费用。</w:t>
      </w:r>
    </w:p>
    <w:p w14:paraId="250C831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二、本保函担保金额最高不超过人民币（大写）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4FFCB9D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三、本保函有效期自开立之日起至基础合同约定的除工程质量保修金以外的全部工程结算款项支付之日后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0F41F27E">
      <w:pPr>
        <w:spacing w:line="360" w:lineRule="auto"/>
        <w:ind w:firstLine="480"/>
        <w:rPr>
          <w:rFonts w:hint="eastAsia" w:ascii="宋体" w:hAnsi="宋体"/>
          <w:color w:val="auto"/>
          <w:szCs w:val="21"/>
          <w:highlight w:val="none"/>
        </w:rPr>
      </w:pPr>
      <w:r>
        <w:rPr>
          <w:rFonts w:hint="eastAsia" w:ascii="宋体" w:hAnsi="宋体"/>
          <w:color w:val="auto"/>
          <w:szCs w:val="21"/>
          <w:highlight w:val="none"/>
        </w:rPr>
        <w:t>四、我方承诺，在收到受益人发来的书面付款通知后的</w:t>
      </w:r>
      <w:r>
        <w:rPr>
          <w:rFonts w:hint="eastAsia" w:ascii="宋体" w:hAnsi="宋体"/>
          <w:color w:val="auto"/>
          <w:szCs w:val="21"/>
          <w:highlight w:val="none"/>
          <w:u w:val="single"/>
        </w:rPr>
        <w:t xml:space="preserve">    </w:t>
      </w:r>
      <w:r>
        <w:rPr>
          <w:rFonts w:hint="eastAsia" w:ascii="宋体" w:hAnsi="宋体"/>
          <w:color w:val="auto"/>
          <w:szCs w:val="21"/>
          <w:highlight w:val="none"/>
        </w:rPr>
        <w:t>日内无条件支付，前述书面付款通知即为付款要求之单据，且应满足以下要求：</w:t>
      </w:r>
    </w:p>
    <w:p w14:paraId="4D2222B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（1）付款通知到达的日期在本保函的有效期内；</w:t>
      </w:r>
    </w:p>
    <w:p w14:paraId="75BA465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（2）载明要求支付的金额；</w:t>
      </w:r>
    </w:p>
    <w:p w14:paraId="1AB23BE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（3）载明申请人违反合同义务的条款和内容；</w:t>
      </w:r>
    </w:p>
    <w:p w14:paraId="22E4332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（4）声明不存在合同文件约定或我国法律规定免除申请人或开立人支付责任的情形；</w:t>
      </w:r>
    </w:p>
    <w:p w14:paraId="591CAE5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（5）付款通知应在本保函有效期内到达的地址是：</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4A4356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受益人发出的书面付款通知应由其为鉴明受益人法定代表人（负责人）或授权代理人签字并加盖公章。</w:t>
      </w:r>
    </w:p>
    <w:p w14:paraId="7279117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五、本保函项下的权利不得转让，不得设定担保。贵方未经我方书面同意转 让本保函或其项下任何权利，对我方不发生法律效力。 </w:t>
      </w:r>
    </w:p>
    <w:p w14:paraId="1E0457B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六、与本保函有关的基础合同不成立、不生效、无效、被撤销、被解除，不影响本保函的独立有效。 </w:t>
      </w:r>
    </w:p>
    <w:p w14:paraId="5CC0B16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41D4C40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八、本保函适用的法律为中华人民共和国法律，争议裁判管辖地为中华人民共和国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E2C685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九、本保函自我方法定代表人</w:t>
      </w:r>
      <w:bookmarkStart w:id="1823" w:name="_Hlk58487855"/>
      <w:r>
        <w:rPr>
          <w:rFonts w:hint="eastAsia" w:ascii="宋体" w:hAnsi="宋体"/>
          <w:color w:val="auto"/>
          <w:szCs w:val="21"/>
          <w:highlight w:val="none"/>
        </w:rPr>
        <w:t>或授权代表</w:t>
      </w:r>
      <w:bookmarkEnd w:id="1823"/>
      <w:r>
        <w:rPr>
          <w:rFonts w:hint="eastAsia" w:ascii="宋体" w:hAnsi="宋体"/>
          <w:color w:val="auto"/>
          <w:szCs w:val="21"/>
          <w:highlight w:val="none"/>
        </w:rPr>
        <w:t xml:space="preserve">签字并加盖公章之日起生效。 </w:t>
      </w:r>
    </w:p>
    <w:p w14:paraId="161D27A0">
      <w:pPr>
        <w:spacing w:line="360" w:lineRule="auto"/>
        <w:ind w:firstLine="420" w:firstLineChars="200"/>
        <w:rPr>
          <w:rFonts w:hint="eastAsia" w:ascii="宋体" w:hAnsi="宋体"/>
          <w:color w:val="auto"/>
          <w:szCs w:val="21"/>
          <w:highlight w:val="none"/>
        </w:rPr>
      </w:pPr>
    </w:p>
    <w:p w14:paraId="5954D114">
      <w:pPr>
        <w:spacing w:line="360" w:lineRule="auto"/>
        <w:ind w:firstLine="420" w:firstLineChars="200"/>
        <w:rPr>
          <w:rFonts w:hint="eastAsia" w:ascii="宋体" w:hAnsi="宋体"/>
          <w:color w:val="auto"/>
          <w:szCs w:val="21"/>
          <w:highlight w:val="none"/>
        </w:rPr>
      </w:pPr>
    </w:p>
    <w:p w14:paraId="750F5F7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开 立 人：                              （公章） </w:t>
      </w:r>
    </w:p>
    <w:p w14:paraId="503CB63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41725A9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0F58E89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1710954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63DFE84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151B03E9">
      <w:pPr>
        <w:spacing w:line="360" w:lineRule="auto"/>
        <w:ind w:firstLine="420" w:firstLineChars="200"/>
        <w:rPr>
          <w:rFonts w:hint="eastAsia"/>
          <w:color w:val="auto"/>
          <w:szCs w:val="21"/>
          <w:highlight w:val="none"/>
        </w:rPr>
      </w:pPr>
      <w:r>
        <w:rPr>
          <w:rFonts w:hint="eastAsia" w:ascii="宋体" w:hAnsi="宋体"/>
          <w:color w:val="auto"/>
          <w:szCs w:val="21"/>
          <w:highlight w:val="none"/>
        </w:rPr>
        <w:t>开立时间：      年      月        日</w:t>
      </w:r>
    </w:p>
    <w:p w14:paraId="1113477C">
      <w:pPr>
        <w:spacing w:line="360" w:lineRule="auto"/>
        <w:jc w:val="center"/>
        <w:rPr>
          <w:rFonts w:ascii="宋体" w:hAnsi="宋体"/>
          <w:b/>
          <w:bCs/>
          <w:color w:val="auto"/>
          <w:sz w:val="32"/>
          <w:szCs w:val="32"/>
          <w:highlight w:val="none"/>
        </w:rPr>
      </w:pPr>
      <w:r>
        <w:rPr>
          <w:rFonts w:eastAsia="仿宋_GB2312"/>
          <w:color w:val="auto"/>
          <w:szCs w:val="21"/>
          <w:highlight w:val="none"/>
        </w:rPr>
        <w:t xml:space="preserve"> </w:t>
      </w:r>
      <w:r>
        <w:rPr>
          <w:rFonts w:eastAsia="仿宋_GB2312"/>
          <w:color w:val="auto"/>
          <w:sz w:val="30"/>
          <w:szCs w:val="30"/>
          <w:highlight w:val="none"/>
        </w:rPr>
        <w:br w:type="page"/>
      </w:r>
      <w:r>
        <w:rPr>
          <w:rFonts w:hint="eastAsia" w:ascii="宋体" w:hAnsi="宋体"/>
          <w:b/>
          <w:bCs/>
          <w:color w:val="auto"/>
          <w:sz w:val="32"/>
          <w:szCs w:val="32"/>
          <w:highlight w:val="none"/>
        </w:rPr>
        <w:t>支付保函示范文本</w:t>
      </w:r>
    </w:p>
    <w:p w14:paraId="0D3FE866">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（非独立保函）</w:t>
      </w:r>
    </w:p>
    <w:p w14:paraId="3C434DD2">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0AD2E3BA">
      <w:pPr>
        <w:spacing w:line="400" w:lineRule="exact"/>
        <w:rPr>
          <w:rFonts w:hint="eastAsia" w:ascii="宋体" w:hAnsi="宋体"/>
          <w:color w:val="auto"/>
          <w:szCs w:val="21"/>
          <w:highlight w:val="none"/>
        </w:rPr>
      </w:pPr>
      <w:r>
        <w:rPr>
          <w:rFonts w:hint="eastAsia" w:ascii="宋体" w:hAnsi="宋体"/>
          <w:color w:val="auto"/>
          <w:szCs w:val="21"/>
          <w:highlight w:val="none"/>
        </w:rPr>
        <w:t>发包人：</w:t>
      </w:r>
    </w:p>
    <w:p w14:paraId="433E4FE9">
      <w:pPr>
        <w:spacing w:line="400" w:lineRule="exact"/>
        <w:rPr>
          <w:rFonts w:hint="eastAsia" w:ascii="宋体" w:hAnsi="宋体"/>
          <w:color w:val="auto"/>
          <w:szCs w:val="21"/>
          <w:highlight w:val="none"/>
        </w:rPr>
      </w:pPr>
      <w:r>
        <w:rPr>
          <w:rFonts w:hint="eastAsia" w:ascii="宋体" w:hAnsi="宋体"/>
          <w:color w:val="auto"/>
          <w:szCs w:val="21"/>
          <w:highlight w:val="none"/>
        </w:rPr>
        <w:t>地址：</w:t>
      </w:r>
    </w:p>
    <w:p w14:paraId="5C99BD18">
      <w:pPr>
        <w:spacing w:line="400" w:lineRule="exact"/>
        <w:rPr>
          <w:rFonts w:hint="eastAsia" w:ascii="宋体" w:hAnsi="宋体"/>
          <w:color w:val="auto"/>
          <w:szCs w:val="21"/>
          <w:highlight w:val="none"/>
        </w:rPr>
      </w:pPr>
      <w:r>
        <w:rPr>
          <w:rFonts w:hint="eastAsia" w:ascii="宋体" w:hAnsi="宋体"/>
          <w:color w:val="auto"/>
          <w:szCs w:val="21"/>
          <w:highlight w:val="none"/>
        </w:rPr>
        <w:t xml:space="preserve">担保权人/承包人： </w:t>
      </w:r>
    </w:p>
    <w:p w14:paraId="77E6CEA8">
      <w:pPr>
        <w:spacing w:line="400" w:lineRule="exact"/>
        <w:rPr>
          <w:rFonts w:hint="eastAsia" w:ascii="宋体" w:hAnsi="宋体"/>
          <w:color w:val="auto"/>
          <w:szCs w:val="21"/>
          <w:highlight w:val="none"/>
        </w:rPr>
      </w:pPr>
      <w:r>
        <w:rPr>
          <w:rFonts w:hint="eastAsia" w:ascii="宋体" w:hAnsi="宋体"/>
          <w:color w:val="auto"/>
          <w:szCs w:val="21"/>
          <w:highlight w:val="none"/>
        </w:rPr>
        <w:t>地址：</w:t>
      </w:r>
    </w:p>
    <w:p w14:paraId="42DF8665">
      <w:pPr>
        <w:spacing w:line="400" w:lineRule="exact"/>
        <w:rPr>
          <w:rFonts w:hint="eastAsia" w:ascii="宋体" w:hAnsi="宋体"/>
          <w:color w:val="auto"/>
          <w:szCs w:val="21"/>
          <w:highlight w:val="none"/>
        </w:rPr>
      </w:pPr>
      <w:r>
        <w:rPr>
          <w:rFonts w:hint="eastAsia" w:ascii="宋体" w:hAnsi="宋体"/>
          <w:color w:val="auto"/>
          <w:szCs w:val="21"/>
          <w:highlight w:val="none"/>
        </w:rPr>
        <w:t>保证人：</w:t>
      </w:r>
    </w:p>
    <w:p w14:paraId="0D40F4B3">
      <w:pPr>
        <w:spacing w:line="400" w:lineRule="exact"/>
        <w:rPr>
          <w:rFonts w:hint="eastAsia" w:ascii="宋体" w:hAnsi="宋体"/>
          <w:color w:val="auto"/>
          <w:szCs w:val="21"/>
          <w:highlight w:val="none"/>
        </w:rPr>
      </w:pPr>
      <w:r>
        <w:rPr>
          <w:rFonts w:hint="eastAsia" w:ascii="宋体" w:hAnsi="宋体"/>
          <w:color w:val="auto"/>
          <w:szCs w:val="21"/>
          <w:highlight w:val="none"/>
        </w:rPr>
        <w:t>地址：</w:t>
      </w:r>
    </w:p>
    <w:p w14:paraId="78CAA3C7">
      <w:pPr>
        <w:spacing w:line="400" w:lineRule="exact"/>
        <w:rPr>
          <w:rFonts w:hint="eastAsia" w:ascii="宋体" w:hAnsi="宋体"/>
          <w:color w:val="auto"/>
          <w:szCs w:val="21"/>
          <w:highlight w:val="none"/>
        </w:rPr>
      </w:pPr>
    </w:p>
    <w:p w14:paraId="0FDC7EE0">
      <w:pPr>
        <w:spacing w:line="400" w:lineRule="exac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（承包人名称）： </w:t>
      </w:r>
    </w:p>
    <w:p w14:paraId="7B50D92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（以下简称“发包人”）与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（以下简称“承包人”）于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主合同”），我方即保证人基于发包人的请求，同意就发包人履行与贵方签订的主合同项下的工程款（指主合同约定的除工程质量保修金以外的全部工程结算款项）付款义务，向贵方提供如下保证担保（以下简称“本保证担保”）。 </w:t>
      </w:r>
    </w:p>
    <w:p w14:paraId="510D3DAB">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一、保证担保的范围及保证担保金额</w:t>
      </w:r>
    </w:p>
    <w:p w14:paraId="1F3D372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1.保证担保范围：申请人未履行主合同约定的工程款支付义务，应当向贵方承担的违约责任和赔偿因此造成的损失、利息、律师费、诉讼费用等实现债权的费用。</w:t>
      </w:r>
    </w:p>
    <w:p w14:paraId="35823F7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2.保证担保金额最高不超过人民币（大写）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1CE232C9">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二、保证担保的方式及保证期间 </w:t>
      </w:r>
    </w:p>
    <w:p w14:paraId="6F44D3D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1.保证担保方式：连带责任保证。</w:t>
      </w:r>
    </w:p>
    <w:p w14:paraId="184526D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2.保证期间：自出具之日起至主合同约定的除工程质量保修金以外的工程款支付之日后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14AAE79A">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三、承担保证担保责任的形式</w:t>
      </w:r>
    </w:p>
    <w:p w14:paraId="506678D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发包人未按合同约定向贵方支付主合同项下工程款的，由我方在保证金额内代为支付，并赔偿因此给贵方造成的损失，以及利息和律师费、诉讼费用等实现债权的费用。</w:t>
      </w:r>
    </w:p>
    <w:p w14:paraId="2EB9437E">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四、代偿的安排 </w:t>
      </w:r>
    </w:p>
    <w:p w14:paraId="72194D3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1.贵方要求我方承担保证责任的，应向我方发出书面索赔通知及发包人未支付主合同约定工程款的证明材料。索赔通知应写明要求索赔的金额，支付款项应到达的帐号。</w:t>
      </w:r>
    </w:p>
    <w:p w14:paraId="5B6DEDD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115A7D7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3.我方收到贵方的书面索赔通知及相应证明材料后，在</w:t>
      </w:r>
      <w:r>
        <w:rPr>
          <w:rFonts w:hint="eastAsia" w:ascii="宋体" w:hAnsi="宋体"/>
          <w:color w:val="auto"/>
          <w:szCs w:val="21"/>
          <w:highlight w:val="none"/>
          <w:u w:val="single"/>
        </w:rPr>
        <w:t xml:space="preserve">     </w:t>
      </w:r>
      <w:r>
        <w:rPr>
          <w:rFonts w:hint="eastAsia" w:ascii="宋体" w:hAnsi="宋体"/>
          <w:color w:val="auto"/>
          <w:szCs w:val="21"/>
          <w:highlight w:val="none"/>
        </w:rPr>
        <w:t>工作日内进行核定后按照本保函的承诺承担保证责任。</w:t>
      </w:r>
    </w:p>
    <w:p w14:paraId="19CABFAC">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五、保证担保责任的解除 </w:t>
      </w:r>
    </w:p>
    <w:p w14:paraId="1E5DD5D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1.保证期间届满贵方未向我方书面主张保证责任的，自保证期间届满次日起，我方解除保证责任。 </w:t>
      </w:r>
    </w:p>
    <w:p w14:paraId="2DA404A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2.我方按照本保证担保向贵方履行了保证担保责任后，自我方向贵方支付的金额达到最高保证担保金额之日起，保证担保责任解除。 </w:t>
      </w:r>
    </w:p>
    <w:p w14:paraId="5DA9D77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3.按照法律法规的规定应解除我方保证担保责任的其它情形的，我方在本保证担保项下的保证担保责任亦解除。 </w:t>
      </w:r>
    </w:p>
    <w:p w14:paraId="52FDCC5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6054FEEB">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六、免责条款 </w:t>
      </w:r>
    </w:p>
    <w:p w14:paraId="70C9E93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1.因贵方原因致使发包人未履行主合同项下工程款付款义务的，我方不承担保证担保责任。 </w:t>
      </w:r>
    </w:p>
    <w:p w14:paraId="093FCCA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2.依照法律规定或贵方与发包人的另行约定，免除发包人部分或全部义务的，我方亦免除其相应的保证担保责任。 </w:t>
      </w:r>
    </w:p>
    <w:p w14:paraId="4ECBC69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3.因不可抗力造成发包人未履行主合同项下工程款付款义务的，我方不承担保证担保责任。</w:t>
      </w:r>
    </w:p>
    <w:p w14:paraId="7E9FAE52">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七、其他</w:t>
      </w:r>
    </w:p>
    <w:p w14:paraId="6E15C59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1.本保证担保项下的权利不得转让，不得设定担保。贵方未经我方书面同意转让本保证担保或其项下任何权利，对我方不发生法律效力。 </w:t>
      </w:r>
    </w:p>
    <w:p w14:paraId="3C3E563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2.本保证担保适用的法律为中华人民共和国法律，争议裁判管辖地为中华人民共和国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1C335DB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3.本保证担保自我方法定代表人或授权代表签字并加盖公章之日起生效。 </w:t>
      </w:r>
    </w:p>
    <w:p w14:paraId="2C6FC180">
      <w:pPr>
        <w:spacing w:line="400" w:lineRule="exact"/>
        <w:ind w:firstLine="420" w:firstLineChars="200"/>
        <w:rPr>
          <w:rFonts w:hint="eastAsia" w:ascii="宋体" w:hAnsi="宋体"/>
          <w:color w:val="auto"/>
          <w:szCs w:val="21"/>
          <w:highlight w:val="none"/>
        </w:rPr>
      </w:pPr>
    </w:p>
    <w:p w14:paraId="13EE982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保 证 人：                              （公章） </w:t>
      </w:r>
    </w:p>
    <w:p w14:paraId="09B7FA0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41B0876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1750B2C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3FD40CD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6435565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7B71310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时    间：      年      月        日</w:t>
      </w:r>
    </w:p>
    <w:p w14:paraId="5E00273B">
      <w:pPr>
        <w:pStyle w:val="397"/>
        <w:ind w:left="63" w:right="63"/>
        <w:jc w:val="both"/>
        <w:rPr>
          <w:color w:val="auto"/>
          <w:highlight w:val="none"/>
        </w:rPr>
      </w:pPr>
    </w:p>
    <w:p w14:paraId="7E2D3288">
      <w:pPr>
        <w:pStyle w:val="397"/>
        <w:ind w:left="63" w:right="63"/>
        <w:rPr>
          <w:color w:val="auto"/>
          <w:highlight w:val="none"/>
        </w:rPr>
      </w:pPr>
    </w:p>
    <w:p w14:paraId="5D717D6E">
      <w:pPr>
        <w:pStyle w:val="397"/>
        <w:ind w:left="63" w:right="63"/>
        <w:rPr>
          <w:color w:val="auto"/>
          <w:highlight w:val="none"/>
        </w:rPr>
      </w:pPr>
    </w:p>
    <w:p w14:paraId="04EB4E85">
      <w:pPr>
        <w:pStyle w:val="397"/>
        <w:ind w:left="63" w:right="63"/>
        <w:rPr>
          <w:color w:val="auto"/>
          <w:highlight w:val="none"/>
        </w:rPr>
      </w:pPr>
    </w:p>
    <w:p w14:paraId="752BDCEF">
      <w:pPr>
        <w:pStyle w:val="397"/>
        <w:ind w:left="63" w:right="63"/>
        <w:rPr>
          <w:color w:val="auto"/>
          <w:highlight w:val="none"/>
        </w:rPr>
      </w:pPr>
    </w:p>
    <w:p w14:paraId="10E84285">
      <w:pPr>
        <w:jc w:val="left"/>
        <w:rPr>
          <w:rFonts w:hint="eastAsia" w:hAnsi="宋体" w:cs="宋体"/>
          <w:color w:val="auto"/>
          <w:sz w:val="30"/>
          <w:szCs w:val="30"/>
          <w:highlight w:val="none"/>
        </w:rPr>
      </w:pPr>
      <w:r>
        <w:rPr>
          <w:rFonts w:hint="eastAsia" w:hAnsi="宋体" w:cs="宋体"/>
          <w:color w:val="auto"/>
          <w:sz w:val="30"/>
          <w:szCs w:val="30"/>
          <w:highlight w:val="none"/>
        </w:rPr>
        <w:t>附件10：</w:t>
      </w:r>
    </w:p>
    <w:p w14:paraId="28E3206A">
      <w:pPr>
        <w:jc w:val="center"/>
        <w:rPr>
          <w:rFonts w:hint="eastAsia"/>
          <w:b/>
          <w:color w:val="auto"/>
          <w:sz w:val="36"/>
          <w:szCs w:val="36"/>
          <w:highlight w:val="none"/>
        </w:rPr>
      </w:pPr>
      <w:r>
        <w:rPr>
          <w:rFonts w:hint="eastAsia"/>
          <w:b/>
          <w:color w:val="auto"/>
          <w:sz w:val="36"/>
          <w:szCs w:val="36"/>
          <w:highlight w:val="none"/>
        </w:rPr>
        <w:t>预付款支付申请（核准）表</w:t>
      </w:r>
    </w:p>
    <w:p w14:paraId="599DEACE">
      <w:pPr>
        <w:rPr>
          <w:rFonts w:hint="eastAsia"/>
          <w:color w:val="auto"/>
          <w:sz w:val="24"/>
          <w:highlight w:val="none"/>
        </w:rPr>
      </w:pPr>
      <w:r>
        <w:rPr>
          <w:rFonts w:hint="eastAsia"/>
          <w:color w:val="auto"/>
          <w:sz w:val="24"/>
          <w:highlight w:val="none"/>
        </w:rPr>
        <w:t>工程名称：                                             编号：</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8"/>
        <w:gridCol w:w="4697"/>
      </w:tblGrid>
      <w:tr w14:paraId="2561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noWrap w:val="0"/>
            <w:vAlign w:val="top"/>
          </w:tcPr>
          <w:p w14:paraId="51236814">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35A32B84">
            <w:pPr>
              <w:spacing w:line="400" w:lineRule="exact"/>
              <w:ind w:left="-4" w:leftChars="-2" w:firstLine="315" w:firstLineChars="150"/>
              <w:rPr>
                <w:rFonts w:hint="eastAsia"/>
                <w:color w:val="auto"/>
                <w:highlight w:val="none"/>
              </w:rPr>
            </w:pPr>
            <w:r>
              <w:rPr>
                <w:rFonts w:hint="eastAsia"/>
                <w:color w:val="auto"/>
                <w:highlight w:val="none"/>
              </w:rPr>
              <w:t>我方根据施工合同的约定，现申请支付工程预付款额为(大写)</w:t>
            </w:r>
            <w:r>
              <w:rPr>
                <w:rFonts w:hint="eastAsia"/>
                <w:color w:val="auto"/>
                <w:highlight w:val="none"/>
                <w:u w:val="single"/>
              </w:rPr>
              <w:t xml:space="preserve">            </w:t>
            </w:r>
            <w:r>
              <w:rPr>
                <w:rFonts w:hint="eastAsia"/>
                <w:color w:val="auto"/>
                <w:highlight w:val="none"/>
              </w:rPr>
              <w:t>元，(小写)</w:t>
            </w:r>
          </w:p>
          <w:p w14:paraId="446BC7EA">
            <w:pPr>
              <w:spacing w:line="400" w:lineRule="exact"/>
              <w:rPr>
                <w:rFonts w:hint="eastAsia"/>
                <w:color w:val="auto"/>
                <w:highlight w:val="none"/>
              </w:rPr>
            </w:pPr>
            <w:r>
              <w:rPr>
                <w:rFonts w:hint="eastAsia"/>
                <w:color w:val="auto"/>
                <w:highlight w:val="none"/>
                <w:u w:val="single"/>
              </w:rPr>
              <w:t xml:space="preserve">         </w:t>
            </w:r>
            <w:r>
              <w:rPr>
                <w:rFonts w:hint="eastAsia"/>
                <w:color w:val="auto"/>
                <w:highlight w:val="none"/>
              </w:rPr>
              <w:t>元，请予核准。</w:t>
            </w:r>
          </w:p>
          <w:tbl>
            <w:tblPr>
              <w:tblStyle w:val="5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1B35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7F306EEE">
                  <w:pPr>
                    <w:spacing w:line="280" w:lineRule="exact"/>
                    <w:jc w:val="center"/>
                    <w:rPr>
                      <w:rFonts w:hint="eastAsia"/>
                      <w:color w:val="auto"/>
                      <w:highlight w:val="none"/>
                    </w:rPr>
                  </w:pPr>
                  <w:r>
                    <w:rPr>
                      <w:rFonts w:hint="eastAsia"/>
                      <w:color w:val="auto"/>
                      <w:highlight w:val="none"/>
                    </w:rPr>
                    <w:t>序号</w:t>
                  </w:r>
                </w:p>
              </w:tc>
              <w:tc>
                <w:tcPr>
                  <w:tcW w:w="3340" w:type="dxa"/>
                  <w:noWrap w:val="0"/>
                  <w:vAlign w:val="center"/>
                </w:tcPr>
                <w:p w14:paraId="735D119C">
                  <w:pPr>
                    <w:spacing w:line="280" w:lineRule="exact"/>
                    <w:jc w:val="center"/>
                    <w:rPr>
                      <w:rFonts w:hint="eastAsia"/>
                      <w:color w:val="auto"/>
                      <w:highlight w:val="none"/>
                    </w:rPr>
                  </w:pPr>
                  <w:r>
                    <w:rPr>
                      <w:rFonts w:hint="eastAsia"/>
                      <w:color w:val="auto"/>
                      <w:highlight w:val="none"/>
                    </w:rPr>
                    <w:t>名      称</w:t>
                  </w:r>
                </w:p>
              </w:tc>
              <w:tc>
                <w:tcPr>
                  <w:tcW w:w="1764" w:type="dxa"/>
                  <w:noWrap w:val="0"/>
                  <w:vAlign w:val="center"/>
                </w:tcPr>
                <w:p w14:paraId="23BA819F">
                  <w:pPr>
                    <w:spacing w:line="280" w:lineRule="exact"/>
                    <w:jc w:val="center"/>
                    <w:rPr>
                      <w:rFonts w:hint="eastAsia"/>
                      <w:color w:val="auto"/>
                      <w:highlight w:val="none"/>
                    </w:rPr>
                  </w:pPr>
                  <w:r>
                    <w:rPr>
                      <w:rFonts w:hint="eastAsia"/>
                      <w:color w:val="auto"/>
                      <w:highlight w:val="none"/>
                    </w:rPr>
                    <w:t>申请金额（元）</w:t>
                  </w:r>
                </w:p>
              </w:tc>
              <w:tc>
                <w:tcPr>
                  <w:tcW w:w="2240" w:type="dxa"/>
                  <w:noWrap w:val="0"/>
                  <w:vAlign w:val="center"/>
                </w:tcPr>
                <w:p w14:paraId="7060979D">
                  <w:pPr>
                    <w:spacing w:line="280" w:lineRule="exact"/>
                    <w:jc w:val="center"/>
                    <w:rPr>
                      <w:rFonts w:hint="eastAsia"/>
                      <w:color w:val="auto"/>
                      <w:highlight w:val="none"/>
                    </w:rPr>
                  </w:pPr>
                  <w:r>
                    <w:rPr>
                      <w:rFonts w:hint="eastAsia"/>
                      <w:color w:val="auto"/>
                      <w:highlight w:val="none"/>
                    </w:rPr>
                    <w:t>复核金额（元）</w:t>
                  </w:r>
                </w:p>
              </w:tc>
              <w:tc>
                <w:tcPr>
                  <w:tcW w:w="1080" w:type="dxa"/>
                  <w:noWrap w:val="0"/>
                  <w:vAlign w:val="center"/>
                </w:tcPr>
                <w:p w14:paraId="3D3A5278">
                  <w:pPr>
                    <w:spacing w:line="280" w:lineRule="exact"/>
                    <w:jc w:val="center"/>
                    <w:rPr>
                      <w:rFonts w:hint="eastAsia"/>
                      <w:color w:val="auto"/>
                      <w:highlight w:val="none"/>
                    </w:rPr>
                  </w:pPr>
                  <w:r>
                    <w:rPr>
                      <w:rFonts w:hint="eastAsia"/>
                      <w:color w:val="auto"/>
                      <w:highlight w:val="none"/>
                    </w:rPr>
                    <w:t>备注</w:t>
                  </w:r>
                </w:p>
              </w:tc>
            </w:tr>
            <w:tr w14:paraId="3217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C09E58F">
                  <w:pPr>
                    <w:spacing w:line="280" w:lineRule="exact"/>
                    <w:jc w:val="center"/>
                    <w:rPr>
                      <w:rFonts w:hint="eastAsia"/>
                      <w:color w:val="auto"/>
                      <w:highlight w:val="none"/>
                    </w:rPr>
                  </w:pPr>
                  <w:r>
                    <w:rPr>
                      <w:rFonts w:hint="eastAsia"/>
                      <w:color w:val="auto"/>
                      <w:highlight w:val="none"/>
                    </w:rPr>
                    <w:t>1</w:t>
                  </w:r>
                </w:p>
              </w:tc>
              <w:tc>
                <w:tcPr>
                  <w:tcW w:w="3340" w:type="dxa"/>
                  <w:noWrap w:val="0"/>
                  <w:vAlign w:val="top"/>
                </w:tcPr>
                <w:p w14:paraId="29D4A270">
                  <w:pPr>
                    <w:spacing w:line="280" w:lineRule="exact"/>
                    <w:rPr>
                      <w:rFonts w:hint="eastAsia"/>
                      <w:color w:val="auto"/>
                      <w:highlight w:val="none"/>
                    </w:rPr>
                  </w:pPr>
                  <w:r>
                    <w:rPr>
                      <w:rFonts w:hint="eastAsia"/>
                      <w:color w:val="auto"/>
                      <w:highlight w:val="none"/>
                    </w:rPr>
                    <w:t>已签约合同价款金额</w:t>
                  </w:r>
                </w:p>
              </w:tc>
              <w:tc>
                <w:tcPr>
                  <w:tcW w:w="1764" w:type="dxa"/>
                  <w:noWrap w:val="0"/>
                  <w:vAlign w:val="top"/>
                </w:tcPr>
                <w:p w14:paraId="6950EE5C">
                  <w:pPr>
                    <w:spacing w:line="280" w:lineRule="exact"/>
                    <w:rPr>
                      <w:rFonts w:hint="eastAsia"/>
                      <w:color w:val="auto"/>
                      <w:highlight w:val="none"/>
                    </w:rPr>
                  </w:pPr>
                </w:p>
              </w:tc>
              <w:tc>
                <w:tcPr>
                  <w:tcW w:w="2240" w:type="dxa"/>
                  <w:noWrap w:val="0"/>
                  <w:vAlign w:val="top"/>
                </w:tcPr>
                <w:p w14:paraId="2586C4DB">
                  <w:pPr>
                    <w:spacing w:line="280" w:lineRule="exact"/>
                    <w:rPr>
                      <w:rFonts w:hint="eastAsia"/>
                      <w:color w:val="auto"/>
                      <w:highlight w:val="none"/>
                    </w:rPr>
                  </w:pPr>
                </w:p>
              </w:tc>
              <w:tc>
                <w:tcPr>
                  <w:tcW w:w="1080" w:type="dxa"/>
                  <w:noWrap w:val="0"/>
                  <w:vAlign w:val="top"/>
                </w:tcPr>
                <w:p w14:paraId="62EE1896">
                  <w:pPr>
                    <w:spacing w:line="280" w:lineRule="exact"/>
                    <w:rPr>
                      <w:rFonts w:hint="eastAsia"/>
                      <w:color w:val="auto"/>
                      <w:highlight w:val="none"/>
                    </w:rPr>
                  </w:pPr>
                </w:p>
              </w:tc>
            </w:tr>
            <w:tr w14:paraId="201E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C820DA6">
                  <w:pPr>
                    <w:spacing w:line="280" w:lineRule="exact"/>
                    <w:jc w:val="center"/>
                    <w:rPr>
                      <w:rFonts w:hint="eastAsia"/>
                      <w:color w:val="auto"/>
                      <w:highlight w:val="none"/>
                    </w:rPr>
                  </w:pPr>
                  <w:r>
                    <w:rPr>
                      <w:rFonts w:hint="eastAsia"/>
                      <w:color w:val="auto"/>
                      <w:highlight w:val="none"/>
                    </w:rPr>
                    <w:t>2</w:t>
                  </w:r>
                </w:p>
              </w:tc>
              <w:tc>
                <w:tcPr>
                  <w:tcW w:w="3340" w:type="dxa"/>
                  <w:noWrap w:val="0"/>
                  <w:vAlign w:val="top"/>
                </w:tcPr>
                <w:p w14:paraId="265CAC5F">
                  <w:pPr>
                    <w:spacing w:line="280" w:lineRule="exact"/>
                    <w:rPr>
                      <w:rFonts w:hint="eastAsia"/>
                      <w:color w:val="auto"/>
                      <w:highlight w:val="none"/>
                    </w:rPr>
                  </w:pPr>
                  <w:r>
                    <w:rPr>
                      <w:rFonts w:hint="eastAsia"/>
                      <w:color w:val="auto"/>
                      <w:highlight w:val="none"/>
                    </w:rPr>
                    <w:t>其中：安全文明施工费</w:t>
                  </w:r>
                </w:p>
              </w:tc>
              <w:tc>
                <w:tcPr>
                  <w:tcW w:w="1764" w:type="dxa"/>
                  <w:noWrap w:val="0"/>
                  <w:vAlign w:val="top"/>
                </w:tcPr>
                <w:p w14:paraId="1A84B2E1">
                  <w:pPr>
                    <w:spacing w:line="280" w:lineRule="exact"/>
                    <w:rPr>
                      <w:rFonts w:hint="eastAsia"/>
                      <w:color w:val="auto"/>
                      <w:highlight w:val="none"/>
                    </w:rPr>
                  </w:pPr>
                </w:p>
              </w:tc>
              <w:tc>
                <w:tcPr>
                  <w:tcW w:w="2240" w:type="dxa"/>
                  <w:noWrap w:val="0"/>
                  <w:vAlign w:val="top"/>
                </w:tcPr>
                <w:p w14:paraId="7C2686B1">
                  <w:pPr>
                    <w:spacing w:line="280" w:lineRule="exact"/>
                    <w:rPr>
                      <w:rFonts w:hint="eastAsia"/>
                      <w:color w:val="auto"/>
                      <w:highlight w:val="none"/>
                    </w:rPr>
                  </w:pPr>
                </w:p>
              </w:tc>
              <w:tc>
                <w:tcPr>
                  <w:tcW w:w="1080" w:type="dxa"/>
                  <w:noWrap w:val="0"/>
                  <w:vAlign w:val="top"/>
                </w:tcPr>
                <w:p w14:paraId="5BF9550D">
                  <w:pPr>
                    <w:spacing w:line="280" w:lineRule="exact"/>
                    <w:rPr>
                      <w:rFonts w:hint="eastAsia"/>
                      <w:color w:val="auto"/>
                      <w:highlight w:val="none"/>
                    </w:rPr>
                  </w:pPr>
                </w:p>
              </w:tc>
            </w:tr>
            <w:tr w14:paraId="0039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72AD1CC">
                  <w:pPr>
                    <w:spacing w:line="280" w:lineRule="exact"/>
                    <w:jc w:val="center"/>
                    <w:rPr>
                      <w:rFonts w:hint="eastAsia"/>
                      <w:color w:val="auto"/>
                      <w:highlight w:val="none"/>
                    </w:rPr>
                  </w:pPr>
                  <w:r>
                    <w:rPr>
                      <w:rFonts w:hint="eastAsia"/>
                      <w:color w:val="auto"/>
                      <w:highlight w:val="none"/>
                    </w:rPr>
                    <w:t>3</w:t>
                  </w:r>
                </w:p>
              </w:tc>
              <w:tc>
                <w:tcPr>
                  <w:tcW w:w="3340" w:type="dxa"/>
                  <w:noWrap w:val="0"/>
                  <w:vAlign w:val="top"/>
                </w:tcPr>
                <w:p w14:paraId="5075E650">
                  <w:pPr>
                    <w:spacing w:line="280" w:lineRule="exact"/>
                    <w:rPr>
                      <w:rFonts w:hint="eastAsia"/>
                      <w:color w:val="auto"/>
                      <w:highlight w:val="none"/>
                    </w:rPr>
                  </w:pPr>
                  <w:r>
                    <w:rPr>
                      <w:rFonts w:hint="eastAsia"/>
                      <w:color w:val="auto"/>
                      <w:highlight w:val="none"/>
                    </w:rPr>
                    <w:t>应支付的预付款</w:t>
                  </w:r>
                </w:p>
              </w:tc>
              <w:tc>
                <w:tcPr>
                  <w:tcW w:w="1764" w:type="dxa"/>
                  <w:noWrap w:val="0"/>
                  <w:vAlign w:val="top"/>
                </w:tcPr>
                <w:p w14:paraId="4610225B">
                  <w:pPr>
                    <w:spacing w:line="280" w:lineRule="exact"/>
                    <w:rPr>
                      <w:rFonts w:hint="eastAsia"/>
                      <w:color w:val="auto"/>
                      <w:highlight w:val="none"/>
                    </w:rPr>
                  </w:pPr>
                </w:p>
              </w:tc>
              <w:tc>
                <w:tcPr>
                  <w:tcW w:w="2240" w:type="dxa"/>
                  <w:noWrap w:val="0"/>
                  <w:vAlign w:val="top"/>
                </w:tcPr>
                <w:p w14:paraId="4E7EB9FB">
                  <w:pPr>
                    <w:spacing w:line="280" w:lineRule="exact"/>
                    <w:rPr>
                      <w:rFonts w:hint="eastAsia"/>
                      <w:color w:val="auto"/>
                      <w:highlight w:val="none"/>
                    </w:rPr>
                  </w:pPr>
                </w:p>
              </w:tc>
              <w:tc>
                <w:tcPr>
                  <w:tcW w:w="1080" w:type="dxa"/>
                  <w:noWrap w:val="0"/>
                  <w:vAlign w:val="top"/>
                </w:tcPr>
                <w:p w14:paraId="56D02A2F">
                  <w:pPr>
                    <w:spacing w:line="280" w:lineRule="exact"/>
                    <w:rPr>
                      <w:rFonts w:hint="eastAsia"/>
                      <w:color w:val="auto"/>
                      <w:highlight w:val="none"/>
                    </w:rPr>
                  </w:pPr>
                </w:p>
              </w:tc>
            </w:tr>
            <w:tr w14:paraId="6851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4474461">
                  <w:pPr>
                    <w:spacing w:line="280" w:lineRule="exact"/>
                    <w:jc w:val="center"/>
                    <w:rPr>
                      <w:rFonts w:hint="eastAsia"/>
                      <w:color w:val="auto"/>
                      <w:highlight w:val="none"/>
                    </w:rPr>
                  </w:pPr>
                  <w:r>
                    <w:rPr>
                      <w:rFonts w:hint="eastAsia"/>
                      <w:color w:val="auto"/>
                      <w:highlight w:val="none"/>
                    </w:rPr>
                    <w:t>4</w:t>
                  </w:r>
                </w:p>
              </w:tc>
              <w:tc>
                <w:tcPr>
                  <w:tcW w:w="3340" w:type="dxa"/>
                  <w:noWrap w:val="0"/>
                  <w:vAlign w:val="top"/>
                </w:tcPr>
                <w:p w14:paraId="4E0B6EDF">
                  <w:pPr>
                    <w:spacing w:line="280" w:lineRule="exact"/>
                    <w:rPr>
                      <w:rFonts w:hint="eastAsia"/>
                      <w:color w:val="auto"/>
                      <w:highlight w:val="none"/>
                    </w:rPr>
                  </w:pPr>
                  <w:r>
                    <w:rPr>
                      <w:rFonts w:hint="eastAsia"/>
                      <w:color w:val="auto"/>
                      <w:highlight w:val="none"/>
                    </w:rPr>
                    <w:t>应支付的安全文明施工费预付款</w:t>
                  </w:r>
                </w:p>
              </w:tc>
              <w:tc>
                <w:tcPr>
                  <w:tcW w:w="1764" w:type="dxa"/>
                  <w:noWrap w:val="0"/>
                  <w:vAlign w:val="top"/>
                </w:tcPr>
                <w:p w14:paraId="74A94BCF">
                  <w:pPr>
                    <w:spacing w:line="280" w:lineRule="exact"/>
                    <w:rPr>
                      <w:rFonts w:hint="eastAsia"/>
                      <w:color w:val="auto"/>
                      <w:highlight w:val="none"/>
                    </w:rPr>
                  </w:pPr>
                </w:p>
              </w:tc>
              <w:tc>
                <w:tcPr>
                  <w:tcW w:w="2240" w:type="dxa"/>
                  <w:noWrap w:val="0"/>
                  <w:vAlign w:val="top"/>
                </w:tcPr>
                <w:p w14:paraId="5E7A9672">
                  <w:pPr>
                    <w:spacing w:line="280" w:lineRule="exact"/>
                    <w:rPr>
                      <w:rFonts w:hint="eastAsia"/>
                      <w:color w:val="auto"/>
                      <w:highlight w:val="none"/>
                    </w:rPr>
                  </w:pPr>
                </w:p>
              </w:tc>
              <w:tc>
                <w:tcPr>
                  <w:tcW w:w="1080" w:type="dxa"/>
                  <w:noWrap w:val="0"/>
                  <w:vAlign w:val="top"/>
                </w:tcPr>
                <w:p w14:paraId="3FD342C1">
                  <w:pPr>
                    <w:spacing w:line="280" w:lineRule="exact"/>
                    <w:rPr>
                      <w:rFonts w:hint="eastAsia"/>
                      <w:color w:val="auto"/>
                      <w:highlight w:val="none"/>
                    </w:rPr>
                  </w:pPr>
                </w:p>
              </w:tc>
            </w:tr>
            <w:tr w14:paraId="7BBE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4BA47B0">
                  <w:pPr>
                    <w:spacing w:line="280" w:lineRule="exact"/>
                    <w:jc w:val="center"/>
                    <w:rPr>
                      <w:rFonts w:hint="eastAsia"/>
                      <w:color w:val="auto"/>
                      <w:highlight w:val="none"/>
                    </w:rPr>
                  </w:pPr>
                  <w:r>
                    <w:rPr>
                      <w:rFonts w:hint="eastAsia"/>
                      <w:color w:val="auto"/>
                      <w:highlight w:val="none"/>
                    </w:rPr>
                    <w:t>5</w:t>
                  </w:r>
                </w:p>
              </w:tc>
              <w:tc>
                <w:tcPr>
                  <w:tcW w:w="3340" w:type="dxa"/>
                  <w:noWrap w:val="0"/>
                  <w:vAlign w:val="top"/>
                </w:tcPr>
                <w:p w14:paraId="7CE7DDD7">
                  <w:pPr>
                    <w:spacing w:line="280" w:lineRule="exact"/>
                    <w:rPr>
                      <w:rFonts w:hint="eastAsia"/>
                      <w:color w:val="auto"/>
                      <w:highlight w:val="none"/>
                    </w:rPr>
                  </w:pPr>
                  <w:r>
                    <w:rPr>
                      <w:rFonts w:hint="eastAsia"/>
                      <w:color w:val="auto"/>
                      <w:highlight w:val="none"/>
                    </w:rPr>
                    <w:t>合计应支付的预付款</w:t>
                  </w:r>
                </w:p>
              </w:tc>
              <w:tc>
                <w:tcPr>
                  <w:tcW w:w="1764" w:type="dxa"/>
                  <w:noWrap w:val="0"/>
                  <w:vAlign w:val="top"/>
                </w:tcPr>
                <w:p w14:paraId="74A7A39E">
                  <w:pPr>
                    <w:spacing w:line="280" w:lineRule="exact"/>
                    <w:rPr>
                      <w:rFonts w:hint="eastAsia"/>
                      <w:color w:val="auto"/>
                      <w:highlight w:val="none"/>
                    </w:rPr>
                  </w:pPr>
                </w:p>
              </w:tc>
              <w:tc>
                <w:tcPr>
                  <w:tcW w:w="2240" w:type="dxa"/>
                  <w:noWrap w:val="0"/>
                  <w:vAlign w:val="top"/>
                </w:tcPr>
                <w:p w14:paraId="3D754130">
                  <w:pPr>
                    <w:spacing w:line="280" w:lineRule="exact"/>
                    <w:rPr>
                      <w:rFonts w:hint="eastAsia"/>
                      <w:color w:val="auto"/>
                      <w:highlight w:val="none"/>
                    </w:rPr>
                  </w:pPr>
                </w:p>
              </w:tc>
              <w:tc>
                <w:tcPr>
                  <w:tcW w:w="1080" w:type="dxa"/>
                  <w:noWrap w:val="0"/>
                  <w:vAlign w:val="top"/>
                </w:tcPr>
                <w:p w14:paraId="2186A153">
                  <w:pPr>
                    <w:spacing w:line="280" w:lineRule="exact"/>
                    <w:rPr>
                      <w:rFonts w:hint="eastAsia"/>
                      <w:color w:val="auto"/>
                      <w:highlight w:val="none"/>
                    </w:rPr>
                  </w:pPr>
                </w:p>
              </w:tc>
            </w:tr>
            <w:tr w14:paraId="0064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F90C69E">
                  <w:pPr>
                    <w:spacing w:line="280" w:lineRule="exact"/>
                    <w:jc w:val="center"/>
                    <w:rPr>
                      <w:rFonts w:hint="eastAsia"/>
                      <w:color w:val="auto"/>
                      <w:highlight w:val="none"/>
                    </w:rPr>
                  </w:pPr>
                </w:p>
              </w:tc>
              <w:tc>
                <w:tcPr>
                  <w:tcW w:w="3340" w:type="dxa"/>
                  <w:noWrap w:val="0"/>
                  <w:vAlign w:val="top"/>
                </w:tcPr>
                <w:p w14:paraId="2F4E24A3">
                  <w:pPr>
                    <w:spacing w:line="280" w:lineRule="exact"/>
                    <w:rPr>
                      <w:rFonts w:hint="eastAsia"/>
                      <w:color w:val="auto"/>
                      <w:highlight w:val="none"/>
                    </w:rPr>
                  </w:pPr>
                </w:p>
              </w:tc>
              <w:tc>
                <w:tcPr>
                  <w:tcW w:w="1764" w:type="dxa"/>
                  <w:noWrap w:val="0"/>
                  <w:vAlign w:val="top"/>
                </w:tcPr>
                <w:p w14:paraId="04C18184">
                  <w:pPr>
                    <w:spacing w:line="280" w:lineRule="exact"/>
                    <w:rPr>
                      <w:rFonts w:hint="eastAsia"/>
                      <w:color w:val="auto"/>
                      <w:highlight w:val="none"/>
                    </w:rPr>
                  </w:pPr>
                </w:p>
              </w:tc>
              <w:tc>
                <w:tcPr>
                  <w:tcW w:w="2240" w:type="dxa"/>
                  <w:noWrap w:val="0"/>
                  <w:vAlign w:val="top"/>
                </w:tcPr>
                <w:p w14:paraId="7C552392">
                  <w:pPr>
                    <w:spacing w:line="280" w:lineRule="exact"/>
                    <w:rPr>
                      <w:rFonts w:hint="eastAsia"/>
                      <w:color w:val="auto"/>
                      <w:highlight w:val="none"/>
                    </w:rPr>
                  </w:pPr>
                </w:p>
              </w:tc>
              <w:tc>
                <w:tcPr>
                  <w:tcW w:w="1080" w:type="dxa"/>
                  <w:noWrap w:val="0"/>
                  <w:vAlign w:val="top"/>
                </w:tcPr>
                <w:p w14:paraId="674E34BA">
                  <w:pPr>
                    <w:spacing w:line="280" w:lineRule="exact"/>
                    <w:rPr>
                      <w:rFonts w:hint="eastAsia"/>
                      <w:color w:val="auto"/>
                      <w:highlight w:val="none"/>
                    </w:rPr>
                  </w:pPr>
                </w:p>
              </w:tc>
            </w:tr>
          </w:tbl>
          <w:p w14:paraId="45523B71">
            <w:pPr>
              <w:wordWrap w:val="0"/>
              <w:spacing w:line="400" w:lineRule="exact"/>
              <w:ind w:right="420"/>
              <w:rPr>
                <w:rFonts w:hint="eastAsia"/>
                <w:color w:val="auto"/>
                <w:highlight w:val="none"/>
              </w:rPr>
            </w:pPr>
          </w:p>
          <w:p w14:paraId="4F86E9F5">
            <w:pPr>
              <w:wordWrap w:val="0"/>
              <w:spacing w:line="400" w:lineRule="exact"/>
              <w:ind w:right="420"/>
              <w:rPr>
                <w:rFonts w:hint="eastAsia"/>
                <w:color w:val="auto"/>
                <w:highlight w:val="none"/>
              </w:rPr>
            </w:pPr>
            <w:r>
              <w:rPr>
                <w:rFonts w:hint="eastAsia"/>
                <w:color w:val="auto"/>
                <w:highlight w:val="none"/>
              </w:rPr>
              <w:t xml:space="preserve">                                            承包人（章）             </w:t>
            </w:r>
          </w:p>
          <w:p w14:paraId="469D0492">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5EE8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488" w:type="dxa"/>
            <w:noWrap w:val="0"/>
            <w:vAlign w:val="top"/>
          </w:tcPr>
          <w:p w14:paraId="7EEA4686">
            <w:pPr>
              <w:spacing w:line="360" w:lineRule="exact"/>
              <w:rPr>
                <w:rFonts w:hint="eastAsia"/>
                <w:color w:val="auto"/>
                <w:highlight w:val="none"/>
              </w:rPr>
            </w:pPr>
            <w:r>
              <w:rPr>
                <w:rFonts w:hint="eastAsia"/>
                <w:color w:val="auto"/>
                <w:highlight w:val="none"/>
              </w:rPr>
              <w:t>复核意见：</w:t>
            </w:r>
          </w:p>
          <w:p w14:paraId="2C24AFBA">
            <w:pPr>
              <w:spacing w:line="360" w:lineRule="exact"/>
              <w:ind w:firstLine="312"/>
              <w:rPr>
                <w:rFonts w:hint="eastAsia"/>
                <w:color w:val="auto"/>
                <w:highlight w:val="none"/>
              </w:rPr>
            </w:pPr>
            <w:r>
              <w:rPr>
                <w:rFonts w:hint="eastAsia"/>
                <w:color w:val="auto"/>
                <w:highlight w:val="none"/>
              </w:rPr>
              <w:t>□与合同约定不相符，修改意见见附件。</w:t>
            </w:r>
          </w:p>
          <w:p w14:paraId="48189ED1">
            <w:pPr>
              <w:spacing w:line="360" w:lineRule="exact"/>
              <w:ind w:firstLine="312"/>
              <w:rPr>
                <w:rFonts w:hint="eastAsia"/>
                <w:color w:val="auto"/>
                <w:highlight w:val="none"/>
              </w:rPr>
            </w:pPr>
            <w:r>
              <w:rPr>
                <w:rFonts w:hint="eastAsia"/>
                <w:color w:val="auto"/>
                <w:highlight w:val="none"/>
              </w:rPr>
              <w:t>□与合同约定相符，具体金额由造价工程师复核。</w:t>
            </w:r>
          </w:p>
          <w:p w14:paraId="73637392">
            <w:pPr>
              <w:spacing w:line="360" w:lineRule="exact"/>
              <w:ind w:firstLine="435"/>
              <w:jc w:val="right"/>
              <w:rPr>
                <w:rFonts w:hint="eastAsia"/>
                <w:color w:val="auto"/>
                <w:highlight w:val="none"/>
              </w:rPr>
            </w:pPr>
          </w:p>
          <w:p w14:paraId="4041C18B">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监理工程师</w:t>
            </w:r>
            <w:r>
              <w:rPr>
                <w:rFonts w:hint="eastAsia"/>
                <w:color w:val="auto"/>
                <w:highlight w:val="none"/>
                <w:u w:val="single"/>
              </w:rPr>
              <w:t xml:space="preserve">           </w:t>
            </w:r>
          </w:p>
          <w:p w14:paraId="1643C537">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697" w:type="dxa"/>
            <w:noWrap w:val="0"/>
            <w:vAlign w:val="top"/>
          </w:tcPr>
          <w:p w14:paraId="416C9DAF">
            <w:pPr>
              <w:spacing w:line="360" w:lineRule="exact"/>
              <w:rPr>
                <w:rFonts w:hint="eastAsia"/>
                <w:color w:val="auto"/>
                <w:highlight w:val="none"/>
              </w:rPr>
            </w:pPr>
            <w:r>
              <w:rPr>
                <w:rFonts w:hint="eastAsia"/>
                <w:color w:val="auto"/>
                <w:highlight w:val="none"/>
              </w:rPr>
              <w:t>复核意见：</w:t>
            </w:r>
          </w:p>
          <w:p w14:paraId="73EDE85C">
            <w:pPr>
              <w:spacing w:line="360" w:lineRule="exact"/>
              <w:ind w:firstLine="435"/>
              <w:rPr>
                <w:rFonts w:hint="eastAsia"/>
                <w:color w:val="auto"/>
                <w:highlight w:val="none"/>
              </w:rPr>
            </w:pPr>
            <w:r>
              <w:rPr>
                <w:rFonts w:hint="eastAsia"/>
                <w:color w:val="auto"/>
                <w:highlight w:val="none"/>
              </w:rPr>
              <w:t>你方提出的支付申请经复核，应支付预付款金额为(大写)</w:t>
            </w:r>
            <w:r>
              <w:rPr>
                <w:rFonts w:hint="eastAsia"/>
                <w:color w:val="auto"/>
                <w:highlight w:val="none"/>
                <w:u w:val="single"/>
              </w:rPr>
              <w:t xml:space="preserve">                </w:t>
            </w:r>
            <w:r>
              <w:rPr>
                <w:rFonts w:hint="eastAsia"/>
                <w:color w:val="auto"/>
                <w:highlight w:val="none"/>
              </w:rPr>
              <w:t>元，（小写）</w:t>
            </w:r>
          </w:p>
          <w:p w14:paraId="23EF679F">
            <w:pPr>
              <w:spacing w:line="360" w:lineRule="exact"/>
              <w:rPr>
                <w:rFonts w:hint="eastAsia"/>
                <w:color w:val="auto"/>
                <w:highlight w:val="none"/>
              </w:rPr>
            </w:pPr>
            <w:r>
              <w:rPr>
                <w:rFonts w:hint="eastAsia"/>
                <w:color w:val="auto"/>
                <w:highlight w:val="none"/>
                <w:u w:val="single"/>
              </w:rPr>
              <w:t xml:space="preserve">          </w:t>
            </w:r>
            <w:r>
              <w:rPr>
                <w:rFonts w:hint="eastAsia"/>
                <w:color w:val="auto"/>
                <w:highlight w:val="none"/>
              </w:rPr>
              <w:t xml:space="preserve"> 元。</w:t>
            </w:r>
          </w:p>
          <w:p w14:paraId="36F60D94">
            <w:pPr>
              <w:spacing w:line="360" w:lineRule="exact"/>
              <w:rPr>
                <w:rFonts w:hint="eastAsia"/>
                <w:color w:val="auto"/>
                <w:highlight w:val="none"/>
                <w:u w:val="single"/>
              </w:rPr>
            </w:pPr>
          </w:p>
          <w:p w14:paraId="0E79783B">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造价工程师</w:t>
            </w:r>
            <w:r>
              <w:rPr>
                <w:rFonts w:hint="eastAsia"/>
                <w:color w:val="auto"/>
                <w:highlight w:val="none"/>
                <w:u w:val="single"/>
              </w:rPr>
              <w:t xml:space="preserve">           </w:t>
            </w:r>
          </w:p>
          <w:p w14:paraId="643FEB5C">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r>
      <w:tr w14:paraId="6A3B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noWrap w:val="0"/>
            <w:vAlign w:val="top"/>
          </w:tcPr>
          <w:p w14:paraId="0BA341E1">
            <w:pPr>
              <w:spacing w:line="400" w:lineRule="exact"/>
              <w:rPr>
                <w:rFonts w:hint="eastAsia"/>
                <w:color w:val="auto"/>
                <w:highlight w:val="none"/>
              </w:rPr>
            </w:pPr>
            <w:r>
              <w:rPr>
                <w:rFonts w:hint="eastAsia"/>
                <w:color w:val="auto"/>
                <w:highlight w:val="none"/>
              </w:rPr>
              <w:t>审核意见：</w:t>
            </w:r>
          </w:p>
          <w:p w14:paraId="188B8B8C">
            <w:pPr>
              <w:spacing w:line="400" w:lineRule="exact"/>
              <w:ind w:firstLine="435"/>
              <w:rPr>
                <w:rFonts w:hint="eastAsia"/>
                <w:color w:val="auto"/>
                <w:highlight w:val="none"/>
              </w:rPr>
            </w:pPr>
            <w:r>
              <w:rPr>
                <w:rFonts w:hint="eastAsia"/>
                <w:color w:val="auto"/>
                <w:highlight w:val="none"/>
              </w:rPr>
              <w:t>□不同意。</w:t>
            </w:r>
          </w:p>
          <w:p w14:paraId="108C98AA">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2151906F">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4E59C511">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02ACA3DC">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6F6F9170">
      <w:pPr>
        <w:spacing w:before="156"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1105263E">
      <w:pPr>
        <w:spacing w:before="156" w:beforeLines="50"/>
        <w:ind w:left="720" w:hanging="720" w:hangingChars="400"/>
        <w:rPr>
          <w:rFonts w:hint="eastAsia" w:eastAsia="仿宋_GB2312"/>
          <w:color w:val="auto"/>
          <w:sz w:val="30"/>
          <w:szCs w:val="30"/>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1F386320">
      <w:pPr>
        <w:spacing w:before="156" w:beforeLines="50"/>
        <w:rPr>
          <w:rFonts w:hint="eastAsia" w:eastAsia="仿宋_GB2312"/>
          <w:color w:val="auto"/>
          <w:sz w:val="30"/>
          <w:szCs w:val="30"/>
          <w:highlight w:val="none"/>
        </w:rPr>
      </w:pPr>
    </w:p>
    <w:p w14:paraId="6C4F0CC5">
      <w:pPr>
        <w:spacing w:before="156" w:beforeLines="50"/>
        <w:rPr>
          <w:rFonts w:hint="eastAsia" w:eastAsia="仿宋_GB2312"/>
          <w:color w:val="auto"/>
          <w:sz w:val="30"/>
          <w:szCs w:val="30"/>
          <w:highlight w:val="none"/>
        </w:rPr>
      </w:pPr>
      <w:r>
        <w:rPr>
          <w:rFonts w:hint="eastAsia" w:eastAsia="仿宋_GB2312"/>
          <w:color w:val="auto"/>
          <w:sz w:val="30"/>
          <w:szCs w:val="30"/>
          <w:highlight w:val="none"/>
        </w:rPr>
        <w:t>附件11：</w:t>
      </w:r>
    </w:p>
    <w:p w14:paraId="385E3021">
      <w:pPr>
        <w:jc w:val="center"/>
        <w:rPr>
          <w:rFonts w:hint="eastAsia"/>
          <w:b/>
          <w:color w:val="auto"/>
          <w:sz w:val="36"/>
          <w:szCs w:val="36"/>
          <w:highlight w:val="none"/>
        </w:rPr>
      </w:pPr>
      <w:r>
        <w:rPr>
          <w:rFonts w:hint="eastAsia"/>
          <w:b/>
          <w:color w:val="auto"/>
          <w:sz w:val="36"/>
          <w:szCs w:val="36"/>
          <w:highlight w:val="none"/>
        </w:rPr>
        <w:t>进度款支付申请（核准）表</w:t>
      </w:r>
    </w:p>
    <w:p w14:paraId="3B9A0F69">
      <w:pPr>
        <w:rPr>
          <w:rFonts w:hint="eastAsia"/>
          <w:color w:val="auto"/>
          <w:sz w:val="24"/>
          <w:highlight w:val="none"/>
        </w:rPr>
      </w:pPr>
      <w:r>
        <w:rPr>
          <w:rFonts w:hint="eastAsia"/>
          <w:color w:val="auto"/>
          <w:sz w:val="24"/>
          <w:highlight w:val="none"/>
        </w:rPr>
        <w:t>工程名称：                                             编号：</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47CC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noWrap w:val="0"/>
            <w:vAlign w:val="top"/>
          </w:tcPr>
          <w:p w14:paraId="5B125522">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042F19BD">
            <w:pPr>
              <w:spacing w:line="400" w:lineRule="exact"/>
              <w:ind w:left="-4" w:leftChars="-2"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w:t>
            </w:r>
            <w:r>
              <w:rPr>
                <w:rFonts w:hint="eastAsia"/>
                <w:color w:val="auto"/>
                <w:highlight w:val="none"/>
                <w:u w:val="single"/>
              </w:rPr>
              <w:t xml:space="preserve">               </w:t>
            </w:r>
            <w:r>
              <w:rPr>
                <w:rFonts w:hint="eastAsia"/>
                <w:color w:val="auto"/>
                <w:highlight w:val="none"/>
              </w:rPr>
              <w:t>工作，根据施工合同的约定，现申请支付本期的合同款额为(大写)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5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3FF8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2E35FADC">
                  <w:pPr>
                    <w:spacing w:line="280" w:lineRule="exact"/>
                    <w:jc w:val="center"/>
                    <w:rPr>
                      <w:rFonts w:hint="eastAsia"/>
                      <w:color w:val="auto"/>
                      <w:highlight w:val="none"/>
                    </w:rPr>
                  </w:pPr>
                  <w:r>
                    <w:rPr>
                      <w:rFonts w:hint="eastAsia"/>
                      <w:color w:val="auto"/>
                      <w:highlight w:val="none"/>
                    </w:rPr>
                    <w:t>序号</w:t>
                  </w:r>
                </w:p>
              </w:tc>
              <w:tc>
                <w:tcPr>
                  <w:tcW w:w="3340" w:type="dxa"/>
                  <w:noWrap w:val="0"/>
                  <w:vAlign w:val="center"/>
                </w:tcPr>
                <w:p w14:paraId="67016DA6">
                  <w:pPr>
                    <w:spacing w:line="280" w:lineRule="exact"/>
                    <w:jc w:val="center"/>
                    <w:rPr>
                      <w:rFonts w:hint="eastAsia"/>
                      <w:color w:val="auto"/>
                      <w:highlight w:val="none"/>
                    </w:rPr>
                  </w:pPr>
                  <w:r>
                    <w:rPr>
                      <w:rFonts w:hint="eastAsia"/>
                      <w:color w:val="auto"/>
                      <w:highlight w:val="none"/>
                    </w:rPr>
                    <w:t>名      称</w:t>
                  </w:r>
                </w:p>
              </w:tc>
              <w:tc>
                <w:tcPr>
                  <w:tcW w:w="1340" w:type="dxa"/>
                  <w:noWrap w:val="0"/>
                  <w:vAlign w:val="center"/>
                </w:tcPr>
                <w:p w14:paraId="5305D447">
                  <w:pPr>
                    <w:spacing w:line="280" w:lineRule="exact"/>
                    <w:jc w:val="center"/>
                    <w:rPr>
                      <w:rFonts w:hint="eastAsia"/>
                      <w:color w:val="auto"/>
                      <w:highlight w:val="none"/>
                    </w:rPr>
                  </w:pPr>
                  <w:r>
                    <w:rPr>
                      <w:rFonts w:hint="eastAsia"/>
                      <w:color w:val="auto"/>
                      <w:highlight w:val="none"/>
                    </w:rPr>
                    <w:t>实际金额（元）</w:t>
                  </w:r>
                </w:p>
              </w:tc>
              <w:tc>
                <w:tcPr>
                  <w:tcW w:w="1440" w:type="dxa"/>
                  <w:noWrap w:val="0"/>
                  <w:vAlign w:val="center"/>
                </w:tcPr>
                <w:p w14:paraId="5D80A7F3">
                  <w:pPr>
                    <w:spacing w:line="280" w:lineRule="exact"/>
                    <w:jc w:val="center"/>
                    <w:rPr>
                      <w:rFonts w:hint="eastAsia"/>
                      <w:color w:val="auto"/>
                      <w:highlight w:val="none"/>
                    </w:rPr>
                  </w:pPr>
                  <w:r>
                    <w:rPr>
                      <w:rFonts w:hint="eastAsia"/>
                      <w:color w:val="auto"/>
                      <w:highlight w:val="none"/>
                    </w:rPr>
                    <w:t>申请金额（元）</w:t>
                  </w:r>
                </w:p>
              </w:tc>
              <w:tc>
                <w:tcPr>
                  <w:tcW w:w="1260" w:type="dxa"/>
                  <w:noWrap w:val="0"/>
                  <w:vAlign w:val="center"/>
                </w:tcPr>
                <w:p w14:paraId="560B2152">
                  <w:pPr>
                    <w:spacing w:line="280" w:lineRule="exact"/>
                    <w:jc w:val="center"/>
                    <w:rPr>
                      <w:rFonts w:hint="eastAsia"/>
                      <w:color w:val="auto"/>
                      <w:highlight w:val="none"/>
                    </w:rPr>
                  </w:pPr>
                  <w:r>
                    <w:rPr>
                      <w:rFonts w:hint="eastAsia"/>
                      <w:color w:val="auto"/>
                      <w:highlight w:val="none"/>
                    </w:rPr>
                    <w:t>复核金额（元）</w:t>
                  </w:r>
                </w:p>
              </w:tc>
              <w:tc>
                <w:tcPr>
                  <w:tcW w:w="931" w:type="dxa"/>
                  <w:noWrap w:val="0"/>
                  <w:vAlign w:val="center"/>
                </w:tcPr>
                <w:p w14:paraId="31535A2E">
                  <w:pPr>
                    <w:spacing w:line="280" w:lineRule="exact"/>
                    <w:jc w:val="center"/>
                    <w:rPr>
                      <w:rFonts w:hint="eastAsia"/>
                      <w:color w:val="auto"/>
                      <w:highlight w:val="none"/>
                    </w:rPr>
                  </w:pPr>
                  <w:r>
                    <w:rPr>
                      <w:rFonts w:hint="eastAsia"/>
                      <w:color w:val="auto"/>
                      <w:highlight w:val="none"/>
                    </w:rPr>
                    <w:t>备注</w:t>
                  </w:r>
                </w:p>
              </w:tc>
            </w:tr>
            <w:tr w14:paraId="4995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A8EB321">
                  <w:pPr>
                    <w:spacing w:line="280" w:lineRule="exact"/>
                    <w:jc w:val="center"/>
                    <w:rPr>
                      <w:rFonts w:hint="eastAsia"/>
                      <w:color w:val="auto"/>
                      <w:highlight w:val="none"/>
                    </w:rPr>
                  </w:pPr>
                  <w:r>
                    <w:rPr>
                      <w:rFonts w:hint="eastAsia"/>
                      <w:color w:val="auto"/>
                      <w:highlight w:val="none"/>
                    </w:rPr>
                    <w:t>1</w:t>
                  </w:r>
                </w:p>
              </w:tc>
              <w:tc>
                <w:tcPr>
                  <w:tcW w:w="3340" w:type="dxa"/>
                  <w:noWrap w:val="0"/>
                  <w:vAlign w:val="top"/>
                </w:tcPr>
                <w:p w14:paraId="222E26FE">
                  <w:pPr>
                    <w:spacing w:line="280" w:lineRule="exact"/>
                    <w:rPr>
                      <w:rFonts w:hint="eastAsia"/>
                      <w:color w:val="auto"/>
                      <w:highlight w:val="none"/>
                    </w:rPr>
                  </w:pPr>
                  <w:r>
                    <w:rPr>
                      <w:rFonts w:hint="eastAsia"/>
                      <w:color w:val="auto"/>
                      <w:highlight w:val="none"/>
                    </w:rPr>
                    <w:t>累计已完成的工程价款</w:t>
                  </w:r>
                </w:p>
              </w:tc>
              <w:tc>
                <w:tcPr>
                  <w:tcW w:w="1340" w:type="dxa"/>
                  <w:noWrap w:val="0"/>
                  <w:vAlign w:val="top"/>
                </w:tcPr>
                <w:p w14:paraId="19F2F265">
                  <w:pPr>
                    <w:spacing w:line="280" w:lineRule="exact"/>
                    <w:rPr>
                      <w:rFonts w:hint="eastAsia"/>
                      <w:color w:val="auto"/>
                      <w:highlight w:val="none"/>
                    </w:rPr>
                  </w:pPr>
                </w:p>
              </w:tc>
              <w:tc>
                <w:tcPr>
                  <w:tcW w:w="1440" w:type="dxa"/>
                  <w:noWrap w:val="0"/>
                  <w:vAlign w:val="top"/>
                </w:tcPr>
                <w:p w14:paraId="0763BAEC">
                  <w:pPr>
                    <w:spacing w:line="280" w:lineRule="exact"/>
                    <w:rPr>
                      <w:rFonts w:hint="eastAsia"/>
                      <w:color w:val="auto"/>
                      <w:highlight w:val="none"/>
                    </w:rPr>
                  </w:pPr>
                </w:p>
              </w:tc>
              <w:tc>
                <w:tcPr>
                  <w:tcW w:w="1260" w:type="dxa"/>
                  <w:noWrap w:val="0"/>
                  <w:vAlign w:val="top"/>
                </w:tcPr>
                <w:p w14:paraId="6B6951C8">
                  <w:pPr>
                    <w:spacing w:line="280" w:lineRule="exact"/>
                    <w:rPr>
                      <w:rFonts w:hint="eastAsia"/>
                      <w:color w:val="auto"/>
                      <w:highlight w:val="none"/>
                    </w:rPr>
                  </w:pPr>
                </w:p>
              </w:tc>
              <w:tc>
                <w:tcPr>
                  <w:tcW w:w="931" w:type="dxa"/>
                  <w:noWrap w:val="0"/>
                  <w:vAlign w:val="top"/>
                </w:tcPr>
                <w:p w14:paraId="39FB466B">
                  <w:pPr>
                    <w:spacing w:line="280" w:lineRule="exact"/>
                    <w:rPr>
                      <w:rFonts w:hint="eastAsia"/>
                      <w:color w:val="auto"/>
                      <w:highlight w:val="none"/>
                    </w:rPr>
                  </w:pPr>
                </w:p>
              </w:tc>
            </w:tr>
            <w:tr w14:paraId="3405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6686DCB">
                  <w:pPr>
                    <w:spacing w:line="280" w:lineRule="exact"/>
                    <w:jc w:val="center"/>
                    <w:rPr>
                      <w:rFonts w:hint="eastAsia"/>
                      <w:color w:val="auto"/>
                      <w:highlight w:val="none"/>
                    </w:rPr>
                  </w:pPr>
                </w:p>
              </w:tc>
              <w:tc>
                <w:tcPr>
                  <w:tcW w:w="3340" w:type="dxa"/>
                  <w:noWrap w:val="0"/>
                  <w:vAlign w:val="top"/>
                </w:tcPr>
                <w:p w14:paraId="318D991B">
                  <w:pPr>
                    <w:spacing w:line="280" w:lineRule="exact"/>
                    <w:rPr>
                      <w:rFonts w:hint="eastAsia"/>
                      <w:color w:val="auto"/>
                      <w:highlight w:val="none"/>
                    </w:rPr>
                  </w:pPr>
                  <w:r>
                    <w:rPr>
                      <w:rFonts w:hint="eastAsia"/>
                      <w:color w:val="auto"/>
                      <w:highlight w:val="none"/>
                    </w:rPr>
                    <w:t>其中：人工费</w:t>
                  </w:r>
                </w:p>
              </w:tc>
              <w:tc>
                <w:tcPr>
                  <w:tcW w:w="1340" w:type="dxa"/>
                  <w:noWrap w:val="0"/>
                  <w:vAlign w:val="top"/>
                </w:tcPr>
                <w:p w14:paraId="7F7E4E05">
                  <w:pPr>
                    <w:spacing w:line="280" w:lineRule="exact"/>
                    <w:rPr>
                      <w:rFonts w:hint="eastAsia"/>
                      <w:color w:val="auto"/>
                      <w:highlight w:val="none"/>
                    </w:rPr>
                  </w:pPr>
                </w:p>
              </w:tc>
              <w:tc>
                <w:tcPr>
                  <w:tcW w:w="1440" w:type="dxa"/>
                  <w:noWrap w:val="0"/>
                  <w:vAlign w:val="top"/>
                </w:tcPr>
                <w:p w14:paraId="6A9832EE">
                  <w:pPr>
                    <w:spacing w:line="280" w:lineRule="exact"/>
                    <w:rPr>
                      <w:rFonts w:hint="eastAsia"/>
                      <w:color w:val="auto"/>
                      <w:highlight w:val="none"/>
                    </w:rPr>
                  </w:pPr>
                </w:p>
              </w:tc>
              <w:tc>
                <w:tcPr>
                  <w:tcW w:w="1260" w:type="dxa"/>
                  <w:noWrap w:val="0"/>
                  <w:vAlign w:val="top"/>
                </w:tcPr>
                <w:p w14:paraId="4208293F">
                  <w:pPr>
                    <w:spacing w:line="280" w:lineRule="exact"/>
                    <w:rPr>
                      <w:rFonts w:hint="eastAsia"/>
                      <w:color w:val="auto"/>
                      <w:highlight w:val="none"/>
                    </w:rPr>
                  </w:pPr>
                </w:p>
              </w:tc>
              <w:tc>
                <w:tcPr>
                  <w:tcW w:w="931" w:type="dxa"/>
                  <w:noWrap w:val="0"/>
                  <w:vAlign w:val="top"/>
                </w:tcPr>
                <w:p w14:paraId="34DD8874">
                  <w:pPr>
                    <w:spacing w:line="280" w:lineRule="exact"/>
                    <w:rPr>
                      <w:rFonts w:hint="eastAsia"/>
                      <w:color w:val="auto"/>
                      <w:highlight w:val="none"/>
                    </w:rPr>
                  </w:pPr>
                </w:p>
              </w:tc>
            </w:tr>
            <w:tr w14:paraId="13F2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12FCC9B">
                  <w:pPr>
                    <w:spacing w:line="280" w:lineRule="exact"/>
                    <w:jc w:val="center"/>
                    <w:rPr>
                      <w:rFonts w:hint="eastAsia"/>
                      <w:color w:val="auto"/>
                      <w:highlight w:val="none"/>
                    </w:rPr>
                  </w:pPr>
                  <w:r>
                    <w:rPr>
                      <w:rFonts w:hint="eastAsia"/>
                      <w:color w:val="auto"/>
                      <w:highlight w:val="none"/>
                    </w:rPr>
                    <w:t>2</w:t>
                  </w:r>
                </w:p>
              </w:tc>
              <w:tc>
                <w:tcPr>
                  <w:tcW w:w="3340" w:type="dxa"/>
                  <w:noWrap w:val="0"/>
                  <w:vAlign w:val="top"/>
                </w:tcPr>
                <w:p w14:paraId="18EA9480">
                  <w:pPr>
                    <w:spacing w:line="280" w:lineRule="exact"/>
                    <w:rPr>
                      <w:rFonts w:hint="eastAsia"/>
                      <w:color w:val="auto"/>
                      <w:highlight w:val="none"/>
                    </w:rPr>
                  </w:pPr>
                  <w:r>
                    <w:rPr>
                      <w:rFonts w:hint="eastAsia"/>
                      <w:color w:val="auto"/>
                      <w:highlight w:val="none"/>
                    </w:rPr>
                    <w:t>累计已实际支付的工程价款</w:t>
                  </w:r>
                </w:p>
              </w:tc>
              <w:tc>
                <w:tcPr>
                  <w:tcW w:w="1340" w:type="dxa"/>
                  <w:noWrap w:val="0"/>
                  <w:vAlign w:val="top"/>
                </w:tcPr>
                <w:p w14:paraId="783E6A9E">
                  <w:pPr>
                    <w:spacing w:line="280" w:lineRule="exact"/>
                    <w:rPr>
                      <w:rFonts w:hint="eastAsia"/>
                      <w:color w:val="auto"/>
                      <w:highlight w:val="none"/>
                    </w:rPr>
                  </w:pPr>
                </w:p>
              </w:tc>
              <w:tc>
                <w:tcPr>
                  <w:tcW w:w="1440" w:type="dxa"/>
                  <w:noWrap w:val="0"/>
                  <w:vAlign w:val="top"/>
                </w:tcPr>
                <w:p w14:paraId="12AEA3CA">
                  <w:pPr>
                    <w:spacing w:line="280" w:lineRule="exact"/>
                    <w:rPr>
                      <w:rFonts w:hint="eastAsia"/>
                      <w:color w:val="auto"/>
                      <w:highlight w:val="none"/>
                    </w:rPr>
                  </w:pPr>
                </w:p>
              </w:tc>
              <w:tc>
                <w:tcPr>
                  <w:tcW w:w="1260" w:type="dxa"/>
                  <w:noWrap w:val="0"/>
                  <w:vAlign w:val="top"/>
                </w:tcPr>
                <w:p w14:paraId="1B46D8FD">
                  <w:pPr>
                    <w:spacing w:line="280" w:lineRule="exact"/>
                    <w:rPr>
                      <w:rFonts w:hint="eastAsia"/>
                      <w:color w:val="auto"/>
                      <w:highlight w:val="none"/>
                    </w:rPr>
                  </w:pPr>
                </w:p>
              </w:tc>
              <w:tc>
                <w:tcPr>
                  <w:tcW w:w="931" w:type="dxa"/>
                  <w:noWrap w:val="0"/>
                  <w:vAlign w:val="top"/>
                </w:tcPr>
                <w:p w14:paraId="322F7D61">
                  <w:pPr>
                    <w:spacing w:line="280" w:lineRule="exact"/>
                    <w:rPr>
                      <w:rFonts w:hint="eastAsia"/>
                      <w:color w:val="auto"/>
                      <w:highlight w:val="none"/>
                    </w:rPr>
                  </w:pPr>
                </w:p>
              </w:tc>
            </w:tr>
            <w:tr w14:paraId="39CA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7600833">
                  <w:pPr>
                    <w:spacing w:line="280" w:lineRule="exact"/>
                    <w:jc w:val="center"/>
                    <w:rPr>
                      <w:rFonts w:hint="eastAsia"/>
                      <w:color w:val="auto"/>
                      <w:highlight w:val="none"/>
                    </w:rPr>
                  </w:pPr>
                </w:p>
              </w:tc>
              <w:tc>
                <w:tcPr>
                  <w:tcW w:w="3340" w:type="dxa"/>
                  <w:noWrap w:val="0"/>
                  <w:vAlign w:val="top"/>
                </w:tcPr>
                <w:p w14:paraId="2C716B49">
                  <w:pPr>
                    <w:spacing w:line="280" w:lineRule="exact"/>
                    <w:rPr>
                      <w:rFonts w:hint="eastAsia"/>
                      <w:color w:val="auto"/>
                      <w:highlight w:val="none"/>
                    </w:rPr>
                  </w:pPr>
                  <w:r>
                    <w:rPr>
                      <w:rFonts w:hint="eastAsia"/>
                      <w:color w:val="auto"/>
                      <w:highlight w:val="none"/>
                    </w:rPr>
                    <w:t>其中：人工费</w:t>
                  </w:r>
                </w:p>
              </w:tc>
              <w:tc>
                <w:tcPr>
                  <w:tcW w:w="1340" w:type="dxa"/>
                  <w:noWrap w:val="0"/>
                  <w:vAlign w:val="top"/>
                </w:tcPr>
                <w:p w14:paraId="7710E212">
                  <w:pPr>
                    <w:spacing w:line="280" w:lineRule="exact"/>
                    <w:rPr>
                      <w:rFonts w:hint="eastAsia"/>
                      <w:color w:val="auto"/>
                      <w:highlight w:val="none"/>
                    </w:rPr>
                  </w:pPr>
                </w:p>
              </w:tc>
              <w:tc>
                <w:tcPr>
                  <w:tcW w:w="1440" w:type="dxa"/>
                  <w:noWrap w:val="0"/>
                  <w:vAlign w:val="top"/>
                </w:tcPr>
                <w:p w14:paraId="7FFEB3EC">
                  <w:pPr>
                    <w:spacing w:line="280" w:lineRule="exact"/>
                    <w:rPr>
                      <w:rFonts w:hint="eastAsia"/>
                      <w:color w:val="auto"/>
                      <w:highlight w:val="none"/>
                    </w:rPr>
                  </w:pPr>
                </w:p>
              </w:tc>
              <w:tc>
                <w:tcPr>
                  <w:tcW w:w="1260" w:type="dxa"/>
                  <w:noWrap w:val="0"/>
                  <w:vAlign w:val="top"/>
                </w:tcPr>
                <w:p w14:paraId="3FC765B5">
                  <w:pPr>
                    <w:spacing w:line="280" w:lineRule="exact"/>
                    <w:rPr>
                      <w:rFonts w:hint="eastAsia"/>
                      <w:color w:val="auto"/>
                      <w:highlight w:val="none"/>
                    </w:rPr>
                  </w:pPr>
                </w:p>
              </w:tc>
              <w:tc>
                <w:tcPr>
                  <w:tcW w:w="931" w:type="dxa"/>
                  <w:noWrap w:val="0"/>
                  <w:vAlign w:val="top"/>
                </w:tcPr>
                <w:p w14:paraId="5B818C7F">
                  <w:pPr>
                    <w:spacing w:line="280" w:lineRule="exact"/>
                    <w:rPr>
                      <w:rFonts w:hint="eastAsia"/>
                      <w:color w:val="auto"/>
                      <w:highlight w:val="none"/>
                    </w:rPr>
                  </w:pPr>
                </w:p>
              </w:tc>
            </w:tr>
            <w:tr w14:paraId="3F68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CF89A4B">
                  <w:pPr>
                    <w:spacing w:line="280" w:lineRule="exact"/>
                    <w:jc w:val="center"/>
                    <w:rPr>
                      <w:rFonts w:hint="eastAsia"/>
                      <w:color w:val="auto"/>
                      <w:highlight w:val="none"/>
                    </w:rPr>
                  </w:pPr>
                  <w:r>
                    <w:rPr>
                      <w:rFonts w:hint="eastAsia"/>
                      <w:color w:val="auto"/>
                      <w:highlight w:val="none"/>
                    </w:rPr>
                    <w:t>3</w:t>
                  </w:r>
                </w:p>
              </w:tc>
              <w:tc>
                <w:tcPr>
                  <w:tcW w:w="3340" w:type="dxa"/>
                  <w:noWrap w:val="0"/>
                  <w:vAlign w:val="top"/>
                </w:tcPr>
                <w:p w14:paraId="6EFF5255">
                  <w:pPr>
                    <w:spacing w:line="280" w:lineRule="exact"/>
                    <w:rPr>
                      <w:rFonts w:hint="eastAsia"/>
                      <w:color w:val="auto"/>
                      <w:highlight w:val="none"/>
                    </w:rPr>
                  </w:pPr>
                  <w:r>
                    <w:rPr>
                      <w:rFonts w:hint="eastAsia"/>
                      <w:color w:val="auto"/>
                      <w:highlight w:val="none"/>
                    </w:rPr>
                    <w:t>本周期已完成的工程价款</w:t>
                  </w:r>
                </w:p>
              </w:tc>
              <w:tc>
                <w:tcPr>
                  <w:tcW w:w="1340" w:type="dxa"/>
                  <w:noWrap w:val="0"/>
                  <w:vAlign w:val="top"/>
                </w:tcPr>
                <w:p w14:paraId="0D95EB8E">
                  <w:pPr>
                    <w:spacing w:line="280" w:lineRule="exact"/>
                    <w:rPr>
                      <w:rFonts w:hint="eastAsia"/>
                      <w:color w:val="auto"/>
                      <w:highlight w:val="none"/>
                    </w:rPr>
                  </w:pPr>
                </w:p>
              </w:tc>
              <w:tc>
                <w:tcPr>
                  <w:tcW w:w="1440" w:type="dxa"/>
                  <w:noWrap w:val="0"/>
                  <w:vAlign w:val="top"/>
                </w:tcPr>
                <w:p w14:paraId="490AFC3E">
                  <w:pPr>
                    <w:spacing w:line="280" w:lineRule="exact"/>
                    <w:rPr>
                      <w:rFonts w:hint="eastAsia"/>
                      <w:color w:val="auto"/>
                      <w:highlight w:val="none"/>
                    </w:rPr>
                  </w:pPr>
                </w:p>
              </w:tc>
              <w:tc>
                <w:tcPr>
                  <w:tcW w:w="1260" w:type="dxa"/>
                  <w:noWrap w:val="0"/>
                  <w:vAlign w:val="top"/>
                </w:tcPr>
                <w:p w14:paraId="334C9A5F">
                  <w:pPr>
                    <w:spacing w:line="280" w:lineRule="exact"/>
                    <w:rPr>
                      <w:rFonts w:hint="eastAsia"/>
                      <w:color w:val="auto"/>
                      <w:highlight w:val="none"/>
                    </w:rPr>
                  </w:pPr>
                </w:p>
              </w:tc>
              <w:tc>
                <w:tcPr>
                  <w:tcW w:w="931" w:type="dxa"/>
                  <w:noWrap w:val="0"/>
                  <w:vAlign w:val="top"/>
                </w:tcPr>
                <w:p w14:paraId="1C349DE2">
                  <w:pPr>
                    <w:spacing w:line="280" w:lineRule="exact"/>
                    <w:rPr>
                      <w:rFonts w:hint="eastAsia"/>
                      <w:color w:val="auto"/>
                      <w:highlight w:val="none"/>
                    </w:rPr>
                  </w:pPr>
                </w:p>
              </w:tc>
            </w:tr>
            <w:tr w14:paraId="321B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5FAD2FD">
                  <w:pPr>
                    <w:spacing w:line="280" w:lineRule="exact"/>
                    <w:jc w:val="center"/>
                    <w:rPr>
                      <w:rFonts w:hint="eastAsia"/>
                      <w:color w:val="auto"/>
                      <w:highlight w:val="none"/>
                    </w:rPr>
                  </w:pPr>
                </w:p>
              </w:tc>
              <w:tc>
                <w:tcPr>
                  <w:tcW w:w="3340" w:type="dxa"/>
                  <w:noWrap w:val="0"/>
                  <w:vAlign w:val="top"/>
                </w:tcPr>
                <w:p w14:paraId="4F61362A">
                  <w:pPr>
                    <w:spacing w:line="280" w:lineRule="exact"/>
                    <w:rPr>
                      <w:rFonts w:hint="eastAsia"/>
                      <w:color w:val="auto"/>
                      <w:highlight w:val="none"/>
                    </w:rPr>
                  </w:pPr>
                  <w:r>
                    <w:rPr>
                      <w:rFonts w:hint="eastAsia"/>
                      <w:color w:val="auto"/>
                      <w:highlight w:val="none"/>
                    </w:rPr>
                    <w:t>其中：人工费</w:t>
                  </w:r>
                </w:p>
              </w:tc>
              <w:tc>
                <w:tcPr>
                  <w:tcW w:w="1340" w:type="dxa"/>
                  <w:noWrap w:val="0"/>
                  <w:vAlign w:val="top"/>
                </w:tcPr>
                <w:p w14:paraId="333C3FAB">
                  <w:pPr>
                    <w:spacing w:line="280" w:lineRule="exact"/>
                    <w:rPr>
                      <w:rFonts w:hint="eastAsia"/>
                      <w:color w:val="auto"/>
                      <w:highlight w:val="none"/>
                    </w:rPr>
                  </w:pPr>
                </w:p>
              </w:tc>
              <w:tc>
                <w:tcPr>
                  <w:tcW w:w="1440" w:type="dxa"/>
                  <w:noWrap w:val="0"/>
                  <w:vAlign w:val="top"/>
                </w:tcPr>
                <w:p w14:paraId="3402F029">
                  <w:pPr>
                    <w:spacing w:line="280" w:lineRule="exact"/>
                    <w:rPr>
                      <w:rFonts w:hint="eastAsia"/>
                      <w:color w:val="auto"/>
                      <w:highlight w:val="none"/>
                    </w:rPr>
                  </w:pPr>
                </w:p>
              </w:tc>
              <w:tc>
                <w:tcPr>
                  <w:tcW w:w="1260" w:type="dxa"/>
                  <w:noWrap w:val="0"/>
                  <w:vAlign w:val="top"/>
                </w:tcPr>
                <w:p w14:paraId="4D8B1AD9">
                  <w:pPr>
                    <w:spacing w:line="280" w:lineRule="exact"/>
                    <w:rPr>
                      <w:rFonts w:hint="eastAsia"/>
                      <w:color w:val="auto"/>
                      <w:highlight w:val="none"/>
                    </w:rPr>
                  </w:pPr>
                </w:p>
              </w:tc>
              <w:tc>
                <w:tcPr>
                  <w:tcW w:w="931" w:type="dxa"/>
                  <w:noWrap w:val="0"/>
                  <w:vAlign w:val="top"/>
                </w:tcPr>
                <w:p w14:paraId="24E8B87C">
                  <w:pPr>
                    <w:spacing w:line="280" w:lineRule="exact"/>
                    <w:rPr>
                      <w:rFonts w:hint="eastAsia"/>
                      <w:color w:val="auto"/>
                      <w:highlight w:val="none"/>
                    </w:rPr>
                  </w:pPr>
                </w:p>
              </w:tc>
            </w:tr>
            <w:tr w14:paraId="2F96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6FECD49">
                  <w:pPr>
                    <w:spacing w:line="280" w:lineRule="exact"/>
                    <w:jc w:val="center"/>
                    <w:rPr>
                      <w:rFonts w:hint="eastAsia"/>
                      <w:color w:val="auto"/>
                      <w:highlight w:val="none"/>
                    </w:rPr>
                  </w:pPr>
                  <w:r>
                    <w:rPr>
                      <w:rFonts w:hint="eastAsia"/>
                      <w:color w:val="auto"/>
                      <w:highlight w:val="none"/>
                    </w:rPr>
                    <w:t>4</w:t>
                  </w:r>
                </w:p>
              </w:tc>
              <w:tc>
                <w:tcPr>
                  <w:tcW w:w="3340" w:type="dxa"/>
                  <w:noWrap w:val="0"/>
                  <w:vAlign w:val="top"/>
                </w:tcPr>
                <w:p w14:paraId="28D06473">
                  <w:pPr>
                    <w:spacing w:line="280" w:lineRule="exact"/>
                    <w:rPr>
                      <w:rFonts w:hint="eastAsia"/>
                      <w:color w:val="auto"/>
                      <w:highlight w:val="none"/>
                    </w:rPr>
                  </w:pPr>
                  <w:r>
                    <w:rPr>
                      <w:rFonts w:hint="eastAsia"/>
                      <w:color w:val="auto"/>
                      <w:highlight w:val="none"/>
                    </w:rPr>
                    <w:t>本周期应扣减的金额</w:t>
                  </w:r>
                </w:p>
              </w:tc>
              <w:tc>
                <w:tcPr>
                  <w:tcW w:w="1340" w:type="dxa"/>
                  <w:noWrap w:val="0"/>
                  <w:vAlign w:val="top"/>
                </w:tcPr>
                <w:p w14:paraId="73A2F592">
                  <w:pPr>
                    <w:spacing w:line="280" w:lineRule="exact"/>
                    <w:rPr>
                      <w:rFonts w:hint="eastAsia"/>
                      <w:color w:val="auto"/>
                      <w:highlight w:val="none"/>
                    </w:rPr>
                  </w:pPr>
                </w:p>
              </w:tc>
              <w:tc>
                <w:tcPr>
                  <w:tcW w:w="1440" w:type="dxa"/>
                  <w:noWrap w:val="0"/>
                  <w:vAlign w:val="top"/>
                </w:tcPr>
                <w:p w14:paraId="276C642D">
                  <w:pPr>
                    <w:spacing w:line="280" w:lineRule="exact"/>
                    <w:rPr>
                      <w:rFonts w:hint="eastAsia"/>
                      <w:color w:val="auto"/>
                      <w:highlight w:val="none"/>
                    </w:rPr>
                  </w:pPr>
                </w:p>
              </w:tc>
              <w:tc>
                <w:tcPr>
                  <w:tcW w:w="1260" w:type="dxa"/>
                  <w:noWrap w:val="0"/>
                  <w:vAlign w:val="top"/>
                </w:tcPr>
                <w:p w14:paraId="4A990055">
                  <w:pPr>
                    <w:spacing w:line="280" w:lineRule="exact"/>
                    <w:rPr>
                      <w:rFonts w:hint="eastAsia"/>
                      <w:color w:val="auto"/>
                      <w:highlight w:val="none"/>
                    </w:rPr>
                  </w:pPr>
                </w:p>
              </w:tc>
              <w:tc>
                <w:tcPr>
                  <w:tcW w:w="931" w:type="dxa"/>
                  <w:noWrap w:val="0"/>
                  <w:vAlign w:val="top"/>
                </w:tcPr>
                <w:p w14:paraId="7BAF40F3">
                  <w:pPr>
                    <w:spacing w:line="280" w:lineRule="exact"/>
                    <w:rPr>
                      <w:rFonts w:hint="eastAsia"/>
                      <w:color w:val="auto"/>
                      <w:highlight w:val="none"/>
                    </w:rPr>
                  </w:pPr>
                </w:p>
              </w:tc>
            </w:tr>
            <w:tr w14:paraId="654D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C63B98C">
                  <w:pPr>
                    <w:spacing w:line="280" w:lineRule="exact"/>
                    <w:jc w:val="center"/>
                    <w:rPr>
                      <w:rFonts w:hint="eastAsia"/>
                      <w:color w:val="auto"/>
                      <w:highlight w:val="none"/>
                    </w:rPr>
                  </w:pPr>
                  <w:r>
                    <w:rPr>
                      <w:rFonts w:hint="eastAsia"/>
                      <w:color w:val="auto"/>
                      <w:highlight w:val="none"/>
                    </w:rPr>
                    <w:t>4.1</w:t>
                  </w:r>
                </w:p>
              </w:tc>
              <w:tc>
                <w:tcPr>
                  <w:tcW w:w="3340" w:type="dxa"/>
                  <w:noWrap w:val="0"/>
                  <w:vAlign w:val="top"/>
                </w:tcPr>
                <w:p w14:paraId="7CD285F0">
                  <w:pPr>
                    <w:spacing w:line="280" w:lineRule="exact"/>
                    <w:rPr>
                      <w:rFonts w:hint="eastAsia"/>
                      <w:color w:val="auto"/>
                      <w:highlight w:val="none"/>
                    </w:rPr>
                  </w:pPr>
                  <w:r>
                    <w:rPr>
                      <w:rFonts w:hint="eastAsia"/>
                      <w:color w:val="auto"/>
                      <w:highlight w:val="none"/>
                    </w:rPr>
                    <w:t>本周期实际应抵扣的预付款</w:t>
                  </w:r>
                </w:p>
              </w:tc>
              <w:tc>
                <w:tcPr>
                  <w:tcW w:w="1340" w:type="dxa"/>
                  <w:noWrap w:val="0"/>
                  <w:vAlign w:val="top"/>
                </w:tcPr>
                <w:p w14:paraId="38DBD17A">
                  <w:pPr>
                    <w:spacing w:line="280" w:lineRule="exact"/>
                    <w:rPr>
                      <w:rFonts w:hint="eastAsia"/>
                      <w:color w:val="auto"/>
                      <w:highlight w:val="none"/>
                    </w:rPr>
                  </w:pPr>
                </w:p>
              </w:tc>
              <w:tc>
                <w:tcPr>
                  <w:tcW w:w="1440" w:type="dxa"/>
                  <w:noWrap w:val="0"/>
                  <w:vAlign w:val="top"/>
                </w:tcPr>
                <w:p w14:paraId="7523CE0E">
                  <w:pPr>
                    <w:spacing w:line="280" w:lineRule="exact"/>
                    <w:rPr>
                      <w:rFonts w:hint="eastAsia"/>
                      <w:color w:val="auto"/>
                      <w:highlight w:val="none"/>
                    </w:rPr>
                  </w:pPr>
                </w:p>
              </w:tc>
              <w:tc>
                <w:tcPr>
                  <w:tcW w:w="1260" w:type="dxa"/>
                  <w:noWrap w:val="0"/>
                  <w:vAlign w:val="top"/>
                </w:tcPr>
                <w:p w14:paraId="5449458F">
                  <w:pPr>
                    <w:spacing w:line="280" w:lineRule="exact"/>
                    <w:rPr>
                      <w:rFonts w:hint="eastAsia"/>
                      <w:color w:val="auto"/>
                      <w:highlight w:val="none"/>
                    </w:rPr>
                  </w:pPr>
                </w:p>
              </w:tc>
              <w:tc>
                <w:tcPr>
                  <w:tcW w:w="931" w:type="dxa"/>
                  <w:noWrap w:val="0"/>
                  <w:vAlign w:val="top"/>
                </w:tcPr>
                <w:p w14:paraId="21AFACB6">
                  <w:pPr>
                    <w:spacing w:line="280" w:lineRule="exact"/>
                    <w:rPr>
                      <w:rFonts w:hint="eastAsia"/>
                      <w:color w:val="auto"/>
                      <w:highlight w:val="none"/>
                    </w:rPr>
                  </w:pPr>
                </w:p>
              </w:tc>
            </w:tr>
            <w:tr w14:paraId="17AE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6B719D1">
                  <w:pPr>
                    <w:spacing w:line="280" w:lineRule="exact"/>
                    <w:jc w:val="center"/>
                    <w:rPr>
                      <w:rFonts w:hint="eastAsia"/>
                      <w:color w:val="auto"/>
                      <w:highlight w:val="none"/>
                    </w:rPr>
                  </w:pPr>
                  <w:r>
                    <w:rPr>
                      <w:rFonts w:hint="eastAsia"/>
                      <w:color w:val="auto"/>
                      <w:highlight w:val="none"/>
                    </w:rPr>
                    <w:t>4.2</w:t>
                  </w:r>
                </w:p>
              </w:tc>
              <w:tc>
                <w:tcPr>
                  <w:tcW w:w="3340" w:type="dxa"/>
                  <w:noWrap w:val="0"/>
                  <w:vAlign w:val="top"/>
                </w:tcPr>
                <w:p w14:paraId="36A75F25">
                  <w:pPr>
                    <w:spacing w:line="280" w:lineRule="exact"/>
                    <w:rPr>
                      <w:rFonts w:hint="eastAsia"/>
                      <w:color w:val="auto"/>
                      <w:highlight w:val="none"/>
                    </w:rPr>
                  </w:pPr>
                  <w:r>
                    <w:rPr>
                      <w:rFonts w:hint="eastAsia"/>
                      <w:color w:val="auto"/>
                      <w:highlight w:val="none"/>
                    </w:rPr>
                    <w:t>本周期应扣减的金额</w:t>
                  </w:r>
                </w:p>
              </w:tc>
              <w:tc>
                <w:tcPr>
                  <w:tcW w:w="1340" w:type="dxa"/>
                  <w:noWrap w:val="0"/>
                  <w:vAlign w:val="top"/>
                </w:tcPr>
                <w:p w14:paraId="5D227A3D">
                  <w:pPr>
                    <w:spacing w:line="280" w:lineRule="exact"/>
                    <w:rPr>
                      <w:rFonts w:hint="eastAsia"/>
                      <w:color w:val="auto"/>
                      <w:highlight w:val="none"/>
                    </w:rPr>
                  </w:pPr>
                </w:p>
              </w:tc>
              <w:tc>
                <w:tcPr>
                  <w:tcW w:w="1440" w:type="dxa"/>
                  <w:noWrap w:val="0"/>
                  <w:vAlign w:val="top"/>
                </w:tcPr>
                <w:p w14:paraId="5BBEAC4B">
                  <w:pPr>
                    <w:spacing w:line="280" w:lineRule="exact"/>
                    <w:rPr>
                      <w:rFonts w:hint="eastAsia"/>
                      <w:color w:val="auto"/>
                      <w:highlight w:val="none"/>
                    </w:rPr>
                  </w:pPr>
                </w:p>
              </w:tc>
              <w:tc>
                <w:tcPr>
                  <w:tcW w:w="1260" w:type="dxa"/>
                  <w:noWrap w:val="0"/>
                  <w:vAlign w:val="top"/>
                </w:tcPr>
                <w:p w14:paraId="17843220">
                  <w:pPr>
                    <w:spacing w:line="280" w:lineRule="exact"/>
                    <w:rPr>
                      <w:rFonts w:hint="eastAsia"/>
                      <w:color w:val="auto"/>
                      <w:highlight w:val="none"/>
                    </w:rPr>
                  </w:pPr>
                </w:p>
              </w:tc>
              <w:tc>
                <w:tcPr>
                  <w:tcW w:w="931" w:type="dxa"/>
                  <w:noWrap w:val="0"/>
                  <w:vAlign w:val="top"/>
                </w:tcPr>
                <w:p w14:paraId="0165788A">
                  <w:pPr>
                    <w:spacing w:line="280" w:lineRule="exact"/>
                    <w:rPr>
                      <w:rFonts w:hint="eastAsia"/>
                      <w:color w:val="auto"/>
                      <w:highlight w:val="none"/>
                    </w:rPr>
                  </w:pPr>
                </w:p>
              </w:tc>
            </w:tr>
            <w:tr w14:paraId="3F5C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035909A">
                  <w:pPr>
                    <w:spacing w:line="280" w:lineRule="exact"/>
                    <w:jc w:val="center"/>
                    <w:rPr>
                      <w:rFonts w:hint="eastAsia"/>
                      <w:color w:val="auto"/>
                      <w:highlight w:val="none"/>
                    </w:rPr>
                  </w:pPr>
                  <w:r>
                    <w:rPr>
                      <w:rFonts w:hint="eastAsia"/>
                      <w:color w:val="auto"/>
                      <w:highlight w:val="none"/>
                    </w:rPr>
                    <w:t>5</w:t>
                  </w:r>
                </w:p>
              </w:tc>
              <w:tc>
                <w:tcPr>
                  <w:tcW w:w="3340" w:type="dxa"/>
                  <w:noWrap w:val="0"/>
                  <w:vAlign w:val="top"/>
                </w:tcPr>
                <w:p w14:paraId="27200056">
                  <w:pPr>
                    <w:spacing w:line="280" w:lineRule="exact"/>
                    <w:rPr>
                      <w:rFonts w:hint="eastAsia"/>
                      <w:color w:val="auto"/>
                      <w:highlight w:val="none"/>
                    </w:rPr>
                  </w:pPr>
                  <w:r>
                    <w:rPr>
                      <w:rFonts w:hint="eastAsia"/>
                      <w:color w:val="auto"/>
                      <w:highlight w:val="none"/>
                    </w:rPr>
                    <w:t>本周期应支付的合同价款</w:t>
                  </w:r>
                </w:p>
              </w:tc>
              <w:tc>
                <w:tcPr>
                  <w:tcW w:w="1340" w:type="dxa"/>
                  <w:noWrap w:val="0"/>
                  <w:vAlign w:val="top"/>
                </w:tcPr>
                <w:p w14:paraId="1A40ACA2">
                  <w:pPr>
                    <w:spacing w:line="280" w:lineRule="exact"/>
                    <w:rPr>
                      <w:rFonts w:hint="eastAsia"/>
                      <w:color w:val="auto"/>
                      <w:highlight w:val="none"/>
                    </w:rPr>
                  </w:pPr>
                </w:p>
              </w:tc>
              <w:tc>
                <w:tcPr>
                  <w:tcW w:w="1440" w:type="dxa"/>
                  <w:noWrap w:val="0"/>
                  <w:vAlign w:val="top"/>
                </w:tcPr>
                <w:p w14:paraId="0592950E">
                  <w:pPr>
                    <w:spacing w:line="280" w:lineRule="exact"/>
                    <w:rPr>
                      <w:rFonts w:hint="eastAsia"/>
                      <w:color w:val="auto"/>
                      <w:highlight w:val="none"/>
                    </w:rPr>
                  </w:pPr>
                </w:p>
              </w:tc>
              <w:tc>
                <w:tcPr>
                  <w:tcW w:w="1260" w:type="dxa"/>
                  <w:noWrap w:val="0"/>
                  <w:vAlign w:val="top"/>
                </w:tcPr>
                <w:p w14:paraId="1D5D0913">
                  <w:pPr>
                    <w:spacing w:line="280" w:lineRule="exact"/>
                    <w:rPr>
                      <w:rFonts w:hint="eastAsia"/>
                      <w:color w:val="auto"/>
                      <w:highlight w:val="none"/>
                    </w:rPr>
                  </w:pPr>
                </w:p>
              </w:tc>
              <w:tc>
                <w:tcPr>
                  <w:tcW w:w="931" w:type="dxa"/>
                  <w:noWrap w:val="0"/>
                  <w:vAlign w:val="top"/>
                </w:tcPr>
                <w:p w14:paraId="3A6CCF74">
                  <w:pPr>
                    <w:spacing w:line="280" w:lineRule="exact"/>
                    <w:rPr>
                      <w:rFonts w:hint="eastAsia"/>
                      <w:color w:val="auto"/>
                      <w:highlight w:val="none"/>
                    </w:rPr>
                  </w:pPr>
                </w:p>
              </w:tc>
            </w:tr>
            <w:tr w14:paraId="48D3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F24DF0F">
                  <w:pPr>
                    <w:spacing w:line="280" w:lineRule="exact"/>
                    <w:jc w:val="center"/>
                    <w:rPr>
                      <w:rFonts w:hint="eastAsia"/>
                      <w:color w:val="auto"/>
                      <w:highlight w:val="none"/>
                    </w:rPr>
                  </w:pPr>
                </w:p>
              </w:tc>
              <w:tc>
                <w:tcPr>
                  <w:tcW w:w="3340" w:type="dxa"/>
                  <w:noWrap w:val="0"/>
                  <w:vAlign w:val="top"/>
                </w:tcPr>
                <w:p w14:paraId="4344BF9F">
                  <w:pPr>
                    <w:spacing w:line="280" w:lineRule="exact"/>
                    <w:rPr>
                      <w:rFonts w:hint="eastAsia"/>
                      <w:color w:val="auto"/>
                      <w:highlight w:val="none"/>
                    </w:rPr>
                  </w:pPr>
                  <w:r>
                    <w:rPr>
                      <w:rFonts w:hint="eastAsia"/>
                      <w:color w:val="auto"/>
                      <w:highlight w:val="none"/>
                    </w:rPr>
                    <w:t>其中：人工费</w:t>
                  </w:r>
                </w:p>
              </w:tc>
              <w:tc>
                <w:tcPr>
                  <w:tcW w:w="1340" w:type="dxa"/>
                  <w:noWrap w:val="0"/>
                  <w:vAlign w:val="top"/>
                </w:tcPr>
                <w:p w14:paraId="4A87B6B5">
                  <w:pPr>
                    <w:spacing w:line="280" w:lineRule="exact"/>
                    <w:rPr>
                      <w:rFonts w:hint="eastAsia"/>
                      <w:color w:val="auto"/>
                      <w:highlight w:val="none"/>
                    </w:rPr>
                  </w:pPr>
                </w:p>
              </w:tc>
              <w:tc>
                <w:tcPr>
                  <w:tcW w:w="1440" w:type="dxa"/>
                  <w:noWrap w:val="0"/>
                  <w:vAlign w:val="top"/>
                </w:tcPr>
                <w:p w14:paraId="664E6BE4">
                  <w:pPr>
                    <w:spacing w:line="280" w:lineRule="exact"/>
                    <w:rPr>
                      <w:rFonts w:hint="eastAsia"/>
                      <w:color w:val="auto"/>
                      <w:highlight w:val="none"/>
                    </w:rPr>
                  </w:pPr>
                </w:p>
              </w:tc>
              <w:tc>
                <w:tcPr>
                  <w:tcW w:w="1260" w:type="dxa"/>
                  <w:noWrap w:val="0"/>
                  <w:vAlign w:val="top"/>
                </w:tcPr>
                <w:p w14:paraId="3C60A01E">
                  <w:pPr>
                    <w:spacing w:line="280" w:lineRule="exact"/>
                    <w:rPr>
                      <w:rFonts w:hint="eastAsia"/>
                      <w:color w:val="auto"/>
                      <w:highlight w:val="none"/>
                    </w:rPr>
                  </w:pPr>
                </w:p>
              </w:tc>
              <w:tc>
                <w:tcPr>
                  <w:tcW w:w="931" w:type="dxa"/>
                  <w:noWrap w:val="0"/>
                  <w:vAlign w:val="top"/>
                </w:tcPr>
                <w:p w14:paraId="2A2A0C6A">
                  <w:pPr>
                    <w:spacing w:line="280" w:lineRule="exact"/>
                    <w:rPr>
                      <w:rFonts w:hint="eastAsia"/>
                      <w:color w:val="auto"/>
                      <w:highlight w:val="none"/>
                    </w:rPr>
                  </w:pPr>
                </w:p>
              </w:tc>
            </w:tr>
          </w:tbl>
          <w:p w14:paraId="688C1078">
            <w:pPr>
              <w:wordWrap w:val="0"/>
              <w:spacing w:line="400" w:lineRule="exact"/>
              <w:ind w:right="420"/>
              <w:rPr>
                <w:rFonts w:hint="eastAsia"/>
                <w:color w:val="auto"/>
                <w:highlight w:val="none"/>
              </w:rPr>
            </w:pPr>
            <w:r>
              <w:rPr>
                <w:rFonts w:hint="eastAsia"/>
                <w:color w:val="auto"/>
                <w:highlight w:val="none"/>
              </w:rPr>
              <w:t>附：上述3、4详见附件清单。</w:t>
            </w:r>
          </w:p>
          <w:p w14:paraId="42164709">
            <w:pPr>
              <w:wordWrap w:val="0"/>
              <w:spacing w:line="400" w:lineRule="exact"/>
              <w:ind w:right="420"/>
              <w:rPr>
                <w:rFonts w:hint="eastAsia"/>
                <w:color w:val="auto"/>
                <w:highlight w:val="none"/>
              </w:rPr>
            </w:pPr>
            <w:r>
              <w:rPr>
                <w:rFonts w:hint="eastAsia"/>
                <w:color w:val="auto"/>
                <w:highlight w:val="none"/>
              </w:rPr>
              <w:t xml:space="preserve">                                            承包人（章）             </w:t>
            </w:r>
          </w:p>
          <w:p w14:paraId="083616EB">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025B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2D66F648">
            <w:pPr>
              <w:spacing w:line="360" w:lineRule="exact"/>
              <w:rPr>
                <w:rFonts w:hint="eastAsia"/>
                <w:color w:val="auto"/>
                <w:highlight w:val="none"/>
              </w:rPr>
            </w:pPr>
            <w:r>
              <w:rPr>
                <w:rFonts w:hint="eastAsia"/>
                <w:color w:val="auto"/>
                <w:highlight w:val="none"/>
              </w:rPr>
              <w:t>复核意见：</w:t>
            </w:r>
          </w:p>
          <w:p w14:paraId="39E6EBA7">
            <w:pPr>
              <w:spacing w:line="360" w:lineRule="exact"/>
              <w:ind w:firstLine="312"/>
              <w:rPr>
                <w:rFonts w:hint="eastAsia"/>
                <w:color w:val="auto"/>
                <w:highlight w:val="none"/>
              </w:rPr>
            </w:pPr>
            <w:r>
              <w:rPr>
                <w:rFonts w:hint="eastAsia"/>
                <w:color w:val="auto"/>
                <w:highlight w:val="none"/>
              </w:rPr>
              <w:t>□与实际施工情况不相符，修改意见见附件。</w:t>
            </w:r>
          </w:p>
          <w:p w14:paraId="252681B9">
            <w:pPr>
              <w:spacing w:line="360" w:lineRule="exact"/>
              <w:ind w:firstLine="312"/>
              <w:rPr>
                <w:rFonts w:hint="eastAsia"/>
                <w:color w:val="auto"/>
                <w:highlight w:val="none"/>
              </w:rPr>
            </w:pPr>
            <w:r>
              <w:rPr>
                <w:rFonts w:hint="eastAsia"/>
                <w:color w:val="auto"/>
                <w:highlight w:val="none"/>
              </w:rPr>
              <w:t>□与实际施工情况相符，具体金额由造价工程师复核。</w:t>
            </w:r>
          </w:p>
          <w:p w14:paraId="1AF83BA7">
            <w:pPr>
              <w:spacing w:line="360" w:lineRule="exact"/>
              <w:ind w:firstLine="435"/>
              <w:jc w:val="right"/>
              <w:rPr>
                <w:rFonts w:hint="eastAsia"/>
                <w:color w:val="auto"/>
                <w:highlight w:val="none"/>
              </w:rPr>
            </w:pPr>
          </w:p>
          <w:p w14:paraId="4D57B868">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监理工程师</w:t>
            </w:r>
            <w:r>
              <w:rPr>
                <w:rFonts w:hint="eastAsia"/>
                <w:color w:val="auto"/>
                <w:highlight w:val="none"/>
                <w:u w:val="single"/>
              </w:rPr>
              <w:t xml:space="preserve">           </w:t>
            </w:r>
          </w:p>
          <w:p w14:paraId="30C13204">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52" w:type="dxa"/>
            <w:noWrap w:val="0"/>
            <w:vAlign w:val="top"/>
          </w:tcPr>
          <w:p w14:paraId="23210FD7">
            <w:pPr>
              <w:spacing w:line="360" w:lineRule="exact"/>
              <w:rPr>
                <w:rFonts w:hint="eastAsia"/>
                <w:color w:val="auto"/>
                <w:highlight w:val="none"/>
              </w:rPr>
            </w:pPr>
            <w:r>
              <w:rPr>
                <w:rFonts w:hint="eastAsia"/>
                <w:color w:val="auto"/>
                <w:highlight w:val="none"/>
              </w:rPr>
              <w:t>复核意见：</w:t>
            </w:r>
          </w:p>
          <w:p w14:paraId="77E61B26">
            <w:pPr>
              <w:spacing w:line="360" w:lineRule="exact"/>
              <w:ind w:firstLine="435"/>
              <w:rPr>
                <w:rFonts w:hint="eastAsia"/>
                <w:color w:val="auto"/>
                <w:highlight w:val="none"/>
              </w:rPr>
            </w:pPr>
            <w:r>
              <w:rPr>
                <w:rFonts w:hint="eastAsia"/>
                <w:color w:val="auto"/>
                <w:highlight w:val="none"/>
              </w:rPr>
              <w:t>你方提出的支付申请经复核，本周期已完成工程价款为(大写)</w:t>
            </w:r>
            <w:r>
              <w:rPr>
                <w:rFonts w:hint="eastAsia"/>
                <w:color w:val="auto"/>
                <w:highlight w:val="none"/>
                <w:u w:val="single"/>
              </w:rPr>
              <w:t xml:space="preserve">                </w:t>
            </w:r>
            <w:r>
              <w:rPr>
                <w:rFonts w:hint="eastAsia"/>
                <w:color w:val="auto"/>
                <w:highlight w:val="none"/>
              </w:rPr>
              <w:t>元，（小写）</w:t>
            </w:r>
          </w:p>
          <w:p w14:paraId="39789B06">
            <w:pPr>
              <w:spacing w:line="360" w:lineRule="exact"/>
              <w:rPr>
                <w:rFonts w:hint="eastAsia"/>
                <w:color w:val="auto"/>
                <w:highlight w:val="none"/>
              </w:rPr>
            </w:pPr>
            <w:r>
              <w:rPr>
                <w:rFonts w:hint="eastAsia"/>
                <w:color w:val="auto"/>
                <w:highlight w:val="none"/>
                <w:u w:val="single"/>
              </w:rPr>
              <w:t xml:space="preserve">          </w:t>
            </w:r>
            <w:r>
              <w:rPr>
                <w:rFonts w:hint="eastAsia"/>
                <w:color w:val="auto"/>
                <w:highlight w:val="none"/>
              </w:rPr>
              <w:t xml:space="preserve"> 元，本期间应支付金额为（大写）</w:t>
            </w:r>
          </w:p>
          <w:p w14:paraId="26E00BC2">
            <w:pPr>
              <w:spacing w:line="360" w:lineRule="exact"/>
              <w:rPr>
                <w:rFonts w:hint="eastAsia"/>
                <w:color w:val="auto"/>
                <w:highlight w:val="none"/>
                <w:u w:val="single"/>
              </w:rPr>
            </w:pP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w:t>
            </w:r>
          </w:p>
          <w:p w14:paraId="2AC7BC86">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造价工程师</w:t>
            </w:r>
            <w:r>
              <w:rPr>
                <w:rFonts w:hint="eastAsia"/>
                <w:color w:val="auto"/>
                <w:highlight w:val="none"/>
                <w:u w:val="single"/>
              </w:rPr>
              <w:t xml:space="preserve">           </w:t>
            </w:r>
          </w:p>
          <w:p w14:paraId="69215181">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74A8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4FD36902">
            <w:pPr>
              <w:spacing w:line="400" w:lineRule="exact"/>
              <w:rPr>
                <w:rFonts w:hint="eastAsia"/>
                <w:color w:val="auto"/>
                <w:highlight w:val="none"/>
              </w:rPr>
            </w:pPr>
            <w:r>
              <w:rPr>
                <w:rFonts w:hint="eastAsia"/>
                <w:color w:val="auto"/>
                <w:highlight w:val="none"/>
              </w:rPr>
              <w:t>审核意见：</w:t>
            </w:r>
          </w:p>
          <w:p w14:paraId="2BF567DA">
            <w:pPr>
              <w:spacing w:line="400" w:lineRule="exact"/>
              <w:ind w:firstLine="435"/>
              <w:rPr>
                <w:rFonts w:hint="eastAsia"/>
                <w:color w:val="auto"/>
                <w:highlight w:val="none"/>
              </w:rPr>
            </w:pPr>
            <w:r>
              <w:rPr>
                <w:rFonts w:hint="eastAsia"/>
                <w:color w:val="auto"/>
                <w:highlight w:val="none"/>
              </w:rPr>
              <w:t>□不同意。</w:t>
            </w:r>
          </w:p>
          <w:p w14:paraId="04E06ABF">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08CD88F9">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13FC6EED">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68ACB3DB">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1AFA5865">
      <w:pPr>
        <w:spacing w:before="156"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4FB933A8">
      <w:pPr>
        <w:spacing w:before="156" w:beforeLines="50"/>
        <w:ind w:left="720" w:hanging="720" w:hangingChars="400"/>
        <w:rPr>
          <w:rFonts w:hint="eastAsia"/>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64307FFD">
      <w:pPr>
        <w:jc w:val="left"/>
        <w:rPr>
          <w:rFonts w:hint="eastAsia"/>
          <w:color w:val="auto"/>
          <w:sz w:val="30"/>
          <w:szCs w:val="30"/>
          <w:highlight w:val="none"/>
        </w:rPr>
      </w:pPr>
    </w:p>
    <w:p w14:paraId="026E0839">
      <w:pPr>
        <w:jc w:val="left"/>
        <w:rPr>
          <w:rFonts w:hint="eastAsia"/>
          <w:color w:val="auto"/>
          <w:sz w:val="30"/>
          <w:szCs w:val="30"/>
          <w:highlight w:val="none"/>
        </w:rPr>
      </w:pPr>
    </w:p>
    <w:p w14:paraId="6EDF8F88">
      <w:pPr>
        <w:jc w:val="left"/>
        <w:rPr>
          <w:rFonts w:hint="eastAsia"/>
          <w:color w:val="auto"/>
          <w:sz w:val="30"/>
          <w:szCs w:val="30"/>
          <w:highlight w:val="none"/>
        </w:rPr>
      </w:pPr>
      <w:r>
        <w:rPr>
          <w:rFonts w:hint="eastAsia"/>
          <w:color w:val="auto"/>
          <w:sz w:val="30"/>
          <w:szCs w:val="30"/>
          <w:highlight w:val="none"/>
        </w:rPr>
        <w:t>附件12</w:t>
      </w:r>
    </w:p>
    <w:p w14:paraId="2028C322">
      <w:pPr>
        <w:jc w:val="center"/>
        <w:rPr>
          <w:rFonts w:hint="eastAsia"/>
          <w:b/>
          <w:color w:val="auto"/>
          <w:sz w:val="36"/>
          <w:szCs w:val="36"/>
          <w:highlight w:val="none"/>
        </w:rPr>
      </w:pPr>
      <w:r>
        <w:rPr>
          <w:rFonts w:hint="eastAsia"/>
          <w:b/>
          <w:color w:val="auto"/>
          <w:sz w:val="36"/>
          <w:szCs w:val="36"/>
          <w:highlight w:val="none"/>
        </w:rPr>
        <w:t>竣工结算款支付申请（核准）表</w:t>
      </w:r>
    </w:p>
    <w:p w14:paraId="57544059">
      <w:pPr>
        <w:rPr>
          <w:rFonts w:hint="eastAsia"/>
          <w:color w:val="auto"/>
          <w:sz w:val="24"/>
          <w:highlight w:val="none"/>
        </w:rPr>
      </w:pPr>
      <w:r>
        <w:rPr>
          <w:rFonts w:hint="eastAsia"/>
          <w:color w:val="auto"/>
          <w:sz w:val="24"/>
          <w:highlight w:val="none"/>
        </w:rPr>
        <w:t>工程名称：                                              编号：</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6D60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noWrap w:val="0"/>
            <w:vAlign w:val="top"/>
          </w:tcPr>
          <w:p w14:paraId="38DAF47C">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6506DD07">
            <w:pPr>
              <w:spacing w:line="400" w:lineRule="exact"/>
              <w:ind w:left="-4" w:leftChars="-2"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期间已完成了合同约定的工作，根据施工合同的约定，现申请支付竣工结算的工程款额为(大写)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5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1D33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6041C8F1">
                  <w:pPr>
                    <w:spacing w:line="280" w:lineRule="exact"/>
                    <w:jc w:val="center"/>
                    <w:rPr>
                      <w:rFonts w:hint="eastAsia"/>
                      <w:color w:val="auto"/>
                      <w:highlight w:val="none"/>
                    </w:rPr>
                  </w:pPr>
                  <w:r>
                    <w:rPr>
                      <w:rFonts w:hint="eastAsia"/>
                      <w:color w:val="auto"/>
                      <w:highlight w:val="none"/>
                    </w:rPr>
                    <w:t>序号</w:t>
                  </w:r>
                </w:p>
              </w:tc>
              <w:tc>
                <w:tcPr>
                  <w:tcW w:w="3420" w:type="dxa"/>
                  <w:noWrap w:val="0"/>
                  <w:vAlign w:val="center"/>
                </w:tcPr>
                <w:p w14:paraId="2CCB8331">
                  <w:pPr>
                    <w:spacing w:line="280" w:lineRule="exact"/>
                    <w:jc w:val="center"/>
                    <w:rPr>
                      <w:rFonts w:hint="eastAsia"/>
                      <w:color w:val="auto"/>
                      <w:highlight w:val="none"/>
                    </w:rPr>
                  </w:pPr>
                  <w:r>
                    <w:rPr>
                      <w:rFonts w:hint="eastAsia"/>
                      <w:color w:val="auto"/>
                      <w:highlight w:val="none"/>
                    </w:rPr>
                    <w:t>名      称</w:t>
                  </w:r>
                </w:p>
              </w:tc>
              <w:tc>
                <w:tcPr>
                  <w:tcW w:w="1620" w:type="dxa"/>
                  <w:noWrap w:val="0"/>
                  <w:vAlign w:val="center"/>
                </w:tcPr>
                <w:p w14:paraId="42B3B692">
                  <w:pPr>
                    <w:spacing w:line="280" w:lineRule="exact"/>
                    <w:jc w:val="center"/>
                    <w:rPr>
                      <w:rFonts w:hint="eastAsia"/>
                      <w:color w:val="auto"/>
                      <w:highlight w:val="none"/>
                    </w:rPr>
                  </w:pPr>
                  <w:r>
                    <w:rPr>
                      <w:rFonts w:hint="eastAsia"/>
                      <w:color w:val="auto"/>
                      <w:highlight w:val="none"/>
                    </w:rPr>
                    <w:t>申请金额（元）</w:t>
                  </w:r>
                </w:p>
              </w:tc>
              <w:tc>
                <w:tcPr>
                  <w:tcW w:w="1620" w:type="dxa"/>
                  <w:noWrap w:val="0"/>
                  <w:vAlign w:val="center"/>
                </w:tcPr>
                <w:p w14:paraId="61BA3C43">
                  <w:pPr>
                    <w:spacing w:line="280" w:lineRule="exact"/>
                    <w:jc w:val="center"/>
                    <w:rPr>
                      <w:rFonts w:hint="eastAsia"/>
                      <w:color w:val="auto"/>
                      <w:highlight w:val="none"/>
                    </w:rPr>
                  </w:pPr>
                  <w:r>
                    <w:rPr>
                      <w:rFonts w:hint="eastAsia"/>
                      <w:color w:val="auto"/>
                      <w:highlight w:val="none"/>
                    </w:rPr>
                    <w:t>复核金额（元）</w:t>
                  </w:r>
                </w:p>
              </w:tc>
              <w:tc>
                <w:tcPr>
                  <w:tcW w:w="1651" w:type="dxa"/>
                  <w:noWrap w:val="0"/>
                  <w:vAlign w:val="center"/>
                </w:tcPr>
                <w:p w14:paraId="4E80E217">
                  <w:pPr>
                    <w:spacing w:line="280" w:lineRule="exact"/>
                    <w:jc w:val="center"/>
                    <w:rPr>
                      <w:rFonts w:hint="eastAsia"/>
                      <w:color w:val="auto"/>
                      <w:highlight w:val="none"/>
                    </w:rPr>
                  </w:pPr>
                  <w:r>
                    <w:rPr>
                      <w:rFonts w:hint="eastAsia"/>
                      <w:color w:val="auto"/>
                      <w:highlight w:val="none"/>
                    </w:rPr>
                    <w:t>备注</w:t>
                  </w:r>
                </w:p>
              </w:tc>
            </w:tr>
            <w:tr w14:paraId="194C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33E2C75">
                  <w:pPr>
                    <w:spacing w:line="280" w:lineRule="exact"/>
                    <w:jc w:val="center"/>
                    <w:rPr>
                      <w:rFonts w:hint="eastAsia"/>
                      <w:color w:val="auto"/>
                      <w:highlight w:val="none"/>
                    </w:rPr>
                  </w:pPr>
                  <w:r>
                    <w:rPr>
                      <w:rFonts w:hint="eastAsia"/>
                      <w:color w:val="auto"/>
                      <w:highlight w:val="none"/>
                    </w:rPr>
                    <w:t>1</w:t>
                  </w:r>
                </w:p>
              </w:tc>
              <w:tc>
                <w:tcPr>
                  <w:tcW w:w="3420" w:type="dxa"/>
                  <w:noWrap w:val="0"/>
                  <w:vAlign w:val="top"/>
                </w:tcPr>
                <w:p w14:paraId="59851AEE">
                  <w:pPr>
                    <w:spacing w:line="280" w:lineRule="exact"/>
                    <w:rPr>
                      <w:rFonts w:hint="eastAsia"/>
                      <w:color w:val="auto"/>
                      <w:highlight w:val="none"/>
                    </w:rPr>
                  </w:pPr>
                  <w:r>
                    <w:rPr>
                      <w:rFonts w:hint="eastAsia"/>
                      <w:color w:val="auto"/>
                      <w:highlight w:val="none"/>
                    </w:rPr>
                    <w:t>竣工结算合同价款总额</w:t>
                  </w:r>
                </w:p>
              </w:tc>
              <w:tc>
                <w:tcPr>
                  <w:tcW w:w="1620" w:type="dxa"/>
                  <w:noWrap w:val="0"/>
                  <w:vAlign w:val="top"/>
                </w:tcPr>
                <w:p w14:paraId="41FEABB4">
                  <w:pPr>
                    <w:spacing w:line="280" w:lineRule="exact"/>
                    <w:rPr>
                      <w:rFonts w:hint="eastAsia"/>
                      <w:color w:val="auto"/>
                      <w:highlight w:val="none"/>
                    </w:rPr>
                  </w:pPr>
                </w:p>
              </w:tc>
              <w:tc>
                <w:tcPr>
                  <w:tcW w:w="1620" w:type="dxa"/>
                  <w:noWrap w:val="0"/>
                  <w:vAlign w:val="top"/>
                </w:tcPr>
                <w:p w14:paraId="71225A01">
                  <w:pPr>
                    <w:spacing w:line="280" w:lineRule="exact"/>
                    <w:rPr>
                      <w:rFonts w:hint="eastAsia"/>
                      <w:color w:val="auto"/>
                      <w:highlight w:val="none"/>
                    </w:rPr>
                  </w:pPr>
                </w:p>
              </w:tc>
              <w:tc>
                <w:tcPr>
                  <w:tcW w:w="1651" w:type="dxa"/>
                  <w:noWrap w:val="0"/>
                  <w:vAlign w:val="top"/>
                </w:tcPr>
                <w:p w14:paraId="3A2F4385">
                  <w:pPr>
                    <w:spacing w:line="280" w:lineRule="exact"/>
                    <w:rPr>
                      <w:rFonts w:hint="eastAsia"/>
                      <w:color w:val="auto"/>
                      <w:highlight w:val="none"/>
                    </w:rPr>
                  </w:pPr>
                </w:p>
              </w:tc>
            </w:tr>
            <w:tr w14:paraId="5CBF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04C902C">
                  <w:pPr>
                    <w:spacing w:line="280" w:lineRule="exact"/>
                    <w:jc w:val="center"/>
                    <w:rPr>
                      <w:rFonts w:hint="eastAsia"/>
                      <w:color w:val="auto"/>
                      <w:highlight w:val="none"/>
                    </w:rPr>
                  </w:pPr>
                  <w:r>
                    <w:rPr>
                      <w:rFonts w:hint="eastAsia"/>
                      <w:color w:val="auto"/>
                      <w:highlight w:val="none"/>
                    </w:rPr>
                    <w:t>2</w:t>
                  </w:r>
                </w:p>
              </w:tc>
              <w:tc>
                <w:tcPr>
                  <w:tcW w:w="3420" w:type="dxa"/>
                  <w:noWrap w:val="0"/>
                  <w:vAlign w:val="top"/>
                </w:tcPr>
                <w:p w14:paraId="4699C5AD">
                  <w:pPr>
                    <w:spacing w:line="280" w:lineRule="exact"/>
                    <w:rPr>
                      <w:rFonts w:hint="eastAsia"/>
                      <w:color w:val="auto"/>
                      <w:highlight w:val="none"/>
                    </w:rPr>
                  </w:pPr>
                  <w:r>
                    <w:rPr>
                      <w:rFonts w:hint="eastAsia"/>
                      <w:color w:val="auto"/>
                      <w:highlight w:val="none"/>
                    </w:rPr>
                    <w:t>累计已实际支付的合同价款</w:t>
                  </w:r>
                </w:p>
              </w:tc>
              <w:tc>
                <w:tcPr>
                  <w:tcW w:w="1620" w:type="dxa"/>
                  <w:noWrap w:val="0"/>
                  <w:vAlign w:val="top"/>
                </w:tcPr>
                <w:p w14:paraId="67674FC4">
                  <w:pPr>
                    <w:spacing w:line="280" w:lineRule="exact"/>
                    <w:rPr>
                      <w:rFonts w:hint="eastAsia"/>
                      <w:color w:val="auto"/>
                      <w:highlight w:val="none"/>
                    </w:rPr>
                  </w:pPr>
                </w:p>
              </w:tc>
              <w:tc>
                <w:tcPr>
                  <w:tcW w:w="1620" w:type="dxa"/>
                  <w:noWrap w:val="0"/>
                  <w:vAlign w:val="top"/>
                </w:tcPr>
                <w:p w14:paraId="73545A6E">
                  <w:pPr>
                    <w:spacing w:line="280" w:lineRule="exact"/>
                    <w:rPr>
                      <w:rFonts w:hint="eastAsia"/>
                      <w:color w:val="auto"/>
                      <w:highlight w:val="none"/>
                    </w:rPr>
                  </w:pPr>
                </w:p>
              </w:tc>
              <w:tc>
                <w:tcPr>
                  <w:tcW w:w="1651" w:type="dxa"/>
                  <w:noWrap w:val="0"/>
                  <w:vAlign w:val="top"/>
                </w:tcPr>
                <w:p w14:paraId="2DC3023B">
                  <w:pPr>
                    <w:spacing w:line="280" w:lineRule="exact"/>
                    <w:rPr>
                      <w:rFonts w:hint="eastAsia"/>
                      <w:color w:val="auto"/>
                      <w:highlight w:val="none"/>
                    </w:rPr>
                  </w:pPr>
                </w:p>
              </w:tc>
            </w:tr>
            <w:tr w14:paraId="3FBF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D337400">
                  <w:pPr>
                    <w:spacing w:line="280" w:lineRule="exact"/>
                    <w:jc w:val="center"/>
                    <w:rPr>
                      <w:rFonts w:hint="eastAsia"/>
                      <w:color w:val="auto"/>
                      <w:highlight w:val="none"/>
                    </w:rPr>
                  </w:pPr>
                  <w:r>
                    <w:rPr>
                      <w:rFonts w:hint="eastAsia"/>
                      <w:color w:val="auto"/>
                      <w:highlight w:val="none"/>
                    </w:rPr>
                    <w:t>3</w:t>
                  </w:r>
                </w:p>
              </w:tc>
              <w:tc>
                <w:tcPr>
                  <w:tcW w:w="3420" w:type="dxa"/>
                  <w:noWrap w:val="0"/>
                  <w:vAlign w:val="top"/>
                </w:tcPr>
                <w:p w14:paraId="54C8175B">
                  <w:pPr>
                    <w:spacing w:line="280" w:lineRule="exact"/>
                    <w:rPr>
                      <w:rFonts w:hint="eastAsia"/>
                      <w:color w:val="auto"/>
                      <w:highlight w:val="none"/>
                    </w:rPr>
                  </w:pPr>
                  <w:r>
                    <w:rPr>
                      <w:rFonts w:hint="eastAsia"/>
                      <w:color w:val="auto"/>
                      <w:highlight w:val="none"/>
                    </w:rPr>
                    <w:t>应预留的质量保证金</w:t>
                  </w:r>
                </w:p>
              </w:tc>
              <w:tc>
                <w:tcPr>
                  <w:tcW w:w="1620" w:type="dxa"/>
                  <w:noWrap w:val="0"/>
                  <w:vAlign w:val="top"/>
                </w:tcPr>
                <w:p w14:paraId="1882C181">
                  <w:pPr>
                    <w:spacing w:line="280" w:lineRule="exact"/>
                    <w:rPr>
                      <w:rFonts w:hint="eastAsia"/>
                      <w:color w:val="auto"/>
                      <w:highlight w:val="none"/>
                    </w:rPr>
                  </w:pPr>
                </w:p>
              </w:tc>
              <w:tc>
                <w:tcPr>
                  <w:tcW w:w="1620" w:type="dxa"/>
                  <w:noWrap w:val="0"/>
                  <w:vAlign w:val="top"/>
                </w:tcPr>
                <w:p w14:paraId="352FF76F">
                  <w:pPr>
                    <w:spacing w:line="280" w:lineRule="exact"/>
                    <w:rPr>
                      <w:rFonts w:hint="eastAsia"/>
                      <w:color w:val="auto"/>
                      <w:highlight w:val="none"/>
                    </w:rPr>
                  </w:pPr>
                </w:p>
              </w:tc>
              <w:tc>
                <w:tcPr>
                  <w:tcW w:w="1651" w:type="dxa"/>
                  <w:noWrap w:val="0"/>
                  <w:vAlign w:val="top"/>
                </w:tcPr>
                <w:p w14:paraId="066F077D">
                  <w:pPr>
                    <w:spacing w:line="280" w:lineRule="exact"/>
                    <w:rPr>
                      <w:rFonts w:hint="eastAsia"/>
                      <w:color w:val="auto"/>
                      <w:highlight w:val="none"/>
                    </w:rPr>
                  </w:pPr>
                </w:p>
              </w:tc>
            </w:tr>
            <w:tr w14:paraId="7CAE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E33D698">
                  <w:pPr>
                    <w:spacing w:line="280" w:lineRule="exact"/>
                    <w:jc w:val="center"/>
                    <w:rPr>
                      <w:rFonts w:hint="eastAsia"/>
                      <w:color w:val="auto"/>
                      <w:highlight w:val="none"/>
                    </w:rPr>
                  </w:pPr>
                  <w:r>
                    <w:rPr>
                      <w:rFonts w:hint="eastAsia"/>
                      <w:color w:val="auto"/>
                      <w:highlight w:val="none"/>
                    </w:rPr>
                    <w:t>4</w:t>
                  </w:r>
                </w:p>
              </w:tc>
              <w:tc>
                <w:tcPr>
                  <w:tcW w:w="3420" w:type="dxa"/>
                  <w:noWrap w:val="0"/>
                  <w:vAlign w:val="top"/>
                </w:tcPr>
                <w:p w14:paraId="546AEC0B">
                  <w:pPr>
                    <w:spacing w:line="280" w:lineRule="exact"/>
                    <w:rPr>
                      <w:rFonts w:hint="eastAsia"/>
                      <w:color w:val="auto"/>
                      <w:highlight w:val="none"/>
                    </w:rPr>
                  </w:pPr>
                  <w:r>
                    <w:rPr>
                      <w:rFonts w:hint="eastAsia"/>
                      <w:color w:val="auto"/>
                      <w:highlight w:val="none"/>
                    </w:rPr>
                    <w:t>应支付的竣工结算款金额</w:t>
                  </w:r>
                </w:p>
              </w:tc>
              <w:tc>
                <w:tcPr>
                  <w:tcW w:w="1620" w:type="dxa"/>
                  <w:noWrap w:val="0"/>
                  <w:vAlign w:val="top"/>
                </w:tcPr>
                <w:p w14:paraId="70CEEF8D">
                  <w:pPr>
                    <w:spacing w:line="280" w:lineRule="exact"/>
                    <w:rPr>
                      <w:rFonts w:hint="eastAsia"/>
                      <w:color w:val="auto"/>
                      <w:highlight w:val="none"/>
                    </w:rPr>
                  </w:pPr>
                </w:p>
              </w:tc>
              <w:tc>
                <w:tcPr>
                  <w:tcW w:w="1620" w:type="dxa"/>
                  <w:noWrap w:val="0"/>
                  <w:vAlign w:val="top"/>
                </w:tcPr>
                <w:p w14:paraId="688AD49D">
                  <w:pPr>
                    <w:spacing w:line="280" w:lineRule="exact"/>
                    <w:rPr>
                      <w:rFonts w:hint="eastAsia"/>
                      <w:color w:val="auto"/>
                      <w:highlight w:val="none"/>
                    </w:rPr>
                  </w:pPr>
                </w:p>
              </w:tc>
              <w:tc>
                <w:tcPr>
                  <w:tcW w:w="1651" w:type="dxa"/>
                  <w:noWrap w:val="0"/>
                  <w:vAlign w:val="top"/>
                </w:tcPr>
                <w:p w14:paraId="363DFB6A">
                  <w:pPr>
                    <w:spacing w:line="280" w:lineRule="exact"/>
                    <w:rPr>
                      <w:rFonts w:hint="eastAsia"/>
                      <w:color w:val="auto"/>
                      <w:highlight w:val="none"/>
                    </w:rPr>
                  </w:pPr>
                </w:p>
              </w:tc>
            </w:tr>
            <w:tr w14:paraId="18B0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BC78269">
                  <w:pPr>
                    <w:spacing w:line="280" w:lineRule="exact"/>
                    <w:jc w:val="center"/>
                    <w:rPr>
                      <w:rFonts w:hint="eastAsia"/>
                      <w:color w:val="auto"/>
                      <w:highlight w:val="none"/>
                    </w:rPr>
                  </w:pPr>
                </w:p>
              </w:tc>
              <w:tc>
                <w:tcPr>
                  <w:tcW w:w="3420" w:type="dxa"/>
                  <w:noWrap w:val="0"/>
                  <w:vAlign w:val="top"/>
                </w:tcPr>
                <w:p w14:paraId="11EB7753">
                  <w:pPr>
                    <w:spacing w:line="280" w:lineRule="exact"/>
                    <w:rPr>
                      <w:rFonts w:hint="eastAsia"/>
                      <w:color w:val="auto"/>
                      <w:highlight w:val="none"/>
                    </w:rPr>
                  </w:pPr>
                </w:p>
              </w:tc>
              <w:tc>
                <w:tcPr>
                  <w:tcW w:w="1620" w:type="dxa"/>
                  <w:noWrap w:val="0"/>
                  <w:vAlign w:val="top"/>
                </w:tcPr>
                <w:p w14:paraId="0060462E">
                  <w:pPr>
                    <w:spacing w:line="280" w:lineRule="exact"/>
                    <w:rPr>
                      <w:rFonts w:hint="eastAsia"/>
                      <w:color w:val="auto"/>
                      <w:highlight w:val="none"/>
                    </w:rPr>
                  </w:pPr>
                </w:p>
              </w:tc>
              <w:tc>
                <w:tcPr>
                  <w:tcW w:w="1620" w:type="dxa"/>
                  <w:noWrap w:val="0"/>
                  <w:vAlign w:val="top"/>
                </w:tcPr>
                <w:p w14:paraId="3810BE4D">
                  <w:pPr>
                    <w:spacing w:line="280" w:lineRule="exact"/>
                    <w:rPr>
                      <w:rFonts w:hint="eastAsia"/>
                      <w:color w:val="auto"/>
                      <w:highlight w:val="none"/>
                    </w:rPr>
                  </w:pPr>
                </w:p>
              </w:tc>
              <w:tc>
                <w:tcPr>
                  <w:tcW w:w="1651" w:type="dxa"/>
                  <w:noWrap w:val="0"/>
                  <w:vAlign w:val="top"/>
                </w:tcPr>
                <w:p w14:paraId="7B77E1F4">
                  <w:pPr>
                    <w:spacing w:line="280" w:lineRule="exact"/>
                    <w:rPr>
                      <w:rFonts w:hint="eastAsia"/>
                      <w:color w:val="auto"/>
                      <w:highlight w:val="none"/>
                    </w:rPr>
                  </w:pPr>
                </w:p>
              </w:tc>
            </w:tr>
            <w:tr w14:paraId="75ED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DBD6EF8">
                  <w:pPr>
                    <w:spacing w:line="280" w:lineRule="exact"/>
                    <w:jc w:val="center"/>
                    <w:rPr>
                      <w:rFonts w:hint="eastAsia"/>
                      <w:color w:val="auto"/>
                      <w:highlight w:val="none"/>
                    </w:rPr>
                  </w:pPr>
                </w:p>
              </w:tc>
              <w:tc>
                <w:tcPr>
                  <w:tcW w:w="3420" w:type="dxa"/>
                  <w:noWrap w:val="0"/>
                  <w:vAlign w:val="top"/>
                </w:tcPr>
                <w:p w14:paraId="1BA7F498">
                  <w:pPr>
                    <w:spacing w:line="280" w:lineRule="exact"/>
                    <w:rPr>
                      <w:rFonts w:hint="eastAsia"/>
                      <w:color w:val="auto"/>
                      <w:highlight w:val="none"/>
                    </w:rPr>
                  </w:pPr>
                </w:p>
              </w:tc>
              <w:tc>
                <w:tcPr>
                  <w:tcW w:w="1620" w:type="dxa"/>
                  <w:noWrap w:val="0"/>
                  <w:vAlign w:val="top"/>
                </w:tcPr>
                <w:p w14:paraId="3F1E1B48">
                  <w:pPr>
                    <w:spacing w:line="280" w:lineRule="exact"/>
                    <w:rPr>
                      <w:rFonts w:hint="eastAsia"/>
                      <w:color w:val="auto"/>
                      <w:highlight w:val="none"/>
                    </w:rPr>
                  </w:pPr>
                </w:p>
              </w:tc>
              <w:tc>
                <w:tcPr>
                  <w:tcW w:w="1620" w:type="dxa"/>
                  <w:noWrap w:val="0"/>
                  <w:vAlign w:val="top"/>
                </w:tcPr>
                <w:p w14:paraId="42F20BE5">
                  <w:pPr>
                    <w:spacing w:line="280" w:lineRule="exact"/>
                    <w:rPr>
                      <w:rFonts w:hint="eastAsia"/>
                      <w:color w:val="auto"/>
                      <w:highlight w:val="none"/>
                    </w:rPr>
                  </w:pPr>
                </w:p>
              </w:tc>
              <w:tc>
                <w:tcPr>
                  <w:tcW w:w="1651" w:type="dxa"/>
                  <w:noWrap w:val="0"/>
                  <w:vAlign w:val="top"/>
                </w:tcPr>
                <w:p w14:paraId="2C1C002B">
                  <w:pPr>
                    <w:spacing w:line="280" w:lineRule="exact"/>
                    <w:rPr>
                      <w:rFonts w:hint="eastAsia"/>
                      <w:color w:val="auto"/>
                      <w:highlight w:val="none"/>
                    </w:rPr>
                  </w:pPr>
                </w:p>
              </w:tc>
            </w:tr>
            <w:tr w14:paraId="676A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4FA267A">
                  <w:pPr>
                    <w:spacing w:line="280" w:lineRule="exact"/>
                    <w:jc w:val="center"/>
                    <w:rPr>
                      <w:rFonts w:hint="eastAsia"/>
                      <w:color w:val="auto"/>
                      <w:highlight w:val="none"/>
                    </w:rPr>
                  </w:pPr>
                </w:p>
              </w:tc>
              <w:tc>
                <w:tcPr>
                  <w:tcW w:w="3420" w:type="dxa"/>
                  <w:noWrap w:val="0"/>
                  <w:vAlign w:val="top"/>
                </w:tcPr>
                <w:p w14:paraId="714B2D78">
                  <w:pPr>
                    <w:spacing w:line="280" w:lineRule="exact"/>
                    <w:rPr>
                      <w:rFonts w:hint="eastAsia"/>
                      <w:color w:val="auto"/>
                      <w:highlight w:val="none"/>
                    </w:rPr>
                  </w:pPr>
                </w:p>
              </w:tc>
              <w:tc>
                <w:tcPr>
                  <w:tcW w:w="1620" w:type="dxa"/>
                  <w:noWrap w:val="0"/>
                  <w:vAlign w:val="top"/>
                </w:tcPr>
                <w:p w14:paraId="7FE0DC08">
                  <w:pPr>
                    <w:spacing w:line="280" w:lineRule="exact"/>
                    <w:rPr>
                      <w:rFonts w:hint="eastAsia"/>
                      <w:color w:val="auto"/>
                      <w:highlight w:val="none"/>
                    </w:rPr>
                  </w:pPr>
                </w:p>
              </w:tc>
              <w:tc>
                <w:tcPr>
                  <w:tcW w:w="1620" w:type="dxa"/>
                  <w:noWrap w:val="0"/>
                  <w:vAlign w:val="top"/>
                </w:tcPr>
                <w:p w14:paraId="540335D5">
                  <w:pPr>
                    <w:spacing w:line="280" w:lineRule="exact"/>
                    <w:rPr>
                      <w:rFonts w:hint="eastAsia"/>
                      <w:color w:val="auto"/>
                      <w:highlight w:val="none"/>
                    </w:rPr>
                  </w:pPr>
                </w:p>
              </w:tc>
              <w:tc>
                <w:tcPr>
                  <w:tcW w:w="1651" w:type="dxa"/>
                  <w:noWrap w:val="0"/>
                  <w:vAlign w:val="top"/>
                </w:tcPr>
                <w:p w14:paraId="05140FEB">
                  <w:pPr>
                    <w:spacing w:line="280" w:lineRule="exact"/>
                    <w:rPr>
                      <w:rFonts w:hint="eastAsia"/>
                      <w:color w:val="auto"/>
                      <w:highlight w:val="none"/>
                    </w:rPr>
                  </w:pPr>
                </w:p>
              </w:tc>
            </w:tr>
            <w:tr w14:paraId="67F8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7B053AE">
                  <w:pPr>
                    <w:spacing w:line="280" w:lineRule="exact"/>
                    <w:jc w:val="center"/>
                    <w:rPr>
                      <w:rFonts w:hint="eastAsia"/>
                      <w:color w:val="auto"/>
                      <w:highlight w:val="none"/>
                    </w:rPr>
                  </w:pPr>
                </w:p>
              </w:tc>
              <w:tc>
                <w:tcPr>
                  <w:tcW w:w="3420" w:type="dxa"/>
                  <w:noWrap w:val="0"/>
                  <w:vAlign w:val="top"/>
                </w:tcPr>
                <w:p w14:paraId="1DAA34E4">
                  <w:pPr>
                    <w:spacing w:line="280" w:lineRule="exact"/>
                    <w:rPr>
                      <w:rFonts w:hint="eastAsia"/>
                      <w:color w:val="auto"/>
                      <w:highlight w:val="none"/>
                    </w:rPr>
                  </w:pPr>
                </w:p>
              </w:tc>
              <w:tc>
                <w:tcPr>
                  <w:tcW w:w="1620" w:type="dxa"/>
                  <w:noWrap w:val="0"/>
                  <w:vAlign w:val="top"/>
                </w:tcPr>
                <w:p w14:paraId="103979FE">
                  <w:pPr>
                    <w:spacing w:line="280" w:lineRule="exact"/>
                    <w:rPr>
                      <w:rFonts w:hint="eastAsia"/>
                      <w:color w:val="auto"/>
                      <w:highlight w:val="none"/>
                    </w:rPr>
                  </w:pPr>
                </w:p>
              </w:tc>
              <w:tc>
                <w:tcPr>
                  <w:tcW w:w="1620" w:type="dxa"/>
                  <w:noWrap w:val="0"/>
                  <w:vAlign w:val="top"/>
                </w:tcPr>
                <w:p w14:paraId="5D1249D4">
                  <w:pPr>
                    <w:spacing w:line="280" w:lineRule="exact"/>
                    <w:rPr>
                      <w:rFonts w:hint="eastAsia"/>
                      <w:color w:val="auto"/>
                      <w:highlight w:val="none"/>
                    </w:rPr>
                  </w:pPr>
                </w:p>
              </w:tc>
              <w:tc>
                <w:tcPr>
                  <w:tcW w:w="1651" w:type="dxa"/>
                  <w:noWrap w:val="0"/>
                  <w:vAlign w:val="top"/>
                </w:tcPr>
                <w:p w14:paraId="4A30E4B3">
                  <w:pPr>
                    <w:spacing w:line="280" w:lineRule="exact"/>
                    <w:rPr>
                      <w:rFonts w:hint="eastAsia"/>
                      <w:color w:val="auto"/>
                      <w:highlight w:val="none"/>
                    </w:rPr>
                  </w:pPr>
                </w:p>
              </w:tc>
            </w:tr>
            <w:tr w14:paraId="5AF3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AA33D36">
                  <w:pPr>
                    <w:spacing w:line="280" w:lineRule="exact"/>
                    <w:jc w:val="center"/>
                    <w:rPr>
                      <w:rFonts w:hint="eastAsia"/>
                      <w:color w:val="auto"/>
                      <w:highlight w:val="none"/>
                    </w:rPr>
                  </w:pPr>
                </w:p>
              </w:tc>
              <w:tc>
                <w:tcPr>
                  <w:tcW w:w="3420" w:type="dxa"/>
                  <w:noWrap w:val="0"/>
                  <w:vAlign w:val="top"/>
                </w:tcPr>
                <w:p w14:paraId="6A908EE2">
                  <w:pPr>
                    <w:spacing w:line="280" w:lineRule="exact"/>
                    <w:rPr>
                      <w:rFonts w:hint="eastAsia"/>
                      <w:color w:val="auto"/>
                      <w:highlight w:val="none"/>
                    </w:rPr>
                  </w:pPr>
                </w:p>
              </w:tc>
              <w:tc>
                <w:tcPr>
                  <w:tcW w:w="1620" w:type="dxa"/>
                  <w:noWrap w:val="0"/>
                  <w:vAlign w:val="top"/>
                </w:tcPr>
                <w:p w14:paraId="263CE21A">
                  <w:pPr>
                    <w:spacing w:line="280" w:lineRule="exact"/>
                    <w:rPr>
                      <w:rFonts w:hint="eastAsia"/>
                      <w:color w:val="auto"/>
                      <w:highlight w:val="none"/>
                    </w:rPr>
                  </w:pPr>
                </w:p>
              </w:tc>
              <w:tc>
                <w:tcPr>
                  <w:tcW w:w="1620" w:type="dxa"/>
                  <w:noWrap w:val="0"/>
                  <w:vAlign w:val="top"/>
                </w:tcPr>
                <w:p w14:paraId="29E31972">
                  <w:pPr>
                    <w:spacing w:line="280" w:lineRule="exact"/>
                    <w:rPr>
                      <w:rFonts w:hint="eastAsia"/>
                      <w:color w:val="auto"/>
                      <w:highlight w:val="none"/>
                    </w:rPr>
                  </w:pPr>
                </w:p>
              </w:tc>
              <w:tc>
                <w:tcPr>
                  <w:tcW w:w="1651" w:type="dxa"/>
                  <w:noWrap w:val="0"/>
                  <w:vAlign w:val="top"/>
                </w:tcPr>
                <w:p w14:paraId="5E83BB64">
                  <w:pPr>
                    <w:spacing w:line="280" w:lineRule="exact"/>
                    <w:rPr>
                      <w:rFonts w:hint="eastAsia"/>
                      <w:color w:val="auto"/>
                      <w:highlight w:val="none"/>
                    </w:rPr>
                  </w:pPr>
                </w:p>
              </w:tc>
            </w:tr>
          </w:tbl>
          <w:p w14:paraId="3F183EAC">
            <w:pPr>
              <w:spacing w:line="400" w:lineRule="exact"/>
              <w:ind w:right="420"/>
              <w:rPr>
                <w:rFonts w:hint="eastAsia"/>
                <w:color w:val="auto"/>
                <w:highlight w:val="none"/>
              </w:rPr>
            </w:pPr>
          </w:p>
          <w:p w14:paraId="6845D40D">
            <w:pPr>
              <w:spacing w:line="400" w:lineRule="exact"/>
              <w:ind w:right="420" w:firstLine="435"/>
              <w:jc w:val="center"/>
              <w:rPr>
                <w:rFonts w:hint="eastAsia"/>
                <w:color w:val="auto"/>
                <w:highlight w:val="none"/>
              </w:rPr>
            </w:pPr>
            <w:r>
              <w:rPr>
                <w:rFonts w:hint="eastAsia"/>
                <w:color w:val="auto"/>
                <w:highlight w:val="none"/>
              </w:rPr>
              <w:t xml:space="preserve">                                            承包人（章）             </w:t>
            </w:r>
          </w:p>
          <w:p w14:paraId="24C5AD42">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09A3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noWrap w:val="0"/>
            <w:vAlign w:val="top"/>
          </w:tcPr>
          <w:p w14:paraId="547F1E8C">
            <w:pPr>
              <w:spacing w:line="360" w:lineRule="exact"/>
              <w:rPr>
                <w:rFonts w:hint="eastAsia"/>
                <w:color w:val="auto"/>
                <w:highlight w:val="none"/>
              </w:rPr>
            </w:pPr>
            <w:r>
              <w:rPr>
                <w:rFonts w:hint="eastAsia"/>
                <w:color w:val="auto"/>
                <w:highlight w:val="none"/>
              </w:rPr>
              <w:t>复核意见：</w:t>
            </w:r>
          </w:p>
          <w:p w14:paraId="23EF274E">
            <w:pPr>
              <w:spacing w:line="360" w:lineRule="exact"/>
              <w:ind w:firstLine="312"/>
              <w:rPr>
                <w:rFonts w:hint="eastAsia"/>
                <w:color w:val="auto"/>
                <w:highlight w:val="none"/>
              </w:rPr>
            </w:pPr>
            <w:r>
              <w:rPr>
                <w:rFonts w:hint="eastAsia"/>
                <w:color w:val="auto"/>
                <w:highlight w:val="none"/>
              </w:rPr>
              <w:t>□与实际施工情况不相符，修改意见见附件。</w:t>
            </w:r>
          </w:p>
          <w:p w14:paraId="0F23A1B3">
            <w:pPr>
              <w:spacing w:line="360" w:lineRule="exact"/>
              <w:ind w:firstLine="312"/>
              <w:rPr>
                <w:rFonts w:hint="eastAsia"/>
                <w:color w:val="auto"/>
                <w:highlight w:val="none"/>
              </w:rPr>
            </w:pPr>
            <w:r>
              <w:rPr>
                <w:rFonts w:hint="eastAsia"/>
                <w:color w:val="auto"/>
                <w:highlight w:val="none"/>
              </w:rPr>
              <w:t>□与实际施工情况相符，具体金额由造价工程师复核。</w:t>
            </w:r>
          </w:p>
          <w:p w14:paraId="324ED478">
            <w:pPr>
              <w:spacing w:line="360" w:lineRule="exact"/>
              <w:ind w:firstLine="435"/>
              <w:jc w:val="right"/>
              <w:rPr>
                <w:rFonts w:hint="eastAsia"/>
                <w:color w:val="auto"/>
                <w:highlight w:val="none"/>
              </w:rPr>
            </w:pPr>
          </w:p>
          <w:p w14:paraId="05C87FE2">
            <w:pPr>
              <w:spacing w:line="360" w:lineRule="exact"/>
              <w:ind w:firstLine="435"/>
              <w:jc w:val="right"/>
              <w:rPr>
                <w:rFonts w:hint="eastAsia"/>
                <w:color w:val="auto"/>
                <w:highlight w:val="none"/>
              </w:rPr>
            </w:pPr>
          </w:p>
          <w:p w14:paraId="48FE5C16">
            <w:pPr>
              <w:spacing w:line="360" w:lineRule="exact"/>
              <w:ind w:firstLine="435"/>
              <w:jc w:val="center"/>
              <w:rPr>
                <w:rFonts w:hint="eastAsia"/>
                <w:color w:val="auto"/>
                <w:highlight w:val="none"/>
              </w:rPr>
            </w:pPr>
            <w:r>
              <w:rPr>
                <w:color w:val="auto"/>
                <w:highlight w:val="none"/>
              </w:rPr>
              <w:t xml:space="preserve">    </w:t>
            </w:r>
            <w:r>
              <w:rPr>
                <w:rFonts w:hint="eastAsia"/>
                <w:color w:val="auto"/>
                <w:highlight w:val="none"/>
              </w:rPr>
              <w:t xml:space="preserve">     </w:t>
            </w:r>
          </w:p>
          <w:p w14:paraId="170CFF6C">
            <w:pPr>
              <w:spacing w:line="360" w:lineRule="exact"/>
              <w:ind w:firstLine="435"/>
              <w:jc w:val="center"/>
              <w:rPr>
                <w:rFonts w:hint="eastAsia"/>
                <w:color w:val="auto"/>
                <w:highlight w:val="none"/>
                <w:u w:val="single"/>
              </w:rPr>
            </w:pPr>
            <w:r>
              <w:rPr>
                <w:rFonts w:hint="eastAsia"/>
                <w:color w:val="auto"/>
                <w:highlight w:val="none"/>
              </w:rPr>
              <w:t xml:space="preserve">      监理工程师</w:t>
            </w:r>
            <w:r>
              <w:rPr>
                <w:rFonts w:hint="eastAsia"/>
                <w:color w:val="auto"/>
                <w:highlight w:val="none"/>
                <w:u w:val="single"/>
              </w:rPr>
              <w:t xml:space="preserve">           </w:t>
            </w:r>
          </w:p>
          <w:p w14:paraId="52D1D8EA">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33" w:type="dxa"/>
            <w:noWrap w:val="0"/>
            <w:vAlign w:val="top"/>
          </w:tcPr>
          <w:p w14:paraId="4B395AC4">
            <w:pPr>
              <w:spacing w:line="360" w:lineRule="exact"/>
              <w:rPr>
                <w:rFonts w:hint="eastAsia"/>
                <w:color w:val="auto"/>
                <w:highlight w:val="none"/>
              </w:rPr>
            </w:pPr>
            <w:r>
              <w:rPr>
                <w:rFonts w:hint="eastAsia"/>
                <w:color w:val="auto"/>
                <w:highlight w:val="none"/>
              </w:rPr>
              <w:t>复核意见：</w:t>
            </w:r>
          </w:p>
          <w:p w14:paraId="3C7A776E">
            <w:pPr>
              <w:spacing w:line="360" w:lineRule="exact"/>
              <w:ind w:firstLine="435"/>
              <w:rPr>
                <w:rFonts w:hint="eastAsia"/>
                <w:color w:val="auto"/>
                <w:highlight w:val="none"/>
                <w:u w:val="single"/>
              </w:rPr>
            </w:pPr>
            <w:r>
              <w:rPr>
                <w:rFonts w:hint="eastAsia"/>
                <w:color w:val="auto"/>
                <w:highlight w:val="none"/>
              </w:rPr>
              <w:t>你方提出的竣工结算支付申请经复核，竣工结算款总额为(大写)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 xml:space="preserve"> 元，扣除前期支付以及质量保证金后应支付金额为（大写）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w:t>
            </w:r>
          </w:p>
          <w:p w14:paraId="41075D19">
            <w:pPr>
              <w:spacing w:line="360" w:lineRule="exact"/>
              <w:ind w:firstLine="435"/>
              <w:jc w:val="center"/>
              <w:rPr>
                <w:rFonts w:hint="eastAsia"/>
                <w:color w:val="auto"/>
                <w:highlight w:val="none"/>
              </w:rPr>
            </w:pPr>
            <w:r>
              <w:rPr>
                <w:color w:val="auto"/>
                <w:highlight w:val="none"/>
              </w:rPr>
              <w:t xml:space="preserve">    </w:t>
            </w:r>
          </w:p>
          <w:p w14:paraId="5F5A3F25">
            <w:pPr>
              <w:spacing w:line="360" w:lineRule="exact"/>
              <w:ind w:firstLine="435"/>
              <w:jc w:val="center"/>
              <w:rPr>
                <w:rFonts w:hint="eastAsia"/>
                <w:color w:val="auto"/>
                <w:highlight w:val="none"/>
                <w:u w:val="single"/>
              </w:rPr>
            </w:pPr>
            <w:r>
              <w:rPr>
                <w:rFonts w:hint="eastAsia"/>
                <w:color w:val="auto"/>
                <w:highlight w:val="none"/>
              </w:rPr>
              <w:t xml:space="preserve">    造价工程师</w:t>
            </w:r>
            <w:r>
              <w:rPr>
                <w:rFonts w:hint="eastAsia"/>
                <w:color w:val="auto"/>
                <w:highlight w:val="none"/>
                <w:u w:val="single"/>
              </w:rPr>
              <w:t xml:space="preserve">           </w:t>
            </w:r>
          </w:p>
          <w:p w14:paraId="23317E93">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54BF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54C8A48F">
            <w:pPr>
              <w:spacing w:line="400" w:lineRule="exact"/>
              <w:rPr>
                <w:rFonts w:hint="eastAsia"/>
                <w:color w:val="auto"/>
                <w:highlight w:val="none"/>
              </w:rPr>
            </w:pPr>
            <w:r>
              <w:rPr>
                <w:rFonts w:hint="eastAsia"/>
                <w:color w:val="auto"/>
                <w:highlight w:val="none"/>
              </w:rPr>
              <w:t>审核意见：</w:t>
            </w:r>
          </w:p>
          <w:p w14:paraId="34EBEECB">
            <w:pPr>
              <w:spacing w:line="400" w:lineRule="exact"/>
              <w:ind w:firstLine="435"/>
              <w:rPr>
                <w:rFonts w:hint="eastAsia"/>
                <w:color w:val="auto"/>
                <w:highlight w:val="none"/>
              </w:rPr>
            </w:pPr>
            <w:r>
              <w:rPr>
                <w:rFonts w:hint="eastAsia"/>
                <w:color w:val="auto"/>
                <w:highlight w:val="none"/>
              </w:rPr>
              <w:t>□不同意。</w:t>
            </w:r>
          </w:p>
          <w:p w14:paraId="55F4E7D8">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4263E4AB">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7DD73614">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5F787D8F">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4B830826">
      <w:pPr>
        <w:spacing w:before="156"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35201C25">
      <w:pPr>
        <w:spacing w:before="156" w:beforeLines="50"/>
        <w:ind w:left="720" w:hanging="720" w:hangingChars="400"/>
        <w:rPr>
          <w:rFonts w:hint="eastAsia"/>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1BDEC9B7">
      <w:pPr>
        <w:ind w:right="360"/>
        <w:rPr>
          <w:rFonts w:hint="eastAsia"/>
          <w:color w:val="auto"/>
          <w:sz w:val="18"/>
          <w:szCs w:val="18"/>
          <w:highlight w:val="none"/>
        </w:rPr>
      </w:pPr>
      <w:r>
        <w:rPr>
          <w:rFonts w:hint="eastAsia"/>
          <w:color w:val="auto"/>
          <w:sz w:val="18"/>
          <w:szCs w:val="18"/>
          <w:highlight w:val="none"/>
        </w:rPr>
        <w:t xml:space="preserve">                                                                                            </w:t>
      </w:r>
    </w:p>
    <w:p w14:paraId="067585E9">
      <w:pPr>
        <w:ind w:right="360"/>
        <w:rPr>
          <w:rFonts w:hint="eastAsia" w:hAnsi="宋体" w:cs="宋体"/>
          <w:color w:val="auto"/>
          <w:sz w:val="30"/>
          <w:szCs w:val="30"/>
          <w:highlight w:val="none"/>
        </w:rPr>
      </w:pPr>
    </w:p>
    <w:p w14:paraId="48FC74DF">
      <w:pPr>
        <w:ind w:right="360"/>
        <w:rPr>
          <w:rFonts w:hint="eastAsia"/>
          <w:b/>
          <w:color w:val="auto"/>
          <w:sz w:val="30"/>
          <w:szCs w:val="30"/>
          <w:highlight w:val="none"/>
        </w:rPr>
      </w:pPr>
      <w:r>
        <w:rPr>
          <w:rFonts w:hint="eastAsia" w:hAnsi="宋体" w:cs="宋体"/>
          <w:color w:val="auto"/>
          <w:sz w:val="30"/>
          <w:szCs w:val="30"/>
          <w:highlight w:val="none"/>
        </w:rPr>
        <w:t>附件13：</w:t>
      </w:r>
    </w:p>
    <w:p w14:paraId="4A8702FB">
      <w:pPr>
        <w:jc w:val="center"/>
        <w:rPr>
          <w:rFonts w:hint="eastAsia"/>
          <w:b/>
          <w:color w:val="auto"/>
          <w:sz w:val="36"/>
          <w:szCs w:val="36"/>
          <w:highlight w:val="none"/>
        </w:rPr>
      </w:pPr>
      <w:r>
        <w:rPr>
          <w:rFonts w:hint="eastAsia"/>
          <w:b/>
          <w:color w:val="auto"/>
          <w:sz w:val="36"/>
          <w:szCs w:val="36"/>
          <w:highlight w:val="none"/>
        </w:rPr>
        <w:t>最终结算款支付申请（核准）表</w:t>
      </w:r>
    </w:p>
    <w:p w14:paraId="05CEA43B">
      <w:pPr>
        <w:rPr>
          <w:rFonts w:hint="eastAsia"/>
          <w:color w:val="auto"/>
          <w:sz w:val="24"/>
          <w:highlight w:val="none"/>
        </w:rPr>
      </w:pPr>
      <w:r>
        <w:rPr>
          <w:rFonts w:hint="eastAsia"/>
          <w:color w:val="auto"/>
          <w:sz w:val="24"/>
          <w:highlight w:val="none"/>
        </w:rPr>
        <w:t>工程名称：                                             编号：</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4740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noWrap w:val="0"/>
            <w:vAlign w:val="top"/>
          </w:tcPr>
          <w:p w14:paraId="55A06A49">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3388AC60">
            <w:pPr>
              <w:spacing w:line="400" w:lineRule="exact"/>
              <w:ind w:left="-4" w:leftChars="-2"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期间已完成了缺陷修复工作，根据施工合同的约定，现申请支付最终结清合同款额为(大写)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5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13E2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0372C3DB">
                  <w:pPr>
                    <w:spacing w:line="280" w:lineRule="exact"/>
                    <w:jc w:val="center"/>
                    <w:rPr>
                      <w:rFonts w:hint="eastAsia"/>
                      <w:color w:val="auto"/>
                      <w:highlight w:val="none"/>
                    </w:rPr>
                  </w:pPr>
                  <w:r>
                    <w:rPr>
                      <w:rFonts w:hint="eastAsia"/>
                      <w:color w:val="auto"/>
                      <w:highlight w:val="none"/>
                    </w:rPr>
                    <w:t>序号</w:t>
                  </w:r>
                </w:p>
              </w:tc>
              <w:tc>
                <w:tcPr>
                  <w:tcW w:w="3420" w:type="dxa"/>
                  <w:noWrap w:val="0"/>
                  <w:vAlign w:val="center"/>
                </w:tcPr>
                <w:p w14:paraId="3C2CD4A8">
                  <w:pPr>
                    <w:spacing w:line="280" w:lineRule="exact"/>
                    <w:jc w:val="center"/>
                    <w:rPr>
                      <w:rFonts w:hint="eastAsia"/>
                      <w:color w:val="auto"/>
                      <w:highlight w:val="none"/>
                    </w:rPr>
                  </w:pPr>
                  <w:r>
                    <w:rPr>
                      <w:rFonts w:hint="eastAsia"/>
                      <w:color w:val="auto"/>
                      <w:highlight w:val="none"/>
                    </w:rPr>
                    <w:t>名      称</w:t>
                  </w:r>
                </w:p>
              </w:tc>
              <w:tc>
                <w:tcPr>
                  <w:tcW w:w="1620" w:type="dxa"/>
                  <w:noWrap w:val="0"/>
                  <w:vAlign w:val="center"/>
                </w:tcPr>
                <w:p w14:paraId="742E1D5F">
                  <w:pPr>
                    <w:spacing w:line="280" w:lineRule="exact"/>
                    <w:jc w:val="center"/>
                    <w:rPr>
                      <w:rFonts w:hint="eastAsia"/>
                      <w:color w:val="auto"/>
                      <w:highlight w:val="none"/>
                    </w:rPr>
                  </w:pPr>
                  <w:r>
                    <w:rPr>
                      <w:rFonts w:hint="eastAsia"/>
                      <w:color w:val="auto"/>
                      <w:highlight w:val="none"/>
                    </w:rPr>
                    <w:t>申请金额（元）</w:t>
                  </w:r>
                </w:p>
              </w:tc>
              <w:tc>
                <w:tcPr>
                  <w:tcW w:w="1620" w:type="dxa"/>
                  <w:noWrap w:val="0"/>
                  <w:vAlign w:val="center"/>
                </w:tcPr>
                <w:p w14:paraId="13121B80">
                  <w:pPr>
                    <w:spacing w:line="280" w:lineRule="exact"/>
                    <w:jc w:val="center"/>
                    <w:rPr>
                      <w:rFonts w:hint="eastAsia"/>
                      <w:color w:val="auto"/>
                      <w:highlight w:val="none"/>
                    </w:rPr>
                  </w:pPr>
                  <w:r>
                    <w:rPr>
                      <w:rFonts w:hint="eastAsia"/>
                      <w:color w:val="auto"/>
                      <w:highlight w:val="none"/>
                    </w:rPr>
                    <w:t>复核金额（元）</w:t>
                  </w:r>
                </w:p>
              </w:tc>
              <w:tc>
                <w:tcPr>
                  <w:tcW w:w="1651" w:type="dxa"/>
                  <w:noWrap w:val="0"/>
                  <w:vAlign w:val="center"/>
                </w:tcPr>
                <w:p w14:paraId="1B9D2403">
                  <w:pPr>
                    <w:spacing w:line="280" w:lineRule="exact"/>
                    <w:jc w:val="center"/>
                    <w:rPr>
                      <w:rFonts w:hint="eastAsia"/>
                      <w:color w:val="auto"/>
                      <w:highlight w:val="none"/>
                    </w:rPr>
                  </w:pPr>
                  <w:r>
                    <w:rPr>
                      <w:rFonts w:hint="eastAsia"/>
                      <w:color w:val="auto"/>
                      <w:highlight w:val="none"/>
                    </w:rPr>
                    <w:t>备注</w:t>
                  </w:r>
                </w:p>
              </w:tc>
            </w:tr>
            <w:tr w14:paraId="1C559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117EA6B">
                  <w:pPr>
                    <w:spacing w:line="280" w:lineRule="exact"/>
                    <w:jc w:val="center"/>
                    <w:rPr>
                      <w:rFonts w:hint="eastAsia"/>
                      <w:color w:val="auto"/>
                      <w:highlight w:val="none"/>
                    </w:rPr>
                  </w:pPr>
                  <w:r>
                    <w:rPr>
                      <w:rFonts w:hint="eastAsia"/>
                      <w:color w:val="auto"/>
                      <w:highlight w:val="none"/>
                    </w:rPr>
                    <w:t>1</w:t>
                  </w:r>
                </w:p>
              </w:tc>
              <w:tc>
                <w:tcPr>
                  <w:tcW w:w="3420" w:type="dxa"/>
                  <w:noWrap w:val="0"/>
                  <w:vAlign w:val="top"/>
                </w:tcPr>
                <w:p w14:paraId="39E1D080">
                  <w:pPr>
                    <w:spacing w:line="280" w:lineRule="exact"/>
                    <w:rPr>
                      <w:rFonts w:hint="eastAsia"/>
                      <w:color w:val="auto"/>
                      <w:highlight w:val="none"/>
                    </w:rPr>
                  </w:pPr>
                  <w:r>
                    <w:rPr>
                      <w:rFonts w:hint="eastAsia"/>
                      <w:color w:val="auto"/>
                      <w:highlight w:val="none"/>
                    </w:rPr>
                    <w:t>已预留的质量保证金</w:t>
                  </w:r>
                </w:p>
              </w:tc>
              <w:tc>
                <w:tcPr>
                  <w:tcW w:w="1620" w:type="dxa"/>
                  <w:noWrap w:val="0"/>
                  <w:vAlign w:val="top"/>
                </w:tcPr>
                <w:p w14:paraId="5BFBCD16">
                  <w:pPr>
                    <w:spacing w:line="280" w:lineRule="exact"/>
                    <w:rPr>
                      <w:rFonts w:hint="eastAsia"/>
                      <w:color w:val="auto"/>
                      <w:highlight w:val="none"/>
                    </w:rPr>
                  </w:pPr>
                </w:p>
              </w:tc>
              <w:tc>
                <w:tcPr>
                  <w:tcW w:w="1620" w:type="dxa"/>
                  <w:noWrap w:val="0"/>
                  <w:vAlign w:val="top"/>
                </w:tcPr>
                <w:p w14:paraId="664854D9">
                  <w:pPr>
                    <w:spacing w:line="280" w:lineRule="exact"/>
                    <w:rPr>
                      <w:rFonts w:hint="eastAsia"/>
                      <w:color w:val="auto"/>
                      <w:highlight w:val="none"/>
                    </w:rPr>
                  </w:pPr>
                </w:p>
              </w:tc>
              <w:tc>
                <w:tcPr>
                  <w:tcW w:w="1651" w:type="dxa"/>
                  <w:noWrap w:val="0"/>
                  <w:vAlign w:val="top"/>
                </w:tcPr>
                <w:p w14:paraId="13057753">
                  <w:pPr>
                    <w:spacing w:line="280" w:lineRule="exact"/>
                    <w:rPr>
                      <w:rFonts w:hint="eastAsia"/>
                      <w:color w:val="auto"/>
                      <w:highlight w:val="none"/>
                    </w:rPr>
                  </w:pPr>
                </w:p>
              </w:tc>
            </w:tr>
            <w:tr w14:paraId="5BAA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E698ABA">
                  <w:pPr>
                    <w:spacing w:line="280" w:lineRule="exact"/>
                    <w:jc w:val="center"/>
                    <w:rPr>
                      <w:rFonts w:hint="eastAsia"/>
                      <w:color w:val="auto"/>
                      <w:highlight w:val="none"/>
                    </w:rPr>
                  </w:pPr>
                  <w:r>
                    <w:rPr>
                      <w:rFonts w:hint="eastAsia"/>
                      <w:color w:val="auto"/>
                      <w:highlight w:val="none"/>
                    </w:rPr>
                    <w:t>2</w:t>
                  </w:r>
                </w:p>
              </w:tc>
              <w:tc>
                <w:tcPr>
                  <w:tcW w:w="3420" w:type="dxa"/>
                  <w:noWrap w:val="0"/>
                  <w:vAlign w:val="top"/>
                </w:tcPr>
                <w:p w14:paraId="14528EB9">
                  <w:pPr>
                    <w:spacing w:line="280" w:lineRule="exact"/>
                    <w:rPr>
                      <w:rFonts w:hint="eastAsia"/>
                      <w:color w:val="auto"/>
                      <w:highlight w:val="none"/>
                    </w:rPr>
                  </w:pPr>
                  <w:r>
                    <w:rPr>
                      <w:rFonts w:hint="eastAsia"/>
                      <w:color w:val="auto"/>
                      <w:highlight w:val="none"/>
                    </w:rPr>
                    <w:t>应增加因发包人原因造成缺陷的修复金额</w:t>
                  </w:r>
                </w:p>
              </w:tc>
              <w:tc>
                <w:tcPr>
                  <w:tcW w:w="1620" w:type="dxa"/>
                  <w:noWrap w:val="0"/>
                  <w:vAlign w:val="top"/>
                </w:tcPr>
                <w:p w14:paraId="14E13EFA">
                  <w:pPr>
                    <w:spacing w:line="280" w:lineRule="exact"/>
                    <w:rPr>
                      <w:rFonts w:hint="eastAsia"/>
                      <w:color w:val="auto"/>
                      <w:highlight w:val="none"/>
                    </w:rPr>
                  </w:pPr>
                </w:p>
              </w:tc>
              <w:tc>
                <w:tcPr>
                  <w:tcW w:w="1620" w:type="dxa"/>
                  <w:noWrap w:val="0"/>
                  <w:vAlign w:val="top"/>
                </w:tcPr>
                <w:p w14:paraId="2A2A994F">
                  <w:pPr>
                    <w:spacing w:line="280" w:lineRule="exact"/>
                    <w:rPr>
                      <w:rFonts w:hint="eastAsia"/>
                      <w:color w:val="auto"/>
                      <w:highlight w:val="none"/>
                    </w:rPr>
                  </w:pPr>
                </w:p>
              </w:tc>
              <w:tc>
                <w:tcPr>
                  <w:tcW w:w="1651" w:type="dxa"/>
                  <w:noWrap w:val="0"/>
                  <w:vAlign w:val="top"/>
                </w:tcPr>
                <w:p w14:paraId="7C3493F7">
                  <w:pPr>
                    <w:spacing w:line="280" w:lineRule="exact"/>
                    <w:rPr>
                      <w:rFonts w:hint="eastAsia"/>
                      <w:color w:val="auto"/>
                      <w:highlight w:val="none"/>
                    </w:rPr>
                  </w:pPr>
                </w:p>
              </w:tc>
            </w:tr>
            <w:tr w14:paraId="2830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712E97E">
                  <w:pPr>
                    <w:spacing w:line="280" w:lineRule="exact"/>
                    <w:jc w:val="center"/>
                    <w:rPr>
                      <w:rFonts w:hint="eastAsia"/>
                      <w:color w:val="auto"/>
                      <w:highlight w:val="none"/>
                    </w:rPr>
                  </w:pPr>
                  <w:r>
                    <w:rPr>
                      <w:rFonts w:hint="eastAsia"/>
                      <w:color w:val="auto"/>
                      <w:highlight w:val="none"/>
                    </w:rPr>
                    <w:t>3</w:t>
                  </w:r>
                </w:p>
              </w:tc>
              <w:tc>
                <w:tcPr>
                  <w:tcW w:w="3420" w:type="dxa"/>
                  <w:noWrap w:val="0"/>
                  <w:vAlign w:val="top"/>
                </w:tcPr>
                <w:p w14:paraId="02545C9A">
                  <w:pPr>
                    <w:spacing w:line="280" w:lineRule="exact"/>
                    <w:rPr>
                      <w:rFonts w:hint="eastAsia"/>
                      <w:color w:val="auto"/>
                      <w:highlight w:val="none"/>
                    </w:rPr>
                  </w:pPr>
                  <w:r>
                    <w:rPr>
                      <w:rFonts w:hint="eastAsia"/>
                      <w:color w:val="auto"/>
                      <w:highlight w:val="none"/>
                    </w:rPr>
                    <w:t>应扣减承包人不修复缺陷、发包人组织修复的金额</w:t>
                  </w:r>
                </w:p>
              </w:tc>
              <w:tc>
                <w:tcPr>
                  <w:tcW w:w="1620" w:type="dxa"/>
                  <w:noWrap w:val="0"/>
                  <w:vAlign w:val="top"/>
                </w:tcPr>
                <w:p w14:paraId="4ADF2C3B">
                  <w:pPr>
                    <w:spacing w:line="280" w:lineRule="exact"/>
                    <w:rPr>
                      <w:rFonts w:hint="eastAsia"/>
                      <w:color w:val="auto"/>
                      <w:highlight w:val="none"/>
                    </w:rPr>
                  </w:pPr>
                </w:p>
              </w:tc>
              <w:tc>
                <w:tcPr>
                  <w:tcW w:w="1620" w:type="dxa"/>
                  <w:noWrap w:val="0"/>
                  <w:vAlign w:val="top"/>
                </w:tcPr>
                <w:p w14:paraId="2EEC6A65">
                  <w:pPr>
                    <w:spacing w:line="280" w:lineRule="exact"/>
                    <w:rPr>
                      <w:rFonts w:hint="eastAsia"/>
                      <w:color w:val="auto"/>
                      <w:highlight w:val="none"/>
                    </w:rPr>
                  </w:pPr>
                </w:p>
              </w:tc>
              <w:tc>
                <w:tcPr>
                  <w:tcW w:w="1651" w:type="dxa"/>
                  <w:noWrap w:val="0"/>
                  <w:vAlign w:val="top"/>
                </w:tcPr>
                <w:p w14:paraId="14667D8B">
                  <w:pPr>
                    <w:spacing w:line="280" w:lineRule="exact"/>
                    <w:rPr>
                      <w:rFonts w:hint="eastAsia"/>
                      <w:color w:val="auto"/>
                      <w:highlight w:val="none"/>
                    </w:rPr>
                  </w:pPr>
                </w:p>
              </w:tc>
            </w:tr>
            <w:tr w14:paraId="16F3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E2D150C">
                  <w:pPr>
                    <w:spacing w:line="280" w:lineRule="exact"/>
                    <w:jc w:val="center"/>
                    <w:rPr>
                      <w:rFonts w:hint="eastAsia"/>
                      <w:color w:val="auto"/>
                      <w:highlight w:val="none"/>
                    </w:rPr>
                  </w:pPr>
                  <w:r>
                    <w:rPr>
                      <w:rFonts w:hint="eastAsia"/>
                      <w:color w:val="auto"/>
                      <w:highlight w:val="none"/>
                    </w:rPr>
                    <w:t>4</w:t>
                  </w:r>
                </w:p>
              </w:tc>
              <w:tc>
                <w:tcPr>
                  <w:tcW w:w="3420" w:type="dxa"/>
                  <w:noWrap w:val="0"/>
                  <w:vAlign w:val="top"/>
                </w:tcPr>
                <w:p w14:paraId="0DD3448A">
                  <w:pPr>
                    <w:spacing w:line="280" w:lineRule="exact"/>
                    <w:rPr>
                      <w:rFonts w:hint="eastAsia"/>
                      <w:color w:val="auto"/>
                      <w:highlight w:val="none"/>
                    </w:rPr>
                  </w:pPr>
                  <w:r>
                    <w:rPr>
                      <w:rFonts w:hint="eastAsia"/>
                      <w:color w:val="auto"/>
                      <w:highlight w:val="none"/>
                    </w:rPr>
                    <w:t>最终应支付的合同价款</w:t>
                  </w:r>
                </w:p>
              </w:tc>
              <w:tc>
                <w:tcPr>
                  <w:tcW w:w="1620" w:type="dxa"/>
                  <w:noWrap w:val="0"/>
                  <w:vAlign w:val="top"/>
                </w:tcPr>
                <w:p w14:paraId="2B2CEC23">
                  <w:pPr>
                    <w:spacing w:line="280" w:lineRule="exact"/>
                    <w:rPr>
                      <w:rFonts w:hint="eastAsia"/>
                      <w:color w:val="auto"/>
                      <w:highlight w:val="none"/>
                    </w:rPr>
                  </w:pPr>
                </w:p>
              </w:tc>
              <w:tc>
                <w:tcPr>
                  <w:tcW w:w="1620" w:type="dxa"/>
                  <w:noWrap w:val="0"/>
                  <w:vAlign w:val="top"/>
                </w:tcPr>
                <w:p w14:paraId="53104C20">
                  <w:pPr>
                    <w:spacing w:line="280" w:lineRule="exact"/>
                    <w:rPr>
                      <w:rFonts w:hint="eastAsia"/>
                      <w:color w:val="auto"/>
                      <w:highlight w:val="none"/>
                    </w:rPr>
                  </w:pPr>
                </w:p>
              </w:tc>
              <w:tc>
                <w:tcPr>
                  <w:tcW w:w="1651" w:type="dxa"/>
                  <w:noWrap w:val="0"/>
                  <w:vAlign w:val="top"/>
                </w:tcPr>
                <w:p w14:paraId="05CC4D9D">
                  <w:pPr>
                    <w:spacing w:line="280" w:lineRule="exact"/>
                    <w:rPr>
                      <w:rFonts w:hint="eastAsia"/>
                      <w:color w:val="auto"/>
                      <w:highlight w:val="none"/>
                    </w:rPr>
                  </w:pPr>
                </w:p>
              </w:tc>
            </w:tr>
            <w:tr w14:paraId="6851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A935104">
                  <w:pPr>
                    <w:spacing w:line="280" w:lineRule="exact"/>
                    <w:jc w:val="center"/>
                    <w:rPr>
                      <w:rFonts w:hint="eastAsia"/>
                      <w:color w:val="auto"/>
                      <w:highlight w:val="none"/>
                    </w:rPr>
                  </w:pPr>
                </w:p>
              </w:tc>
              <w:tc>
                <w:tcPr>
                  <w:tcW w:w="3420" w:type="dxa"/>
                  <w:noWrap w:val="0"/>
                  <w:vAlign w:val="top"/>
                </w:tcPr>
                <w:p w14:paraId="356B977E">
                  <w:pPr>
                    <w:spacing w:line="280" w:lineRule="exact"/>
                    <w:rPr>
                      <w:rFonts w:hint="eastAsia"/>
                      <w:color w:val="auto"/>
                      <w:highlight w:val="none"/>
                    </w:rPr>
                  </w:pPr>
                </w:p>
              </w:tc>
              <w:tc>
                <w:tcPr>
                  <w:tcW w:w="1620" w:type="dxa"/>
                  <w:noWrap w:val="0"/>
                  <w:vAlign w:val="top"/>
                </w:tcPr>
                <w:p w14:paraId="39FDFAB5">
                  <w:pPr>
                    <w:spacing w:line="280" w:lineRule="exact"/>
                    <w:rPr>
                      <w:rFonts w:hint="eastAsia"/>
                      <w:color w:val="auto"/>
                      <w:highlight w:val="none"/>
                    </w:rPr>
                  </w:pPr>
                </w:p>
              </w:tc>
              <w:tc>
                <w:tcPr>
                  <w:tcW w:w="1620" w:type="dxa"/>
                  <w:noWrap w:val="0"/>
                  <w:vAlign w:val="top"/>
                </w:tcPr>
                <w:p w14:paraId="6DC12460">
                  <w:pPr>
                    <w:spacing w:line="280" w:lineRule="exact"/>
                    <w:rPr>
                      <w:rFonts w:hint="eastAsia"/>
                      <w:color w:val="auto"/>
                      <w:highlight w:val="none"/>
                    </w:rPr>
                  </w:pPr>
                </w:p>
              </w:tc>
              <w:tc>
                <w:tcPr>
                  <w:tcW w:w="1651" w:type="dxa"/>
                  <w:noWrap w:val="0"/>
                  <w:vAlign w:val="top"/>
                </w:tcPr>
                <w:p w14:paraId="4A05A993">
                  <w:pPr>
                    <w:spacing w:line="280" w:lineRule="exact"/>
                    <w:rPr>
                      <w:rFonts w:hint="eastAsia"/>
                      <w:color w:val="auto"/>
                      <w:highlight w:val="none"/>
                    </w:rPr>
                  </w:pPr>
                </w:p>
              </w:tc>
            </w:tr>
            <w:tr w14:paraId="3BFB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940026D">
                  <w:pPr>
                    <w:spacing w:line="280" w:lineRule="exact"/>
                    <w:jc w:val="center"/>
                    <w:rPr>
                      <w:rFonts w:hint="eastAsia"/>
                      <w:color w:val="auto"/>
                      <w:highlight w:val="none"/>
                    </w:rPr>
                  </w:pPr>
                </w:p>
              </w:tc>
              <w:tc>
                <w:tcPr>
                  <w:tcW w:w="3420" w:type="dxa"/>
                  <w:noWrap w:val="0"/>
                  <w:vAlign w:val="top"/>
                </w:tcPr>
                <w:p w14:paraId="43FBF456">
                  <w:pPr>
                    <w:spacing w:line="280" w:lineRule="exact"/>
                    <w:rPr>
                      <w:rFonts w:hint="eastAsia"/>
                      <w:color w:val="auto"/>
                      <w:highlight w:val="none"/>
                    </w:rPr>
                  </w:pPr>
                </w:p>
              </w:tc>
              <w:tc>
                <w:tcPr>
                  <w:tcW w:w="1620" w:type="dxa"/>
                  <w:noWrap w:val="0"/>
                  <w:vAlign w:val="top"/>
                </w:tcPr>
                <w:p w14:paraId="00E80BB2">
                  <w:pPr>
                    <w:spacing w:line="280" w:lineRule="exact"/>
                    <w:rPr>
                      <w:rFonts w:hint="eastAsia"/>
                      <w:color w:val="auto"/>
                      <w:highlight w:val="none"/>
                    </w:rPr>
                  </w:pPr>
                </w:p>
              </w:tc>
              <w:tc>
                <w:tcPr>
                  <w:tcW w:w="1620" w:type="dxa"/>
                  <w:noWrap w:val="0"/>
                  <w:vAlign w:val="top"/>
                </w:tcPr>
                <w:p w14:paraId="6E5C9E32">
                  <w:pPr>
                    <w:spacing w:line="280" w:lineRule="exact"/>
                    <w:rPr>
                      <w:rFonts w:hint="eastAsia"/>
                      <w:color w:val="auto"/>
                      <w:highlight w:val="none"/>
                    </w:rPr>
                  </w:pPr>
                </w:p>
              </w:tc>
              <w:tc>
                <w:tcPr>
                  <w:tcW w:w="1651" w:type="dxa"/>
                  <w:noWrap w:val="0"/>
                  <w:vAlign w:val="top"/>
                </w:tcPr>
                <w:p w14:paraId="57E7B4A4">
                  <w:pPr>
                    <w:spacing w:line="280" w:lineRule="exact"/>
                    <w:rPr>
                      <w:rFonts w:hint="eastAsia"/>
                      <w:color w:val="auto"/>
                      <w:highlight w:val="none"/>
                    </w:rPr>
                  </w:pPr>
                </w:p>
              </w:tc>
            </w:tr>
          </w:tbl>
          <w:p w14:paraId="0B543BE8">
            <w:pPr>
              <w:spacing w:line="400" w:lineRule="exact"/>
              <w:ind w:right="420" w:firstLine="435"/>
              <w:jc w:val="center"/>
              <w:rPr>
                <w:rFonts w:hint="eastAsia"/>
                <w:color w:val="auto"/>
                <w:highlight w:val="none"/>
              </w:rPr>
            </w:pPr>
            <w:r>
              <w:rPr>
                <w:rFonts w:hint="eastAsia"/>
                <w:color w:val="auto"/>
                <w:highlight w:val="none"/>
              </w:rPr>
              <w:t xml:space="preserve">                                            承包人（章）             </w:t>
            </w:r>
          </w:p>
          <w:p w14:paraId="625CA4EE">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6EE6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noWrap w:val="0"/>
            <w:vAlign w:val="top"/>
          </w:tcPr>
          <w:p w14:paraId="3068552F">
            <w:pPr>
              <w:spacing w:line="360" w:lineRule="exact"/>
              <w:rPr>
                <w:rFonts w:hint="eastAsia"/>
                <w:color w:val="auto"/>
                <w:highlight w:val="none"/>
              </w:rPr>
            </w:pPr>
            <w:r>
              <w:rPr>
                <w:rFonts w:hint="eastAsia"/>
                <w:color w:val="auto"/>
                <w:highlight w:val="none"/>
              </w:rPr>
              <w:t>复核意见：</w:t>
            </w:r>
          </w:p>
          <w:p w14:paraId="43CADA54">
            <w:pPr>
              <w:spacing w:line="360" w:lineRule="exact"/>
              <w:ind w:firstLine="312"/>
              <w:rPr>
                <w:rFonts w:hint="eastAsia"/>
                <w:color w:val="auto"/>
                <w:highlight w:val="none"/>
              </w:rPr>
            </w:pPr>
            <w:r>
              <w:rPr>
                <w:rFonts w:hint="eastAsia"/>
                <w:color w:val="auto"/>
                <w:highlight w:val="none"/>
              </w:rPr>
              <w:t>□与实际施工情况不相符，修改意见见附件。</w:t>
            </w:r>
          </w:p>
          <w:p w14:paraId="3DD91F31">
            <w:pPr>
              <w:spacing w:line="360" w:lineRule="exact"/>
              <w:ind w:firstLine="312"/>
              <w:rPr>
                <w:rFonts w:hint="eastAsia"/>
                <w:color w:val="auto"/>
                <w:highlight w:val="none"/>
              </w:rPr>
            </w:pPr>
            <w:r>
              <w:rPr>
                <w:rFonts w:hint="eastAsia"/>
                <w:color w:val="auto"/>
                <w:highlight w:val="none"/>
              </w:rPr>
              <w:t>□与实际施工情况相符，具体金额由造价工程师复核。</w:t>
            </w:r>
          </w:p>
          <w:p w14:paraId="2FD7E2DC">
            <w:pPr>
              <w:spacing w:line="360" w:lineRule="exact"/>
              <w:ind w:firstLine="435"/>
              <w:jc w:val="right"/>
              <w:rPr>
                <w:rFonts w:hint="eastAsia"/>
                <w:color w:val="auto"/>
                <w:highlight w:val="none"/>
              </w:rPr>
            </w:pPr>
          </w:p>
          <w:p w14:paraId="4DF342CD">
            <w:pPr>
              <w:spacing w:line="360" w:lineRule="exact"/>
              <w:ind w:firstLine="435"/>
              <w:jc w:val="center"/>
              <w:rPr>
                <w:rFonts w:hint="eastAsia"/>
                <w:color w:val="auto"/>
                <w:highlight w:val="none"/>
                <w:u w:val="single"/>
              </w:rPr>
            </w:pPr>
            <w:r>
              <w:rPr>
                <w:rFonts w:hint="eastAsia"/>
                <w:color w:val="auto"/>
                <w:highlight w:val="none"/>
              </w:rPr>
              <w:t xml:space="preserve">        监理工程师</w:t>
            </w:r>
            <w:r>
              <w:rPr>
                <w:rFonts w:hint="eastAsia"/>
                <w:color w:val="auto"/>
                <w:highlight w:val="none"/>
                <w:u w:val="single"/>
              </w:rPr>
              <w:t xml:space="preserve">           </w:t>
            </w:r>
          </w:p>
          <w:p w14:paraId="2E17976E">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33" w:type="dxa"/>
            <w:noWrap w:val="0"/>
            <w:vAlign w:val="top"/>
          </w:tcPr>
          <w:p w14:paraId="0B4764D2">
            <w:pPr>
              <w:spacing w:line="360" w:lineRule="exact"/>
              <w:rPr>
                <w:rFonts w:hint="eastAsia"/>
                <w:color w:val="auto"/>
                <w:highlight w:val="none"/>
              </w:rPr>
            </w:pPr>
            <w:r>
              <w:rPr>
                <w:rFonts w:hint="eastAsia"/>
                <w:color w:val="auto"/>
                <w:highlight w:val="none"/>
              </w:rPr>
              <w:t>复核意见：</w:t>
            </w:r>
          </w:p>
          <w:p w14:paraId="7FE3390E">
            <w:pPr>
              <w:spacing w:line="360" w:lineRule="exact"/>
              <w:ind w:firstLine="435"/>
              <w:rPr>
                <w:rFonts w:hint="eastAsia"/>
                <w:color w:val="auto"/>
                <w:highlight w:val="none"/>
                <w:u w:val="single"/>
              </w:rPr>
            </w:pPr>
            <w:r>
              <w:rPr>
                <w:rFonts w:hint="eastAsia"/>
                <w:color w:val="auto"/>
                <w:highlight w:val="none"/>
              </w:rPr>
              <w:t>你方提出的支付申请经复核，最终应支付金额为（大写）</w:t>
            </w:r>
            <w:r>
              <w:rPr>
                <w:rFonts w:hint="eastAsia"/>
                <w:color w:val="auto"/>
                <w:highlight w:val="none"/>
                <w:u w:val="single"/>
              </w:rPr>
              <w:t xml:space="preserve">          </w:t>
            </w:r>
            <w:r>
              <w:rPr>
                <w:rFonts w:hint="eastAsia"/>
                <w:color w:val="auto"/>
                <w:highlight w:val="none"/>
              </w:rPr>
              <w:t xml:space="preserve">元，（小写）  </w:t>
            </w:r>
            <w:r>
              <w:rPr>
                <w:rFonts w:hint="eastAsia"/>
                <w:color w:val="auto"/>
                <w:highlight w:val="none"/>
                <w:u w:val="single"/>
              </w:rPr>
              <w:t xml:space="preserve">       </w:t>
            </w:r>
            <w:r>
              <w:rPr>
                <w:rFonts w:hint="eastAsia"/>
                <w:color w:val="auto"/>
                <w:highlight w:val="none"/>
              </w:rPr>
              <w:t>元。</w:t>
            </w:r>
          </w:p>
          <w:p w14:paraId="20CD04EA">
            <w:pPr>
              <w:spacing w:line="360" w:lineRule="exact"/>
              <w:ind w:firstLine="435"/>
              <w:jc w:val="center"/>
              <w:rPr>
                <w:rFonts w:hint="eastAsia"/>
                <w:color w:val="auto"/>
                <w:highlight w:val="none"/>
              </w:rPr>
            </w:pPr>
            <w:r>
              <w:rPr>
                <w:color w:val="auto"/>
                <w:highlight w:val="none"/>
              </w:rPr>
              <w:t xml:space="preserve">    </w:t>
            </w:r>
          </w:p>
          <w:p w14:paraId="0C443367">
            <w:pPr>
              <w:spacing w:line="360" w:lineRule="exact"/>
              <w:ind w:firstLine="435"/>
              <w:jc w:val="center"/>
              <w:rPr>
                <w:rFonts w:hint="eastAsia"/>
                <w:color w:val="auto"/>
                <w:highlight w:val="none"/>
              </w:rPr>
            </w:pPr>
          </w:p>
          <w:p w14:paraId="35C9A694">
            <w:pPr>
              <w:spacing w:line="360" w:lineRule="exact"/>
              <w:ind w:firstLine="435"/>
              <w:jc w:val="center"/>
              <w:rPr>
                <w:rFonts w:hint="eastAsia"/>
                <w:color w:val="auto"/>
                <w:highlight w:val="none"/>
                <w:u w:val="single"/>
              </w:rPr>
            </w:pPr>
            <w:r>
              <w:rPr>
                <w:rFonts w:hint="eastAsia"/>
                <w:color w:val="auto"/>
                <w:highlight w:val="none"/>
              </w:rPr>
              <w:t xml:space="preserve">    造价工程师</w:t>
            </w:r>
            <w:r>
              <w:rPr>
                <w:rFonts w:hint="eastAsia"/>
                <w:color w:val="auto"/>
                <w:highlight w:val="none"/>
                <w:u w:val="single"/>
              </w:rPr>
              <w:t xml:space="preserve">           </w:t>
            </w:r>
          </w:p>
          <w:p w14:paraId="3C053A3E">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5C8E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1FF32F37">
            <w:pPr>
              <w:spacing w:line="400" w:lineRule="exact"/>
              <w:rPr>
                <w:rFonts w:hint="eastAsia"/>
                <w:color w:val="auto"/>
                <w:highlight w:val="none"/>
              </w:rPr>
            </w:pPr>
            <w:r>
              <w:rPr>
                <w:rFonts w:hint="eastAsia"/>
                <w:color w:val="auto"/>
                <w:highlight w:val="none"/>
              </w:rPr>
              <w:t>审核意见：</w:t>
            </w:r>
          </w:p>
          <w:p w14:paraId="3A0F4123">
            <w:pPr>
              <w:spacing w:line="400" w:lineRule="exact"/>
              <w:ind w:firstLine="435"/>
              <w:rPr>
                <w:rFonts w:hint="eastAsia"/>
                <w:color w:val="auto"/>
                <w:highlight w:val="none"/>
              </w:rPr>
            </w:pPr>
            <w:r>
              <w:rPr>
                <w:rFonts w:hint="eastAsia"/>
                <w:color w:val="auto"/>
                <w:highlight w:val="none"/>
              </w:rPr>
              <w:t>□不同意。</w:t>
            </w:r>
          </w:p>
          <w:p w14:paraId="3CF832C0">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17942617">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4E8AC9E7">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514DE172">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5C8DCC30">
      <w:pPr>
        <w:spacing w:before="156" w:beforeLines="50"/>
        <w:ind w:firstLine="360" w:firstLineChars="200"/>
        <w:rPr>
          <w:rFonts w:hint="eastAsia"/>
          <w:color w:val="auto"/>
          <w:sz w:val="18"/>
          <w:szCs w:val="18"/>
          <w:highlight w:val="none"/>
        </w:rPr>
      </w:pPr>
      <w:r>
        <w:rPr>
          <w:rFonts w:hint="eastAsia"/>
          <w:color w:val="auto"/>
          <w:sz w:val="18"/>
          <w:szCs w:val="18"/>
          <w:highlight w:val="none"/>
        </w:rPr>
        <w:t>注：1.在选择栏中的“□”内作标识“√”。 如监理人已退场，监理工程师栏可空缺。</w:t>
      </w:r>
    </w:p>
    <w:p w14:paraId="6FE21F59">
      <w:pPr>
        <w:spacing w:before="156" w:beforeLines="50"/>
        <w:ind w:left="720" w:hanging="720" w:hangingChars="400"/>
        <w:rPr>
          <w:rFonts w:hint="eastAsia" w:ascii="宋体" w:hAnsi="宋体" w:cs="宋体"/>
          <w:color w:val="auto"/>
          <w:sz w:val="24"/>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0CD6A21F">
      <w:pPr>
        <w:pStyle w:val="397"/>
        <w:ind w:left="63" w:right="63"/>
        <w:jc w:val="both"/>
        <w:rPr>
          <w:color w:val="auto"/>
          <w:highlight w:val="none"/>
        </w:rPr>
      </w:pPr>
    </w:p>
    <w:p w14:paraId="0EEE6BAA">
      <w:pPr>
        <w:pStyle w:val="397"/>
        <w:ind w:left="63" w:right="63"/>
        <w:rPr>
          <w:color w:val="auto"/>
          <w:highlight w:val="none"/>
        </w:rPr>
      </w:pPr>
    </w:p>
    <w:p w14:paraId="128CC898">
      <w:pPr>
        <w:jc w:val="center"/>
        <w:outlineLvl w:val="0"/>
        <w:rPr>
          <w:rFonts w:hint="eastAsia" w:ascii="华文中宋" w:hAnsi="华文中宋" w:eastAsia="华文中宋" w:cs="华文中宋"/>
          <w:b/>
          <w:bCs/>
          <w:color w:val="auto"/>
          <w:sz w:val="32"/>
          <w:szCs w:val="32"/>
          <w:highlight w:val="none"/>
        </w:rPr>
      </w:pPr>
      <w:r>
        <w:rPr>
          <w:rFonts w:hint="eastAsia" w:ascii="华文中宋" w:hAnsi="华文中宋" w:eastAsia="华文中宋" w:cs="华文中宋"/>
          <w:b/>
          <w:bCs/>
          <w:color w:val="auto"/>
          <w:sz w:val="32"/>
          <w:szCs w:val="32"/>
          <w:highlight w:val="none"/>
        </w:rPr>
        <w:t xml:space="preserve">第六章  </w:t>
      </w:r>
      <w:bookmarkEnd w:id="203"/>
      <w:bookmarkEnd w:id="204"/>
      <w:bookmarkStart w:id="1824" w:name="_Toc13185"/>
      <w:r>
        <w:rPr>
          <w:rFonts w:hint="eastAsia" w:ascii="华文中宋" w:hAnsi="华文中宋" w:eastAsia="华文中宋" w:cs="华文中宋"/>
          <w:b/>
          <w:bCs/>
          <w:color w:val="auto"/>
          <w:sz w:val="32"/>
          <w:szCs w:val="32"/>
          <w:highlight w:val="none"/>
        </w:rPr>
        <w:t>响应文件（格式）</w:t>
      </w:r>
      <w:bookmarkEnd w:id="205"/>
      <w:bookmarkEnd w:id="206"/>
      <w:bookmarkEnd w:id="207"/>
      <w:bookmarkEnd w:id="1824"/>
    </w:p>
    <w:p w14:paraId="63BF521D">
      <w:pPr>
        <w:rPr>
          <w:rFonts w:hint="eastAsia" w:ascii="宋体" w:hAnsi="宋体" w:eastAsia="宋体" w:cs="宋体"/>
          <w:color w:val="auto"/>
          <w:highlight w:val="none"/>
        </w:rPr>
      </w:pPr>
    </w:p>
    <w:p w14:paraId="64E3006D">
      <w:pPr>
        <w:rPr>
          <w:rFonts w:ascii="宋体" w:hAnsi="宋体"/>
          <w:b/>
          <w:color w:val="auto"/>
          <w:sz w:val="32"/>
          <w:szCs w:val="20"/>
          <w:highlight w:val="none"/>
        </w:rPr>
      </w:pPr>
      <w:bookmarkStart w:id="1825" w:name="_Toc18351"/>
      <w:bookmarkStart w:id="1826" w:name="_Toc497927069"/>
      <w:bookmarkStart w:id="1827" w:name="_Toc21496"/>
      <w:r>
        <w:rPr>
          <w:rFonts w:hint="eastAsia" w:ascii="宋体" w:hAnsi="宋体"/>
          <w:b/>
          <w:color w:val="auto"/>
          <w:sz w:val="32"/>
          <w:szCs w:val="20"/>
          <w:highlight w:val="none"/>
        </w:rPr>
        <w:t>响应文件</w:t>
      </w:r>
      <w:bookmarkEnd w:id="1825"/>
      <w:bookmarkEnd w:id="1826"/>
      <w:bookmarkEnd w:id="1827"/>
      <w:r>
        <w:rPr>
          <w:rFonts w:hint="eastAsia" w:ascii="宋体" w:hAnsi="宋体"/>
          <w:b/>
          <w:color w:val="auto"/>
          <w:sz w:val="32"/>
          <w:szCs w:val="20"/>
          <w:highlight w:val="none"/>
        </w:rPr>
        <w:t>封面格式：</w:t>
      </w:r>
    </w:p>
    <w:p w14:paraId="6FAACA61">
      <w:pPr>
        <w:adjustRightInd w:val="0"/>
        <w:snapToGrid w:val="0"/>
        <w:rPr>
          <w:rFonts w:ascii="宋体" w:hAnsi="宋体" w:cs="宋体"/>
          <w:b/>
          <w:color w:val="auto"/>
          <w:sz w:val="44"/>
          <w:szCs w:val="44"/>
          <w:highlight w:val="none"/>
        </w:rPr>
      </w:pPr>
    </w:p>
    <w:p w14:paraId="46ED562A">
      <w:pPr>
        <w:autoSpaceDE w:val="0"/>
        <w:autoSpaceDN w:val="0"/>
        <w:adjustRightInd w:val="0"/>
        <w:jc w:val="left"/>
        <w:rPr>
          <w:rFonts w:hint="eastAsia"/>
          <w:color w:val="auto"/>
          <w:kern w:val="0"/>
          <w:sz w:val="24"/>
          <w:highlight w:val="none"/>
        </w:rPr>
      </w:pPr>
    </w:p>
    <w:p w14:paraId="7D47577A">
      <w:pPr>
        <w:autoSpaceDE w:val="0"/>
        <w:autoSpaceDN w:val="0"/>
        <w:adjustRightInd w:val="0"/>
        <w:jc w:val="left"/>
        <w:rPr>
          <w:rFonts w:hint="eastAsia"/>
          <w:color w:val="auto"/>
          <w:kern w:val="0"/>
          <w:sz w:val="24"/>
          <w:highlight w:val="none"/>
        </w:rPr>
      </w:pPr>
    </w:p>
    <w:p w14:paraId="46493153">
      <w:pPr>
        <w:autoSpaceDE w:val="0"/>
        <w:autoSpaceDN w:val="0"/>
        <w:adjustRightInd w:val="0"/>
        <w:jc w:val="left"/>
        <w:rPr>
          <w:color w:val="auto"/>
          <w:kern w:val="0"/>
          <w:sz w:val="24"/>
          <w:highlight w:val="none"/>
        </w:rPr>
      </w:pPr>
    </w:p>
    <w:p w14:paraId="47594A9A">
      <w:pPr>
        <w:snapToGrid w:val="0"/>
        <w:spacing w:before="165" w:beforeLines="50" w:after="50"/>
        <w:jc w:val="center"/>
        <w:rPr>
          <w:rFonts w:ascii="宋体" w:hAnsi="宋体" w:cs="宋体"/>
          <w:b/>
          <w:color w:val="auto"/>
          <w:sz w:val="72"/>
          <w:szCs w:val="72"/>
          <w:highlight w:val="none"/>
        </w:rPr>
      </w:pPr>
      <w:r>
        <w:rPr>
          <w:rFonts w:hint="eastAsia" w:ascii="宋体" w:hAnsi="宋体" w:cs="宋体"/>
          <w:b/>
          <w:color w:val="auto"/>
          <w:sz w:val="72"/>
          <w:szCs w:val="72"/>
          <w:highlight w:val="none"/>
        </w:rPr>
        <w:t>响应文件</w:t>
      </w:r>
    </w:p>
    <w:p w14:paraId="6C336CB4">
      <w:pPr>
        <w:snapToGrid w:val="0"/>
        <w:spacing w:before="165" w:beforeLines="50" w:after="50"/>
        <w:ind w:firstLine="422" w:firstLineChars="150"/>
        <w:rPr>
          <w:rFonts w:ascii="宋体" w:hAnsi="宋体" w:cs="宋体"/>
          <w:b/>
          <w:color w:val="auto"/>
          <w:sz w:val="28"/>
          <w:szCs w:val="28"/>
          <w:highlight w:val="none"/>
        </w:rPr>
      </w:pPr>
    </w:p>
    <w:p w14:paraId="22D52CDC">
      <w:pPr>
        <w:snapToGrid w:val="0"/>
        <w:spacing w:before="165" w:beforeLines="50" w:after="50"/>
        <w:ind w:firstLine="422" w:firstLineChars="150"/>
        <w:rPr>
          <w:rFonts w:ascii="宋体" w:hAnsi="宋体" w:cs="宋体"/>
          <w:b/>
          <w:color w:val="auto"/>
          <w:sz w:val="28"/>
          <w:szCs w:val="28"/>
          <w:highlight w:val="none"/>
        </w:rPr>
      </w:pPr>
    </w:p>
    <w:p w14:paraId="3723F4C9">
      <w:pPr>
        <w:snapToGrid w:val="0"/>
        <w:spacing w:before="165" w:beforeLines="50" w:after="50"/>
        <w:ind w:firstLine="2249" w:firstLineChars="800"/>
        <w:jc w:val="left"/>
        <w:rPr>
          <w:rFonts w:hint="eastAsia" w:ascii="宋体" w:hAnsi="宋体" w:cs="宋体"/>
          <w:b/>
          <w:color w:val="auto"/>
          <w:sz w:val="28"/>
          <w:szCs w:val="28"/>
          <w:highlight w:val="none"/>
        </w:rPr>
      </w:pPr>
    </w:p>
    <w:p w14:paraId="4242CF12">
      <w:pPr>
        <w:snapToGrid w:val="0"/>
        <w:spacing w:before="165" w:beforeLines="50" w:after="50"/>
        <w:ind w:firstLine="2249" w:firstLineChars="800"/>
        <w:jc w:val="left"/>
        <w:rPr>
          <w:rFonts w:hint="eastAsia" w:ascii="宋体" w:hAnsi="宋体" w:cs="宋体"/>
          <w:b/>
          <w:color w:val="auto"/>
          <w:sz w:val="28"/>
          <w:szCs w:val="28"/>
          <w:highlight w:val="none"/>
        </w:rPr>
      </w:pPr>
    </w:p>
    <w:p w14:paraId="1B34AB46">
      <w:pPr>
        <w:keepNext w:val="0"/>
        <w:keepLines w:val="0"/>
        <w:pageBreakBefore w:val="0"/>
        <w:widowControl w:val="0"/>
        <w:kinsoku/>
        <w:wordWrap/>
        <w:overflowPunct/>
        <w:topLinePunct w:val="0"/>
        <w:autoSpaceDE/>
        <w:autoSpaceDN/>
        <w:bidi w:val="0"/>
        <w:adjustRightInd/>
        <w:snapToGrid w:val="0"/>
        <w:spacing w:before="165" w:beforeLines="50" w:after="50"/>
        <w:ind w:firstLine="2249" w:firstLineChars="800"/>
        <w:jc w:val="both"/>
        <w:textAlignment w:val="auto"/>
        <w:rPr>
          <w:rFonts w:hint="eastAsia" w:ascii="宋体" w:hAnsi="宋体" w:cs="宋体"/>
          <w:b/>
          <w:color w:val="auto"/>
          <w:sz w:val="28"/>
          <w:szCs w:val="28"/>
          <w:highlight w:val="none"/>
          <w:u w:val="single"/>
          <w:lang w:eastAsia="zh-CN"/>
        </w:rPr>
      </w:pPr>
      <w:r>
        <w:rPr>
          <w:rFonts w:hint="eastAsia" w:ascii="宋体" w:hAnsi="宋体" w:cs="宋体"/>
          <w:b/>
          <w:color w:val="auto"/>
          <w:sz w:val="28"/>
          <w:szCs w:val="28"/>
          <w:highlight w:val="none"/>
        </w:rPr>
        <w:t>项目名称：</w:t>
      </w:r>
    </w:p>
    <w:p w14:paraId="10E0F442">
      <w:pPr>
        <w:keepNext w:val="0"/>
        <w:keepLines w:val="0"/>
        <w:pageBreakBefore w:val="0"/>
        <w:widowControl w:val="0"/>
        <w:kinsoku/>
        <w:wordWrap/>
        <w:overflowPunct/>
        <w:topLinePunct w:val="0"/>
        <w:autoSpaceDE/>
        <w:autoSpaceDN/>
        <w:bidi w:val="0"/>
        <w:adjustRightInd/>
        <w:snapToGrid w:val="0"/>
        <w:spacing w:before="165" w:beforeLines="50" w:after="50"/>
        <w:ind w:firstLine="2249" w:firstLineChars="800"/>
        <w:jc w:val="both"/>
        <w:textAlignment w:val="auto"/>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项目编号：</w:t>
      </w:r>
    </w:p>
    <w:p w14:paraId="55BFB26B">
      <w:pPr>
        <w:rPr>
          <w:rFonts w:ascii="宋体" w:hAnsi="宋体" w:cs="宋体"/>
          <w:b/>
          <w:color w:val="auto"/>
          <w:highlight w:val="none"/>
        </w:rPr>
      </w:pPr>
    </w:p>
    <w:p w14:paraId="6B28BEE5">
      <w:pPr>
        <w:spacing w:line="400" w:lineRule="exact"/>
        <w:ind w:firstLine="2704" w:firstLineChars="962"/>
        <w:rPr>
          <w:rFonts w:ascii="宋体" w:hAnsi="宋体" w:cs="宋体"/>
          <w:b/>
          <w:color w:val="auto"/>
          <w:sz w:val="28"/>
          <w:szCs w:val="28"/>
          <w:highlight w:val="none"/>
        </w:rPr>
      </w:pPr>
    </w:p>
    <w:p w14:paraId="34E38BF1">
      <w:pPr>
        <w:autoSpaceDE w:val="0"/>
        <w:autoSpaceDN w:val="0"/>
        <w:adjustRightInd w:val="0"/>
        <w:jc w:val="left"/>
        <w:rPr>
          <w:rFonts w:ascii="宋体" w:hAnsi="宋体" w:cs="宋体"/>
          <w:b/>
          <w:color w:val="auto"/>
          <w:kern w:val="0"/>
          <w:sz w:val="28"/>
          <w:szCs w:val="28"/>
          <w:highlight w:val="none"/>
        </w:rPr>
      </w:pPr>
    </w:p>
    <w:p w14:paraId="444830F8">
      <w:pPr>
        <w:autoSpaceDE w:val="0"/>
        <w:autoSpaceDN w:val="0"/>
        <w:adjustRightInd w:val="0"/>
        <w:ind w:firstLine="1968" w:firstLineChars="700"/>
        <w:jc w:val="left"/>
        <w:rPr>
          <w:rFonts w:hint="eastAsia" w:ascii="宋体" w:hAnsi="宋体" w:eastAsia="宋体" w:cs="宋体"/>
          <w:b/>
          <w:color w:val="auto"/>
          <w:kern w:val="0"/>
          <w:sz w:val="28"/>
          <w:szCs w:val="28"/>
          <w:highlight w:val="none"/>
          <w:lang w:eastAsia="zh-CN"/>
        </w:rPr>
      </w:pPr>
      <w:r>
        <w:rPr>
          <w:rFonts w:hint="eastAsia" w:ascii="宋体" w:hAnsi="宋体" w:cs="宋体"/>
          <w:b/>
          <w:color w:val="auto"/>
          <w:kern w:val="0"/>
          <w:sz w:val="28"/>
          <w:szCs w:val="28"/>
          <w:highlight w:val="none"/>
        </w:rPr>
        <w:t>采购人：</w:t>
      </w:r>
      <w:r>
        <w:rPr>
          <w:rFonts w:hint="eastAsia" w:ascii="宋体" w:hAnsi="宋体" w:cs="宋体"/>
          <w:b/>
          <w:color w:val="auto"/>
          <w:kern w:val="0"/>
          <w:sz w:val="28"/>
          <w:szCs w:val="28"/>
          <w:highlight w:val="none"/>
          <w:u w:val="single"/>
          <w:lang w:eastAsia="zh-CN"/>
        </w:rPr>
        <w:t>资源县资源镇人民政府</w:t>
      </w:r>
    </w:p>
    <w:p w14:paraId="0B50318C">
      <w:pPr>
        <w:snapToGrid w:val="0"/>
        <w:spacing w:before="165" w:beforeLines="50" w:after="50"/>
        <w:ind w:firstLine="1968" w:firstLineChars="700"/>
        <w:jc w:val="left"/>
        <w:rPr>
          <w:rFonts w:hint="eastAsia" w:ascii="宋体" w:hAnsi="宋体" w:eastAsia="宋体" w:cs="宋体"/>
          <w:b/>
          <w:color w:val="auto"/>
          <w:sz w:val="28"/>
          <w:szCs w:val="28"/>
          <w:highlight w:val="none"/>
          <w:u w:val="single"/>
          <w:lang w:eastAsia="zh-CN"/>
        </w:rPr>
      </w:pPr>
      <w:r>
        <w:rPr>
          <w:rFonts w:hint="eastAsia" w:ascii="宋体" w:hAnsi="宋体" w:cs="宋体"/>
          <w:b/>
          <w:color w:val="auto"/>
          <w:sz w:val="28"/>
          <w:szCs w:val="28"/>
          <w:highlight w:val="none"/>
        </w:rPr>
        <w:t>采购代理机构：</w:t>
      </w:r>
      <w:r>
        <w:rPr>
          <w:rFonts w:hint="eastAsia" w:ascii="宋体" w:hAnsi="宋体" w:cs="宋体"/>
          <w:b/>
          <w:color w:val="auto"/>
          <w:sz w:val="28"/>
          <w:szCs w:val="28"/>
          <w:highlight w:val="none"/>
          <w:u w:val="single"/>
          <w:lang w:eastAsia="zh-CN"/>
        </w:rPr>
        <w:t>广西国喆项目管理有限公司</w:t>
      </w:r>
    </w:p>
    <w:p w14:paraId="1E27BB34">
      <w:pPr>
        <w:spacing w:after="120"/>
        <w:ind w:left="980" w:leftChars="200" w:hanging="560" w:hangingChars="200"/>
        <w:rPr>
          <w:rFonts w:hint="eastAsia" w:ascii="宋体" w:hAnsi="宋体" w:cs="宋体"/>
          <w:bCs/>
          <w:color w:val="auto"/>
          <w:sz w:val="28"/>
          <w:szCs w:val="28"/>
          <w:highlight w:val="none"/>
        </w:rPr>
      </w:pPr>
      <w:bookmarkStart w:id="1828" w:name="_Toc4932_WPSOffice_Level2"/>
      <w:bookmarkStart w:id="1829" w:name="_Toc20319_WPSOffice_Level2"/>
    </w:p>
    <w:p w14:paraId="5990493C">
      <w:pPr>
        <w:spacing w:after="120"/>
        <w:ind w:left="980" w:leftChars="200" w:hanging="560" w:hangingChars="200"/>
        <w:rPr>
          <w:rFonts w:hint="eastAsia" w:ascii="宋体" w:hAnsi="宋体" w:cs="宋体"/>
          <w:bCs/>
          <w:color w:val="auto"/>
          <w:sz w:val="28"/>
          <w:szCs w:val="28"/>
          <w:highlight w:val="none"/>
        </w:rPr>
      </w:pPr>
    </w:p>
    <w:p w14:paraId="18EAB3DE">
      <w:pPr>
        <w:keepNext w:val="0"/>
        <w:keepLines w:val="0"/>
        <w:pageBreakBefore w:val="0"/>
        <w:widowControl w:val="0"/>
        <w:kinsoku/>
        <w:wordWrap/>
        <w:overflowPunct/>
        <w:topLinePunct w:val="0"/>
        <w:autoSpaceDE/>
        <w:autoSpaceDN/>
        <w:bidi w:val="0"/>
        <w:adjustRightInd/>
        <w:snapToGrid/>
        <w:spacing w:line="440" w:lineRule="exact"/>
        <w:ind w:left="980" w:leftChars="200" w:hanging="560" w:hangingChars="200"/>
        <w:textAlignment w:val="auto"/>
        <w:rPr>
          <w:rFonts w:ascii="宋体" w:hAnsi="宋体" w:cs="宋体"/>
          <w:bCs/>
          <w:color w:val="auto"/>
          <w:sz w:val="28"/>
          <w:szCs w:val="28"/>
          <w:highlight w:val="none"/>
          <w:u w:val="single"/>
        </w:rPr>
      </w:pPr>
      <w:r>
        <w:rPr>
          <w:rFonts w:hint="eastAsia" w:ascii="宋体" w:hAnsi="宋体" w:cs="宋体"/>
          <w:bCs/>
          <w:color w:val="auto"/>
          <w:sz w:val="28"/>
          <w:szCs w:val="28"/>
          <w:highlight w:val="none"/>
        </w:rPr>
        <w:t>供应商[公章(CA签章)]：</w:t>
      </w:r>
      <w:bookmarkEnd w:id="1828"/>
      <w:bookmarkEnd w:id="1829"/>
      <w:r>
        <w:rPr>
          <w:rFonts w:hint="eastAsia" w:ascii="宋体" w:hAnsi="宋体" w:cs="宋体"/>
          <w:bCs/>
          <w:color w:val="auto"/>
          <w:sz w:val="28"/>
          <w:szCs w:val="28"/>
          <w:highlight w:val="none"/>
          <w:u w:val="single"/>
        </w:rPr>
        <w:t xml:space="preserve">                              </w:t>
      </w:r>
    </w:p>
    <w:p w14:paraId="7CB315EB">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ascii="宋体" w:hAnsi="宋体" w:cs="宋体"/>
          <w:color w:val="auto"/>
          <w:sz w:val="28"/>
          <w:szCs w:val="28"/>
          <w:highlight w:val="none"/>
          <w:u w:val="single"/>
        </w:rPr>
      </w:pPr>
      <w:bookmarkStart w:id="1830" w:name="_Toc32056_WPSOffice_Level2"/>
      <w:bookmarkStart w:id="1831" w:name="_Toc9622_WPSOffice_Level2"/>
      <w:r>
        <w:rPr>
          <w:rFonts w:hint="eastAsia" w:ascii="宋体" w:hAnsi="宋体" w:cs="宋体"/>
          <w:color w:val="auto"/>
          <w:sz w:val="28"/>
          <w:szCs w:val="28"/>
          <w:highlight w:val="none"/>
        </w:rPr>
        <w:t>法定代表人或相应的委托代理人签字[或盖章(CA签章)]：</w:t>
      </w:r>
      <w:r>
        <w:rPr>
          <w:rFonts w:hint="eastAsia" w:ascii="宋体" w:hAnsi="宋体" w:cs="宋体"/>
          <w:color w:val="auto"/>
          <w:sz w:val="28"/>
          <w:szCs w:val="28"/>
          <w:highlight w:val="none"/>
          <w:u w:val="single"/>
        </w:rPr>
        <w:t xml:space="preserve">            </w:t>
      </w:r>
    </w:p>
    <w:bookmarkEnd w:id="1830"/>
    <w:bookmarkEnd w:id="1831"/>
    <w:p w14:paraId="77AC87EC">
      <w:pPr>
        <w:keepNext w:val="0"/>
        <w:keepLines w:val="0"/>
        <w:pageBreakBefore w:val="0"/>
        <w:widowControl w:val="0"/>
        <w:kinsoku/>
        <w:wordWrap/>
        <w:overflowPunct/>
        <w:topLinePunct w:val="0"/>
        <w:autoSpaceDE/>
        <w:autoSpaceDN/>
        <w:bidi w:val="0"/>
        <w:adjustRightInd/>
        <w:snapToGrid/>
        <w:spacing w:line="440" w:lineRule="exact"/>
        <w:ind w:left="980" w:leftChars="200" w:hanging="560" w:hangingChars="200"/>
        <w:textAlignment w:val="auto"/>
        <w:rPr>
          <w:rFonts w:ascii="宋体" w:hAnsi="宋体" w:cs="宋体"/>
          <w:bCs/>
          <w:color w:val="auto"/>
          <w:sz w:val="28"/>
          <w:szCs w:val="28"/>
          <w:highlight w:val="none"/>
        </w:rPr>
      </w:pPr>
      <w:bookmarkStart w:id="1832" w:name="_Toc15933_WPSOffice_Level2"/>
      <w:bookmarkStart w:id="1833" w:name="_Toc26465_WPSOffice_Level2"/>
      <w:r>
        <w:rPr>
          <w:rFonts w:hint="eastAsia" w:ascii="宋体" w:hAnsi="宋体" w:cs="宋体"/>
          <w:bCs/>
          <w:color w:val="auto"/>
          <w:sz w:val="28"/>
          <w:szCs w:val="28"/>
          <w:highlight w:val="none"/>
        </w:rPr>
        <w:t>日期：</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年</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月</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日</w:t>
      </w:r>
      <w:bookmarkEnd w:id="1832"/>
      <w:bookmarkEnd w:id="1833"/>
    </w:p>
    <w:p w14:paraId="3F9D9409">
      <w:pPr>
        <w:pStyle w:val="72"/>
        <w:rPr>
          <w:rFonts w:hint="eastAsia"/>
          <w:color w:val="auto"/>
          <w:highlight w:val="none"/>
        </w:rPr>
      </w:pPr>
    </w:p>
    <w:p w14:paraId="3247B233">
      <w:pPr>
        <w:pStyle w:val="21"/>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color w:val="auto"/>
          <w:sz w:val="24"/>
          <w:szCs w:val="24"/>
          <w:highlight w:val="none"/>
        </w:rPr>
      </w:pPr>
    </w:p>
    <w:p w14:paraId="6AD47105">
      <w:pPr>
        <w:pStyle w:val="21"/>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color w:val="auto"/>
          <w:sz w:val="24"/>
          <w:szCs w:val="24"/>
          <w:highlight w:val="none"/>
        </w:rPr>
      </w:pPr>
    </w:p>
    <w:p w14:paraId="2CDF565E">
      <w:pPr>
        <w:pStyle w:val="21"/>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color w:val="auto"/>
          <w:sz w:val="24"/>
          <w:szCs w:val="24"/>
          <w:highlight w:val="none"/>
        </w:rPr>
      </w:pPr>
    </w:p>
    <w:p w14:paraId="76F2F380">
      <w:pPr>
        <w:pStyle w:val="21"/>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color w:val="auto"/>
          <w:sz w:val="24"/>
          <w:szCs w:val="24"/>
          <w:highlight w:val="none"/>
        </w:rPr>
      </w:pPr>
    </w:p>
    <w:p w14:paraId="61657212">
      <w:pPr>
        <w:pStyle w:val="21"/>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color w:val="auto"/>
          <w:sz w:val="24"/>
          <w:szCs w:val="24"/>
          <w:highlight w:val="none"/>
        </w:rPr>
      </w:pPr>
    </w:p>
    <w:p w14:paraId="633E3EF5">
      <w:pPr>
        <w:numPr>
          <w:ilvl w:val="0"/>
          <w:numId w:val="0"/>
        </w:numPr>
        <w:outlineLvl w:val="1"/>
        <w:rPr>
          <w:rFonts w:hint="eastAsia" w:ascii="宋体" w:hAnsi="宋体" w:eastAsia="宋体" w:cs="宋体"/>
          <w:b/>
          <w:bCs/>
          <w:color w:val="auto"/>
          <w:sz w:val="32"/>
          <w:szCs w:val="32"/>
          <w:highlight w:val="none"/>
        </w:rPr>
      </w:pPr>
      <w:bookmarkStart w:id="1834" w:name="_Toc21615"/>
      <w:bookmarkStart w:id="1835" w:name="_Toc19430"/>
      <w:bookmarkStart w:id="1836" w:name="_Toc497927070"/>
      <w:r>
        <w:rPr>
          <w:rFonts w:hint="eastAsia" w:ascii="宋体" w:hAnsi="宋体" w:eastAsia="宋体" w:cs="宋体"/>
          <w:b/>
          <w:bCs/>
          <w:color w:val="auto"/>
          <w:sz w:val="32"/>
          <w:szCs w:val="32"/>
          <w:highlight w:val="none"/>
          <w:lang w:eastAsia="zh-CN"/>
        </w:rPr>
        <w:br w:type="page"/>
      </w:r>
      <w:bookmarkStart w:id="1837" w:name="_Toc12538"/>
      <w:r>
        <w:rPr>
          <w:rFonts w:hint="eastAsia" w:ascii="宋体" w:hAnsi="宋体" w:eastAsia="宋体" w:cs="宋体"/>
          <w:b/>
          <w:bCs/>
          <w:color w:val="auto"/>
          <w:sz w:val="32"/>
          <w:szCs w:val="32"/>
          <w:highlight w:val="none"/>
          <w:lang w:eastAsia="zh-CN"/>
        </w:rPr>
        <w:t>二、</w:t>
      </w:r>
      <w:r>
        <w:rPr>
          <w:rFonts w:hint="eastAsia" w:ascii="宋体" w:hAnsi="宋体" w:eastAsia="宋体" w:cs="宋体"/>
          <w:b/>
          <w:bCs/>
          <w:color w:val="auto"/>
          <w:sz w:val="32"/>
          <w:szCs w:val="32"/>
          <w:highlight w:val="none"/>
        </w:rPr>
        <w:t>响应文件组成</w:t>
      </w:r>
      <w:bookmarkEnd w:id="1834"/>
      <w:bookmarkEnd w:id="1835"/>
      <w:bookmarkEnd w:id="1836"/>
      <w:bookmarkEnd w:id="1837"/>
    </w:p>
    <w:p w14:paraId="33882A95">
      <w:pPr>
        <w:pStyle w:val="20"/>
        <w:numPr>
          <w:ilvl w:val="0"/>
          <w:numId w:val="0"/>
        </w:numPr>
        <w:rPr>
          <w:rFonts w:hint="eastAsia" w:ascii="宋体" w:hAnsi="宋体" w:eastAsia="宋体" w:cs="宋体"/>
          <w:color w:val="auto"/>
          <w:highlight w:val="none"/>
        </w:rPr>
      </w:pPr>
    </w:p>
    <w:p w14:paraId="58C160B6">
      <w:pPr>
        <w:pStyle w:val="20"/>
        <w:rPr>
          <w:rFonts w:hint="eastAsia" w:ascii="宋体" w:hAnsi="宋体" w:eastAsia="宋体" w:cs="宋体"/>
          <w:b/>
          <w:bCs/>
          <w:color w:val="auto"/>
          <w:sz w:val="28"/>
          <w:szCs w:val="28"/>
          <w:highlight w:val="none"/>
          <w:lang w:eastAsia="zh-CN"/>
        </w:rPr>
      </w:pPr>
    </w:p>
    <w:p w14:paraId="349AAF6F">
      <w:pPr>
        <w:numPr>
          <w:ilvl w:val="0"/>
          <w:numId w:val="8"/>
        </w:numPr>
        <w:spacing w:line="400" w:lineRule="exact"/>
        <w:ind w:firstLine="568" w:firstLineChars="20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资格性响应证明材料</w:t>
      </w:r>
    </w:p>
    <w:p w14:paraId="78ADE824">
      <w:pPr>
        <w:pStyle w:val="20"/>
        <w:rPr>
          <w:rFonts w:hint="eastAsia" w:ascii="宋体" w:hAnsi="宋体" w:eastAsia="宋体" w:cs="宋体"/>
          <w:b/>
          <w:bCs/>
          <w:color w:val="auto"/>
          <w:sz w:val="28"/>
          <w:szCs w:val="28"/>
          <w:highlight w:val="none"/>
        </w:rPr>
      </w:pPr>
    </w:p>
    <w:p w14:paraId="739894B6">
      <w:pPr>
        <w:pStyle w:val="20"/>
        <w:rPr>
          <w:rFonts w:hint="eastAsia" w:ascii="宋体" w:hAnsi="宋体" w:eastAsia="宋体" w:cs="宋体"/>
          <w:b/>
          <w:bCs/>
          <w:color w:val="auto"/>
          <w:sz w:val="28"/>
          <w:szCs w:val="28"/>
          <w:highlight w:val="none"/>
        </w:rPr>
      </w:pPr>
    </w:p>
    <w:p w14:paraId="1208765A">
      <w:pPr>
        <w:numPr>
          <w:ilvl w:val="0"/>
          <w:numId w:val="8"/>
        </w:numPr>
        <w:spacing w:line="400" w:lineRule="exact"/>
        <w:ind w:firstLine="568" w:firstLineChars="20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符合性响应证明材料</w:t>
      </w:r>
    </w:p>
    <w:p w14:paraId="46DAF8F7">
      <w:pPr>
        <w:pStyle w:val="20"/>
        <w:rPr>
          <w:rFonts w:hint="eastAsia" w:ascii="宋体" w:hAnsi="宋体" w:eastAsia="宋体" w:cs="宋体"/>
          <w:b/>
          <w:bCs/>
          <w:color w:val="auto"/>
          <w:sz w:val="28"/>
          <w:szCs w:val="28"/>
          <w:highlight w:val="none"/>
        </w:rPr>
      </w:pPr>
    </w:p>
    <w:p w14:paraId="514DA094">
      <w:pPr>
        <w:pStyle w:val="20"/>
        <w:rPr>
          <w:rFonts w:hint="eastAsia" w:ascii="宋体" w:hAnsi="宋体" w:eastAsia="宋体" w:cs="宋体"/>
          <w:b/>
          <w:bCs/>
          <w:color w:val="auto"/>
          <w:sz w:val="28"/>
          <w:szCs w:val="28"/>
          <w:highlight w:val="none"/>
        </w:rPr>
      </w:pPr>
    </w:p>
    <w:p w14:paraId="6BB96D14">
      <w:pPr>
        <w:numPr>
          <w:ilvl w:val="0"/>
          <w:numId w:val="8"/>
        </w:numPr>
        <w:spacing w:line="400" w:lineRule="exact"/>
        <w:ind w:firstLine="568" w:firstLineChars="20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其</w:t>
      </w:r>
      <w:r>
        <w:rPr>
          <w:rFonts w:hint="eastAsia" w:ascii="宋体" w:hAnsi="宋体" w:eastAsia="宋体" w:cs="宋体"/>
          <w:b/>
          <w:bCs/>
          <w:color w:val="auto"/>
          <w:sz w:val="28"/>
          <w:szCs w:val="28"/>
          <w:highlight w:val="none"/>
          <w:lang w:eastAsia="zh-CN"/>
        </w:rPr>
        <w:t>他</w:t>
      </w:r>
      <w:r>
        <w:rPr>
          <w:rFonts w:hint="eastAsia" w:ascii="宋体" w:hAnsi="宋体" w:eastAsia="宋体" w:cs="宋体"/>
          <w:b/>
          <w:bCs/>
          <w:color w:val="auto"/>
          <w:sz w:val="28"/>
          <w:szCs w:val="28"/>
          <w:highlight w:val="none"/>
        </w:rPr>
        <w:t>有效证明材料</w:t>
      </w:r>
    </w:p>
    <w:p w14:paraId="688BD47A">
      <w:pPr>
        <w:pStyle w:val="72"/>
        <w:rPr>
          <w:rFonts w:hint="eastAsia" w:ascii="宋体" w:hAnsi="宋体" w:eastAsia="宋体" w:cs="宋体"/>
          <w:color w:val="auto"/>
          <w:highlight w:val="none"/>
        </w:rPr>
      </w:pPr>
    </w:p>
    <w:p w14:paraId="73043B26">
      <w:pPr>
        <w:tabs>
          <w:tab w:val="left" w:pos="5040"/>
        </w:tabs>
        <w:spacing w:line="400" w:lineRule="exact"/>
        <w:rPr>
          <w:rFonts w:hint="eastAsia" w:ascii="宋体" w:hAnsi="宋体" w:eastAsia="宋体" w:cs="宋体"/>
          <w:color w:val="auto"/>
          <w:szCs w:val="21"/>
          <w:highlight w:val="none"/>
        </w:rPr>
      </w:pPr>
    </w:p>
    <w:p w14:paraId="40C23F75">
      <w:pPr>
        <w:pStyle w:val="72"/>
        <w:rPr>
          <w:rFonts w:hint="eastAsia" w:ascii="宋体" w:hAnsi="宋体" w:eastAsia="宋体" w:cs="宋体"/>
          <w:color w:val="auto"/>
          <w:szCs w:val="21"/>
          <w:highlight w:val="none"/>
        </w:rPr>
      </w:pPr>
    </w:p>
    <w:p w14:paraId="15E71E75">
      <w:pPr>
        <w:pStyle w:val="72"/>
        <w:rPr>
          <w:rFonts w:hint="eastAsia" w:ascii="宋体" w:hAnsi="宋体" w:eastAsia="宋体" w:cs="宋体"/>
          <w:color w:val="auto"/>
          <w:szCs w:val="21"/>
          <w:highlight w:val="none"/>
        </w:rPr>
      </w:pPr>
    </w:p>
    <w:p w14:paraId="15A675E1">
      <w:pPr>
        <w:pStyle w:val="72"/>
        <w:rPr>
          <w:rFonts w:hint="eastAsia" w:ascii="宋体" w:hAnsi="宋体" w:eastAsia="宋体" w:cs="宋体"/>
          <w:color w:val="auto"/>
          <w:szCs w:val="21"/>
          <w:highlight w:val="none"/>
        </w:rPr>
      </w:pPr>
    </w:p>
    <w:p w14:paraId="271C1D8C">
      <w:pPr>
        <w:pStyle w:val="72"/>
        <w:rPr>
          <w:rFonts w:hint="eastAsia" w:ascii="宋体" w:hAnsi="宋体" w:eastAsia="宋体" w:cs="宋体"/>
          <w:color w:val="auto"/>
          <w:szCs w:val="21"/>
          <w:highlight w:val="none"/>
        </w:rPr>
      </w:pPr>
    </w:p>
    <w:p w14:paraId="6D8E5650">
      <w:pPr>
        <w:keepLines w:val="0"/>
        <w:pageBreakBefore w:val="0"/>
        <w:widowControl w:val="0"/>
        <w:numPr>
          <w:ilvl w:val="0"/>
          <w:numId w:val="9"/>
        </w:numPr>
        <w:tabs>
          <w:tab w:val="left" w:pos="3570"/>
        </w:tabs>
        <w:kinsoku/>
        <w:wordWrap/>
        <w:overflowPunct/>
        <w:topLinePunct w:val="0"/>
        <w:autoSpaceDE/>
        <w:autoSpaceDN/>
        <w:bidi w:val="0"/>
        <w:adjustRightInd/>
        <w:snapToGrid/>
        <w:spacing w:line="400" w:lineRule="exact"/>
        <w:jc w:val="center"/>
        <w:textAlignment w:val="auto"/>
        <w:outlineLvl w:val="1"/>
        <w:rPr>
          <w:rFonts w:hint="eastAsia" w:ascii="华文中宋" w:hAnsi="华文中宋" w:eastAsia="华文中宋" w:cs="华文中宋"/>
          <w:b/>
          <w:bCs/>
          <w:iCs w:val="0"/>
          <w:color w:val="auto"/>
          <w:kern w:val="2"/>
          <w:sz w:val="30"/>
          <w:szCs w:val="30"/>
          <w:highlight w:val="none"/>
          <w:lang w:val="en-US" w:eastAsia="zh-CN" w:bidi="ar-SA"/>
        </w:rPr>
      </w:pPr>
      <w:bookmarkStart w:id="1838" w:name="_Toc497927071"/>
      <w:bookmarkStart w:id="1839" w:name="_Toc11067"/>
      <w:bookmarkStart w:id="1840" w:name="_Toc7185"/>
      <w:r>
        <w:rPr>
          <w:rFonts w:hint="eastAsia" w:ascii="宋体" w:hAnsi="宋体" w:eastAsia="宋体" w:cs="宋体"/>
          <w:color w:val="auto"/>
          <w:sz w:val="32"/>
          <w:szCs w:val="32"/>
          <w:highlight w:val="none"/>
          <w:lang w:eastAsia="zh-CN"/>
        </w:rPr>
        <w:br w:type="page"/>
      </w:r>
      <w:bookmarkStart w:id="1841" w:name="_Toc12268"/>
      <w:r>
        <w:rPr>
          <w:rFonts w:hint="eastAsia" w:ascii="华文中宋" w:hAnsi="华文中宋" w:eastAsia="华文中宋" w:cs="华文中宋"/>
          <w:b/>
          <w:bCs/>
          <w:color w:val="auto"/>
          <w:sz w:val="30"/>
          <w:szCs w:val="30"/>
          <w:highlight w:val="none"/>
          <w:lang w:val="en-US" w:eastAsia="zh-CN"/>
        </w:rPr>
        <w:t>资格</w:t>
      </w:r>
      <w:r>
        <w:rPr>
          <w:rFonts w:hint="eastAsia" w:ascii="华文中宋" w:hAnsi="华文中宋" w:eastAsia="华文中宋" w:cs="华文中宋"/>
          <w:b/>
          <w:bCs/>
          <w:iCs w:val="0"/>
          <w:color w:val="auto"/>
          <w:kern w:val="2"/>
          <w:sz w:val="30"/>
          <w:szCs w:val="30"/>
          <w:highlight w:val="none"/>
          <w:lang w:val="en-US" w:eastAsia="zh-CN" w:bidi="ar-SA"/>
        </w:rPr>
        <w:t>性响应证明材料目录</w:t>
      </w:r>
      <w:bookmarkEnd w:id="1838"/>
      <w:bookmarkEnd w:id="1839"/>
      <w:bookmarkEnd w:id="1840"/>
      <w:bookmarkEnd w:id="1841"/>
    </w:p>
    <w:p w14:paraId="3BE9E5E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sz w:val="24"/>
          <w:szCs w:val="24"/>
          <w:highlight w:val="none"/>
          <w:lang w:val="en-US" w:eastAsia="zh-CN"/>
        </w:rPr>
      </w:pPr>
    </w:p>
    <w:p w14:paraId="58E5F4A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供应商相应的法定</w:t>
      </w:r>
      <w:r>
        <w:rPr>
          <w:rFonts w:hint="eastAsia" w:ascii="宋体" w:hAnsi="宋体" w:eastAsia="宋体" w:cs="宋体"/>
          <w:b w:val="0"/>
          <w:bCs w:val="0"/>
          <w:color w:val="auto"/>
          <w:sz w:val="24"/>
          <w:szCs w:val="24"/>
          <w:highlight w:val="none"/>
          <w:lang w:eastAsia="zh-CN"/>
        </w:rPr>
        <w:t>代表人、负责人、自然人有效身份证正反两面复印件</w:t>
      </w:r>
      <w:r>
        <w:rPr>
          <w:rFonts w:hint="eastAsia" w:ascii="宋体" w:hAnsi="宋体" w:eastAsia="宋体" w:cs="宋体"/>
          <w:b w:val="0"/>
          <w:bCs w:val="0"/>
          <w:color w:val="auto"/>
          <w:sz w:val="24"/>
          <w:szCs w:val="24"/>
          <w:highlight w:val="none"/>
        </w:rPr>
        <w:t>（必须提供）；</w:t>
      </w:r>
    </w:p>
    <w:p w14:paraId="536717F2">
      <w:pPr>
        <w:pageBreakBefore w:val="0"/>
        <w:widowControl w:val="0"/>
        <w:kinsoku/>
        <w:wordWrap/>
        <w:overflowPunct/>
        <w:topLinePunct w:val="0"/>
        <w:autoSpaceDE/>
        <w:autoSpaceDN/>
        <w:bidi w:val="0"/>
        <w:adjustRightInd/>
        <w:snapToGrid/>
        <w:spacing w:beforeLines="0" w:afterLines="0" w:line="4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供应商的授权委托书原件、委托代理人身份证正反面复印件以及由县级以上（含县级）社会养老保险经办机构出具的供应商为委托代理人交纳的响应文件递交截止时间前半年内连续三个月社保</w:t>
      </w:r>
      <w:r>
        <w:rPr>
          <w:rFonts w:hint="eastAsia" w:ascii="宋体" w:hAnsi="宋体" w:eastAsia="宋体" w:cs="宋体"/>
          <w:b w:val="0"/>
          <w:bCs w:val="0"/>
          <w:color w:val="auto"/>
          <w:sz w:val="24"/>
          <w:szCs w:val="24"/>
          <w:highlight w:val="none"/>
          <w:lang w:eastAsia="zh-CN"/>
        </w:rPr>
        <w:t>证明</w:t>
      </w:r>
      <w:r>
        <w:rPr>
          <w:rFonts w:hint="eastAsia" w:ascii="宋体" w:hAnsi="宋体" w:eastAsia="宋体" w:cs="宋体"/>
          <w:b w:val="0"/>
          <w:bCs w:val="0"/>
          <w:color w:val="auto"/>
          <w:sz w:val="24"/>
          <w:szCs w:val="24"/>
          <w:highlight w:val="none"/>
        </w:rPr>
        <w:t>复印件，除供应商为以下</w:t>
      </w:r>
      <w:r>
        <w:rPr>
          <w:rFonts w:hint="eastAsia" w:ascii="宋体" w:hAnsi="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种情形的</w:t>
      </w:r>
      <w:r>
        <w:rPr>
          <w:rFonts w:hint="eastAsia" w:ascii="宋体" w:hAnsi="宋体" w:eastAsia="宋体" w:cs="宋体"/>
          <w:color w:val="auto"/>
          <w:sz w:val="24"/>
          <w:szCs w:val="24"/>
          <w:highlight w:val="none"/>
        </w:rPr>
        <w:t>：</w:t>
      </w:r>
    </w:p>
    <w:p w14:paraId="37F1ED0A">
      <w:pPr>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kern w:val="0"/>
          <w:sz w:val="24"/>
          <w:szCs w:val="24"/>
          <w:highlight w:val="none"/>
          <w:shd w:val="clear" w:color="auto" w:fill="auto"/>
        </w:rPr>
        <w:t>①如供应商为响应文件提交截止时间前60日以内成立的公司，可以提供供应商与委托代理人签订的劳动合同复印件代替社保证明复印件；②如供应商为事业单位，可以提供事业单位机构编制管理证复印件或事业单位机构为其发放工资的工资条复印件代替社保证明复印件；③如委托代理人为免缴纳社保人员，提供免缴纳社保的证明材料复印件及供应商与委托代理人签订的劳动合同复印件代替养老保险证明复印件。【属自然人的应提供由县级以上（含县级）社会养老保险经办机构出具的自然人本人及委托代理人所交纳的响应文件递交截止时间前半年内连续三个月社保证明复印件】</w:t>
      </w:r>
      <w:r>
        <w:rPr>
          <w:rFonts w:hint="eastAsia" w:ascii="宋体" w:hAnsi="宋体" w:eastAsia="宋体" w:cs="宋体"/>
          <w:b w:val="0"/>
          <w:bCs w:val="0"/>
          <w:color w:val="auto"/>
          <w:sz w:val="24"/>
          <w:szCs w:val="24"/>
          <w:highlight w:val="none"/>
        </w:rPr>
        <w:t>（委托代理时必须提供）</w:t>
      </w:r>
    </w:p>
    <w:p w14:paraId="5DBD60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sz w:val="24"/>
          <w:szCs w:val="32"/>
          <w:highlight w:val="none"/>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供应商参加政府采购活动前3年内在经营活动中没有重大违法记录及有关信用信息的书面声明（必须提供）；</w:t>
      </w:r>
    </w:p>
    <w:p w14:paraId="68E78A6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供应商的法人或者其他组织营业执照等证明文件复印件（必须提供，自然人除外）；</w:t>
      </w:r>
    </w:p>
    <w:p w14:paraId="45DE88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579E28A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textAlignment w:val="auto"/>
        <w:rPr>
          <w:rFonts w:hint="eastAsia" w:ascii="宋体" w:hAnsi="宋体" w:eastAsia="宋体" w:cs="宋体"/>
          <w:b w:val="0"/>
          <w:bCs w:val="0"/>
          <w:color w:val="auto"/>
          <w:sz w:val="24"/>
          <w:szCs w:val="32"/>
          <w:highlight w:val="none"/>
        </w:rPr>
      </w:pPr>
      <w:r>
        <w:rPr>
          <w:rFonts w:hint="eastAsia" w:ascii="宋体" w:hAnsi="宋体" w:eastAsia="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rPr>
        <w:t>供应商有效的资质证书复印件</w:t>
      </w:r>
      <w:r>
        <w:rPr>
          <w:rFonts w:hint="eastAsia" w:ascii="宋体" w:hAnsi="宋体" w:eastAsia="宋体" w:cs="宋体"/>
          <w:b w:val="0"/>
          <w:bCs w:val="0"/>
          <w:color w:val="auto"/>
          <w:kern w:val="0"/>
          <w:sz w:val="24"/>
          <w:szCs w:val="24"/>
          <w:highlight w:val="none"/>
          <w:lang w:eastAsia="zh-CN"/>
        </w:rPr>
        <w:t>和安全生产许可证</w:t>
      </w:r>
      <w:r>
        <w:rPr>
          <w:rFonts w:hint="eastAsia" w:ascii="宋体" w:hAnsi="宋体" w:eastAsia="宋体" w:cs="宋体"/>
          <w:b w:val="0"/>
          <w:bCs w:val="0"/>
          <w:color w:val="auto"/>
          <w:kern w:val="0"/>
          <w:sz w:val="24"/>
          <w:szCs w:val="24"/>
          <w:highlight w:val="none"/>
        </w:rPr>
        <w:t>复印件</w:t>
      </w:r>
      <w:r>
        <w:rPr>
          <w:rFonts w:hint="eastAsia" w:ascii="宋体" w:hAnsi="宋体" w:eastAsia="宋体" w:cs="宋体"/>
          <w:b w:val="0"/>
          <w:bCs w:val="0"/>
          <w:color w:val="auto"/>
          <w:sz w:val="24"/>
          <w:szCs w:val="24"/>
          <w:highlight w:val="none"/>
          <w:lang w:val="en-US" w:eastAsia="zh-CN"/>
        </w:rPr>
        <w:t>（必须提供）</w:t>
      </w:r>
      <w:r>
        <w:rPr>
          <w:rFonts w:hint="eastAsia" w:ascii="宋体" w:hAnsi="宋体" w:eastAsia="宋体" w:cs="宋体"/>
          <w:b w:val="0"/>
          <w:bCs w:val="0"/>
          <w:color w:val="auto"/>
          <w:sz w:val="24"/>
          <w:szCs w:val="24"/>
          <w:highlight w:val="none"/>
        </w:rPr>
        <w:t>；</w:t>
      </w:r>
    </w:p>
    <w:p w14:paraId="568E4DF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textAlignment w:val="auto"/>
        <w:rPr>
          <w:rFonts w:hint="eastAsia" w:ascii="宋体" w:hAnsi="宋体" w:eastAsia="宋体" w:cs="宋体"/>
          <w:b w:val="0"/>
          <w:bCs w:val="0"/>
          <w:color w:val="auto"/>
          <w:sz w:val="24"/>
          <w:szCs w:val="32"/>
          <w:highlight w:val="none"/>
        </w:rPr>
      </w:pPr>
      <w:r>
        <w:rPr>
          <w:rFonts w:hint="eastAsia" w:ascii="宋体" w:hAnsi="宋体" w:eastAsia="宋体" w:cs="宋体"/>
          <w:b w:val="0"/>
          <w:bCs w:val="0"/>
          <w:color w:val="auto"/>
          <w:kern w:val="0"/>
          <w:sz w:val="24"/>
          <w:szCs w:val="24"/>
          <w:highlight w:val="none"/>
          <w:lang w:val="en-US" w:eastAsia="zh-CN"/>
        </w:rPr>
        <w:t>6.</w:t>
      </w:r>
      <w:r>
        <w:rPr>
          <w:rFonts w:hint="eastAsia" w:ascii="宋体" w:hAnsi="宋体" w:eastAsia="宋体" w:cs="宋体"/>
          <w:b w:val="0"/>
          <w:bCs w:val="0"/>
          <w:color w:val="auto"/>
          <w:kern w:val="0"/>
          <w:sz w:val="24"/>
          <w:szCs w:val="24"/>
          <w:highlight w:val="none"/>
          <w:lang w:eastAsia="zh-CN"/>
        </w:rPr>
        <w:t>拟派项目经理的</w:t>
      </w:r>
      <w:r>
        <w:rPr>
          <w:rFonts w:hint="eastAsia" w:ascii="宋体" w:hAnsi="宋体" w:eastAsia="宋体" w:cs="宋体"/>
          <w:bCs/>
          <w:color w:val="auto"/>
          <w:sz w:val="24"/>
          <w:szCs w:val="24"/>
          <w:highlight w:val="none"/>
          <w:u w:val="none"/>
          <w:lang w:val="en-US" w:eastAsia="zh-CN"/>
        </w:rPr>
        <w:t>市政公用工程专业或公路工程专业的贰级（含贰级）及以上注册建造师</w:t>
      </w:r>
      <w:r>
        <w:rPr>
          <w:rFonts w:hint="eastAsia" w:ascii="宋体" w:hAnsi="宋体" w:cs="宋体"/>
          <w:bCs/>
          <w:color w:val="auto"/>
          <w:sz w:val="24"/>
          <w:szCs w:val="24"/>
          <w:highlight w:val="none"/>
          <w:u w:val="none"/>
          <w:lang w:val="en-US" w:eastAsia="zh-CN"/>
        </w:rPr>
        <w:t>证书并</w:t>
      </w:r>
      <w:r>
        <w:rPr>
          <w:rFonts w:hint="eastAsia" w:ascii="宋体" w:hAnsi="宋体" w:eastAsia="宋体" w:cs="宋体"/>
          <w:bCs/>
          <w:color w:val="auto"/>
          <w:sz w:val="24"/>
          <w:szCs w:val="24"/>
          <w:highlight w:val="none"/>
          <w:u w:val="none"/>
          <w:lang w:val="en-US" w:eastAsia="zh-CN"/>
        </w:rPr>
        <w:t>具有安全生产考核B证</w:t>
      </w:r>
      <w:r>
        <w:rPr>
          <w:rFonts w:hint="eastAsia" w:ascii="宋体" w:hAnsi="宋体" w:eastAsia="宋体" w:cs="宋体"/>
          <w:b w:val="0"/>
          <w:bCs w:val="0"/>
          <w:color w:val="auto"/>
          <w:sz w:val="24"/>
          <w:szCs w:val="24"/>
          <w:highlight w:val="none"/>
          <w:lang w:val="en-US" w:eastAsia="zh-CN"/>
        </w:rPr>
        <w:t>（必须提供）</w:t>
      </w:r>
      <w:r>
        <w:rPr>
          <w:rFonts w:hint="eastAsia" w:ascii="宋体" w:hAnsi="宋体" w:eastAsia="宋体" w:cs="宋体"/>
          <w:b w:val="0"/>
          <w:bCs w:val="0"/>
          <w:color w:val="auto"/>
          <w:sz w:val="24"/>
          <w:szCs w:val="24"/>
          <w:highlight w:val="none"/>
        </w:rPr>
        <w:t>；</w:t>
      </w:r>
    </w:p>
    <w:p w14:paraId="28AF0F2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7.</w:t>
      </w:r>
      <w:r>
        <w:rPr>
          <w:rFonts w:hint="eastAsia" w:ascii="宋体" w:hAnsi="宋体" w:eastAsia="宋体" w:cs="宋体"/>
          <w:b w:val="0"/>
          <w:bCs w:val="0"/>
          <w:color w:val="auto"/>
          <w:kern w:val="0"/>
          <w:sz w:val="24"/>
          <w:szCs w:val="24"/>
          <w:highlight w:val="none"/>
          <w:lang w:val="en-US" w:eastAsia="zh-CN"/>
        </w:rPr>
        <w:t>项目经理无在建工程承诺书（格式自拟）（必须提供）；</w:t>
      </w:r>
    </w:p>
    <w:p w14:paraId="7F46BED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textAlignment w:val="auto"/>
        <w:rPr>
          <w:rFonts w:hint="eastAsia" w:ascii="宋体" w:hAnsi="宋体" w:eastAsia="宋体" w:cs="宋体"/>
          <w:b/>
          <w:color w:val="auto"/>
          <w:sz w:val="36"/>
          <w:szCs w:val="36"/>
          <w:highlight w:val="none"/>
          <w:lang w:val="en-US" w:eastAsia="zh-CN"/>
        </w:rPr>
      </w:pP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中小企业声明函或者残疾人福利性单位声明函（格式后附）或者</w:t>
      </w:r>
      <w:r>
        <w:rPr>
          <w:rFonts w:hint="eastAsia" w:ascii="宋体" w:hAnsi="宋体" w:eastAsia="宋体" w:cs="宋体"/>
          <w:b w:val="0"/>
          <w:bCs w:val="0"/>
          <w:i w:val="0"/>
          <w:i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属于监狱企业的</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i w:val="0"/>
          <w:iCs w:val="0"/>
          <w:color w:val="auto"/>
          <w:sz w:val="24"/>
          <w:szCs w:val="24"/>
          <w:highlight w:val="none"/>
          <w:lang w:eastAsia="zh-CN"/>
        </w:rPr>
        <w:t>提供由省级以上监狱管理局、戒毒管理局（含新疆生产建设兵团）出具的属于监狱企业的证明文件</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必须提供</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w:t>
      </w:r>
    </w:p>
    <w:p w14:paraId="789900B7">
      <w:pPr>
        <w:spacing w:line="440" w:lineRule="atLeast"/>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br w:type="page"/>
      </w:r>
      <w:bookmarkStart w:id="1842" w:name="_Toc19265"/>
      <w:bookmarkStart w:id="1843" w:name="_Toc22703"/>
      <w:bookmarkStart w:id="1844" w:name="_Toc4819"/>
      <w:bookmarkStart w:id="1845" w:name="_Toc28594"/>
      <w:bookmarkStart w:id="1846" w:name="_Toc6697"/>
      <w:r>
        <w:rPr>
          <w:rFonts w:hint="eastAsia" w:ascii="宋体" w:hAnsi="宋体" w:eastAsia="宋体" w:cs="宋体"/>
          <w:b/>
          <w:color w:val="auto"/>
          <w:sz w:val="28"/>
          <w:szCs w:val="28"/>
          <w:highlight w:val="none"/>
          <w:lang w:val="en-US" w:eastAsia="zh-CN"/>
        </w:rPr>
        <w:t>1.</w:t>
      </w:r>
      <w:bookmarkEnd w:id="1842"/>
      <w:bookmarkEnd w:id="1843"/>
      <w:bookmarkEnd w:id="1844"/>
      <w:bookmarkEnd w:id="1845"/>
      <w:bookmarkEnd w:id="1846"/>
      <w:r>
        <w:rPr>
          <w:rFonts w:hint="eastAsia" w:ascii="宋体" w:hAnsi="宋体" w:eastAsia="宋体" w:cs="宋体"/>
          <w:b/>
          <w:color w:val="auto"/>
          <w:sz w:val="28"/>
          <w:szCs w:val="28"/>
          <w:highlight w:val="none"/>
          <w:lang w:val="en-US" w:eastAsia="zh-CN"/>
        </w:rPr>
        <w:t>供应商相应的法定代表人、负责人、自然人有效身份证正反两面复印件（必须提供）</w:t>
      </w:r>
    </w:p>
    <w:p w14:paraId="754CE7B8">
      <w:pPr>
        <w:spacing w:line="440" w:lineRule="atLeast"/>
        <w:rPr>
          <w:rFonts w:hint="eastAsia"/>
          <w:color w:val="auto"/>
          <w:highlight w:val="none"/>
        </w:rPr>
      </w:pPr>
    </w:p>
    <w:p w14:paraId="26CBE516">
      <w:pPr>
        <w:rPr>
          <w:rFonts w:hint="eastAsia"/>
          <w:color w:val="auto"/>
          <w:highlight w:val="none"/>
        </w:rPr>
      </w:pPr>
    </w:p>
    <w:p w14:paraId="701B9C15">
      <w:pPr>
        <w:spacing w:line="440" w:lineRule="atLeast"/>
        <w:rPr>
          <w:rFonts w:hint="eastAsia" w:ascii="宋体" w:hAnsi="宋体" w:eastAsia="宋体" w:cs="宋体"/>
          <w:b/>
          <w:color w:val="auto"/>
          <w:sz w:val="28"/>
          <w:szCs w:val="28"/>
          <w:highlight w:val="none"/>
        </w:rPr>
      </w:pPr>
    </w:p>
    <w:p w14:paraId="7F111746">
      <w:pPr>
        <w:pageBreakBefore w:val="0"/>
        <w:widowControl w:val="0"/>
        <w:kinsoku/>
        <w:wordWrap/>
        <w:overflowPunct/>
        <w:topLinePunct w:val="0"/>
        <w:autoSpaceDE/>
        <w:autoSpaceDN/>
        <w:bidi w:val="0"/>
        <w:adjustRightInd/>
        <w:snapToGrid/>
        <w:spacing w:beforeLines="0" w:afterLines="0" w:line="420" w:lineRule="exact"/>
        <w:jc w:val="left"/>
        <w:textAlignment w:val="auto"/>
        <w:rPr>
          <w:rFonts w:hint="eastAsia" w:ascii="宋体" w:hAnsi="宋体" w:eastAsia="宋体" w:cs="宋体"/>
          <w:color w:val="auto"/>
          <w:sz w:val="24"/>
          <w:szCs w:val="24"/>
          <w:highlight w:val="none"/>
        </w:rPr>
      </w:pPr>
      <w:bookmarkStart w:id="1847" w:name="_Toc3592"/>
      <w:bookmarkStart w:id="1848" w:name="_Toc1213"/>
      <w:bookmarkStart w:id="1849" w:name="_Toc15990"/>
      <w:bookmarkStart w:id="1850" w:name="_Toc16573"/>
      <w:bookmarkStart w:id="1851" w:name="_Toc29198"/>
      <w:r>
        <w:rPr>
          <w:rFonts w:hint="eastAsia" w:ascii="宋体" w:hAnsi="宋体" w:eastAsia="宋体" w:cs="宋体"/>
          <w:b/>
          <w:color w:val="auto"/>
          <w:sz w:val="28"/>
          <w:szCs w:val="28"/>
          <w:highlight w:val="none"/>
          <w:lang w:val="en-US" w:eastAsia="zh-CN"/>
        </w:rPr>
        <w:t>2</w:t>
      </w:r>
      <w:r>
        <w:rPr>
          <w:rFonts w:hint="eastAsia" w:ascii="宋体" w:hAnsi="宋体" w:eastAsia="宋体" w:cs="宋体"/>
          <w:b/>
          <w:color w:val="auto"/>
          <w:sz w:val="28"/>
          <w:szCs w:val="28"/>
          <w:highlight w:val="none"/>
        </w:rPr>
        <w:t>.</w:t>
      </w:r>
      <w:bookmarkEnd w:id="1847"/>
      <w:bookmarkEnd w:id="1848"/>
      <w:bookmarkEnd w:id="1849"/>
      <w:bookmarkEnd w:id="1850"/>
      <w:bookmarkEnd w:id="1851"/>
      <w:r>
        <w:rPr>
          <w:rFonts w:hint="eastAsia" w:ascii="宋体" w:hAnsi="宋体" w:eastAsia="宋体" w:cs="宋体"/>
          <w:b/>
          <w:bCs/>
          <w:color w:val="auto"/>
          <w:sz w:val="24"/>
          <w:szCs w:val="24"/>
          <w:highlight w:val="none"/>
        </w:rPr>
        <w:t>供应商的授权委托书原件、委托代理人身份证正反面复印件以及由县级以上（含县级）社会养老保险经办机构出具的供应商为委托代理人交纳的响应文件递交截止时间前半年内连续三个月社保</w:t>
      </w:r>
      <w:r>
        <w:rPr>
          <w:rFonts w:hint="eastAsia" w:ascii="宋体" w:hAnsi="宋体" w:eastAsia="宋体" w:cs="宋体"/>
          <w:b/>
          <w:bCs/>
          <w:color w:val="auto"/>
          <w:sz w:val="24"/>
          <w:szCs w:val="24"/>
          <w:highlight w:val="none"/>
          <w:lang w:eastAsia="zh-CN"/>
        </w:rPr>
        <w:t>证明</w:t>
      </w:r>
      <w:r>
        <w:rPr>
          <w:rFonts w:hint="eastAsia" w:ascii="宋体" w:hAnsi="宋体" w:eastAsia="宋体" w:cs="宋体"/>
          <w:b/>
          <w:bCs/>
          <w:color w:val="auto"/>
          <w:sz w:val="24"/>
          <w:szCs w:val="24"/>
          <w:highlight w:val="none"/>
        </w:rPr>
        <w:t>复印件</w:t>
      </w:r>
      <w:r>
        <w:rPr>
          <w:rFonts w:hint="eastAsia" w:ascii="宋体" w:hAnsi="宋体" w:eastAsia="宋体" w:cs="宋体"/>
          <w:b w:val="0"/>
          <w:bCs w:val="0"/>
          <w:color w:val="auto"/>
          <w:sz w:val="24"/>
          <w:szCs w:val="24"/>
          <w:highlight w:val="none"/>
        </w:rPr>
        <w:t>，除供应商为</w:t>
      </w:r>
      <w:r>
        <w:rPr>
          <w:rFonts w:hint="eastAsia" w:ascii="宋体" w:hAnsi="宋体" w:eastAsia="宋体" w:cs="宋体"/>
          <w:color w:val="auto"/>
          <w:sz w:val="24"/>
          <w:szCs w:val="24"/>
          <w:highlight w:val="none"/>
        </w:rPr>
        <w:t>以下</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种情形的：</w:t>
      </w:r>
    </w:p>
    <w:p w14:paraId="22667B8E">
      <w:pPr>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kern w:val="0"/>
          <w:sz w:val="24"/>
          <w:szCs w:val="24"/>
          <w:highlight w:val="none"/>
          <w:shd w:val="clear" w:color="auto" w:fill="auto"/>
        </w:rPr>
        <w:t>①如供应商为响应文件提交截止时间前60日以内成立的公司，可以提供供应商与委托代理人签订的劳动合同复印件代替社保证明复印件；②如供应商为事业单位，可以提供事业单位机构编制管理证复印件或事业单位机构为其发放工资的工资条复印件代替社保证明复印件；③如委托代理人为免缴纳社保人员，提供免缴纳社保的证明材料复印件及供应商与委托代理人签订的劳动合同复印件代替养老保险证明复印件。【属自然人的应提供由县级以上（含县级）社会养老保险经办机构出具的自然人本人及委托代理人所交纳的响应文件递交截止时间前半年内连续三个月社保证明复印件】</w:t>
      </w:r>
      <w:r>
        <w:rPr>
          <w:rFonts w:hint="eastAsia" w:ascii="宋体" w:hAnsi="宋体" w:eastAsia="宋体" w:cs="宋体"/>
          <w:b/>
          <w:bCs/>
          <w:color w:val="auto"/>
          <w:sz w:val="24"/>
          <w:szCs w:val="24"/>
          <w:highlight w:val="none"/>
        </w:rPr>
        <w:t>（委托代理时必须提供）</w:t>
      </w:r>
    </w:p>
    <w:p w14:paraId="14879C57">
      <w:pPr>
        <w:spacing w:line="440" w:lineRule="atLeast"/>
        <w:rPr>
          <w:rFonts w:hint="eastAsia" w:ascii="宋体" w:hAnsi="宋体" w:eastAsia="宋体" w:cs="宋体"/>
          <w:b/>
          <w:color w:val="auto"/>
          <w:sz w:val="21"/>
          <w:szCs w:val="21"/>
          <w:highlight w:val="none"/>
        </w:rPr>
      </w:pPr>
    </w:p>
    <w:p w14:paraId="56086FEB">
      <w:pPr>
        <w:spacing w:line="440" w:lineRule="atLeast"/>
        <w:rPr>
          <w:rFonts w:hint="eastAsia" w:ascii="宋体" w:hAnsi="宋体" w:eastAsia="宋体" w:cs="宋体"/>
          <w:b/>
          <w:color w:val="auto"/>
          <w:sz w:val="28"/>
          <w:szCs w:val="28"/>
          <w:highlight w:val="none"/>
        </w:rPr>
      </w:pPr>
    </w:p>
    <w:p w14:paraId="6E59A5A2">
      <w:pPr>
        <w:spacing w:line="440" w:lineRule="atLeast"/>
        <w:rPr>
          <w:rFonts w:hint="eastAsia" w:ascii="宋体" w:hAnsi="宋体" w:eastAsia="宋体" w:cs="宋体"/>
          <w:b/>
          <w:color w:val="auto"/>
          <w:sz w:val="28"/>
          <w:szCs w:val="28"/>
          <w:highlight w:val="none"/>
        </w:rPr>
      </w:pPr>
    </w:p>
    <w:p w14:paraId="00C1AD8A">
      <w:pPr>
        <w:spacing w:line="440" w:lineRule="atLeast"/>
        <w:rPr>
          <w:rFonts w:hint="eastAsia" w:ascii="宋体" w:hAnsi="宋体" w:eastAsia="宋体" w:cs="宋体"/>
          <w:b/>
          <w:color w:val="auto"/>
          <w:sz w:val="28"/>
          <w:szCs w:val="28"/>
          <w:highlight w:val="none"/>
        </w:rPr>
      </w:pPr>
    </w:p>
    <w:p w14:paraId="14D991DF">
      <w:pPr>
        <w:spacing w:line="440" w:lineRule="atLeast"/>
        <w:rPr>
          <w:rFonts w:hint="eastAsia" w:ascii="宋体" w:hAnsi="宋体" w:eastAsia="宋体" w:cs="宋体"/>
          <w:b/>
          <w:color w:val="auto"/>
          <w:sz w:val="28"/>
          <w:szCs w:val="28"/>
          <w:highlight w:val="none"/>
        </w:rPr>
      </w:pPr>
    </w:p>
    <w:p w14:paraId="5FE5E9F5">
      <w:pPr>
        <w:spacing w:line="440" w:lineRule="atLeast"/>
        <w:rPr>
          <w:rFonts w:hint="eastAsia" w:ascii="宋体" w:hAnsi="宋体" w:eastAsia="宋体" w:cs="宋体"/>
          <w:b/>
          <w:color w:val="auto"/>
          <w:sz w:val="28"/>
          <w:szCs w:val="28"/>
          <w:highlight w:val="none"/>
        </w:rPr>
      </w:pPr>
    </w:p>
    <w:p w14:paraId="52D0AF07">
      <w:pPr>
        <w:spacing w:line="440" w:lineRule="atLeast"/>
        <w:rPr>
          <w:rFonts w:hint="eastAsia" w:ascii="宋体" w:hAnsi="宋体" w:eastAsia="宋体" w:cs="宋体"/>
          <w:b/>
          <w:color w:val="auto"/>
          <w:sz w:val="28"/>
          <w:szCs w:val="28"/>
          <w:highlight w:val="none"/>
        </w:rPr>
      </w:pPr>
    </w:p>
    <w:p w14:paraId="5E5E36AB">
      <w:pPr>
        <w:spacing w:line="440" w:lineRule="atLeast"/>
        <w:rPr>
          <w:rFonts w:hint="eastAsia" w:ascii="宋体" w:hAnsi="宋体" w:eastAsia="宋体" w:cs="宋体"/>
          <w:b/>
          <w:color w:val="auto"/>
          <w:sz w:val="28"/>
          <w:szCs w:val="28"/>
          <w:highlight w:val="none"/>
        </w:rPr>
      </w:pPr>
    </w:p>
    <w:p w14:paraId="7C69178B">
      <w:pPr>
        <w:spacing w:line="440" w:lineRule="atLeast"/>
        <w:rPr>
          <w:rFonts w:hint="eastAsia" w:ascii="宋体" w:hAnsi="宋体" w:eastAsia="宋体" w:cs="宋体"/>
          <w:b/>
          <w:color w:val="auto"/>
          <w:sz w:val="28"/>
          <w:szCs w:val="28"/>
          <w:highlight w:val="none"/>
        </w:rPr>
      </w:pPr>
    </w:p>
    <w:p w14:paraId="182094DE">
      <w:pPr>
        <w:spacing w:line="440" w:lineRule="atLeast"/>
        <w:rPr>
          <w:rFonts w:hint="eastAsia" w:ascii="宋体" w:hAnsi="宋体" w:eastAsia="宋体" w:cs="宋体"/>
          <w:b/>
          <w:color w:val="auto"/>
          <w:sz w:val="28"/>
          <w:szCs w:val="28"/>
          <w:highlight w:val="none"/>
        </w:rPr>
      </w:pPr>
    </w:p>
    <w:p w14:paraId="4F9830B8">
      <w:pPr>
        <w:spacing w:line="440" w:lineRule="atLeast"/>
        <w:rPr>
          <w:rFonts w:hint="eastAsia" w:ascii="宋体" w:hAnsi="宋体" w:eastAsia="宋体" w:cs="宋体"/>
          <w:b/>
          <w:color w:val="auto"/>
          <w:sz w:val="28"/>
          <w:szCs w:val="28"/>
          <w:highlight w:val="none"/>
        </w:rPr>
      </w:pPr>
    </w:p>
    <w:p w14:paraId="2D4267B3">
      <w:pPr>
        <w:spacing w:line="440" w:lineRule="atLeast"/>
        <w:rPr>
          <w:rFonts w:hint="eastAsia" w:ascii="宋体" w:hAnsi="宋体" w:eastAsia="宋体" w:cs="宋体"/>
          <w:b/>
          <w:color w:val="auto"/>
          <w:sz w:val="28"/>
          <w:szCs w:val="28"/>
          <w:highlight w:val="none"/>
        </w:rPr>
      </w:pPr>
    </w:p>
    <w:p w14:paraId="48DA4190">
      <w:pPr>
        <w:spacing w:line="440" w:lineRule="atLeast"/>
        <w:rPr>
          <w:rFonts w:hint="eastAsia" w:ascii="宋体" w:hAnsi="宋体" w:eastAsia="宋体" w:cs="宋体"/>
          <w:b/>
          <w:color w:val="auto"/>
          <w:sz w:val="28"/>
          <w:szCs w:val="28"/>
          <w:highlight w:val="none"/>
        </w:rPr>
      </w:pPr>
    </w:p>
    <w:p w14:paraId="7B3531E7">
      <w:pPr>
        <w:spacing w:line="440" w:lineRule="atLeast"/>
        <w:rPr>
          <w:rFonts w:hint="eastAsia" w:ascii="宋体" w:hAnsi="宋体" w:eastAsia="宋体" w:cs="宋体"/>
          <w:b/>
          <w:color w:val="auto"/>
          <w:sz w:val="28"/>
          <w:szCs w:val="28"/>
          <w:highlight w:val="none"/>
        </w:rPr>
      </w:pPr>
    </w:p>
    <w:p w14:paraId="0D6DC83B">
      <w:pPr>
        <w:spacing w:line="440" w:lineRule="atLeast"/>
        <w:rPr>
          <w:rFonts w:hint="eastAsia" w:ascii="宋体" w:hAnsi="宋体" w:eastAsia="宋体" w:cs="宋体"/>
          <w:b/>
          <w:color w:val="auto"/>
          <w:sz w:val="28"/>
          <w:szCs w:val="28"/>
          <w:highlight w:val="none"/>
        </w:rPr>
      </w:pPr>
    </w:p>
    <w:p w14:paraId="3D3123C8">
      <w:pPr>
        <w:spacing w:line="440" w:lineRule="atLeast"/>
        <w:rPr>
          <w:rFonts w:hint="eastAsia" w:ascii="宋体" w:hAnsi="宋体" w:eastAsia="宋体" w:cs="宋体"/>
          <w:b/>
          <w:color w:val="auto"/>
          <w:sz w:val="28"/>
          <w:szCs w:val="28"/>
          <w:highlight w:val="none"/>
        </w:rPr>
      </w:pPr>
    </w:p>
    <w:p w14:paraId="4119467A">
      <w:pPr>
        <w:spacing w:line="440" w:lineRule="atLeast"/>
        <w:rPr>
          <w:rFonts w:hint="eastAsia" w:ascii="宋体" w:hAnsi="宋体" w:eastAsia="宋体" w:cs="宋体"/>
          <w:b/>
          <w:color w:val="auto"/>
          <w:sz w:val="28"/>
          <w:szCs w:val="28"/>
          <w:highlight w:val="none"/>
        </w:rPr>
      </w:pPr>
    </w:p>
    <w:p w14:paraId="4B0F9898">
      <w:pPr>
        <w:spacing w:line="440" w:lineRule="atLeast"/>
        <w:rPr>
          <w:rFonts w:hint="eastAsia" w:ascii="宋体" w:hAnsi="宋体" w:eastAsia="宋体" w:cs="宋体"/>
          <w:b/>
          <w:color w:val="auto"/>
          <w:sz w:val="28"/>
          <w:szCs w:val="28"/>
          <w:highlight w:val="none"/>
        </w:rPr>
      </w:pPr>
    </w:p>
    <w:p w14:paraId="29E93954">
      <w:pPr>
        <w:pStyle w:val="28"/>
        <w:rPr>
          <w:rFonts w:hint="eastAsia" w:ascii="宋体" w:hAnsi="宋体" w:eastAsia="宋体" w:cs="宋体"/>
          <w:b/>
          <w:color w:val="auto"/>
          <w:sz w:val="32"/>
          <w:highlight w:val="none"/>
        </w:rPr>
      </w:pPr>
      <w:r>
        <w:rPr>
          <w:rFonts w:hint="eastAsia" w:ascii="宋体" w:hAnsi="宋体" w:eastAsia="宋体" w:cs="宋体"/>
          <w:b/>
          <w:color w:val="auto"/>
          <w:sz w:val="32"/>
          <w:highlight w:val="none"/>
        </w:rPr>
        <w:t xml:space="preserve">附件：            </w:t>
      </w:r>
    </w:p>
    <w:p w14:paraId="47C28C92">
      <w:pPr>
        <w:pStyle w:val="28"/>
        <w:jc w:val="center"/>
        <w:rPr>
          <w:rFonts w:hint="eastAsia" w:ascii="宋体" w:hAnsi="宋体" w:eastAsia="宋体" w:cs="宋体"/>
          <w:b/>
          <w:color w:val="auto"/>
          <w:sz w:val="32"/>
          <w:highlight w:val="none"/>
        </w:rPr>
      </w:pPr>
      <w:bookmarkStart w:id="1852" w:name="_Toc5420_WPSOffice_Level1"/>
      <w:bookmarkStart w:id="1853" w:name="_Toc964_WPSOffice_Level1"/>
      <w:r>
        <w:rPr>
          <w:rFonts w:hint="eastAsia" w:ascii="宋体" w:hAnsi="宋体" w:eastAsia="宋体" w:cs="宋体"/>
          <w:b/>
          <w:color w:val="auto"/>
          <w:sz w:val="32"/>
          <w:highlight w:val="none"/>
        </w:rPr>
        <w:t>授权委托书（格式一）</w:t>
      </w:r>
      <w:bookmarkEnd w:id="1852"/>
      <w:bookmarkEnd w:id="1853"/>
    </w:p>
    <w:p w14:paraId="78033692">
      <w:pPr>
        <w:pStyle w:val="12"/>
        <w:rPr>
          <w:rFonts w:hint="eastAsia" w:eastAsia="宋体"/>
          <w:color w:val="auto"/>
          <w:highlight w:val="none"/>
          <w:lang w:eastAsia="zh-CN"/>
        </w:rPr>
      </w:pPr>
      <w:r>
        <w:rPr>
          <w:rFonts w:hint="eastAsia" w:ascii="宋体" w:hAnsi="宋体" w:eastAsia="宋体" w:cs="宋体"/>
          <w:b/>
          <w:color w:val="auto"/>
          <w:sz w:val="32"/>
          <w:highlight w:val="none"/>
          <w:lang w:eastAsia="zh-CN"/>
        </w:rPr>
        <w:t>（适合非自然人参与磋商）</w:t>
      </w:r>
    </w:p>
    <w:p w14:paraId="605BE89E">
      <w:pPr>
        <w:pStyle w:val="28"/>
        <w:rPr>
          <w:rFonts w:hint="eastAsia" w:ascii="宋体" w:hAnsi="宋体" w:eastAsia="宋体" w:cs="宋体"/>
          <w:color w:val="auto"/>
          <w:highlight w:val="none"/>
        </w:rPr>
      </w:pPr>
    </w:p>
    <w:p w14:paraId="5CB51F42">
      <w:pPr>
        <w:spacing w:line="400" w:lineRule="exact"/>
        <w:rPr>
          <w:rFonts w:hint="eastAsia" w:ascii="宋体" w:hAnsi="宋体" w:eastAsia="宋体" w:cs="宋体"/>
          <w:color w:val="auto"/>
          <w:highlight w:val="none"/>
        </w:rPr>
      </w:pPr>
      <w:r>
        <w:rPr>
          <w:rFonts w:hint="eastAsia" w:ascii="宋体" w:hAnsi="宋体" w:eastAsia="宋体" w:cs="宋体"/>
          <w:color w:val="auto"/>
          <w:szCs w:val="21"/>
          <w:highlight w:val="none"/>
        </w:rPr>
        <w:t>致：</w:t>
      </w:r>
      <w:r>
        <w:rPr>
          <w:rFonts w:hint="eastAsia" w:ascii="宋体" w:hAnsi="宋体" w:cs="宋体"/>
          <w:color w:val="auto"/>
          <w:szCs w:val="21"/>
          <w:highlight w:val="none"/>
          <w:u w:val="single"/>
          <w:lang w:val="en-US" w:eastAsia="zh-CN"/>
        </w:rPr>
        <w:t>广西国喆项目管理有限公司</w:t>
      </w:r>
    </w:p>
    <w:p w14:paraId="2EFBD7AB">
      <w:pPr>
        <w:spacing w:line="400" w:lineRule="exact"/>
        <w:rPr>
          <w:rFonts w:hint="eastAsia" w:ascii="宋体" w:hAnsi="宋体" w:eastAsia="宋体" w:cs="宋体"/>
          <w:color w:val="auto"/>
          <w:szCs w:val="21"/>
          <w:highlight w:val="none"/>
        </w:rPr>
      </w:pPr>
    </w:p>
    <w:p w14:paraId="13153544">
      <w:pPr>
        <w:pStyle w:val="28"/>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我</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（姓名）系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（供应商名称）的法定代表人（负责人），现授权委托本单位在职职工</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 名）以我公司名义参加</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（项目名称及项目编号）        </w:t>
      </w:r>
      <w:r>
        <w:rPr>
          <w:rFonts w:hint="eastAsia" w:ascii="宋体" w:hAnsi="宋体" w:eastAsia="宋体" w:cs="宋体"/>
          <w:color w:val="auto"/>
          <w:highlight w:val="none"/>
        </w:rPr>
        <w:t>项目的磋商活动，并代表我方全权办理针对上述项目的磋商、签约等具体事务和签署相关文件。</w:t>
      </w:r>
    </w:p>
    <w:p w14:paraId="54898CBD">
      <w:pPr>
        <w:pStyle w:val="28"/>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我方对被授权人的签字事项负全部责任。</w:t>
      </w:r>
    </w:p>
    <w:p w14:paraId="22A196FB">
      <w:pPr>
        <w:pStyle w:val="28"/>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授权委托代理期限：自即日起至该项目政府采购活动结束。</w:t>
      </w:r>
    </w:p>
    <w:p w14:paraId="4ADA7129">
      <w:pPr>
        <w:pStyle w:val="28"/>
        <w:spacing w:line="40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p>
    <w:p w14:paraId="162DEBBE">
      <w:pPr>
        <w:spacing w:line="40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代理人无转委托权,特此委托。 </w:t>
      </w:r>
    </w:p>
    <w:p w14:paraId="516967D7">
      <w:pPr>
        <w:spacing w:line="400" w:lineRule="exact"/>
        <w:ind w:firstLine="420" w:firstLineChars="200"/>
        <w:rPr>
          <w:rFonts w:hint="eastAsia" w:ascii="宋体" w:hAnsi="宋体" w:eastAsia="宋体" w:cs="宋体"/>
          <w:color w:val="auto"/>
          <w:kern w:val="0"/>
          <w:highlight w:val="none"/>
        </w:rPr>
      </w:pPr>
    </w:p>
    <w:p w14:paraId="6553BF77">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我已在下面签字，以资证明。</w:t>
      </w:r>
    </w:p>
    <w:p w14:paraId="3AA20ABC">
      <w:pPr>
        <w:spacing w:line="400" w:lineRule="exact"/>
        <w:ind w:firstLine="420" w:firstLineChars="200"/>
        <w:rPr>
          <w:rFonts w:hint="eastAsia" w:ascii="宋体" w:hAnsi="宋体" w:eastAsia="宋体" w:cs="宋体"/>
          <w:color w:val="auto"/>
          <w:szCs w:val="21"/>
          <w:highlight w:val="none"/>
        </w:rPr>
      </w:pPr>
    </w:p>
    <w:p w14:paraId="7B3AB2EF">
      <w:pPr>
        <w:spacing w:line="400" w:lineRule="exact"/>
        <w:ind w:firstLine="420" w:firstLineChars="200"/>
        <w:rPr>
          <w:rFonts w:hint="eastAsia" w:ascii="宋体" w:hAnsi="宋体" w:eastAsia="宋体" w:cs="宋体"/>
          <w:color w:val="auto"/>
          <w:szCs w:val="21"/>
          <w:highlight w:val="none"/>
        </w:rPr>
      </w:pPr>
    </w:p>
    <w:p w14:paraId="4CD5E7F4">
      <w:pPr>
        <w:snapToGrid w:val="0"/>
        <w:spacing w:line="400" w:lineRule="exact"/>
        <w:ind w:firstLine="42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49A23548">
      <w:pPr>
        <w:snapToGrid w:val="0"/>
        <w:spacing w:line="400" w:lineRule="exact"/>
        <w:ind w:firstLine="420"/>
        <w:rPr>
          <w:rFonts w:hint="eastAsia" w:ascii="宋体" w:hAnsi="宋体" w:eastAsia="宋体" w:cs="宋体"/>
          <w:color w:val="auto"/>
          <w:szCs w:val="21"/>
          <w:highlight w:val="none"/>
        </w:rPr>
      </w:pPr>
    </w:p>
    <w:p w14:paraId="67F59858">
      <w:pPr>
        <w:snapToGrid w:val="0"/>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法定代表人（负责人）签字（或</w:t>
      </w:r>
      <w:r>
        <w:rPr>
          <w:rFonts w:hint="eastAsia" w:ascii="宋体" w:hAnsi="宋体" w:eastAsia="宋体" w:cs="宋体"/>
          <w:color w:val="auto"/>
          <w:szCs w:val="21"/>
          <w:highlight w:val="none"/>
          <w:lang w:eastAsia="zh-CN"/>
        </w:rPr>
        <w:t>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E22DDFC">
      <w:pPr>
        <w:pStyle w:val="20"/>
        <w:rPr>
          <w:rFonts w:hint="eastAsia" w:ascii="宋体" w:hAnsi="宋体" w:eastAsia="宋体" w:cs="宋体"/>
          <w:color w:val="auto"/>
          <w:highlight w:val="none"/>
        </w:rPr>
      </w:pPr>
    </w:p>
    <w:p w14:paraId="013D6DFB">
      <w:pPr>
        <w:pStyle w:val="28"/>
        <w:spacing w:line="340" w:lineRule="exact"/>
        <w:ind w:firstLine="420" w:firstLineChars="200"/>
        <w:rPr>
          <w:rFonts w:hint="eastAsia" w:ascii="宋体" w:hAnsi="宋体" w:eastAsia="宋体" w:cs="宋体"/>
          <w:color w:val="auto"/>
          <w:highlight w:val="none"/>
        </w:rPr>
      </w:pPr>
    </w:p>
    <w:p w14:paraId="67E4C9B4">
      <w:pPr>
        <w:pStyle w:val="12"/>
        <w:rPr>
          <w:rFonts w:hint="eastAsia"/>
          <w:color w:val="auto"/>
          <w:highlight w:val="none"/>
        </w:rPr>
      </w:pPr>
    </w:p>
    <w:p w14:paraId="7225B900">
      <w:pPr>
        <w:rPr>
          <w:rFonts w:hint="eastAsia"/>
          <w:color w:val="auto"/>
          <w:highlight w:val="none"/>
        </w:rPr>
      </w:pPr>
    </w:p>
    <w:p w14:paraId="49E67635">
      <w:pPr>
        <w:rPr>
          <w:rFonts w:hint="eastAsia"/>
          <w:color w:val="auto"/>
          <w:highlight w:val="none"/>
        </w:rPr>
      </w:pPr>
    </w:p>
    <w:p w14:paraId="7841EC96">
      <w:pPr>
        <w:rPr>
          <w:rFonts w:hint="eastAsia"/>
          <w:color w:val="auto"/>
          <w:highlight w:val="none"/>
        </w:rPr>
      </w:pPr>
    </w:p>
    <w:p w14:paraId="20C1BD14">
      <w:pPr>
        <w:rPr>
          <w:rFonts w:hint="eastAsia"/>
          <w:color w:val="auto"/>
          <w:highlight w:val="none"/>
        </w:rPr>
      </w:pPr>
    </w:p>
    <w:p w14:paraId="4A0CC958">
      <w:pPr>
        <w:rPr>
          <w:rFonts w:hint="eastAsia"/>
          <w:color w:val="auto"/>
          <w:highlight w:val="none"/>
        </w:rPr>
      </w:pPr>
    </w:p>
    <w:p w14:paraId="5CDAE70A">
      <w:pPr>
        <w:rPr>
          <w:rFonts w:hint="eastAsia"/>
          <w:color w:val="auto"/>
          <w:highlight w:val="none"/>
        </w:rPr>
      </w:pPr>
    </w:p>
    <w:p w14:paraId="67E984CD">
      <w:pPr>
        <w:rPr>
          <w:rFonts w:hint="eastAsia"/>
          <w:color w:val="auto"/>
          <w:highlight w:val="none"/>
        </w:rPr>
      </w:pPr>
    </w:p>
    <w:p w14:paraId="4E6502FB">
      <w:pPr>
        <w:rPr>
          <w:rFonts w:hint="eastAsia"/>
          <w:color w:val="auto"/>
          <w:highlight w:val="none"/>
        </w:rPr>
      </w:pPr>
    </w:p>
    <w:p w14:paraId="1DC6336B">
      <w:pPr>
        <w:rPr>
          <w:rFonts w:hint="eastAsia"/>
          <w:color w:val="auto"/>
          <w:highlight w:val="none"/>
        </w:rPr>
      </w:pPr>
    </w:p>
    <w:p w14:paraId="3970E3DE">
      <w:pPr>
        <w:rPr>
          <w:rFonts w:hint="eastAsia"/>
          <w:color w:val="auto"/>
          <w:highlight w:val="none"/>
        </w:rPr>
      </w:pPr>
    </w:p>
    <w:p w14:paraId="673542A5">
      <w:pPr>
        <w:rPr>
          <w:rFonts w:hint="eastAsia"/>
          <w:color w:val="auto"/>
          <w:highlight w:val="none"/>
        </w:rPr>
      </w:pPr>
    </w:p>
    <w:p w14:paraId="505A3BF8">
      <w:pPr>
        <w:rPr>
          <w:rFonts w:hint="eastAsia"/>
          <w:color w:val="auto"/>
          <w:highlight w:val="none"/>
        </w:rPr>
      </w:pPr>
    </w:p>
    <w:p w14:paraId="069D3E7A">
      <w:pPr>
        <w:rPr>
          <w:rFonts w:hint="eastAsia"/>
          <w:color w:val="auto"/>
          <w:highlight w:val="none"/>
        </w:rPr>
      </w:pPr>
    </w:p>
    <w:p w14:paraId="286E40E0">
      <w:pPr>
        <w:rPr>
          <w:rFonts w:hint="eastAsia"/>
          <w:color w:val="auto"/>
          <w:highlight w:val="none"/>
        </w:rPr>
      </w:pPr>
    </w:p>
    <w:p w14:paraId="3291813F">
      <w:pPr>
        <w:rPr>
          <w:rFonts w:hint="eastAsia"/>
          <w:color w:val="auto"/>
          <w:highlight w:val="none"/>
        </w:rPr>
      </w:pPr>
    </w:p>
    <w:p w14:paraId="6068F476">
      <w:pPr>
        <w:rPr>
          <w:rFonts w:hint="eastAsia"/>
          <w:color w:val="auto"/>
          <w:highlight w:val="none"/>
        </w:rPr>
      </w:pPr>
    </w:p>
    <w:p w14:paraId="2BC714F3">
      <w:pPr>
        <w:rPr>
          <w:rFonts w:hint="eastAsia"/>
          <w:color w:val="auto"/>
          <w:highlight w:val="none"/>
        </w:rPr>
      </w:pPr>
    </w:p>
    <w:p w14:paraId="72A78FDB">
      <w:pPr>
        <w:rPr>
          <w:rFonts w:hint="eastAsia"/>
          <w:color w:val="auto"/>
          <w:highlight w:val="none"/>
        </w:rPr>
      </w:pPr>
    </w:p>
    <w:p w14:paraId="72B5EEA3">
      <w:pPr>
        <w:rPr>
          <w:rFonts w:hint="eastAsia"/>
          <w:color w:val="auto"/>
          <w:highlight w:val="none"/>
        </w:rPr>
      </w:pPr>
    </w:p>
    <w:p w14:paraId="37B5964B">
      <w:pPr>
        <w:rPr>
          <w:rFonts w:hint="eastAsia"/>
          <w:color w:val="auto"/>
          <w:highlight w:val="none"/>
        </w:rPr>
      </w:pPr>
    </w:p>
    <w:p w14:paraId="3E1EEB76">
      <w:pPr>
        <w:pStyle w:val="28"/>
        <w:jc w:val="center"/>
        <w:rPr>
          <w:rFonts w:hint="eastAsia" w:ascii="宋体" w:hAnsi="宋体" w:eastAsia="宋体" w:cs="宋体"/>
          <w:b/>
          <w:color w:val="auto"/>
          <w:sz w:val="32"/>
          <w:highlight w:val="none"/>
          <w:lang w:eastAsia="zh-CN"/>
        </w:rPr>
      </w:pPr>
      <w:bookmarkStart w:id="1854" w:name="_Toc21370_WPSOffice_Level1"/>
      <w:bookmarkStart w:id="1855" w:name="_Toc6975_WPSOffice_Level1"/>
      <w:r>
        <w:rPr>
          <w:rFonts w:hint="eastAsia" w:ascii="宋体" w:hAnsi="宋体" w:eastAsia="宋体" w:cs="宋体"/>
          <w:b/>
          <w:color w:val="auto"/>
          <w:sz w:val="32"/>
          <w:highlight w:val="none"/>
        </w:rPr>
        <w:t>授权委托书（格式二</w:t>
      </w:r>
      <w:r>
        <w:rPr>
          <w:rFonts w:hint="eastAsia" w:hAnsi="宋体" w:eastAsia="宋体" w:cs="宋体"/>
          <w:b/>
          <w:color w:val="auto"/>
          <w:sz w:val="32"/>
          <w:highlight w:val="none"/>
          <w:lang w:eastAsia="zh-CN"/>
        </w:rPr>
        <w:t>）</w:t>
      </w:r>
    </w:p>
    <w:p w14:paraId="2CCB208A">
      <w:pPr>
        <w:pStyle w:val="28"/>
        <w:jc w:val="center"/>
        <w:rPr>
          <w:rFonts w:hint="eastAsia" w:ascii="宋体" w:hAnsi="宋体" w:eastAsia="宋体" w:cs="宋体"/>
          <w:b/>
          <w:color w:val="auto"/>
          <w:sz w:val="32"/>
          <w:highlight w:val="none"/>
        </w:rPr>
      </w:pPr>
      <w:r>
        <w:rPr>
          <w:rFonts w:hint="eastAsia" w:hAnsi="宋体" w:eastAsia="宋体" w:cs="宋体"/>
          <w:b/>
          <w:color w:val="auto"/>
          <w:sz w:val="32"/>
          <w:highlight w:val="none"/>
          <w:lang w:eastAsia="zh-CN"/>
        </w:rPr>
        <w:t>（适合自然人参与磋商</w:t>
      </w:r>
      <w:r>
        <w:rPr>
          <w:rFonts w:hint="eastAsia" w:ascii="宋体" w:hAnsi="宋体" w:eastAsia="宋体" w:cs="宋体"/>
          <w:b/>
          <w:color w:val="auto"/>
          <w:sz w:val="32"/>
          <w:highlight w:val="none"/>
        </w:rPr>
        <w:t>）</w:t>
      </w:r>
      <w:bookmarkEnd w:id="1854"/>
      <w:bookmarkEnd w:id="1855"/>
    </w:p>
    <w:p w14:paraId="29CAEE18">
      <w:pPr>
        <w:pStyle w:val="28"/>
        <w:jc w:val="both"/>
        <w:rPr>
          <w:rFonts w:hint="eastAsia" w:ascii="宋体" w:hAnsi="宋体" w:eastAsia="宋体" w:cs="宋体"/>
          <w:b/>
          <w:color w:val="auto"/>
          <w:sz w:val="32"/>
          <w:highlight w:val="none"/>
        </w:rPr>
      </w:pPr>
    </w:p>
    <w:p w14:paraId="223F0414">
      <w:pPr>
        <w:pStyle w:val="28"/>
        <w:jc w:val="both"/>
        <w:rPr>
          <w:rFonts w:hint="eastAsia" w:ascii="宋体" w:hAnsi="宋体" w:eastAsia="宋体" w:cs="宋体"/>
          <w:color w:val="auto"/>
          <w:szCs w:val="21"/>
          <w:highlight w:val="none"/>
          <w:u w:val="single"/>
        </w:rPr>
      </w:pPr>
      <w:r>
        <w:rPr>
          <w:rFonts w:hint="eastAsia" w:ascii="宋体" w:hAnsi="宋体" w:eastAsia="宋体" w:cs="宋体"/>
          <w:b w:val="0"/>
          <w:bCs/>
          <w:color w:val="auto"/>
          <w:szCs w:val="21"/>
          <w:highlight w:val="none"/>
        </w:rPr>
        <w:t>致：</w:t>
      </w:r>
      <w:r>
        <w:rPr>
          <w:rFonts w:hint="eastAsia" w:hAnsi="宋体" w:cs="宋体"/>
          <w:color w:val="auto"/>
          <w:szCs w:val="21"/>
          <w:highlight w:val="none"/>
          <w:u w:val="single"/>
          <w:lang w:val="en-US" w:eastAsia="zh-CN"/>
        </w:rPr>
        <w:t>广西国喆项目管理有限公司</w:t>
      </w:r>
    </w:p>
    <w:p w14:paraId="2073E4FD">
      <w:pPr>
        <w:rPr>
          <w:rFonts w:hint="eastAsia" w:ascii="宋体" w:hAnsi="宋体" w:eastAsia="宋体" w:cs="宋体"/>
          <w:color w:val="auto"/>
          <w:highlight w:val="none"/>
        </w:rPr>
      </w:pPr>
    </w:p>
    <w:p w14:paraId="1603A372">
      <w:pPr>
        <w:pStyle w:val="28"/>
        <w:spacing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我</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（姓名）系自然人，现授权委托</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 名）以本人名义参加</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（项目名称及项目编号）        </w:t>
      </w:r>
      <w:r>
        <w:rPr>
          <w:rFonts w:hint="eastAsia" w:ascii="宋体" w:hAnsi="宋体" w:eastAsia="宋体" w:cs="宋体"/>
          <w:color w:val="auto"/>
          <w:highlight w:val="none"/>
        </w:rPr>
        <w:t>项目的磋商活动，并代表本人全权办理针对上述项目的磋商、签约等具体事务和签署相关文件。</w:t>
      </w:r>
    </w:p>
    <w:p w14:paraId="7D870873">
      <w:pPr>
        <w:pStyle w:val="28"/>
        <w:spacing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本人对被授权人的签字事项负全部责任。</w:t>
      </w:r>
    </w:p>
    <w:p w14:paraId="60EA5C3F">
      <w:pPr>
        <w:pStyle w:val="28"/>
        <w:spacing w:line="34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授权委托代理期限：自即日起至该项目政府采购活动结束。</w:t>
      </w:r>
    </w:p>
    <w:p w14:paraId="276BF4A7">
      <w:pPr>
        <w:pStyle w:val="28"/>
        <w:spacing w:line="34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p>
    <w:p w14:paraId="75DA5C8F">
      <w:pPr>
        <w:spacing w:line="34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代理人无转委托权,特此委托。 </w:t>
      </w:r>
    </w:p>
    <w:p w14:paraId="55BE5421">
      <w:pPr>
        <w:spacing w:line="340" w:lineRule="exact"/>
        <w:ind w:firstLine="420" w:firstLineChars="200"/>
        <w:rPr>
          <w:rFonts w:hint="eastAsia" w:ascii="宋体" w:hAnsi="宋体" w:eastAsia="宋体" w:cs="宋体"/>
          <w:color w:val="auto"/>
          <w:kern w:val="0"/>
          <w:highlight w:val="none"/>
        </w:rPr>
      </w:pPr>
    </w:p>
    <w:p w14:paraId="7EAE8070">
      <w:pPr>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我已在下面签字，以资证明。</w:t>
      </w:r>
    </w:p>
    <w:p w14:paraId="735C19A2">
      <w:pPr>
        <w:spacing w:line="340" w:lineRule="exact"/>
        <w:ind w:firstLine="420" w:firstLineChars="200"/>
        <w:rPr>
          <w:rFonts w:hint="eastAsia" w:ascii="宋体" w:hAnsi="宋体" w:eastAsia="宋体" w:cs="宋体"/>
          <w:color w:val="auto"/>
          <w:szCs w:val="21"/>
          <w:highlight w:val="none"/>
        </w:rPr>
      </w:pPr>
    </w:p>
    <w:p w14:paraId="324EF167">
      <w:pPr>
        <w:snapToGrid w:val="0"/>
        <w:spacing w:line="34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自然人签字并在签名处加盖大拇指指印</w:t>
      </w:r>
      <w:r>
        <w:rPr>
          <w:rFonts w:hint="eastAsia" w:ascii="宋体" w:hAnsi="宋体" w:eastAsia="宋体" w:cs="宋体"/>
          <w:color w:val="auto"/>
          <w:szCs w:val="21"/>
          <w:highlight w:val="none"/>
          <w:lang w:eastAsia="zh-CN"/>
        </w:rPr>
        <w:t>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30A7A525">
      <w:pPr>
        <w:pStyle w:val="28"/>
        <w:spacing w:line="400" w:lineRule="exact"/>
        <w:ind w:left="420" w:leftChars="200"/>
        <w:rPr>
          <w:rFonts w:hint="eastAsia" w:ascii="宋体" w:hAnsi="宋体" w:eastAsia="宋体" w:cs="宋体"/>
          <w:color w:val="auto"/>
          <w:szCs w:val="21"/>
          <w:highlight w:val="none"/>
        </w:rPr>
      </w:pPr>
    </w:p>
    <w:p w14:paraId="275B9D08">
      <w:pPr>
        <w:rPr>
          <w:rFonts w:hint="eastAsia" w:ascii="宋体" w:hAnsi="宋体" w:eastAsia="宋体" w:cs="宋体"/>
          <w:b/>
          <w:color w:val="auto"/>
          <w:szCs w:val="21"/>
          <w:highlight w:val="none"/>
        </w:rPr>
      </w:pPr>
    </w:p>
    <w:p w14:paraId="6181D2A0">
      <w:pPr>
        <w:pStyle w:val="20"/>
        <w:rPr>
          <w:rFonts w:hint="eastAsia" w:ascii="宋体" w:hAnsi="宋体" w:eastAsia="宋体" w:cs="宋体"/>
          <w:b/>
          <w:color w:val="auto"/>
          <w:szCs w:val="21"/>
          <w:highlight w:val="none"/>
        </w:rPr>
      </w:pPr>
    </w:p>
    <w:p w14:paraId="28E57A50">
      <w:pPr>
        <w:pStyle w:val="12"/>
        <w:numPr>
          <w:ilvl w:val="0"/>
          <w:numId w:val="0"/>
        </w:numPr>
        <w:outlineLvl w:val="1"/>
        <w:rPr>
          <w:rFonts w:hint="eastAsia" w:ascii="宋体" w:hAnsi="宋体" w:eastAsia="宋体" w:cs="宋体"/>
          <w:b/>
          <w:color w:val="auto"/>
          <w:sz w:val="28"/>
          <w:szCs w:val="28"/>
          <w:highlight w:val="none"/>
          <w:lang w:val="en-US" w:eastAsia="zh-CN"/>
        </w:rPr>
      </w:pPr>
      <w:bookmarkStart w:id="1856" w:name="_Toc24664"/>
      <w:bookmarkStart w:id="1857" w:name="_Toc27156"/>
      <w:bookmarkStart w:id="1858" w:name="_Toc2683"/>
      <w:bookmarkStart w:id="1859" w:name="_Toc2998"/>
      <w:bookmarkStart w:id="1860" w:name="_Toc2550"/>
    </w:p>
    <w:p w14:paraId="3FB6B4C6">
      <w:pPr>
        <w:rPr>
          <w:rFonts w:hint="eastAsia" w:ascii="宋体" w:hAnsi="宋体" w:eastAsia="宋体" w:cs="宋体"/>
          <w:b/>
          <w:color w:val="auto"/>
          <w:sz w:val="28"/>
          <w:szCs w:val="28"/>
          <w:highlight w:val="none"/>
          <w:lang w:val="en-US" w:eastAsia="zh-CN"/>
        </w:rPr>
      </w:pPr>
    </w:p>
    <w:p w14:paraId="0EEA08E6">
      <w:pPr>
        <w:pStyle w:val="52"/>
        <w:rPr>
          <w:rFonts w:hint="eastAsia" w:ascii="宋体" w:hAnsi="宋体" w:eastAsia="宋体" w:cs="宋体"/>
          <w:b/>
          <w:color w:val="auto"/>
          <w:sz w:val="28"/>
          <w:szCs w:val="28"/>
          <w:highlight w:val="none"/>
          <w:lang w:val="en-US" w:eastAsia="zh-CN"/>
        </w:rPr>
      </w:pPr>
    </w:p>
    <w:p w14:paraId="4BF2AD33">
      <w:pPr>
        <w:pStyle w:val="44"/>
        <w:rPr>
          <w:rFonts w:hint="eastAsia" w:ascii="宋体" w:hAnsi="宋体" w:eastAsia="宋体" w:cs="宋体"/>
          <w:b/>
          <w:color w:val="auto"/>
          <w:sz w:val="28"/>
          <w:szCs w:val="28"/>
          <w:highlight w:val="none"/>
          <w:lang w:val="en-US" w:eastAsia="zh-CN"/>
        </w:rPr>
      </w:pPr>
    </w:p>
    <w:p w14:paraId="318267BD">
      <w:pPr>
        <w:rPr>
          <w:rFonts w:hint="eastAsia" w:ascii="宋体" w:hAnsi="宋体" w:eastAsia="宋体" w:cs="宋体"/>
          <w:b/>
          <w:color w:val="auto"/>
          <w:sz w:val="28"/>
          <w:szCs w:val="28"/>
          <w:highlight w:val="none"/>
          <w:lang w:val="en-US" w:eastAsia="zh-CN"/>
        </w:rPr>
      </w:pPr>
    </w:p>
    <w:p w14:paraId="7F5A0B42">
      <w:pPr>
        <w:pStyle w:val="52"/>
        <w:rPr>
          <w:rFonts w:hint="eastAsia" w:ascii="宋体" w:hAnsi="宋体" w:eastAsia="宋体" w:cs="宋体"/>
          <w:b/>
          <w:color w:val="auto"/>
          <w:sz w:val="28"/>
          <w:szCs w:val="28"/>
          <w:highlight w:val="none"/>
          <w:lang w:val="en-US" w:eastAsia="zh-CN"/>
        </w:rPr>
      </w:pPr>
    </w:p>
    <w:p w14:paraId="10F86DA0">
      <w:pPr>
        <w:pStyle w:val="44"/>
        <w:rPr>
          <w:rFonts w:hint="eastAsia" w:ascii="宋体" w:hAnsi="宋体" w:eastAsia="宋体" w:cs="宋体"/>
          <w:b/>
          <w:color w:val="auto"/>
          <w:sz w:val="28"/>
          <w:szCs w:val="28"/>
          <w:highlight w:val="none"/>
          <w:lang w:val="en-US" w:eastAsia="zh-CN"/>
        </w:rPr>
      </w:pPr>
    </w:p>
    <w:p w14:paraId="0734B4D6">
      <w:pPr>
        <w:rPr>
          <w:rFonts w:hint="eastAsia" w:ascii="宋体" w:hAnsi="宋体" w:eastAsia="宋体" w:cs="宋体"/>
          <w:b/>
          <w:color w:val="auto"/>
          <w:sz w:val="28"/>
          <w:szCs w:val="28"/>
          <w:highlight w:val="none"/>
          <w:lang w:val="en-US" w:eastAsia="zh-CN"/>
        </w:rPr>
      </w:pPr>
    </w:p>
    <w:p w14:paraId="1F20C551">
      <w:pPr>
        <w:pStyle w:val="52"/>
        <w:rPr>
          <w:rFonts w:hint="eastAsia" w:ascii="宋体" w:hAnsi="宋体" w:eastAsia="宋体" w:cs="宋体"/>
          <w:b/>
          <w:color w:val="auto"/>
          <w:sz w:val="28"/>
          <w:szCs w:val="28"/>
          <w:highlight w:val="none"/>
          <w:lang w:val="en-US" w:eastAsia="zh-CN"/>
        </w:rPr>
      </w:pPr>
    </w:p>
    <w:p w14:paraId="5BB0AB16">
      <w:pPr>
        <w:pStyle w:val="44"/>
        <w:rPr>
          <w:rFonts w:hint="eastAsia" w:ascii="宋体" w:hAnsi="宋体" w:eastAsia="宋体" w:cs="宋体"/>
          <w:b/>
          <w:color w:val="auto"/>
          <w:sz w:val="28"/>
          <w:szCs w:val="28"/>
          <w:highlight w:val="none"/>
          <w:lang w:val="en-US" w:eastAsia="zh-CN"/>
        </w:rPr>
      </w:pPr>
    </w:p>
    <w:p w14:paraId="72D5D5EA">
      <w:pPr>
        <w:rPr>
          <w:rFonts w:hint="eastAsia" w:ascii="宋体" w:hAnsi="宋体" w:eastAsia="宋体" w:cs="宋体"/>
          <w:b/>
          <w:color w:val="auto"/>
          <w:sz w:val="28"/>
          <w:szCs w:val="28"/>
          <w:highlight w:val="none"/>
          <w:lang w:val="en-US" w:eastAsia="zh-CN"/>
        </w:rPr>
      </w:pPr>
    </w:p>
    <w:p w14:paraId="25929C1E">
      <w:pPr>
        <w:pStyle w:val="52"/>
        <w:rPr>
          <w:rFonts w:hint="eastAsia" w:ascii="宋体" w:hAnsi="宋体" w:eastAsia="宋体" w:cs="宋体"/>
          <w:b/>
          <w:color w:val="auto"/>
          <w:sz w:val="28"/>
          <w:szCs w:val="28"/>
          <w:highlight w:val="none"/>
          <w:lang w:val="en-US" w:eastAsia="zh-CN"/>
        </w:rPr>
      </w:pPr>
    </w:p>
    <w:p w14:paraId="0029E957">
      <w:pPr>
        <w:pStyle w:val="44"/>
        <w:rPr>
          <w:rFonts w:hint="eastAsia" w:ascii="宋体" w:hAnsi="宋体" w:eastAsia="宋体" w:cs="宋体"/>
          <w:b/>
          <w:color w:val="auto"/>
          <w:sz w:val="28"/>
          <w:szCs w:val="28"/>
          <w:highlight w:val="none"/>
          <w:lang w:val="en-US" w:eastAsia="zh-CN"/>
        </w:rPr>
      </w:pPr>
    </w:p>
    <w:p w14:paraId="1B766BA2">
      <w:pPr>
        <w:rPr>
          <w:rFonts w:hint="eastAsia" w:ascii="宋体" w:hAnsi="宋体" w:eastAsia="宋体" w:cs="宋体"/>
          <w:b/>
          <w:color w:val="auto"/>
          <w:sz w:val="28"/>
          <w:szCs w:val="28"/>
          <w:highlight w:val="none"/>
          <w:lang w:val="en-US" w:eastAsia="zh-CN"/>
        </w:rPr>
      </w:pPr>
    </w:p>
    <w:p w14:paraId="0AF98710">
      <w:pPr>
        <w:pStyle w:val="52"/>
        <w:rPr>
          <w:rFonts w:hint="eastAsia" w:ascii="宋体" w:hAnsi="宋体" w:eastAsia="宋体" w:cs="宋体"/>
          <w:b/>
          <w:color w:val="auto"/>
          <w:sz w:val="28"/>
          <w:szCs w:val="28"/>
          <w:highlight w:val="none"/>
          <w:lang w:val="en-US" w:eastAsia="zh-CN"/>
        </w:rPr>
      </w:pPr>
    </w:p>
    <w:p w14:paraId="5FC92CAB">
      <w:pPr>
        <w:pStyle w:val="44"/>
        <w:rPr>
          <w:rFonts w:hint="eastAsia" w:ascii="宋体" w:hAnsi="宋体" w:eastAsia="宋体" w:cs="宋体"/>
          <w:b/>
          <w:color w:val="auto"/>
          <w:sz w:val="28"/>
          <w:szCs w:val="28"/>
          <w:highlight w:val="none"/>
          <w:lang w:val="en-US" w:eastAsia="zh-CN"/>
        </w:rPr>
      </w:pPr>
    </w:p>
    <w:p w14:paraId="04141CCF">
      <w:pPr>
        <w:rPr>
          <w:rFonts w:hint="eastAsia"/>
          <w:lang w:val="en-US" w:eastAsia="zh-CN"/>
        </w:rPr>
      </w:pPr>
    </w:p>
    <w:p w14:paraId="669E3FAE">
      <w:pPr>
        <w:pStyle w:val="12"/>
        <w:numPr>
          <w:ilvl w:val="0"/>
          <w:numId w:val="0"/>
        </w:numPr>
        <w:outlineLvl w:val="1"/>
        <w:rPr>
          <w:rFonts w:hint="eastAsia" w:ascii="宋体" w:hAnsi="宋体" w:eastAsia="宋体" w:cs="宋体"/>
          <w:b/>
          <w:color w:val="auto"/>
          <w:sz w:val="28"/>
          <w:szCs w:val="28"/>
          <w:highlight w:val="none"/>
          <w:lang w:val="en-US" w:eastAsia="zh-CN"/>
        </w:rPr>
      </w:pPr>
    </w:p>
    <w:p w14:paraId="173B596A">
      <w:pPr>
        <w:pStyle w:val="12"/>
        <w:numPr>
          <w:ilvl w:val="0"/>
          <w:numId w:val="0"/>
        </w:numPr>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rPr>
        <w:t>.</w:t>
      </w:r>
      <w:bookmarkEnd w:id="1856"/>
      <w:bookmarkEnd w:id="1857"/>
      <w:bookmarkEnd w:id="1858"/>
      <w:bookmarkEnd w:id="1859"/>
      <w:bookmarkEnd w:id="1860"/>
      <w:r>
        <w:rPr>
          <w:rFonts w:hint="eastAsia" w:ascii="宋体" w:hAnsi="宋体" w:eastAsia="宋体" w:cs="宋体"/>
          <w:b/>
          <w:color w:val="auto"/>
          <w:sz w:val="28"/>
          <w:szCs w:val="28"/>
          <w:highlight w:val="none"/>
        </w:rPr>
        <w:t>供应商参加政府采购活动前3年内在经营活动中没有重大违法记录及有关信用信息的书面声明（必须提供）</w:t>
      </w:r>
    </w:p>
    <w:p w14:paraId="231B9A87">
      <w:pPr>
        <w:pStyle w:val="28"/>
        <w:spacing w:line="400" w:lineRule="exact"/>
        <w:ind w:left="420" w:leftChars="200" w:firstLine="157" w:firstLineChars="4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                       </w:t>
      </w:r>
    </w:p>
    <w:p w14:paraId="0074F426">
      <w:pPr>
        <w:pStyle w:val="28"/>
        <w:spacing w:line="400" w:lineRule="exac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附件：</w:t>
      </w:r>
    </w:p>
    <w:p w14:paraId="3963320A">
      <w:pPr>
        <w:pStyle w:val="28"/>
        <w:spacing w:line="400" w:lineRule="exact"/>
        <w:jc w:val="center"/>
        <w:rPr>
          <w:rFonts w:hint="eastAsia" w:ascii="宋体" w:hAnsi="宋体" w:eastAsia="宋体" w:cs="宋体"/>
          <w:b/>
          <w:color w:val="auto"/>
          <w:sz w:val="32"/>
          <w:szCs w:val="32"/>
          <w:highlight w:val="none"/>
        </w:rPr>
      </w:pPr>
      <w:bookmarkStart w:id="1861" w:name="_Toc30890_WPSOffice_Level1"/>
      <w:bookmarkStart w:id="1862" w:name="_Toc30304_WPSOffice_Level1"/>
      <w:r>
        <w:rPr>
          <w:rFonts w:hint="eastAsia" w:ascii="宋体" w:hAnsi="宋体" w:eastAsia="宋体" w:cs="宋体"/>
          <w:b/>
          <w:color w:val="auto"/>
          <w:sz w:val="32"/>
          <w:szCs w:val="32"/>
          <w:highlight w:val="none"/>
        </w:rPr>
        <w:t>声   明</w:t>
      </w:r>
      <w:bookmarkEnd w:id="1861"/>
      <w:bookmarkEnd w:id="1862"/>
    </w:p>
    <w:p w14:paraId="6FF3F48D">
      <w:pPr>
        <w:pStyle w:val="28"/>
        <w:spacing w:line="400" w:lineRule="exact"/>
        <w:jc w:val="both"/>
        <w:rPr>
          <w:rFonts w:hint="eastAsia" w:ascii="宋体" w:hAnsi="宋体" w:eastAsia="宋体" w:cs="宋体"/>
          <w:b/>
          <w:color w:val="auto"/>
          <w:sz w:val="32"/>
          <w:szCs w:val="32"/>
          <w:highlight w:val="none"/>
        </w:rPr>
      </w:pPr>
    </w:p>
    <w:p w14:paraId="0DEC5BCF">
      <w:pPr>
        <w:pStyle w:val="28"/>
        <w:spacing w:line="400" w:lineRule="exact"/>
        <w:jc w:val="both"/>
        <w:rPr>
          <w:rFonts w:hint="eastAsia" w:ascii="宋体" w:hAnsi="宋体" w:eastAsia="宋体" w:cs="宋体"/>
          <w:color w:val="auto"/>
          <w:szCs w:val="21"/>
          <w:highlight w:val="none"/>
          <w:u w:val="single"/>
        </w:rPr>
      </w:pPr>
      <w:r>
        <w:rPr>
          <w:rFonts w:hint="eastAsia" w:ascii="宋体" w:hAnsi="宋体" w:eastAsia="宋体" w:cs="宋体"/>
          <w:b w:val="0"/>
          <w:bCs/>
          <w:color w:val="auto"/>
          <w:szCs w:val="21"/>
          <w:highlight w:val="none"/>
        </w:rPr>
        <w:t>致：</w:t>
      </w:r>
      <w:r>
        <w:rPr>
          <w:rFonts w:hint="eastAsia" w:hAnsi="宋体" w:cs="宋体"/>
          <w:color w:val="auto"/>
          <w:szCs w:val="21"/>
          <w:highlight w:val="none"/>
          <w:u w:val="single"/>
          <w:lang w:val="en-US" w:eastAsia="zh-CN"/>
        </w:rPr>
        <w:t>广西国喆项目管理有限公司</w:t>
      </w:r>
    </w:p>
    <w:p w14:paraId="6E38FC52">
      <w:pPr>
        <w:rPr>
          <w:rFonts w:hint="eastAsia" w:ascii="宋体" w:hAnsi="宋体" w:eastAsia="宋体" w:cs="宋体"/>
          <w:color w:val="auto"/>
          <w:szCs w:val="21"/>
          <w:highlight w:val="none"/>
          <w:u w:val="single"/>
        </w:rPr>
      </w:pPr>
    </w:p>
    <w:p w14:paraId="4446CE91">
      <w:pPr>
        <w:pStyle w:val="20"/>
        <w:rPr>
          <w:rFonts w:hint="eastAsia" w:ascii="宋体" w:hAnsi="宋体" w:eastAsia="宋体" w:cs="宋体"/>
          <w:color w:val="auto"/>
          <w:highlight w:val="none"/>
        </w:rPr>
      </w:pPr>
    </w:p>
    <w:p w14:paraId="04716809">
      <w:pPr>
        <w:pStyle w:val="28"/>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5FF0235">
      <w:pPr>
        <w:rPr>
          <w:rFonts w:hint="eastAsia" w:ascii="宋体" w:hAnsi="宋体" w:eastAsia="宋体" w:cs="宋体"/>
          <w:color w:val="auto"/>
          <w:highlight w:val="none"/>
        </w:rPr>
      </w:pPr>
    </w:p>
    <w:p w14:paraId="4CCEDDD8">
      <w:pPr>
        <w:snapToGrid w:val="0"/>
        <w:spacing w:line="400" w:lineRule="exact"/>
        <w:ind w:firstLine="1890" w:firstLineChars="900"/>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签字或个人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00ABAAD3">
      <w:pPr>
        <w:pStyle w:val="28"/>
        <w:ind w:firstLine="3990" w:firstLineChars="1900"/>
        <w:rPr>
          <w:rFonts w:hint="eastAsia" w:ascii="宋体" w:hAnsi="宋体" w:eastAsia="宋体" w:cs="宋体"/>
          <w:color w:val="auto"/>
          <w:highlight w:val="none"/>
        </w:rPr>
      </w:pPr>
    </w:p>
    <w:p w14:paraId="09AA5530">
      <w:pPr>
        <w:pStyle w:val="28"/>
        <w:ind w:firstLine="3990" w:firstLineChars="1900"/>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08C7D2D5">
      <w:pPr>
        <w:pStyle w:val="12"/>
        <w:numPr>
          <w:ilvl w:val="0"/>
          <w:numId w:val="0"/>
        </w:numPr>
        <w:outlineLvl w:val="1"/>
        <w:rPr>
          <w:rFonts w:hint="eastAsia" w:ascii="宋体" w:hAnsi="宋体" w:eastAsia="宋体" w:cs="宋体"/>
          <w:b/>
          <w:color w:val="auto"/>
          <w:sz w:val="28"/>
          <w:szCs w:val="28"/>
          <w:highlight w:val="none"/>
          <w:lang w:val="en-US" w:eastAsia="zh-CN"/>
        </w:rPr>
      </w:pPr>
      <w:bookmarkStart w:id="1863" w:name="_Toc28801"/>
      <w:bookmarkStart w:id="1864" w:name="_Toc20796"/>
      <w:bookmarkStart w:id="1865" w:name="_Toc28909"/>
      <w:bookmarkStart w:id="1866" w:name="_Toc20647"/>
      <w:bookmarkStart w:id="1867" w:name="_Toc32703"/>
    </w:p>
    <w:p w14:paraId="10F54E79">
      <w:pPr>
        <w:pStyle w:val="12"/>
        <w:numPr>
          <w:ilvl w:val="0"/>
          <w:numId w:val="0"/>
        </w:numPr>
        <w:outlineLvl w:val="1"/>
        <w:rPr>
          <w:rFonts w:hint="eastAsia" w:ascii="宋体" w:hAnsi="宋体" w:eastAsia="宋体" w:cs="宋体"/>
          <w:b/>
          <w:color w:val="auto"/>
          <w:sz w:val="28"/>
          <w:szCs w:val="28"/>
          <w:highlight w:val="none"/>
          <w:lang w:val="en-US" w:eastAsia="zh-CN"/>
        </w:rPr>
      </w:pPr>
    </w:p>
    <w:p w14:paraId="33BA0A9B">
      <w:pPr>
        <w:pStyle w:val="12"/>
        <w:numPr>
          <w:ilvl w:val="0"/>
          <w:numId w:val="0"/>
        </w:numPr>
        <w:outlineLvl w:val="1"/>
        <w:rPr>
          <w:rFonts w:hint="eastAsia" w:ascii="宋体" w:hAnsi="宋体" w:eastAsia="宋体" w:cs="宋体"/>
          <w:b/>
          <w:color w:val="auto"/>
          <w:sz w:val="28"/>
          <w:szCs w:val="28"/>
          <w:highlight w:val="none"/>
          <w:lang w:val="en-US" w:eastAsia="zh-CN"/>
        </w:rPr>
      </w:pPr>
    </w:p>
    <w:p w14:paraId="3490A814">
      <w:pPr>
        <w:pStyle w:val="12"/>
        <w:numPr>
          <w:ilvl w:val="0"/>
          <w:numId w:val="0"/>
        </w:numPr>
        <w:outlineLvl w:val="1"/>
        <w:rPr>
          <w:rFonts w:hint="eastAsia" w:ascii="宋体" w:hAnsi="宋体" w:eastAsia="宋体" w:cs="宋体"/>
          <w:b/>
          <w:color w:val="auto"/>
          <w:sz w:val="28"/>
          <w:szCs w:val="28"/>
          <w:highlight w:val="none"/>
          <w:lang w:val="en-US" w:eastAsia="zh-CN"/>
        </w:rPr>
      </w:pPr>
    </w:p>
    <w:p w14:paraId="3EF36E4A">
      <w:pPr>
        <w:pStyle w:val="12"/>
        <w:numPr>
          <w:ilvl w:val="0"/>
          <w:numId w:val="0"/>
        </w:numPr>
        <w:outlineLvl w:val="1"/>
        <w:rPr>
          <w:rFonts w:hint="eastAsia" w:ascii="宋体" w:hAnsi="宋体" w:eastAsia="宋体" w:cs="宋体"/>
          <w:b/>
          <w:color w:val="auto"/>
          <w:sz w:val="28"/>
          <w:szCs w:val="28"/>
          <w:highlight w:val="none"/>
          <w:lang w:val="en-US" w:eastAsia="zh-CN"/>
        </w:rPr>
      </w:pPr>
    </w:p>
    <w:p w14:paraId="0D3D90A6">
      <w:pPr>
        <w:pStyle w:val="12"/>
        <w:numPr>
          <w:ilvl w:val="0"/>
          <w:numId w:val="0"/>
        </w:numPr>
        <w:outlineLvl w:val="1"/>
        <w:rPr>
          <w:rFonts w:hint="eastAsia" w:ascii="宋体" w:hAnsi="宋体" w:eastAsia="宋体" w:cs="宋体"/>
          <w:b/>
          <w:color w:val="auto"/>
          <w:sz w:val="28"/>
          <w:szCs w:val="28"/>
          <w:highlight w:val="none"/>
          <w:lang w:val="en-US" w:eastAsia="zh-CN"/>
        </w:rPr>
      </w:pPr>
    </w:p>
    <w:p w14:paraId="4C420237">
      <w:pPr>
        <w:pStyle w:val="12"/>
        <w:numPr>
          <w:ilvl w:val="0"/>
          <w:numId w:val="0"/>
        </w:numPr>
        <w:outlineLvl w:val="1"/>
        <w:rPr>
          <w:rFonts w:hint="eastAsia" w:ascii="宋体" w:hAnsi="宋体" w:eastAsia="宋体" w:cs="宋体"/>
          <w:b/>
          <w:color w:val="auto"/>
          <w:sz w:val="28"/>
          <w:szCs w:val="28"/>
          <w:highlight w:val="none"/>
          <w:lang w:val="en-US" w:eastAsia="zh-CN"/>
        </w:rPr>
      </w:pPr>
    </w:p>
    <w:p w14:paraId="3C9C0CA5">
      <w:pPr>
        <w:pStyle w:val="12"/>
        <w:numPr>
          <w:ilvl w:val="0"/>
          <w:numId w:val="0"/>
        </w:numPr>
        <w:outlineLvl w:val="1"/>
        <w:rPr>
          <w:rFonts w:hint="eastAsia" w:ascii="宋体" w:hAnsi="宋体" w:eastAsia="宋体" w:cs="宋体"/>
          <w:b/>
          <w:color w:val="auto"/>
          <w:sz w:val="28"/>
          <w:szCs w:val="28"/>
          <w:highlight w:val="none"/>
          <w:lang w:val="en-US" w:eastAsia="zh-CN"/>
        </w:rPr>
      </w:pPr>
    </w:p>
    <w:p w14:paraId="5829EEBA">
      <w:pPr>
        <w:pStyle w:val="12"/>
        <w:numPr>
          <w:ilvl w:val="0"/>
          <w:numId w:val="0"/>
        </w:numPr>
        <w:outlineLvl w:val="1"/>
        <w:rPr>
          <w:rFonts w:hint="eastAsia" w:ascii="宋体" w:hAnsi="宋体" w:eastAsia="宋体" w:cs="宋体"/>
          <w:b/>
          <w:color w:val="auto"/>
          <w:sz w:val="28"/>
          <w:szCs w:val="28"/>
          <w:highlight w:val="none"/>
          <w:lang w:val="en-US" w:eastAsia="zh-CN"/>
        </w:rPr>
      </w:pPr>
    </w:p>
    <w:p w14:paraId="1E287BE4">
      <w:pPr>
        <w:pStyle w:val="12"/>
        <w:numPr>
          <w:ilvl w:val="0"/>
          <w:numId w:val="0"/>
        </w:numPr>
        <w:outlineLvl w:val="1"/>
        <w:rPr>
          <w:rFonts w:hint="eastAsia" w:ascii="宋体" w:hAnsi="宋体" w:eastAsia="宋体" w:cs="宋体"/>
          <w:b/>
          <w:color w:val="auto"/>
          <w:sz w:val="28"/>
          <w:szCs w:val="28"/>
          <w:highlight w:val="none"/>
          <w:lang w:val="en-US" w:eastAsia="zh-CN"/>
        </w:rPr>
      </w:pPr>
    </w:p>
    <w:p w14:paraId="2BB05925">
      <w:pPr>
        <w:pStyle w:val="12"/>
        <w:numPr>
          <w:ilvl w:val="0"/>
          <w:numId w:val="0"/>
        </w:numPr>
        <w:outlineLvl w:val="1"/>
        <w:rPr>
          <w:rFonts w:hint="eastAsia" w:ascii="宋体" w:hAnsi="宋体" w:eastAsia="宋体" w:cs="宋体"/>
          <w:b/>
          <w:color w:val="auto"/>
          <w:sz w:val="28"/>
          <w:szCs w:val="28"/>
          <w:highlight w:val="none"/>
          <w:lang w:val="en-US" w:eastAsia="zh-CN"/>
        </w:rPr>
      </w:pPr>
    </w:p>
    <w:p w14:paraId="184697C6">
      <w:pPr>
        <w:pStyle w:val="12"/>
        <w:numPr>
          <w:ilvl w:val="0"/>
          <w:numId w:val="0"/>
        </w:numPr>
        <w:outlineLvl w:val="1"/>
        <w:rPr>
          <w:rFonts w:hint="eastAsia" w:ascii="宋体" w:hAnsi="宋体" w:eastAsia="宋体" w:cs="宋体"/>
          <w:b/>
          <w:color w:val="auto"/>
          <w:sz w:val="28"/>
          <w:szCs w:val="28"/>
          <w:highlight w:val="none"/>
          <w:lang w:val="en-US" w:eastAsia="zh-CN"/>
        </w:rPr>
      </w:pPr>
    </w:p>
    <w:p w14:paraId="65DDA383">
      <w:pPr>
        <w:pStyle w:val="12"/>
        <w:numPr>
          <w:ilvl w:val="0"/>
          <w:numId w:val="0"/>
        </w:numPr>
        <w:outlineLvl w:val="1"/>
        <w:rPr>
          <w:rFonts w:hint="eastAsia" w:ascii="宋体" w:hAnsi="宋体" w:eastAsia="宋体" w:cs="宋体"/>
          <w:b/>
          <w:color w:val="auto"/>
          <w:sz w:val="28"/>
          <w:szCs w:val="28"/>
          <w:highlight w:val="none"/>
          <w:lang w:val="en-US" w:eastAsia="zh-CN"/>
        </w:rPr>
      </w:pPr>
    </w:p>
    <w:p w14:paraId="7697DE51">
      <w:pPr>
        <w:pStyle w:val="12"/>
        <w:numPr>
          <w:ilvl w:val="0"/>
          <w:numId w:val="0"/>
        </w:numPr>
        <w:outlineLvl w:val="1"/>
        <w:rPr>
          <w:rFonts w:hint="eastAsia" w:ascii="宋体" w:hAnsi="宋体" w:eastAsia="宋体" w:cs="宋体"/>
          <w:b/>
          <w:color w:val="auto"/>
          <w:sz w:val="28"/>
          <w:szCs w:val="28"/>
          <w:highlight w:val="none"/>
          <w:lang w:val="en-US" w:eastAsia="zh-CN"/>
        </w:rPr>
      </w:pPr>
    </w:p>
    <w:p w14:paraId="75E3D99F">
      <w:pPr>
        <w:pStyle w:val="12"/>
        <w:numPr>
          <w:ilvl w:val="0"/>
          <w:numId w:val="0"/>
        </w:numPr>
        <w:outlineLvl w:val="1"/>
        <w:rPr>
          <w:rFonts w:hint="eastAsia" w:ascii="宋体" w:hAnsi="宋体" w:eastAsia="宋体" w:cs="宋体"/>
          <w:b/>
          <w:color w:val="auto"/>
          <w:sz w:val="28"/>
          <w:szCs w:val="28"/>
          <w:highlight w:val="none"/>
          <w:lang w:val="en-US" w:eastAsia="zh-CN"/>
        </w:rPr>
      </w:pPr>
    </w:p>
    <w:p w14:paraId="67E8C93C">
      <w:pPr>
        <w:pStyle w:val="12"/>
        <w:numPr>
          <w:ilvl w:val="0"/>
          <w:numId w:val="0"/>
        </w:numPr>
        <w:outlineLvl w:val="1"/>
        <w:rPr>
          <w:rFonts w:hint="eastAsia" w:ascii="宋体" w:hAnsi="宋体" w:eastAsia="宋体" w:cs="宋体"/>
          <w:b/>
          <w:color w:val="auto"/>
          <w:sz w:val="28"/>
          <w:szCs w:val="28"/>
          <w:highlight w:val="none"/>
          <w:lang w:val="en-US" w:eastAsia="zh-CN"/>
        </w:rPr>
      </w:pPr>
    </w:p>
    <w:p w14:paraId="7D612E7B">
      <w:pPr>
        <w:pStyle w:val="12"/>
        <w:numPr>
          <w:ilvl w:val="0"/>
          <w:numId w:val="0"/>
        </w:numPr>
        <w:outlineLvl w:val="1"/>
        <w:rPr>
          <w:rFonts w:hint="eastAsia" w:ascii="宋体" w:hAnsi="宋体" w:eastAsia="宋体" w:cs="宋体"/>
          <w:b/>
          <w:color w:val="auto"/>
          <w:sz w:val="28"/>
          <w:szCs w:val="28"/>
          <w:highlight w:val="none"/>
          <w:lang w:val="en-US" w:eastAsia="zh-CN"/>
        </w:rPr>
      </w:pPr>
    </w:p>
    <w:p w14:paraId="5264F6F3">
      <w:pPr>
        <w:pStyle w:val="12"/>
        <w:numPr>
          <w:ilvl w:val="0"/>
          <w:numId w:val="0"/>
        </w:numPr>
        <w:outlineLvl w:val="1"/>
        <w:rPr>
          <w:rFonts w:hint="eastAsia" w:ascii="宋体" w:hAnsi="宋体" w:eastAsia="宋体" w:cs="宋体"/>
          <w:b/>
          <w:color w:val="auto"/>
          <w:sz w:val="28"/>
          <w:szCs w:val="28"/>
          <w:highlight w:val="none"/>
          <w:lang w:val="en-US" w:eastAsia="zh-CN"/>
        </w:rPr>
      </w:pPr>
    </w:p>
    <w:p w14:paraId="6015B70E">
      <w:pPr>
        <w:pStyle w:val="12"/>
        <w:numPr>
          <w:ilvl w:val="0"/>
          <w:numId w:val="0"/>
        </w:numPr>
        <w:outlineLvl w:val="1"/>
        <w:rPr>
          <w:rFonts w:hint="eastAsia" w:ascii="宋体" w:hAnsi="宋体" w:eastAsia="宋体" w:cs="宋体"/>
          <w:b/>
          <w:color w:val="auto"/>
          <w:sz w:val="28"/>
          <w:szCs w:val="28"/>
          <w:highlight w:val="none"/>
          <w:lang w:val="en-US" w:eastAsia="zh-CN"/>
        </w:rPr>
      </w:pPr>
    </w:p>
    <w:p w14:paraId="464BA69B">
      <w:pPr>
        <w:pStyle w:val="12"/>
        <w:numPr>
          <w:ilvl w:val="0"/>
          <w:numId w:val="0"/>
        </w:numPr>
        <w:outlineLvl w:val="1"/>
        <w:rPr>
          <w:rFonts w:hint="eastAsia" w:ascii="宋体" w:hAnsi="宋体" w:eastAsia="宋体" w:cs="宋体"/>
          <w:b/>
          <w:color w:val="auto"/>
          <w:sz w:val="28"/>
          <w:szCs w:val="28"/>
          <w:highlight w:val="none"/>
          <w:lang w:val="en-US" w:eastAsia="zh-CN"/>
        </w:rPr>
      </w:pPr>
    </w:p>
    <w:p w14:paraId="664DBFB7">
      <w:pPr>
        <w:pStyle w:val="12"/>
        <w:numPr>
          <w:ilvl w:val="0"/>
          <w:numId w:val="0"/>
        </w:numPr>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rPr>
        <w:t>.</w:t>
      </w:r>
      <w:bookmarkEnd w:id="1863"/>
      <w:bookmarkEnd w:id="1864"/>
      <w:bookmarkEnd w:id="1865"/>
      <w:bookmarkEnd w:id="1866"/>
      <w:bookmarkEnd w:id="1867"/>
      <w:r>
        <w:rPr>
          <w:rFonts w:hint="eastAsia" w:ascii="宋体" w:hAnsi="宋体" w:eastAsia="宋体" w:cs="宋体"/>
          <w:b/>
          <w:color w:val="auto"/>
          <w:sz w:val="28"/>
          <w:szCs w:val="28"/>
          <w:highlight w:val="none"/>
        </w:rPr>
        <w:t>供应商的法人或者其他组织营业执照等证明文件复印件（必须提供，自然人除外）</w:t>
      </w:r>
    </w:p>
    <w:p w14:paraId="6D8DE950">
      <w:pPr>
        <w:tabs>
          <w:tab w:val="left" w:pos="1305"/>
        </w:tabs>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6D465AFF">
      <w:pPr>
        <w:rPr>
          <w:rFonts w:hint="eastAsia" w:ascii="宋体" w:hAnsi="宋体" w:eastAsia="宋体" w:cs="宋体"/>
          <w:b/>
          <w:bCs/>
          <w:color w:val="auto"/>
          <w:sz w:val="28"/>
          <w:szCs w:val="28"/>
          <w:highlight w:val="none"/>
        </w:rPr>
      </w:pPr>
    </w:p>
    <w:p w14:paraId="2B4F9545">
      <w:pPr>
        <w:pStyle w:val="28"/>
        <w:numPr>
          <w:ilvl w:val="0"/>
          <w:numId w:val="0"/>
        </w:numPr>
        <w:spacing w:line="340" w:lineRule="exact"/>
        <w:rPr>
          <w:rFonts w:hint="eastAsia" w:ascii="宋体" w:hAnsi="宋体" w:eastAsia="宋体" w:cs="宋体"/>
          <w:b/>
          <w:color w:val="auto"/>
          <w:sz w:val="28"/>
          <w:szCs w:val="28"/>
          <w:highlight w:val="none"/>
          <w:lang w:val="en-US" w:eastAsia="zh-CN"/>
        </w:rPr>
      </w:pPr>
    </w:p>
    <w:p w14:paraId="7BCD8876">
      <w:pPr>
        <w:rPr>
          <w:rFonts w:hint="eastAsia" w:ascii="宋体" w:hAnsi="宋体" w:eastAsia="宋体" w:cs="宋体"/>
          <w:b/>
          <w:color w:val="auto"/>
          <w:sz w:val="28"/>
          <w:szCs w:val="28"/>
          <w:highlight w:val="none"/>
          <w:lang w:val="en-US" w:eastAsia="zh-CN"/>
        </w:rPr>
      </w:pPr>
      <w:bookmarkStart w:id="1868" w:name="_Toc12697"/>
      <w:bookmarkStart w:id="1869" w:name="_Toc28158"/>
      <w:bookmarkStart w:id="1870" w:name="_Toc29194"/>
      <w:bookmarkStart w:id="1871" w:name="_Toc6956"/>
      <w:r>
        <w:rPr>
          <w:rFonts w:hint="eastAsia" w:ascii="宋体" w:hAnsi="宋体" w:eastAsia="宋体" w:cs="宋体"/>
          <w:b/>
          <w:color w:val="auto"/>
          <w:sz w:val="28"/>
          <w:szCs w:val="28"/>
          <w:highlight w:val="none"/>
          <w:lang w:val="en-US" w:eastAsia="zh-CN"/>
        </w:rPr>
        <w:br w:type="page"/>
      </w:r>
    </w:p>
    <w:p w14:paraId="550CADF7">
      <w:pPr>
        <w:pStyle w:val="12"/>
        <w:numPr>
          <w:ilvl w:val="0"/>
          <w:numId w:val="0"/>
        </w:numPr>
        <w:outlineLvl w:val="1"/>
        <w:rPr>
          <w:rFonts w:hint="eastAsia" w:ascii="宋体" w:hAnsi="宋体" w:eastAsia="宋体" w:cs="宋体"/>
          <w:b/>
          <w:color w:val="auto"/>
          <w:sz w:val="28"/>
          <w:szCs w:val="28"/>
          <w:highlight w:val="none"/>
          <w:lang w:val="en-US" w:eastAsia="zh-CN"/>
        </w:rPr>
      </w:pPr>
      <w:bookmarkStart w:id="1872" w:name="_Toc19732"/>
      <w:r>
        <w:rPr>
          <w:rFonts w:hint="eastAsia" w:ascii="宋体" w:hAnsi="宋体" w:eastAsia="宋体" w:cs="宋体"/>
          <w:b/>
          <w:color w:val="auto"/>
          <w:sz w:val="28"/>
          <w:szCs w:val="28"/>
          <w:highlight w:val="none"/>
          <w:lang w:val="en-US" w:eastAsia="zh-CN"/>
        </w:rPr>
        <w:t>5.</w:t>
      </w:r>
      <w:bookmarkEnd w:id="1868"/>
      <w:bookmarkEnd w:id="1869"/>
      <w:bookmarkEnd w:id="1870"/>
      <w:bookmarkEnd w:id="1871"/>
      <w:bookmarkEnd w:id="1872"/>
      <w:r>
        <w:rPr>
          <w:rFonts w:hint="eastAsia" w:ascii="宋体" w:hAnsi="宋体" w:eastAsia="宋体" w:cs="宋体"/>
          <w:b/>
          <w:color w:val="auto"/>
          <w:sz w:val="28"/>
          <w:szCs w:val="28"/>
          <w:highlight w:val="none"/>
          <w:lang w:val="en-US" w:eastAsia="zh-CN"/>
        </w:rPr>
        <w:t>供应商有效的资质证书复印件和安全生产许可证复印件（必须提供）</w:t>
      </w:r>
    </w:p>
    <w:p w14:paraId="27C0629F">
      <w:pPr>
        <w:pStyle w:val="12"/>
        <w:numPr>
          <w:ilvl w:val="0"/>
          <w:numId w:val="0"/>
        </w:numPr>
        <w:rPr>
          <w:rFonts w:hint="eastAsia"/>
          <w:color w:val="auto"/>
          <w:highlight w:val="none"/>
          <w:lang w:val="en-US" w:eastAsia="zh-CN"/>
        </w:rPr>
      </w:pPr>
    </w:p>
    <w:p w14:paraId="1D78A654">
      <w:pPr>
        <w:pStyle w:val="28"/>
        <w:spacing w:line="340" w:lineRule="exact"/>
        <w:jc w:val="left"/>
        <w:rPr>
          <w:rFonts w:hint="eastAsia" w:ascii="宋体" w:hAnsi="宋体" w:eastAsia="宋体" w:cs="宋体"/>
          <w:b/>
          <w:color w:val="auto"/>
          <w:sz w:val="28"/>
          <w:szCs w:val="28"/>
          <w:highlight w:val="none"/>
          <w:lang w:val="en-US" w:eastAsia="zh-CN"/>
        </w:rPr>
      </w:pPr>
    </w:p>
    <w:p w14:paraId="66103E2F">
      <w:pPr>
        <w:pStyle w:val="12"/>
        <w:ind w:left="0" w:leftChars="0" w:firstLine="0" w:firstLineChars="0"/>
        <w:jc w:val="left"/>
        <w:rPr>
          <w:rFonts w:hint="eastAsia" w:ascii="宋体" w:hAnsi="宋体" w:eastAsia="宋体" w:cs="宋体"/>
          <w:b/>
          <w:color w:val="auto"/>
          <w:sz w:val="28"/>
          <w:szCs w:val="28"/>
          <w:highlight w:val="none"/>
          <w:lang w:val="en-US" w:eastAsia="zh-CN"/>
        </w:rPr>
      </w:pPr>
    </w:p>
    <w:p w14:paraId="31E1DF8D">
      <w:pPr>
        <w:jc w:val="left"/>
        <w:rPr>
          <w:rFonts w:hint="eastAsia" w:ascii="宋体" w:hAnsi="宋体" w:eastAsia="宋体" w:cs="宋体"/>
          <w:b/>
          <w:color w:val="auto"/>
          <w:sz w:val="28"/>
          <w:szCs w:val="28"/>
          <w:highlight w:val="none"/>
          <w:lang w:val="en-US" w:eastAsia="zh-CN"/>
        </w:rPr>
      </w:pPr>
    </w:p>
    <w:p w14:paraId="72B7BEBB">
      <w:pPr>
        <w:pStyle w:val="34"/>
        <w:jc w:val="left"/>
        <w:rPr>
          <w:rFonts w:hint="eastAsia"/>
          <w:color w:val="auto"/>
          <w:highlight w:val="none"/>
          <w:lang w:val="en-US" w:eastAsia="zh-CN"/>
        </w:rPr>
      </w:pPr>
    </w:p>
    <w:p w14:paraId="747B0CF0">
      <w:pPr>
        <w:pStyle w:val="28"/>
        <w:spacing w:line="340" w:lineRule="exact"/>
        <w:jc w:val="left"/>
        <w:rPr>
          <w:rFonts w:hint="eastAsia" w:ascii="宋体" w:hAnsi="宋体" w:eastAsia="宋体" w:cs="宋体"/>
          <w:b/>
          <w:color w:val="auto"/>
          <w:sz w:val="28"/>
          <w:szCs w:val="28"/>
          <w:highlight w:val="none"/>
          <w:lang w:val="en-US" w:eastAsia="zh-CN"/>
        </w:rPr>
      </w:pPr>
    </w:p>
    <w:p w14:paraId="71DC3695">
      <w:pPr>
        <w:pStyle w:val="12"/>
        <w:numPr>
          <w:ilvl w:val="0"/>
          <w:numId w:val="0"/>
        </w:numPr>
        <w:outlineLvl w:val="1"/>
        <w:rPr>
          <w:rFonts w:hint="default" w:ascii="宋体" w:hAnsi="宋体" w:eastAsia="宋体" w:cs="宋体"/>
          <w:b/>
          <w:color w:val="auto"/>
          <w:sz w:val="28"/>
          <w:szCs w:val="28"/>
          <w:highlight w:val="none"/>
          <w:lang w:val="en-US" w:eastAsia="zh-CN"/>
        </w:rPr>
      </w:pPr>
      <w:bookmarkStart w:id="1873" w:name="_Toc23822"/>
      <w:bookmarkStart w:id="1874" w:name="_Toc12365"/>
      <w:bookmarkStart w:id="1875" w:name="_Toc15020"/>
      <w:bookmarkStart w:id="1876" w:name="_Toc11223"/>
      <w:bookmarkStart w:id="1877" w:name="_Toc12953"/>
      <w:r>
        <w:rPr>
          <w:rFonts w:hint="eastAsia" w:ascii="宋体" w:hAnsi="宋体" w:eastAsia="宋体" w:cs="宋体"/>
          <w:b/>
          <w:color w:val="auto"/>
          <w:sz w:val="28"/>
          <w:szCs w:val="28"/>
          <w:highlight w:val="none"/>
          <w:lang w:val="en-US" w:eastAsia="zh-CN"/>
        </w:rPr>
        <w:t>6.</w:t>
      </w:r>
      <w:bookmarkEnd w:id="1873"/>
      <w:bookmarkEnd w:id="1874"/>
      <w:bookmarkEnd w:id="1875"/>
      <w:bookmarkEnd w:id="1876"/>
      <w:bookmarkEnd w:id="1877"/>
      <w:r>
        <w:rPr>
          <w:rFonts w:hint="eastAsia" w:ascii="宋体" w:hAnsi="宋体" w:eastAsia="宋体" w:cs="宋体"/>
          <w:b/>
          <w:color w:val="auto"/>
          <w:sz w:val="28"/>
          <w:szCs w:val="28"/>
          <w:highlight w:val="none"/>
          <w:lang w:val="en-US" w:eastAsia="zh-CN"/>
        </w:rPr>
        <w:t>拟派项目经理的市政公用工程专业或公路工程专业的贰级（含贰级）及以上注册建造师证书并具有安全生产考核B证（必须提供）</w:t>
      </w:r>
    </w:p>
    <w:p w14:paraId="72EE65D4">
      <w:pPr>
        <w:widowControl w:val="0"/>
        <w:numPr>
          <w:ilvl w:val="0"/>
          <w:numId w:val="0"/>
        </w:numPr>
        <w:ind w:left="2940" w:leftChars="1400" w:firstLine="0"/>
        <w:jc w:val="both"/>
        <w:rPr>
          <w:rFonts w:hint="eastAsia" w:ascii="Times New Roman" w:hAnsi="Times New Roman" w:eastAsia="宋体" w:cs="Times New Roman"/>
          <w:color w:val="auto"/>
          <w:kern w:val="2"/>
          <w:sz w:val="21"/>
          <w:szCs w:val="24"/>
          <w:highlight w:val="none"/>
          <w:lang w:val="en-US" w:eastAsia="zh-CN" w:bidi="ar-SA"/>
        </w:rPr>
      </w:pPr>
      <w:bookmarkStart w:id="1878" w:name="_Toc1162"/>
      <w:bookmarkStart w:id="1879" w:name="_Toc27290"/>
      <w:bookmarkStart w:id="1880" w:name="_Toc16476"/>
      <w:bookmarkStart w:id="1881" w:name="_Toc31765"/>
    </w:p>
    <w:p w14:paraId="2A68A9BE">
      <w:pPr>
        <w:widowControl w:val="0"/>
        <w:spacing w:line="340" w:lineRule="exact"/>
        <w:jc w:val="left"/>
        <w:rPr>
          <w:rFonts w:hint="eastAsia" w:ascii="宋体" w:hAnsi="宋体" w:eastAsia="宋体" w:cs="宋体"/>
          <w:b/>
          <w:color w:val="auto"/>
          <w:kern w:val="2"/>
          <w:sz w:val="28"/>
          <w:szCs w:val="28"/>
          <w:highlight w:val="none"/>
          <w:lang w:val="en-US" w:eastAsia="zh-CN" w:bidi="ar-SA"/>
        </w:rPr>
      </w:pPr>
    </w:p>
    <w:p w14:paraId="07BD17B7">
      <w:pPr>
        <w:widowControl w:val="0"/>
        <w:ind w:left="0" w:leftChars="0" w:firstLine="0" w:firstLineChars="0"/>
        <w:jc w:val="left"/>
        <w:rPr>
          <w:rFonts w:hint="eastAsia" w:ascii="宋体" w:hAnsi="宋体" w:eastAsia="宋体" w:cs="宋体"/>
          <w:b/>
          <w:color w:val="auto"/>
          <w:kern w:val="2"/>
          <w:sz w:val="28"/>
          <w:szCs w:val="28"/>
          <w:highlight w:val="none"/>
          <w:lang w:val="en-US" w:eastAsia="zh-CN" w:bidi="ar-SA"/>
        </w:rPr>
      </w:pPr>
    </w:p>
    <w:p w14:paraId="657B8730">
      <w:pPr>
        <w:jc w:val="left"/>
        <w:rPr>
          <w:rFonts w:hint="eastAsia" w:ascii="宋体" w:hAnsi="宋体" w:eastAsia="宋体" w:cs="宋体"/>
          <w:b/>
          <w:color w:val="auto"/>
          <w:sz w:val="28"/>
          <w:szCs w:val="28"/>
          <w:highlight w:val="none"/>
          <w:lang w:val="en-US" w:eastAsia="zh-CN"/>
        </w:rPr>
      </w:pPr>
    </w:p>
    <w:p w14:paraId="6DF316DA">
      <w:pPr>
        <w:widowControl w:val="0"/>
        <w:snapToGrid w:val="0"/>
        <w:jc w:val="left"/>
        <w:rPr>
          <w:rFonts w:hint="eastAsia" w:ascii="Times New Roman" w:hAnsi="Times New Roman" w:eastAsia="宋体" w:cs="Times New Roman"/>
          <w:color w:val="auto"/>
          <w:kern w:val="2"/>
          <w:sz w:val="18"/>
          <w:szCs w:val="18"/>
          <w:highlight w:val="none"/>
          <w:lang w:val="en-US" w:eastAsia="zh-CN" w:bidi="ar-SA"/>
        </w:rPr>
      </w:pPr>
    </w:p>
    <w:p w14:paraId="7B87998B">
      <w:pPr>
        <w:widowControl w:val="0"/>
        <w:spacing w:line="340" w:lineRule="exact"/>
        <w:jc w:val="left"/>
        <w:rPr>
          <w:rFonts w:hint="eastAsia" w:ascii="宋体" w:hAnsi="宋体" w:eastAsia="宋体" w:cs="宋体"/>
          <w:b/>
          <w:color w:val="auto"/>
          <w:kern w:val="2"/>
          <w:sz w:val="28"/>
          <w:szCs w:val="28"/>
          <w:highlight w:val="none"/>
          <w:lang w:val="en-US" w:eastAsia="zh-CN" w:bidi="ar-SA"/>
        </w:rPr>
      </w:pPr>
      <w:r>
        <w:rPr>
          <w:rFonts w:hint="eastAsia" w:ascii="宋体" w:hAnsi="宋体" w:cs="宋体"/>
          <w:b/>
          <w:color w:val="auto"/>
          <w:kern w:val="2"/>
          <w:sz w:val="28"/>
          <w:szCs w:val="28"/>
          <w:highlight w:val="none"/>
          <w:lang w:val="en-US" w:eastAsia="zh-CN" w:bidi="ar-SA"/>
        </w:rPr>
        <w:t>7.</w:t>
      </w:r>
      <w:r>
        <w:rPr>
          <w:rFonts w:hint="eastAsia" w:ascii="宋体" w:hAnsi="宋体" w:eastAsia="宋体" w:cs="宋体"/>
          <w:b/>
          <w:color w:val="auto"/>
          <w:kern w:val="2"/>
          <w:sz w:val="28"/>
          <w:szCs w:val="28"/>
          <w:highlight w:val="none"/>
          <w:lang w:val="en-US" w:eastAsia="zh-CN" w:bidi="ar-SA"/>
        </w:rPr>
        <w:t>项目经理无在建工程承诺书（格式自拟）（必须提供）；</w:t>
      </w:r>
    </w:p>
    <w:p w14:paraId="1BA32E65">
      <w:pPr>
        <w:pStyle w:val="12"/>
        <w:numPr>
          <w:ilvl w:val="0"/>
          <w:numId w:val="0"/>
        </w:numPr>
        <w:outlineLvl w:val="1"/>
        <w:rPr>
          <w:rFonts w:hint="eastAsia" w:ascii="宋体" w:hAnsi="宋体" w:eastAsia="宋体" w:cs="宋体"/>
          <w:b/>
          <w:color w:val="auto"/>
          <w:sz w:val="28"/>
          <w:szCs w:val="28"/>
          <w:highlight w:val="none"/>
          <w:lang w:val="en-US" w:eastAsia="zh-CN"/>
        </w:rPr>
      </w:pPr>
      <w:bookmarkStart w:id="1882" w:name="_Toc3115"/>
    </w:p>
    <w:p w14:paraId="3FC40269">
      <w:pPr>
        <w:pStyle w:val="12"/>
        <w:numPr>
          <w:ilvl w:val="0"/>
          <w:numId w:val="0"/>
        </w:numPr>
        <w:outlineLvl w:val="1"/>
        <w:rPr>
          <w:rFonts w:hint="eastAsia" w:ascii="宋体" w:hAnsi="宋体" w:eastAsia="宋体" w:cs="宋体"/>
          <w:b/>
          <w:color w:val="auto"/>
          <w:sz w:val="28"/>
          <w:szCs w:val="28"/>
          <w:highlight w:val="none"/>
          <w:lang w:val="en-US" w:eastAsia="zh-CN"/>
        </w:rPr>
      </w:pPr>
    </w:p>
    <w:p w14:paraId="14958599">
      <w:pPr>
        <w:pStyle w:val="12"/>
        <w:numPr>
          <w:ilvl w:val="0"/>
          <w:numId w:val="0"/>
        </w:numPr>
        <w:outlineLvl w:val="1"/>
        <w:rPr>
          <w:rFonts w:hint="eastAsia" w:ascii="宋体" w:hAnsi="宋体" w:eastAsia="宋体" w:cs="宋体"/>
          <w:b/>
          <w:color w:val="auto"/>
          <w:sz w:val="28"/>
          <w:szCs w:val="28"/>
          <w:highlight w:val="none"/>
          <w:lang w:val="en-US" w:eastAsia="zh-CN"/>
        </w:rPr>
      </w:pPr>
    </w:p>
    <w:p w14:paraId="51B30659">
      <w:pPr>
        <w:pStyle w:val="12"/>
        <w:numPr>
          <w:ilvl w:val="0"/>
          <w:numId w:val="0"/>
        </w:numPr>
        <w:outlineLvl w:val="1"/>
        <w:rPr>
          <w:rFonts w:hint="eastAsia" w:ascii="宋体" w:hAnsi="宋体" w:eastAsia="宋体" w:cs="宋体"/>
          <w:b/>
          <w:color w:val="auto"/>
          <w:sz w:val="28"/>
          <w:szCs w:val="28"/>
          <w:highlight w:val="none"/>
          <w:lang w:val="en-US" w:eastAsia="zh-CN"/>
        </w:rPr>
      </w:pPr>
    </w:p>
    <w:p w14:paraId="414D745F">
      <w:pPr>
        <w:pStyle w:val="12"/>
        <w:numPr>
          <w:ilvl w:val="0"/>
          <w:numId w:val="0"/>
        </w:numPr>
        <w:outlineLvl w:val="1"/>
        <w:rPr>
          <w:rFonts w:hint="eastAsia" w:ascii="宋体" w:hAnsi="宋体" w:eastAsia="宋体" w:cs="宋体"/>
          <w:b/>
          <w:color w:val="auto"/>
          <w:sz w:val="28"/>
          <w:szCs w:val="28"/>
          <w:highlight w:val="none"/>
          <w:lang w:val="en-US" w:eastAsia="zh-CN"/>
        </w:rPr>
      </w:pPr>
    </w:p>
    <w:p w14:paraId="28A3079A">
      <w:pPr>
        <w:pStyle w:val="12"/>
        <w:numPr>
          <w:ilvl w:val="0"/>
          <w:numId w:val="0"/>
        </w:numPr>
        <w:outlineLvl w:val="1"/>
        <w:rPr>
          <w:rFonts w:hint="eastAsia" w:ascii="宋体" w:hAnsi="宋体" w:eastAsia="宋体" w:cs="宋体"/>
          <w:b/>
          <w:color w:val="auto"/>
          <w:sz w:val="28"/>
          <w:szCs w:val="28"/>
          <w:highlight w:val="none"/>
          <w:lang w:val="en-US" w:eastAsia="zh-CN"/>
        </w:rPr>
      </w:pPr>
    </w:p>
    <w:p w14:paraId="1102926B">
      <w:pPr>
        <w:pStyle w:val="12"/>
        <w:numPr>
          <w:ilvl w:val="0"/>
          <w:numId w:val="0"/>
        </w:numPr>
        <w:outlineLvl w:val="1"/>
        <w:rPr>
          <w:rFonts w:hint="eastAsia" w:ascii="宋体" w:hAnsi="宋体" w:eastAsia="宋体" w:cs="宋体"/>
          <w:b/>
          <w:color w:val="auto"/>
          <w:sz w:val="28"/>
          <w:szCs w:val="28"/>
          <w:highlight w:val="none"/>
          <w:lang w:val="en-US" w:eastAsia="zh-CN"/>
        </w:rPr>
      </w:pPr>
    </w:p>
    <w:bookmarkEnd w:id="1878"/>
    <w:bookmarkEnd w:id="1879"/>
    <w:bookmarkEnd w:id="1880"/>
    <w:bookmarkEnd w:id="1881"/>
    <w:bookmarkEnd w:id="1882"/>
    <w:p w14:paraId="4679AEA0">
      <w:pPr>
        <w:numPr>
          <w:ilvl w:val="0"/>
          <w:numId w:val="0"/>
        </w:numPr>
        <w:jc w:val="both"/>
        <w:rPr>
          <w:rFonts w:hint="eastAsia" w:ascii="宋体" w:hAnsi="宋体" w:cs="宋体"/>
          <w:b/>
          <w:bCs/>
          <w:strike/>
          <w:dstrike w:val="0"/>
          <w:color w:val="auto"/>
          <w:sz w:val="32"/>
          <w:szCs w:val="32"/>
          <w:highlight w:val="none"/>
          <w:lang w:eastAsia="zh-CN"/>
        </w:rPr>
      </w:pPr>
    </w:p>
    <w:p w14:paraId="1264D47A">
      <w:pPr>
        <w:pStyle w:val="34"/>
        <w:rPr>
          <w:rFonts w:hint="eastAsia"/>
          <w:color w:val="auto"/>
          <w:highlight w:val="none"/>
          <w:lang w:eastAsia="zh-CN"/>
        </w:rPr>
      </w:pPr>
    </w:p>
    <w:p w14:paraId="7A288C60">
      <w:pPr>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br w:type="page"/>
      </w:r>
    </w:p>
    <w:p w14:paraId="41A437A9">
      <w:pPr>
        <w:pStyle w:val="12"/>
        <w:numPr>
          <w:ilvl w:val="0"/>
          <w:numId w:val="0"/>
        </w:numPr>
        <w:outlineLvl w:val="1"/>
        <w:rPr>
          <w:rFonts w:hint="eastAsia" w:ascii="宋体" w:hAnsi="宋体" w:cs="宋体"/>
          <w:b/>
          <w:bCs/>
          <w:color w:val="auto"/>
          <w:sz w:val="32"/>
          <w:szCs w:val="32"/>
          <w:highlight w:val="none"/>
          <w:lang w:eastAsia="zh-CN"/>
        </w:rPr>
      </w:pPr>
      <w:bookmarkStart w:id="1883" w:name="_Toc18910"/>
      <w:r>
        <w:rPr>
          <w:rFonts w:hint="eastAsia" w:ascii="宋体" w:hAnsi="宋体" w:cs="宋体"/>
          <w:b/>
          <w:color w:val="auto"/>
          <w:kern w:val="2"/>
          <w:sz w:val="28"/>
          <w:szCs w:val="28"/>
          <w:highlight w:val="none"/>
          <w:lang w:val="en-US" w:eastAsia="zh-CN" w:bidi="ar-SA"/>
        </w:rPr>
        <w:t>8</w:t>
      </w:r>
      <w:r>
        <w:rPr>
          <w:rFonts w:hint="eastAsia" w:ascii="宋体" w:hAnsi="宋体" w:eastAsia="宋体" w:cs="宋体"/>
          <w:b/>
          <w:color w:val="auto"/>
          <w:kern w:val="2"/>
          <w:sz w:val="28"/>
          <w:szCs w:val="28"/>
          <w:highlight w:val="none"/>
          <w:lang w:val="en-US" w:eastAsia="zh-CN" w:bidi="ar-SA"/>
        </w:rPr>
        <w:t>.</w:t>
      </w:r>
      <w:bookmarkEnd w:id="1883"/>
      <w:r>
        <w:rPr>
          <w:rFonts w:hint="eastAsia" w:ascii="宋体" w:hAnsi="宋体" w:eastAsia="宋体" w:cs="宋体"/>
          <w:b/>
          <w:color w:val="auto"/>
          <w:kern w:val="2"/>
          <w:sz w:val="28"/>
          <w:szCs w:val="28"/>
          <w:highlight w:val="none"/>
          <w:lang w:val="en-US" w:eastAsia="zh-CN" w:bidi="ar-SA"/>
        </w:rPr>
        <w:t>中小企业声明函或者残疾人福利性单位声明函（格式后附）或者供应商属于监狱企业的，提供由省级以上监狱管理局、戒毒管理局（含新疆生产建设兵团）出具的属于监狱企业的证明文件（必须提供）</w:t>
      </w:r>
    </w:p>
    <w:p w14:paraId="5FB8CD56">
      <w:pPr>
        <w:numPr>
          <w:ilvl w:val="0"/>
          <w:numId w:val="0"/>
        </w:numPr>
        <w:jc w:val="both"/>
        <w:rPr>
          <w:rFonts w:hint="eastAsia" w:ascii="宋体" w:hAnsi="宋体" w:cs="宋体"/>
          <w:b/>
          <w:bCs/>
          <w:color w:val="auto"/>
          <w:sz w:val="32"/>
          <w:szCs w:val="32"/>
          <w:highlight w:val="none"/>
          <w:lang w:eastAsia="zh-CN"/>
        </w:rPr>
      </w:pPr>
    </w:p>
    <w:p w14:paraId="00985482">
      <w:pPr>
        <w:jc w:val="center"/>
        <w:outlineLvl w:val="1"/>
        <w:rPr>
          <w:rStyle w:val="277"/>
          <w:rFonts w:hint="eastAsia" w:ascii="宋体" w:hAnsi="宋体" w:eastAsia="宋体" w:cs="宋体"/>
          <w:b/>
          <w:bCs/>
          <w:color w:val="auto"/>
          <w:kern w:val="0"/>
          <w:sz w:val="24"/>
          <w:szCs w:val="24"/>
          <w:highlight w:val="none"/>
          <w:lang w:eastAsia="zh-CN"/>
        </w:rPr>
      </w:pPr>
      <w:bookmarkStart w:id="1884" w:name="_Toc16031"/>
      <w:bookmarkStart w:id="1885" w:name="_Toc20297"/>
      <w:bookmarkStart w:id="1886" w:name="_Toc27491"/>
      <w:bookmarkStart w:id="1887" w:name="_Toc20326"/>
      <w:bookmarkStart w:id="1888" w:name="_Toc23913"/>
      <w:bookmarkStart w:id="1889" w:name="_Toc22992"/>
      <w:r>
        <w:rPr>
          <w:rStyle w:val="277"/>
          <w:rFonts w:hint="eastAsia" w:ascii="宋体" w:hAnsi="宋体" w:cs="宋体"/>
          <w:b/>
          <w:bCs/>
          <w:color w:val="auto"/>
          <w:kern w:val="0"/>
          <w:sz w:val="24"/>
          <w:szCs w:val="24"/>
          <w:highlight w:val="none"/>
          <w:lang w:eastAsia="zh-CN"/>
        </w:rPr>
        <w:t>（</w:t>
      </w:r>
      <w:r>
        <w:rPr>
          <w:rStyle w:val="277"/>
          <w:rFonts w:hint="eastAsia" w:ascii="宋体" w:hAnsi="宋体" w:cs="宋体"/>
          <w:b/>
          <w:bCs/>
          <w:color w:val="auto"/>
          <w:kern w:val="0"/>
          <w:sz w:val="24"/>
          <w:szCs w:val="24"/>
          <w:highlight w:val="none"/>
          <w:lang w:val="en-US" w:eastAsia="zh-CN"/>
        </w:rPr>
        <w:t>1</w:t>
      </w:r>
      <w:r>
        <w:rPr>
          <w:rStyle w:val="277"/>
          <w:rFonts w:hint="eastAsia" w:ascii="宋体" w:hAnsi="宋体" w:cs="宋体"/>
          <w:b/>
          <w:bCs/>
          <w:color w:val="auto"/>
          <w:kern w:val="0"/>
          <w:sz w:val="24"/>
          <w:szCs w:val="24"/>
          <w:highlight w:val="none"/>
          <w:lang w:eastAsia="zh-CN"/>
        </w:rPr>
        <w:t>）</w:t>
      </w:r>
      <w:r>
        <w:rPr>
          <w:rStyle w:val="277"/>
          <w:rFonts w:ascii="宋体" w:hAnsi="宋体" w:cs="宋体"/>
          <w:b/>
          <w:bCs/>
          <w:color w:val="auto"/>
          <w:kern w:val="0"/>
          <w:sz w:val="24"/>
          <w:szCs w:val="24"/>
          <w:highlight w:val="none"/>
        </w:rPr>
        <w:t>中小企业声明函（</w:t>
      </w:r>
      <w:r>
        <w:rPr>
          <w:rStyle w:val="277"/>
          <w:rFonts w:hint="eastAsia" w:ascii="宋体" w:hAnsi="宋体" w:cs="宋体"/>
          <w:b/>
          <w:bCs/>
          <w:color w:val="auto"/>
          <w:kern w:val="0"/>
          <w:sz w:val="24"/>
          <w:szCs w:val="24"/>
          <w:highlight w:val="none"/>
        </w:rPr>
        <w:t>工程</w:t>
      </w:r>
      <w:r>
        <w:rPr>
          <w:rStyle w:val="277"/>
          <w:rFonts w:ascii="宋体" w:hAnsi="宋体" w:cs="宋体"/>
          <w:b/>
          <w:bCs/>
          <w:color w:val="auto"/>
          <w:kern w:val="0"/>
          <w:sz w:val="24"/>
          <w:szCs w:val="24"/>
          <w:highlight w:val="none"/>
        </w:rPr>
        <w:t>）</w:t>
      </w:r>
      <w:bookmarkEnd w:id="1884"/>
      <w:bookmarkEnd w:id="1885"/>
      <w:bookmarkEnd w:id="1886"/>
      <w:bookmarkEnd w:id="1887"/>
      <w:bookmarkEnd w:id="1888"/>
      <w:r>
        <w:rPr>
          <w:rStyle w:val="277"/>
          <w:rFonts w:hint="eastAsia" w:ascii="宋体" w:hAnsi="宋体" w:cs="宋体"/>
          <w:b/>
          <w:bCs/>
          <w:color w:val="auto"/>
          <w:kern w:val="0"/>
          <w:sz w:val="24"/>
          <w:szCs w:val="24"/>
          <w:highlight w:val="none"/>
          <w:lang w:eastAsia="zh-CN"/>
        </w:rPr>
        <w:t>（</w:t>
      </w:r>
      <w:r>
        <w:rPr>
          <w:rStyle w:val="277"/>
          <w:rFonts w:hint="eastAsia" w:ascii="宋体" w:hAnsi="宋体" w:cs="宋体"/>
          <w:b/>
          <w:bCs/>
          <w:color w:val="auto"/>
          <w:kern w:val="0"/>
          <w:sz w:val="24"/>
          <w:szCs w:val="24"/>
          <w:highlight w:val="none"/>
          <w:lang w:val="en-US" w:eastAsia="zh-CN"/>
        </w:rPr>
        <w:t>格式</w:t>
      </w:r>
      <w:r>
        <w:rPr>
          <w:rStyle w:val="277"/>
          <w:rFonts w:hint="eastAsia" w:ascii="宋体" w:hAnsi="宋体" w:cs="宋体"/>
          <w:b/>
          <w:bCs/>
          <w:color w:val="auto"/>
          <w:kern w:val="0"/>
          <w:sz w:val="24"/>
          <w:szCs w:val="24"/>
          <w:highlight w:val="none"/>
          <w:lang w:eastAsia="zh-CN"/>
        </w:rPr>
        <w:t>）</w:t>
      </w:r>
      <w:bookmarkEnd w:id="1889"/>
    </w:p>
    <w:p w14:paraId="1EBBA365">
      <w:pPr>
        <w:widowControl w:val="0"/>
        <w:spacing w:after="60" w:line="360" w:lineRule="atLeast"/>
        <w:ind w:left="63" w:leftChars="30" w:right="63" w:rightChars="30"/>
        <w:jc w:val="center"/>
        <w:rPr>
          <w:rFonts w:ascii="Times New Roman" w:hAnsi="Times New Roman" w:eastAsia="宋体" w:cs="Times New Roman"/>
          <w:color w:val="auto"/>
          <w:kern w:val="0"/>
          <w:sz w:val="21"/>
          <w:szCs w:val="21"/>
          <w:highlight w:val="none"/>
          <w:lang w:val="en-US" w:eastAsia="zh-CN" w:bidi="ar-SA"/>
        </w:rPr>
      </w:pPr>
    </w:p>
    <w:p w14:paraId="2BD9D8A3">
      <w:pPr>
        <w:spacing w:line="360" w:lineRule="auto"/>
        <w:ind w:firstLine="420"/>
        <w:rPr>
          <w:rFonts w:ascii="Times New Roman" w:hAnsi="Times New Roman" w:cs="Times New Roman"/>
          <w:bCs/>
          <w:color w:val="auto"/>
          <w:sz w:val="24"/>
          <w:szCs w:val="24"/>
          <w:highlight w:val="none"/>
        </w:rPr>
      </w:pPr>
      <w:r>
        <w:rPr>
          <w:rFonts w:hint="eastAsia" w:ascii="Times New Roman" w:hAnsi="Times New Roman" w:cs="Times New Roman"/>
          <w:bCs/>
          <w:color w:val="auto"/>
          <w:sz w:val="24"/>
          <w:szCs w:val="24"/>
          <w:highlight w:val="none"/>
        </w:rPr>
        <w:t>本公司（联合体）郑重声明，根据《政府采购促进中小企业发展管理办法》（财库﹝2020﹞46 号）的规定，本公司（联合体）参加</w:t>
      </w:r>
      <w:r>
        <w:rPr>
          <w:rFonts w:hint="eastAsia" w:ascii="Times New Roman" w:hAnsi="Times New Roman" w:cs="Times New Roman"/>
          <w:bCs/>
          <w:color w:val="auto"/>
          <w:sz w:val="24"/>
          <w:szCs w:val="24"/>
          <w:highlight w:val="none"/>
          <w:u w:val="single"/>
        </w:rPr>
        <w:t>（单位名称）</w:t>
      </w:r>
      <w:r>
        <w:rPr>
          <w:rFonts w:hint="eastAsia" w:ascii="Times New Roman" w:hAnsi="Times New Roman" w:cs="Times New Roman"/>
          <w:bCs/>
          <w:color w:val="auto"/>
          <w:sz w:val="24"/>
          <w:szCs w:val="24"/>
          <w:highlight w:val="none"/>
        </w:rPr>
        <w:t>的</w:t>
      </w:r>
      <w:r>
        <w:rPr>
          <w:rFonts w:hint="eastAsia" w:ascii="Times New Roman" w:hAnsi="Times New Roman" w:cs="Times New Roman"/>
          <w:bCs/>
          <w:color w:val="auto"/>
          <w:sz w:val="24"/>
          <w:szCs w:val="24"/>
          <w:highlight w:val="none"/>
          <w:u w:val="single"/>
        </w:rPr>
        <w:t>（项目名称）</w:t>
      </w:r>
      <w:r>
        <w:rPr>
          <w:rFonts w:hint="eastAsia" w:ascii="Times New Roman" w:hAnsi="Times New Roman" w:cs="Times New Roman"/>
          <w:bCs/>
          <w:color w:val="auto"/>
          <w:sz w:val="24"/>
          <w:szCs w:val="24"/>
          <w:highlight w:val="none"/>
        </w:rPr>
        <w:t>采购活动，</w:t>
      </w:r>
      <w:r>
        <w:rPr>
          <w:rFonts w:hint="eastAsia" w:ascii="Times New Roman" w:hAnsi="Times New Roman" w:cs="Times New Roman"/>
          <w:bCs/>
          <w:color w:val="auto"/>
          <w:sz w:val="24"/>
          <w:szCs w:val="24"/>
          <w:highlight w:val="none"/>
          <w:lang w:val="en-US" w:eastAsia="zh-CN"/>
        </w:rPr>
        <w:t>工程的施工单位</w:t>
      </w:r>
      <w:r>
        <w:rPr>
          <w:rFonts w:hint="eastAsia" w:ascii="Times New Roman" w:hAnsi="Times New Roman" w:cs="Times New Roman"/>
          <w:bCs/>
          <w:color w:val="auto"/>
          <w:sz w:val="24"/>
          <w:szCs w:val="24"/>
          <w:highlight w:val="none"/>
        </w:rPr>
        <w:t>全部</w:t>
      </w:r>
      <w:r>
        <w:rPr>
          <w:rFonts w:hint="eastAsia" w:ascii="Times New Roman" w:hAnsi="Times New Roman" w:cs="Times New Roman"/>
          <w:bCs/>
          <w:color w:val="auto"/>
          <w:sz w:val="24"/>
          <w:szCs w:val="24"/>
          <w:highlight w:val="none"/>
          <w:lang w:val="en-US" w:eastAsia="zh-CN"/>
        </w:rPr>
        <w:t>为</w:t>
      </w:r>
      <w:r>
        <w:rPr>
          <w:rFonts w:hint="eastAsia" w:ascii="Times New Roman" w:hAnsi="Times New Roman" w:cs="Times New Roman"/>
          <w:bCs/>
          <w:color w:val="auto"/>
          <w:sz w:val="24"/>
          <w:szCs w:val="24"/>
          <w:highlight w:val="none"/>
        </w:rPr>
        <w:t>符合政策要求的中小企业承接。相关企业（含联合体中的中小企业、签订分包意向协议的中小企业） 的具体情况如下：</w:t>
      </w:r>
    </w:p>
    <w:p w14:paraId="1FCA2B72">
      <w:pPr>
        <w:spacing w:line="360" w:lineRule="auto"/>
        <w:ind w:firstLine="420"/>
        <w:rPr>
          <w:rFonts w:ascii="Times New Roman" w:hAnsi="Times New Roman" w:cs="Times New Roman"/>
          <w:bCs/>
          <w:color w:val="auto"/>
          <w:sz w:val="24"/>
          <w:szCs w:val="24"/>
          <w:highlight w:val="none"/>
        </w:rPr>
      </w:pPr>
      <w:r>
        <w:rPr>
          <w:rFonts w:ascii="Times New Roman" w:hAnsi="Times New Roman" w:cs="Times New Roman"/>
          <w:bCs/>
          <w:color w:val="auto"/>
          <w:sz w:val="24"/>
          <w:szCs w:val="24"/>
          <w:highlight w:val="none"/>
        </w:rPr>
        <w:t>1.</w:t>
      </w:r>
      <w:r>
        <w:rPr>
          <w:rFonts w:hint="eastAsia" w:ascii="Times New Roman" w:hAnsi="Times New Roman" w:cs="Times New Roman"/>
          <w:bCs/>
          <w:color w:val="auto"/>
          <w:sz w:val="24"/>
          <w:szCs w:val="24"/>
          <w:highlight w:val="none"/>
          <w:u w:val="single"/>
        </w:rPr>
        <w:t>（标的名称）</w:t>
      </w:r>
      <w:r>
        <w:rPr>
          <w:rFonts w:hint="eastAsia" w:ascii="Times New Roman" w:hAnsi="Times New Roman" w:cs="Times New Roman"/>
          <w:bCs/>
          <w:color w:val="auto"/>
          <w:sz w:val="24"/>
          <w:szCs w:val="24"/>
          <w:highlight w:val="none"/>
        </w:rPr>
        <w:t>，属于</w:t>
      </w:r>
      <w:r>
        <w:rPr>
          <w:rFonts w:hint="eastAsia" w:ascii="Times New Roman" w:hAnsi="Times New Roman" w:cs="Times New Roman"/>
          <w:bCs/>
          <w:color w:val="auto"/>
          <w:sz w:val="24"/>
          <w:szCs w:val="24"/>
          <w:highlight w:val="none"/>
          <w:u w:val="single"/>
        </w:rPr>
        <w:t>（采购文件中明确的所属行业）</w:t>
      </w:r>
      <w:r>
        <w:rPr>
          <w:rFonts w:hint="eastAsia" w:ascii="Times New Roman" w:hAnsi="Times New Roman" w:cs="Times New Roman"/>
          <w:bCs/>
          <w:color w:val="auto"/>
          <w:sz w:val="24"/>
          <w:szCs w:val="24"/>
          <w:highlight w:val="none"/>
        </w:rPr>
        <w:t>行业；承</w:t>
      </w:r>
      <w:r>
        <w:rPr>
          <w:rFonts w:hint="eastAsia" w:ascii="Times New Roman" w:hAnsi="Times New Roman" w:cs="Times New Roman"/>
          <w:bCs/>
          <w:color w:val="auto"/>
          <w:sz w:val="24"/>
          <w:szCs w:val="24"/>
          <w:highlight w:val="none"/>
          <w:lang w:val="en-US" w:eastAsia="zh-CN"/>
        </w:rPr>
        <w:t>建</w:t>
      </w:r>
      <w:r>
        <w:rPr>
          <w:rFonts w:hint="eastAsia" w:ascii="Times New Roman" w:hAnsi="Times New Roman" w:cs="Times New Roman"/>
          <w:bCs/>
          <w:color w:val="auto"/>
          <w:sz w:val="24"/>
          <w:szCs w:val="24"/>
          <w:highlight w:val="none"/>
        </w:rPr>
        <w:t>企业为</w:t>
      </w:r>
      <w:r>
        <w:rPr>
          <w:rFonts w:hint="eastAsia" w:ascii="Times New Roman" w:hAnsi="Times New Roman" w:cs="Times New Roman"/>
          <w:bCs/>
          <w:color w:val="auto"/>
          <w:sz w:val="24"/>
          <w:szCs w:val="24"/>
          <w:highlight w:val="none"/>
          <w:u w:val="single"/>
        </w:rPr>
        <w:t>（企业名称）</w:t>
      </w:r>
      <w:r>
        <w:rPr>
          <w:rFonts w:hint="eastAsia" w:ascii="Times New Roman" w:hAnsi="Times New Roman" w:cs="Times New Roman"/>
          <w:bCs/>
          <w:color w:val="auto"/>
          <w:sz w:val="24"/>
          <w:szCs w:val="24"/>
          <w:highlight w:val="none"/>
        </w:rPr>
        <w:t>，从业人员</w:t>
      </w:r>
      <w:r>
        <w:rPr>
          <w:rFonts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人，营业收入为</w:t>
      </w:r>
      <w:r>
        <w:rPr>
          <w:rFonts w:hint="eastAsia" w:ascii="Times New Roman" w:hAnsi="Times New Roman" w:cs="Times New Roman"/>
          <w:bCs/>
          <w:color w:val="auto"/>
          <w:sz w:val="24"/>
          <w:szCs w:val="24"/>
          <w:highlight w:val="none"/>
          <w:u w:val="single"/>
        </w:rPr>
        <w:t xml:space="preserve"> </w:t>
      </w:r>
      <w:r>
        <w:rPr>
          <w:rFonts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万元，资产总额为</w:t>
      </w:r>
      <w:r>
        <w:rPr>
          <w:rFonts w:hint="eastAsia"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万元，属于</w:t>
      </w:r>
      <w:r>
        <w:rPr>
          <w:rFonts w:hint="eastAsia" w:ascii="Times New Roman" w:hAnsi="Times New Roman" w:cs="Times New Roman"/>
          <w:bCs/>
          <w:color w:val="auto"/>
          <w:sz w:val="24"/>
          <w:szCs w:val="24"/>
          <w:highlight w:val="none"/>
          <w:u w:val="single"/>
        </w:rPr>
        <w:t>（中型企业、小型企业、微型企业）</w:t>
      </w:r>
      <w:r>
        <w:rPr>
          <w:rFonts w:hint="eastAsia" w:ascii="Times New Roman" w:hAnsi="Times New Roman" w:cs="Times New Roman"/>
          <w:bCs/>
          <w:color w:val="auto"/>
          <w:sz w:val="24"/>
          <w:szCs w:val="24"/>
          <w:highlight w:val="none"/>
        </w:rPr>
        <w:t>；</w:t>
      </w:r>
    </w:p>
    <w:p w14:paraId="060A9CD8">
      <w:pPr>
        <w:spacing w:line="360" w:lineRule="auto"/>
        <w:ind w:firstLine="420"/>
        <w:rPr>
          <w:rFonts w:ascii="Times New Roman" w:hAnsi="Times New Roman" w:cs="Times New Roman"/>
          <w:bCs/>
          <w:color w:val="auto"/>
          <w:sz w:val="24"/>
          <w:szCs w:val="24"/>
          <w:highlight w:val="none"/>
        </w:rPr>
      </w:pPr>
      <w:r>
        <w:rPr>
          <w:rFonts w:ascii="Times New Roman" w:hAnsi="Times New Roman" w:cs="Times New Roman"/>
          <w:bCs/>
          <w:color w:val="auto"/>
          <w:sz w:val="24"/>
          <w:szCs w:val="24"/>
          <w:highlight w:val="none"/>
        </w:rPr>
        <w:t>2.</w:t>
      </w:r>
      <w:r>
        <w:rPr>
          <w:rFonts w:hint="eastAsia" w:ascii="Times New Roman" w:hAnsi="Times New Roman" w:cs="Times New Roman"/>
          <w:bCs/>
          <w:color w:val="auto"/>
          <w:sz w:val="24"/>
          <w:szCs w:val="24"/>
          <w:highlight w:val="none"/>
          <w:u w:val="single"/>
        </w:rPr>
        <w:t>（标的名称）</w:t>
      </w:r>
      <w:r>
        <w:rPr>
          <w:rFonts w:hint="eastAsia" w:ascii="Times New Roman" w:hAnsi="Times New Roman" w:cs="Times New Roman"/>
          <w:bCs/>
          <w:color w:val="auto"/>
          <w:sz w:val="24"/>
          <w:szCs w:val="24"/>
          <w:highlight w:val="none"/>
        </w:rPr>
        <w:t>，属于</w:t>
      </w:r>
      <w:r>
        <w:rPr>
          <w:rFonts w:hint="eastAsia" w:ascii="Times New Roman" w:hAnsi="Times New Roman" w:cs="Times New Roman"/>
          <w:bCs/>
          <w:color w:val="auto"/>
          <w:sz w:val="24"/>
          <w:szCs w:val="24"/>
          <w:highlight w:val="none"/>
          <w:u w:val="single"/>
        </w:rPr>
        <w:t>（采购文件中明确的所属行业）</w:t>
      </w:r>
      <w:r>
        <w:rPr>
          <w:rFonts w:hint="eastAsia" w:ascii="Times New Roman" w:hAnsi="Times New Roman" w:cs="Times New Roman"/>
          <w:bCs/>
          <w:color w:val="auto"/>
          <w:sz w:val="24"/>
          <w:szCs w:val="24"/>
          <w:highlight w:val="none"/>
        </w:rPr>
        <w:t>行业；承</w:t>
      </w:r>
      <w:r>
        <w:rPr>
          <w:rFonts w:hint="eastAsia" w:ascii="Times New Roman" w:hAnsi="Times New Roman" w:cs="Times New Roman"/>
          <w:bCs/>
          <w:color w:val="auto"/>
          <w:sz w:val="24"/>
          <w:szCs w:val="24"/>
          <w:highlight w:val="none"/>
          <w:lang w:val="en-US" w:eastAsia="zh-CN"/>
        </w:rPr>
        <w:t>建</w:t>
      </w:r>
      <w:r>
        <w:rPr>
          <w:rFonts w:hint="eastAsia" w:ascii="Times New Roman" w:hAnsi="Times New Roman" w:cs="Times New Roman"/>
          <w:bCs/>
          <w:color w:val="auto"/>
          <w:sz w:val="24"/>
          <w:szCs w:val="24"/>
          <w:highlight w:val="none"/>
        </w:rPr>
        <w:t>企业为</w:t>
      </w:r>
      <w:r>
        <w:rPr>
          <w:rFonts w:hint="eastAsia" w:ascii="Times New Roman" w:hAnsi="Times New Roman" w:cs="Times New Roman"/>
          <w:bCs/>
          <w:color w:val="auto"/>
          <w:sz w:val="24"/>
          <w:szCs w:val="24"/>
          <w:highlight w:val="none"/>
          <w:u w:val="single"/>
        </w:rPr>
        <w:t>（企业名称）</w:t>
      </w:r>
      <w:r>
        <w:rPr>
          <w:rFonts w:hint="eastAsia" w:ascii="Times New Roman" w:hAnsi="Times New Roman" w:cs="Times New Roman"/>
          <w:bCs/>
          <w:color w:val="auto"/>
          <w:sz w:val="24"/>
          <w:szCs w:val="24"/>
          <w:highlight w:val="none"/>
        </w:rPr>
        <w:t>，从业人员</w:t>
      </w:r>
      <w:r>
        <w:rPr>
          <w:rFonts w:hint="eastAsia"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人，营业收入为</w:t>
      </w:r>
      <w:r>
        <w:rPr>
          <w:rFonts w:hint="eastAsia"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万元，资产总额为</w:t>
      </w:r>
      <w:r>
        <w:rPr>
          <w:rFonts w:hint="eastAsia" w:ascii="Times New Roman" w:hAnsi="Times New Roman" w:cs="Times New Roman"/>
          <w:bCs/>
          <w:color w:val="auto"/>
          <w:sz w:val="24"/>
          <w:szCs w:val="24"/>
          <w:highlight w:val="none"/>
          <w:u w:val="single"/>
        </w:rPr>
        <w:t xml:space="preserve"> </w:t>
      </w:r>
      <w:r>
        <w:rPr>
          <w:rFonts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万元，属于</w:t>
      </w:r>
      <w:r>
        <w:rPr>
          <w:rFonts w:hint="eastAsia" w:ascii="Times New Roman" w:hAnsi="Times New Roman" w:cs="Times New Roman"/>
          <w:bCs/>
          <w:color w:val="auto"/>
          <w:sz w:val="24"/>
          <w:szCs w:val="24"/>
          <w:highlight w:val="none"/>
          <w:u w:val="single"/>
        </w:rPr>
        <w:t>（中型企业、小型企业、微型企业）</w:t>
      </w:r>
      <w:r>
        <w:rPr>
          <w:rFonts w:hint="eastAsia" w:ascii="Times New Roman" w:hAnsi="Times New Roman" w:cs="Times New Roman"/>
          <w:bCs/>
          <w:color w:val="auto"/>
          <w:sz w:val="24"/>
          <w:szCs w:val="24"/>
          <w:highlight w:val="none"/>
        </w:rPr>
        <w:t>；</w:t>
      </w:r>
    </w:p>
    <w:p w14:paraId="55F24DDE">
      <w:pPr>
        <w:spacing w:line="360" w:lineRule="auto"/>
        <w:ind w:firstLine="420"/>
        <w:rPr>
          <w:rFonts w:ascii="Times New Roman" w:hAnsi="Times New Roman" w:cs="Times New Roman"/>
          <w:bCs/>
          <w:color w:val="auto"/>
          <w:sz w:val="24"/>
          <w:szCs w:val="24"/>
          <w:highlight w:val="none"/>
        </w:rPr>
      </w:pPr>
      <w:r>
        <w:rPr>
          <w:rFonts w:hint="eastAsia" w:ascii="Times New Roman" w:hAnsi="Times New Roman" w:cs="Times New Roman"/>
          <w:bCs/>
          <w:color w:val="auto"/>
          <w:sz w:val="24"/>
          <w:szCs w:val="24"/>
          <w:highlight w:val="none"/>
        </w:rPr>
        <w:t>……</w:t>
      </w:r>
    </w:p>
    <w:p w14:paraId="4D449B4D">
      <w:pPr>
        <w:spacing w:line="360" w:lineRule="auto"/>
        <w:ind w:firstLine="420"/>
        <w:rPr>
          <w:rFonts w:ascii="Times New Roman" w:hAnsi="Times New Roman" w:cs="Times New Roman"/>
          <w:bCs/>
          <w:color w:val="auto"/>
          <w:sz w:val="24"/>
          <w:szCs w:val="24"/>
          <w:highlight w:val="none"/>
        </w:rPr>
      </w:pPr>
      <w:r>
        <w:rPr>
          <w:rFonts w:hint="eastAsia" w:ascii="Times New Roman" w:hAnsi="Times New Roman" w:cs="Times New Roman"/>
          <w:bCs/>
          <w:color w:val="auto"/>
          <w:sz w:val="24"/>
          <w:szCs w:val="24"/>
          <w:highlight w:val="none"/>
        </w:rPr>
        <w:t>以上企业，不属于大企业的分支机构，不存在控股股东为大企业的情形，也不存在与大企业的负责人为同一人的情形。</w:t>
      </w:r>
    </w:p>
    <w:p w14:paraId="310C77F8">
      <w:pPr>
        <w:spacing w:line="360" w:lineRule="auto"/>
        <w:ind w:firstLine="420"/>
        <w:rPr>
          <w:rFonts w:ascii="Times New Roman" w:hAnsi="Times New Roman" w:cs="Times New Roman"/>
          <w:bCs/>
          <w:color w:val="auto"/>
          <w:sz w:val="24"/>
          <w:szCs w:val="24"/>
          <w:highlight w:val="none"/>
        </w:rPr>
      </w:pPr>
      <w:r>
        <w:rPr>
          <w:rFonts w:hint="eastAsia" w:ascii="Times New Roman" w:hAnsi="Times New Roman" w:cs="Times New Roman"/>
          <w:bCs/>
          <w:color w:val="auto"/>
          <w:sz w:val="24"/>
          <w:szCs w:val="24"/>
          <w:highlight w:val="none"/>
        </w:rPr>
        <w:t>本企业对上述声明内容的真实性负责。如有虚假，将依法承担相应责任。</w:t>
      </w:r>
    </w:p>
    <w:p w14:paraId="31CBC9A9">
      <w:pPr>
        <w:ind w:right="420" w:firstLine="6120" w:firstLineChars="2550"/>
        <w:rPr>
          <w:rFonts w:hint="eastAsia" w:ascii="Times New Roman" w:hAnsi="Times New Roman" w:cs="Times New Roman"/>
          <w:bCs/>
          <w:color w:val="auto"/>
          <w:sz w:val="24"/>
          <w:szCs w:val="24"/>
          <w:highlight w:val="none"/>
        </w:rPr>
      </w:pPr>
    </w:p>
    <w:p w14:paraId="550253CD">
      <w:pPr>
        <w:spacing w:line="360" w:lineRule="auto"/>
        <w:ind w:firstLine="960" w:firstLineChars="400"/>
        <w:jc w:val="both"/>
        <w:rPr>
          <w:rFonts w:ascii="Arial" w:hAnsi="Arial" w:cs="Arial"/>
          <w:color w:val="auto"/>
          <w:sz w:val="24"/>
          <w:szCs w:val="24"/>
          <w:highlight w:val="none"/>
        </w:rPr>
      </w:pPr>
      <w:r>
        <w:rPr>
          <w:rFonts w:hint="eastAsia" w:ascii="Arial" w:hAnsi="Arial" w:cs="Arial"/>
          <w:color w:val="auto"/>
          <w:sz w:val="24"/>
          <w:szCs w:val="24"/>
          <w:highlight w:val="none"/>
          <w:lang w:eastAsia="zh-CN"/>
        </w:rPr>
        <w:t>供应商</w:t>
      </w:r>
      <w:r>
        <w:rPr>
          <w:rFonts w:ascii="Arial" w:hAnsi="Arial" w:cs="Arial"/>
          <w:color w:val="auto"/>
          <w:sz w:val="24"/>
          <w:szCs w:val="24"/>
          <w:highlight w:val="none"/>
        </w:rPr>
        <w:t>：</w:t>
      </w:r>
      <w:r>
        <w:rPr>
          <w:rFonts w:ascii="Arial" w:hAnsi="Arial" w:cs="Arial"/>
          <w:color w:val="auto"/>
          <w:sz w:val="24"/>
          <w:szCs w:val="24"/>
          <w:highlight w:val="none"/>
          <w:u w:val="single"/>
        </w:rPr>
        <w:t xml:space="preserve">                                       </w:t>
      </w:r>
      <w:r>
        <w:rPr>
          <w:rFonts w:hint="eastAsia" w:ascii="宋体" w:hAnsi="宋体" w:eastAsia="宋体" w:cs="宋体"/>
          <w:color w:val="auto"/>
          <w:sz w:val="24"/>
          <w:szCs w:val="24"/>
          <w:highlight w:val="none"/>
        </w:rPr>
        <w:t>[公章（CA签章）]</w:t>
      </w:r>
    </w:p>
    <w:p w14:paraId="7FC7007D">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420" w:leftChars="0"/>
        <w:jc w:val="center"/>
        <w:textAlignment w:val="auto"/>
        <w:rPr>
          <w:rFonts w:hint="eastAsia" w:ascii="Times New Roman" w:hAnsi="Times New Roman" w:cs="Times New Roman"/>
          <w:color w:val="auto"/>
          <w:highlight w:val="none"/>
        </w:rPr>
      </w:pPr>
      <w:r>
        <w:rPr>
          <w:rFonts w:ascii="Arial" w:hAnsi="Arial" w:cs="Arial"/>
          <w:color w:val="auto"/>
          <w:sz w:val="24"/>
          <w:szCs w:val="24"/>
          <w:highlight w:val="none"/>
        </w:rPr>
        <w:t>日期：</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4E0F9DAA">
      <w:pPr>
        <w:pStyle w:val="48"/>
        <w:keepNext w:val="0"/>
        <w:keepLines w:val="0"/>
        <w:pageBreakBefore w:val="0"/>
        <w:widowControl/>
        <w:kinsoku/>
        <w:wordWrap/>
        <w:overflowPunct/>
        <w:topLinePunct w:val="0"/>
        <w:autoSpaceDE/>
        <w:autoSpaceDN/>
        <w:bidi w:val="0"/>
        <w:adjustRightInd/>
        <w:snapToGrid/>
        <w:spacing w:before="0" w:beforeAutospacing="0" w:after="0" w:afterAutospacing="0"/>
        <w:textAlignment w:val="auto"/>
        <w:rPr>
          <w:rFonts w:hint="eastAsia" w:ascii="宋体" w:hAnsi="宋体" w:eastAsia="宋体" w:cs="宋体"/>
          <w:b/>
          <w:color w:val="auto"/>
          <w:sz w:val="21"/>
          <w:szCs w:val="21"/>
          <w:highlight w:val="none"/>
        </w:rPr>
      </w:pPr>
    </w:p>
    <w:p w14:paraId="4EB6B987">
      <w:pPr>
        <w:pStyle w:val="48"/>
        <w:keepNext w:val="0"/>
        <w:keepLines w:val="0"/>
        <w:pageBreakBefore w:val="0"/>
        <w:widowControl/>
        <w:kinsoku/>
        <w:wordWrap/>
        <w:overflowPunct/>
        <w:topLinePunct w:val="0"/>
        <w:autoSpaceDE/>
        <w:autoSpaceDN/>
        <w:bidi w:val="0"/>
        <w:adjustRightInd/>
        <w:snapToGrid/>
        <w:spacing w:before="0" w:beforeAutospacing="0" w:after="0" w:afterAutospacing="0"/>
        <w:textAlignment w:val="auto"/>
        <w:rPr>
          <w:rFonts w:hint="eastAsia" w:ascii="宋体" w:hAnsi="宋体" w:eastAsia="宋体" w:cs="宋体"/>
          <w:b/>
          <w:color w:val="auto"/>
          <w:sz w:val="21"/>
          <w:szCs w:val="21"/>
          <w:highlight w:val="none"/>
        </w:rPr>
      </w:pPr>
    </w:p>
    <w:p w14:paraId="6F8AE8C2">
      <w:pPr>
        <w:pStyle w:val="48"/>
        <w:keepNext w:val="0"/>
        <w:keepLines w:val="0"/>
        <w:pageBreakBefore w:val="0"/>
        <w:widowControl/>
        <w:kinsoku/>
        <w:wordWrap/>
        <w:overflowPunct/>
        <w:topLinePunct w:val="0"/>
        <w:autoSpaceDE/>
        <w:autoSpaceDN/>
        <w:bidi w:val="0"/>
        <w:adjustRightInd/>
        <w:snapToGrid/>
        <w:spacing w:before="0" w:beforeAutospacing="0" w:after="0" w:afterAutospacing="0"/>
        <w:textAlignment w:val="auto"/>
        <w:rPr>
          <w:rFonts w:hint="eastAsia" w:ascii="宋体" w:hAnsi="宋体" w:eastAsia="宋体" w:cs="宋体"/>
          <w:b/>
          <w:color w:val="auto"/>
          <w:sz w:val="21"/>
          <w:szCs w:val="21"/>
          <w:highlight w:val="none"/>
        </w:rPr>
      </w:pPr>
    </w:p>
    <w:p w14:paraId="639888DC">
      <w:pPr>
        <w:pStyle w:val="28"/>
        <w:spacing w:line="320" w:lineRule="exact"/>
        <w:rPr>
          <w:rFonts w:hint="eastAsia" w:cs="宋体"/>
          <w:b/>
          <w:color w:val="auto"/>
          <w:kern w:val="0"/>
          <w:highlight w:val="none"/>
        </w:rPr>
      </w:pPr>
      <w:r>
        <w:rPr>
          <w:rFonts w:hint="eastAsia" w:cs="宋体"/>
          <w:b/>
          <w:color w:val="auto"/>
          <w:kern w:val="0"/>
          <w:highlight w:val="none"/>
        </w:rPr>
        <w:t>注：</w:t>
      </w:r>
      <w:r>
        <w:rPr>
          <w:rFonts w:hint="eastAsia" w:hAnsi="宋体"/>
          <w:b/>
          <w:color w:val="auto"/>
          <w:highlight w:val="none"/>
        </w:rPr>
        <w:t>①</w:t>
      </w:r>
      <w:r>
        <w:rPr>
          <w:rFonts w:hint="eastAsia" w:cs="宋体"/>
          <w:b/>
          <w:color w:val="auto"/>
          <w:kern w:val="0"/>
          <w:highlight w:val="none"/>
        </w:rPr>
        <w:t>从业人员、营业收入、资产总额填报上一年度数据，无上一年度数据的新成立企业可不填报。</w:t>
      </w:r>
    </w:p>
    <w:p w14:paraId="2D96DB13">
      <w:pPr>
        <w:pStyle w:val="28"/>
        <w:spacing w:line="320" w:lineRule="exact"/>
        <w:rPr>
          <w:rFonts w:hint="eastAsia" w:cs="宋体"/>
          <w:b/>
          <w:color w:val="auto"/>
          <w:kern w:val="0"/>
          <w:highlight w:val="none"/>
        </w:rPr>
      </w:pPr>
      <w:r>
        <w:rPr>
          <w:rFonts w:hint="eastAsia" w:hAnsi="宋体" w:cs="宋体"/>
          <w:b/>
          <w:color w:val="auto"/>
          <w:kern w:val="0"/>
          <w:highlight w:val="none"/>
        </w:rPr>
        <w:t>②所属行业依照《中小企业划型标准规定》（工信部联企业〔2011〕300号）及《国民经济行业分类》（GB/T4754-2017）的有关规定执行，本工程在《统计上大中小微型企业划分标准》中所属行业均为</w:t>
      </w:r>
      <w:r>
        <w:rPr>
          <w:rFonts w:hint="eastAsia" w:hAnsi="宋体" w:cs="宋体"/>
          <w:b/>
          <w:color w:val="auto"/>
          <w:kern w:val="0"/>
          <w:highlight w:val="none"/>
          <w:u w:val="single"/>
        </w:rPr>
        <w:t>建筑业。</w:t>
      </w:r>
    </w:p>
    <w:p w14:paraId="71BF5468">
      <w:pPr>
        <w:pStyle w:val="28"/>
        <w:spacing w:line="360" w:lineRule="auto"/>
        <w:rPr>
          <w:rFonts w:hint="eastAsia" w:cs="宋体"/>
          <w:b/>
          <w:color w:val="auto"/>
          <w:kern w:val="0"/>
          <w:highlight w:val="none"/>
        </w:rPr>
      </w:pPr>
    </w:p>
    <w:p w14:paraId="20474121">
      <w:pPr>
        <w:pStyle w:val="5"/>
        <w:rPr>
          <w:rFonts w:hint="eastAsia" w:cs="宋体"/>
          <w:b/>
          <w:color w:val="auto"/>
          <w:kern w:val="0"/>
          <w:highlight w:val="none"/>
        </w:rPr>
      </w:pPr>
    </w:p>
    <w:p w14:paraId="2CE0EF31">
      <w:pPr>
        <w:rPr>
          <w:rFonts w:hint="eastAsia" w:cs="宋体"/>
          <w:b/>
          <w:color w:val="auto"/>
          <w:kern w:val="0"/>
          <w:highlight w:val="none"/>
        </w:rPr>
      </w:pPr>
    </w:p>
    <w:p w14:paraId="6E2EFA09">
      <w:pPr>
        <w:rPr>
          <w:rFonts w:hint="eastAsia" w:cs="宋体"/>
          <w:b/>
          <w:color w:val="auto"/>
          <w:kern w:val="0"/>
          <w:highlight w:val="none"/>
        </w:rPr>
      </w:pPr>
    </w:p>
    <w:p w14:paraId="1CA6119E">
      <w:pPr>
        <w:rPr>
          <w:rFonts w:hint="eastAsia" w:cs="宋体"/>
          <w:b/>
          <w:color w:val="auto"/>
          <w:kern w:val="0"/>
          <w:highlight w:val="none"/>
        </w:rPr>
      </w:pPr>
    </w:p>
    <w:p w14:paraId="71F4BB99">
      <w:pPr>
        <w:rPr>
          <w:rFonts w:hint="eastAsia" w:cs="宋体"/>
          <w:b/>
          <w:color w:val="auto"/>
          <w:kern w:val="0"/>
          <w:highlight w:val="none"/>
        </w:rPr>
      </w:pPr>
    </w:p>
    <w:p w14:paraId="00853D3D">
      <w:pPr>
        <w:rPr>
          <w:rFonts w:hint="eastAsia" w:cs="宋体"/>
          <w:b/>
          <w:color w:val="auto"/>
          <w:kern w:val="0"/>
          <w:highlight w:val="none"/>
        </w:rPr>
      </w:pPr>
    </w:p>
    <w:p w14:paraId="3279F0B3">
      <w:pPr>
        <w:pStyle w:val="28"/>
        <w:adjustRightInd w:val="0"/>
        <w:spacing w:line="390" w:lineRule="exact"/>
        <w:contextualSpacing/>
        <w:rPr>
          <w:rFonts w:hAnsi="宋体" w:cs="宋体"/>
          <w:b/>
          <w:bCs/>
          <w:color w:val="auto"/>
          <w:highlight w:val="none"/>
        </w:rPr>
      </w:pPr>
      <w:r>
        <w:rPr>
          <w:rFonts w:hint="eastAsia"/>
          <w:b/>
          <w:bCs/>
          <w:color w:val="auto"/>
          <w:highlight w:val="none"/>
        </w:rPr>
        <w:t>附表</w:t>
      </w:r>
    </w:p>
    <w:p w14:paraId="07B4E992">
      <w:pPr>
        <w:widowControl/>
        <w:spacing w:before="156" w:beforeLines="50" w:after="156" w:afterLines="50" w:line="400" w:lineRule="exact"/>
        <w:jc w:val="center"/>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统计上大中小微型企业划分标准</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1451"/>
        <w:gridCol w:w="750"/>
        <w:gridCol w:w="1191"/>
        <w:gridCol w:w="1803"/>
        <w:gridCol w:w="1511"/>
        <w:gridCol w:w="1049"/>
      </w:tblGrid>
      <w:tr w14:paraId="34FF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1847" w:type="dxa"/>
            <w:shd w:val="clear" w:color="auto" w:fill="8DB3E2"/>
            <w:noWrap w:val="0"/>
            <w:vAlign w:val="center"/>
          </w:tcPr>
          <w:p w14:paraId="3E5C5073">
            <w:pPr>
              <w:widowControl/>
              <w:spacing w:line="240" w:lineRule="exact"/>
              <w:jc w:val="center"/>
              <w:rPr>
                <w:rFonts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451" w:type="dxa"/>
            <w:shd w:val="clear" w:color="auto" w:fill="8DB3E2"/>
            <w:noWrap w:val="0"/>
            <w:vAlign w:val="center"/>
          </w:tcPr>
          <w:p w14:paraId="6AB735F9">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750" w:type="dxa"/>
            <w:shd w:val="clear" w:color="auto" w:fill="8DB3E2"/>
            <w:noWrap w:val="0"/>
            <w:vAlign w:val="center"/>
          </w:tcPr>
          <w:p w14:paraId="43DDA1FC">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计量</w:t>
            </w:r>
          </w:p>
          <w:p w14:paraId="0A3164E2">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191" w:type="dxa"/>
            <w:shd w:val="clear" w:color="auto" w:fill="8DB3E2"/>
            <w:noWrap w:val="0"/>
            <w:vAlign w:val="center"/>
          </w:tcPr>
          <w:p w14:paraId="1646AEC1">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803" w:type="dxa"/>
            <w:shd w:val="clear" w:color="auto" w:fill="8DB3E2"/>
            <w:noWrap w:val="0"/>
            <w:vAlign w:val="center"/>
          </w:tcPr>
          <w:p w14:paraId="4E0477ED">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511" w:type="dxa"/>
            <w:shd w:val="clear" w:color="auto" w:fill="8DB3E2"/>
            <w:noWrap w:val="0"/>
            <w:vAlign w:val="center"/>
          </w:tcPr>
          <w:p w14:paraId="6E220361">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1049" w:type="dxa"/>
            <w:shd w:val="clear" w:color="auto" w:fill="8DB3E2"/>
            <w:noWrap w:val="0"/>
            <w:vAlign w:val="center"/>
          </w:tcPr>
          <w:p w14:paraId="2EB7B824">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5A07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noWrap w:val="0"/>
            <w:vAlign w:val="center"/>
          </w:tcPr>
          <w:p w14:paraId="4ACB4359">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451" w:type="dxa"/>
            <w:noWrap w:val="0"/>
            <w:vAlign w:val="center"/>
          </w:tcPr>
          <w:p w14:paraId="5EA8562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7475D7D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37BF22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803" w:type="dxa"/>
            <w:noWrap w:val="0"/>
            <w:vAlign w:val="center"/>
          </w:tcPr>
          <w:p w14:paraId="580EFB6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511" w:type="dxa"/>
            <w:noWrap w:val="0"/>
            <w:vAlign w:val="center"/>
          </w:tcPr>
          <w:p w14:paraId="6C24CD5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049" w:type="dxa"/>
            <w:noWrap w:val="0"/>
            <w:vAlign w:val="center"/>
          </w:tcPr>
          <w:p w14:paraId="17ED46F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32632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jc w:val="center"/>
        </w:trPr>
        <w:tc>
          <w:tcPr>
            <w:tcW w:w="1847" w:type="dxa"/>
            <w:vMerge w:val="restart"/>
            <w:noWrap w:val="0"/>
            <w:vAlign w:val="center"/>
          </w:tcPr>
          <w:p w14:paraId="02B687D3">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451" w:type="dxa"/>
            <w:noWrap w:val="0"/>
            <w:vAlign w:val="center"/>
          </w:tcPr>
          <w:p w14:paraId="21025DA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5698D3C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4678CB8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803" w:type="dxa"/>
            <w:noWrap w:val="0"/>
            <w:vAlign w:val="center"/>
          </w:tcPr>
          <w:p w14:paraId="16391BB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11" w:type="dxa"/>
            <w:noWrap w:val="0"/>
            <w:vAlign w:val="center"/>
          </w:tcPr>
          <w:p w14:paraId="128CE6E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49" w:type="dxa"/>
            <w:noWrap w:val="0"/>
            <w:vAlign w:val="center"/>
          </w:tcPr>
          <w:p w14:paraId="6BB05E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95B4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0D48B6AF">
            <w:pPr>
              <w:widowControl/>
              <w:jc w:val="left"/>
              <w:rPr>
                <w:rFonts w:ascii="宋体" w:hAnsi="宋体" w:cs="宋体"/>
                <w:color w:val="auto"/>
                <w:kern w:val="0"/>
                <w:sz w:val="18"/>
                <w:szCs w:val="18"/>
                <w:highlight w:val="none"/>
              </w:rPr>
            </w:pPr>
          </w:p>
        </w:tc>
        <w:tc>
          <w:tcPr>
            <w:tcW w:w="1451" w:type="dxa"/>
            <w:noWrap w:val="0"/>
            <w:vAlign w:val="center"/>
          </w:tcPr>
          <w:p w14:paraId="389F8217">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3F295C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4FBD8F2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803" w:type="dxa"/>
            <w:noWrap w:val="0"/>
            <w:vAlign w:val="center"/>
          </w:tcPr>
          <w:p w14:paraId="2FEBF1F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511" w:type="dxa"/>
            <w:noWrap w:val="0"/>
            <w:vAlign w:val="center"/>
          </w:tcPr>
          <w:p w14:paraId="5967666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049" w:type="dxa"/>
            <w:noWrap w:val="0"/>
            <w:vAlign w:val="center"/>
          </w:tcPr>
          <w:p w14:paraId="00B947F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4A31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2141DCD3">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451" w:type="dxa"/>
            <w:noWrap w:val="0"/>
            <w:vAlign w:val="center"/>
          </w:tcPr>
          <w:p w14:paraId="2D32C07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1B38A68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506ABC2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803" w:type="dxa"/>
            <w:noWrap w:val="0"/>
            <w:vAlign w:val="center"/>
          </w:tcPr>
          <w:p w14:paraId="5771DC0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511" w:type="dxa"/>
            <w:noWrap w:val="0"/>
            <w:vAlign w:val="center"/>
          </w:tcPr>
          <w:p w14:paraId="4A596E0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049" w:type="dxa"/>
            <w:noWrap w:val="0"/>
            <w:vAlign w:val="center"/>
          </w:tcPr>
          <w:p w14:paraId="34A4661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661E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4DDA8994">
            <w:pPr>
              <w:widowControl/>
              <w:jc w:val="left"/>
              <w:rPr>
                <w:rFonts w:ascii="宋体" w:hAnsi="宋体" w:cs="宋体"/>
                <w:color w:val="auto"/>
                <w:kern w:val="0"/>
                <w:sz w:val="18"/>
                <w:szCs w:val="18"/>
                <w:highlight w:val="none"/>
              </w:rPr>
            </w:pPr>
          </w:p>
        </w:tc>
        <w:tc>
          <w:tcPr>
            <w:tcW w:w="1451" w:type="dxa"/>
            <w:noWrap w:val="0"/>
            <w:vAlign w:val="center"/>
          </w:tcPr>
          <w:p w14:paraId="50172340">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50" w:type="dxa"/>
            <w:noWrap w:val="0"/>
            <w:vAlign w:val="center"/>
          </w:tcPr>
          <w:p w14:paraId="69B4EDC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1DD5B32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803" w:type="dxa"/>
            <w:noWrap w:val="0"/>
            <w:vAlign w:val="center"/>
          </w:tcPr>
          <w:p w14:paraId="7660E40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511" w:type="dxa"/>
            <w:noWrap w:val="0"/>
            <w:vAlign w:val="center"/>
          </w:tcPr>
          <w:p w14:paraId="7C280ED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049" w:type="dxa"/>
            <w:noWrap w:val="0"/>
            <w:vAlign w:val="center"/>
          </w:tcPr>
          <w:p w14:paraId="60228C0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7E76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4FE41B9F">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451" w:type="dxa"/>
            <w:noWrap w:val="0"/>
            <w:vAlign w:val="center"/>
          </w:tcPr>
          <w:p w14:paraId="27D8832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6DBEFC9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7F55EE8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803" w:type="dxa"/>
            <w:noWrap w:val="0"/>
            <w:vAlign w:val="center"/>
          </w:tcPr>
          <w:p w14:paraId="611A0D0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511" w:type="dxa"/>
            <w:noWrap w:val="0"/>
            <w:vAlign w:val="center"/>
          </w:tcPr>
          <w:p w14:paraId="7724F50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049" w:type="dxa"/>
            <w:noWrap w:val="0"/>
            <w:vAlign w:val="center"/>
          </w:tcPr>
          <w:p w14:paraId="2884817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1B3B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682C2A1F">
            <w:pPr>
              <w:widowControl/>
              <w:jc w:val="left"/>
              <w:rPr>
                <w:rFonts w:ascii="宋体" w:hAnsi="宋体" w:cs="宋体"/>
                <w:color w:val="auto"/>
                <w:kern w:val="0"/>
                <w:sz w:val="18"/>
                <w:szCs w:val="18"/>
                <w:highlight w:val="none"/>
              </w:rPr>
            </w:pPr>
          </w:p>
        </w:tc>
        <w:tc>
          <w:tcPr>
            <w:tcW w:w="1451" w:type="dxa"/>
            <w:noWrap w:val="0"/>
            <w:vAlign w:val="center"/>
          </w:tcPr>
          <w:p w14:paraId="442D61AE">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6969E77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6DB3266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803" w:type="dxa"/>
            <w:noWrap w:val="0"/>
            <w:vAlign w:val="center"/>
          </w:tcPr>
          <w:p w14:paraId="4E665B7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511" w:type="dxa"/>
            <w:noWrap w:val="0"/>
            <w:vAlign w:val="center"/>
          </w:tcPr>
          <w:p w14:paraId="681C7FAE">
            <w:pPr>
              <w:widowControl/>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049" w:type="dxa"/>
            <w:noWrap w:val="0"/>
            <w:vAlign w:val="center"/>
          </w:tcPr>
          <w:p w14:paraId="24CA985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1765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22C0EA17">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451" w:type="dxa"/>
            <w:noWrap w:val="0"/>
            <w:vAlign w:val="center"/>
          </w:tcPr>
          <w:p w14:paraId="73B3806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220951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7DECE3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803" w:type="dxa"/>
            <w:noWrap w:val="0"/>
            <w:vAlign w:val="center"/>
          </w:tcPr>
          <w:p w14:paraId="32F55D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511" w:type="dxa"/>
            <w:noWrap w:val="0"/>
            <w:vAlign w:val="center"/>
          </w:tcPr>
          <w:p w14:paraId="5C46E13E">
            <w:pPr>
              <w:widowControl/>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1049" w:type="dxa"/>
            <w:noWrap w:val="0"/>
            <w:vAlign w:val="center"/>
          </w:tcPr>
          <w:p w14:paraId="215029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0D7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4D761AC8">
            <w:pPr>
              <w:widowControl/>
              <w:jc w:val="left"/>
              <w:rPr>
                <w:rFonts w:ascii="宋体" w:hAnsi="宋体" w:cs="宋体"/>
                <w:color w:val="auto"/>
                <w:kern w:val="0"/>
                <w:sz w:val="18"/>
                <w:szCs w:val="18"/>
                <w:highlight w:val="none"/>
              </w:rPr>
            </w:pPr>
          </w:p>
        </w:tc>
        <w:tc>
          <w:tcPr>
            <w:tcW w:w="1451" w:type="dxa"/>
            <w:noWrap w:val="0"/>
            <w:vAlign w:val="center"/>
          </w:tcPr>
          <w:p w14:paraId="0C3F02D6">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096D673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671820E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803" w:type="dxa"/>
            <w:noWrap w:val="0"/>
            <w:vAlign w:val="center"/>
          </w:tcPr>
          <w:p w14:paraId="79B51BA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511" w:type="dxa"/>
            <w:noWrap w:val="0"/>
            <w:vAlign w:val="center"/>
          </w:tcPr>
          <w:p w14:paraId="15CBB0F5">
            <w:pPr>
              <w:widowControl/>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049" w:type="dxa"/>
            <w:noWrap w:val="0"/>
            <w:vAlign w:val="center"/>
          </w:tcPr>
          <w:p w14:paraId="0C1EC20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3DD2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7822B39F">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451" w:type="dxa"/>
            <w:noWrap w:val="0"/>
            <w:vAlign w:val="center"/>
          </w:tcPr>
          <w:p w14:paraId="5A6C26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30E1EEF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6C6228E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803" w:type="dxa"/>
            <w:noWrap w:val="0"/>
            <w:vAlign w:val="center"/>
          </w:tcPr>
          <w:p w14:paraId="07DC0BD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11" w:type="dxa"/>
            <w:noWrap w:val="0"/>
            <w:vAlign w:val="center"/>
          </w:tcPr>
          <w:p w14:paraId="72F8A2F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49" w:type="dxa"/>
            <w:noWrap w:val="0"/>
            <w:vAlign w:val="center"/>
          </w:tcPr>
          <w:p w14:paraId="7D58295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F03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72426030">
            <w:pPr>
              <w:widowControl/>
              <w:jc w:val="left"/>
              <w:rPr>
                <w:rFonts w:ascii="宋体" w:hAnsi="宋体" w:cs="宋体"/>
                <w:color w:val="auto"/>
                <w:kern w:val="0"/>
                <w:sz w:val="18"/>
                <w:szCs w:val="18"/>
                <w:highlight w:val="none"/>
              </w:rPr>
            </w:pPr>
          </w:p>
        </w:tc>
        <w:tc>
          <w:tcPr>
            <w:tcW w:w="1451" w:type="dxa"/>
            <w:noWrap w:val="0"/>
            <w:vAlign w:val="center"/>
          </w:tcPr>
          <w:p w14:paraId="14BA7437">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1A60195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0611141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803" w:type="dxa"/>
            <w:noWrap w:val="0"/>
            <w:vAlign w:val="center"/>
          </w:tcPr>
          <w:p w14:paraId="7D0EEDF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511" w:type="dxa"/>
            <w:noWrap w:val="0"/>
            <w:vAlign w:val="center"/>
          </w:tcPr>
          <w:p w14:paraId="1BC8499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049" w:type="dxa"/>
            <w:noWrap w:val="0"/>
            <w:vAlign w:val="center"/>
          </w:tcPr>
          <w:p w14:paraId="30DA1AE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3F5D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3A90DFBE">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451" w:type="dxa"/>
            <w:noWrap w:val="0"/>
            <w:vAlign w:val="center"/>
          </w:tcPr>
          <w:p w14:paraId="230523E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0FB8B11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23EBBED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803" w:type="dxa"/>
            <w:noWrap w:val="0"/>
            <w:vAlign w:val="center"/>
          </w:tcPr>
          <w:p w14:paraId="44044947">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511" w:type="dxa"/>
            <w:noWrap w:val="0"/>
            <w:vAlign w:val="center"/>
          </w:tcPr>
          <w:p w14:paraId="6AB6746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049" w:type="dxa"/>
            <w:noWrap w:val="0"/>
            <w:vAlign w:val="center"/>
          </w:tcPr>
          <w:p w14:paraId="7368709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5BC2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5569FBF8">
            <w:pPr>
              <w:widowControl/>
              <w:jc w:val="left"/>
              <w:rPr>
                <w:rFonts w:ascii="宋体" w:hAnsi="宋体" w:cs="宋体"/>
                <w:color w:val="auto"/>
                <w:kern w:val="0"/>
                <w:sz w:val="18"/>
                <w:szCs w:val="18"/>
                <w:highlight w:val="none"/>
              </w:rPr>
            </w:pPr>
          </w:p>
        </w:tc>
        <w:tc>
          <w:tcPr>
            <w:tcW w:w="1451" w:type="dxa"/>
            <w:noWrap w:val="0"/>
            <w:vAlign w:val="center"/>
          </w:tcPr>
          <w:p w14:paraId="5ADE047F">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618894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219E250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803" w:type="dxa"/>
            <w:noWrap w:val="0"/>
            <w:vAlign w:val="center"/>
          </w:tcPr>
          <w:p w14:paraId="4066F10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511" w:type="dxa"/>
            <w:noWrap w:val="0"/>
            <w:vAlign w:val="center"/>
          </w:tcPr>
          <w:p w14:paraId="3D8C2D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049" w:type="dxa"/>
            <w:noWrap w:val="0"/>
            <w:vAlign w:val="center"/>
          </w:tcPr>
          <w:p w14:paraId="3496FF9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3A2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5AF2D905">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451" w:type="dxa"/>
            <w:noWrap w:val="0"/>
            <w:vAlign w:val="center"/>
          </w:tcPr>
          <w:p w14:paraId="7C81AC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340AB9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6B73B80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803" w:type="dxa"/>
            <w:noWrap w:val="0"/>
            <w:vAlign w:val="center"/>
          </w:tcPr>
          <w:p w14:paraId="69037CC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11" w:type="dxa"/>
            <w:noWrap w:val="0"/>
            <w:vAlign w:val="center"/>
          </w:tcPr>
          <w:p w14:paraId="567C372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49" w:type="dxa"/>
            <w:noWrap w:val="0"/>
            <w:vAlign w:val="center"/>
          </w:tcPr>
          <w:p w14:paraId="3A539E2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24C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69B7630D">
            <w:pPr>
              <w:widowControl/>
              <w:jc w:val="left"/>
              <w:rPr>
                <w:rFonts w:ascii="宋体" w:hAnsi="宋体" w:cs="宋体"/>
                <w:color w:val="auto"/>
                <w:kern w:val="0"/>
                <w:sz w:val="18"/>
                <w:szCs w:val="18"/>
                <w:highlight w:val="none"/>
              </w:rPr>
            </w:pPr>
          </w:p>
        </w:tc>
        <w:tc>
          <w:tcPr>
            <w:tcW w:w="1451" w:type="dxa"/>
            <w:noWrap w:val="0"/>
            <w:vAlign w:val="center"/>
          </w:tcPr>
          <w:p w14:paraId="1B70AF12">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4D2B9F5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1C0B79B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803" w:type="dxa"/>
            <w:noWrap w:val="0"/>
            <w:vAlign w:val="center"/>
          </w:tcPr>
          <w:p w14:paraId="409D2F2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511" w:type="dxa"/>
            <w:noWrap w:val="0"/>
            <w:vAlign w:val="center"/>
          </w:tcPr>
          <w:p w14:paraId="7A3DF3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49" w:type="dxa"/>
            <w:noWrap w:val="0"/>
            <w:vAlign w:val="center"/>
          </w:tcPr>
          <w:p w14:paraId="6539A25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C12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110C2063">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451" w:type="dxa"/>
            <w:noWrap w:val="0"/>
            <w:vAlign w:val="center"/>
          </w:tcPr>
          <w:p w14:paraId="659007E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19C972D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6A65FB7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803" w:type="dxa"/>
            <w:noWrap w:val="0"/>
            <w:vAlign w:val="center"/>
          </w:tcPr>
          <w:p w14:paraId="11DCBC9C">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11" w:type="dxa"/>
            <w:noWrap w:val="0"/>
            <w:vAlign w:val="center"/>
          </w:tcPr>
          <w:p w14:paraId="35BF0AF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9" w:type="dxa"/>
            <w:noWrap w:val="0"/>
            <w:vAlign w:val="center"/>
          </w:tcPr>
          <w:p w14:paraId="50EAA7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F6B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2549F315">
            <w:pPr>
              <w:widowControl/>
              <w:jc w:val="left"/>
              <w:rPr>
                <w:rFonts w:ascii="宋体" w:hAnsi="宋体" w:cs="宋体"/>
                <w:color w:val="auto"/>
                <w:kern w:val="0"/>
                <w:sz w:val="18"/>
                <w:szCs w:val="18"/>
                <w:highlight w:val="none"/>
              </w:rPr>
            </w:pPr>
          </w:p>
        </w:tc>
        <w:tc>
          <w:tcPr>
            <w:tcW w:w="1451" w:type="dxa"/>
            <w:noWrap w:val="0"/>
            <w:vAlign w:val="center"/>
          </w:tcPr>
          <w:p w14:paraId="6AFD1499">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174DBD7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52C7CDD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803" w:type="dxa"/>
            <w:noWrap w:val="0"/>
            <w:vAlign w:val="center"/>
          </w:tcPr>
          <w:p w14:paraId="6D8DE1C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511" w:type="dxa"/>
            <w:noWrap w:val="0"/>
            <w:vAlign w:val="center"/>
          </w:tcPr>
          <w:p w14:paraId="721BB51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49" w:type="dxa"/>
            <w:noWrap w:val="0"/>
            <w:vAlign w:val="center"/>
          </w:tcPr>
          <w:p w14:paraId="63ABB01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148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23C569E9">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451" w:type="dxa"/>
            <w:noWrap w:val="0"/>
            <w:vAlign w:val="center"/>
          </w:tcPr>
          <w:p w14:paraId="0A88F7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232BB4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5ED426F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803" w:type="dxa"/>
            <w:noWrap w:val="0"/>
            <w:vAlign w:val="center"/>
          </w:tcPr>
          <w:p w14:paraId="290E295F">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511" w:type="dxa"/>
            <w:noWrap w:val="0"/>
            <w:vAlign w:val="center"/>
          </w:tcPr>
          <w:p w14:paraId="5D7B93F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9" w:type="dxa"/>
            <w:noWrap w:val="0"/>
            <w:vAlign w:val="center"/>
          </w:tcPr>
          <w:p w14:paraId="36C6767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1C2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78DB03A1">
            <w:pPr>
              <w:widowControl/>
              <w:jc w:val="left"/>
              <w:rPr>
                <w:rFonts w:ascii="宋体" w:hAnsi="宋体" w:cs="宋体"/>
                <w:color w:val="auto"/>
                <w:kern w:val="0"/>
                <w:sz w:val="18"/>
                <w:szCs w:val="18"/>
                <w:highlight w:val="none"/>
              </w:rPr>
            </w:pPr>
          </w:p>
        </w:tc>
        <w:tc>
          <w:tcPr>
            <w:tcW w:w="1451" w:type="dxa"/>
            <w:noWrap w:val="0"/>
            <w:vAlign w:val="center"/>
          </w:tcPr>
          <w:p w14:paraId="46DA0585">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652CEE1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6578ED7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803" w:type="dxa"/>
            <w:noWrap w:val="0"/>
            <w:vAlign w:val="center"/>
          </w:tcPr>
          <w:p w14:paraId="4A39ACA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511" w:type="dxa"/>
            <w:noWrap w:val="0"/>
            <w:vAlign w:val="center"/>
          </w:tcPr>
          <w:p w14:paraId="05C46C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49" w:type="dxa"/>
            <w:noWrap w:val="0"/>
            <w:vAlign w:val="center"/>
          </w:tcPr>
          <w:p w14:paraId="37BD0EC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8CE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47F93AE7">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451" w:type="dxa"/>
            <w:noWrap w:val="0"/>
            <w:vAlign w:val="center"/>
          </w:tcPr>
          <w:p w14:paraId="5685051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65E0835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7CC716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803" w:type="dxa"/>
            <w:noWrap w:val="0"/>
            <w:vAlign w:val="center"/>
          </w:tcPr>
          <w:p w14:paraId="0B7000D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511" w:type="dxa"/>
            <w:noWrap w:val="0"/>
            <w:vAlign w:val="center"/>
          </w:tcPr>
          <w:p w14:paraId="3FCD179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9" w:type="dxa"/>
            <w:noWrap w:val="0"/>
            <w:vAlign w:val="center"/>
          </w:tcPr>
          <w:p w14:paraId="4F43DF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E44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042BD2D6">
            <w:pPr>
              <w:widowControl/>
              <w:jc w:val="left"/>
              <w:rPr>
                <w:rFonts w:ascii="宋体" w:hAnsi="宋体" w:cs="宋体"/>
                <w:color w:val="auto"/>
                <w:kern w:val="0"/>
                <w:sz w:val="18"/>
                <w:szCs w:val="18"/>
                <w:highlight w:val="none"/>
              </w:rPr>
            </w:pPr>
          </w:p>
        </w:tc>
        <w:tc>
          <w:tcPr>
            <w:tcW w:w="1451" w:type="dxa"/>
            <w:noWrap w:val="0"/>
            <w:vAlign w:val="center"/>
          </w:tcPr>
          <w:p w14:paraId="5193BDE2">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4E1624D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274CB4E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803" w:type="dxa"/>
            <w:noWrap w:val="0"/>
            <w:vAlign w:val="center"/>
          </w:tcPr>
          <w:p w14:paraId="0E8330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511" w:type="dxa"/>
            <w:noWrap w:val="0"/>
            <w:vAlign w:val="center"/>
          </w:tcPr>
          <w:p w14:paraId="72297F6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049" w:type="dxa"/>
            <w:noWrap w:val="0"/>
            <w:vAlign w:val="center"/>
          </w:tcPr>
          <w:p w14:paraId="19C8F38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426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noWrap w:val="0"/>
            <w:vAlign w:val="center"/>
          </w:tcPr>
          <w:p w14:paraId="00683E0C">
            <w:pPr>
              <w:widowControl/>
              <w:spacing w:line="240" w:lineRule="exact"/>
              <w:jc w:val="left"/>
              <w:rPr>
                <w:rFonts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451" w:type="dxa"/>
            <w:noWrap w:val="0"/>
            <w:vAlign w:val="center"/>
          </w:tcPr>
          <w:p w14:paraId="213E087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467B6D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604FF2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803" w:type="dxa"/>
            <w:noWrap w:val="0"/>
            <w:vAlign w:val="center"/>
          </w:tcPr>
          <w:p w14:paraId="62F0F9A9">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511" w:type="dxa"/>
            <w:noWrap w:val="0"/>
            <w:vAlign w:val="center"/>
          </w:tcPr>
          <w:p w14:paraId="5C10F7C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9" w:type="dxa"/>
            <w:noWrap w:val="0"/>
            <w:vAlign w:val="center"/>
          </w:tcPr>
          <w:p w14:paraId="3CDD909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D42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noWrap w:val="0"/>
            <w:vAlign w:val="center"/>
          </w:tcPr>
          <w:p w14:paraId="138E42CE">
            <w:pPr>
              <w:widowControl/>
              <w:jc w:val="left"/>
              <w:rPr>
                <w:rFonts w:ascii="宋体" w:hAnsi="宋体" w:cs="宋体"/>
                <w:color w:val="auto"/>
                <w:spacing w:val="-12"/>
                <w:kern w:val="0"/>
                <w:sz w:val="18"/>
                <w:szCs w:val="18"/>
                <w:highlight w:val="none"/>
              </w:rPr>
            </w:pPr>
          </w:p>
        </w:tc>
        <w:tc>
          <w:tcPr>
            <w:tcW w:w="1451" w:type="dxa"/>
            <w:noWrap w:val="0"/>
            <w:vAlign w:val="center"/>
          </w:tcPr>
          <w:p w14:paraId="73002F5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1CBBCB3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0BDD27B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803" w:type="dxa"/>
            <w:noWrap w:val="0"/>
            <w:vAlign w:val="center"/>
          </w:tcPr>
          <w:p w14:paraId="7224CB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511" w:type="dxa"/>
            <w:noWrap w:val="0"/>
            <w:vAlign w:val="center"/>
          </w:tcPr>
          <w:p w14:paraId="20D48D6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049" w:type="dxa"/>
            <w:noWrap w:val="0"/>
            <w:vAlign w:val="center"/>
          </w:tcPr>
          <w:p w14:paraId="29144C5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28BE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noWrap w:val="0"/>
            <w:vAlign w:val="center"/>
          </w:tcPr>
          <w:p w14:paraId="27F25667">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451" w:type="dxa"/>
            <w:noWrap w:val="0"/>
            <w:vAlign w:val="center"/>
          </w:tcPr>
          <w:p w14:paraId="2A41C3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1A0B66A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0AF6A39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803" w:type="dxa"/>
            <w:noWrap w:val="0"/>
            <w:vAlign w:val="center"/>
          </w:tcPr>
          <w:p w14:paraId="2576516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511" w:type="dxa"/>
            <w:noWrap w:val="0"/>
            <w:vAlign w:val="center"/>
          </w:tcPr>
          <w:p w14:paraId="35F01A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049" w:type="dxa"/>
            <w:noWrap w:val="0"/>
            <w:vAlign w:val="center"/>
          </w:tcPr>
          <w:p w14:paraId="170550A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230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noWrap w:val="0"/>
            <w:vAlign w:val="center"/>
          </w:tcPr>
          <w:p w14:paraId="6EB70716">
            <w:pPr>
              <w:widowControl/>
              <w:jc w:val="left"/>
              <w:rPr>
                <w:rFonts w:ascii="宋体" w:hAnsi="宋体" w:cs="宋体"/>
                <w:color w:val="auto"/>
                <w:kern w:val="0"/>
                <w:sz w:val="18"/>
                <w:szCs w:val="18"/>
                <w:highlight w:val="none"/>
              </w:rPr>
            </w:pPr>
          </w:p>
        </w:tc>
        <w:tc>
          <w:tcPr>
            <w:tcW w:w="1451" w:type="dxa"/>
            <w:noWrap w:val="0"/>
            <w:vAlign w:val="center"/>
          </w:tcPr>
          <w:p w14:paraId="2A7A7D7F">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50" w:type="dxa"/>
            <w:noWrap w:val="0"/>
            <w:vAlign w:val="center"/>
          </w:tcPr>
          <w:p w14:paraId="678DA83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1C68FE1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803" w:type="dxa"/>
            <w:noWrap w:val="0"/>
            <w:vAlign w:val="center"/>
          </w:tcPr>
          <w:p w14:paraId="7612293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511" w:type="dxa"/>
            <w:noWrap w:val="0"/>
            <w:vAlign w:val="center"/>
          </w:tcPr>
          <w:p w14:paraId="172BD85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2000≤Z＜5000</w:t>
            </w:r>
          </w:p>
        </w:tc>
        <w:tc>
          <w:tcPr>
            <w:tcW w:w="1049" w:type="dxa"/>
            <w:noWrap w:val="0"/>
            <w:vAlign w:val="center"/>
          </w:tcPr>
          <w:p w14:paraId="5A7F8AF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14:paraId="12DB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noWrap w:val="0"/>
            <w:vAlign w:val="center"/>
          </w:tcPr>
          <w:p w14:paraId="74EC0B65">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451" w:type="dxa"/>
            <w:noWrap w:val="0"/>
            <w:vAlign w:val="center"/>
          </w:tcPr>
          <w:p w14:paraId="3088133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5F0852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020AAEA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803" w:type="dxa"/>
            <w:noWrap w:val="0"/>
            <w:vAlign w:val="center"/>
          </w:tcPr>
          <w:p w14:paraId="730F09B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11" w:type="dxa"/>
            <w:noWrap w:val="0"/>
            <w:vAlign w:val="center"/>
          </w:tcPr>
          <w:p w14:paraId="5DFD624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049" w:type="dxa"/>
            <w:noWrap w:val="0"/>
            <w:vAlign w:val="center"/>
          </w:tcPr>
          <w:p w14:paraId="4199E33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5259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noWrap w:val="0"/>
            <w:vAlign w:val="center"/>
          </w:tcPr>
          <w:p w14:paraId="013B26B5">
            <w:pPr>
              <w:widowControl/>
              <w:jc w:val="left"/>
              <w:rPr>
                <w:rFonts w:ascii="宋体" w:hAnsi="宋体" w:cs="宋体"/>
                <w:color w:val="auto"/>
                <w:kern w:val="0"/>
                <w:sz w:val="18"/>
                <w:szCs w:val="18"/>
                <w:highlight w:val="none"/>
              </w:rPr>
            </w:pPr>
          </w:p>
        </w:tc>
        <w:tc>
          <w:tcPr>
            <w:tcW w:w="1451" w:type="dxa"/>
            <w:noWrap w:val="0"/>
            <w:vAlign w:val="center"/>
          </w:tcPr>
          <w:p w14:paraId="08CEA735">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0E76286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76C3B36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803" w:type="dxa"/>
            <w:noWrap w:val="0"/>
            <w:vAlign w:val="center"/>
          </w:tcPr>
          <w:p w14:paraId="51098067">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511" w:type="dxa"/>
            <w:noWrap w:val="0"/>
            <w:vAlign w:val="center"/>
          </w:tcPr>
          <w:p w14:paraId="39D92DC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049" w:type="dxa"/>
            <w:noWrap w:val="0"/>
            <w:vAlign w:val="center"/>
          </w:tcPr>
          <w:p w14:paraId="683F6AF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4B42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noWrap w:val="0"/>
            <w:vAlign w:val="center"/>
          </w:tcPr>
          <w:p w14:paraId="0BB36200">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451" w:type="dxa"/>
            <w:noWrap w:val="0"/>
            <w:vAlign w:val="center"/>
          </w:tcPr>
          <w:p w14:paraId="03E542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158F704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3AC6492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803" w:type="dxa"/>
            <w:noWrap w:val="0"/>
            <w:vAlign w:val="center"/>
          </w:tcPr>
          <w:p w14:paraId="184E5272">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11" w:type="dxa"/>
            <w:noWrap w:val="0"/>
            <w:vAlign w:val="center"/>
          </w:tcPr>
          <w:p w14:paraId="4B09171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9" w:type="dxa"/>
            <w:noWrap w:val="0"/>
            <w:vAlign w:val="center"/>
          </w:tcPr>
          <w:p w14:paraId="4329F59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435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noWrap w:val="0"/>
            <w:vAlign w:val="center"/>
          </w:tcPr>
          <w:p w14:paraId="301F44EB">
            <w:pPr>
              <w:widowControl/>
              <w:jc w:val="left"/>
              <w:rPr>
                <w:rFonts w:ascii="宋体" w:hAnsi="宋体" w:cs="宋体"/>
                <w:color w:val="auto"/>
                <w:kern w:val="0"/>
                <w:sz w:val="18"/>
                <w:szCs w:val="18"/>
                <w:highlight w:val="none"/>
              </w:rPr>
            </w:pPr>
          </w:p>
        </w:tc>
        <w:tc>
          <w:tcPr>
            <w:tcW w:w="1451" w:type="dxa"/>
            <w:noWrap w:val="0"/>
            <w:vAlign w:val="center"/>
          </w:tcPr>
          <w:p w14:paraId="72EB8181">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50" w:type="dxa"/>
            <w:noWrap w:val="0"/>
            <w:vAlign w:val="center"/>
          </w:tcPr>
          <w:p w14:paraId="6DFE337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47DFA5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803" w:type="dxa"/>
            <w:noWrap w:val="0"/>
            <w:vAlign w:val="center"/>
          </w:tcPr>
          <w:p w14:paraId="300FA40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511" w:type="dxa"/>
            <w:noWrap w:val="0"/>
            <w:vAlign w:val="center"/>
          </w:tcPr>
          <w:p w14:paraId="60D26AE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049" w:type="dxa"/>
            <w:noWrap w:val="0"/>
            <w:vAlign w:val="center"/>
          </w:tcPr>
          <w:p w14:paraId="0E8C281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14:paraId="0FCF1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noWrap w:val="0"/>
            <w:vAlign w:val="center"/>
          </w:tcPr>
          <w:p w14:paraId="370593DF">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451" w:type="dxa"/>
            <w:noWrap w:val="0"/>
            <w:vAlign w:val="center"/>
          </w:tcPr>
          <w:p w14:paraId="573F793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3CE5CFE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0C3B695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803" w:type="dxa"/>
            <w:noWrap w:val="0"/>
            <w:vAlign w:val="center"/>
          </w:tcPr>
          <w:p w14:paraId="099F006E">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11" w:type="dxa"/>
            <w:noWrap w:val="0"/>
            <w:vAlign w:val="center"/>
          </w:tcPr>
          <w:p w14:paraId="606531D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9" w:type="dxa"/>
            <w:noWrap w:val="0"/>
            <w:vAlign w:val="center"/>
          </w:tcPr>
          <w:p w14:paraId="724FC5E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0D3C97C4">
      <w:pPr>
        <w:widowControl/>
        <w:spacing w:line="540" w:lineRule="exact"/>
        <w:rPr>
          <w:rFonts w:hint="eastAsia" w:ascii="宋体" w:hAnsi="宋体" w:cs="宋体"/>
          <w:color w:val="auto"/>
          <w:spacing w:val="8"/>
          <w:kern w:val="0"/>
          <w:sz w:val="24"/>
          <w:highlight w:val="none"/>
        </w:rPr>
      </w:pPr>
    </w:p>
    <w:p w14:paraId="2F441C13">
      <w:pPr>
        <w:widowControl/>
        <w:spacing w:line="540" w:lineRule="exact"/>
        <w:rPr>
          <w:rFonts w:ascii="宋体" w:hAnsi="宋体" w:cs="宋体"/>
          <w:color w:val="auto"/>
          <w:spacing w:val="8"/>
          <w:kern w:val="0"/>
          <w:sz w:val="24"/>
          <w:highlight w:val="none"/>
        </w:rPr>
      </w:pPr>
      <w:r>
        <w:rPr>
          <w:rFonts w:hint="eastAsia" w:ascii="宋体" w:hAnsi="宋体" w:cs="宋体"/>
          <w:color w:val="auto"/>
          <w:spacing w:val="8"/>
          <w:kern w:val="0"/>
          <w:sz w:val="24"/>
          <w:highlight w:val="none"/>
        </w:rPr>
        <w:t>说明：</w:t>
      </w:r>
    </w:p>
    <w:p w14:paraId="78BF1749">
      <w:pPr>
        <w:pStyle w:val="28"/>
        <w:adjustRightInd w:val="0"/>
        <w:spacing w:line="380" w:lineRule="exact"/>
        <w:ind w:firstLine="512" w:firstLineChars="200"/>
        <w:contextualSpacing/>
        <w:rPr>
          <w:rFonts w:hAnsi="宋体" w:cs="宋体"/>
          <w:color w:val="auto"/>
          <w:spacing w:val="8"/>
          <w:kern w:val="0"/>
          <w:sz w:val="24"/>
          <w:szCs w:val="24"/>
          <w:highlight w:val="none"/>
        </w:rPr>
      </w:pPr>
      <w:r>
        <w:rPr>
          <w:rFonts w:hint="eastAsia" w:hAnsi="宋体" w:cs="宋体"/>
          <w:color w:val="auto"/>
          <w:spacing w:val="8"/>
          <w:kern w:val="0"/>
          <w:sz w:val="24"/>
          <w:szCs w:val="24"/>
          <w:highlight w:val="none"/>
        </w:rPr>
        <w:t>1.大型、中型和小型企业须同时满足所列指标的下限，否则下划一档；微型企业只须满足所列指标中的一项即可。</w:t>
      </w:r>
    </w:p>
    <w:p w14:paraId="51B96F69">
      <w:pPr>
        <w:pStyle w:val="28"/>
        <w:adjustRightInd w:val="0"/>
        <w:spacing w:line="380" w:lineRule="exact"/>
        <w:ind w:firstLine="512" w:firstLineChars="200"/>
        <w:contextualSpacing/>
        <w:rPr>
          <w:rFonts w:hAnsi="宋体" w:cs="宋体"/>
          <w:color w:val="auto"/>
          <w:spacing w:val="8"/>
          <w:kern w:val="0"/>
          <w:sz w:val="24"/>
          <w:szCs w:val="24"/>
          <w:highlight w:val="none"/>
        </w:rPr>
      </w:pPr>
      <w:r>
        <w:rPr>
          <w:rFonts w:hint="eastAsia" w:hAnsi="宋体" w:cs="宋体"/>
          <w:color w:val="auto"/>
          <w:spacing w:val="8"/>
          <w:kern w:val="0"/>
          <w:sz w:val="24"/>
          <w:szCs w:val="24"/>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098EEA5">
      <w:pPr>
        <w:pStyle w:val="28"/>
        <w:adjustRightInd w:val="0"/>
        <w:spacing w:line="380" w:lineRule="exact"/>
        <w:ind w:firstLine="512" w:firstLineChars="200"/>
        <w:contextualSpacing/>
        <w:rPr>
          <w:rFonts w:hAnsi="宋体" w:cs="宋体"/>
          <w:bCs/>
          <w:color w:val="auto"/>
          <w:highlight w:val="none"/>
        </w:rPr>
      </w:pPr>
      <w:r>
        <w:rPr>
          <w:rFonts w:hint="eastAsia" w:hAnsi="宋体" w:cs="宋体"/>
          <w:color w:val="auto"/>
          <w:spacing w:val="8"/>
          <w:kern w:val="0"/>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584680E">
      <w:pPr>
        <w:spacing w:line="240" w:lineRule="auto"/>
        <w:rPr>
          <w:rFonts w:hint="eastAsia" w:ascii="宋体" w:hAnsi="宋体" w:eastAsia="宋体" w:cs="宋体"/>
          <w:b/>
          <w:bCs/>
          <w:iCs/>
          <w:color w:val="auto"/>
          <w:kern w:val="2"/>
          <w:sz w:val="24"/>
          <w:szCs w:val="24"/>
          <w:highlight w:val="none"/>
          <w:lang w:val="en-US" w:eastAsia="zh-CN" w:bidi="ar-SA"/>
        </w:rPr>
      </w:pPr>
    </w:p>
    <w:p w14:paraId="70C3AFD5">
      <w:pPr>
        <w:rPr>
          <w:rFonts w:hint="eastAsia" w:ascii="宋体" w:hAnsi="宋体" w:cs="宋体"/>
          <w:b/>
          <w:color w:val="auto"/>
          <w:kern w:val="0"/>
          <w:sz w:val="24"/>
          <w:szCs w:val="24"/>
          <w:highlight w:val="none"/>
          <w:lang w:eastAsia="zh-CN"/>
        </w:rPr>
      </w:pPr>
      <w:bookmarkStart w:id="1890" w:name="_Toc13328"/>
      <w:bookmarkStart w:id="1891" w:name="_Toc20905"/>
      <w:bookmarkStart w:id="1892" w:name="_Toc15783"/>
      <w:bookmarkStart w:id="1893" w:name="_Toc7068"/>
      <w:bookmarkStart w:id="1894" w:name="OLE_LINK13"/>
      <w:bookmarkStart w:id="1895" w:name="OLE_LINK14"/>
      <w:r>
        <w:rPr>
          <w:rFonts w:hint="eastAsia" w:ascii="宋体" w:hAnsi="宋体" w:cs="宋体"/>
          <w:b/>
          <w:color w:val="auto"/>
          <w:kern w:val="0"/>
          <w:sz w:val="24"/>
          <w:szCs w:val="24"/>
          <w:highlight w:val="none"/>
          <w:lang w:eastAsia="zh-CN"/>
        </w:rPr>
        <w:br w:type="page"/>
      </w:r>
    </w:p>
    <w:p w14:paraId="5DCD6DBF">
      <w:pPr>
        <w:spacing w:line="588" w:lineRule="exact"/>
        <w:jc w:val="center"/>
        <w:outlineLvl w:val="1"/>
        <w:rPr>
          <w:rFonts w:hint="eastAsia" w:ascii="宋体" w:hAnsi="宋体" w:eastAsia="宋体" w:cs="宋体"/>
          <w:b/>
          <w:color w:val="auto"/>
          <w:kern w:val="0"/>
          <w:sz w:val="24"/>
          <w:szCs w:val="24"/>
          <w:highlight w:val="none"/>
        </w:rPr>
      </w:pPr>
      <w:bookmarkStart w:id="1896" w:name="_Toc2170"/>
      <w:r>
        <w:rPr>
          <w:rFonts w:hint="eastAsia" w:ascii="宋体" w:hAnsi="宋体" w:cs="宋体"/>
          <w:b/>
          <w:color w:val="auto"/>
          <w:kern w:val="0"/>
          <w:sz w:val="24"/>
          <w:szCs w:val="24"/>
          <w:highlight w:val="none"/>
          <w:lang w:eastAsia="zh-CN"/>
        </w:rPr>
        <w:t>（</w:t>
      </w:r>
      <w:r>
        <w:rPr>
          <w:rFonts w:hint="eastAsia" w:ascii="宋体" w:hAnsi="宋体" w:cs="宋体"/>
          <w:b/>
          <w:color w:val="auto"/>
          <w:kern w:val="0"/>
          <w:sz w:val="24"/>
          <w:szCs w:val="24"/>
          <w:highlight w:val="none"/>
          <w:lang w:val="en-US" w:eastAsia="zh-CN"/>
        </w:rPr>
        <w:t>2</w:t>
      </w:r>
      <w:r>
        <w:rPr>
          <w:rFonts w:hint="eastAsia" w:ascii="宋体" w:hAnsi="宋体" w:cs="宋体"/>
          <w:b/>
          <w:color w:val="auto"/>
          <w:kern w:val="0"/>
          <w:sz w:val="24"/>
          <w:szCs w:val="24"/>
          <w:highlight w:val="none"/>
          <w:lang w:eastAsia="zh-CN"/>
        </w:rPr>
        <w:t>）</w:t>
      </w:r>
      <w:r>
        <w:rPr>
          <w:rFonts w:hint="eastAsia" w:ascii="宋体" w:hAnsi="宋体" w:eastAsia="宋体" w:cs="宋体"/>
          <w:b/>
          <w:color w:val="auto"/>
          <w:kern w:val="0"/>
          <w:sz w:val="24"/>
          <w:szCs w:val="24"/>
          <w:highlight w:val="none"/>
        </w:rPr>
        <w:t>残疾人福利性单位声明函（格式）</w:t>
      </w:r>
      <w:bookmarkEnd w:id="1890"/>
      <w:bookmarkEnd w:id="1891"/>
      <w:bookmarkEnd w:id="1892"/>
      <w:bookmarkEnd w:id="1893"/>
      <w:bookmarkEnd w:id="1896"/>
    </w:p>
    <w:bookmarkEnd w:id="1894"/>
    <w:bookmarkEnd w:id="1895"/>
    <w:p w14:paraId="382B7879">
      <w:pPr>
        <w:spacing w:line="588" w:lineRule="exact"/>
        <w:rPr>
          <w:rFonts w:hint="eastAsia" w:ascii="宋体" w:hAnsi="宋体" w:eastAsia="宋体" w:cs="宋体"/>
          <w:b/>
          <w:color w:val="auto"/>
          <w:kern w:val="0"/>
          <w:sz w:val="21"/>
          <w:szCs w:val="21"/>
          <w:highlight w:val="none"/>
        </w:rPr>
      </w:pPr>
    </w:p>
    <w:p w14:paraId="4DE56261">
      <w:pPr>
        <w:spacing w:line="588"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FFC8342">
      <w:pPr>
        <w:spacing w:line="588"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本单位对上述声明的真实性负责。如有虚假，将依法承担相应责任。</w:t>
      </w:r>
    </w:p>
    <w:p w14:paraId="674BBDA9">
      <w:pPr>
        <w:spacing w:line="588" w:lineRule="exact"/>
        <w:ind w:firstLine="420" w:firstLineChars="200"/>
        <w:rPr>
          <w:rFonts w:hint="eastAsia" w:ascii="宋体" w:hAnsi="宋体" w:eastAsia="宋体" w:cs="宋体"/>
          <w:color w:val="auto"/>
          <w:kern w:val="0"/>
          <w:sz w:val="21"/>
          <w:szCs w:val="21"/>
          <w:highlight w:val="none"/>
        </w:rPr>
      </w:pPr>
    </w:p>
    <w:p w14:paraId="56E62FE8">
      <w:pPr>
        <w:widowControl/>
        <w:ind w:firstLine="2310" w:firstLineChars="1100"/>
        <w:jc w:val="left"/>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75755AC5">
      <w:pPr>
        <w:widowControl w:val="0"/>
        <w:spacing w:line="300" w:lineRule="exact"/>
        <w:ind w:left="2940" w:leftChars="1400" w:firstLine="630" w:firstLineChars="300"/>
        <w:jc w:val="both"/>
        <w:rPr>
          <w:rFonts w:hint="eastAsia" w:ascii="宋体" w:hAnsi="宋体" w:eastAsia="宋体" w:cs="宋体"/>
          <w:color w:val="auto"/>
          <w:kern w:val="2"/>
          <w:sz w:val="21"/>
          <w:szCs w:val="22"/>
          <w:highlight w:val="none"/>
          <w:lang w:val="en-US" w:eastAsia="zh-CN" w:bidi="ar-SA"/>
        </w:rPr>
      </w:pPr>
    </w:p>
    <w:p w14:paraId="04C3C076">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420" w:leftChars="0"/>
        <w:jc w:val="center"/>
        <w:textAlignment w:val="auto"/>
        <w:rPr>
          <w:rFonts w:hint="eastAsia" w:ascii="Times New Roman" w:hAnsi="Times New Roman" w:cs="Times New Roman"/>
          <w:color w:val="auto"/>
          <w:highlight w:val="non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2015C5DD">
      <w:pPr>
        <w:numPr>
          <w:ilvl w:val="0"/>
          <w:numId w:val="0"/>
        </w:numPr>
        <w:jc w:val="both"/>
        <w:rPr>
          <w:rFonts w:hint="eastAsia" w:ascii="宋体" w:hAnsi="宋体" w:cs="宋体"/>
          <w:b/>
          <w:bCs/>
          <w:color w:val="auto"/>
          <w:sz w:val="32"/>
          <w:szCs w:val="32"/>
          <w:highlight w:val="none"/>
          <w:lang w:eastAsia="zh-CN"/>
        </w:rPr>
      </w:pPr>
    </w:p>
    <w:p w14:paraId="422E11E9">
      <w:pPr>
        <w:numPr>
          <w:ilvl w:val="0"/>
          <w:numId w:val="0"/>
        </w:numPr>
        <w:jc w:val="both"/>
        <w:rPr>
          <w:rFonts w:hint="eastAsia" w:ascii="宋体" w:hAnsi="宋体" w:cs="宋体"/>
          <w:b/>
          <w:bCs/>
          <w:color w:val="auto"/>
          <w:sz w:val="32"/>
          <w:szCs w:val="32"/>
          <w:highlight w:val="none"/>
          <w:lang w:eastAsia="zh-CN"/>
        </w:rPr>
      </w:pPr>
    </w:p>
    <w:p w14:paraId="72B05937">
      <w:pPr>
        <w:numPr>
          <w:ilvl w:val="0"/>
          <w:numId w:val="0"/>
        </w:numPr>
        <w:jc w:val="both"/>
        <w:rPr>
          <w:rFonts w:hint="eastAsia" w:ascii="宋体" w:hAnsi="宋体" w:cs="宋体"/>
          <w:b/>
          <w:bCs/>
          <w:color w:val="auto"/>
          <w:sz w:val="32"/>
          <w:szCs w:val="32"/>
          <w:highlight w:val="none"/>
          <w:lang w:eastAsia="zh-CN"/>
        </w:rPr>
      </w:pPr>
      <w:r>
        <w:rPr>
          <w:rFonts w:hint="eastAsia" w:ascii="宋体" w:hAnsi="宋体" w:eastAsia="宋体" w:cs="宋体"/>
          <w:b/>
          <w:color w:val="auto"/>
          <w:kern w:val="0"/>
          <w:sz w:val="21"/>
          <w:szCs w:val="21"/>
          <w:highlight w:val="none"/>
          <w:lang w:val="en-US" w:eastAsia="zh-CN" w:bidi="ar-SA"/>
        </w:rPr>
        <w:t>注：符合条件的残疾人福利性单位在参加政府采购活动时，应当提供《残疾人福利性单位声明函》，并对声明的真实性负责，成交结果将同时公告企业《残疾人福利性单位声明函》，接受社会监督】</w:t>
      </w:r>
    </w:p>
    <w:p w14:paraId="0613F78F">
      <w:pPr>
        <w:numPr>
          <w:ilvl w:val="0"/>
          <w:numId w:val="0"/>
        </w:numPr>
        <w:jc w:val="both"/>
        <w:rPr>
          <w:rFonts w:hint="eastAsia" w:ascii="宋体" w:hAnsi="宋体" w:cs="宋体"/>
          <w:b/>
          <w:bCs/>
          <w:color w:val="auto"/>
          <w:sz w:val="32"/>
          <w:szCs w:val="32"/>
          <w:highlight w:val="none"/>
          <w:lang w:eastAsia="zh-CN"/>
        </w:rPr>
      </w:pPr>
    </w:p>
    <w:p w14:paraId="30E23CB3">
      <w:pPr>
        <w:numPr>
          <w:ilvl w:val="0"/>
          <w:numId w:val="0"/>
        </w:numPr>
        <w:ind w:left="420" w:leftChars="0"/>
        <w:jc w:val="center"/>
        <w:outlineLvl w:val="1"/>
        <w:rPr>
          <w:rFonts w:hint="eastAsia" w:ascii="宋体" w:hAnsi="宋体" w:eastAsia="宋体" w:cs="宋体"/>
          <w:b/>
          <w:bCs/>
          <w:color w:val="auto"/>
          <w:sz w:val="32"/>
          <w:szCs w:val="32"/>
          <w:highlight w:val="none"/>
        </w:rPr>
      </w:pPr>
      <w:r>
        <w:rPr>
          <w:rFonts w:hint="eastAsia" w:ascii="宋体" w:hAnsi="宋体" w:cs="宋体"/>
          <w:b/>
          <w:bCs/>
          <w:color w:val="auto"/>
          <w:sz w:val="32"/>
          <w:szCs w:val="32"/>
          <w:highlight w:val="none"/>
          <w:lang w:eastAsia="zh-CN"/>
        </w:rPr>
        <w:br w:type="page"/>
      </w:r>
      <w:bookmarkStart w:id="1897" w:name="_Toc22183"/>
      <w:r>
        <w:rPr>
          <w:rFonts w:hint="eastAsia" w:ascii="宋体" w:hAnsi="宋体" w:cs="宋体"/>
          <w:b/>
          <w:bCs/>
          <w:color w:val="auto"/>
          <w:sz w:val="32"/>
          <w:szCs w:val="32"/>
          <w:highlight w:val="none"/>
          <w:lang w:eastAsia="zh-CN"/>
        </w:rPr>
        <w:t>（二）</w:t>
      </w:r>
      <w:r>
        <w:rPr>
          <w:rFonts w:hint="eastAsia" w:ascii="宋体" w:hAnsi="宋体" w:eastAsia="宋体" w:cs="宋体"/>
          <w:b/>
          <w:bCs/>
          <w:color w:val="auto"/>
          <w:sz w:val="32"/>
          <w:szCs w:val="32"/>
          <w:highlight w:val="none"/>
        </w:rPr>
        <w:t>符合性响应证明材料目录</w:t>
      </w:r>
      <w:bookmarkEnd w:id="1897"/>
    </w:p>
    <w:p w14:paraId="1294BF59">
      <w:pPr>
        <w:numPr>
          <w:ilvl w:val="0"/>
          <w:numId w:val="0"/>
        </w:numPr>
        <w:spacing w:line="360" w:lineRule="auto"/>
        <w:ind w:left="420" w:leftChars="0"/>
        <w:rPr>
          <w:rFonts w:hint="eastAsia" w:ascii="宋体" w:hAnsi="宋体" w:eastAsia="宋体" w:cs="宋体"/>
          <w:b w:val="0"/>
          <w:bCs w:val="0"/>
          <w:color w:val="auto"/>
          <w:sz w:val="24"/>
          <w:highlight w:val="none"/>
          <w:lang w:val="en-US" w:eastAsia="zh-CN"/>
        </w:rPr>
      </w:pPr>
    </w:p>
    <w:p w14:paraId="7C1816F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eastAsia="zh-CN"/>
        </w:rPr>
        <w:t>响应函（格式见附件）（必须提供）；</w:t>
      </w:r>
    </w:p>
    <w:p w14:paraId="3CE9D9F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.已标价工程量清单（必须提供）；</w:t>
      </w:r>
    </w:p>
    <w:p w14:paraId="7E77E25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.拟投入本工程主要施工管理人员表（必须提供）</w:t>
      </w:r>
    </w:p>
    <w:p w14:paraId="69F6D13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default"/>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.施工组织设计（根据工程量清单及工程情况自行编制）（格式自拟，必须提供）</w:t>
      </w:r>
      <w:r>
        <w:rPr>
          <w:rFonts w:hint="eastAsia" w:ascii="宋体" w:hAnsi="宋体" w:eastAsia="宋体" w:cs="宋体"/>
          <w:b w:val="0"/>
          <w:bCs w:val="0"/>
          <w:color w:val="auto"/>
          <w:sz w:val="24"/>
          <w:szCs w:val="24"/>
          <w:highlight w:val="none"/>
          <w:lang w:eastAsia="zh-CN"/>
        </w:rPr>
        <w:t>；</w:t>
      </w:r>
    </w:p>
    <w:p w14:paraId="528D80C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bookmarkStart w:id="1898" w:name="_Toc6633"/>
      <w:bookmarkStart w:id="1899" w:name="_Toc1014"/>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.农民工工资保障金交纳与使用承诺书（必须提供）</w:t>
      </w:r>
      <w:bookmarkEnd w:id="1898"/>
      <w:bookmarkEnd w:id="1899"/>
      <w:r>
        <w:rPr>
          <w:rFonts w:hint="eastAsia" w:ascii="宋体" w:hAnsi="宋体" w:cs="宋体"/>
          <w:b w:val="0"/>
          <w:bCs w:val="0"/>
          <w:color w:val="auto"/>
          <w:sz w:val="24"/>
          <w:szCs w:val="24"/>
          <w:highlight w:val="none"/>
          <w:lang w:val="en-US" w:eastAsia="zh-CN"/>
        </w:rPr>
        <w:t>。</w:t>
      </w:r>
    </w:p>
    <w:p w14:paraId="5FD7BEB1">
      <w:pPr>
        <w:pStyle w:val="72"/>
        <w:rPr>
          <w:rFonts w:hint="eastAsia" w:ascii="宋体" w:hAnsi="宋体" w:eastAsia="宋体" w:cs="宋体"/>
          <w:color w:val="auto"/>
          <w:highlight w:val="none"/>
        </w:rPr>
      </w:pPr>
    </w:p>
    <w:p w14:paraId="78FD83C9">
      <w:pPr>
        <w:pStyle w:val="20"/>
        <w:rPr>
          <w:rFonts w:hint="eastAsia" w:ascii="宋体" w:hAnsi="宋体" w:eastAsia="宋体" w:cs="宋体"/>
          <w:color w:val="auto"/>
          <w:highlight w:val="none"/>
        </w:rPr>
      </w:pPr>
    </w:p>
    <w:p w14:paraId="31A51057">
      <w:pPr>
        <w:numPr>
          <w:ilvl w:val="0"/>
          <w:numId w:val="0"/>
        </w:numPr>
        <w:spacing w:line="400" w:lineRule="exact"/>
        <w:outlineLvl w:val="1"/>
        <w:rPr>
          <w:rFonts w:hint="eastAsia" w:ascii="宋体" w:hAnsi="宋体" w:eastAsia="宋体" w:cs="宋体"/>
          <w:b/>
          <w:bCs/>
          <w:color w:val="auto"/>
          <w:sz w:val="28"/>
          <w:szCs w:val="28"/>
          <w:highlight w:val="none"/>
        </w:rPr>
      </w:pPr>
      <w:bookmarkStart w:id="1900" w:name="_Toc12920"/>
      <w:bookmarkStart w:id="1901" w:name="_Toc497927072"/>
      <w:bookmarkStart w:id="1902" w:name="_Toc17617"/>
      <w:r>
        <w:rPr>
          <w:rFonts w:hint="eastAsia" w:ascii="宋体" w:hAnsi="宋体" w:cs="宋体"/>
          <w:b/>
          <w:bCs/>
          <w:color w:val="auto"/>
          <w:sz w:val="28"/>
          <w:szCs w:val="28"/>
          <w:highlight w:val="none"/>
          <w:lang w:val="en-US" w:eastAsia="zh-CN"/>
        </w:rPr>
        <w:br w:type="page"/>
      </w:r>
      <w:bookmarkStart w:id="1903" w:name="_Toc7733"/>
      <w:bookmarkStart w:id="1904" w:name="_Toc4512"/>
      <w:bookmarkStart w:id="1905" w:name="_Toc15513"/>
      <w:bookmarkStart w:id="1906" w:name="_Toc15505"/>
      <w:bookmarkStart w:id="1907" w:name="_Toc22576"/>
      <w:r>
        <w:rPr>
          <w:rFonts w:hint="eastAsia" w:ascii="宋体" w:hAnsi="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响应函（格式见附件）（必须提供）</w:t>
      </w:r>
      <w:bookmarkEnd w:id="1900"/>
      <w:bookmarkEnd w:id="1901"/>
      <w:bookmarkEnd w:id="1902"/>
      <w:bookmarkEnd w:id="1903"/>
      <w:bookmarkEnd w:id="1904"/>
      <w:bookmarkEnd w:id="1905"/>
      <w:bookmarkEnd w:id="1906"/>
      <w:bookmarkEnd w:id="1907"/>
    </w:p>
    <w:p w14:paraId="41DF0244">
      <w:pPr>
        <w:pStyle w:val="72"/>
        <w:rPr>
          <w:rFonts w:hint="eastAsia" w:ascii="宋体" w:hAnsi="宋体" w:eastAsia="宋体" w:cs="宋体"/>
          <w:color w:val="auto"/>
          <w:highlight w:val="none"/>
        </w:rPr>
      </w:pPr>
    </w:p>
    <w:p w14:paraId="236A2FED">
      <w:pPr>
        <w:pStyle w:val="28"/>
        <w:rPr>
          <w:rFonts w:hint="eastAsia" w:ascii="宋体" w:hAnsi="宋体" w:eastAsia="宋体" w:cs="宋体"/>
          <w:b/>
          <w:color w:val="auto"/>
          <w:sz w:val="32"/>
          <w:highlight w:val="none"/>
        </w:rPr>
      </w:pPr>
      <w:r>
        <w:rPr>
          <w:rFonts w:hint="eastAsia" w:ascii="宋体" w:hAnsi="宋体" w:eastAsia="宋体" w:cs="宋体"/>
          <w:b/>
          <w:color w:val="auto"/>
          <w:sz w:val="32"/>
          <w:highlight w:val="none"/>
        </w:rPr>
        <w:t>附件：</w:t>
      </w:r>
    </w:p>
    <w:p w14:paraId="601C5432">
      <w:pPr>
        <w:pStyle w:val="28"/>
        <w:ind w:firstLine="803" w:firstLineChars="250"/>
        <w:jc w:val="center"/>
        <w:rPr>
          <w:rFonts w:hint="eastAsia" w:ascii="宋体" w:hAnsi="宋体" w:eastAsia="宋体" w:cs="宋体"/>
          <w:b/>
          <w:color w:val="auto"/>
          <w:sz w:val="32"/>
          <w:highlight w:val="none"/>
        </w:rPr>
      </w:pPr>
      <w:bookmarkStart w:id="1908" w:name="_Toc7273_WPSOffice_Level1"/>
      <w:bookmarkStart w:id="1909" w:name="_Toc17832_WPSOffice_Level1"/>
      <w:r>
        <w:rPr>
          <w:rFonts w:hint="eastAsia" w:ascii="宋体" w:hAnsi="宋体" w:eastAsia="宋体" w:cs="宋体"/>
          <w:b/>
          <w:color w:val="auto"/>
          <w:sz w:val="32"/>
          <w:highlight w:val="none"/>
        </w:rPr>
        <w:t>响 应 函 （格 式）</w:t>
      </w:r>
      <w:bookmarkEnd w:id="1908"/>
      <w:bookmarkEnd w:id="1909"/>
    </w:p>
    <w:p w14:paraId="220A9D1C">
      <w:pPr>
        <w:spacing w:line="240" w:lineRule="exact"/>
        <w:jc w:val="center"/>
        <w:rPr>
          <w:rFonts w:hint="eastAsia" w:ascii="宋体" w:hAnsi="宋体" w:eastAsia="宋体" w:cs="宋体"/>
          <w:color w:val="auto"/>
          <w:sz w:val="32"/>
          <w:highlight w:val="none"/>
        </w:rPr>
      </w:pPr>
    </w:p>
    <w:p w14:paraId="6954F56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none"/>
        </w:rPr>
        <w:t>：</w:t>
      </w:r>
      <w:r>
        <w:rPr>
          <w:rFonts w:hint="eastAsia" w:ascii="宋体" w:hAnsi="宋体" w:cs="宋体"/>
          <w:color w:val="auto"/>
          <w:szCs w:val="21"/>
          <w:highlight w:val="none"/>
          <w:u w:val="single"/>
          <w:lang w:val="en-US" w:eastAsia="zh-CN"/>
        </w:rPr>
        <w:t>广西国喆项目管理有限公司</w:t>
      </w:r>
    </w:p>
    <w:p w14:paraId="494B86B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p>
    <w:p w14:paraId="5D8777E6">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根据贵方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项目竞争性磋商文件，项目编号：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，签字代表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（姓名）经正式授权并代表供应商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供应商单位名称），提交</w:t>
      </w:r>
      <w:r>
        <w:rPr>
          <w:rFonts w:hint="eastAsia" w:ascii="宋体" w:hAnsi="宋体" w:eastAsia="宋体" w:cs="宋体"/>
          <w:color w:val="auto"/>
          <w:highlight w:val="none"/>
          <w:lang w:eastAsia="zh-CN"/>
        </w:rPr>
        <w:t>电子</w:t>
      </w:r>
      <w:r>
        <w:rPr>
          <w:rFonts w:hint="eastAsia" w:ascii="宋体" w:hAnsi="宋体" w:eastAsia="宋体" w:cs="宋体"/>
          <w:color w:val="auto"/>
          <w:highlight w:val="none"/>
        </w:rPr>
        <w:t>响应文件</w:t>
      </w:r>
      <w:r>
        <w:rPr>
          <w:rFonts w:hint="eastAsia" w:ascii="宋体" w:hAnsi="宋体" w:eastAsia="宋体" w:cs="宋体"/>
          <w:color w:val="auto"/>
          <w:highlight w:val="none"/>
          <w:lang w:eastAsia="zh-CN"/>
        </w:rPr>
        <w:t>。</w:t>
      </w:r>
    </w:p>
    <w:p w14:paraId="28F6FEB5">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据此函，签字代表宣布同意如下：</w:t>
      </w:r>
    </w:p>
    <w:p w14:paraId="541B245A">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1.按磋商文件采购需求和磋商报价表：</w:t>
      </w:r>
    </w:p>
    <w:p w14:paraId="4EBC9D53">
      <w:pPr>
        <w:pStyle w:val="507"/>
        <w:tabs>
          <w:tab w:val="left" w:pos="7560"/>
        </w:tabs>
        <w:spacing w:line="460" w:lineRule="exact"/>
        <w:ind w:firstLine="420" w:firstLineChars="200"/>
        <w:rPr>
          <w:rStyle w:val="56"/>
          <w:rFonts w:ascii="Times New Roman" w:hAnsi="Times New Roman" w:eastAsia="宋体" w:cs="Times New Roman"/>
          <w:color w:val="auto"/>
          <w:szCs w:val="21"/>
          <w:highlight w:val="none"/>
        </w:rPr>
      </w:pPr>
      <w:r>
        <w:rPr>
          <w:rStyle w:val="56"/>
          <w:rFonts w:hint="eastAsia" w:ascii="Times New Roman" w:hAnsi="Times New Roman" w:eastAsia="宋体" w:cs="宋体"/>
          <w:color w:val="auto"/>
          <w:szCs w:val="21"/>
          <w:highlight w:val="none"/>
        </w:rPr>
        <w:t>我方愿以人民币（大写）</w:t>
      </w:r>
      <w:r>
        <w:rPr>
          <w:rStyle w:val="56"/>
          <w:rFonts w:ascii="Times New Roman" w:hAnsi="Times New Roman" w:eastAsia="宋体" w:cs="Times New Roman"/>
          <w:color w:val="auto"/>
          <w:szCs w:val="21"/>
          <w:highlight w:val="none"/>
          <w:u w:val="single"/>
        </w:rPr>
        <w:t xml:space="preserve">      </w:t>
      </w:r>
      <w:r>
        <w:rPr>
          <w:rStyle w:val="56"/>
          <w:rFonts w:hint="eastAsia" w:ascii="Times New Roman" w:hAnsi="Times New Roman" w:cs="Times New Roman"/>
          <w:color w:val="auto"/>
          <w:szCs w:val="21"/>
          <w:highlight w:val="none"/>
          <w:u w:val="single"/>
          <w:lang w:val="en-US" w:eastAsia="zh-CN"/>
        </w:rPr>
        <w:t xml:space="preserve">      </w:t>
      </w:r>
      <w:r>
        <w:rPr>
          <w:rStyle w:val="56"/>
          <w:rFonts w:hint="eastAsia" w:ascii="Times New Roman" w:hAnsi="Times New Roman" w:eastAsia="宋体" w:cs="宋体"/>
          <w:color w:val="auto"/>
          <w:szCs w:val="21"/>
          <w:highlight w:val="none"/>
        </w:rPr>
        <w:t>（</w:t>
      </w:r>
      <w:r>
        <w:rPr>
          <w:rStyle w:val="56"/>
          <w:rFonts w:hint="eastAsia" w:ascii="Times New Roman" w:hAnsi="Times New Roman" w:eastAsia="宋体" w:cs="宋体"/>
          <w:color w:val="auto"/>
          <w:szCs w:val="21"/>
          <w:highlight w:val="none"/>
          <w:u w:val="single"/>
        </w:rPr>
        <w:t>￥</w:t>
      </w:r>
      <w:r>
        <w:rPr>
          <w:rStyle w:val="56"/>
          <w:rFonts w:ascii="Times New Roman" w:hAnsi="Times New Roman" w:eastAsia="宋体" w:cs="Times New Roman"/>
          <w:color w:val="auto"/>
          <w:szCs w:val="21"/>
          <w:highlight w:val="none"/>
          <w:u w:val="single"/>
        </w:rPr>
        <w:t xml:space="preserve">   </w:t>
      </w:r>
      <w:r>
        <w:rPr>
          <w:rStyle w:val="56"/>
          <w:rFonts w:hint="eastAsia" w:ascii="Times New Roman" w:hAnsi="Times New Roman" w:cs="Times New Roman"/>
          <w:color w:val="auto"/>
          <w:szCs w:val="21"/>
          <w:highlight w:val="none"/>
          <w:u w:val="single"/>
          <w:lang w:val="en-US" w:eastAsia="zh-CN"/>
        </w:rPr>
        <w:t xml:space="preserve">   </w:t>
      </w:r>
      <w:r>
        <w:rPr>
          <w:rStyle w:val="56"/>
          <w:rFonts w:ascii="Times New Roman" w:hAnsi="Times New Roman" w:eastAsia="宋体" w:cs="Times New Roman"/>
          <w:color w:val="auto"/>
          <w:szCs w:val="21"/>
          <w:highlight w:val="none"/>
          <w:u w:val="single"/>
        </w:rPr>
        <w:t xml:space="preserve">   </w:t>
      </w:r>
      <w:r>
        <w:rPr>
          <w:rStyle w:val="56"/>
          <w:rFonts w:hint="eastAsia" w:ascii="Times New Roman" w:hAnsi="Times New Roman" w:eastAsia="宋体" w:cs="宋体"/>
          <w:color w:val="auto"/>
          <w:szCs w:val="21"/>
          <w:highlight w:val="none"/>
        </w:rPr>
        <w:t>元）的</w:t>
      </w:r>
      <w:r>
        <w:rPr>
          <w:rStyle w:val="56"/>
          <w:rFonts w:hint="eastAsia" w:ascii="Times New Roman" w:hAnsi="Times New Roman" w:cs="宋体"/>
          <w:color w:val="auto"/>
          <w:szCs w:val="21"/>
          <w:highlight w:val="none"/>
          <w:lang w:eastAsia="zh-CN"/>
        </w:rPr>
        <w:t>磋商报</w:t>
      </w:r>
      <w:r>
        <w:rPr>
          <w:rStyle w:val="56"/>
          <w:rFonts w:hint="eastAsia" w:ascii="Times New Roman" w:hAnsi="Times New Roman" w:eastAsia="宋体" w:cs="宋体"/>
          <w:color w:val="auto"/>
          <w:szCs w:val="21"/>
          <w:highlight w:val="none"/>
        </w:rPr>
        <w:t>价并按上述图纸、合同条款、工程建设标准和工程量清单的条件要求承包上述工程的施工、竣工，并承担任何质量缺陷保修责任。我方保证工程质量达到</w:t>
      </w:r>
      <w:r>
        <w:rPr>
          <w:rStyle w:val="56"/>
          <w:rFonts w:ascii="Times New Roman" w:hAnsi="Times New Roman" w:eastAsia="宋体" w:cs="Times New Roman"/>
          <w:color w:val="auto"/>
          <w:szCs w:val="21"/>
          <w:highlight w:val="none"/>
          <w:u w:val="single"/>
        </w:rPr>
        <w:t xml:space="preserve">     </w:t>
      </w:r>
      <w:r>
        <w:rPr>
          <w:rStyle w:val="56"/>
          <w:rFonts w:hint="eastAsia" w:ascii="Times New Roman" w:hAnsi="Times New Roman" w:cs="Times New Roman"/>
          <w:color w:val="auto"/>
          <w:szCs w:val="21"/>
          <w:highlight w:val="none"/>
          <w:u w:val="single"/>
          <w:lang w:val="en-US" w:eastAsia="zh-CN"/>
        </w:rPr>
        <w:t xml:space="preserve"> </w:t>
      </w:r>
      <w:r>
        <w:rPr>
          <w:rStyle w:val="56"/>
          <w:rFonts w:ascii="Times New Roman" w:hAnsi="Times New Roman" w:eastAsia="宋体" w:cs="Times New Roman"/>
          <w:color w:val="auto"/>
          <w:szCs w:val="21"/>
          <w:highlight w:val="none"/>
          <w:u w:val="single"/>
        </w:rPr>
        <w:t xml:space="preserve">  </w:t>
      </w:r>
      <w:r>
        <w:rPr>
          <w:rStyle w:val="56"/>
          <w:rFonts w:hint="eastAsia" w:ascii="Times New Roman" w:hAnsi="Times New Roman" w:eastAsia="宋体" w:cs="宋体"/>
          <w:color w:val="auto"/>
          <w:szCs w:val="21"/>
          <w:highlight w:val="none"/>
        </w:rPr>
        <w:t>等级。</w:t>
      </w:r>
      <w:r>
        <w:rPr>
          <w:rFonts w:hint="eastAsia" w:ascii="宋体" w:hAnsi="宋体" w:cs="宋体"/>
          <w:color w:val="auto"/>
          <w:sz w:val="21"/>
          <w:szCs w:val="21"/>
          <w:highlight w:val="none"/>
        </w:rPr>
        <w:t>工期：</w:t>
      </w:r>
      <w:r>
        <w:rPr>
          <w:rFonts w:hint="eastAsia" w:ascii="宋体" w:hAnsi="宋体" w:cs="宋体"/>
          <w:color w:val="auto"/>
          <w:sz w:val="21"/>
          <w:szCs w:val="21"/>
          <w:highlight w:val="none"/>
          <w:u w:val="single"/>
        </w:rPr>
        <w:t xml:space="preserve">          </w:t>
      </w:r>
      <w:r>
        <w:rPr>
          <w:rStyle w:val="56"/>
          <w:rFonts w:hint="eastAsia" w:ascii="Times New Roman" w:hAnsi="Times New Roman" w:eastAsia="宋体" w:cs="宋体"/>
          <w:color w:val="auto"/>
          <w:szCs w:val="21"/>
          <w:highlight w:val="none"/>
        </w:rPr>
        <w:t>日历天</w:t>
      </w:r>
      <w:r>
        <w:rPr>
          <w:rFonts w:hint="eastAsia" w:ascii="宋体" w:hAnsi="宋体" w:cs="宋体"/>
          <w:color w:val="auto"/>
          <w:sz w:val="21"/>
          <w:szCs w:val="21"/>
          <w:highlight w:val="none"/>
          <w:u w:val="none"/>
        </w:rPr>
        <w:t>；</w:t>
      </w:r>
    </w:p>
    <w:p w14:paraId="4AEDF492">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2.我方承诺已具备磋商文件规定的供应商资格条件。</w:t>
      </w:r>
    </w:p>
    <w:p w14:paraId="3BDF080C">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3.我方已详细审核磋商文件，包括修改文件（如有的话）和有关附件，将自行承担因对全部磋商文件理解不正确或误解而产生的相应后果。</w:t>
      </w:r>
    </w:p>
    <w:p w14:paraId="218C1D8C">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4.响应文件有效期为</w:t>
      </w:r>
      <w:r>
        <w:rPr>
          <w:rFonts w:hint="eastAsia" w:ascii="宋体" w:hAnsi="宋体" w:eastAsia="宋体" w:cs="宋体"/>
          <w:color w:val="auto"/>
          <w:szCs w:val="21"/>
          <w:highlight w:val="none"/>
        </w:rPr>
        <w:t>响应文件递交截止时间之日起90天。</w:t>
      </w:r>
    </w:p>
    <w:p w14:paraId="489DB9AB">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5.如我方成交：</w:t>
      </w:r>
    </w:p>
    <w:p w14:paraId="504EC21F">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（1）我方承诺在收到成交通知书后，在成交通知书规定的期限内与采购人签订合同。</w:t>
      </w:r>
    </w:p>
    <w:p w14:paraId="28564113">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（2）我方承诺本响应文件至本项目合同履行完毕止均保持有效，按磋商文件及政府采购法律、法规的规定履行合同责任和义务。</w:t>
      </w:r>
    </w:p>
    <w:p w14:paraId="4648062F">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与本项目有关的正式通讯地址为：</w:t>
      </w:r>
    </w:p>
    <w:p w14:paraId="0B75DEAF">
      <w:pPr>
        <w:rPr>
          <w:rFonts w:hint="eastAsia" w:ascii="宋体" w:hAnsi="宋体" w:eastAsia="宋体" w:cs="宋体"/>
          <w:color w:val="auto"/>
          <w:sz w:val="21"/>
          <w:szCs w:val="21"/>
          <w:highlight w:val="none"/>
        </w:rPr>
      </w:pPr>
    </w:p>
    <w:p w14:paraId="44148C6A">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地址：</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 xml:space="preserve"> 邮编：</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 xml:space="preserve">  </w:t>
      </w:r>
    </w:p>
    <w:p w14:paraId="04449DF6">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default" w:ascii="宋体" w:hAnsi="宋体" w:eastAsia="宋体" w:cs="宋体"/>
          <w:b w:val="0"/>
          <w:bCs w:val="0"/>
          <w:color w:val="auto"/>
          <w:sz w:val="21"/>
          <w:szCs w:val="21"/>
          <w:highlight w:val="none"/>
          <w:u w:val="single"/>
          <w:lang w:val="en-US" w:eastAsia="zh-CN"/>
        </w:rPr>
      </w:pPr>
      <w:r>
        <w:rPr>
          <w:rFonts w:hint="eastAsia" w:ascii="宋体" w:hAnsi="宋体" w:eastAsia="宋体" w:cs="宋体"/>
          <w:b w:val="0"/>
          <w:bCs w:val="0"/>
          <w:color w:val="auto"/>
          <w:sz w:val="21"/>
          <w:szCs w:val="21"/>
          <w:highlight w:val="none"/>
        </w:rPr>
        <w:t>电话、传真：</w:t>
      </w:r>
      <w:r>
        <w:rPr>
          <w:rFonts w:hint="eastAsia" w:ascii="宋体" w:hAnsi="宋体" w:eastAsia="宋体" w:cs="宋体"/>
          <w:b w:val="0"/>
          <w:bCs w:val="0"/>
          <w:color w:val="auto"/>
          <w:sz w:val="21"/>
          <w:szCs w:val="21"/>
          <w:highlight w:val="none"/>
          <w:u w:val="single"/>
        </w:rPr>
        <w:t xml:space="preserve">            </w:t>
      </w:r>
      <w:r>
        <w:rPr>
          <w:rFonts w:hint="eastAsia" w:hAnsi="宋体" w:cs="宋体"/>
          <w:b w:val="0"/>
          <w:bCs w:val="0"/>
          <w:color w:val="auto"/>
          <w:sz w:val="21"/>
          <w:szCs w:val="21"/>
          <w:highlight w:val="none"/>
          <w:u w:val="single"/>
          <w:lang w:val="en-US" w:eastAsia="zh-CN"/>
        </w:rPr>
        <w:t xml:space="preserve">                 </w:t>
      </w:r>
    </w:p>
    <w:p w14:paraId="40CE9F71">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开户名称：</w:t>
      </w:r>
      <w:r>
        <w:rPr>
          <w:rFonts w:hint="eastAsia" w:ascii="宋体" w:hAnsi="宋体" w:eastAsia="宋体" w:cs="宋体"/>
          <w:b w:val="0"/>
          <w:bCs w:val="0"/>
          <w:color w:val="auto"/>
          <w:sz w:val="21"/>
          <w:szCs w:val="21"/>
          <w:highlight w:val="none"/>
          <w:u w:val="single"/>
        </w:rPr>
        <w:t xml:space="preserve">                               </w:t>
      </w:r>
    </w:p>
    <w:p w14:paraId="140E83DC">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开户银行：</w:t>
      </w:r>
      <w:r>
        <w:rPr>
          <w:rFonts w:hint="eastAsia" w:ascii="宋体" w:hAnsi="宋体" w:eastAsia="宋体" w:cs="宋体"/>
          <w:b w:val="0"/>
          <w:bCs w:val="0"/>
          <w:color w:val="auto"/>
          <w:sz w:val="21"/>
          <w:szCs w:val="21"/>
          <w:highlight w:val="none"/>
          <w:u w:val="single"/>
        </w:rPr>
        <w:t xml:space="preserve">                               </w:t>
      </w:r>
    </w:p>
    <w:p w14:paraId="0FE6FCFB">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账</w:t>
      </w:r>
      <w:r>
        <w:rPr>
          <w:rFonts w:hint="eastAsia" w:hAnsi="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号：</w:t>
      </w:r>
      <w:r>
        <w:rPr>
          <w:rFonts w:hint="eastAsia" w:ascii="宋体" w:hAnsi="宋体" w:eastAsia="宋体" w:cs="宋体"/>
          <w:b w:val="0"/>
          <w:bCs w:val="0"/>
          <w:color w:val="auto"/>
          <w:sz w:val="21"/>
          <w:szCs w:val="21"/>
          <w:highlight w:val="none"/>
          <w:u w:val="single"/>
        </w:rPr>
        <w:t xml:space="preserve">                               </w:t>
      </w:r>
    </w:p>
    <w:p w14:paraId="45EF0ADF">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lang w:val="en-US" w:eastAsia="zh-CN"/>
        </w:rPr>
        <w:t>供应商[</w:t>
      </w:r>
      <w:r>
        <w:rPr>
          <w:rFonts w:hint="eastAsia" w:ascii="宋体" w:hAnsi="宋体" w:eastAsia="宋体" w:cs="宋体"/>
          <w:b w:val="0"/>
          <w:bCs w:val="0"/>
          <w:color w:val="auto"/>
          <w:sz w:val="21"/>
          <w:szCs w:val="21"/>
          <w:highlight w:val="none"/>
        </w:rPr>
        <w:t>公章</w:t>
      </w:r>
      <w:r>
        <w:rPr>
          <w:rFonts w:hint="eastAsia" w:ascii="宋体" w:hAnsi="宋体" w:eastAsia="宋体" w:cs="宋体"/>
          <w:b w:val="0"/>
          <w:bCs w:val="0"/>
          <w:color w:val="auto"/>
          <w:sz w:val="21"/>
          <w:szCs w:val="21"/>
          <w:highlight w:val="none"/>
          <w:lang w:val="en-US" w:eastAsia="zh-CN"/>
        </w:rPr>
        <w:t>(CA签章)</w:t>
      </w:r>
      <w:r>
        <w:rPr>
          <w:rFonts w:hint="eastAsia" w:ascii="宋体" w:hAnsi="宋体" w:eastAsia="宋体" w:cs="宋体"/>
          <w:b w:val="0"/>
          <w:bCs w:val="0"/>
          <w:color w:val="auto"/>
          <w:sz w:val="21"/>
          <w:szCs w:val="21"/>
          <w:highlight w:val="none"/>
        </w:rPr>
        <w:t>、自然人除外</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u w:val="single"/>
        </w:rPr>
        <w:t xml:space="preserve">                              </w:t>
      </w:r>
    </w:p>
    <w:p w14:paraId="04F527F1">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法定代表人、负责人、自然人或相应的委托代理人签字</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或盖章</w:t>
      </w:r>
      <w:r>
        <w:rPr>
          <w:rFonts w:hint="eastAsia" w:ascii="宋体" w:hAnsi="宋体" w:eastAsia="宋体" w:cs="宋体"/>
          <w:b w:val="0"/>
          <w:bCs w:val="0"/>
          <w:color w:val="auto"/>
          <w:sz w:val="21"/>
          <w:szCs w:val="21"/>
          <w:highlight w:val="none"/>
          <w:lang w:val="en-US" w:eastAsia="zh-CN"/>
        </w:rPr>
        <w:t>(CA签章)]</w:t>
      </w:r>
    </w:p>
    <w:p w14:paraId="6483989D">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rPr>
        <w:t>（属自然人的应在签名处加盖大拇指指印</w:t>
      </w:r>
      <w:r>
        <w:rPr>
          <w:rFonts w:hint="eastAsia" w:ascii="宋体" w:hAnsi="宋体" w:eastAsia="宋体" w:cs="宋体"/>
          <w:b w:val="0"/>
          <w:bCs w:val="0"/>
          <w:color w:val="auto"/>
          <w:sz w:val="21"/>
          <w:szCs w:val="21"/>
          <w:highlight w:val="none"/>
          <w:lang w:eastAsia="zh-CN"/>
        </w:rPr>
        <w:t>或</w:t>
      </w:r>
      <w:r>
        <w:rPr>
          <w:rFonts w:hint="eastAsia" w:ascii="宋体" w:hAnsi="宋体" w:eastAsia="宋体" w:cs="宋体"/>
          <w:b w:val="0"/>
          <w:bCs w:val="0"/>
          <w:color w:val="auto"/>
          <w:sz w:val="21"/>
          <w:szCs w:val="21"/>
          <w:highlight w:val="none"/>
          <w:lang w:val="en-US" w:eastAsia="zh-CN"/>
        </w:rPr>
        <w:t>个人CA签章</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u w:val="single"/>
        </w:rPr>
        <w:t xml:space="preserve">              </w:t>
      </w:r>
    </w:p>
    <w:p w14:paraId="6D4C293D">
      <w:pPr>
        <w:pStyle w:val="28"/>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hAnsi="宋体" w:cs="宋体"/>
          <w:b w:val="0"/>
          <w:bCs w:val="0"/>
          <w:color w:val="auto"/>
          <w:sz w:val="28"/>
          <w:szCs w:val="28"/>
          <w:highlight w:val="none"/>
          <w:lang w:val="en-US" w:eastAsia="zh-CN"/>
        </w:rPr>
      </w:pPr>
      <w:r>
        <w:rPr>
          <w:rFonts w:hint="eastAsia" w:ascii="宋体" w:hAnsi="宋体" w:eastAsia="宋体" w:cs="宋体"/>
          <w:b w:val="0"/>
          <w:bCs w:val="0"/>
          <w:color w:val="auto"/>
          <w:sz w:val="21"/>
          <w:szCs w:val="21"/>
          <w:highlight w:val="none"/>
        </w:rPr>
        <w:t>响应日期：</w:t>
      </w:r>
      <w:r>
        <w:rPr>
          <w:rFonts w:hint="eastAsia" w:ascii="宋体" w:hAnsi="宋体" w:eastAsia="宋体" w:cs="宋体"/>
          <w:b w:val="0"/>
          <w:bCs w:val="0"/>
          <w:color w:val="auto"/>
          <w:sz w:val="21"/>
          <w:szCs w:val="21"/>
          <w:highlight w:val="none"/>
          <w:u w:val="single"/>
        </w:rPr>
        <w:t xml:space="preserve">                               </w:t>
      </w:r>
    </w:p>
    <w:p w14:paraId="3F1F62E6">
      <w:pPr>
        <w:rPr>
          <w:rFonts w:hint="eastAsia" w:hAnsi="宋体" w:cs="宋体"/>
          <w:b/>
          <w:color w:val="auto"/>
          <w:sz w:val="28"/>
          <w:szCs w:val="28"/>
          <w:highlight w:val="none"/>
          <w:lang w:val="en-US" w:eastAsia="zh-CN"/>
        </w:rPr>
      </w:pPr>
      <w:bookmarkStart w:id="1910" w:name="_Toc28417"/>
      <w:bookmarkStart w:id="1911" w:name="_Toc20211"/>
      <w:r>
        <w:rPr>
          <w:rFonts w:hint="eastAsia" w:hAnsi="宋体" w:cs="宋体"/>
          <w:b/>
          <w:color w:val="auto"/>
          <w:sz w:val="28"/>
          <w:szCs w:val="28"/>
          <w:highlight w:val="none"/>
          <w:lang w:val="en-US" w:eastAsia="zh-CN"/>
        </w:rPr>
        <w:br w:type="page"/>
      </w:r>
    </w:p>
    <w:bookmarkEnd w:id="1910"/>
    <w:bookmarkEnd w:id="1911"/>
    <w:p w14:paraId="74557F7C">
      <w:pPr>
        <w:numPr>
          <w:ilvl w:val="0"/>
          <w:numId w:val="0"/>
        </w:numPr>
        <w:spacing w:line="400" w:lineRule="exact"/>
        <w:outlineLvl w:val="1"/>
        <w:rPr>
          <w:rFonts w:hint="eastAsia" w:ascii="宋体" w:hAnsi="宋体" w:eastAsia="宋体" w:cs="宋体"/>
          <w:b/>
          <w:color w:val="auto"/>
          <w:sz w:val="28"/>
          <w:szCs w:val="28"/>
          <w:highlight w:val="none"/>
          <w:lang w:val="en-US" w:eastAsia="zh-CN"/>
        </w:rPr>
      </w:pPr>
      <w:bookmarkStart w:id="1912" w:name="_Toc8996"/>
      <w:bookmarkStart w:id="1913" w:name="_Toc4209"/>
      <w:bookmarkStart w:id="1914" w:name="_Toc32015"/>
      <w:bookmarkStart w:id="1915" w:name="_Toc5788"/>
      <w:bookmarkStart w:id="1916" w:name="_Toc21686"/>
      <w:r>
        <w:rPr>
          <w:rFonts w:hint="eastAsia" w:ascii="宋体" w:hAnsi="宋体" w:cs="宋体"/>
          <w:b/>
          <w:color w:val="auto"/>
          <w:sz w:val="28"/>
          <w:szCs w:val="28"/>
          <w:highlight w:val="none"/>
          <w:lang w:val="en-US" w:eastAsia="zh-CN"/>
        </w:rPr>
        <w:t>2</w:t>
      </w:r>
      <w:r>
        <w:rPr>
          <w:rFonts w:hint="eastAsia" w:ascii="宋体" w:hAnsi="宋体" w:eastAsia="宋体" w:cs="宋体"/>
          <w:b/>
          <w:color w:val="auto"/>
          <w:sz w:val="28"/>
          <w:szCs w:val="28"/>
          <w:highlight w:val="none"/>
          <w:lang w:val="en-US" w:eastAsia="zh-CN"/>
        </w:rPr>
        <w:t>.</w:t>
      </w:r>
      <w:bookmarkEnd w:id="1912"/>
      <w:bookmarkEnd w:id="1913"/>
      <w:bookmarkEnd w:id="1914"/>
      <w:bookmarkEnd w:id="1915"/>
      <w:bookmarkEnd w:id="1916"/>
      <w:r>
        <w:rPr>
          <w:rFonts w:hint="eastAsia" w:ascii="宋体" w:hAnsi="宋体" w:eastAsia="宋体" w:cs="宋体"/>
          <w:b/>
          <w:color w:val="auto"/>
          <w:sz w:val="28"/>
          <w:szCs w:val="28"/>
          <w:highlight w:val="none"/>
          <w:lang w:val="en-US" w:eastAsia="zh-CN"/>
        </w:rPr>
        <w:t>已标价工程量清单（必须提供）</w:t>
      </w:r>
    </w:p>
    <w:p w14:paraId="4A0E1723">
      <w:pPr>
        <w:spacing w:line="240" w:lineRule="auto"/>
        <w:jc w:val="both"/>
        <w:rPr>
          <w:rFonts w:hint="eastAsia" w:ascii="宋体" w:hAnsi="宋体" w:eastAsia="宋体" w:cs="宋体"/>
          <w:color w:val="auto"/>
          <w:highlight w:val="none"/>
        </w:rPr>
      </w:pPr>
    </w:p>
    <w:p w14:paraId="37859DE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应按照第</w:t>
      </w:r>
      <w:r>
        <w:rPr>
          <w:rFonts w:hint="eastAsia" w:ascii="宋体" w:hAnsi="宋体" w:eastAsia="宋体" w:cs="宋体"/>
          <w:color w:val="auto"/>
          <w:szCs w:val="21"/>
          <w:highlight w:val="none"/>
          <w:lang w:eastAsia="zh-CN"/>
        </w:rPr>
        <w:t>三</w:t>
      </w:r>
      <w:r>
        <w:rPr>
          <w:rFonts w:hint="eastAsia" w:ascii="宋体" w:hAnsi="宋体" w:eastAsia="宋体" w:cs="宋体"/>
          <w:color w:val="auto"/>
          <w:szCs w:val="21"/>
          <w:highlight w:val="none"/>
        </w:rPr>
        <w:t>章“工程量清单”的要求逐项填报工程量清单，包括工程量清单说明、</w:t>
      </w:r>
      <w:r>
        <w:rPr>
          <w:rFonts w:hint="eastAsia" w:ascii="宋体" w:hAnsi="宋体" w:eastAsia="宋体" w:cs="宋体"/>
          <w:color w:val="auto"/>
          <w:szCs w:val="21"/>
          <w:highlight w:val="none"/>
          <w:lang w:eastAsia="zh-CN"/>
        </w:rPr>
        <w:t>磋商报价</w:t>
      </w:r>
      <w:r>
        <w:rPr>
          <w:rFonts w:hint="eastAsia" w:ascii="宋体" w:hAnsi="宋体" w:eastAsia="宋体" w:cs="宋体"/>
          <w:color w:val="auto"/>
          <w:szCs w:val="21"/>
          <w:highlight w:val="none"/>
        </w:rPr>
        <w:t>说明及工程量清单各项表格（</w:t>
      </w:r>
      <w:r>
        <w:rPr>
          <w:rFonts w:hint="eastAsia" w:ascii="宋体" w:hAnsi="宋体" w:eastAsia="宋体" w:cs="宋体"/>
          <w:b w:val="0"/>
          <w:bCs w:val="0"/>
          <w:color w:val="auto"/>
          <w:szCs w:val="21"/>
          <w:highlight w:val="none"/>
          <w:lang w:eastAsia="zh-CN"/>
        </w:rPr>
        <w:t>采购人</w:t>
      </w:r>
      <w:r>
        <w:rPr>
          <w:rFonts w:hint="eastAsia" w:ascii="宋体" w:hAnsi="宋体" w:eastAsia="宋体" w:cs="宋体"/>
          <w:b w:val="0"/>
          <w:bCs w:val="0"/>
          <w:color w:val="auto"/>
          <w:highlight w:val="none"/>
        </w:rPr>
        <w:t>提供的工程量清单</w:t>
      </w:r>
      <w:r>
        <w:rPr>
          <w:rFonts w:hint="eastAsia" w:ascii="宋体" w:hAnsi="宋体" w:eastAsia="宋体" w:cs="宋体"/>
          <w:color w:val="auto"/>
          <w:szCs w:val="21"/>
          <w:highlight w:val="none"/>
        </w:rPr>
        <w:t>）。</w:t>
      </w:r>
    </w:p>
    <w:p w14:paraId="38A129F1">
      <w:pPr>
        <w:spacing w:line="340" w:lineRule="exact"/>
        <w:rPr>
          <w:rFonts w:hint="eastAsia" w:ascii="宋体" w:hAnsi="宋体" w:eastAsia="宋体" w:cs="宋体"/>
          <w:color w:val="auto"/>
          <w:szCs w:val="21"/>
          <w:highlight w:val="none"/>
        </w:rPr>
      </w:pPr>
    </w:p>
    <w:p w14:paraId="42EEBF61">
      <w:pPr>
        <w:pStyle w:val="20"/>
        <w:rPr>
          <w:rFonts w:hint="eastAsia" w:ascii="宋体" w:hAnsi="宋体" w:eastAsia="宋体" w:cs="宋体"/>
          <w:color w:val="auto"/>
          <w:highlight w:val="none"/>
        </w:rPr>
      </w:pPr>
    </w:p>
    <w:p w14:paraId="56FCE14F">
      <w:pPr>
        <w:pStyle w:val="20"/>
        <w:rPr>
          <w:rFonts w:hint="eastAsia" w:ascii="宋体" w:hAnsi="宋体" w:eastAsia="宋体" w:cs="宋体"/>
          <w:color w:val="auto"/>
          <w:highlight w:val="none"/>
        </w:rPr>
      </w:pPr>
    </w:p>
    <w:p w14:paraId="7959F80F">
      <w:pPr>
        <w:pStyle w:val="20"/>
        <w:rPr>
          <w:rFonts w:hint="eastAsia" w:ascii="宋体" w:hAnsi="宋体" w:eastAsia="宋体" w:cs="宋体"/>
          <w:color w:val="auto"/>
          <w:highlight w:val="none"/>
        </w:rPr>
      </w:pPr>
    </w:p>
    <w:p w14:paraId="1A817F7D">
      <w:pPr>
        <w:pStyle w:val="20"/>
        <w:rPr>
          <w:rFonts w:hint="eastAsia" w:ascii="宋体" w:hAnsi="宋体" w:eastAsia="宋体" w:cs="宋体"/>
          <w:color w:val="auto"/>
          <w:highlight w:val="none"/>
        </w:rPr>
      </w:pPr>
    </w:p>
    <w:p w14:paraId="57C431D9">
      <w:pPr>
        <w:pStyle w:val="20"/>
        <w:rPr>
          <w:rFonts w:hint="eastAsia" w:ascii="宋体" w:hAnsi="宋体" w:eastAsia="宋体" w:cs="宋体"/>
          <w:color w:val="auto"/>
          <w:highlight w:val="none"/>
        </w:rPr>
      </w:pPr>
    </w:p>
    <w:p w14:paraId="4AAF53F1">
      <w:pPr>
        <w:rPr>
          <w:rFonts w:hint="eastAsia" w:ascii="宋体" w:hAnsi="宋体" w:eastAsia="宋体" w:cs="宋体"/>
          <w:color w:val="auto"/>
          <w:highlight w:val="none"/>
        </w:rPr>
      </w:pPr>
    </w:p>
    <w:p w14:paraId="56FDC427">
      <w:pPr>
        <w:pStyle w:val="24"/>
        <w:rPr>
          <w:rFonts w:hint="eastAsia"/>
          <w:color w:val="auto"/>
          <w:highlight w:val="none"/>
        </w:rPr>
      </w:pPr>
    </w:p>
    <w:p w14:paraId="6CDECD5C">
      <w:pPr>
        <w:numPr>
          <w:ilvl w:val="0"/>
          <w:numId w:val="0"/>
        </w:numPr>
        <w:spacing w:line="400" w:lineRule="exact"/>
        <w:ind w:leftChars="200"/>
        <w:jc w:val="left"/>
        <w:rPr>
          <w:rFonts w:hint="eastAsia" w:ascii="宋体" w:hAnsi="宋体" w:eastAsia="宋体" w:cs="宋体"/>
          <w:b/>
          <w:color w:val="auto"/>
          <w:sz w:val="28"/>
          <w:szCs w:val="28"/>
          <w:highlight w:val="none"/>
          <w:lang w:val="en-US" w:eastAsia="zh-CN"/>
        </w:rPr>
      </w:pPr>
      <w:r>
        <w:rPr>
          <w:rFonts w:hint="eastAsia" w:hAnsi="宋体" w:cs="宋体"/>
          <w:b/>
          <w:color w:val="auto"/>
          <w:sz w:val="28"/>
          <w:szCs w:val="28"/>
          <w:highlight w:val="none"/>
          <w:lang w:val="en-US" w:eastAsia="zh-CN"/>
        </w:rPr>
        <w:br w:type="page"/>
      </w:r>
      <w:r>
        <w:rPr>
          <w:rFonts w:hint="eastAsia" w:hAnsi="宋体" w:cs="宋体"/>
          <w:b/>
          <w:color w:val="auto"/>
          <w:sz w:val="28"/>
          <w:szCs w:val="28"/>
          <w:highlight w:val="none"/>
          <w:lang w:val="en-US" w:eastAsia="zh-CN"/>
        </w:rPr>
        <w:t>3.</w:t>
      </w:r>
      <w:r>
        <w:rPr>
          <w:rFonts w:hint="eastAsia" w:ascii="宋体" w:hAnsi="宋体" w:eastAsia="宋体" w:cs="宋体"/>
          <w:b/>
          <w:color w:val="auto"/>
          <w:sz w:val="28"/>
          <w:szCs w:val="28"/>
          <w:highlight w:val="none"/>
          <w:lang w:val="en-US" w:eastAsia="zh-CN"/>
        </w:rPr>
        <w:t>拟投入本工程主要施工管理人员表（必须提供）</w:t>
      </w:r>
    </w:p>
    <w:p w14:paraId="70A1F792">
      <w:pPr>
        <w:numPr>
          <w:ilvl w:val="0"/>
          <w:numId w:val="0"/>
        </w:numPr>
        <w:spacing w:line="400" w:lineRule="exact"/>
        <w:ind w:leftChars="200"/>
        <w:jc w:val="left"/>
        <w:rPr>
          <w:rFonts w:hint="eastAsia" w:ascii="宋体" w:hAnsi="宋体"/>
          <w:b/>
          <w:bCs/>
          <w:color w:val="auto"/>
          <w:sz w:val="24"/>
          <w:highlight w:val="none"/>
        </w:rPr>
      </w:pPr>
    </w:p>
    <w:p w14:paraId="18962ECF">
      <w:pPr>
        <w:numPr>
          <w:ilvl w:val="0"/>
          <w:numId w:val="0"/>
        </w:numPr>
        <w:spacing w:line="400" w:lineRule="exact"/>
        <w:ind w:leftChars="200"/>
        <w:jc w:val="left"/>
        <w:rPr>
          <w:rFonts w:hint="eastAsia" w:ascii="宋体" w:hAnsi="宋体"/>
          <w:b/>
          <w:bCs/>
          <w:color w:val="auto"/>
          <w:sz w:val="24"/>
          <w:highlight w:val="none"/>
        </w:rPr>
      </w:pPr>
      <w:r>
        <w:rPr>
          <w:rFonts w:hint="eastAsia" w:ascii="宋体" w:hAnsi="宋体"/>
          <w:b/>
          <w:bCs/>
          <w:color w:val="auto"/>
          <w:sz w:val="24"/>
          <w:highlight w:val="none"/>
        </w:rPr>
        <w:t>附件</w:t>
      </w:r>
    </w:p>
    <w:p w14:paraId="4EB2165B">
      <w:pPr>
        <w:spacing w:line="400" w:lineRule="exact"/>
        <w:ind w:firstLine="422" w:firstLineChars="150"/>
        <w:jc w:val="center"/>
        <w:rPr>
          <w:rFonts w:hint="eastAsia" w:ascii="宋体" w:hAnsi="宋体"/>
          <w:b/>
          <w:color w:val="auto"/>
          <w:sz w:val="28"/>
          <w:szCs w:val="28"/>
          <w:highlight w:val="none"/>
        </w:rPr>
      </w:pPr>
      <w:r>
        <w:rPr>
          <w:rFonts w:hint="eastAsia" w:ascii="宋体" w:hAnsi="宋体"/>
          <w:b/>
          <w:color w:val="auto"/>
          <w:sz w:val="28"/>
          <w:szCs w:val="28"/>
          <w:highlight w:val="none"/>
          <w:lang w:val="en-US" w:eastAsia="zh-CN"/>
        </w:rPr>
        <w:t>主要施工管理人员表</w:t>
      </w:r>
    </w:p>
    <w:p w14:paraId="58D0EDCA">
      <w:pPr>
        <w:spacing w:line="400" w:lineRule="exact"/>
        <w:ind w:firstLine="422" w:firstLineChars="150"/>
        <w:jc w:val="center"/>
        <w:rPr>
          <w:rFonts w:hint="eastAsia" w:ascii="宋体" w:hAnsi="宋体"/>
          <w:b/>
          <w:color w:val="auto"/>
          <w:sz w:val="28"/>
          <w:szCs w:val="28"/>
          <w:highlight w:val="none"/>
        </w:rPr>
      </w:pP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4"/>
        <w:gridCol w:w="789"/>
        <w:gridCol w:w="788"/>
        <w:gridCol w:w="1440"/>
        <w:gridCol w:w="3653"/>
      </w:tblGrid>
      <w:tr w14:paraId="4196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076B289D">
            <w:pPr>
              <w:spacing w:line="300" w:lineRule="auto"/>
              <w:jc w:val="center"/>
              <w:rPr>
                <w:rFonts w:hint="eastAsia" w:ascii="宋体" w:hAnsi="宋体"/>
                <w:color w:val="auto"/>
                <w:szCs w:val="21"/>
                <w:highlight w:val="none"/>
              </w:rPr>
            </w:pPr>
            <w:r>
              <w:rPr>
                <w:rFonts w:hint="eastAsia" w:ascii="宋体" w:hAnsi="宋体"/>
                <w:color w:val="auto"/>
                <w:szCs w:val="21"/>
                <w:highlight w:val="none"/>
              </w:rPr>
              <w:t>名   称</w:t>
            </w:r>
          </w:p>
        </w:tc>
        <w:tc>
          <w:tcPr>
            <w:tcW w:w="789" w:type="dxa"/>
            <w:noWrap w:val="0"/>
            <w:vAlign w:val="center"/>
          </w:tcPr>
          <w:p w14:paraId="74BDF100">
            <w:pPr>
              <w:spacing w:line="300" w:lineRule="auto"/>
              <w:jc w:val="center"/>
              <w:rPr>
                <w:rFonts w:hint="eastAsia" w:ascii="宋体" w:hAnsi="宋体"/>
                <w:color w:val="auto"/>
                <w:szCs w:val="21"/>
                <w:highlight w:val="none"/>
              </w:rPr>
            </w:pPr>
            <w:r>
              <w:rPr>
                <w:rFonts w:hint="eastAsia" w:ascii="宋体" w:hAnsi="宋体"/>
                <w:color w:val="auto"/>
                <w:szCs w:val="21"/>
                <w:highlight w:val="none"/>
              </w:rPr>
              <w:t>姓名</w:t>
            </w:r>
          </w:p>
        </w:tc>
        <w:tc>
          <w:tcPr>
            <w:tcW w:w="788" w:type="dxa"/>
            <w:noWrap w:val="0"/>
            <w:vAlign w:val="center"/>
          </w:tcPr>
          <w:p w14:paraId="2B04BB73">
            <w:pPr>
              <w:spacing w:line="300" w:lineRule="auto"/>
              <w:jc w:val="center"/>
              <w:rPr>
                <w:rFonts w:hint="eastAsia" w:ascii="宋体" w:hAnsi="宋体"/>
                <w:color w:val="auto"/>
                <w:szCs w:val="21"/>
                <w:highlight w:val="none"/>
              </w:rPr>
            </w:pPr>
            <w:r>
              <w:rPr>
                <w:rFonts w:hint="eastAsia" w:ascii="宋体" w:hAnsi="宋体"/>
                <w:color w:val="auto"/>
                <w:szCs w:val="21"/>
                <w:highlight w:val="none"/>
              </w:rPr>
              <w:t>职务</w:t>
            </w:r>
          </w:p>
        </w:tc>
        <w:tc>
          <w:tcPr>
            <w:tcW w:w="1440" w:type="dxa"/>
            <w:noWrap w:val="0"/>
            <w:vAlign w:val="center"/>
          </w:tcPr>
          <w:p w14:paraId="2CF627D8">
            <w:pPr>
              <w:spacing w:line="300" w:lineRule="auto"/>
              <w:jc w:val="center"/>
              <w:rPr>
                <w:rFonts w:hint="eastAsia" w:ascii="宋体" w:hAnsi="宋体"/>
                <w:color w:val="auto"/>
                <w:szCs w:val="21"/>
                <w:highlight w:val="none"/>
              </w:rPr>
            </w:pPr>
            <w:r>
              <w:rPr>
                <w:rFonts w:hint="eastAsia" w:ascii="宋体" w:hAnsi="宋体"/>
                <w:color w:val="auto"/>
                <w:szCs w:val="21"/>
                <w:highlight w:val="none"/>
              </w:rPr>
              <w:t>资质/职称</w:t>
            </w:r>
          </w:p>
        </w:tc>
        <w:tc>
          <w:tcPr>
            <w:tcW w:w="3653" w:type="dxa"/>
            <w:noWrap w:val="0"/>
            <w:vAlign w:val="center"/>
          </w:tcPr>
          <w:p w14:paraId="6B2B7D8C">
            <w:pPr>
              <w:spacing w:line="300" w:lineRule="auto"/>
              <w:jc w:val="center"/>
              <w:rPr>
                <w:rFonts w:hint="eastAsia" w:ascii="宋体" w:hAnsi="宋体"/>
                <w:color w:val="auto"/>
                <w:szCs w:val="21"/>
                <w:highlight w:val="none"/>
              </w:rPr>
            </w:pPr>
            <w:r>
              <w:rPr>
                <w:rFonts w:hint="eastAsia" w:ascii="宋体" w:hAnsi="宋体"/>
                <w:color w:val="auto"/>
                <w:szCs w:val="21"/>
                <w:highlight w:val="none"/>
              </w:rPr>
              <w:t>主要资历、经验及承担的项目</w:t>
            </w:r>
          </w:p>
        </w:tc>
      </w:tr>
      <w:tr w14:paraId="2A10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102B588C">
            <w:pPr>
              <w:spacing w:line="300" w:lineRule="auto"/>
              <w:rPr>
                <w:rFonts w:hint="eastAsia" w:ascii="宋体" w:hAnsi="宋体"/>
                <w:color w:val="auto"/>
                <w:szCs w:val="21"/>
                <w:highlight w:val="none"/>
              </w:rPr>
            </w:pPr>
            <w:r>
              <w:rPr>
                <w:rFonts w:hint="eastAsia" w:ascii="宋体" w:hAnsi="宋体"/>
                <w:color w:val="auto"/>
                <w:szCs w:val="21"/>
                <w:highlight w:val="none"/>
              </w:rPr>
              <w:t>一、总部</w:t>
            </w:r>
          </w:p>
        </w:tc>
        <w:tc>
          <w:tcPr>
            <w:tcW w:w="789" w:type="dxa"/>
            <w:noWrap w:val="0"/>
            <w:vAlign w:val="center"/>
          </w:tcPr>
          <w:p w14:paraId="1593D82F">
            <w:pPr>
              <w:spacing w:line="300" w:lineRule="auto"/>
              <w:rPr>
                <w:rFonts w:hint="eastAsia" w:ascii="宋体" w:hAnsi="宋体"/>
                <w:color w:val="auto"/>
                <w:szCs w:val="21"/>
                <w:highlight w:val="none"/>
              </w:rPr>
            </w:pPr>
          </w:p>
        </w:tc>
        <w:tc>
          <w:tcPr>
            <w:tcW w:w="788" w:type="dxa"/>
            <w:noWrap w:val="0"/>
            <w:vAlign w:val="center"/>
          </w:tcPr>
          <w:p w14:paraId="6EAE8483">
            <w:pPr>
              <w:spacing w:line="300" w:lineRule="auto"/>
              <w:rPr>
                <w:rFonts w:hint="eastAsia" w:ascii="宋体" w:hAnsi="宋体"/>
                <w:color w:val="auto"/>
                <w:szCs w:val="21"/>
                <w:highlight w:val="none"/>
              </w:rPr>
            </w:pPr>
          </w:p>
        </w:tc>
        <w:tc>
          <w:tcPr>
            <w:tcW w:w="1440" w:type="dxa"/>
            <w:noWrap w:val="0"/>
            <w:vAlign w:val="center"/>
          </w:tcPr>
          <w:p w14:paraId="2E2240BB">
            <w:pPr>
              <w:spacing w:line="300" w:lineRule="auto"/>
              <w:rPr>
                <w:rFonts w:hint="eastAsia" w:ascii="宋体" w:hAnsi="宋体"/>
                <w:color w:val="auto"/>
                <w:szCs w:val="21"/>
                <w:highlight w:val="none"/>
              </w:rPr>
            </w:pPr>
          </w:p>
        </w:tc>
        <w:tc>
          <w:tcPr>
            <w:tcW w:w="3653" w:type="dxa"/>
            <w:noWrap w:val="0"/>
            <w:vAlign w:val="center"/>
          </w:tcPr>
          <w:p w14:paraId="2D7CDAAE">
            <w:pPr>
              <w:spacing w:line="300" w:lineRule="auto"/>
              <w:rPr>
                <w:rFonts w:hint="eastAsia" w:ascii="宋体" w:hAnsi="宋体"/>
                <w:color w:val="auto"/>
                <w:szCs w:val="21"/>
                <w:highlight w:val="none"/>
              </w:rPr>
            </w:pPr>
          </w:p>
        </w:tc>
      </w:tr>
      <w:tr w14:paraId="58EB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6D4D0D16">
            <w:pPr>
              <w:spacing w:line="300" w:lineRule="auto"/>
              <w:rPr>
                <w:rFonts w:hint="eastAsia" w:ascii="宋体" w:hAnsi="宋体"/>
                <w:color w:val="auto"/>
                <w:szCs w:val="21"/>
                <w:highlight w:val="none"/>
              </w:rPr>
            </w:pPr>
            <w:r>
              <w:rPr>
                <w:rFonts w:hint="eastAsia" w:ascii="宋体" w:hAnsi="宋体"/>
                <w:color w:val="auto"/>
                <w:szCs w:val="21"/>
                <w:highlight w:val="none"/>
              </w:rPr>
              <w:t>1.项目主管</w:t>
            </w:r>
          </w:p>
        </w:tc>
        <w:tc>
          <w:tcPr>
            <w:tcW w:w="789" w:type="dxa"/>
            <w:noWrap w:val="0"/>
            <w:vAlign w:val="center"/>
          </w:tcPr>
          <w:p w14:paraId="5212EEAC">
            <w:pPr>
              <w:spacing w:line="300" w:lineRule="auto"/>
              <w:rPr>
                <w:rFonts w:hint="eastAsia" w:ascii="宋体" w:hAnsi="宋体"/>
                <w:color w:val="auto"/>
                <w:szCs w:val="21"/>
                <w:highlight w:val="none"/>
              </w:rPr>
            </w:pPr>
          </w:p>
        </w:tc>
        <w:tc>
          <w:tcPr>
            <w:tcW w:w="788" w:type="dxa"/>
            <w:noWrap w:val="0"/>
            <w:vAlign w:val="center"/>
          </w:tcPr>
          <w:p w14:paraId="2F7B8377">
            <w:pPr>
              <w:spacing w:line="300" w:lineRule="auto"/>
              <w:rPr>
                <w:rFonts w:hint="eastAsia" w:ascii="宋体" w:hAnsi="宋体"/>
                <w:color w:val="auto"/>
                <w:szCs w:val="21"/>
                <w:highlight w:val="none"/>
              </w:rPr>
            </w:pPr>
          </w:p>
        </w:tc>
        <w:tc>
          <w:tcPr>
            <w:tcW w:w="1440" w:type="dxa"/>
            <w:noWrap w:val="0"/>
            <w:vAlign w:val="center"/>
          </w:tcPr>
          <w:p w14:paraId="6E2B5317">
            <w:pPr>
              <w:spacing w:line="300" w:lineRule="auto"/>
              <w:rPr>
                <w:rFonts w:hint="eastAsia" w:ascii="宋体" w:hAnsi="宋体"/>
                <w:color w:val="auto"/>
                <w:szCs w:val="21"/>
                <w:highlight w:val="none"/>
              </w:rPr>
            </w:pPr>
          </w:p>
        </w:tc>
        <w:tc>
          <w:tcPr>
            <w:tcW w:w="3653" w:type="dxa"/>
            <w:noWrap w:val="0"/>
            <w:vAlign w:val="center"/>
          </w:tcPr>
          <w:p w14:paraId="00A51CDC">
            <w:pPr>
              <w:spacing w:line="300" w:lineRule="auto"/>
              <w:rPr>
                <w:rFonts w:hint="eastAsia" w:ascii="宋体" w:hAnsi="宋体"/>
                <w:color w:val="auto"/>
                <w:szCs w:val="21"/>
                <w:highlight w:val="none"/>
              </w:rPr>
            </w:pPr>
          </w:p>
        </w:tc>
      </w:tr>
      <w:tr w14:paraId="1783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3BC16300">
            <w:pPr>
              <w:spacing w:line="300" w:lineRule="auto"/>
              <w:rPr>
                <w:rFonts w:hint="eastAsia" w:ascii="宋体" w:hAnsi="宋体"/>
                <w:color w:val="auto"/>
                <w:szCs w:val="21"/>
                <w:highlight w:val="none"/>
              </w:rPr>
            </w:pPr>
            <w:r>
              <w:rPr>
                <w:rFonts w:hint="eastAsia" w:ascii="宋体" w:hAnsi="宋体"/>
                <w:color w:val="auto"/>
                <w:szCs w:val="21"/>
                <w:highlight w:val="none"/>
              </w:rPr>
              <w:t>2.其他人员</w:t>
            </w:r>
          </w:p>
        </w:tc>
        <w:tc>
          <w:tcPr>
            <w:tcW w:w="789" w:type="dxa"/>
            <w:noWrap w:val="0"/>
            <w:vAlign w:val="center"/>
          </w:tcPr>
          <w:p w14:paraId="204C91EF">
            <w:pPr>
              <w:spacing w:line="300" w:lineRule="auto"/>
              <w:rPr>
                <w:rFonts w:hint="eastAsia" w:ascii="宋体" w:hAnsi="宋体"/>
                <w:color w:val="auto"/>
                <w:szCs w:val="21"/>
                <w:highlight w:val="none"/>
              </w:rPr>
            </w:pPr>
          </w:p>
        </w:tc>
        <w:tc>
          <w:tcPr>
            <w:tcW w:w="788" w:type="dxa"/>
            <w:noWrap w:val="0"/>
            <w:vAlign w:val="center"/>
          </w:tcPr>
          <w:p w14:paraId="0BE6993F">
            <w:pPr>
              <w:spacing w:line="300" w:lineRule="auto"/>
              <w:rPr>
                <w:rFonts w:hint="eastAsia" w:ascii="宋体" w:hAnsi="宋体"/>
                <w:color w:val="auto"/>
                <w:szCs w:val="21"/>
                <w:highlight w:val="none"/>
              </w:rPr>
            </w:pPr>
          </w:p>
        </w:tc>
        <w:tc>
          <w:tcPr>
            <w:tcW w:w="1440" w:type="dxa"/>
            <w:noWrap w:val="0"/>
            <w:vAlign w:val="center"/>
          </w:tcPr>
          <w:p w14:paraId="4A484B5C">
            <w:pPr>
              <w:spacing w:line="300" w:lineRule="auto"/>
              <w:rPr>
                <w:rFonts w:hint="eastAsia" w:ascii="宋体" w:hAnsi="宋体"/>
                <w:color w:val="auto"/>
                <w:szCs w:val="21"/>
                <w:highlight w:val="none"/>
              </w:rPr>
            </w:pPr>
          </w:p>
        </w:tc>
        <w:tc>
          <w:tcPr>
            <w:tcW w:w="3653" w:type="dxa"/>
            <w:noWrap w:val="0"/>
            <w:vAlign w:val="center"/>
          </w:tcPr>
          <w:p w14:paraId="586B7D5F">
            <w:pPr>
              <w:spacing w:line="300" w:lineRule="auto"/>
              <w:rPr>
                <w:rFonts w:hint="eastAsia" w:ascii="宋体" w:hAnsi="宋体"/>
                <w:color w:val="auto"/>
                <w:szCs w:val="21"/>
                <w:highlight w:val="none"/>
              </w:rPr>
            </w:pPr>
          </w:p>
        </w:tc>
      </w:tr>
      <w:tr w14:paraId="6256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4890E6CB">
            <w:pPr>
              <w:spacing w:line="300" w:lineRule="auto"/>
              <w:rPr>
                <w:rFonts w:hint="eastAsia" w:ascii="宋体" w:hAnsi="宋体"/>
                <w:color w:val="auto"/>
                <w:szCs w:val="21"/>
                <w:highlight w:val="none"/>
              </w:rPr>
            </w:pPr>
          </w:p>
        </w:tc>
        <w:tc>
          <w:tcPr>
            <w:tcW w:w="789" w:type="dxa"/>
            <w:noWrap w:val="0"/>
            <w:vAlign w:val="center"/>
          </w:tcPr>
          <w:p w14:paraId="6C6A4BA1">
            <w:pPr>
              <w:spacing w:line="300" w:lineRule="auto"/>
              <w:rPr>
                <w:rFonts w:hint="eastAsia" w:ascii="宋体" w:hAnsi="宋体"/>
                <w:color w:val="auto"/>
                <w:szCs w:val="21"/>
                <w:highlight w:val="none"/>
              </w:rPr>
            </w:pPr>
          </w:p>
        </w:tc>
        <w:tc>
          <w:tcPr>
            <w:tcW w:w="788" w:type="dxa"/>
            <w:noWrap w:val="0"/>
            <w:vAlign w:val="center"/>
          </w:tcPr>
          <w:p w14:paraId="5FB39B01">
            <w:pPr>
              <w:spacing w:line="300" w:lineRule="auto"/>
              <w:rPr>
                <w:rFonts w:hint="eastAsia" w:ascii="宋体" w:hAnsi="宋体"/>
                <w:color w:val="auto"/>
                <w:szCs w:val="21"/>
                <w:highlight w:val="none"/>
              </w:rPr>
            </w:pPr>
          </w:p>
        </w:tc>
        <w:tc>
          <w:tcPr>
            <w:tcW w:w="1440" w:type="dxa"/>
            <w:noWrap w:val="0"/>
            <w:vAlign w:val="center"/>
          </w:tcPr>
          <w:p w14:paraId="543D1C51">
            <w:pPr>
              <w:spacing w:line="300" w:lineRule="auto"/>
              <w:rPr>
                <w:rFonts w:hint="eastAsia" w:ascii="宋体" w:hAnsi="宋体"/>
                <w:color w:val="auto"/>
                <w:szCs w:val="21"/>
                <w:highlight w:val="none"/>
              </w:rPr>
            </w:pPr>
          </w:p>
        </w:tc>
        <w:tc>
          <w:tcPr>
            <w:tcW w:w="3653" w:type="dxa"/>
            <w:noWrap w:val="0"/>
            <w:vAlign w:val="center"/>
          </w:tcPr>
          <w:p w14:paraId="49743ADE">
            <w:pPr>
              <w:spacing w:line="300" w:lineRule="auto"/>
              <w:rPr>
                <w:rFonts w:hint="eastAsia" w:ascii="宋体" w:hAnsi="宋体"/>
                <w:color w:val="auto"/>
                <w:szCs w:val="21"/>
                <w:highlight w:val="none"/>
              </w:rPr>
            </w:pPr>
          </w:p>
        </w:tc>
      </w:tr>
      <w:tr w14:paraId="7972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305A38B7">
            <w:pPr>
              <w:spacing w:line="300" w:lineRule="auto"/>
              <w:rPr>
                <w:rFonts w:hint="eastAsia" w:ascii="宋体" w:hAnsi="宋体"/>
                <w:color w:val="auto"/>
                <w:szCs w:val="21"/>
                <w:highlight w:val="none"/>
              </w:rPr>
            </w:pPr>
            <w:r>
              <w:rPr>
                <w:rFonts w:hint="eastAsia" w:ascii="宋体" w:hAnsi="宋体"/>
                <w:color w:val="auto"/>
                <w:szCs w:val="21"/>
                <w:highlight w:val="none"/>
              </w:rPr>
              <w:t>二、现场</w:t>
            </w:r>
          </w:p>
        </w:tc>
        <w:tc>
          <w:tcPr>
            <w:tcW w:w="789" w:type="dxa"/>
            <w:noWrap w:val="0"/>
            <w:vAlign w:val="center"/>
          </w:tcPr>
          <w:p w14:paraId="427F5AF4">
            <w:pPr>
              <w:spacing w:line="300" w:lineRule="auto"/>
              <w:rPr>
                <w:rFonts w:hint="eastAsia" w:ascii="宋体" w:hAnsi="宋体"/>
                <w:color w:val="auto"/>
                <w:szCs w:val="21"/>
                <w:highlight w:val="none"/>
              </w:rPr>
            </w:pPr>
          </w:p>
        </w:tc>
        <w:tc>
          <w:tcPr>
            <w:tcW w:w="788" w:type="dxa"/>
            <w:noWrap w:val="0"/>
            <w:vAlign w:val="center"/>
          </w:tcPr>
          <w:p w14:paraId="1EA89641">
            <w:pPr>
              <w:spacing w:line="300" w:lineRule="auto"/>
              <w:rPr>
                <w:rFonts w:hint="eastAsia" w:ascii="宋体" w:hAnsi="宋体"/>
                <w:color w:val="auto"/>
                <w:szCs w:val="21"/>
                <w:highlight w:val="none"/>
              </w:rPr>
            </w:pPr>
          </w:p>
        </w:tc>
        <w:tc>
          <w:tcPr>
            <w:tcW w:w="1440" w:type="dxa"/>
            <w:noWrap w:val="0"/>
            <w:vAlign w:val="center"/>
          </w:tcPr>
          <w:p w14:paraId="33EC09EE">
            <w:pPr>
              <w:spacing w:line="300" w:lineRule="auto"/>
              <w:rPr>
                <w:rFonts w:hint="eastAsia" w:ascii="宋体" w:hAnsi="宋体"/>
                <w:color w:val="auto"/>
                <w:szCs w:val="21"/>
                <w:highlight w:val="none"/>
              </w:rPr>
            </w:pPr>
          </w:p>
        </w:tc>
        <w:tc>
          <w:tcPr>
            <w:tcW w:w="3653" w:type="dxa"/>
            <w:noWrap w:val="0"/>
            <w:vAlign w:val="center"/>
          </w:tcPr>
          <w:p w14:paraId="001EE69F">
            <w:pPr>
              <w:spacing w:line="300" w:lineRule="auto"/>
              <w:rPr>
                <w:rFonts w:hint="eastAsia" w:ascii="宋体" w:hAnsi="宋体"/>
                <w:color w:val="auto"/>
                <w:szCs w:val="21"/>
                <w:highlight w:val="none"/>
              </w:rPr>
            </w:pPr>
          </w:p>
        </w:tc>
      </w:tr>
      <w:tr w14:paraId="3858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4C153206">
            <w:pPr>
              <w:spacing w:line="300" w:lineRule="auto"/>
              <w:rPr>
                <w:rFonts w:hint="eastAsia" w:ascii="宋体" w:hAnsi="宋体"/>
                <w:color w:val="auto"/>
                <w:szCs w:val="21"/>
                <w:highlight w:val="none"/>
              </w:rPr>
            </w:pPr>
            <w:r>
              <w:rPr>
                <w:rFonts w:hint="eastAsia" w:ascii="宋体" w:hAnsi="宋体"/>
                <w:color w:val="auto"/>
                <w:szCs w:val="21"/>
                <w:highlight w:val="none"/>
              </w:rPr>
              <w:t>1.项目经理</w:t>
            </w:r>
          </w:p>
        </w:tc>
        <w:tc>
          <w:tcPr>
            <w:tcW w:w="789" w:type="dxa"/>
            <w:noWrap w:val="0"/>
            <w:vAlign w:val="center"/>
          </w:tcPr>
          <w:p w14:paraId="19940232">
            <w:pPr>
              <w:spacing w:line="300" w:lineRule="auto"/>
              <w:rPr>
                <w:rFonts w:hint="eastAsia" w:ascii="宋体" w:hAnsi="宋体"/>
                <w:color w:val="auto"/>
                <w:szCs w:val="21"/>
                <w:highlight w:val="none"/>
              </w:rPr>
            </w:pPr>
          </w:p>
        </w:tc>
        <w:tc>
          <w:tcPr>
            <w:tcW w:w="788" w:type="dxa"/>
            <w:noWrap w:val="0"/>
            <w:vAlign w:val="center"/>
          </w:tcPr>
          <w:p w14:paraId="500CB6C7">
            <w:pPr>
              <w:spacing w:line="300" w:lineRule="auto"/>
              <w:rPr>
                <w:rFonts w:hint="eastAsia" w:ascii="宋体" w:hAnsi="宋体"/>
                <w:color w:val="auto"/>
                <w:szCs w:val="21"/>
                <w:highlight w:val="none"/>
              </w:rPr>
            </w:pPr>
          </w:p>
        </w:tc>
        <w:tc>
          <w:tcPr>
            <w:tcW w:w="1440" w:type="dxa"/>
            <w:noWrap w:val="0"/>
            <w:vAlign w:val="center"/>
          </w:tcPr>
          <w:p w14:paraId="240F27FB">
            <w:pPr>
              <w:spacing w:line="300" w:lineRule="auto"/>
              <w:rPr>
                <w:rFonts w:hint="eastAsia" w:ascii="宋体" w:hAnsi="宋体"/>
                <w:color w:val="auto"/>
                <w:szCs w:val="21"/>
                <w:highlight w:val="none"/>
              </w:rPr>
            </w:pPr>
          </w:p>
        </w:tc>
        <w:tc>
          <w:tcPr>
            <w:tcW w:w="3653" w:type="dxa"/>
            <w:noWrap w:val="0"/>
            <w:vAlign w:val="center"/>
          </w:tcPr>
          <w:p w14:paraId="2B8F4A51">
            <w:pPr>
              <w:spacing w:line="300" w:lineRule="auto"/>
              <w:rPr>
                <w:rFonts w:hint="eastAsia" w:ascii="宋体" w:hAnsi="宋体"/>
                <w:color w:val="auto"/>
                <w:szCs w:val="21"/>
                <w:highlight w:val="none"/>
              </w:rPr>
            </w:pPr>
          </w:p>
        </w:tc>
      </w:tr>
      <w:tr w14:paraId="2399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27A1C0DD">
            <w:pPr>
              <w:spacing w:line="300" w:lineRule="auto"/>
              <w:rPr>
                <w:rFonts w:hint="eastAsia" w:ascii="宋体" w:hAnsi="宋体"/>
                <w:color w:val="auto"/>
                <w:szCs w:val="21"/>
                <w:highlight w:val="none"/>
              </w:rPr>
            </w:pPr>
            <w:r>
              <w:rPr>
                <w:rFonts w:hint="eastAsia" w:ascii="宋体" w:hAnsi="宋体"/>
                <w:color w:val="auto"/>
                <w:szCs w:val="21"/>
                <w:highlight w:val="none"/>
              </w:rPr>
              <w:t>2.项目副经理（如有）</w:t>
            </w:r>
          </w:p>
        </w:tc>
        <w:tc>
          <w:tcPr>
            <w:tcW w:w="789" w:type="dxa"/>
            <w:noWrap w:val="0"/>
            <w:vAlign w:val="center"/>
          </w:tcPr>
          <w:p w14:paraId="4BB96942">
            <w:pPr>
              <w:spacing w:line="300" w:lineRule="auto"/>
              <w:rPr>
                <w:rFonts w:hint="eastAsia" w:ascii="宋体" w:hAnsi="宋体"/>
                <w:color w:val="auto"/>
                <w:szCs w:val="21"/>
                <w:highlight w:val="none"/>
              </w:rPr>
            </w:pPr>
          </w:p>
        </w:tc>
        <w:tc>
          <w:tcPr>
            <w:tcW w:w="788" w:type="dxa"/>
            <w:noWrap w:val="0"/>
            <w:vAlign w:val="center"/>
          </w:tcPr>
          <w:p w14:paraId="3B801430">
            <w:pPr>
              <w:spacing w:line="300" w:lineRule="auto"/>
              <w:rPr>
                <w:rFonts w:hint="eastAsia" w:ascii="宋体" w:hAnsi="宋体"/>
                <w:color w:val="auto"/>
                <w:szCs w:val="21"/>
                <w:highlight w:val="none"/>
              </w:rPr>
            </w:pPr>
          </w:p>
        </w:tc>
        <w:tc>
          <w:tcPr>
            <w:tcW w:w="1440" w:type="dxa"/>
            <w:noWrap w:val="0"/>
            <w:vAlign w:val="center"/>
          </w:tcPr>
          <w:p w14:paraId="3E0C9009">
            <w:pPr>
              <w:spacing w:line="300" w:lineRule="auto"/>
              <w:rPr>
                <w:rFonts w:hint="eastAsia" w:ascii="宋体" w:hAnsi="宋体"/>
                <w:color w:val="auto"/>
                <w:szCs w:val="21"/>
                <w:highlight w:val="none"/>
              </w:rPr>
            </w:pPr>
          </w:p>
        </w:tc>
        <w:tc>
          <w:tcPr>
            <w:tcW w:w="3653" w:type="dxa"/>
            <w:noWrap w:val="0"/>
            <w:vAlign w:val="center"/>
          </w:tcPr>
          <w:p w14:paraId="4092E518">
            <w:pPr>
              <w:spacing w:line="300" w:lineRule="auto"/>
              <w:rPr>
                <w:rFonts w:hint="eastAsia" w:ascii="宋体" w:hAnsi="宋体"/>
                <w:color w:val="auto"/>
                <w:szCs w:val="21"/>
                <w:highlight w:val="none"/>
              </w:rPr>
            </w:pPr>
          </w:p>
        </w:tc>
      </w:tr>
      <w:tr w14:paraId="0B3F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1391F722">
            <w:pPr>
              <w:spacing w:line="300" w:lineRule="auto"/>
              <w:rPr>
                <w:rFonts w:hint="eastAsia" w:ascii="宋体" w:hAnsi="宋体"/>
                <w:color w:val="auto"/>
                <w:szCs w:val="21"/>
                <w:highlight w:val="none"/>
              </w:rPr>
            </w:pPr>
            <w:r>
              <w:rPr>
                <w:rFonts w:ascii="宋体" w:hAnsi="宋体"/>
                <w:color w:val="auto"/>
                <w:szCs w:val="21"/>
                <w:highlight w:val="none"/>
              </w:rPr>
              <w:t>……</w:t>
            </w:r>
          </w:p>
        </w:tc>
        <w:tc>
          <w:tcPr>
            <w:tcW w:w="789" w:type="dxa"/>
            <w:noWrap w:val="0"/>
            <w:vAlign w:val="center"/>
          </w:tcPr>
          <w:p w14:paraId="75B04CBD">
            <w:pPr>
              <w:spacing w:line="300" w:lineRule="auto"/>
              <w:rPr>
                <w:rFonts w:hint="eastAsia" w:ascii="宋体" w:hAnsi="宋体"/>
                <w:color w:val="auto"/>
                <w:szCs w:val="21"/>
                <w:highlight w:val="none"/>
              </w:rPr>
            </w:pPr>
          </w:p>
        </w:tc>
        <w:tc>
          <w:tcPr>
            <w:tcW w:w="788" w:type="dxa"/>
            <w:noWrap w:val="0"/>
            <w:vAlign w:val="center"/>
          </w:tcPr>
          <w:p w14:paraId="5006DAE7">
            <w:pPr>
              <w:spacing w:line="300" w:lineRule="auto"/>
              <w:rPr>
                <w:rFonts w:hint="eastAsia" w:ascii="宋体" w:hAnsi="宋体"/>
                <w:color w:val="auto"/>
                <w:szCs w:val="21"/>
                <w:highlight w:val="none"/>
              </w:rPr>
            </w:pPr>
          </w:p>
        </w:tc>
        <w:tc>
          <w:tcPr>
            <w:tcW w:w="1440" w:type="dxa"/>
            <w:noWrap w:val="0"/>
            <w:vAlign w:val="center"/>
          </w:tcPr>
          <w:p w14:paraId="11B33DCB">
            <w:pPr>
              <w:spacing w:line="300" w:lineRule="auto"/>
              <w:rPr>
                <w:rFonts w:hint="eastAsia" w:ascii="宋体" w:hAnsi="宋体"/>
                <w:color w:val="auto"/>
                <w:szCs w:val="21"/>
                <w:highlight w:val="none"/>
              </w:rPr>
            </w:pPr>
          </w:p>
        </w:tc>
        <w:tc>
          <w:tcPr>
            <w:tcW w:w="3653" w:type="dxa"/>
            <w:noWrap w:val="0"/>
            <w:vAlign w:val="center"/>
          </w:tcPr>
          <w:p w14:paraId="6E52DE96">
            <w:pPr>
              <w:spacing w:line="300" w:lineRule="auto"/>
              <w:rPr>
                <w:rFonts w:hint="eastAsia" w:ascii="宋体" w:hAnsi="宋体"/>
                <w:color w:val="auto"/>
                <w:szCs w:val="21"/>
                <w:highlight w:val="none"/>
              </w:rPr>
            </w:pPr>
          </w:p>
        </w:tc>
      </w:tr>
      <w:tr w14:paraId="3496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1F8F90E8">
            <w:pPr>
              <w:spacing w:line="300" w:lineRule="auto"/>
              <w:rPr>
                <w:rFonts w:hint="eastAsia" w:ascii="宋体" w:hAnsi="宋体"/>
                <w:color w:val="auto"/>
                <w:szCs w:val="21"/>
                <w:highlight w:val="none"/>
              </w:rPr>
            </w:pPr>
            <w:r>
              <w:rPr>
                <w:rFonts w:hint="eastAsia" w:ascii="宋体" w:hAnsi="宋体"/>
                <w:color w:val="auto"/>
                <w:szCs w:val="21"/>
                <w:highlight w:val="none"/>
              </w:rPr>
              <w:t>3.技术负责人</w:t>
            </w:r>
          </w:p>
        </w:tc>
        <w:tc>
          <w:tcPr>
            <w:tcW w:w="789" w:type="dxa"/>
            <w:noWrap w:val="0"/>
            <w:vAlign w:val="center"/>
          </w:tcPr>
          <w:p w14:paraId="04B6DAF0">
            <w:pPr>
              <w:spacing w:line="300" w:lineRule="auto"/>
              <w:rPr>
                <w:rFonts w:hint="eastAsia" w:ascii="宋体" w:hAnsi="宋体"/>
                <w:color w:val="auto"/>
                <w:szCs w:val="21"/>
                <w:highlight w:val="none"/>
              </w:rPr>
            </w:pPr>
          </w:p>
        </w:tc>
        <w:tc>
          <w:tcPr>
            <w:tcW w:w="788" w:type="dxa"/>
            <w:noWrap w:val="0"/>
            <w:vAlign w:val="center"/>
          </w:tcPr>
          <w:p w14:paraId="768F8EF9">
            <w:pPr>
              <w:spacing w:line="300" w:lineRule="auto"/>
              <w:rPr>
                <w:rFonts w:hint="eastAsia" w:ascii="宋体" w:hAnsi="宋体"/>
                <w:color w:val="auto"/>
                <w:szCs w:val="21"/>
                <w:highlight w:val="none"/>
              </w:rPr>
            </w:pPr>
          </w:p>
        </w:tc>
        <w:tc>
          <w:tcPr>
            <w:tcW w:w="1440" w:type="dxa"/>
            <w:noWrap w:val="0"/>
            <w:vAlign w:val="center"/>
          </w:tcPr>
          <w:p w14:paraId="218B04AB">
            <w:pPr>
              <w:spacing w:line="300" w:lineRule="auto"/>
              <w:rPr>
                <w:rFonts w:hint="eastAsia" w:ascii="宋体" w:hAnsi="宋体"/>
                <w:color w:val="auto"/>
                <w:szCs w:val="21"/>
                <w:highlight w:val="none"/>
              </w:rPr>
            </w:pPr>
          </w:p>
        </w:tc>
        <w:tc>
          <w:tcPr>
            <w:tcW w:w="3653" w:type="dxa"/>
            <w:noWrap w:val="0"/>
            <w:vAlign w:val="center"/>
          </w:tcPr>
          <w:p w14:paraId="7E506CFA">
            <w:pPr>
              <w:spacing w:line="300" w:lineRule="auto"/>
              <w:rPr>
                <w:rFonts w:hint="eastAsia" w:ascii="宋体" w:hAnsi="宋体"/>
                <w:color w:val="auto"/>
                <w:szCs w:val="21"/>
                <w:highlight w:val="none"/>
              </w:rPr>
            </w:pPr>
          </w:p>
        </w:tc>
      </w:tr>
      <w:tr w14:paraId="6422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1070934B">
            <w:pPr>
              <w:spacing w:line="300" w:lineRule="auto"/>
              <w:rPr>
                <w:rFonts w:hint="eastAsia" w:ascii="宋体" w:hAnsi="宋体"/>
                <w:color w:val="auto"/>
                <w:szCs w:val="21"/>
                <w:highlight w:val="none"/>
              </w:rPr>
            </w:pPr>
            <w:r>
              <w:rPr>
                <w:rFonts w:hint="eastAsia" w:ascii="宋体" w:hAnsi="宋体"/>
                <w:color w:val="auto"/>
                <w:szCs w:val="21"/>
                <w:highlight w:val="none"/>
              </w:rPr>
              <w:t>4.施工员</w:t>
            </w:r>
          </w:p>
        </w:tc>
        <w:tc>
          <w:tcPr>
            <w:tcW w:w="789" w:type="dxa"/>
            <w:noWrap w:val="0"/>
            <w:vAlign w:val="center"/>
          </w:tcPr>
          <w:p w14:paraId="435B011F">
            <w:pPr>
              <w:spacing w:line="300" w:lineRule="auto"/>
              <w:rPr>
                <w:rFonts w:hint="eastAsia" w:ascii="宋体" w:hAnsi="宋体"/>
                <w:color w:val="auto"/>
                <w:szCs w:val="21"/>
                <w:highlight w:val="none"/>
              </w:rPr>
            </w:pPr>
          </w:p>
        </w:tc>
        <w:tc>
          <w:tcPr>
            <w:tcW w:w="788" w:type="dxa"/>
            <w:noWrap w:val="0"/>
            <w:vAlign w:val="center"/>
          </w:tcPr>
          <w:p w14:paraId="7ABC9099">
            <w:pPr>
              <w:spacing w:line="300" w:lineRule="auto"/>
              <w:rPr>
                <w:rFonts w:hint="eastAsia" w:ascii="宋体" w:hAnsi="宋体"/>
                <w:color w:val="auto"/>
                <w:szCs w:val="21"/>
                <w:highlight w:val="none"/>
              </w:rPr>
            </w:pPr>
          </w:p>
        </w:tc>
        <w:tc>
          <w:tcPr>
            <w:tcW w:w="1440" w:type="dxa"/>
            <w:noWrap w:val="0"/>
            <w:vAlign w:val="center"/>
          </w:tcPr>
          <w:p w14:paraId="2E5E6641">
            <w:pPr>
              <w:spacing w:line="300" w:lineRule="auto"/>
              <w:rPr>
                <w:rFonts w:hint="eastAsia" w:ascii="宋体" w:hAnsi="宋体"/>
                <w:color w:val="auto"/>
                <w:szCs w:val="21"/>
                <w:highlight w:val="none"/>
              </w:rPr>
            </w:pPr>
          </w:p>
        </w:tc>
        <w:tc>
          <w:tcPr>
            <w:tcW w:w="3653" w:type="dxa"/>
            <w:noWrap w:val="0"/>
            <w:vAlign w:val="center"/>
          </w:tcPr>
          <w:p w14:paraId="666503EE">
            <w:pPr>
              <w:spacing w:line="300" w:lineRule="auto"/>
              <w:rPr>
                <w:rFonts w:hint="eastAsia" w:ascii="宋体" w:hAnsi="宋体"/>
                <w:color w:val="auto"/>
                <w:szCs w:val="21"/>
                <w:highlight w:val="none"/>
              </w:rPr>
            </w:pPr>
          </w:p>
        </w:tc>
      </w:tr>
      <w:tr w14:paraId="434F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585F5E99">
            <w:pPr>
              <w:spacing w:line="300" w:lineRule="auto"/>
              <w:rPr>
                <w:rFonts w:hint="eastAsia" w:ascii="宋体" w:hAnsi="宋体"/>
                <w:color w:val="auto"/>
                <w:szCs w:val="21"/>
                <w:highlight w:val="none"/>
              </w:rPr>
            </w:pPr>
            <w:r>
              <w:rPr>
                <w:rFonts w:ascii="宋体" w:hAnsi="宋体"/>
                <w:color w:val="auto"/>
                <w:szCs w:val="21"/>
                <w:highlight w:val="none"/>
              </w:rPr>
              <w:t>……</w:t>
            </w:r>
          </w:p>
        </w:tc>
        <w:tc>
          <w:tcPr>
            <w:tcW w:w="789" w:type="dxa"/>
            <w:noWrap w:val="0"/>
            <w:vAlign w:val="center"/>
          </w:tcPr>
          <w:p w14:paraId="7C221232">
            <w:pPr>
              <w:spacing w:line="300" w:lineRule="auto"/>
              <w:rPr>
                <w:rFonts w:hint="eastAsia" w:ascii="宋体" w:hAnsi="宋体"/>
                <w:color w:val="auto"/>
                <w:szCs w:val="21"/>
                <w:highlight w:val="none"/>
              </w:rPr>
            </w:pPr>
          </w:p>
        </w:tc>
        <w:tc>
          <w:tcPr>
            <w:tcW w:w="788" w:type="dxa"/>
            <w:noWrap w:val="0"/>
            <w:vAlign w:val="center"/>
          </w:tcPr>
          <w:p w14:paraId="575E86BF">
            <w:pPr>
              <w:spacing w:line="300" w:lineRule="auto"/>
              <w:rPr>
                <w:rFonts w:hint="eastAsia" w:ascii="宋体" w:hAnsi="宋体"/>
                <w:color w:val="auto"/>
                <w:szCs w:val="21"/>
                <w:highlight w:val="none"/>
              </w:rPr>
            </w:pPr>
          </w:p>
        </w:tc>
        <w:tc>
          <w:tcPr>
            <w:tcW w:w="1440" w:type="dxa"/>
            <w:noWrap w:val="0"/>
            <w:vAlign w:val="center"/>
          </w:tcPr>
          <w:p w14:paraId="3C5A108B">
            <w:pPr>
              <w:spacing w:line="300" w:lineRule="auto"/>
              <w:rPr>
                <w:rFonts w:hint="eastAsia" w:ascii="宋体" w:hAnsi="宋体"/>
                <w:color w:val="auto"/>
                <w:szCs w:val="21"/>
                <w:highlight w:val="none"/>
              </w:rPr>
            </w:pPr>
          </w:p>
        </w:tc>
        <w:tc>
          <w:tcPr>
            <w:tcW w:w="3653" w:type="dxa"/>
            <w:noWrap w:val="0"/>
            <w:vAlign w:val="center"/>
          </w:tcPr>
          <w:p w14:paraId="33D2003B">
            <w:pPr>
              <w:spacing w:line="300" w:lineRule="auto"/>
              <w:rPr>
                <w:rFonts w:hint="eastAsia" w:ascii="宋体" w:hAnsi="宋体"/>
                <w:color w:val="auto"/>
                <w:szCs w:val="21"/>
                <w:highlight w:val="none"/>
              </w:rPr>
            </w:pPr>
          </w:p>
        </w:tc>
      </w:tr>
      <w:tr w14:paraId="0D13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46C3AC9F">
            <w:pPr>
              <w:spacing w:line="300" w:lineRule="auto"/>
              <w:rPr>
                <w:rFonts w:hint="eastAsia" w:ascii="宋体" w:hAnsi="宋体"/>
                <w:color w:val="auto"/>
                <w:szCs w:val="21"/>
                <w:highlight w:val="none"/>
              </w:rPr>
            </w:pPr>
            <w:r>
              <w:rPr>
                <w:rFonts w:hint="eastAsia" w:ascii="宋体" w:hAnsi="宋体"/>
                <w:color w:val="auto"/>
                <w:szCs w:val="21"/>
                <w:highlight w:val="none"/>
              </w:rPr>
              <w:t>5. 质检员</w:t>
            </w:r>
          </w:p>
        </w:tc>
        <w:tc>
          <w:tcPr>
            <w:tcW w:w="789" w:type="dxa"/>
            <w:noWrap w:val="0"/>
            <w:vAlign w:val="center"/>
          </w:tcPr>
          <w:p w14:paraId="793C2F36">
            <w:pPr>
              <w:spacing w:line="300" w:lineRule="auto"/>
              <w:rPr>
                <w:rFonts w:hint="eastAsia" w:ascii="宋体" w:hAnsi="宋体"/>
                <w:color w:val="auto"/>
                <w:szCs w:val="21"/>
                <w:highlight w:val="none"/>
              </w:rPr>
            </w:pPr>
          </w:p>
        </w:tc>
        <w:tc>
          <w:tcPr>
            <w:tcW w:w="788" w:type="dxa"/>
            <w:noWrap w:val="0"/>
            <w:vAlign w:val="center"/>
          </w:tcPr>
          <w:p w14:paraId="54196C31">
            <w:pPr>
              <w:spacing w:line="300" w:lineRule="auto"/>
              <w:rPr>
                <w:rFonts w:hint="eastAsia" w:ascii="宋体" w:hAnsi="宋体"/>
                <w:color w:val="auto"/>
                <w:szCs w:val="21"/>
                <w:highlight w:val="none"/>
              </w:rPr>
            </w:pPr>
          </w:p>
        </w:tc>
        <w:tc>
          <w:tcPr>
            <w:tcW w:w="1440" w:type="dxa"/>
            <w:noWrap w:val="0"/>
            <w:vAlign w:val="center"/>
          </w:tcPr>
          <w:p w14:paraId="661B4AC7">
            <w:pPr>
              <w:spacing w:line="300" w:lineRule="auto"/>
              <w:rPr>
                <w:rFonts w:hint="eastAsia" w:ascii="宋体" w:hAnsi="宋体"/>
                <w:color w:val="auto"/>
                <w:szCs w:val="21"/>
                <w:highlight w:val="none"/>
              </w:rPr>
            </w:pPr>
          </w:p>
        </w:tc>
        <w:tc>
          <w:tcPr>
            <w:tcW w:w="3653" w:type="dxa"/>
            <w:noWrap w:val="0"/>
            <w:vAlign w:val="center"/>
          </w:tcPr>
          <w:p w14:paraId="32039251">
            <w:pPr>
              <w:spacing w:line="300" w:lineRule="auto"/>
              <w:rPr>
                <w:rFonts w:hint="eastAsia" w:ascii="宋体" w:hAnsi="宋体"/>
                <w:color w:val="auto"/>
                <w:szCs w:val="21"/>
                <w:highlight w:val="none"/>
              </w:rPr>
            </w:pPr>
          </w:p>
        </w:tc>
      </w:tr>
      <w:tr w14:paraId="68D2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5257163D">
            <w:pPr>
              <w:spacing w:line="300" w:lineRule="auto"/>
              <w:rPr>
                <w:rFonts w:hint="eastAsia" w:ascii="宋体" w:hAnsi="宋体"/>
                <w:color w:val="auto"/>
                <w:szCs w:val="21"/>
                <w:highlight w:val="none"/>
              </w:rPr>
            </w:pPr>
            <w:r>
              <w:rPr>
                <w:rFonts w:ascii="宋体" w:hAnsi="宋体"/>
                <w:color w:val="auto"/>
                <w:szCs w:val="21"/>
                <w:highlight w:val="none"/>
              </w:rPr>
              <w:t>……</w:t>
            </w:r>
          </w:p>
        </w:tc>
        <w:tc>
          <w:tcPr>
            <w:tcW w:w="789" w:type="dxa"/>
            <w:noWrap w:val="0"/>
            <w:vAlign w:val="center"/>
          </w:tcPr>
          <w:p w14:paraId="31DD967D">
            <w:pPr>
              <w:spacing w:line="300" w:lineRule="auto"/>
              <w:rPr>
                <w:rFonts w:ascii="宋体" w:hAnsi="宋体"/>
                <w:color w:val="auto"/>
                <w:szCs w:val="21"/>
                <w:highlight w:val="none"/>
              </w:rPr>
            </w:pPr>
          </w:p>
        </w:tc>
        <w:tc>
          <w:tcPr>
            <w:tcW w:w="788" w:type="dxa"/>
            <w:noWrap w:val="0"/>
            <w:vAlign w:val="center"/>
          </w:tcPr>
          <w:p w14:paraId="5BE5F935">
            <w:pPr>
              <w:spacing w:line="300" w:lineRule="auto"/>
              <w:rPr>
                <w:rFonts w:ascii="宋体" w:hAnsi="宋体"/>
                <w:color w:val="auto"/>
                <w:szCs w:val="21"/>
                <w:highlight w:val="none"/>
              </w:rPr>
            </w:pPr>
          </w:p>
        </w:tc>
        <w:tc>
          <w:tcPr>
            <w:tcW w:w="1440" w:type="dxa"/>
            <w:noWrap w:val="0"/>
            <w:vAlign w:val="center"/>
          </w:tcPr>
          <w:p w14:paraId="78A44D5A">
            <w:pPr>
              <w:spacing w:line="300" w:lineRule="auto"/>
              <w:rPr>
                <w:rFonts w:ascii="宋体" w:hAnsi="宋体"/>
                <w:color w:val="auto"/>
                <w:szCs w:val="21"/>
                <w:highlight w:val="none"/>
              </w:rPr>
            </w:pPr>
          </w:p>
        </w:tc>
        <w:tc>
          <w:tcPr>
            <w:tcW w:w="3653" w:type="dxa"/>
            <w:noWrap w:val="0"/>
            <w:vAlign w:val="center"/>
          </w:tcPr>
          <w:p w14:paraId="280BAF39">
            <w:pPr>
              <w:spacing w:line="300" w:lineRule="auto"/>
              <w:rPr>
                <w:rFonts w:ascii="宋体" w:hAnsi="宋体"/>
                <w:color w:val="auto"/>
                <w:szCs w:val="21"/>
                <w:highlight w:val="none"/>
              </w:rPr>
            </w:pPr>
          </w:p>
        </w:tc>
      </w:tr>
      <w:tr w14:paraId="3387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560AE031">
            <w:pPr>
              <w:spacing w:line="300" w:lineRule="auto"/>
              <w:rPr>
                <w:rFonts w:hint="eastAsia" w:ascii="宋体" w:hAnsi="宋体"/>
                <w:color w:val="auto"/>
                <w:szCs w:val="21"/>
                <w:highlight w:val="none"/>
              </w:rPr>
            </w:pPr>
            <w:r>
              <w:rPr>
                <w:rFonts w:hint="eastAsia" w:ascii="宋体" w:hAnsi="宋体"/>
                <w:color w:val="auto"/>
                <w:szCs w:val="21"/>
                <w:highlight w:val="none"/>
              </w:rPr>
              <w:t>6.专职安全生产管理人员</w:t>
            </w:r>
          </w:p>
        </w:tc>
        <w:tc>
          <w:tcPr>
            <w:tcW w:w="789" w:type="dxa"/>
            <w:noWrap w:val="0"/>
            <w:vAlign w:val="center"/>
          </w:tcPr>
          <w:p w14:paraId="04DCCA7B">
            <w:pPr>
              <w:spacing w:line="300" w:lineRule="auto"/>
              <w:rPr>
                <w:rFonts w:ascii="宋体" w:hAnsi="宋体"/>
                <w:color w:val="auto"/>
                <w:szCs w:val="21"/>
                <w:highlight w:val="none"/>
              </w:rPr>
            </w:pPr>
          </w:p>
        </w:tc>
        <w:tc>
          <w:tcPr>
            <w:tcW w:w="788" w:type="dxa"/>
            <w:noWrap w:val="0"/>
            <w:vAlign w:val="center"/>
          </w:tcPr>
          <w:p w14:paraId="04FDBE23">
            <w:pPr>
              <w:spacing w:line="300" w:lineRule="auto"/>
              <w:rPr>
                <w:rFonts w:ascii="宋体" w:hAnsi="宋体"/>
                <w:color w:val="auto"/>
                <w:szCs w:val="21"/>
                <w:highlight w:val="none"/>
              </w:rPr>
            </w:pPr>
          </w:p>
        </w:tc>
        <w:tc>
          <w:tcPr>
            <w:tcW w:w="1440" w:type="dxa"/>
            <w:noWrap w:val="0"/>
            <w:vAlign w:val="center"/>
          </w:tcPr>
          <w:p w14:paraId="1C076B60">
            <w:pPr>
              <w:spacing w:line="300" w:lineRule="auto"/>
              <w:rPr>
                <w:rFonts w:ascii="宋体" w:hAnsi="宋体"/>
                <w:color w:val="auto"/>
                <w:szCs w:val="21"/>
                <w:highlight w:val="none"/>
              </w:rPr>
            </w:pPr>
          </w:p>
        </w:tc>
        <w:tc>
          <w:tcPr>
            <w:tcW w:w="3653" w:type="dxa"/>
            <w:noWrap w:val="0"/>
            <w:vAlign w:val="center"/>
          </w:tcPr>
          <w:p w14:paraId="53C634EB">
            <w:pPr>
              <w:spacing w:line="300" w:lineRule="auto"/>
              <w:rPr>
                <w:rFonts w:ascii="宋体" w:hAnsi="宋体"/>
                <w:color w:val="auto"/>
                <w:szCs w:val="21"/>
                <w:highlight w:val="none"/>
              </w:rPr>
            </w:pPr>
          </w:p>
        </w:tc>
      </w:tr>
      <w:tr w14:paraId="3209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38E022C2">
            <w:pPr>
              <w:spacing w:line="300" w:lineRule="auto"/>
              <w:rPr>
                <w:rFonts w:hint="eastAsia" w:ascii="宋体" w:hAnsi="宋体"/>
                <w:color w:val="auto"/>
                <w:szCs w:val="21"/>
                <w:highlight w:val="none"/>
              </w:rPr>
            </w:pPr>
            <w:r>
              <w:rPr>
                <w:rFonts w:ascii="宋体" w:hAnsi="宋体"/>
                <w:color w:val="auto"/>
                <w:szCs w:val="21"/>
                <w:highlight w:val="none"/>
              </w:rPr>
              <w:t>……</w:t>
            </w:r>
          </w:p>
        </w:tc>
        <w:tc>
          <w:tcPr>
            <w:tcW w:w="789" w:type="dxa"/>
            <w:noWrap w:val="0"/>
            <w:vAlign w:val="center"/>
          </w:tcPr>
          <w:p w14:paraId="314439A4">
            <w:pPr>
              <w:spacing w:line="300" w:lineRule="auto"/>
              <w:rPr>
                <w:rFonts w:ascii="宋体" w:hAnsi="宋体"/>
                <w:color w:val="auto"/>
                <w:szCs w:val="21"/>
                <w:highlight w:val="none"/>
              </w:rPr>
            </w:pPr>
          </w:p>
        </w:tc>
        <w:tc>
          <w:tcPr>
            <w:tcW w:w="788" w:type="dxa"/>
            <w:noWrap w:val="0"/>
            <w:vAlign w:val="center"/>
          </w:tcPr>
          <w:p w14:paraId="447536A8">
            <w:pPr>
              <w:spacing w:line="300" w:lineRule="auto"/>
              <w:rPr>
                <w:rFonts w:ascii="宋体" w:hAnsi="宋体"/>
                <w:color w:val="auto"/>
                <w:szCs w:val="21"/>
                <w:highlight w:val="none"/>
              </w:rPr>
            </w:pPr>
          </w:p>
        </w:tc>
        <w:tc>
          <w:tcPr>
            <w:tcW w:w="1440" w:type="dxa"/>
            <w:noWrap w:val="0"/>
            <w:vAlign w:val="center"/>
          </w:tcPr>
          <w:p w14:paraId="75EBB6D1">
            <w:pPr>
              <w:spacing w:line="300" w:lineRule="auto"/>
              <w:rPr>
                <w:rFonts w:ascii="宋体" w:hAnsi="宋体"/>
                <w:color w:val="auto"/>
                <w:szCs w:val="21"/>
                <w:highlight w:val="none"/>
              </w:rPr>
            </w:pPr>
          </w:p>
        </w:tc>
        <w:tc>
          <w:tcPr>
            <w:tcW w:w="3653" w:type="dxa"/>
            <w:noWrap w:val="0"/>
            <w:vAlign w:val="center"/>
          </w:tcPr>
          <w:p w14:paraId="7C8D7D20">
            <w:pPr>
              <w:spacing w:line="300" w:lineRule="auto"/>
              <w:rPr>
                <w:rFonts w:ascii="宋体" w:hAnsi="宋体"/>
                <w:color w:val="auto"/>
                <w:szCs w:val="21"/>
                <w:highlight w:val="none"/>
              </w:rPr>
            </w:pPr>
          </w:p>
        </w:tc>
      </w:tr>
      <w:tr w14:paraId="67AD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369281B1">
            <w:pPr>
              <w:spacing w:line="300" w:lineRule="auto"/>
              <w:rPr>
                <w:rFonts w:hint="eastAsia" w:ascii="宋体" w:hAnsi="宋体"/>
                <w:color w:val="auto"/>
                <w:szCs w:val="21"/>
                <w:highlight w:val="none"/>
              </w:rPr>
            </w:pPr>
            <w:r>
              <w:rPr>
                <w:rFonts w:hint="eastAsia" w:ascii="宋体" w:hAnsi="宋体"/>
                <w:color w:val="auto"/>
                <w:szCs w:val="21"/>
                <w:highlight w:val="none"/>
              </w:rPr>
              <w:t>7.材料员</w:t>
            </w:r>
          </w:p>
        </w:tc>
        <w:tc>
          <w:tcPr>
            <w:tcW w:w="789" w:type="dxa"/>
            <w:noWrap w:val="0"/>
            <w:vAlign w:val="center"/>
          </w:tcPr>
          <w:p w14:paraId="4D8F61D0">
            <w:pPr>
              <w:spacing w:line="300" w:lineRule="auto"/>
              <w:rPr>
                <w:rFonts w:ascii="宋体" w:hAnsi="宋体"/>
                <w:color w:val="auto"/>
                <w:szCs w:val="21"/>
                <w:highlight w:val="none"/>
              </w:rPr>
            </w:pPr>
          </w:p>
        </w:tc>
        <w:tc>
          <w:tcPr>
            <w:tcW w:w="788" w:type="dxa"/>
            <w:noWrap w:val="0"/>
            <w:vAlign w:val="center"/>
          </w:tcPr>
          <w:p w14:paraId="368AC057">
            <w:pPr>
              <w:spacing w:line="300" w:lineRule="auto"/>
              <w:rPr>
                <w:rFonts w:ascii="宋体" w:hAnsi="宋体"/>
                <w:color w:val="auto"/>
                <w:szCs w:val="21"/>
                <w:highlight w:val="none"/>
              </w:rPr>
            </w:pPr>
          </w:p>
        </w:tc>
        <w:tc>
          <w:tcPr>
            <w:tcW w:w="1440" w:type="dxa"/>
            <w:noWrap w:val="0"/>
            <w:vAlign w:val="center"/>
          </w:tcPr>
          <w:p w14:paraId="54428C40">
            <w:pPr>
              <w:spacing w:line="300" w:lineRule="auto"/>
              <w:rPr>
                <w:rFonts w:ascii="宋体" w:hAnsi="宋体"/>
                <w:color w:val="auto"/>
                <w:szCs w:val="21"/>
                <w:highlight w:val="none"/>
              </w:rPr>
            </w:pPr>
          </w:p>
        </w:tc>
        <w:tc>
          <w:tcPr>
            <w:tcW w:w="3653" w:type="dxa"/>
            <w:noWrap w:val="0"/>
            <w:vAlign w:val="center"/>
          </w:tcPr>
          <w:p w14:paraId="65229139">
            <w:pPr>
              <w:spacing w:line="300" w:lineRule="auto"/>
              <w:rPr>
                <w:rFonts w:ascii="宋体" w:hAnsi="宋体"/>
                <w:color w:val="auto"/>
                <w:szCs w:val="21"/>
                <w:highlight w:val="none"/>
              </w:rPr>
            </w:pPr>
          </w:p>
        </w:tc>
      </w:tr>
      <w:tr w14:paraId="3317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2A28828C">
            <w:pPr>
              <w:spacing w:line="300" w:lineRule="auto"/>
              <w:rPr>
                <w:rFonts w:hint="eastAsia" w:ascii="宋体" w:hAnsi="宋体"/>
                <w:color w:val="auto"/>
                <w:szCs w:val="21"/>
                <w:highlight w:val="none"/>
              </w:rPr>
            </w:pPr>
            <w:r>
              <w:rPr>
                <w:rFonts w:ascii="宋体" w:hAnsi="宋体"/>
                <w:color w:val="auto"/>
                <w:szCs w:val="21"/>
                <w:highlight w:val="none"/>
              </w:rPr>
              <w:t>……</w:t>
            </w:r>
          </w:p>
        </w:tc>
        <w:tc>
          <w:tcPr>
            <w:tcW w:w="789" w:type="dxa"/>
            <w:noWrap w:val="0"/>
            <w:vAlign w:val="center"/>
          </w:tcPr>
          <w:p w14:paraId="62A531B7">
            <w:pPr>
              <w:spacing w:line="300" w:lineRule="auto"/>
              <w:rPr>
                <w:rFonts w:ascii="宋体" w:hAnsi="宋体"/>
                <w:color w:val="auto"/>
                <w:szCs w:val="21"/>
                <w:highlight w:val="none"/>
              </w:rPr>
            </w:pPr>
          </w:p>
        </w:tc>
        <w:tc>
          <w:tcPr>
            <w:tcW w:w="788" w:type="dxa"/>
            <w:noWrap w:val="0"/>
            <w:vAlign w:val="center"/>
          </w:tcPr>
          <w:p w14:paraId="31031908">
            <w:pPr>
              <w:spacing w:line="300" w:lineRule="auto"/>
              <w:rPr>
                <w:rFonts w:ascii="宋体" w:hAnsi="宋体"/>
                <w:color w:val="auto"/>
                <w:szCs w:val="21"/>
                <w:highlight w:val="none"/>
              </w:rPr>
            </w:pPr>
          </w:p>
        </w:tc>
        <w:tc>
          <w:tcPr>
            <w:tcW w:w="1440" w:type="dxa"/>
            <w:noWrap w:val="0"/>
            <w:vAlign w:val="center"/>
          </w:tcPr>
          <w:p w14:paraId="2B87C152">
            <w:pPr>
              <w:spacing w:line="300" w:lineRule="auto"/>
              <w:rPr>
                <w:rFonts w:ascii="宋体" w:hAnsi="宋体"/>
                <w:color w:val="auto"/>
                <w:szCs w:val="21"/>
                <w:highlight w:val="none"/>
              </w:rPr>
            </w:pPr>
          </w:p>
        </w:tc>
        <w:tc>
          <w:tcPr>
            <w:tcW w:w="3653" w:type="dxa"/>
            <w:noWrap w:val="0"/>
            <w:vAlign w:val="center"/>
          </w:tcPr>
          <w:p w14:paraId="05C882A8">
            <w:pPr>
              <w:spacing w:line="300" w:lineRule="auto"/>
              <w:rPr>
                <w:rFonts w:ascii="宋体" w:hAnsi="宋体"/>
                <w:color w:val="auto"/>
                <w:szCs w:val="21"/>
                <w:highlight w:val="none"/>
              </w:rPr>
            </w:pPr>
          </w:p>
        </w:tc>
      </w:tr>
    </w:tbl>
    <w:p w14:paraId="3CFB9EF7">
      <w:pPr>
        <w:spacing w:line="360" w:lineRule="exact"/>
        <w:rPr>
          <w:rFonts w:hint="eastAsia" w:ascii="宋体" w:hAnsi="宋体" w:cs="宋体"/>
          <w:color w:val="auto"/>
          <w:spacing w:val="-2"/>
          <w:kern w:val="0"/>
          <w:szCs w:val="21"/>
          <w:highlight w:val="none"/>
        </w:rPr>
      </w:pPr>
      <w:r>
        <w:rPr>
          <w:rFonts w:hint="eastAsia" w:ascii="宋体" w:hAnsi="宋体" w:cs="宋体"/>
          <w:bCs/>
          <w:color w:val="auto"/>
          <w:spacing w:val="-2"/>
          <w:szCs w:val="21"/>
          <w:highlight w:val="none"/>
        </w:rPr>
        <w:t>注：人员配备</w:t>
      </w:r>
      <w:r>
        <w:rPr>
          <w:rFonts w:hint="eastAsia" w:ascii="宋体" w:hAnsi="宋体" w:cs="宋体"/>
          <w:color w:val="auto"/>
          <w:spacing w:val="-2"/>
          <w:szCs w:val="21"/>
          <w:highlight w:val="none"/>
        </w:rPr>
        <w:t>应按桂林市建设与规划委员会市建规〔2006〕270号文《关于调整建筑施工现场项目部管理的通知》的规定执行，须满足最低要求。</w:t>
      </w:r>
      <w:r>
        <w:rPr>
          <w:rFonts w:hint="eastAsia" w:ascii="宋体" w:hAnsi="宋体" w:cs="宋体"/>
          <w:color w:val="auto"/>
          <w:spacing w:val="-2"/>
          <w:kern w:val="0"/>
          <w:szCs w:val="21"/>
          <w:highlight w:val="none"/>
        </w:rPr>
        <w:t>其中，项目经理至少应附身份证复印件和建造师注册证书复印件及安全生产考核合格证书（B类）复印件；技术负责人应附身份证复印件、职称证复印件；专职安全生产管理人员至少应附身份证复印件、专职安全员安全生产考核合格证书（C类）复印件；其他主要人员（施工员、质检（量）员、材料员）应附执业证或上岗证书复印件。上述复印件均需加盖供应商公章。</w:t>
      </w:r>
    </w:p>
    <w:p w14:paraId="1ED8009B">
      <w:pPr>
        <w:rPr>
          <w:rFonts w:hint="eastAsia" w:ascii="宋体" w:hAnsi="宋体" w:eastAsia="宋体"/>
          <w:b/>
          <w:strike/>
          <w:dstrike w:val="0"/>
          <w:color w:val="auto"/>
          <w:highlight w:val="none"/>
          <w:lang w:val="en-US" w:eastAsia="zh-CN"/>
        </w:rPr>
      </w:pPr>
    </w:p>
    <w:p w14:paraId="3148ED53">
      <w:pPr>
        <w:snapToGrid w:val="0"/>
        <w:spacing w:line="400" w:lineRule="atLeast"/>
        <w:jc w:val="center"/>
        <w:outlineLvl w:val="4"/>
        <w:rPr>
          <w:rFonts w:ascii="宋体" w:hAnsi="宋体"/>
          <w:color w:val="auto"/>
          <w:szCs w:val="21"/>
          <w:highlight w:val="none"/>
          <w:u w:val="single"/>
        </w:rPr>
      </w:pPr>
      <w:r>
        <w:rPr>
          <w:rFonts w:hint="eastAsia" w:ascii="宋体" w:hAnsi="宋体"/>
          <w:color w:val="auto"/>
          <w:szCs w:val="21"/>
          <w:highlight w:val="none"/>
        </w:rPr>
        <w:t>供应商（</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color w:val="auto"/>
          <w:szCs w:val="21"/>
          <w:highlight w:val="none"/>
        </w:rPr>
        <w:t>）：</w:t>
      </w:r>
    </w:p>
    <w:p w14:paraId="7598F669">
      <w:pPr>
        <w:snapToGrid w:val="0"/>
        <w:spacing w:line="400" w:lineRule="atLeast"/>
        <w:ind w:left="937" w:leftChars="446" w:firstLine="3255" w:firstLineChars="1550"/>
        <w:jc w:val="left"/>
        <w:rPr>
          <w:rFonts w:hint="eastAsia" w:ascii="宋体" w:hAnsi="宋体"/>
          <w:color w:val="auto"/>
          <w:szCs w:val="21"/>
          <w:highlight w:val="none"/>
        </w:rPr>
      </w:pPr>
      <w:r>
        <w:rPr>
          <w:rFonts w:hint="eastAsia" w:ascii="宋体" w:hAnsi="宋体"/>
          <w:color w:val="auto"/>
          <w:highlight w:val="none"/>
        </w:rPr>
        <w:t>日   期：</w:t>
      </w:r>
      <w:r>
        <w:rPr>
          <w:rFonts w:hint="eastAsia" w:ascii="宋体" w:hAnsi="宋体"/>
          <w:color w:val="auto"/>
          <w:highlight w:val="none"/>
          <w:u w:val="single"/>
        </w:rPr>
        <w:t xml:space="preserve">                         </w:t>
      </w:r>
    </w:p>
    <w:p w14:paraId="195E296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pacing w:val="-2"/>
          <w:kern w:val="0"/>
          <w:sz w:val="21"/>
          <w:szCs w:val="21"/>
          <w:highlight w:val="none"/>
        </w:rPr>
      </w:pPr>
    </w:p>
    <w:p w14:paraId="47AABF8F">
      <w:pPr>
        <w:pStyle w:val="28"/>
        <w:spacing w:line="340" w:lineRule="exact"/>
        <w:jc w:val="center"/>
        <w:rPr>
          <w:rFonts w:hint="eastAsia" w:ascii="宋体" w:hAnsi="宋体" w:eastAsia="宋体" w:cs="宋体"/>
          <w:b/>
          <w:color w:val="auto"/>
          <w:sz w:val="32"/>
          <w:szCs w:val="32"/>
          <w:highlight w:val="none"/>
        </w:rPr>
      </w:pPr>
    </w:p>
    <w:p w14:paraId="65F28C84">
      <w:pPr>
        <w:pStyle w:val="20"/>
        <w:rPr>
          <w:rFonts w:hint="eastAsia" w:ascii="宋体" w:hAnsi="宋体" w:eastAsia="宋体" w:cs="宋体"/>
          <w:b/>
          <w:bCs/>
          <w:color w:val="auto"/>
          <w:szCs w:val="21"/>
          <w:highlight w:val="none"/>
        </w:rPr>
      </w:pPr>
    </w:p>
    <w:p w14:paraId="5BF45A08">
      <w:pPr>
        <w:pStyle w:val="20"/>
        <w:rPr>
          <w:rFonts w:hint="eastAsia" w:ascii="宋体" w:hAnsi="宋体" w:eastAsia="宋体" w:cs="宋体"/>
          <w:b/>
          <w:color w:val="auto"/>
          <w:sz w:val="28"/>
          <w:szCs w:val="28"/>
          <w:highlight w:val="none"/>
        </w:rPr>
      </w:pPr>
      <w:bookmarkStart w:id="1917" w:name="_Toc9716"/>
      <w:bookmarkStart w:id="1918" w:name="_Toc10745"/>
      <w:bookmarkStart w:id="1919" w:name="_Toc13064"/>
      <w:bookmarkStart w:id="1920" w:name="_Toc31920"/>
      <w:bookmarkStart w:id="1921" w:name="_Toc4756"/>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lang w:val="en-US" w:eastAsia="zh-CN"/>
        </w:rPr>
        <w:t>.</w:t>
      </w:r>
      <w:bookmarkEnd w:id="1917"/>
      <w:bookmarkEnd w:id="1918"/>
      <w:bookmarkEnd w:id="1919"/>
      <w:bookmarkEnd w:id="1920"/>
      <w:bookmarkEnd w:id="1921"/>
      <w:r>
        <w:rPr>
          <w:rFonts w:hint="eastAsia" w:ascii="宋体" w:hAnsi="宋体" w:eastAsia="宋体" w:cs="宋体"/>
          <w:b/>
          <w:color w:val="auto"/>
          <w:sz w:val="28"/>
          <w:szCs w:val="28"/>
          <w:highlight w:val="none"/>
          <w:lang w:val="en-US" w:eastAsia="zh-CN"/>
        </w:rPr>
        <w:t>施工组织设计（根据工程量清单及工程情况自行编制）（格式自拟，必须提供）</w:t>
      </w:r>
    </w:p>
    <w:p w14:paraId="4184EB54">
      <w:pPr>
        <w:snapToGrid w:val="0"/>
        <w:spacing w:line="400" w:lineRule="exact"/>
        <w:jc w:val="center"/>
        <w:outlineLvl w:val="9"/>
        <w:rPr>
          <w:rFonts w:hint="eastAsia" w:ascii="宋体" w:hAnsi="宋体" w:eastAsia="宋体" w:cs="宋体"/>
          <w:b/>
          <w:color w:val="auto"/>
          <w:sz w:val="28"/>
          <w:szCs w:val="28"/>
          <w:highlight w:val="none"/>
          <w:lang w:val="en-US" w:eastAsia="zh-CN"/>
        </w:rPr>
      </w:pPr>
    </w:p>
    <w:p w14:paraId="4F2C46A2">
      <w:pPr>
        <w:snapToGrid w:val="0"/>
        <w:spacing w:line="400" w:lineRule="exact"/>
        <w:jc w:val="center"/>
        <w:outlineLvl w:val="9"/>
        <w:rPr>
          <w:rFonts w:hint="eastAsia" w:ascii="宋体" w:hAnsi="宋体" w:cs="宋体"/>
          <w:b/>
          <w:color w:val="auto"/>
          <w:sz w:val="24"/>
          <w:szCs w:val="24"/>
          <w:highlight w:val="none"/>
          <w:lang w:val="en-US" w:eastAsia="zh-CN"/>
        </w:rPr>
      </w:pPr>
      <w:r>
        <w:rPr>
          <w:rFonts w:hint="eastAsia" w:ascii="宋体" w:hAnsi="宋体" w:eastAsia="宋体" w:cs="宋体"/>
          <w:b/>
          <w:color w:val="auto"/>
          <w:sz w:val="28"/>
          <w:szCs w:val="28"/>
          <w:highlight w:val="none"/>
          <w:lang w:val="en-US" w:eastAsia="zh-CN"/>
        </w:rPr>
        <w:t>施工组织设计</w:t>
      </w:r>
    </w:p>
    <w:p w14:paraId="3E36776A">
      <w:pPr>
        <w:pStyle w:val="28"/>
        <w:numPr>
          <w:ilvl w:val="0"/>
          <w:numId w:val="0"/>
        </w:numPr>
        <w:spacing w:line="340" w:lineRule="exact"/>
        <w:rPr>
          <w:rFonts w:hint="eastAsia" w:ascii="宋体" w:hAnsi="宋体" w:eastAsia="宋体" w:cs="宋体"/>
          <w:b/>
          <w:color w:val="auto"/>
          <w:sz w:val="28"/>
          <w:szCs w:val="28"/>
          <w:highlight w:val="none"/>
          <w:lang w:val="en-US" w:eastAsia="zh-CN"/>
        </w:rPr>
      </w:pPr>
    </w:p>
    <w:p w14:paraId="13CBA066">
      <w:pPr>
        <w:numPr>
          <w:ilvl w:val="0"/>
          <w:numId w:val="0"/>
        </w:numPr>
        <w:spacing w:line="400" w:lineRule="exact"/>
        <w:outlineLvl w:val="1"/>
        <w:rPr>
          <w:rFonts w:hint="eastAsia" w:ascii="宋体" w:hAnsi="宋体" w:eastAsia="宋体" w:cs="宋体"/>
          <w:b/>
          <w:color w:val="auto"/>
          <w:sz w:val="28"/>
          <w:szCs w:val="28"/>
          <w:highlight w:val="none"/>
          <w:lang w:val="en-US" w:eastAsia="zh-CN"/>
        </w:rPr>
      </w:pPr>
    </w:p>
    <w:p w14:paraId="26B5A707">
      <w:pPr>
        <w:snapToGrid w:val="0"/>
        <w:spacing w:line="400" w:lineRule="atLeast"/>
        <w:ind w:firstLine="3780" w:firstLineChars="1800"/>
        <w:outlineLvl w:val="4"/>
        <w:rPr>
          <w:rFonts w:ascii="宋体" w:hAnsi="宋体"/>
          <w:color w:val="auto"/>
          <w:szCs w:val="21"/>
          <w:highlight w:val="none"/>
          <w:u w:val="single"/>
        </w:rPr>
      </w:pPr>
      <w:r>
        <w:rPr>
          <w:rFonts w:hint="eastAsia" w:ascii="宋体" w:hAnsi="宋体"/>
          <w:color w:val="auto"/>
          <w:szCs w:val="21"/>
          <w:highlight w:val="none"/>
        </w:rPr>
        <w:t>供应商（</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14:paraId="41EF543C">
      <w:pPr>
        <w:snapToGrid w:val="0"/>
        <w:spacing w:line="400" w:lineRule="atLeast"/>
        <w:ind w:left="937" w:leftChars="446" w:firstLine="3255" w:firstLineChars="1550"/>
        <w:jc w:val="left"/>
        <w:rPr>
          <w:rFonts w:hint="eastAsia" w:ascii="宋体" w:hAnsi="宋体"/>
          <w:color w:val="auto"/>
          <w:highlight w:val="none"/>
          <w:u w:val="single"/>
        </w:rPr>
      </w:pPr>
      <w:r>
        <w:rPr>
          <w:rFonts w:hint="eastAsia" w:ascii="宋体" w:hAnsi="宋体"/>
          <w:color w:val="auto"/>
          <w:highlight w:val="none"/>
        </w:rPr>
        <w:t>日   期：</w:t>
      </w:r>
      <w:r>
        <w:rPr>
          <w:rFonts w:hint="eastAsia" w:ascii="宋体" w:hAnsi="宋体"/>
          <w:color w:val="auto"/>
          <w:highlight w:val="none"/>
          <w:u w:val="single"/>
        </w:rPr>
        <w:t xml:space="preserve">                         </w:t>
      </w:r>
      <w:bookmarkStart w:id="1922" w:name="_Toc4253"/>
      <w:bookmarkStart w:id="1923" w:name="_Toc226"/>
      <w:bookmarkStart w:id="1924" w:name="_Toc18938"/>
      <w:bookmarkStart w:id="1925" w:name="_Toc15169"/>
      <w:bookmarkStart w:id="1926" w:name="_Toc1099"/>
    </w:p>
    <w:p w14:paraId="790DC351">
      <w:pPr>
        <w:keepNext w:val="0"/>
        <w:keepLines w:val="0"/>
        <w:pageBreakBefore w:val="0"/>
        <w:widowControl w:val="0"/>
        <w:kinsoku/>
        <w:wordWrap/>
        <w:overflowPunct/>
        <w:topLinePunct w:val="0"/>
        <w:autoSpaceDE/>
        <w:autoSpaceDN/>
        <w:bidi w:val="0"/>
        <w:adjustRightInd/>
        <w:snapToGrid w:val="0"/>
        <w:spacing w:line="400" w:lineRule="atLeast"/>
        <w:ind w:left="0" w:leftChars="0" w:firstLine="0" w:firstLineChars="0"/>
        <w:jc w:val="left"/>
        <w:textAlignment w:val="auto"/>
        <w:rPr>
          <w:rFonts w:hint="eastAsia" w:ascii="宋体" w:hAnsi="宋体"/>
          <w:color w:val="auto"/>
          <w:highlight w:val="none"/>
          <w:u w:val="single"/>
        </w:rPr>
      </w:pPr>
    </w:p>
    <w:p w14:paraId="08BA003E">
      <w:pPr>
        <w:keepNext w:val="0"/>
        <w:keepLines w:val="0"/>
        <w:pageBreakBefore w:val="0"/>
        <w:widowControl w:val="0"/>
        <w:kinsoku/>
        <w:wordWrap/>
        <w:overflowPunct/>
        <w:topLinePunct w:val="0"/>
        <w:autoSpaceDE/>
        <w:autoSpaceDN/>
        <w:bidi w:val="0"/>
        <w:adjustRightInd/>
        <w:snapToGrid w:val="0"/>
        <w:spacing w:line="400" w:lineRule="atLeast"/>
        <w:ind w:left="0" w:leftChars="0" w:firstLine="0" w:firstLineChars="0"/>
        <w:jc w:val="left"/>
        <w:textAlignment w:val="auto"/>
        <w:rPr>
          <w:rFonts w:hint="eastAsia" w:ascii="宋体" w:hAnsi="宋体"/>
          <w:color w:val="auto"/>
          <w:highlight w:val="none"/>
          <w:u w:val="single"/>
        </w:rPr>
      </w:pPr>
    </w:p>
    <w:bookmarkEnd w:id="1922"/>
    <w:bookmarkEnd w:id="1923"/>
    <w:bookmarkEnd w:id="1924"/>
    <w:bookmarkEnd w:id="1925"/>
    <w:bookmarkEnd w:id="1926"/>
    <w:p w14:paraId="46558043">
      <w:pPr>
        <w:rPr>
          <w:rFonts w:hint="eastAsia"/>
          <w:color w:val="auto"/>
          <w:highlight w:val="none"/>
        </w:rPr>
      </w:pPr>
    </w:p>
    <w:p w14:paraId="6F2BA132">
      <w:pPr>
        <w:spacing w:line="420" w:lineRule="exact"/>
        <w:rPr>
          <w:rFonts w:hint="eastAsia" w:ascii="宋体" w:hAnsi="宋体" w:eastAsia="宋体" w:cs="宋体"/>
          <w:b/>
          <w:color w:val="auto"/>
          <w:sz w:val="28"/>
          <w:szCs w:val="28"/>
          <w:highlight w:val="none"/>
          <w:lang w:val="en-US" w:eastAsia="zh-CN"/>
        </w:rPr>
      </w:pPr>
    </w:p>
    <w:p w14:paraId="6D069A4C">
      <w:pPr>
        <w:pStyle w:val="34"/>
        <w:rPr>
          <w:rFonts w:hint="eastAsia"/>
          <w:color w:val="auto"/>
          <w:highlight w:val="none"/>
          <w:lang w:val="en-US" w:eastAsia="zh-CN"/>
        </w:rPr>
      </w:pPr>
    </w:p>
    <w:p w14:paraId="436A93AD">
      <w:pPr>
        <w:numPr>
          <w:ilvl w:val="0"/>
          <w:numId w:val="0"/>
        </w:numPr>
        <w:spacing w:line="400" w:lineRule="exact"/>
        <w:outlineLvl w:val="1"/>
        <w:rPr>
          <w:rFonts w:hint="eastAsia" w:ascii="宋体" w:hAnsi="宋体" w:eastAsia="宋体" w:cs="宋体"/>
          <w:b/>
          <w:color w:val="auto"/>
          <w:sz w:val="28"/>
          <w:szCs w:val="28"/>
          <w:highlight w:val="none"/>
          <w:lang w:val="en-US" w:eastAsia="zh-CN"/>
        </w:rPr>
      </w:pPr>
      <w:bookmarkStart w:id="1927" w:name="_Toc27687"/>
      <w:bookmarkStart w:id="1928" w:name="_Toc24798"/>
      <w:bookmarkStart w:id="1929" w:name="_Toc31962"/>
      <w:bookmarkStart w:id="1930" w:name="_Toc26788"/>
      <w:bookmarkStart w:id="1931" w:name="_Toc330"/>
      <w:bookmarkStart w:id="1932" w:name="_Toc32582"/>
      <w:bookmarkStart w:id="1933" w:name="_Toc1043"/>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lang w:val="en-US" w:eastAsia="zh-CN"/>
        </w:rPr>
        <w:t>.</w:t>
      </w:r>
      <w:r>
        <w:rPr>
          <w:rFonts w:hint="eastAsia" w:ascii="宋体" w:hAnsi="宋体" w:eastAsia="宋体" w:cs="宋体"/>
          <w:b/>
          <w:bCs/>
          <w:color w:val="auto"/>
          <w:sz w:val="28"/>
          <w:szCs w:val="28"/>
          <w:highlight w:val="none"/>
          <w:lang w:val="en-US" w:eastAsia="zh-CN"/>
        </w:rPr>
        <w:t>农民工</w:t>
      </w:r>
      <w:r>
        <w:rPr>
          <w:rFonts w:hint="eastAsia" w:ascii="宋体" w:hAnsi="宋体" w:eastAsia="宋体" w:cs="宋体"/>
          <w:b/>
          <w:color w:val="auto"/>
          <w:sz w:val="28"/>
          <w:szCs w:val="28"/>
          <w:highlight w:val="none"/>
          <w:lang w:val="en-US" w:eastAsia="zh-CN"/>
        </w:rPr>
        <w:t>工资保障金交纳与使用承诺书（必须提供）</w:t>
      </w:r>
      <w:bookmarkEnd w:id="1927"/>
      <w:bookmarkEnd w:id="1928"/>
      <w:bookmarkEnd w:id="1929"/>
      <w:bookmarkEnd w:id="1930"/>
      <w:bookmarkEnd w:id="1931"/>
      <w:bookmarkEnd w:id="1932"/>
      <w:bookmarkEnd w:id="1933"/>
    </w:p>
    <w:p w14:paraId="6CFE1439">
      <w:pPr>
        <w:spacing w:line="420" w:lineRule="exact"/>
        <w:ind w:firstLine="562" w:firstLineChars="200"/>
        <w:jc w:val="center"/>
        <w:rPr>
          <w:rFonts w:hint="eastAsia" w:ascii="宋体" w:hAnsi="宋体" w:cs="宋体"/>
          <w:b/>
          <w:color w:val="auto"/>
          <w:kern w:val="0"/>
          <w:sz w:val="24"/>
          <w:szCs w:val="24"/>
          <w:highlight w:val="none"/>
        </w:rPr>
      </w:pPr>
      <w:r>
        <w:rPr>
          <w:rFonts w:hint="eastAsia" w:ascii="宋体" w:hAnsi="宋体" w:eastAsia="宋体" w:cs="宋体"/>
          <w:b/>
          <w:bCs/>
          <w:color w:val="auto"/>
          <w:sz w:val="28"/>
          <w:szCs w:val="28"/>
          <w:highlight w:val="none"/>
          <w:lang w:val="en-US" w:eastAsia="zh-CN"/>
        </w:rPr>
        <w:t>农民工</w:t>
      </w:r>
      <w:r>
        <w:rPr>
          <w:rFonts w:hint="eastAsia" w:ascii="宋体" w:hAnsi="宋体" w:eastAsia="宋体" w:cs="宋体"/>
          <w:b/>
          <w:color w:val="auto"/>
          <w:sz w:val="28"/>
          <w:szCs w:val="28"/>
          <w:highlight w:val="none"/>
          <w:lang w:val="en-US" w:eastAsia="zh-CN"/>
        </w:rPr>
        <w:t>工资保障金交纳与使用承诺书</w:t>
      </w:r>
    </w:p>
    <w:p w14:paraId="180BD846">
      <w:pPr>
        <w:spacing w:line="420" w:lineRule="exact"/>
        <w:rPr>
          <w:rFonts w:hint="eastAsia" w:ascii="宋体" w:hAnsi="宋体" w:cs="宋体"/>
          <w:color w:val="auto"/>
          <w:kern w:val="0"/>
          <w:szCs w:val="21"/>
          <w:highlight w:val="none"/>
        </w:rPr>
      </w:pPr>
    </w:p>
    <w:p w14:paraId="7514AD68">
      <w:pPr>
        <w:spacing w:line="420" w:lineRule="exact"/>
        <w:rPr>
          <w:rFonts w:hint="eastAsia" w:ascii="宋体" w:hAnsi="宋体" w:cs="宋体"/>
          <w:b/>
          <w:color w:val="auto"/>
          <w:kern w:val="0"/>
          <w:szCs w:val="21"/>
          <w:highlight w:val="none"/>
          <w:u w:val="single"/>
        </w:rPr>
      </w:pPr>
      <w:r>
        <w:rPr>
          <w:rFonts w:hint="eastAsia" w:ascii="宋体" w:hAnsi="宋体" w:cs="宋体"/>
          <w:color w:val="auto"/>
          <w:kern w:val="0"/>
          <w:szCs w:val="21"/>
          <w:highlight w:val="none"/>
        </w:rPr>
        <w:t>致：</w:t>
      </w:r>
      <w:r>
        <w:rPr>
          <w:rFonts w:hint="eastAsia" w:ascii="宋体" w:hAnsi="宋体" w:cs="宋体"/>
          <w:color w:val="auto"/>
          <w:highlight w:val="none"/>
          <w:u w:val="single"/>
          <w:lang w:val="en-US" w:eastAsia="zh-CN"/>
        </w:rPr>
        <w:t>广西国喆项目管理有限公司</w:t>
      </w:r>
    </w:p>
    <w:p w14:paraId="54038AB7">
      <w:pPr>
        <w:keepNext w:val="0"/>
        <w:keepLines w:val="0"/>
        <w:pageBreakBefore w:val="0"/>
        <w:widowControl w:val="0"/>
        <w:kinsoku/>
        <w:wordWrap/>
        <w:overflowPunct/>
        <w:topLinePunct w:val="0"/>
        <w:autoSpaceDE/>
        <w:autoSpaceDN/>
        <w:bidi w:val="0"/>
        <w:adjustRightInd/>
        <w:snapToGrid/>
        <w:spacing w:line="420" w:lineRule="exact"/>
        <w:ind w:leftChars="0"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我方在此承诺：</w:t>
      </w:r>
    </w:p>
    <w:p w14:paraId="1F1B6FFC">
      <w:pPr>
        <w:keepNext w:val="0"/>
        <w:keepLines w:val="0"/>
        <w:pageBreakBefore w:val="0"/>
        <w:widowControl w:val="0"/>
        <w:kinsoku/>
        <w:wordWrap/>
        <w:overflowPunct/>
        <w:topLinePunct w:val="0"/>
        <w:autoSpaceDE/>
        <w:autoSpaceDN/>
        <w:bidi w:val="0"/>
        <w:adjustRightInd/>
        <w:snapToGrid/>
        <w:spacing w:line="420" w:lineRule="exact"/>
        <w:ind w:leftChars="0"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1.我方在本项目</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（项目名称及编号）响应文件递交截止之日前所承建工程中，无拖欠或克扣农民工工资的行为。</w:t>
      </w:r>
    </w:p>
    <w:p w14:paraId="3210B473">
      <w:pPr>
        <w:keepNext w:val="0"/>
        <w:keepLines w:val="0"/>
        <w:pageBreakBefore w:val="0"/>
        <w:widowControl w:val="0"/>
        <w:kinsoku/>
        <w:wordWrap/>
        <w:overflowPunct/>
        <w:topLinePunct w:val="0"/>
        <w:autoSpaceDE/>
        <w:autoSpaceDN/>
        <w:bidi w:val="0"/>
        <w:adjustRightInd/>
        <w:snapToGrid/>
        <w:spacing w:line="420" w:lineRule="exact"/>
        <w:ind w:leftChars="0"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2.我方参与</w:t>
      </w:r>
      <w:r>
        <w:rPr>
          <w:rFonts w:hint="eastAsia" w:ascii="宋体" w:hAnsi="宋体" w:cs="宋体"/>
          <w:color w:val="auto"/>
          <w:kern w:val="0"/>
          <w:szCs w:val="21"/>
          <w:highlight w:val="none"/>
          <w:lang w:val="en-US" w:eastAsia="zh-CN"/>
        </w:rPr>
        <w:t>磋商</w:t>
      </w:r>
      <w:r>
        <w:rPr>
          <w:rFonts w:hint="eastAsia" w:ascii="宋体" w:hAnsi="宋体" w:cs="宋体"/>
          <w:color w:val="auto"/>
          <w:kern w:val="0"/>
          <w:szCs w:val="21"/>
          <w:highlight w:val="none"/>
        </w:rPr>
        <w:t>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项目，一旦成交，我方保证在签订施工合同后，及时并足额将农民工工资保证金足额存入指定的账户，作为本项目农民工工资保证金。</w:t>
      </w:r>
    </w:p>
    <w:p w14:paraId="7A23B26C">
      <w:pPr>
        <w:keepNext w:val="0"/>
        <w:keepLines w:val="0"/>
        <w:pageBreakBefore w:val="0"/>
        <w:widowControl w:val="0"/>
        <w:kinsoku/>
        <w:wordWrap/>
        <w:overflowPunct/>
        <w:topLinePunct w:val="0"/>
        <w:autoSpaceDE/>
        <w:autoSpaceDN/>
        <w:bidi w:val="0"/>
        <w:adjustRightInd/>
        <w:snapToGrid/>
        <w:spacing w:line="420" w:lineRule="exact"/>
        <w:ind w:leftChars="0"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3.如我方在承包的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项目中出现拖欠农民工和工人工资情况的，由相关部门从其农民工工资保证金中先予划支。</w:t>
      </w:r>
    </w:p>
    <w:p w14:paraId="436019C0">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eastAsia"/>
          <w:color w:val="auto"/>
          <w:highlight w:val="none"/>
        </w:rPr>
      </w:pPr>
      <w:r>
        <w:rPr>
          <w:rFonts w:hint="eastAsia" w:ascii="宋体" w:hAnsi="宋体" w:cs="宋体"/>
          <w:color w:val="auto"/>
          <w:kern w:val="0"/>
          <w:szCs w:val="21"/>
          <w:highlight w:val="none"/>
        </w:rPr>
        <w:t>4.如我方不按时、足额存入农民工工资保证金，采购人有权取消我方承包资格。</w:t>
      </w:r>
    </w:p>
    <w:p w14:paraId="2778FB4C">
      <w:pPr>
        <w:pStyle w:val="28"/>
        <w:spacing w:line="340" w:lineRule="exact"/>
        <w:rPr>
          <w:rFonts w:hint="eastAsia" w:ascii="宋体" w:hAnsi="宋体" w:eastAsia="宋体" w:cs="宋体"/>
          <w:b/>
          <w:color w:val="auto"/>
          <w:sz w:val="28"/>
          <w:szCs w:val="28"/>
          <w:highlight w:val="none"/>
        </w:rPr>
      </w:pPr>
    </w:p>
    <w:p w14:paraId="75BDD2F7">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420" w:leftChars="0"/>
        <w:jc w:val="center"/>
        <w:textAlignment w:val="auto"/>
        <w:rPr>
          <w:rFonts w:hint="eastAsia" w:ascii="宋体" w:hAnsi="宋体" w:eastAsia="宋体" w:cs="宋体"/>
          <w:b/>
          <w:bCs/>
          <w:color w:val="auto"/>
          <w:sz w:val="32"/>
          <w:szCs w:val="32"/>
          <w:highlight w:val="none"/>
        </w:rPr>
      </w:pPr>
      <w:bookmarkStart w:id="1934" w:name="_Toc497927084"/>
      <w:bookmarkStart w:id="1935" w:name="_Toc28672"/>
      <w:bookmarkStart w:id="1936" w:name="_Toc9339"/>
    </w:p>
    <w:p w14:paraId="52B0A299">
      <w:pPr>
        <w:snapToGrid w:val="0"/>
        <w:spacing w:line="400" w:lineRule="atLeast"/>
        <w:ind w:firstLine="3780" w:firstLineChars="1800"/>
        <w:outlineLvl w:val="4"/>
        <w:rPr>
          <w:rFonts w:ascii="宋体" w:hAnsi="宋体"/>
          <w:color w:val="auto"/>
          <w:szCs w:val="21"/>
          <w:highlight w:val="none"/>
          <w:u w:val="single"/>
        </w:rPr>
      </w:pPr>
      <w:r>
        <w:rPr>
          <w:rFonts w:hint="eastAsia" w:ascii="宋体" w:hAnsi="宋体"/>
          <w:color w:val="auto"/>
          <w:szCs w:val="21"/>
          <w:highlight w:val="none"/>
        </w:rPr>
        <w:t>供应商（</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14:paraId="546E6B72">
      <w:pPr>
        <w:snapToGrid w:val="0"/>
        <w:spacing w:line="400" w:lineRule="atLeast"/>
        <w:ind w:left="937" w:leftChars="446" w:firstLine="3255" w:firstLineChars="1550"/>
        <w:jc w:val="left"/>
        <w:rPr>
          <w:rFonts w:hint="eastAsia" w:ascii="宋体" w:hAnsi="宋体"/>
          <w:color w:val="auto"/>
          <w:highlight w:val="none"/>
          <w:u w:val="single"/>
        </w:rPr>
      </w:pPr>
      <w:r>
        <w:rPr>
          <w:rFonts w:hint="eastAsia" w:ascii="宋体" w:hAnsi="宋体"/>
          <w:color w:val="auto"/>
          <w:highlight w:val="none"/>
        </w:rPr>
        <w:t>日   期：</w:t>
      </w:r>
      <w:r>
        <w:rPr>
          <w:rFonts w:hint="eastAsia" w:ascii="宋体" w:hAnsi="宋体"/>
          <w:color w:val="auto"/>
          <w:highlight w:val="none"/>
          <w:u w:val="single"/>
        </w:rPr>
        <w:t xml:space="preserve">                         </w:t>
      </w:r>
    </w:p>
    <w:p w14:paraId="4A97CACF">
      <w:pPr>
        <w:pStyle w:val="34"/>
        <w:rPr>
          <w:rFonts w:hint="eastAsia" w:ascii="宋体" w:hAnsi="宋体" w:eastAsia="宋体" w:cs="宋体"/>
          <w:b/>
          <w:color w:val="auto"/>
          <w:sz w:val="28"/>
          <w:szCs w:val="28"/>
          <w:highlight w:val="none"/>
          <w:lang w:val="en-US" w:eastAsia="zh-CN"/>
        </w:rPr>
      </w:pPr>
    </w:p>
    <w:p w14:paraId="590C1366">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420" w:leftChars="0"/>
        <w:jc w:val="center"/>
        <w:textAlignment w:val="auto"/>
        <w:outlineLvl w:val="1"/>
        <w:rPr>
          <w:rFonts w:hint="eastAsia" w:ascii="宋体" w:hAnsi="宋体" w:eastAsia="宋体" w:cs="宋体"/>
          <w:color w:val="auto"/>
          <w:szCs w:val="21"/>
          <w:highlight w:val="none"/>
        </w:rPr>
      </w:pPr>
      <w:r>
        <w:rPr>
          <w:rFonts w:hint="eastAsia" w:ascii="宋体" w:hAnsi="宋体" w:eastAsia="宋体" w:cs="宋体"/>
          <w:b/>
          <w:bCs/>
          <w:color w:val="auto"/>
          <w:sz w:val="32"/>
          <w:szCs w:val="32"/>
          <w:highlight w:val="none"/>
        </w:rPr>
        <w:br w:type="page"/>
      </w:r>
      <w:bookmarkStart w:id="1937" w:name="_Toc26970"/>
      <w:r>
        <w:rPr>
          <w:rFonts w:hint="eastAsia" w:ascii="宋体" w:hAnsi="宋体" w:eastAsia="宋体" w:cs="宋体"/>
          <w:b/>
          <w:bCs/>
          <w:color w:val="auto"/>
          <w:sz w:val="32"/>
          <w:szCs w:val="32"/>
          <w:highlight w:val="none"/>
        </w:rPr>
        <w:t>（</w:t>
      </w:r>
      <w:r>
        <w:rPr>
          <w:rFonts w:hint="eastAsia" w:ascii="宋体" w:hAnsi="宋体" w:cs="宋体"/>
          <w:b/>
          <w:bCs/>
          <w:color w:val="auto"/>
          <w:sz w:val="32"/>
          <w:szCs w:val="32"/>
          <w:highlight w:val="none"/>
          <w:lang w:eastAsia="zh-CN"/>
        </w:rPr>
        <w:t>三</w:t>
      </w:r>
      <w:r>
        <w:rPr>
          <w:rFonts w:hint="eastAsia" w:ascii="宋体" w:hAnsi="宋体" w:eastAsia="宋体" w:cs="宋体"/>
          <w:b/>
          <w:bCs/>
          <w:color w:val="auto"/>
          <w:sz w:val="32"/>
          <w:szCs w:val="32"/>
          <w:highlight w:val="none"/>
        </w:rPr>
        <w:t>）其</w:t>
      </w:r>
      <w:r>
        <w:rPr>
          <w:rFonts w:hint="eastAsia" w:ascii="宋体" w:hAnsi="宋体" w:eastAsia="宋体" w:cs="宋体"/>
          <w:b/>
          <w:bCs/>
          <w:color w:val="auto"/>
          <w:sz w:val="32"/>
          <w:szCs w:val="32"/>
          <w:highlight w:val="none"/>
          <w:lang w:eastAsia="zh-CN"/>
        </w:rPr>
        <w:t>他</w:t>
      </w:r>
      <w:r>
        <w:rPr>
          <w:rFonts w:hint="eastAsia" w:ascii="宋体" w:hAnsi="宋体" w:eastAsia="宋体" w:cs="宋体"/>
          <w:b/>
          <w:bCs/>
          <w:color w:val="auto"/>
          <w:sz w:val="32"/>
          <w:szCs w:val="32"/>
          <w:highlight w:val="none"/>
        </w:rPr>
        <w:t>有效证明材料目录</w:t>
      </w:r>
      <w:bookmarkEnd w:id="1934"/>
      <w:bookmarkEnd w:id="1935"/>
      <w:bookmarkEnd w:id="1936"/>
      <w:bookmarkEnd w:id="1937"/>
    </w:p>
    <w:p w14:paraId="20F9EE79">
      <w:pPr>
        <w:numPr>
          <w:ilvl w:val="0"/>
          <w:numId w:val="0"/>
        </w:numPr>
        <w:spacing w:line="360" w:lineRule="auto"/>
        <w:rPr>
          <w:rFonts w:hint="eastAsia" w:ascii="宋体" w:hAnsi="宋体" w:eastAsia="宋体" w:cs="宋体"/>
          <w:color w:val="auto"/>
          <w:sz w:val="21"/>
          <w:szCs w:val="21"/>
          <w:highlight w:val="none"/>
          <w:lang w:val="en-US" w:eastAsia="zh-CN"/>
        </w:rPr>
      </w:pPr>
    </w:p>
    <w:p w14:paraId="24DD0F0E">
      <w:pPr>
        <w:numPr>
          <w:ilvl w:val="0"/>
          <w:numId w:val="0"/>
        </w:numPr>
        <w:spacing w:line="360" w:lineRule="auto"/>
        <w:ind w:firstLine="420" w:firstLineChars="200"/>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Cs w:val="21"/>
          <w:highlight w:val="none"/>
          <w:lang w:eastAsia="zh-CN"/>
        </w:rPr>
        <w:t>供应商202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年以来具有类似工程业绩</w:t>
      </w:r>
      <w:r>
        <w:rPr>
          <w:rFonts w:hint="eastAsia" w:ascii="宋体" w:hAnsi="宋体" w:eastAsia="宋体" w:cs="宋体"/>
          <w:color w:val="auto"/>
          <w:szCs w:val="21"/>
          <w:highlight w:val="none"/>
        </w:rPr>
        <w:t>相关证明材料（无不良记录，以中标、成交通知书或签订的合同</w:t>
      </w:r>
      <w:r>
        <w:rPr>
          <w:rFonts w:hint="eastAsia" w:ascii="宋体" w:hAnsi="宋体" w:eastAsia="宋体" w:cs="宋体"/>
          <w:color w:val="auto"/>
          <w:szCs w:val="21"/>
          <w:highlight w:val="none"/>
          <w:lang w:val="en-US" w:eastAsia="zh-CN"/>
        </w:rPr>
        <w:t>或竣工验收意见书</w:t>
      </w:r>
      <w:r>
        <w:rPr>
          <w:rFonts w:hint="eastAsia" w:ascii="宋体" w:hAnsi="宋体" w:eastAsia="宋体" w:cs="宋体"/>
          <w:color w:val="auto"/>
          <w:szCs w:val="21"/>
          <w:highlight w:val="none"/>
        </w:rPr>
        <w:t>为准，并能清晰反映</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的名称、</w:t>
      </w:r>
      <w:r>
        <w:rPr>
          <w:rFonts w:hint="eastAsia" w:ascii="宋体" w:hAnsi="宋体" w:eastAsia="宋体" w:cs="宋体"/>
          <w:color w:val="auto"/>
          <w:szCs w:val="21"/>
          <w:highlight w:val="none"/>
          <w:lang w:eastAsia="zh-CN"/>
        </w:rPr>
        <w:t>采购内容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金额</w:t>
      </w:r>
      <w:r>
        <w:rPr>
          <w:rFonts w:hint="eastAsia" w:ascii="宋体" w:hAnsi="宋体" w:eastAsia="宋体" w:cs="宋体"/>
          <w:color w:val="auto"/>
          <w:szCs w:val="21"/>
          <w:highlight w:val="none"/>
          <w:lang w:eastAsia="zh-CN"/>
        </w:rPr>
        <w:t>、采购时间</w:t>
      </w:r>
      <w:r>
        <w:rPr>
          <w:rFonts w:hint="eastAsia" w:ascii="宋体" w:hAnsi="宋体" w:eastAsia="宋体" w:cs="宋体"/>
          <w:color w:val="auto"/>
          <w:szCs w:val="21"/>
          <w:highlight w:val="none"/>
        </w:rPr>
        <w:t>）</w:t>
      </w:r>
      <w:r>
        <w:rPr>
          <w:rFonts w:hint="eastAsia" w:ascii="宋体" w:hAnsi="宋体" w:eastAsia="宋体" w:cs="宋体"/>
          <w:b/>
          <w:bCs/>
          <w:color w:val="auto"/>
          <w:sz w:val="21"/>
          <w:szCs w:val="21"/>
          <w:highlight w:val="none"/>
        </w:rPr>
        <w:t>（如有，请提供）；</w:t>
      </w:r>
    </w:p>
    <w:p w14:paraId="6FE563D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供应商可结合本项目的评审办法视自身情况自行提交其它相关证明材料。</w:t>
      </w:r>
    </w:p>
    <w:p w14:paraId="44CC3744">
      <w:pPr>
        <w:spacing w:line="360" w:lineRule="auto"/>
        <w:ind w:firstLine="480" w:firstLineChars="200"/>
        <w:rPr>
          <w:rFonts w:hint="eastAsia" w:ascii="宋体" w:hAnsi="宋体" w:eastAsia="宋体" w:cs="宋体"/>
          <w:color w:val="auto"/>
          <w:sz w:val="24"/>
          <w:highlight w:val="none"/>
        </w:rPr>
      </w:pPr>
    </w:p>
    <w:p w14:paraId="6F6564E6">
      <w:pPr>
        <w:pStyle w:val="72"/>
        <w:rPr>
          <w:rFonts w:hint="eastAsia" w:ascii="宋体" w:hAnsi="宋体" w:eastAsia="宋体" w:cs="宋体"/>
          <w:b/>
          <w:bCs/>
          <w:color w:val="auto"/>
          <w:sz w:val="24"/>
          <w:highlight w:val="none"/>
        </w:rPr>
      </w:pPr>
    </w:p>
    <w:p w14:paraId="25727A10">
      <w:pPr>
        <w:pStyle w:val="72"/>
        <w:rPr>
          <w:rFonts w:hint="eastAsia" w:ascii="宋体" w:hAnsi="宋体" w:eastAsia="宋体" w:cs="宋体"/>
          <w:b/>
          <w:bCs/>
          <w:color w:val="auto"/>
          <w:sz w:val="24"/>
          <w:highlight w:val="none"/>
        </w:rPr>
      </w:pPr>
    </w:p>
    <w:p w14:paraId="7BD10CD5">
      <w:pPr>
        <w:pStyle w:val="72"/>
        <w:rPr>
          <w:rFonts w:hint="eastAsia" w:ascii="宋体" w:hAnsi="宋体" w:eastAsia="宋体" w:cs="宋体"/>
          <w:b/>
          <w:bCs/>
          <w:color w:val="auto"/>
          <w:sz w:val="24"/>
          <w:highlight w:val="none"/>
        </w:rPr>
      </w:pPr>
    </w:p>
    <w:p w14:paraId="3EF7AB27">
      <w:pPr>
        <w:pStyle w:val="72"/>
        <w:rPr>
          <w:rFonts w:hint="eastAsia" w:ascii="宋体" w:hAnsi="宋体" w:eastAsia="宋体" w:cs="宋体"/>
          <w:b/>
          <w:bCs/>
          <w:color w:val="auto"/>
          <w:sz w:val="24"/>
          <w:highlight w:val="none"/>
        </w:rPr>
      </w:pPr>
    </w:p>
    <w:p w14:paraId="15E0005C">
      <w:pPr>
        <w:numPr>
          <w:ilvl w:val="0"/>
          <w:numId w:val="0"/>
        </w:numPr>
        <w:spacing w:line="400" w:lineRule="exact"/>
        <w:outlineLvl w:val="1"/>
        <w:rPr>
          <w:rFonts w:hint="eastAsia" w:ascii="宋体" w:hAnsi="宋体" w:eastAsia="宋体" w:cs="宋体"/>
          <w:b/>
          <w:bCs/>
          <w:iCs/>
          <w:color w:val="auto"/>
          <w:kern w:val="2"/>
          <w:sz w:val="28"/>
          <w:szCs w:val="28"/>
          <w:highlight w:val="none"/>
          <w:lang w:val="en-US" w:eastAsia="zh-CN" w:bidi="ar-SA"/>
        </w:rPr>
      </w:pPr>
      <w:r>
        <w:rPr>
          <w:rFonts w:hint="eastAsia" w:ascii="宋体" w:hAnsi="宋体" w:eastAsia="宋体" w:cs="宋体"/>
          <w:b/>
          <w:bCs/>
          <w:iCs/>
          <w:color w:val="auto"/>
          <w:kern w:val="2"/>
          <w:sz w:val="28"/>
          <w:szCs w:val="28"/>
          <w:highlight w:val="none"/>
          <w:lang w:val="en-US" w:eastAsia="zh-CN" w:bidi="ar-SA"/>
        </w:rPr>
        <w:br w:type="page"/>
      </w:r>
      <w:bookmarkStart w:id="1938" w:name="_Toc13907"/>
      <w:bookmarkStart w:id="1939" w:name="_Toc4954"/>
      <w:bookmarkStart w:id="1940" w:name="_Toc4151"/>
      <w:bookmarkStart w:id="1941" w:name="_Toc6250"/>
      <w:bookmarkStart w:id="1942" w:name="_Toc6063"/>
      <w:r>
        <w:rPr>
          <w:rFonts w:hint="eastAsia" w:ascii="宋体" w:hAnsi="宋体" w:eastAsia="宋体" w:cs="宋体"/>
          <w:b/>
          <w:bCs/>
          <w:iCs/>
          <w:color w:val="auto"/>
          <w:kern w:val="2"/>
          <w:sz w:val="28"/>
          <w:szCs w:val="28"/>
          <w:highlight w:val="none"/>
          <w:lang w:val="en-US" w:eastAsia="zh-CN" w:bidi="ar-SA"/>
        </w:rPr>
        <w:t>1.</w:t>
      </w:r>
      <w:bookmarkEnd w:id="1938"/>
      <w:bookmarkEnd w:id="1939"/>
      <w:bookmarkEnd w:id="1940"/>
      <w:bookmarkEnd w:id="1941"/>
      <w:bookmarkEnd w:id="1942"/>
      <w:r>
        <w:rPr>
          <w:rFonts w:hint="eastAsia" w:ascii="宋体" w:hAnsi="宋体" w:eastAsia="宋体" w:cs="宋体"/>
          <w:b/>
          <w:bCs/>
          <w:iCs/>
          <w:color w:val="auto"/>
          <w:kern w:val="2"/>
          <w:sz w:val="28"/>
          <w:szCs w:val="28"/>
          <w:highlight w:val="none"/>
          <w:lang w:val="en-US" w:eastAsia="zh-CN" w:bidi="ar-SA"/>
        </w:rPr>
        <w:t>供应商</w:t>
      </w:r>
      <w:r>
        <w:rPr>
          <w:rFonts w:hint="eastAsia" w:ascii="宋体" w:hAnsi="宋体" w:cs="宋体"/>
          <w:b/>
          <w:bCs/>
          <w:iCs/>
          <w:color w:val="auto"/>
          <w:kern w:val="2"/>
          <w:sz w:val="28"/>
          <w:szCs w:val="28"/>
          <w:highlight w:val="none"/>
          <w:lang w:val="en-US" w:eastAsia="zh-CN" w:bidi="ar-SA"/>
        </w:rPr>
        <w:t>2023年以来</w:t>
      </w:r>
      <w:r>
        <w:rPr>
          <w:rFonts w:hint="eastAsia" w:ascii="宋体" w:hAnsi="宋体" w:eastAsia="宋体" w:cs="宋体"/>
          <w:b/>
          <w:bCs/>
          <w:iCs/>
          <w:color w:val="auto"/>
          <w:kern w:val="2"/>
          <w:sz w:val="28"/>
          <w:szCs w:val="28"/>
          <w:highlight w:val="none"/>
          <w:lang w:val="en-US" w:eastAsia="zh-CN" w:bidi="ar-SA"/>
        </w:rPr>
        <w:t>具有类似工程业绩相关证明材料（无不良记录，以中标、成交通知书或签订的合同或竣工验收意见书为准，并能清晰反映项目的名称、采购内容、采购金额、采购时间）（如有，请提供）</w:t>
      </w:r>
    </w:p>
    <w:p w14:paraId="5B8FABE8">
      <w:pPr>
        <w:rPr>
          <w:rFonts w:hint="eastAsia"/>
          <w:color w:val="auto"/>
          <w:highlight w:val="none"/>
          <w:lang w:val="en-US" w:eastAsia="zh-CN"/>
        </w:rPr>
      </w:pPr>
    </w:p>
    <w:p w14:paraId="7B10565C">
      <w:pPr>
        <w:rPr>
          <w:rFonts w:hint="eastAsia"/>
          <w:color w:val="auto"/>
          <w:highlight w:val="none"/>
          <w:lang w:val="en-US" w:eastAsia="zh-CN"/>
        </w:rPr>
      </w:pPr>
    </w:p>
    <w:p w14:paraId="430F56F4">
      <w:pPr>
        <w:keepNext w:val="0"/>
        <w:keepLines w:val="0"/>
        <w:pageBreakBefore w:val="0"/>
        <w:widowControl w:val="0"/>
        <w:tabs>
          <w:tab w:val="left" w:pos="1305"/>
        </w:tabs>
        <w:kinsoku/>
        <w:wordWrap/>
        <w:overflowPunct/>
        <w:topLinePunct w:val="0"/>
        <w:autoSpaceDE/>
        <w:autoSpaceDN/>
        <w:bidi w:val="0"/>
        <w:adjustRightInd/>
        <w:snapToGrid/>
        <w:spacing w:line="360" w:lineRule="exact"/>
        <w:ind w:left="0" w:leftChars="0" w:right="0" w:firstLine="420" w:firstLineChars="200"/>
        <w:textAlignment w:val="auto"/>
        <w:rPr>
          <w:rFonts w:hint="eastAsia" w:ascii="宋体" w:hAnsi="宋体" w:eastAsia="宋体" w:cs="宋体"/>
          <w:b w:val="0"/>
          <w:bCs/>
          <w:color w:val="auto"/>
          <w:kern w:val="0"/>
          <w:sz w:val="21"/>
          <w:szCs w:val="21"/>
          <w:highlight w:val="none"/>
          <w:lang w:val="en-US" w:eastAsia="zh-CN"/>
        </w:rPr>
      </w:pPr>
    </w:p>
    <w:p w14:paraId="12824DBD">
      <w:pPr>
        <w:keepNext w:val="0"/>
        <w:keepLines w:val="0"/>
        <w:pageBreakBefore w:val="0"/>
        <w:widowControl w:val="0"/>
        <w:tabs>
          <w:tab w:val="left" w:pos="1305"/>
        </w:tabs>
        <w:kinsoku/>
        <w:wordWrap/>
        <w:overflowPunct/>
        <w:topLinePunct w:val="0"/>
        <w:autoSpaceDE/>
        <w:autoSpaceDN/>
        <w:bidi w:val="0"/>
        <w:adjustRightInd/>
        <w:snapToGrid/>
        <w:spacing w:line="360" w:lineRule="exact"/>
        <w:ind w:left="0" w:leftChars="0" w:right="0" w:firstLine="420" w:firstLineChars="200"/>
        <w:textAlignment w:val="auto"/>
        <w:rPr>
          <w:rFonts w:hint="eastAsia" w:ascii="宋体" w:hAnsi="宋体" w:eastAsia="宋体" w:cs="宋体"/>
          <w:b w:val="0"/>
          <w:bCs/>
          <w:color w:val="auto"/>
          <w:kern w:val="0"/>
          <w:sz w:val="21"/>
          <w:szCs w:val="21"/>
          <w:highlight w:val="none"/>
          <w:lang w:val="en-US" w:eastAsia="zh-CN"/>
        </w:rPr>
      </w:pPr>
    </w:p>
    <w:p w14:paraId="058728D1">
      <w:pPr>
        <w:keepNext w:val="0"/>
        <w:keepLines w:val="0"/>
        <w:pageBreakBefore w:val="0"/>
        <w:widowControl w:val="0"/>
        <w:tabs>
          <w:tab w:val="left" w:pos="1305"/>
        </w:tabs>
        <w:kinsoku/>
        <w:wordWrap/>
        <w:overflowPunct/>
        <w:topLinePunct w:val="0"/>
        <w:autoSpaceDE/>
        <w:autoSpaceDN/>
        <w:bidi w:val="0"/>
        <w:adjustRightInd/>
        <w:snapToGrid/>
        <w:spacing w:line="360" w:lineRule="exact"/>
        <w:ind w:left="0" w:leftChars="0" w:right="0" w:firstLine="560" w:firstLineChars="200"/>
        <w:textAlignment w:val="auto"/>
        <w:rPr>
          <w:rFonts w:hint="eastAsia" w:ascii="宋体" w:hAnsi="宋体" w:eastAsia="宋体" w:cs="宋体"/>
          <w:b w:val="0"/>
          <w:bCs/>
          <w:color w:val="auto"/>
          <w:kern w:val="0"/>
          <w:sz w:val="28"/>
          <w:szCs w:val="28"/>
          <w:highlight w:val="none"/>
          <w:lang w:val="en-US" w:eastAsia="zh-CN"/>
        </w:rPr>
      </w:pPr>
    </w:p>
    <w:p w14:paraId="0E501227">
      <w:pPr>
        <w:numPr>
          <w:ilvl w:val="0"/>
          <w:numId w:val="10"/>
        </w:numPr>
        <w:spacing w:line="240" w:lineRule="auto"/>
        <w:outlineLvl w:val="1"/>
        <w:rPr>
          <w:rFonts w:hint="eastAsia" w:ascii="宋体" w:hAnsi="宋体" w:eastAsia="宋体" w:cs="宋体"/>
          <w:b/>
          <w:bCs/>
          <w:iCs/>
          <w:color w:val="auto"/>
          <w:kern w:val="2"/>
          <w:sz w:val="28"/>
          <w:szCs w:val="28"/>
          <w:highlight w:val="none"/>
          <w:lang w:val="en-US" w:eastAsia="zh-CN" w:bidi="ar-SA"/>
        </w:rPr>
      </w:pPr>
      <w:r>
        <w:rPr>
          <w:rFonts w:hint="eastAsia" w:ascii="宋体" w:hAnsi="宋体" w:eastAsia="宋体" w:cs="宋体"/>
          <w:b/>
          <w:bCs/>
          <w:iCs/>
          <w:color w:val="auto"/>
          <w:kern w:val="2"/>
          <w:sz w:val="28"/>
          <w:szCs w:val="28"/>
          <w:highlight w:val="none"/>
          <w:lang w:val="en-US" w:eastAsia="zh-CN" w:bidi="ar-SA"/>
        </w:rPr>
        <w:t>供应商可结合本项目的评审办法视自身情况自行提交其它相关证明材料（如有，请提供）</w:t>
      </w:r>
    </w:p>
    <w:p w14:paraId="0BC7EDE1">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6167ED91">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53D2DFA3">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10A6449E">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5E8D5F94">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5C031F2F">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573DF357">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7EB71200">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11E05A3C">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0937306A">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3FBBA88A">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7346426E">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5A122F8E">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0672A59E">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67F60A23">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38F2BA8B">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416EAC97">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23C8DC2E">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41D8AECA">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7A0080FB">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46C5D95F">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67EC794D">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30477A92">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31FAE510">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34D44B70">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0A969526">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01906678">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332A4FE0">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5CD483B3">
      <w:pPr>
        <w:widowControl w:val="0"/>
        <w:numPr>
          <w:ilvl w:val="0"/>
          <w:numId w:val="0"/>
        </w:numPr>
        <w:spacing w:line="240" w:lineRule="auto"/>
        <w:jc w:val="center"/>
        <w:outlineLvl w:val="1"/>
        <w:rPr>
          <w:rFonts w:hint="eastAsia" w:ascii="华文中宋" w:hAnsi="华文中宋" w:eastAsia="华文中宋" w:cs="华文中宋"/>
          <w:b/>
          <w:bCs/>
          <w:color w:val="auto"/>
          <w:sz w:val="32"/>
          <w:szCs w:val="32"/>
          <w:highlight w:val="none"/>
          <w:lang w:val="en-US" w:eastAsia="zh-CN"/>
        </w:rPr>
      </w:pPr>
      <w:r>
        <w:rPr>
          <w:rFonts w:hint="eastAsia" w:ascii="华文中宋" w:hAnsi="华文中宋" w:eastAsia="华文中宋" w:cs="华文中宋"/>
          <w:b/>
          <w:bCs/>
          <w:color w:val="auto"/>
          <w:sz w:val="32"/>
          <w:szCs w:val="32"/>
          <w:highlight w:val="none"/>
        </w:rPr>
        <w:t>第</w:t>
      </w:r>
      <w:r>
        <w:rPr>
          <w:rFonts w:hint="eastAsia" w:ascii="华文中宋" w:hAnsi="华文中宋" w:eastAsia="华文中宋" w:cs="华文中宋"/>
          <w:b/>
          <w:bCs/>
          <w:color w:val="auto"/>
          <w:sz w:val="32"/>
          <w:szCs w:val="32"/>
          <w:highlight w:val="none"/>
          <w:lang w:val="en-US" w:eastAsia="zh-CN"/>
        </w:rPr>
        <w:t>七</w:t>
      </w:r>
      <w:r>
        <w:rPr>
          <w:rFonts w:hint="eastAsia" w:ascii="华文中宋" w:hAnsi="华文中宋" w:eastAsia="华文中宋" w:cs="华文中宋"/>
          <w:b/>
          <w:bCs/>
          <w:color w:val="auto"/>
          <w:sz w:val="32"/>
          <w:szCs w:val="32"/>
          <w:highlight w:val="none"/>
        </w:rPr>
        <w:t xml:space="preserve">章  </w:t>
      </w:r>
      <w:r>
        <w:rPr>
          <w:rFonts w:hint="eastAsia" w:ascii="华文中宋" w:hAnsi="华文中宋" w:eastAsia="华文中宋" w:cs="华文中宋"/>
          <w:b/>
          <w:bCs/>
          <w:color w:val="auto"/>
          <w:sz w:val="32"/>
          <w:szCs w:val="32"/>
          <w:highlight w:val="none"/>
          <w:lang w:val="en-US" w:eastAsia="zh-CN"/>
        </w:rPr>
        <w:t>图纸</w:t>
      </w:r>
    </w:p>
    <w:p w14:paraId="5F86DB51">
      <w:pPr>
        <w:widowControl w:val="0"/>
        <w:numPr>
          <w:ilvl w:val="0"/>
          <w:numId w:val="0"/>
        </w:numPr>
        <w:spacing w:line="240" w:lineRule="auto"/>
        <w:jc w:val="center"/>
        <w:outlineLvl w:val="1"/>
        <w:rPr>
          <w:rFonts w:hint="default" w:ascii="宋体" w:hAnsi="宋体" w:cs="宋体"/>
          <w:b/>
          <w:bCs/>
          <w:iCs/>
          <w:color w:val="auto"/>
          <w:kern w:val="2"/>
          <w:sz w:val="28"/>
          <w:szCs w:val="28"/>
          <w:highlight w:val="none"/>
          <w:lang w:val="en-US" w:eastAsia="zh-CN" w:bidi="ar-SA"/>
        </w:rPr>
      </w:pPr>
    </w:p>
    <w:p w14:paraId="6879C8AB">
      <w:pPr>
        <w:widowControl w:val="0"/>
        <w:numPr>
          <w:ilvl w:val="0"/>
          <w:numId w:val="0"/>
        </w:numPr>
        <w:spacing w:line="240" w:lineRule="auto"/>
        <w:jc w:val="center"/>
        <w:outlineLvl w:val="1"/>
        <w:rPr>
          <w:rFonts w:hint="default" w:ascii="宋体" w:hAnsi="宋体" w:cs="宋体"/>
          <w:b/>
          <w:bCs/>
          <w:iCs/>
          <w:color w:val="auto"/>
          <w:kern w:val="2"/>
          <w:sz w:val="28"/>
          <w:szCs w:val="28"/>
          <w:highlight w:val="none"/>
          <w:lang w:val="en-US" w:eastAsia="zh-CN" w:bidi="ar-SA"/>
        </w:rPr>
      </w:pPr>
    </w:p>
    <w:p w14:paraId="4E4A8A6D">
      <w:pPr>
        <w:widowControl w:val="0"/>
        <w:numPr>
          <w:ilvl w:val="0"/>
          <w:numId w:val="0"/>
        </w:numPr>
        <w:spacing w:line="240" w:lineRule="auto"/>
        <w:jc w:val="center"/>
        <w:outlineLvl w:val="1"/>
        <w:rPr>
          <w:rFonts w:hint="default" w:ascii="宋体" w:hAnsi="宋体" w:cs="宋体"/>
          <w:b/>
          <w:bCs/>
          <w:iCs/>
          <w:color w:val="auto"/>
          <w:kern w:val="2"/>
          <w:sz w:val="28"/>
          <w:szCs w:val="28"/>
          <w:highlight w:val="none"/>
          <w:lang w:val="en-US" w:eastAsia="zh-CN" w:bidi="ar-SA"/>
        </w:rPr>
      </w:pPr>
    </w:p>
    <w:p w14:paraId="723AF9BF">
      <w:pPr>
        <w:widowControl w:val="0"/>
        <w:numPr>
          <w:ilvl w:val="0"/>
          <w:numId w:val="0"/>
        </w:numPr>
        <w:spacing w:line="240" w:lineRule="auto"/>
        <w:jc w:val="center"/>
        <w:outlineLvl w:val="1"/>
        <w:rPr>
          <w:rFonts w:hint="default" w:ascii="宋体" w:hAnsi="宋体" w:cs="宋体"/>
          <w:b/>
          <w:bCs/>
          <w:iCs/>
          <w:color w:val="auto"/>
          <w:kern w:val="2"/>
          <w:sz w:val="28"/>
          <w:szCs w:val="28"/>
          <w:highlight w:val="none"/>
          <w:lang w:val="en-US" w:eastAsia="zh-CN" w:bidi="ar-SA"/>
        </w:rPr>
      </w:pPr>
    </w:p>
    <w:p w14:paraId="4C7EEDF9">
      <w:pPr>
        <w:widowControl w:val="0"/>
        <w:numPr>
          <w:ilvl w:val="0"/>
          <w:numId w:val="0"/>
        </w:numPr>
        <w:spacing w:line="240" w:lineRule="auto"/>
        <w:jc w:val="center"/>
        <w:outlineLvl w:val="1"/>
        <w:rPr>
          <w:rFonts w:hint="default" w:ascii="宋体" w:hAnsi="宋体" w:cs="宋体"/>
          <w:b/>
          <w:bCs/>
          <w:iCs/>
          <w:color w:val="auto"/>
          <w:kern w:val="2"/>
          <w:sz w:val="28"/>
          <w:szCs w:val="28"/>
          <w:highlight w:val="none"/>
          <w:lang w:val="en-US" w:eastAsia="zh-CN" w:bidi="ar-SA"/>
        </w:rPr>
      </w:pPr>
    </w:p>
    <w:p w14:paraId="68E94ECA">
      <w:pPr>
        <w:widowControl w:val="0"/>
        <w:numPr>
          <w:ilvl w:val="0"/>
          <w:numId w:val="0"/>
        </w:numPr>
        <w:spacing w:line="240" w:lineRule="auto"/>
        <w:jc w:val="center"/>
        <w:outlineLvl w:val="1"/>
        <w:rPr>
          <w:rFonts w:hint="default" w:ascii="宋体" w:hAnsi="宋体" w:cs="宋体"/>
          <w:b/>
          <w:bCs/>
          <w:iCs/>
          <w:color w:val="auto"/>
          <w:kern w:val="2"/>
          <w:sz w:val="28"/>
          <w:szCs w:val="28"/>
          <w:highlight w:val="none"/>
          <w:lang w:val="en-US" w:eastAsia="zh-CN" w:bidi="ar-SA"/>
        </w:rPr>
      </w:pPr>
    </w:p>
    <w:p w14:paraId="3C5C95E7">
      <w:pPr>
        <w:widowControl w:val="0"/>
        <w:numPr>
          <w:ilvl w:val="0"/>
          <w:numId w:val="0"/>
        </w:numPr>
        <w:spacing w:line="240" w:lineRule="auto"/>
        <w:jc w:val="center"/>
        <w:outlineLvl w:val="1"/>
        <w:rPr>
          <w:rFonts w:hint="default" w:ascii="宋体" w:hAnsi="宋体" w:cs="宋体"/>
          <w:b/>
          <w:bCs/>
          <w:iCs/>
          <w:color w:val="auto"/>
          <w:kern w:val="2"/>
          <w:sz w:val="28"/>
          <w:szCs w:val="28"/>
          <w:highlight w:val="none"/>
          <w:lang w:val="en-US" w:eastAsia="zh-CN" w:bidi="ar-SA"/>
        </w:rPr>
      </w:pPr>
      <w:r>
        <w:rPr>
          <w:rFonts w:hint="eastAsia" w:ascii="宋体" w:hAnsi="宋体" w:cs="宋体"/>
          <w:b/>
          <w:bCs/>
          <w:iCs/>
          <w:color w:val="auto"/>
          <w:kern w:val="2"/>
          <w:sz w:val="28"/>
          <w:szCs w:val="28"/>
          <w:highlight w:val="none"/>
          <w:lang w:val="en-US" w:eastAsia="zh-CN" w:bidi="ar-SA"/>
        </w:rPr>
        <w:t>另册发放（自行下载）</w:t>
      </w:r>
    </w:p>
    <w:p w14:paraId="0E6BE1F5">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12A79307">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7EB9A4A4">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5AEF2F10">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73ADF4B8">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7A05E869">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788FB7B1">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37B713DC">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sectPr>
      <w:headerReference r:id="rId5" w:type="default"/>
      <w:footerReference r:id="rId6" w:type="default"/>
      <w:pgSz w:w="11910" w:h="16850"/>
      <w:pgMar w:top="1440" w:right="1080" w:bottom="1440" w:left="1080" w:header="876" w:footer="861" w:gutter="0"/>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modern"/>
    <w:pitch w:val="default"/>
    <w:sig w:usb0="A00002FF" w:usb1="28CFFCFA" w:usb2="00000016" w:usb3="00000000" w:csb0="00100001" w:csb1="00000000"/>
  </w:font>
  <w:font w:name="CordiaUPC">
    <w:panose1 w:val="020B0304020202020204"/>
    <w:charset w:val="00"/>
    <w:family w:val="swiss"/>
    <w:pitch w:val="default"/>
    <w:sig w:usb0="81000003" w:usb1="00000000" w:usb2="00000000" w:usb3="00000000" w:csb0="00010001" w:csb1="00000000"/>
  </w:font>
  <w:font w:name="Impact">
    <w:panose1 w:val="020B0806030902050204"/>
    <w:charset w:val="00"/>
    <w:family w:val="swiss"/>
    <w:pitch w:val="default"/>
    <w:sig w:usb0="00000287" w:usb1="00000000" w:usb2="00000000" w:usb3="00000000" w:csb0="2000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Noto Sans CJK JP Regular">
    <w:altName w:val="Arial"/>
    <w:panose1 w:val="00000000000000000000"/>
    <w:charset w:val="00"/>
    <w:family w:val="swiss"/>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Ìå">
    <w:altName w:val="Times New Roman"/>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 w:name="华文新魏">
    <w:panose1 w:val="02010800040101010101"/>
    <w:charset w:val="86"/>
    <w:family w:val="auto"/>
    <w:pitch w:val="default"/>
    <w:sig w:usb0="00000001" w:usb1="080F0000" w:usb2="00000000" w:usb3="00000000" w:csb0="00040000" w:csb1="00000000"/>
  </w:font>
  <w:font w:name="文鼎中隶简">
    <w:altName w:val="宋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F0531">
    <w:pPr>
      <w:pStyle w:val="3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1B6DD">
    <w:pPr>
      <w:pStyle w:val="3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A30ED">
    <w:pPr>
      <w:pStyle w:val="3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0C82D7">
                          <w:pPr>
                            <w:pStyle w:val="34"/>
                          </w:pPr>
                          <w:r>
                            <w:fldChar w:fldCharType="begin"/>
                          </w:r>
                          <w:r>
                            <w:instrText xml:space="preserve"> PAGE  \* MERGEFORMAT </w:instrText>
                          </w:r>
                          <w:r>
                            <w:fldChar w:fldCharType="separate"/>
                          </w:r>
                          <w:r>
                            <w:t>64</w:t>
                          </w:r>
                          <w: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WXY90BAAC+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aOc3XwQe+7PGmJFPrXh0hMs4BEY+w9saNrzRZMI5jm&#10;5s91rnp8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cVl2PdAQAAvgMAAA4AAAAAAAAA&#10;AQAgAAAAHgEAAGRycy9lMm9Eb2MueG1sUEsFBgAAAAAGAAYAWQEAAG0FAAAAAA==&#10;">
              <v:fill on="f" focussize="0,0"/>
              <v:stroke on="f"/>
              <v:imagedata o:title=""/>
              <o:lock v:ext="edit" aspectratio="f"/>
              <v:textbox inset="0mm,0mm,0mm,0mm" style="mso-fit-shape-to-text:t;">
                <w:txbxContent>
                  <w:p w14:paraId="6E0C82D7">
                    <w:pPr>
                      <w:pStyle w:val="34"/>
                    </w:pPr>
                    <w:r>
                      <w:fldChar w:fldCharType="begin"/>
                    </w:r>
                    <w:r>
                      <w:instrText xml:space="preserve"> PAGE  \* MERGEFORMAT </w:instrText>
                    </w:r>
                    <w:r>
                      <w:fldChar w:fldCharType="separate"/>
                    </w:r>
                    <w:r>
                      <w:t>64</w:t>
                    </w:r>
                    <w:r>
                      <w:fldChar w:fldCharType="end"/>
                    </w:r>
                  </w:p>
                </w:txbxContent>
              </v:textbox>
            </v:shape>
          </w:pict>
        </mc:Fallback>
      </mc:AlternateContent>
    </w:r>
  </w:p>
  <w:p w14:paraId="21486199">
    <w:pPr>
      <w:pStyle w:val="3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AFCC6">
    <w:pPr>
      <w:pStyle w:val="35"/>
      <w:pBdr>
        <w:top w:val="none" w:color="auto" w:sz="0" w:space="0"/>
        <w:left w:val="none" w:color="auto" w:sz="0" w:space="0"/>
        <w:bottom w:val="none" w:color="auto" w:sz="0" w:space="1"/>
        <w:right w:val="none" w:color="auto" w:sz="0" w:space="0"/>
        <w:between w:val="none" w:color="auto" w:sz="0" w:space="0"/>
      </w:pBdr>
      <w:ind w:firstLine="0" w:firstLineChars="0"/>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D48F81"/>
    <w:multiLevelType w:val="singleLevel"/>
    <w:tmpl w:val="E7D48F81"/>
    <w:lvl w:ilvl="0" w:tentative="0">
      <w:start w:val="2"/>
      <w:numFmt w:val="decimal"/>
      <w:lvlText w:val="%1."/>
      <w:lvlJc w:val="left"/>
      <w:pPr>
        <w:tabs>
          <w:tab w:val="left" w:pos="312"/>
        </w:tabs>
      </w:pPr>
    </w:lvl>
  </w:abstractNum>
  <w:abstractNum w:abstractNumId="1">
    <w:nsid w:val="1FC16C3F"/>
    <w:multiLevelType w:val="multilevel"/>
    <w:tmpl w:val="1FC16C3F"/>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2">
    <w:nsid w:val="1FD97BE0"/>
    <w:multiLevelType w:val="singleLevel"/>
    <w:tmpl w:val="1FD97BE0"/>
    <w:lvl w:ilvl="0" w:tentative="0">
      <w:start w:val="1"/>
      <w:numFmt w:val="chineseCounting"/>
      <w:suff w:val="nothing"/>
      <w:lvlText w:val="（%1）"/>
      <w:lvlJc w:val="left"/>
      <w:rPr>
        <w:rFonts w:hint="eastAsia"/>
      </w:rPr>
    </w:lvl>
  </w:abstractNum>
  <w:abstractNum w:abstractNumId="3">
    <w:nsid w:val="2EBEB4BA"/>
    <w:multiLevelType w:val="singleLevel"/>
    <w:tmpl w:val="2EBEB4BA"/>
    <w:lvl w:ilvl="0" w:tentative="0">
      <w:start w:val="26"/>
      <w:numFmt w:val="decimal"/>
      <w:suff w:val="space"/>
      <w:lvlText w:val="%1."/>
      <w:lvlJc w:val="left"/>
    </w:lvl>
  </w:abstractNum>
  <w:abstractNum w:abstractNumId="4">
    <w:nsid w:val="40D69635"/>
    <w:multiLevelType w:val="singleLevel"/>
    <w:tmpl w:val="40D69635"/>
    <w:lvl w:ilvl="0" w:tentative="0">
      <w:start w:val="1"/>
      <w:numFmt w:val="chineseCounting"/>
      <w:suff w:val="nothing"/>
      <w:lvlText w:val="（%1）"/>
      <w:lvlJc w:val="left"/>
      <w:rPr>
        <w:rFonts w:hint="eastAsia"/>
      </w:rPr>
    </w:lvl>
  </w:abstractNum>
  <w:abstractNum w:abstractNumId="5">
    <w:nsid w:val="5B9D5306"/>
    <w:multiLevelType w:val="singleLevel"/>
    <w:tmpl w:val="5B9D5306"/>
    <w:lvl w:ilvl="0" w:tentative="0">
      <w:start w:val="2"/>
      <w:numFmt w:val="decimal"/>
      <w:suff w:val="nothing"/>
      <w:lvlText w:val="（%1）"/>
      <w:lvlJc w:val="left"/>
    </w:lvl>
  </w:abstractNum>
  <w:abstractNum w:abstractNumId="6">
    <w:nsid w:val="5B9D5307"/>
    <w:multiLevelType w:val="singleLevel"/>
    <w:tmpl w:val="5B9D5307"/>
    <w:lvl w:ilvl="0" w:tentative="0">
      <w:start w:val="2"/>
      <w:numFmt w:val="decimal"/>
      <w:suff w:val="nothing"/>
      <w:lvlText w:val="（%1）"/>
      <w:lvlJc w:val="left"/>
    </w:lvl>
  </w:abstractNum>
  <w:abstractNum w:abstractNumId="7">
    <w:nsid w:val="5B9D5308"/>
    <w:multiLevelType w:val="singleLevel"/>
    <w:tmpl w:val="5B9D5308"/>
    <w:lvl w:ilvl="0" w:tentative="0">
      <w:start w:val="8"/>
      <w:numFmt w:val="decimal"/>
      <w:suff w:val="space"/>
      <w:lvlText w:val="%1."/>
      <w:lvlJc w:val="left"/>
    </w:lvl>
  </w:abstractNum>
  <w:abstractNum w:abstractNumId="8">
    <w:nsid w:val="5B9D530A"/>
    <w:multiLevelType w:val="singleLevel"/>
    <w:tmpl w:val="5B9D530A"/>
    <w:lvl w:ilvl="0" w:tentative="0">
      <w:start w:val="2"/>
      <w:numFmt w:val="decimal"/>
      <w:lvlText w:val="%1."/>
      <w:lvlJc w:val="left"/>
      <w:pPr>
        <w:tabs>
          <w:tab w:val="left" w:pos="312"/>
        </w:tabs>
      </w:pPr>
    </w:lvl>
  </w:abstractNum>
  <w:abstractNum w:abstractNumId="9">
    <w:nsid w:val="6AD43707"/>
    <w:multiLevelType w:val="singleLevel"/>
    <w:tmpl w:val="6AD43707"/>
    <w:lvl w:ilvl="0" w:tentative="0">
      <w:start w:val="5"/>
      <w:numFmt w:val="decimal"/>
      <w:suff w:val="space"/>
      <w:lvlText w:val="%1."/>
      <w:lvlJc w:val="left"/>
    </w:lvl>
  </w:abstractNum>
  <w:num w:numId="1">
    <w:abstractNumId w:val="1"/>
  </w:num>
  <w:num w:numId="2">
    <w:abstractNumId w:val="9"/>
  </w:num>
  <w:num w:numId="3">
    <w:abstractNumId w:val="3"/>
  </w:num>
  <w:num w:numId="4">
    <w:abstractNumId w:val="5"/>
  </w:num>
  <w:num w:numId="5">
    <w:abstractNumId w:val="6"/>
  </w:num>
  <w:num w:numId="6">
    <w:abstractNumId w:val="7"/>
  </w:num>
  <w:num w:numId="7">
    <w:abstractNumId w:val="8"/>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3MzcxNjY0NTRkOGUyMmE1MDgzNDBlYmY3N2Q0YWEifQ=="/>
  </w:docVars>
  <w:rsids>
    <w:rsidRoot w:val="00172A27"/>
    <w:rsid w:val="00003FCF"/>
    <w:rsid w:val="00005F4A"/>
    <w:rsid w:val="00006DD4"/>
    <w:rsid w:val="000236AA"/>
    <w:rsid w:val="000265ED"/>
    <w:rsid w:val="0003128E"/>
    <w:rsid w:val="00034397"/>
    <w:rsid w:val="0004165B"/>
    <w:rsid w:val="0004268E"/>
    <w:rsid w:val="00043268"/>
    <w:rsid w:val="00045CAF"/>
    <w:rsid w:val="000572E1"/>
    <w:rsid w:val="0006497E"/>
    <w:rsid w:val="00067593"/>
    <w:rsid w:val="00072DF7"/>
    <w:rsid w:val="0007706E"/>
    <w:rsid w:val="00077774"/>
    <w:rsid w:val="0008783C"/>
    <w:rsid w:val="000904ED"/>
    <w:rsid w:val="000917DF"/>
    <w:rsid w:val="00091BFC"/>
    <w:rsid w:val="00097647"/>
    <w:rsid w:val="000A5046"/>
    <w:rsid w:val="000A6868"/>
    <w:rsid w:val="000A71AF"/>
    <w:rsid w:val="000B10E8"/>
    <w:rsid w:val="000C3E55"/>
    <w:rsid w:val="000D04A1"/>
    <w:rsid w:val="000D04A5"/>
    <w:rsid w:val="000D1A9B"/>
    <w:rsid w:val="000D20B0"/>
    <w:rsid w:val="000D3728"/>
    <w:rsid w:val="000D532E"/>
    <w:rsid w:val="000D6578"/>
    <w:rsid w:val="000D7499"/>
    <w:rsid w:val="000E0397"/>
    <w:rsid w:val="000E6DEB"/>
    <w:rsid w:val="0010489A"/>
    <w:rsid w:val="00124FC8"/>
    <w:rsid w:val="0012547B"/>
    <w:rsid w:val="0012767A"/>
    <w:rsid w:val="00133B96"/>
    <w:rsid w:val="00143300"/>
    <w:rsid w:val="00146FCC"/>
    <w:rsid w:val="00150620"/>
    <w:rsid w:val="001518F2"/>
    <w:rsid w:val="00176A20"/>
    <w:rsid w:val="00181FDA"/>
    <w:rsid w:val="00182959"/>
    <w:rsid w:val="00185AFE"/>
    <w:rsid w:val="00186BF0"/>
    <w:rsid w:val="00190D1C"/>
    <w:rsid w:val="001953A0"/>
    <w:rsid w:val="00196424"/>
    <w:rsid w:val="001A05FF"/>
    <w:rsid w:val="001A1D20"/>
    <w:rsid w:val="001B399B"/>
    <w:rsid w:val="001B587B"/>
    <w:rsid w:val="001B68A2"/>
    <w:rsid w:val="001C5FFC"/>
    <w:rsid w:val="001F0439"/>
    <w:rsid w:val="001F12DB"/>
    <w:rsid w:val="001F1C5F"/>
    <w:rsid w:val="001F2EC1"/>
    <w:rsid w:val="00200AD6"/>
    <w:rsid w:val="002146AC"/>
    <w:rsid w:val="0022120F"/>
    <w:rsid w:val="00234289"/>
    <w:rsid w:val="00234F73"/>
    <w:rsid w:val="00240BE6"/>
    <w:rsid w:val="00247246"/>
    <w:rsid w:val="00251DD9"/>
    <w:rsid w:val="00282183"/>
    <w:rsid w:val="002836BB"/>
    <w:rsid w:val="00294ABB"/>
    <w:rsid w:val="002A02A4"/>
    <w:rsid w:val="002A1337"/>
    <w:rsid w:val="002A5932"/>
    <w:rsid w:val="002A7AA5"/>
    <w:rsid w:val="002B367F"/>
    <w:rsid w:val="002B4A1A"/>
    <w:rsid w:val="002C2F35"/>
    <w:rsid w:val="002C64E9"/>
    <w:rsid w:val="002D224B"/>
    <w:rsid w:val="002E3F73"/>
    <w:rsid w:val="003072AC"/>
    <w:rsid w:val="003112C8"/>
    <w:rsid w:val="00313D88"/>
    <w:rsid w:val="00324C8D"/>
    <w:rsid w:val="003274EB"/>
    <w:rsid w:val="00330471"/>
    <w:rsid w:val="00342C97"/>
    <w:rsid w:val="00343C5E"/>
    <w:rsid w:val="00351702"/>
    <w:rsid w:val="00353869"/>
    <w:rsid w:val="003649DC"/>
    <w:rsid w:val="00370233"/>
    <w:rsid w:val="003B0ECE"/>
    <w:rsid w:val="003D6EE4"/>
    <w:rsid w:val="003E0A58"/>
    <w:rsid w:val="003E40B6"/>
    <w:rsid w:val="003F188C"/>
    <w:rsid w:val="0040596E"/>
    <w:rsid w:val="004159F5"/>
    <w:rsid w:val="00416BF3"/>
    <w:rsid w:val="00426450"/>
    <w:rsid w:val="00430049"/>
    <w:rsid w:val="004314DD"/>
    <w:rsid w:val="0043291F"/>
    <w:rsid w:val="00442D2A"/>
    <w:rsid w:val="004464D7"/>
    <w:rsid w:val="00447E0F"/>
    <w:rsid w:val="0046039F"/>
    <w:rsid w:val="004724CB"/>
    <w:rsid w:val="00472FD1"/>
    <w:rsid w:val="00480B45"/>
    <w:rsid w:val="004850FD"/>
    <w:rsid w:val="0048685E"/>
    <w:rsid w:val="00492A2E"/>
    <w:rsid w:val="00495451"/>
    <w:rsid w:val="004B591B"/>
    <w:rsid w:val="004C2E98"/>
    <w:rsid w:val="004D56BD"/>
    <w:rsid w:val="004F01DD"/>
    <w:rsid w:val="004F633E"/>
    <w:rsid w:val="004F79F9"/>
    <w:rsid w:val="005076B4"/>
    <w:rsid w:val="005176EA"/>
    <w:rsid w:val="00521F93"/>
    <w:rsid w:val="00523F82"/>
    <w:rsid w:val="0053009A"/>
    <w:rsid w:val="005421B5"/>
    <w:rsid w:val="005525B7"/>
    <w:rsid w:val="005604DD"/>
    <w:rsid w:val="0056266B"/>
    <w:rsid w:val="00566CDC"/>
    <w:rsid w:val="00567E86"/>
    <w:rsid w:val="00573E0A"/>
    <w:rsid w:val="0058373D"/>
    <w:rsid w:val="005849B0"/>
    <w:rsid w:val="005938C2"/>
    <w:rsid w:val="00594F40"/>
    <w:rsid w:val="005A03A0"/>
    <w:rsid w:val="005B11D9"/>
    <w:rsid w:val="005B5ED2"/>
    <w:rsid w:val="005C6705"/>
    <w:rsid w:val="005D52AA"/>
    <w:rsid w:val="005E3089"/>
    <w:rsid w:val="0061134E"/>
    <w:rsid w:val="00612345"/>
    <w:rsid w:val="00621CEC"/>
    <w:rsid w:val="00635284"/>
    <w:rsid w:val="006375F3"/>
    <w:rsid w:val="00643766"/>
    <w:rsid w:val="00647915"/>
    <w:rsid w:val="00647C76"/>
    <w:rsid w:val="0065471A"/>
    <w:rsid w:val="00671204"/>
    <w:rsid w:val="006715CE"/>
    <w:rsid w:val="006727E6"/>
    <w:rsid w:val="00681FA4"/>
    <w:rsid w:val="00692DAD"/>
    <w:rsid w:val="00696E23"/>
    <w:rsid w:val="006A0233"/>
    <w:rsid w:val="006A14CB"/>
    <w:rsid w:val="006A666E"/>
    <w:rsid w:val="006B3C57"/>
    <w:rsid w:val="006C1848"/>
    <w:rsid w:val="006D158E"/>
    <w:rsid w:val="006D6F0F"/>
    <w:rsid w:val="006E127D"/>
    <w:rsid w:val="006E2CAA"/>
    <w:rsid w:val="00703D1A"/>
    <w:rsid w:val="00714F4B"/>
    <w:rsid w:val="00715160"/>
    <w:rsid w:val="007233FB"/>
    <w:rsid w:val="00733D90"/>
    <w:rsid w:val="00736BDB"/>
    <w:rsid w:val="00751C6E"/>
    <w:rsid w:val="0075292A"/>
    <w:rsid w:val="00753CBA"/>
    <w:rsid w:val="0076144E"/>
    <w:rsid w:val="00766DD0"/>
    <w:rsid w:val="00782037"/>
    <w:rsid w:val="007843F9"/>
    <w:rsid w:val="00787BC0"/>
    <w:rsid w:val="00796985"/>
    <w:rsid w:val="00797DA4"/>
    <w:rsid w:val="00797DB1"/>
    <w:rsid w:val="007A3AFC"/>
    <w:rsid w:val="007B01D0"/>
    <w:rsid w:val="007B6E40"/>
    <w:rsid w:val="007C01B4"/>
    <w:rsid w:val="007C0AAF"/>
    <w:rsid w:val="007C279B"/>
    <w:rsid w:val="007D6F95"/>
    <w:rsid w:val="007E2A0E"/>
    <w:rsid w:val="007E50F5"/>
    <w:rsid w:val="007E7013"/>
    <w:rsid w:val="007E7036"/>
    <w:rsid w:val="007F20C6"/>
    <w:rsid w:val="008120DC"/>
    <w:rsid w:val="00817FF6"/>
    <w:rsid w:val="008213B7"/>
    <w:rsid w:val="008223D6"/>
    <w:rsid w:val="00822D9F"/>
    <w:rsid w:val="008257D3"/>
    <w:rsid w:val="00832165"/>
    <w:rsid w:val="00834EC7"/>
    <w:rsid w:val="00840D2B"/>
    <w:rsid w:val="00845820"/>
    <w:rsid w:val="00847FB1"/>
    <w:rsid w:val="008503AF"/>
    <w:rsid w:val="008548B0"/>
    <w:rsid w:val="00862AAC"/>
    <w:rsid w:val="00865AD6"/>
    <w:rsid w:val="008671CC"/>
    <w:rsid w:val="008748F2"/>
    <w:rsid w:val="008767DD"/>
    <w:rsid w:val="00876CBE"/>
    <w:rsid w:val="00882D49"/>
    <w:rsid w:val="0089385A"/>
    <w:rsid w:val="00893928"/>
    <w:rsid w:val="00894BD1"/>
    <w:rsid w:val="008A1FCE"/>
    <w:rsid w:val="008B4757"/>
    <w:rsid w:val="008B7CAB"/>
    <w:rsid w:val="008C050A"/>
    <w:rsid w:val="008C195C"/>
    <w:rsid w:val="008C68E7"/>
    <w:rsid w:val="008D7131"/>
    <w:rsid w:val="008D7486"/>
    <w:rsid w:val="008E1CB2"/>
    <w:rsid w:val="008E6AFF"/>
    <w:rsid w:val="008F1FDB"/>
    <w:rsid w:val="008F32EE"/>
    <w:rsid w:val="008F4CB9"/>
    <w:rsid w:val="00902716"/>
    <w:rsid w:val="0090616B"/>
    <w:rsid w:val="009202A3"/>
    <w:rsid w:val="00924030"/>
    <w:rsid w:val="00951FCC"/>
    <w:rsid w:val="009666B9"/>
    <w:rsid w:val="00971895"/>
    <w:rsid w:val="00985B65"/>
    <w:rsid w:val="00990205"/>
    <w:rsid w:val="0099096E"/>
    <w:rsid w:val="009915A6"/>
    <w:rsid w:val="00994B0D"/>
    <w:rsid w:val="009A7AF3"/>
    <w:rsid w:val="009C4A5F"/>
    <w:rsid w:val="009D3AF3"/>
    <w:rsid w:val="009D462C"/>
    <w:rsid w:val="009D6BE3"/>
    <w:rsid w:val="00A00252"/>
    <w:rsid w:val="00A21C33"/>
    <w:rsid w:val="00A22E94"/>
    <w:rsid w:val="00A23682"/>
    <w:rsid w:val="00A260ED"/>
    <w:rsid w:val="00A263D4"/>
    <w:rsid w:val="00A35947"/>
    <w:rsid w:val="00A364B9"/>
    <w:rsid w:val="00A37E88"/>
    <w:rsid w:val="00A52016"/>
    <w:rsid w:val="00A5401A"/>
    <w:rsid w:val="00A55345"/>
    <w:rsid w:val="00A62951"/>
    <w:rsid w:val="00A65FEA"/>
    <w:rsid w:val="00A91358"/>
    <w:rsid w:val="00A93270"/>
    <w:rsid w:val="00A967D1"/>
    <w:rsid w:val="00AA251E"/>
    <w:rsid w:val="00AA6250"/>
    <w:rsid w:val="00AA715F"/>
    <w:rsid w:val="00AB3028"/>
    <w:rsid w:val="00AC0A50"/>
    <w:rsid w:val="00AC488B"/>
    <w:rsid w:val="00AD6916"/>
    <w:rsid w:val="00AD706C"/>
    <w:rsid w:val="00AE18E3"/>
    <w:rsid w:val="00AE7638"/>
    <w:rsid w:val="00B06DC4"/>
    <w:rsid w:val="00B15F3F"/>
    <w:rsid w:val="00B2179F"/>
    <w:rsid w:val="00B306D5"/>
    <w:rsid w:val="00B34456"/>
    <w:rsid w:val="00B3533A"/>
    <w:rsid w:val="00B354E7"/>
    <w:rsid w:val="00B47B8B"/>
    <w:rsid w:val="00B51FB9"/>
    <w:rsid w:val="00B57D19"/>
    <w:rsid w:val="00B64604"/>
    <w:rsid w:val="00B66931"/>
    <w:rsid w:val="00B953DA"/>
    <w:rsid w:val="00BB1B64"/>
    <w:rsid w:val="00BC3239"/>
    <w:rsid w:val="00BC6724"/>
    <w:rsid w:val="00BD302F"/>
    <w:rsid w:val="00BD5D75"/>
    <w:rsid w:val="00BD752F"/>
    <w:rsid w:val="00BD7820"/>
    <w:rsid w:val="00BE34A1"/>
    <w:rsid w:val="00BE706A"/>
    <w:rsid w:val="00BE7612"/>
    <w:rsid w:val="00C11E2B"/>
    <w:rsid w:val="00C17AC9"/>
    <w:rsid w:val="00C219A5"/>
    <w:rsid w:val="00C24973"/>
    <w:rsid w:val="00C375B8"/>
    <w:rsid w:val="00C43E41"/>
    <w:rsid w:val="00C47785"/>
    <w:rsid w:val="00C51682"/>
    <w:rsid w:val="00C60BFE"/>
    <w:rsid w:val="00C6224F"/>
    <w:rsid w:val="00C6512A"/>
    <w:rsid w:val="00C659FD"/>
    <w:rsid w:val="00C75A44"/>
    <w:rsid w:val="00C85385"/>
    <w:rsid w:val="00C95BBE"/>
    <w:rsid w:val="00CA2955"/>
    <w:rsid w:val="00CB25D9"/>
    <w:rsid w:val="00CC6A23"/>
    <w:rsid w:val="00CE0FE2"/>
    <w:rsid w:val="00CF00F0"/>
    <w:rsid w:val="00CF0977"/>
    <w:rsid w:val="00CF6674"/>
    <w:rsid w:val="00D055B1"/>
    <w:rsid w:val="00D05C88"/>
    <w:rsid w:val="00D10369"/>
    <w:rsid w:val="00D15D74"/>
    <w:rsid w:val="00D2487E"/>
    <w:rsid w:val="00D374A5"/>
    <w:rsid w:val="00D42961"/>
    <w:rsid w:val="00D43A4B"/>
    <w:rsid w:val="00D4664D"/>
    <w:rsid w:val="00D612D5"/>
    <w:rsid w:val="00D65442"/>
    <w:rsid w:val="00D7380C"/>
    <w:rsid w:val="00D73C53"/>
    <w:rsid w:val="00D82A50"/>
    <w:rsid w:val="00DC01FB"/>
    <w:rsid w:val="00DC3B62"/>
    <w:rsid w:val="00DD1CAC"/>
    <w:rsid w:val="00DD2234"/>
    <w:rsid w:val="00DD455D"/>
    <w:rsid w:val="00DE1928"/>
    <w:rsid w:val="00DE6D5C"/>
    <w:rsid w:val="00DF03C7"/>
    <w:rsid w:val="00DF1BF0"/>
    <w:rsid w:val="00DF1FAE"/>
    <w:rsid w:val="00DF6431"/>
    <w:rsid w:val="00E05419"/>
    <w:rsid w:val="00E05EA8"/>
    <w:rsid w:val="00E0605C"/>
    <w:rsid w:val="00E16991"/>
    <w:rsid w:val="00E26490"/>
    <w:rsid w:val="00E30130"/>
    <w:rsid w:val="00E43258"/>
    <w:rsid w:val="00E56063"/>
    <w:rsid w:val="00E576DD"/>
    <w:rsid w:val="00E57853"/>
    <w:rsid w:val="00E67600"/>
    <w:rsid w:val="00E75742"/>
    <w:rsid w:val="00E86CAC"/>
    <w:rsid w:val="00E953CB"/>
    <w:rsid w:val="00E96A11"/>
    <w:rsid w:val="00EB05EE"/>
    <w:rsid w:val="00EC013F"/>
    <w:rsid w:val="00EC6666"/>
    <w:rsid w:val="00ED61B8"/>
    <w:rsid w:val="00ED7B1F"/>
    <w:rsid w:val="00EE2D94"/>
    <w:rsid w:val="00EE4248"/>
    <w:rsid w:val="00EF1C9B"/>
    <w:rsid w:val="00F011DA"/>
    <w:rsid w:val="00F04609"/>
    <w:rsid w:val="00F14BCF"/>
    <w:rsid w:val="00F158EA"/>
    <w:rsid w:val="00F17600"/>
    <w:rsid w:val="00F27219"/>
    <w:rsid w:val="00F3576A"/>
    <w:rsid w:val="00F372C3"/>
    <w:rsid w:val="00F50013"/>
    <w:rsid w:val="00F51251"/>
    <w:rsid w:val="00F7168E"/>
    <w:rsid w:val="00F71E50"/>
    <w:rsid w:val="00F81A0D"/>
    <w:rsid w:val="00F85E8E"/>
    <w:rsid w:val="00F85EB4"/>
    <w:rsid w:val="00F92386"/>
    <w:rsid w:val="00F954CB"/>
    <w:rsid w:val="00F96093"/>
    <w:rsid w:val="00FA5098"/>
    <w:rsid w:val="00FB0CD1"/>
    <w:rsid w:val="00FB32D0"/>
    <w:rsid w:val="00FC0D3F"/>
    <w:rsid w:val="00FC5B52"/>
    <w:rsid w:val="00FD31C2"/>
    <w:rsid w:val="00FD3C9F"/>
    <w:rsid w:val="00FD66CE"/>
    <w:rsid w:val="00FE1195"/>
    <w:rsid w:val="00FE3277"/>
    <w:rsid w:val="00FE3644"/>
    <w:rsid w:val="00FE4049"/>
    <w:rsid w:val="00FF5475"/>
    <w:rsid w:val="00FF55B1"/>
    <w:rsid w:val="00FF7A8A"/>
    <w:rsid w:val="010667E8"/>
    <w:rsid w:val="01143544"/>
    <w:rsid w:val="012071AD"/>
    <w:rsid w:val="013712F7"/>
    <w:rsid w:val="01543C57"/>
    <w:rsid w:val="01761998"/>
    <w:rsid w:val="01791991"/>
    <w:rsid w:val="019B1886"/>
    <w:rsid w:val="019F1BEA"/>
    <w:rsid w:val="01A32A0C"/>
    <w:rsid w:val="01B97AC1"/>
    <w:rsid w:val="01BC366C"/>
    <w:rsid w:val="01E04713"/>
    <w:rsid w:val="01E04C9E"/>
    <w:rsid w:val="01FC10EF"/>
    <w:rsid w:val="020C43CC"/>
    <w:rsid w:val="021871C8"/>
    <w:rsid w:val="02342041"/>
    <w:rsid w:val="027A6196"/>
    <w:rsid w:val="02900CBF"/>
    <w:rsid w:val="029727B7"/>
    <w:rsid w:val="02C804A1"/>
    <w:rsid w:val="02CA5C9C"/>
    <w:rsid w:val="02D23086"/>
    <w:rsid w:val="02F32FFC"/>
    <w:rsid w:val="03046B20"/>
    <w:rsid w:val="03056A7C"/>
    <w:rsid w:val="031C69F7"/>
    <w:rsid w:val="033B5B99"/>
    <w:rsid w:val="0360556D"/>
    <w:rsid w:val="037631EF"/>
    <w:rsid w:val="03863E70"/>
    <w:rsid w:val="0394000D"/>
    <w:rsid w:val="03993BA4"/>
    <w:rsid w:val="03B44752"/>
    <w:rsid w:val="03C31792"/>
    <w:rsid w:val="03EF7C67"/>
    <w:rsid w:val="03FB03BA"/>
    <w:rsid w:val="040419BE"/>
    <w:rsid w:val="0438668D"/>
    <w:rsid w:val="045C444A"/>
    <w:rsid w:val="045D1075"/>
    <w:rsid w:val="046B56CD"/>
    <w:rsid w:val="046D17C2"/>
    <w:rsid w:val="048159B7"/>
    <w:rsid w:val="048E3466"/>
    <w:rsid w:val="048F3F30"/>
    <w:rsid w:val="04A034A9"/>
    <w:rsid w:val="04A362D9"/>
    <w:rsid w:val="04A50C67"/>
    <w:rsid w:val="04B861EF"/>
    <w:rsid w:val="04EB0447"/>
    <w:rsid w:val="04F512AE"/>
    <w:rsid w:val="04FE39CA"/>
    <w:rsid w:val="04FF5AEC"/>
    <w:rsid w:val="05090331"/>
    <w:rsid w:val="050F365D"/>
    <w:rsid w:val="05235E1B"/>
    <w:rsid w:val="055037B9"/>
    <w:rsid w:val="0556373A"/>
    <w:rsid w:val="05571F68"/>
    <w:rsid w:val="055D1B99"/>
    <w:rsid w:val="0569768E"/>
    <w:rsid w:val="057730B9"/>
    <w:rsid w:val="057B0515"/>
    <w:rsid w:val="059D6515"/>
    <w:rsid w:val="059D67A3"/>
    <w:rsid w:val="059E1945"/>
    <w:rsid w:val="05B1175A"/>
    <w:rsid w:val="05BB42A5"/>
    <w:rsid w:val="05BD140C"/>
    <w:rsid w:val="05CA794E"/>
    <w:rsid w:val="05F22335"/>
    <w:rsid w:val="05FC5DF0"/>
    <w:rsid w:val="06186DAE"/>
    <w:rsid w:val="061F2581"/>
    <w:rsid w:val="062D4371"/>
    <w:rsid w:val="062F0B5F"/>
    <w:rsid w:val="063253FF"/>
    <w:rsid w:val="0637588F"/>
    <w:rsid w:val="06381797"/>
    <w:rsid w:val="06564195"/>
    <w:rsid w:val="06650BDB"/>
    <w:rsid w:val="06782B10"/>
    <w:rsid w:val="06787FCA"/>
    <w:rsid w:val="068439A7"/>
    <w:rsid w:val="068C566F"/>
    <w:rsid w:val="0693202D"/>
    <w:rsid w:val="06B57C98"/>
    <w:rsid w:val="06BC0C19"/>
    <w:rsid w:val="06BF1B73"/>
    <w:rsid w:val="06E11A9E"/>
    <w:rsid w:val="06F51A39"/>
    <w:rsid w:val="07060142"/>
    <w:rsid w:val="07283BBC"/>
    <w:rsid w:val="074759E2"/>
    <w:rsid w:val="0749768F"/>
    <w:rsid w:val="07A66E8D"/>
    <w:rsid w:val="07AD34DA"/>
    <w:rsid w:val="07C86D67"/>
    <w:rsid w:val="07CB3375"/>
    <w:rsid w:val="07CC43E5"/>
    <w:rsid w:val="07D43A0A"/>
    <w:rsid w:val="07F910B5"/>
    <w:rsid w:val="0807124B"/>
    <w:rsid w:val="084012E8"/>
    <w:rsid w:val="084C70F4"/>
    <w:rsid w:val="08607919"/>
    <w:rsid w:val="086E53D7"/>
    <w:rsid w:val="08734357"/>
    <w:rsid w:val="08DB6A0C"/>
    <w:rsid w:val="09242970"/>
    <w:rsid w:val="092B4FFE"/>
    <w:rsid w:val="09461CD6"/>
    <w:rsid w:val="09616F12"/>
    <w:rsid w:val="09A53B82"/>
    <w:rsid w:val="09AC6783"/>
    <w:rsid w:val="09B5434C"/>
    <w:rsid w:val="09CD18FD"/>
    <w:rsid w:val="0A2A19F9"/>
    <w:rsid w:val="0A571B81"/>
    <w:rsid w:val="0A75079C"/>
    <w:rsid w:val="0A890D51"/>
    <w:rsid w:val="0A8A2498"/>
    <w:rsid w:val="0A8C1B57"/>
    <w:rsid w:val="0AB17FEF"/>
    <w:rsid w:val="0AD90D68"/>
    <w:rsid w:val="0AE17F1C"/>
    <w:rsid w:val="0B024724"/>
    <w:rsid w:val="0B0B182B"/>
    <w:rsid w:val="0B3B1EEC"/>
    <w:rsid w:val="0B464611"/>
    <w:rsid w:val="0B56486A"/>
    <w:rsid w:val="0B5A630E"/>
    <w:rsid w:val="0B7E7085"/>
    <w:rsid w:val="0B806FF8"/>
    <w:rsid w:val="0B905F9B"/>
    <w:rsid w:val="0B9A7C95"/>
    <w:rsid w:val="0B9F11F4"/>
    <w:rsid w:val="0BBB40C9"/>
    <w:rsid w:val="0BCE42CE"/>
    <w:rsid w:val="0BDC1F47"/>
    <w:rsid w:val="0BEA149C"/>
    <w:rsid w:val="0C026FFF"/>
    <w:rsid w:val="0C123672"/>
    <w:rsid w:val="0C140D82"/>
    <w:rsid w:val="0C6C6D4F"/>
    <w:rsid w:val="0C712EE4"/>
    <w:rsid w:val="0C796C68"/>
    <w:rsid w:val="0C886779"/>
    <w:rsid w:val="0C992C63"/>
    <w:rsid w:val="0C9F66CF"/>
    <w:rsid w:val="0CA359A6"/>
    <w:rsid w:val="0CAD246E"/>
    <w:rsid w:val="0CBC447D"/>
    <w:rsid w:val="0CC55A09"/>
    <w:rsid w:val="0CDB169D"/>
    <w:rsid w:val="0CDC67F7"/>
    <w:rsid w:val="0CE13D52"/>
    <w:rsid w:val="0CEC11E8"/>
    <w:rsid w:val="0CF37F16"/>
    <w:rsid w:val="0D144BB8"/>
    <w:rsid w:val="0D15073F"/>
    <w:rsid w:val="0D490AEC"/>
    <w:rsid w:val="0D904B5A"/>
    <w:rsid w:val="0D920AF0"/>
    <w:rsid w:val="0DBB646B"/>
    <w:rsid w:val="0DBE74A6"/>
    <w:rsid w:val="0DFB4557"/>
    <w:rsid w:val="0E2F5189"/>
    <w:rsid w:val="0E71088B"/>
    <w:rsid w:val="0EC00B7E"/>
    <w:rsid w:val="0ED143A4"/>
    <w:rsid w:val="0F0B0898"/>
    <w:rsid w:val="0F103AD7"/>
    <w:rsid w:val="0F21235A"/>
    <w:rsid w:val="0F220EF1"/>
    <w:rsid w:val="0F4B2761"/>
    <w:rsid w:val="0F512100"/>
    <w:rsid w:val="0F5D017B"/>
    <w:rsid w:val="0F5E6FEA"/>
    <w:rsid w:val="0F71201B"/>
    <w:rsid w:val="0F9E6A41"/>
    <w:rsid w:val="0FBC30F4"/>
    <w:rsid w:val="0FBF66B5"/>
    <w:rsid w:val="0FDE29B3"/>
    <w:rsid w:val="0FDE3802"/>
    <w:rsid w:val="0FDE5F55"/>
    <w:rsid w:val="0FF11F36"/>
    <w:rsid w:val="0FFF0986"/>
    <w:rsid w:val="100D394F"/>
    <w:rsid w:val="10264A11"/>
    <w:rsid w:val="10295EC3"/>
    <w:rsid w:val="10390BE8"/>
    <w:rsid w:val="107B57BA"/>
    <w:rsid w:val="108D2CE2"/>
    <w:rsid w:val="10914580"/>
    <w:rsid w:val="10945E1E"/>
    <w:rsid w:val="10BE1696"/>
    <w:rsid w:val="10D77ADC"/>
    <w:rsid w:val="10EE120F"/>
    <w:rsid w:val="10FB5D66"/>
    <w:rsid w:val="1114617F"/>
    <w:rsid w:val="112E0750"/>
    <w:rsid w:val="1131178D"/>
    <w:rsid w:val="113D56DD"/>
    <w:rsid w:val="11881C25"/>
    <w:rsid w:val="1194159F"/>
    <w:rsid w:val="11BC4DB9"/>
    <w:rsid w:val="11D010D8"/>
    <w:rsid w:val="11DB1BC5"/>
    <w:rsid w:val="11DD3607"/>
    <w:rsid w:val="12046F5D"/>
    <w:rsid w:val="120B1515"/>
    <w:rsid w:val="12120E60"/>
    <w:rsid w:val="12371157"/>
    <w:rsid w:val="123E2DCB"/>
    <w:rsid w:val="124B69B1"/>
    <w:rsid w:val="1255782F"/>
    <w:rsid w:val="125714F0"/>
    <w:rsid w:val="12821C8E"/>
    <w:rsid w:val="129056B5"/>
    <w:rsid w:val="12926799"/>
    <w:rsid w:val="12A47E1F"/>
    <w:rsid w:val="12B0405A"/>
    <w:rsid w:val="12C4029B"/>
    <w:rsid w:val="12CF4E78"/>
    <w:rsid w:val="12E0359D"/>
    <w:rsid w:val="130A0C54"/>
    <w:rsid w:val="130C25E4"/>
    <w:rsid w:val="133236CD"/>
    <w:rsid w:val="134148EC"/>
    <w:rsid w:val="13503220"/>
    <w:rsid w:val="13762452"/>
    <w:rsid w:val="13817292"/>
    <w:rsid w:val="138231D2"/>
    <w:rsid w:val="138243AC"/>
    <w:rsid w:val="13887C14"/>
    <w:rsid w:val="139E7BBC"/>
    <w:rsid w:val="13A50343"/>
    <w:rsid w:val="13A83FEE"/>
    <w:rsid w:val="13C37044"/>
    <w:rsid w:val="13D9584A"/>
    <w:rsid w:val="13F63148"/>
    <w:rsid w:val="14036F6F"/>
    <w:rsid w:val="14217DBC"/>
    <w:rsid w:val="14222891"/>
    <w:rsid w:val="14341EA0"/>
    <w:rsid w:val="14691370"/>
    <w:rsid w:val="146F39FE"/>
    <w:rsid w:val="14705EE9"/>
    <w:rsid w:val="14714C4C"/>
    <w:rsid w:val="14844010"/>
    <w:rsid w:val="14867A8D"/>
    <w:rsid w:val="149305CF"/>
    <w:rsid w:val="14951E8E"/>
    <w:rsid w:val="149E13F0"/>
    <w:rsid w:val="14B71508"/>
    <w:rsid w:val="14BA1BCC"/>
    <w:rsid w:val="14E37374"/>
    <w:rsid w:val="15066EC8"/>
    <w:rsid w:val="15071395"/>
    <w:rsid w:val="150C3747"/>
    <w:rsid w:val="1523598F"/>
    <w:rsid w:val="154A2ABB"/>
    <w:rsid w:val="15503934"/>
    <w:rsid w:val="155838BF"/>
    <w:rsid w:val="159863B1"/>
    <w:rsid w:val="15B61D16"/>
    <w:rsid w:val="15CC1BB7"/>
    <w:rsid w:val="15E2587E"/>
    <w:rsid w:val="15EE0320"/>
    <w:rsid w:val="16166EFF"/>
    <w:rsid w:val="161A6DC6"/>
    <w:rsid w:val="162419F3"/>
    <w:rsid w:val="16273291"/>
    <w:rsid w:val="162B4B2F"/>
    <w:rsid w:val="1638768B"/>
    <w:rsid w:val="163B4748"/>
    <w:rsid w:val="163B5944"/>
    <w:rsid w:val="164B1177"/>
    <w:rsid w:val="164D77A8"/>
    <w:rsid w:val="166A62AA"/>
    <w:rsid w:val="169F744C"/>
    <w:rsid w:val="16B42F26"/>
    <w:rsid w:val="16CE38AF"/>
    <w:rsid w:val="16D42E36"/>
    <w:rsid w:val="16DC6904"/>
    <w:rsid w:val="16EA4574"/>
    <w:rsid w:val="16F2555F"/>
    <w:rsid w:val="170D06D9"/>
    <w:rsid w:val="172C7FDC"/>
    <w:rsid w:val="173B3498"/>
    <w:rsid w:val="173B7DBE"/>
    <w:rsid w:val="17467198"/>
    <w:rsid w:val="175869FE"/>
    <w:rsid w:val="17663A36"/>
    <w:rsid w:val="1772167E"/>
    <w:rsid w:val="1780534F"/>
    <w:rsid w:val="17955AF0"/>
    <w:rsid w:val="1796651F"/>
    <w:rsid w:val="17981307"/>
    <w:rsid w:val="17A10052"/>
    <w:rsid w:val="17A70B2D"/>
    <w:rsid w:val="17A77202"/>
    <w:rsid w:val="17D63778"/>
    <w:rsid w:val="17EA17FF"/>
    <w:rsid w:val="17FF44C5"/>
    <w:rsid w:val="18027809"/>
    <w:rsid w:val="181A5031"/>
    <w:rsid w:val="18234DFF"/>
    <w:rsid w:val="182A5A63"/>
    <w:rsid w:val="18312C0E"/>
    <w:rsid w:val="18321F5C"/>
    <w:rsid w:val="184E2D57"/>
    <w:rsid w:val="18605E3F"/>
    <w:rsid w:val="187F47D6"/>
    <w:rsid w:val="18B16537"/>
    <w:rsid w:val="18BB20F3"/>
    <w:rsid w:val="18C44B65"/>
    <w:rsid w:val="18CC7D76"/>
    <w:rsid w:val="18DE1CB6"/>
    <w:rsid w:val="18E5585C"/>
    <w:rsid w:val="190046F4"/>
    <w:rsid w:val="190B4A31"/>
    <w:rsid w:val="191B66E5"/>
    <w:rsid w:val="192E4A76"/>
    <w:rsid w:val="19546BAB"/>
    <w:rsid w:val="1996195F"/>
    <w:rsid w:val="19BA7264"/>
    <w:rsid w:val="19FD48D6"/>
    <w:rsid w:val="1A372A66"/>
    <w:rsid w:val="1A737ED0"/>
    <w:rsid w:val="1A8074B8"/>
    <w:rsid w:val="1A9B09D9"/>
    <w:rsid w:val="1AA11864"/>
    <w:rsid w:val="1AA20B6A"/>
    <w:rsid w:val="1AAE2E67"/>
    <w:rsid w:val="1AB32D49"/>
    <w:rsid w:val="1AC72910"/>
    <w:rsid w:val="1AD301C7"/>
    <w:rsid w:val="1ADD2E53"/>
    <w:rsid w:val="1AEC6857"/>
    <w:rsid w:val="1AF52223"/>
    <w:rsid w:val="1B0336B6"/>
    <w:rsid w:val="1B3064BA"/>
    <w:rsid w:val="1B6C64C4"/>
    <w:rsid w:val="1B9A62B3"/>
    <w:rsid w:val="1B9A6D54"/>
    <w:rsid w:val="1B9C09EA"/>
    <w:rsid w:val="1BC8507E"/>
    <w:rsid w:val="1BC9505E"/>
    <w:rsid w:val="1BD5406C"/>
    <w:rsid w:val="1BD579F9"/>
    <w:rsid w:val="1BD712B5"/>
    <w:rsid w:val="1BD9327F"/>
    <w:rsid w:val="1BF648BE"/>
    <w:rsid w:val="1C074871"/>
    <w:rsid w:val="1C1C299A"/>
    <w:rsid w:val="1C446080"/>
    <w:rsid w:val="1C67088B"/>
    <w:rsid w:val="1C9635A4"/>
    <w:rsid w:val="1CA07888"/>
    <w:rsid w:val="1CC436F9"/>
    <w:rsid w:val="1D105BB2"/>
    <w:rsid w:val="1D1C65C6"/>
    <w:rsid w:val="1D2D13FF"/>
    <w:rsid w:val="1D454B1B"/>
    <w:rsid w:val="1D8E2A78"/>
    <w:rsid w:val="1DD61D08"/>
    <w:rsid w:val="1E0D3161"/>
    <w:rsid w:val="1E1A491E"/>
    <w:rsid w:val="1E281770"/>
    <w:rsid w:val="1E3429EF"/>
    <w:rsid w:val="1E4A3FC0"/>
    <w:rsid w:val="1E560BB7"/>
    <w:rsid w:val="1E6F1C79"/>
    <w:rsid w:val="1E9265F0"/>
    <w:rsid w:val="1EA736F8"/>
    <w:rsid w:val="1EAC07D7"/>
    <w:rsid w:val="1EC2702E"/>
    <w:rsid w:val="1EC37D91"/>
    <w:rsid w:val="1ED8781E"/>
    <w:rsid w:val="1EE35F3B"/>
    <w:rsid w:val="1EE74EA2"/>
    <w:rsid w:val="1F04026B"/>
    <w:rsid w:val="1F1330D7"/>
    <w:rsid w:val="1F5301CF"/>
    <w:rsid w:val="1F5A6485"/>
    <w:rsid w:val="1F75506D"/>
    <w:rsid w:val="1F8F6EAA"/>
    <w:rsid w:val="1FA66046"/>
    <w:rsid w:val="1FB10F53"/>
    <w:rsid w:val="1FC75B6B"/>
    <w:rsid w:val="1FD9558D"/>
    <w:rsid w:val="1FDC1A61"/>
    <w:rsid w:val="1FE12DE5"/>
    <w:rsid w:val="1FE16016"/>
    <w:rsid w:val="1FE52564"/>
    <w:rsid w:val="200C3C23"/>
    <w:rsid w:val="205F52D4"/>
    <w:rsid w:val="20631369"/>
    <w:rsid w:val="20914115"/>
    <w:rsid w:val="209F7F61"/>
    <w:rsid w:val="20B52727"/>
    <w:rsid w:val="20E303D3"/>
    <w:rsid w:val="20FB76C1"/>
    <w:rsid w:val="2110329F"/>
    <w:rsid w:val="21135A90"/>
    <w:rsid w:val="21186CA9"/>
    <w:rsid w:val="21265E4F"/>
    <w:rsid w:val="212C3F92"/>
    <w:rsid w:val="21463165"/>
    <w:rsid w:val="214C5935"/>
    <w:rsid w:val="214E6C93"/>
    <w:rsid w:val="2177567B"/>
    <w:rsid w:val="21C679C4"/>
    <w:rsid w:val="21D0113C"/>
    <w:rsid w:val="220B5DF0"/>
    <w:rsid w:val="222A78BB"/>
    <w:rsid w:val="2250232D"/>
    <w:rsid w:val="226338A3"/>
    <w:rsid w:val="227114F9"/>
    <w:rsid w:val="22A2261D"/>
    <w:rsid w:val="22A77C33"/>
    <w:rsid w:val="22AC524A"/>
    <w:rsid w:val="230A0DF6"/>
    <w:rsid w:val="2318544F"/>
    <w:rsid w:val="23594390"/>
    <w:rsid w:val="23696CFD"/>
    <w:rsid w:val="238824E9"/>
    <w:rsid w:val="23A55950"/>
    <w:rsid w:val="23DC5358"/>
    <w:rsid w:val="23E629DD"/>
    <w:rsid w:val="23E7625B"/>
    <w:rsid w:val="24217571"/>
    <w:rsid w:val="246C588C"/>
    <w:rsid w:val="24701C01"/>
    <w:rsid w:val="248834D9"/>
    <w:rsid w:val="24A30AF0"/>
    <w:rsid w:val="24B0709F"/>
    <w:rsid w:val="24C820E3"/>
    <w:rsid w:val="24D36BE2"/>
    <w:rsid w:val="24E65A81"/>
    <w:rsid w:val="250F5077"/>
    <w:rsid w:val="25185F06"/>
    <w:rsid w:val="25227CA1"/>
    <w:rsid w:val="254B5F03"/>
    <w:rsid w:val="255E4015"/>
    <w:rsid w:val="257003D2"/>
    <w:rsid w:val="257A447E"/>
    <w:rsid w:val="25875AFA"/>
    <w:rsid w:val="2595302D"/>
    <w:rsid w:val="259756BC"/>
    <w:rsid w:val="25AF3F9B"/>
    <w:rsid w:val="25DF553A"/>
    <w:rsid w:val="25F27954"/>
    <w:rsid w:val="25F969F8"/>
    <w:rsid w:val="25FF7D86"/>
    <w:rsid w:val="26064C71"/>
    <w:rsid w:val="26247424"/>
    <w:rsid w:val="265E2CFF"/>
    <w:rsid w:val="26636159"/>
    <w:rsid w:val="26851A34"/>
    <w:rsid w:val="26915A69"/>
    <w:rsid w:val="26A53647"/>
    <w:rsid w:val="26A5654C"/>
    <w:rsid w:val="26A66649"/>
    <w:rsid w:val="26AD5B77"/>
    <w:rsid w:val="26BD0A9C"/>
    <w:rsid w:val="26D80785"/>
    <w:rsid w:val="26DD412B"/>
    <w:rsid w:val="26EC030B"/>
    <w:rsid w:val="26FE3B9A"/>
    <w:rsid w:val="27030352"/>
    <w:rsid w:val="272A406C"/>
    <w:rsid w:val="27507FF3"/>
    <w:rsid w:val="276F0B33"/>
    <w:rsid w:val="27805F80"/>
    <w:rsid w:val="27973840"/>
    <w:rsid w:val="27986805"/>
    <w:rsid w:val="27A72484"/>
    <w:rsid w:val="27B47404"/>
    <w:rsid w:val="27C7448E"/>
    <w:rsid w:val="27CA4476"/>
    <w:rsid w:val="27D4131B"/>
    <w:rsid w:val="27EB05C2"/>
    <w:rsid w:val="27ED2817"/>
    <w:rsid w:val="27F531EF"/>
    <w:rsid w:val="27F54F9D"/>
    <w:rsid w:val="27F967E2"/>
    <w:rsid w:val="280506A4"/>
    <w:rsid w:val="281B7617"/>
    <w:rsid w:val="2831213E"/>
    <w:rsid w:val="28371CB3"/>
    <w:rsid w:val="285618A9"/>
    <w:rsid w:val="286633F7"/>
    <w:rsid w:val="28697739"/>
    <w:rsid w:val="2874680A"/>
    <w:rsid w:val="28753810"/>
    <w:rsid w:val="2885014F"/>
    <w:rsid w:val="28D97DB8"/>
    <w:rsid w:val="2907142C"/>
    <w:rsid w:val="290D47D6"/>
    <w:rsid w:val="29573CE9"/>
    <w:rsid w:val="29603124"/>
    <w:rsid w:val="2961776B"/>
    <w:rsid w:val="29A05869"/>
    <w:rsid w:val="29A52283"/>
    <w:rsid w:val="29B8134E"/>
    <w:rsid w:val="29D47C62"/>
    <w:rsid w:val="2A047719"/>
    <w:rsid w:val="2A3E7D03"/>
    <w:rsid w:val="2A4E3930"/>
    <w:rsid w:val="2A5406A7"/>
    <w:rsid w:val="2A74238E"/>
    <w:rsid w:val="2A7E571E"/>
    <w:rsid w:val="2AA1140C"/>
    <w:rsid w:val="2B515016"/>
    <w:rsid w:val="2B5F66D6"/>
    <w:rsid w:val="2B73203E"/>
    <w:rsid w:val="2B74525E"/>
    <w:rsid w:val="2B7D7783"/>
    <w:rsid w:val="2B8160B8"/>
    <w:rsid w:val="2BAD07CB"/>
    <w:rsid w:val="2BC43604"/>
    <w:rsid w:val="2BD40CBE"/>
    <w:rsid w:val="2C131E96"/>
    <w:rsid w:val="2C1F2B66"/>
    <w:rsid w:val="2C397017"/>
    <w:rsid w:val="2C3B50DA"/>
    <w:rsid w:val="2C3F0EDD"/>
    <w:rsid w:val="2C6E17C2"/>
    <w:rsid w:val="2C800F7A"/>
    <w:rsid w:val="2C950AFD"/>
    <w:rsid w:val="2CB43679"/>
    <w:rsid w:val="2CBC4003"/>
    <w:rsid w:val="2CBE62A5"/>
    <w:rsid w:val="2CE85A2F"/>
    <w:rsid w:val="2CEC3EC3"/>
    <w:rsid w:val="2CF3012F"/>
    <w:rsid w:val="2CFA1C67"/>
    <w:rsid w:val="2D236108"/>
    <w:rsid w:val="2D304D68"/>
    <w:rsid w:val="2D34274A"/>
    <w:rsid w:val="2D5A361F"/>
    <w:rsid w:val="2D836160"/>
    <w:rsid w:val="2D9B2B75"/>
    <w:rsid w:val="2DAB4FC5"/>
    <w:rsid w:val="2DCD42C6"/>
    <w:rsid w:val="2DE735DA"/>
    <w:rsid w:val="2DF857E7"/>
    <w:rsid w:val="2E1C517E"/>
    <w:rsid w:val="2E204D3E"/>
    <w:rsid w:val="2E316EB5"/>
    <w:rsid w:val="2E3911B7"/>
    <w:rsid w:val="2E3A714C"/>
    <w:rsid w:val="2E4108EA"/>
    <w:rsid w:val="2E6B5FB9"/>
    <w:rsid w:val="2E76495E"/>
    <w:rsid w:val="2E792A9B"/>
    <w:rsid w:val="2E7E51F5"/>
    <w:rsid w:val="2E86077E"/>
    <w:rsid w:val="2E9B22F1"/>
    <w:rsid w:val="2EBD433B"/>
    <w:rsid w:val="2ED2527F"/>
    <w:rsid w:val="2EFE0BDB"/>
    <w:rsid w:val="2EFE6E2D"/>
    <w:rsid w:val="2F0D687D"/>
    <w:rsid w:val="2F0E455D"/>
    <w:rsid w:val="2F314314"/>
    <w:rsid w:val="2F763CAE"/>
    <w:rsid w:val="2F8D1F5F"/>
    <w:rsid w:val="2F8D29E4"/>
    <w:rsid w:val="2F9236BA"/>
    <w:rsid w:val="2FEA689F"/>
    <w:rsid w:val="2FF46F70"/>
    <w:rsid w:val="2FFB7130"/>
    <w:rsid w:val="300466C5"/>
    <w:rsid w:val="301E16C7"/>
    <w:rsid w:val="304650C2"/>
    <w:rsid w:val="30506E41"/>
    <w:rsid w:val="3078676B"/>
    <w:rsid w:val="30922B6E"/>
    <w:rsid w:val="30942F77"/>
    <w:rsid w:val="30B8125D"/>
    <w:rsid w:val="30D17092"/>
    <w:rsid w:val="30DC4F4C"/>
    <w:rsid w:val="31126BC0"/>
    <w:rsid w:val="3126266B"/>
    <w:rsid w:val="312D39F9"/>
    <w:rsid w:val="313721C7"/>
    <w:rsid w:val="31590E82"/>
    <w:rsid w:val="31676588"/>
    <w:rsid w:val="316C6E4D"/>
    <w:rsid w:val="31A25DCC"/>
    <w:rsid w:val="31D27479"/>
    <w:rsid w:val="31DD71CE"/>
    <w:rsid w:val="31E57E0B"/>
    <w:rsid w:val="31E80AB0"/>
    <w:rsid w:val="32140715"/>
    <w:rsid w:val="32204AAC"/>
    <w:rsid w:val="323A46EF"/>
    <w:rsid w:val="32464D38"/>
    <w:rsid w:val="327E41AE"/>
    <w:rsid w:val="32801B39"/>
    <w:rsid w:val="32C5132B"/>
    <w:rsid w:val="33043FA7"/>
    <w:rsid w:val="330864CC"/>
    <w:rsid w:val="33177932"/>
    <w:rsid w:val="33191029"/>
    <w:rsid w:val="332C73F5"/>
    <w:rsid w:val="333170A5"/>
    <w:rsid w:val="33405ECA"/>
    <w:rsid w:val="33541711"/>
    <w:rsid w:val="3366138E"/>
    <w:rsid w:val="338342A1"/>
    <w:rsid w:val="33A72691"/>
    <w:rsid w:val="33B81129"/>
    <w:rsid w:val="33CF2B46"/>
    <w:rsid w:val="33D01F98"/>
    <w:rsid w:val="33D10AFB"/>
    <w:rsid w:val="33D402CE"/>
    <w:rsid w:val="340537C2"/>
    <w:rsid w:val="341C31B2"/>
    <w:rsid w:val="34256015"/>
    <w:rsid w:val="34331CF7"/>
    <w:rsid w:val="34370F81"/>
    <w:rsid w:val="344A7771"/>
    <w:rsid w:val="34535CDA"/>
    <w:rsid w:val="34AA375F"/>
    <w:rsid w:val="34C74254"/>
    <w:rsid w:val="34C86096"/>
    <w:rsid w:val="34CA0ED9"/>
    <w:rsid w:val="34F012AE"/>
    <w:rsid w:val="35054F41"/>
    <w:rsid w:val="355A3DF9"/>
    <w:rsid w:val="356150CE"/>
    <w:rsid w:val="356E5C9A"/>
    <w:rsid w:val="357A2D6D"/>
    <w:rsid w:val="358E358F"/>
    <w:rsid w:val="358F1B65"/>
    <w:rsid w:val="35D045D6"/>
    <w:rsid w:val="360A3A37"/>
    <w:rsid w:val="360A6D2C"/>
    <w:rsid w:val="36142551"/>
    <w:rsid w:val="361956CA"/>
    <w:rsid w:val="36274FBF"/>
    <w:rsid w:val="363932F5"/>
    <w:rsid w:val="36877708"/>
    <w:rsid w:val="368924B2"/>
    <w:rsid w:val="36B129D7"/>
    <w:rsid w:val="36F03CAB"/>
    <w:rsid w:val="36F17277"/>
    <w:rsid w:val="371A0862"/>
    <w:rsid w:val="372159D9"/>
    <w:rsid w:val="374A4141"/>
    <w:rsid w:val="37520721"/>
    <w:rsid w:val="37647A49"/>
    <w:rsid w:val="376B31FC"/>
    <w:rsid w:val="37876CD7"/>
    <w:rsid w:val="37891C41"/>
    <w:rsid w:val="37AF33BA"/>
    <w:rsid w:val="37D9563C"/>
    <w:rsid w:val="37F64415"/>
    <w:rsid w:val="37FC4126"/>
    <w:rsid w:val="380E6B51"/>
    <w:rsid w:val="382220E8"/>
    <w:rsid w:val="382A0901"/>
    <w:rsid w:val="38325D99"/>
    <w:rsid w:val="38484CF7"/>
    <w:rsid w:val="385D7F24"/>
    <w:rsid w:val="38617056"/>
    <w:rsid w:val="386C12AB"/>
    <w:rsid w:val="38A95010"/>
    <w:rsid w:val="38B245C5"/>
    <w:rsid w:val="38B44A00"/>
    <w:rsid w:val="38F6475A"/>
    <w:rsid w:val="390B232E"/>
    <w:rsid w:val="39111E53"/>
    <w:rsid w:val="393F65A9"/>
    <w:rsid w:val="39567866"/>
    <w:rsid w:val="397F1CC4"/>
    <w:rsid w:val="399F120C"/>
    <w:rsid w:val="39AE02D7"/>
    <w:rsid w:val="39C11183"/>
    <w:rsid w:val="39E15381"/>
    <w:rsid w:val="39E15CDF"/>
    <w:rsid w:val="3A015ACD"/>
    <w:rsid w:val="3A18450B"/>
    <w:rsid w:val="3A1E70B0"/>
    <w:rsid w:val="3A362890"/>
    <w:rsid w:val="3A417045"/>
    <w:rsid w:val="3A443B62"/>
    <w:rsid w:val="3A540410"/>
    <w:rsid w:val="3A66066B"/>
    <w:rsid w:val="3A6A7A6C"/>
    <w:rsid w:val="3A772BE1"/>
    <w:rsid w:val="3AA12337"/>
    <w:rsid w:val="3AAC1E33"/>
    <w:rsid w:val="3AC05183"/>
    <w:rsid w:val="3ACC4283"/>
    <w:rsid w:val="3ACF1BA7"/>
    <w:rsid w:val="3AE06CCC"/>
    <w:rsid w:val="3AE96BE3"/>
    <w:rsid w:val="3AEE314D"/>
    <w:rsid w:val="3AEF06FC"/>
    <w:rsid w:val="3B165A60"/>
    <w:rsid w:val="3B3616FD"/>
    <w:rsid w:val="3B3C2749"/>
    <w:rsid w:val="3B6061D8"/>
    <w:rsid w:val="3B6202C3"/>
    <w:rsid w:val="3B682EC6"/>
    <w:rsid w:val="3B9528C7"/>
    <w:rsid w:val="3B9F3746"/>
    <w:rsid w:val="3B9F47B3"/>
    <w:rsid w:val="3BAD26F5"/>
    <w:rsid w:val="3BC60CD2"/>
    <w:rsid w:val="3BD25F30"/>
    <w:rsid w:val="3BDA652C"/>
    <w:rsid w:val="3BF34D89"/>
    <w:rsid w:val="3BF55114"/>
    <w:rsid w:val="3C0B1989"/>
    <w:rsid w:val="3C320116"/>
    <w:rsid w:val="3C3A0AFA"/>
    <w:rsid w:val="3C4A1903"/>
    <w:rsid w:val="3C68390B"/>
    <w:rsid w:val="3C836BC3"/>
    <w:rsid w:val="3C9B5B59"/>
    <w:rsid w:val="3CB16673"/>
    <w:rsid w:val="3CB72468"/>
    <w:rsid w:val="3CB74ABF"/>
    <w:rsid w:val="3D2A703F"/>
    <w:rsid w:val="3D3A3327"/>
    <w:rsid w:val="3D5D11C3"/>
    <w:rsid w:val="3D6562C9"/>
    <w:rsid w:val="3D682F88"/>
    <w:rsid w:val="3D830202"/>
    <w:rsid w:val="3D8E3A72"/>
    <w:rsid w:val="3DC02C3B"/>
    <w:rsid w:val="3DC553B8"/>
    <w:rsid w:val="3DC72AE0"/>
    <w:rsid w:val="3DCE3AD0"/>
    <w:rsid w:val="3E00251B"/>
    <w:rsid w:val="3E090362"/>
    <w:rsid w:val="3E0F5C51"/>
    <w:rsid w:val="3E206C6B"/>
    <w:rsid w:val="3E3F3371"/>
    <w:rsid w:val="3E5743BA"/>
    <w:rsid w:val="3E6842C3"/>
    <w:rsid w:val="3E894239"/>
    <w:rsid w:val="3EA37089"/>
    <w:rsid w:val="3EA9063C"/>
    <w:rsid w:val="3ED96A73"/>
    <w:rsid w:val="3EDF7953"/>
    <w:rsid w:val="3EFF32EE"/>
    <w:rsid w:val="3F06752D"/>
    <w:rsid w:val="3F650B29"/>
    <w:rsid w:val="3F6F78D3"/>
    <w:rsid w:val="3F736B52"/>
    <w:rsid w:val="3F8743E7"/>
    <w:rsid w:val="3F9F05C1"/>
    <w:rsid w:val="3FA1678F"/>
    <w:rsid w:val="3FB917DF"/>
    <w:rsid w:val="3FB95A21"/>
    <w:rsid w:val="3FCE4D23"/>
    <w:rsid w:val="3FD019E0"/>
    <w:rsid w:val="3FD87871"/>
    <w:rsid w:val="3FF86ED3"/>
    <w:rsid w:val="3FF93D9E"/>
    <w:rsid w:val="401F238C"/>
    <w:rsid w:val="40390128"/>
    <w:rsid w:val="404A6FCD"/>
    <w:rsid w:val="40695D6E"/>
    <w:rsid w:val="40814918"/>
    <w:rsid w:val="408B4299"/>
    <w:rsid w:val="40A8045D"/>
    <w:rsid w:val="40AD397C"/>
    <w:rsid w:val="40BF235C"/>
    <w:rsid w:val="40C652D1"/>
    <w:rsid w:val="40CD0C4F"/>
    <w:rsid w:val="41004C2F"/>
    <w:rsid w:val="41197AF6"/>
    <w:rsid w:val="41281AE7"/>
    <w:rsid w:val="41296076"/>
    <w:rsid w:val="412E2B26"/>
    <w:rsid w:val="41514120"/>
    <w:rsid w:val="41523008"/>
    <w:rsid w:val="41564230"/>
    <w:rsid w:val="415E5BE8"/>
    <w:rsid w:val="417B53B5"/>
    <w:rsid w:val="417E204F"/>
    <w:rsid w:val="4182744A"/>
    <w:rsid w:val="419D7DDA"/>
    <w:rsid w:val="41A01FC6"/>
    <w:rsid w:val="41AC7E24"/>
    <w:rsid w:val="41CC4B69"/>
    <w:rsid w:val="41CE08E1"/>
    <w:rsid w:val="41CE268F"/>
    <w:rsid w:val="41EB3B14"/>
    <w:rsid w:val="41EF6DBA"/>
    <w:rsid w:val="4227235F"/>
    <w:rsid w:val="422C1AAB"/>
    <w:rsid w:val="427159DF"/>
    <w:rsid w:val="4278084D"/>
    <w:rsid w:val="42895BB9"/>
    <w:rsid w:val="428C6D8D"/>
    <w:rsid w:val="429220CA"/>
    <w:rsid w:val="42A81A5D"/>
    <w:rsid w:val="42D96836"/>
    <w:rsid w:val="42EA55AE"/>
    <w:rsid w:val="42EB121C"/>
    <w:rsid w:val="42FD44B2"/>
    <w:rsid w:val="43125387"/>
    <w:rsid w:val="431E7646"/>
    <w:rsid w:val="432E1E4F"/>
    <w:rsid w:val="43572758"/>
    <w:rsid w:val="436D237B"/>
    <w:rsid w:val="43721740"/>
    <w:rsid w:val="43824495"/>
    <w:rsid w:val="43AD109A"/>
    <w:rsid w:val="43B50079"/>
    <w:rsid w:val="43C26B6A"/>
    <w:rsid w:val="43EA6572"/>
    <w:rsid w:val="43EB561E"/>
    <w:rsid w:val="4407115F"/>
    <w:rsid w:val="443211DD"/>
    <w:rsid w:val="443317FF"/>
    <w:rsid w:val="44332BA9"/>
    <w:rsid w:val="444A4C25"/>
    <w:rsid w:val="445E6CA4"/>
    <w:rsid w:val="44731C6A"/>
    <w:rsid w:val="44740900"/>
    <w:rsid w:val="44A338EB"/>
    <w:rsid w:val="44C041EC"/>
    <w:rsid w:val="44C24FB4"/>
    <w:rsid w:val="44C835BD"/>
    <w:rsid w:val="44DB0750"/>
    <w:rsid w:val="451900C5"/>
    <w:rsid w:val="451D1C26"/>
    <w:rsid w:val="452577F8"/>
    <w:rsid w:val="452E69E2"/>
    <w:rsid w:val="458974A9"/>
    <w:rsid w:val="45A469F2"/>
    <w:rsid w:val="45AB761C"/>
    <w:rsid w:val="45D00EB2"/>
    <w:rsid w:val="45E71D50"/>
    <w:rsid w:val="45F2318F"/>
    <w:rsid w:val="45FE4010"/>
    <w:rsid w:val="460B06DB"/>
    <w:rsid w:val="460E4F45"/>
    <w:rsid w:val="461D57A5"/>
    <w:rsid w:val="461E1078"/>
    <w:rsid w:val="46296ED5"/>
    <w:rsid w:val="462A6302"/>
    <w:rsid w:val="466F126D"/>
    <w:rsid w:val="4676111D"/>
    <w:rsid w:val="4686223B"/>
    <w:rsid w:val="469A2312"/>
    <w:rsid w:val="469C3FEF"/>
    <w:rsid w:val="46B311F9"/>
    <w:rsid w:val="46EC6E20"/>
    <w:rsid w:val="46ED7825"/>
    <w:rsid w:val="471C3C7C"/>
    <w:rsid w:val="472543ED"/>
    <w:rsid w:val="47767A51"/>
    <w:rsid w:val="478163F5"/>
    <w:rsid w:val="47BE4A19"/>
    <w:rsid w:val="47C30B14"/>
    <w:rsid w:val="47D93B3C"/>
    <w:rsid w:val="47F8383C"/>
    <w:rsid w:val="47FC5B63"/>
    <w:rsid w:val="480D7C89"/>
    <w:rsid w:val="48234CBA"/>
    <w:rsid w:val="482374AD"/>
    <w:rsid w:val="48281C07"/>
    <w:rsid w:val="48634DC1"/>
    <w:rsid w:val="48A063A4"/>
    <w:rsid w:val="48A777E0"/>
    <w:rsid w:val="48C06CFA"/>
    <w:rsid w:val="48CD092B"/>
    <w:rsid w:val="48E6003E"/>
    <w:rsid w:val="48F00ECF"/>
    <w:rsid w:val="48FF5824"/>
    <w:rsid w:val="490F69F3"/>
    <w:rsid w:val="491118AD"/>
    <w:rsid w:val="491D3697"/>
    <w:rsid w:val="491D6F70"/>
    <w:rsid w:val="492B2127"/>
    <w:rsid w:val="492E057F"/>
    <w:rsid w:val="493F4EA8"/>
    <w:rsid w:val="49615794"/>
    <w:rsid w:val="49711EE2"/>
    <w:rsid w:val="49746132"/>
    <w:rsid w:val="497D0831"/>
    <w:rsid w:val="49962061"/>
    <w:rsid w:val="49997A26"/>
    <w:rsid w:val="499C12C5"/>
    <w:rsid w:val="49AD34D2"/>
    <w:rsid w:val="49F12DDA"/>
    <w:rsid w:val="4A205A39"/>
    <w:rsid w:val="4A261AFB"/>
    <w:rsid w:val="4A3A0F04"/>
    <w:rsid w:val="4A5809C6"/>
    <w:rsid w:val="4A8D7450"/>
    <w:rsid w:val="4A924D6C"/>
    <w:rsid w:val="4AA84652"/>
    <w:rsid w:val="4AC661C4"/>
    <w:rsid w:val="4ACD182F"/>
    <w:rsid w:val="4AD319B5"/>
    <w:rsid w:val="4ADD1B95"/>
    <w:rsid w:val="4AEE4793"/>
    <w:rsid w:val="4B1A690F"/>
    <w:rsid w:val="4B227F57"/>
    <w:rsid w:val="4B384997"/>
    <w:rsid w:val="4B3A0D95"/>
    <w:rsid w:val="4B44398C"/>
    <w:rsid w:val="4B4614E8"/>
    <w:rsid w:val="4B4E4840"/>
    <w:rsid w:val="4B55790B"/>
    <w:rsid w:val="4B55797D"/>
    <w:rsid w:val="4B57439F"/>
    <w:rsid w:val="4B6473A2"/>
    <w:rsid w:val="4B9A1834"/>
    <w:rsid w:val="4BA75709"/>
    <w:rsid w:val="4BC0450D"/>
    <w:rsid w:val="4BC2219B"/>
    <w:rsid w:val="4BCD5AF4"/>
    <w:rsid w:val="4C461FAB"/>
    <w:rsid w:val="4C4869B3"/>
    <w:rsid w:val="4C5D09EA"/>
    <w:rsid w:val="4C6857B5"/>
    <w:rsid w:val="4C8A1066"/>
    <w:rsid w:val="4C8A5E8F"/>
    <w:rsid w:val="4C940EBC"/>
    <w:rsid w:val="4CB87639"/>
    <w:rsid w:val="4CE7652C"/>
    <w:rsid w:val="4CED51A9"/>
    <w:rsid w:val="4CFB2914"/>
    <w:rsid w:val="4D0D7563"/>
    <w:rsid w:val="4D2C661C"/>
    <w:rsid w:val="4D330192"/>
    <w:rsid w:val="4D694096"/>
    <w:rsid w:val="4DB14CDF"/>
    <w:rsid w:val="4DBB0B01"/>
    <w:rsid w:val="4DE374C2"/>
    <w:rsid w:val="4DE408D6"/>
    <w:rsid w:val="4DE62FCD"/>
    <w:rsid w:val="4E1E46A2"/>
    <w:rsid w:val="4E33329D"/>
    <w:rsid w:val="4E355844"/>
    <w:rsid w:val="4E361CE8"/>
    <w:rsid w:val="4E456FA4"/>
    <w:rsid w:val="4E4D2583"/>
    <w:rsid w:val="4E4E2F43"/>
    <w:rsid w:val="4E5C7519"/>
    <w:rsid w:val="4E616639"/>
    <w:rsid w:val="4E7B5F30"/>
    <w:rsid w:val="4E7D41AC"/>
    <w:rsid w:val="4E843CCF"/>
    <w:rsid w:val="4EB80E01"/>
    <w:rsid w:val="4EC81323"/>
    <w:rsid w:val="4F111E0D"/>
    <w:rsid w:val="4F1813ED"/>
    <w:rsid w:val="4F257D14"/>
    <w:rsid w:val="4F322AFA"/>
    <w:rsid w:val="4F4A3466"/>
    <w:rsid w:val="4F570711"/>
    <w:rsid w:val="4F6313C6"/>
    <w:rsid w:val="4F8354FA"/>
    <w:rsid w:val="4F844391"/>
    <w:rsid w:val="4F99788D"/>
    <w:rsid w:val="4FA74FBE"/>
    <w:rsid w:val="4FD07F1A"/>
    <w:rsid w:val="4FD34158"/>
    <w:rsid w:val="4FD76934"/>
    <w:rsid w:val="4FF84D7B"/>
    <w:rsid w:val="500532A1"/>
    <w:rsid w:val="501C6CBB"/>
    <w:rsid w:val="50360D32"/>
    <w:rsid w:val="503A0FF0"/>
    <w:rsid w:val="50586946"/>
    <w:rsid w:val="50720FD1"/>
    <w:rsid w:val="507F6933"/>
    <w:rsid w:val="509645A9"/>
    <w:rsid w:val="50B4265E"/>
    <w:rsid w:val="50B63535"/>
    <w:rsid w:val="50B65D89"/>
    <w:rsid w:val="50C2524A"/>
    <w:rsid w:val="50F65B77"/>
    <w:rsid w:val="51256043"/>
    <w:rsid w:val="51382DFD"/>
    <w:rsid w:val="514B21A5"/>
    <w:rsid w:val="515801C7"/>
    <w:rsid w:val="51595CED"/>
    <w:rsid w:val="515B7CB7"/>
    <w:rsid w:val="51A70F54"/>
    <w:rsid w:val="51AE428B"/>
    <w:rsid w:val="51B66C9C"/>
    <w:rsid w:val="51C34297"/>
    <w:rsid w:val="51CB2747"/>
    <w:rsid w:val="51EB103B"/>
    <w:rsid w:val="51FB0D52"/>
    <w:rsid w:val="52291B63"/>
    <w:rsid w:val="52A42F98"/>
    <w:rsid w:val="52B33A1E"/>
    <w:rsid w:val="53180DBA"/>
    <w:rsid w:val="5321256E"/>
    <w:rsid w:val="532D2E42"/>
    <w:rsid w:val="53450081"/>
    <w:rsid w:val="534A578C"/>
    <w:rsid w:val="535F508A"/>
    <w:rsid w:val="5362532D"/>
    <w:rsid w:val="53B25455"/>
    <w:rsid w:val="53CA3C92"/>
    <w:rsid w:val="53E8302C"/>
    <w:rsid w:val="53EE33A5"/>
    <w:rsid w:val="54370553"/>
    <w:rsid w:val="543D6DE5"/>
    <w:rsid w:val="54577081"/>
    <w:rsid w:val="55045B96"/>
    <w:rsid w:val="55180608"/>
    <w:rsid w:val="55357DC1"/>
    <w:rsid w:val="553C15D7"/>
    <w:rsid w:val="55441B9C"/>
    <w:rsid w:val="555032D6"/>
    <w:rsid w:val="55705D34"/>
    <w:rsid w:val="558150DE"/>
    <w:rsid w:val="55851F6B"/>
    <w:rsid w:val="55963754"/>
    <w:rsid w:val="559F37CF"/>
    <w:rsid w:val="55BC02BF"/>
    <w:rsid w:val="55DC02C1"/>
    <w:rsid w:val="561769D4"/>
    <w:rsid w:val="562E7748"/>
    <w:rsid w:val="56355833"/>
    <w:rsid w:val="566778F3"/>
    <w:rsid w:val="56694C24"/>
    <w:rsid w:val="569548FC"/>
    <w:rsid w:val="5699669D"/>
    <w:rsid w:val="56AF1DF3"/>
    <w:rsid w:val="56C6570E"/>
    <w:rsid w:val="56D36FB6"/>
    <w:rsid w:val="56E56B61"/>
    <w:rsid w:val="56F3629C"/>
    <w:rsid w:val="56F40992"/>
    <w:rsid w:val="56F91B04"/>
    <w:rsid w:val="570A670A"/>
    <w:rsid w:val="57172250"/>
    <w:rsid w:val="572336AB"/>
    <w:rsid w:val="57257664"/>
    <w:rsid w:val="572D74DD"/>
    <w:rsid w:val="57842C6E"/>
    <w:rsid w:val="5786146C"/>
    <w:rsid w:val="5793664A"/>
    <w:rsid w:val="57B91F59"/>
    <w:rsid w:val="57C40335"/>
    <w:rsid w:val="57CF71DE"/>
    <w:rsid w:val="57D30C82"/>
    <w:rsid w:val="57D93826"/>
    <w:rsid w:val="57FF75EE"/>
    <w:rsid w:val="5852081E"/>
    <w:rsid w:val="58590BB5"/>
    <w:rsid w:val="585F34D6"/>
    <w:rsid w:val="586F62C0"/>
    <w:rsid w:val="58981BA8"/>
    <w:rsid w:val="58B804A9"/>
    <w:rsid w:val="58CB74D0"/>
    <w:rsid w:val="58E051ED"/>
    <w:rsid w:val="58F06F37"/>
    <w:rsid w:val="590127A7"/>
    <w:rsid w:val="590C2C7D"/>
    <w:rsid w:val="59286680"/>
    <w:rsid w:val="59526A97"/>
    <w:rsid w:val="59995821"/>
    <w:rsid w:val="59A81EF2"/>
    <w:rsid w:val="59AC7302"/>
    <w:rsid w:val="59BE244D"/>
    <w:rsid w:val="59C363FA"/>
    <w:rsid w:val="59E545C2"/>
    <w:rsid w:val="59FD3F9E"/>
    <w:rsid w:val="5A175510"/>
    <w:rsid w:val="5A186745"/>
    <w:rsid w:val="5A1B2617"/>
    <w:rsid w:val="5A257C61"/>
    <w:rsid w:val="5A3564C7"/>
    <w:rsid w:val="5A607CCE"/>
    <w:rsid w:val="5A6115B9"/>
    <w:rsid w:val="5A663F2E"/>
    <w:rsid w:val="5A6F390B"/>
    <w:rsid w:val="5A886F3D"/>
    <w:rsid w:val="5ACE5056"/>
    <w:rsid w:val="5ADF54B5"/>
    <w:rsid w:val="5AE76118"/>
    <w:rsid w:val="5AF21AE9"/>
    <w:rsid w:val="5AFB5A70"/>
    <w:rsid w:val="5B114646"/>
    <w:rsid w:val="5B1B7CC7"/>
    <w:rsid w:val="5B500161"/>
    <w:rsid w:val="5B5B46DE"/>
    <w:rsid w:val="5B8E63C4"/>
    <w:rsid w:val="5BB46942"/>
    <w:rsid w:val="5BBD57F6"/>
    <w:rsid w:val="5BC1505A"/>
    <w:rsid w:val="5BC37254"/>
    <w:rsid w:val="5BC822EF"/>
    <w:rsid w:val="5BF73DE3"/>
    <w:rsid w:val="5C11057A"/>
    <w:rsid w:val="5C2238AB"/>
    <w:rsid w:val="5C6A0DAE"/>
    <w:rsid w:val="5C9654EB"/>
    <w:rsid w:val="5CA226B5"/>
    <w:rsid w:val="5CA73DB1"/>
    <w:rsid w:val="5CB36705"/>
    <w:rsid w:val="5CCC5E7E"/>
    <w:rsid w:val="5CD04C47"/>
    <w:rsid w:val="5CD1707F"/>
    <w:rsid w:val="5CF53B8F"/>
    <w:rsid w:val="5CF60EE0"/>
    <w:rsid w:val="5CF949BB"/>
    <w:rsid w:val="5D0C1301"/>
    <w:rsid w:val="5D573992"/>
    <w:rsid w:val="5D5C103F"/>
    <w:rsid w:val="5DA30A1C"/>
    <w:rsid w:val="5DE60909"/>
    <w:rsid w:val="5DEB68EA"/>
    <w:rsid w:val="5E3D49CC"/>
    <w:rsid w:val="5E453881"/>
    <w:rsid w:val="5E5341F0"/>
    <w:rsid w:val="5E684992"/>
    <w:rsid w:val="5E6A1E17"/>
    <w:rsid w:val="5E9071F2"/>
    <w:rsid w:val="5E99597B"/>
    <w:rsid w:val="5E9A1E1F"/>
    <w:rsid w:val="5EE527E1"/>
    <w:rsid w:val="5F015E04"/>
    <w:rsid w:val="5F030150"/>
    <w:rsid w:val="5F0E4736"/>
    <w:rsid w:val="5F337B7D"/>
    <w:rsid w:val="5F393B80"/>
    <w:rsid w:val="5F442CB4"/>
    <w:rsid w:val="5F45097A"/>
    <w:rsid w:val="5F54438E"/>
    <w:rsid w:val="5F571EA3"/>
    <w:rsid w:val="5FA55B60"/>
    <w:rsid w:val="5FA97A94"/>
    <w:rsid w:val="5FB07420"/>
    <w:rsid w:val="5FD07687"/>
    <w:rsid w:val="5FE70F2D"/>
    <w:rsid w:val="5FE84E0C"/>
    <w:rsid w:val="5FF10EC5"/>
    <w:rsid w:val="5FFF5CB2"/>
    <w:rsid w:val="600F05EB"/>
    <w:rsid w:val="6029146A"/>
    <w:rsid w:val="604F343F"/>
    <w:rsid w:val="606C1960"/>
    <w:rsid w:val="607641C6"/>
    <w:rsid w:val="60AA51A8"/>
    <w:rsid w:val="60EA1C6A"/>
    <w:rsid w:val="60FD4F46"/>
    <w:rsid w:val="610572F8"/>
    <w:rsid w:val="613E50BB"/>
    <w:rsid w:val="61447E20"/>
    <w:rsid w:val="61534507"/>
    <w:rsid w:val="61592AB9"/>
    <w:rsid w:val="615D5095"/>
    <w:rsid w:val="61A3322C"/>
    <w:rsid w:val="61A54728"/>
    <w:rsid w:val="61AE1315"/>
    <w:rsid w:val="61C471B3"/>
    <w:rsid w:val="61C677DA"/>
    <w:rsid w:val="61E561AB"/>
    <w:rsid w:val="61F863AE"/>
    <w:rsid w:val="61FE10B3"/>
    <w:rsid w:val="62253924"/>
    <w:rsid w:val="62434B02"/>
    <w:rsid w:val="625610C0"/>
    <w:rsid w:val="6260284D"/>
    <w:rsid w:val="6261002D"/>
    <w:rsid w:val="6278282F"/>
    <w:rsid w:val="62943799"/>
    <w:rsid w:val="62AF7E63"/>
    <w:rsid w:val="62C51434"/>
    <w:rsid w:val="62DC0E43"/>
    <w:rsid w:val="62E419D3"/>
    <w:rsid w:val="630A471E"/>
    <w:rsid w:val="631E437A"/>
    <w:rsid w:val="631F28F3"/>
    <w:rsid w:val="63485CDE"/>
    <w:rsid w:val="634C2C1B"/>
    <w:rsid w:val="63500CFE"/>
    <w:rsid w:val="63564FFB"/>
    <w:rsid w:val="635C1421"/>
    <w:rsid w:val="636714A1"/>
    <w:rsid w:val="637C56E8"/>
    <w:rsid w:val="63AA1DD1"/>
    <w:rsid w:val="63B000AA"/>
    <w:rsid w:val="63B84AF5"/>
    <w:rsid w:val="63C879BB"/>
    <w:rsid w:val="63DD455C"/>
    <w:rsid w:val="63ED451C"/>
    <w:rsid w:val="63F02068"/>
    <w:rsid w:val="63F30730"/>
    <w:rsid w:val="63F93499"/>
    <w:rsid w:val="64311ECA"/>
    <w:rsid w:val="64801AB7"/>
    <w:rsid w:val="64E27A00"/>
    <w:rsid w:val="64E42046"/>
    <w:rsid w:val="6501237B"/>
    <w:rsid w:val="65047763"/>
    <w:rsid w:val="650708A6"/>
    <w:rsid w:val="650B38EE"/>
    <w:rsid w:val="652579C5"/>
    <w:rsid w:val="6531774A"/>
    <w:rsid w:val="65331DE1"/>
    <w:rsid w:val="655B2A2B"/>
    <w:rsid w:val="65A13A93"/>
    <w:rsid w:val="65B17A4E"/>
    <w:rsid w:val="65B30CEB"/>
    <w:rsid w:val="65B61A11"/>
    <w:rsid w:val="65BF6897"/>
    <w:rsid w:val="65E51D30"/>
    <w:rsid w:val="65F067C8"/>
    <w:rsid w:val="65F70AE9"/>
    <w:rsid w:val="660B1854"/>
    <w:rsid w:val="661A1A97"/>
    <w:rsid w:val="662907EC"/>
    <w:rsid w:val="663461AC"/>
    <w:rsid w:val="666D1BC7"/>
    <w:rsid w:val="66943183"/>
    <w:rsid w:val="66A4359E"/>
    <w:rsid w:val="66BC66AA"/>
    <w:rsid w:val="66CC4E7E"/>
    <w:rsid w:val="66D71736"/>
    <w:rsid w:val="66E17426"/>
    <w:rsid w:val="66F31BAD"/>
    <w:rsid w:val="66F73586"/>
    <w:rsid w:val="670562A3"/>
    <w:rsid w:val="67121FED"/>
    <w:rsid w:val="671B3424"/>
    <w:rsid w:val="671D635B"/>
    <w:rsid w:val="672C582D"/>
    <w:rsid w:val="672E75A8"/>
    <w:rsid w:val="673B0626"/>
    <w:rsid w:val="67401F4D"/>
    <w:rsid w:val="67415D26"/>
    <w:rsid w:val="676C5591"/>
    <w:rsid w:val="67851192"/>
    <w:rsid w:val="67866582"/>
    <w:rsid w:val="678E41BC"/>
    <w:rsid w:val="678F7B49"/>
    <w:rsid w:val="679A139F"/>
    <w:rsid w:val="679D64DC"/>
    <w:rsid w:val="67A05FCC"/>
    <w:rsid w:val="67A927F6"/>
    <w:rsid w:val="681C1AF7"/>
    <w:rsid w:val="6833299C"/>
    <w:rsid w:val="68510504"/>
    <w:rsid w:val="68774F7F"/>
    <w:rsid w:val="687F083D"/>
    <w:rsid w:val="688A2F04"/>
    <w:rsid w:val="68914293"/>
    <w:rsid w:val="68B03FED"/>
    <w:rsid w:val="68B56134"/>
    <w:rsid w:val="68CA23D1"/>
    <w:rsid w:val="68D662DC"/>
    <w:rsid w:val="68E1459C"/>
    <w:rsid w:val="690B3AD2"/>
    <w:rsid w:val="690C7683"/>
    <w:rsid w:val="690D07F0"/>
    <w:rsid w:val="69534793"/>
    <w:rsid w:val="695D0032"/>
    <w:rsid w:val="69741FC9"/>
    <w:rsid w:val="69794D27"/>
    <w:rsid w:val="69FD58C9"/>
    <w:rsid w:val="6A0E546F"/>
    <w:rsid w:val="6A287F98"/>
    <w:rsid w:val="6A34616B"/>
    <w:rsid w:val="6A35284B"/>
    <w:rsid w:val="6A3A77D4"/>
    <w:rsid w:val="6A4103AE"/>
    <w:rsid w:val="6A5E619E"/>
    <w:rsid w:val="6A701C86"/>
    <w:rsid w:val="6A771266"/>
    <w:rsid w:val="6A852A96"/>
    <w:rsid w:val="6A89113D"/>
    <w:rsid w:val="6AC23A23"/>
    <w:rsid w:val="6AEC5007"/>
    <w:rsid w:val="6AF6662F"/>
    <w:rsid w:val="6B016D82"/>
    <w:rsid w:val="6B142F59"/>
    <w:rsid w:val="6B4355EC"/>
    <w:rsid w:val="6B4E0D76"/>
    <w:rsid w:val="6B5362D7"/>
    <w:rsid w:val="6B5927CB"/>
    <w:rsid w:val="6B614135"/>
    <w:rsid w:val="6BA02A3F"/>
    <w:rsid w:val="6BA22313"/>
    <w:rsid w:val="6BB17B6E"/>
    <w:rsid w:val="6BB350B5"/>
    <w:rsid w:val="6BB45BC2"/>
    <w:rsid w:val="6BC93952"/>
    <w:rsid w:val="6BEE7E20"/>
    <w:rsid w:val="6BFE286F"/>
    <w:rsid w:val="6C1D4922"/>
    <w:rsid w:val="6C1F1A3A"/>
    <w:rsid w:val="6C2A0233"/>
    <w:rsid w:val="6C460B63"/>
    <w:rsid w:val="6C504070"/>
    <w:rsid w:val="6C6B4EFE"/>
    <w:rsid w:val="6C71397E"/>
    <w:rsid w:val="6C7B105D"/>
    <w:rsid w:val="6C7D0B4F"/>
    <w:rsid w:val="6C7F4402"/>
    <w:rsid w:val="6C863E23"/>
    <w:rsid w:val="6CB5381C"/>
    <w:rsid w:val="6CC72BB6"/>
    <w:rsid w:val="6CEF1361"/>
    <w:rsid w:val="6CFF7116"/>
    <w:rsid w:val="6D10467F"/>
    <w:rsid w:val="6D262AD0"/>
    <w:rsid w:val="6D341690"/>
    <w:rsid w:val="6D401DE3"/>
    <w:rsid w:val="6D4B1CBB"/>
    <w:rsid w:val="6D54763D"/>
    <w:rsid w:val="6DD15131"/>
    <w:rsid w:val="6DD50263"/>
    <w:rsid w:val="6DDC4B60"/>
    <w:rsid w:val="6E065DC5"/>
    <w:rsid w:val="6E101E89"/>
    <w:rsid w:val="6E2711F5"/>
    <w:rsid w:val="6E2D42B2"/>
    <w:rsid w:val="6E355D2E"/>
    <w:rsid w:val="6E365B71"/>
    <w:rsid w:val="6E3C30B0"/>
    <w:rsid w:val="6E414065"/>
    <w:rsid w:val="6E543796"/>
    <w:rsid w:val="6E594B7C"/>
    <w:rsid w:val="6E6733A0"/>
    <w:rsid w:val="6E6C2229"/>
    <w:rsid w:val="6E796E19"/>
    <w:rsid w:val="6EA25F07"/>
    <w:rsid w:val="6EC641D8"/>
    <w:rsid w:val="6EEB2223"/>
    <w:rsid w:val="6EFA3169"/>
    <w:rsid w:val="6F084B83"/>
    <w:rsid w:val="6F1057E5"/>
    <w:rsid w:val="6F176B74"/>
    <w:rsid w:val="6F1A326F"/>
    <w:rsid w:val="6F4F630E"/>
    <w:rsid w:val="6F591D65"/>
    <w:rsid w:val="6F655B31"/>
    <w:rsid w:val="6F70539D"/>
    <w:rsid w:val="6F875D3C"/>
    <w:rsid w:val="6F9C67E1"/>
    <w:rsid w:val="6FA537AE"/>
    <w:rsid w:val="6FBB6C0A"/>
    <w:rsid w:val="6FD84B7F"/>
    <w:rsid w:val="6FE77305"/>
    <w:rsid w:val="6FED1347"/>
    <w:rsid w:val="6FFB0A55"/>
    <w:rsid w:val="6FFD4F62"/>
    <w:rsid w:val="701628A7"/>
    <w:rsid w:val="702E6C97"/>
    <w:rsid w:val="70306917"/>
    <w:rsid w:val="7034449D"/>
    <w:rsid w:val="70550A1B"/>
    <w:rsid w:val="70690DD1"/>
    <w:rsid w:val="70696AA8"/>
    <w:rsid w:val="706978A3"/>
    <w:rsid w:val="70726651"/>
    <w:rsid w:val="70797212"/>
    <w:rsid w:val="707D700C"/>
    <w:rsid w:val="70B157EF"/>
    <w:rsid w:val="70C62FCD"/>
    <w:rsid w:val="70EF09D6"/>
    <w:rsid w:val="70F744A9"/>
    <w:rsid w:val="70F85A34"/>
    <w:rsid w:val="713F0604"/>
    <w:rsid w:val="71494FDF"/>
    <w:rsid w:val="714B21E6"/>
    <w:rsid w:val="71562490"/>
    <w:rsid w:val="717C1858"/>
    <w:rsid w:val="71843CAF"/>
    <w:rsid w:val="7195224B"/>
    <w:rsid w:val="71987FBF"/>
    <w:rsid w:val="71CF4334"/>
    <w:rsid w:val="71F340C1"/>
    <w:rsid w:val="71FF4B3F"/>
    <w:rsid w:val="720A24F5"/>
    <w:rsid w:val="72190C9A"/>
    <w:rsid w:val="723B526F"/>
    <w:rsid w:val="7240240E"/>
    <w:rsid w:val="72536A46"/>
    <w:rsid w:val="72651E8C"/>
    <w:rsid w:val="726714AF"/>
    <w:rsid w:val="727B67CF"/>
    <w:rsid w:val="729D5D7B"/>
    <w:rsid w:val="72B80B87"/>
    <w:rsid w:val="72BB3A2A"/>
    <w:rsid w:val="72C1034B"/>
    <w:rsid w:val="72CE73C6"/>
    <w:rsid w:val="72FF44EF"/>
    <w:rsid w:val="73013662"/>
    <w:rsid w:val="73014D4D"/>
    <w:rsid w:val="73124222"/>
    <w:rsid w:val="731F4C30"/>
    <w:rsid w:val="73396BF6"/>
    <w:rsid w:val="73597B32"/>
    <w:rsid w:val="73715552"/>
    <w:rsid w:val="738F2539"/>
    <w:rsid w:val="739C7F8F"/>
    <w:rsid w:val="739F2454"/>
    <w:rsid w:val="73CA554E"/>
    <w:rsid w:val="73CA68AB"/>
    <w:rsid w:val="73CF0191"/>
    <w:rsid w:val="73CF67B0"/>
    <w:rsid w:val="73DA394F"/>
    <w:rsid w:val="73DE7D51"/>
    <w:rsid w:val="73FB0F96"/>
    <w:rsid w:val="74023BFC"/>
    <w:rsid w:val="740E3227"/>
    <w:rsid w:val="740F250F"/>
    <w:rsid w:val="7425388F"/>
    <w:rsid w:val="742835D1"/>
    <w:rsid w:val="743326A2"/>
    <w:rsid w:val="7457535D"/>
    <w:rsid w:val="745D4CA2"/>
    <w:rsid w:val="74624D35"/>
    <w:rsid w:val="74784559"/>
    <w:rsid w:val="747D391D"/>
    <w:rsid w:val="748059D1"/>
    <w:rsid w:val="748C0004"/>
    <w:rsid w:val="7491561A"/>
    <w:rsid w:val="749B2E28"/>
    <w:rsid w:val="74A34E20"/>
    <w:rsid w:val="74A43BC8"/>
    <w:rsid w:val="74AB7552"/>
    <w:rsid w:val="74AE1D28"/>
    <w:rsid w:val="74B65081"/>
    <w:rsid w:val="74CD2669"/>
    <w:rsid w:val="74EF5098"/>
    <w:rsid w:val="74F01935"/>
    <w:rsid w:val="74F43C06"/>
    <w:rsid w:val="750C7513"/>
    <w:rsid w:val="753A42E5"/>
    <w:rsid w:val="75703482"/>
    <w:rsid w:val="758E4FBF"/>
    <w:rsid w:val="75B1177F"/>
    <w:rsid w:val="75D32B82"/>
    <w:rsid w:val="75DC2C78"/>
    <w:rsid w:val="75FE784C"/>
    <w:rsid w:val="760D414E"/>
    <w:rsid w:val="76200A04"/>
    <w:rsid w:val="764334D3"/>
    <w:rsid w:val="765C61F9"/>
    <w:rsid w:val="766D1A47"/>
    <w:rsid w:val="767174E3"/>
    <w:rsid w:val="767A1B5B"/>
    <w:rsid w:val="769413F2"/>
    <w:rsid w:val="76B07D5F"/>
    <w:rsid w:val="76B949BA"/>
    <w:rsid w:val="76C40C26"/>
    <w:rsid w:val="76CB45DC"/>
    <w:rsid w:val="76D05B67"/>
    <w:rsid w:val="76E96007"/>
    <w:rsid w:val="770A79A4"/>
    <w:rsid w:val="770D26AD"/>
    <w:rsid w:val="770E3163"/>
    <w:rsid w:val="770F3F19"/>
    <w:rsid w:val="77247B8D"/>
    <w:rsid w:val="7729092F"/>
    <w:rsid w:val="77685F73"/>
    <w:rsid w:val="777668B4"/>
    <w:rsid w:val="777B1B0F"/>
    <w:rsid w:val="778F5094"/>
    <w:rsid w:val="7792362F"/>
    <w:rsid w:val="77B32F6D"/>
    <w:rsid w:val="77F16C67"/>
    <w:rsid w:val="77F2017E"/>
    <w:rsid w:val="77F73701"/>
    <w:rsid w:val="77F871A2"/>
    <w:rsid w:val="782A0DA6"/>
    <w:rsid w:val="782A73E6"/>
    <w:rsid w:val="787B0173"/>
    <w:rsid w:val="788174A2"/>
    <w:rsid w:val="78885CDF"/>
    <w:rsid w:val="788A03B6"/>
    <w:rsid w:val="78A20007"/>
    <w:rsid w:val="78A43B6E"/>
    <w:rsid w:val="78DD2D5F"/>
    <w:rsid w:val="78FE6C92"/>
    <w:rsid w:val="7936053E"/>
    <w:rsid w:val="79371F7E"/>
    <w:rsid w:val="7947433B"/>
    <w:rsid w:val="79677B15"/>
    <w:rsid w:val="79691AB8"/>
    <w:rsid w:val="79730387"/>
    <w:rsid w:val="797A2291"/>
    <w:rsid w:val="798B075D"/>
    <w:rsid w:val="79E306C6"/>
    <w:rsid w:val="79F04B91"/>
    <w:rsid w:val="79F56E47"/>
    <w:rsid w:val="79FF0842"/>
    <w:rsid w:val="7A236D15"/>
    <w:rsid w:val="7A28251C"/>
    <w:rsid w:val="7A557D7A"/>
    <w:rsid w:val="7A5B1D63"/>
    <w:rsid w:val="7A6259E6"/>
    <w:rsid w:val="7A6D11AC"/>
    <w:rsid w:val="7A74131E"/>
    <w:rsid w:val="7A884DCA"/>
    <w:rsid w:val="7AA2038C"/>
    <w:rsid w:val="7AA95FF0"/>
    <w:rsid w:val="7AB45AE2"/>
    <w:rsid w:val="7AC557A1"/>
    <w:rsid w:val="7ACA025F"/>
    <w:rsid w:val="7AD42547"/>
    <w:rsid w:val="7AD51D9A"/>
    <w:rsid w:val="7AD87261"/>
    <w:rsid w:val="7AE54A07"/>
    <w:rsid w:val="7AED0B42"/>
    <w:rsid w:val="7AEF2658"/>
    <w:rsid w:val="7B025BE9"/>
    <w:rsid w:val="7B07777E"/>
    <w:rsid w:val="7B173349"/>
    <w:rsid w:val="7B220D7A"/>
    <w:rsid w:val="7B364826"/>
    <w:rsid w:val="7B5F72A0"/>
    <w:rsid w:val="7B615D46"/>
    <w:rsid w:val="7B711D02"/>
    <w:rsid w:val="7B841A35"/>
    <w:rsid w:val="7BA82FBC"/>
    <w:rsid w:val="7BBE7F39"/>
    <w:rsid w:val="7BC741EA"/>
    <w:rsid w:val="7BD47593"/>
    <w:rsid w:val="7C2F624D"/>
    <w:rsid w:val="7C33560B"/>
    <w:rsid w:val="7C522D79"/>
    <w:rsid w:val="7CA23160"/>
    <w:rsid w:val="7CA87CB5"/>
    <w:rsid w:val="7CB11315"/>
    <w:rsid w:val="7CE86C9A"/>
    <w:rsid w:val="7D435C34"/>
    <w:rsid w:val="7D750127"/>
    <w:rsid w:val="7D7E4262"/>
    <w:rsid w:val="7D8B6926"/>
    <w:rsid w:val="7DBC3708"/>
    <w:rsid w:val="7DC00960"/>
    <w:rsid w:val="7DC9403A"/>
    <w:rsid w:val="7DD2531E"/>
    <w:rsid w:val="7E0B769B"/>
    <w:rsid w:val="7E155322"/>
    <w:rsid w:val="7E211369"/>
    <w:rsid w:val="7E287243"/>
    <w:rsid w:val="7E2C65B8"/>
    <w:rsid w:val="7E3549AA"/>
    <w:rsid w:val="7E44486F"/>
    <w:rsid w:val="7E773EE8"/>
    <w:rsid w:val="7E924622"/>
    <w:rsid w:val="7EA22534"/>
    <w:rsid w:val="7ED54355"/>
    <w:rsid w:val="7EE12C11"/>
    <w:rsid w:val="7EE30820"/>
    <w:rsid w:val="7EE35FE0"/>
    <w:rsid w:val="7EF06B5D"/>
    <w:rsid w:val="7EFE38AC"/>
    <w:rsid w:val="7F052E8D"/>
    <w:rsid w:val="7F061CF4"/>
    <w:rsid w:val="7F30567C"/>
    <w:rsid w:val="7F3E1EFB"/>
    <w:rsid w:val="7F4F3F78"/>
    <w:rsid w:val="7F5A62A6"/>
    <w:rsid w:val="7F607DDA"/>
    <w:rsid w:val="7F643ECB"/>
    <w:rsid w:val="7F6770DA"/>
    <w:rsid w:val="7F7333AD"/>
    <w:rsid w:val="7F826322"/>
    <w:rsid w:val="7F832857"/>
    <w:rsid w:val="7F855D7C"/>
    <w:rsid w:val="7F8D0B43"/>
    <w:rsid w:val="7F973D35"/>
    <w:rsid w:val="7F9B46DF"/>
    <w:rsid w:val="7FA01F4C"/>
    <w:rsid w:val="7FA028A6"/>
    <w:rsid w:val="7FA47752"/>
    <w:rsid w:val="7FB44B21"/>
    <w:rsid w:val="7FB56661"/>
    <w:rsid w:val="7FB979E7"/>
    <w:rsid w:val="7FDA5D44"/>
    <w:rsid w:val="7FF002B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qFormat="1" w:unhideWhenUsed="0" w:uiPriority="0" w:semiHidden="0" w:name="index 3"/>
    <w:lsdException w:qFormat="1" w:unhideWhenUsed="0" w:uiPriority="0" w:semiHidden="0" w:name="index 4"/>
    <w:lsdException w:uiPriority="99" w:name="index 5"/>
    <w:lsdException w:uiPriority="99" w:name="index 6"/>
    <w:lsdException w:uiPriority="99" w:name="index 7"/>
    <w:lsdException w:qFormat="1" w:unhideWhenUsed="0" w:uiPriority="0" w:semiHidden="0" w:name="index 8"/>
    <w:lsdException w:qFormat="1" w:unhideWhenUsed="0" w:uiPriority="0" w:semiHidden="0" w:name="index 9"/>
    <w:lsdException w:qFormat="1"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iPriority="99" w:name="HTML Keyboard"/>
    <w:lsdException w:qFormat="1" w:unhideWhenUsed="0" w:uiPriority="0" w:semiHidden="0" w:name="HTML Preformatted"/>
    <w:lsdException w:qFormat="1" w:uiPriority="99" w:name="HTML Sample"/>
    <w:lsdException w:qFormat="1" w:uiPriority="99"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0" w:semiHidden="0" w:name="Balloon Text"/>
    <w:lsdException w:qFormat="1" w:unhideWhenUsed="0" w:uiPriority="0" w:semiHidden="0" w:name="Table Grid"/>
    <w:lsdException w:unhideWhenUsed="0" w:uiPriority="99"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5"/>
    <w:autoRedefine/>
    <w:qFormat/>
    <w:uiPriority w:val="0"/>
    <w:pPr>
      <w:keepNext/>
      <w:keepLines/>
      <w:spacing w:before="340" w:after="330" w:line="578" w:lineRule="auto"/>
      <w:outlineLvl w:val="0"/>
    </w:pPr>
    <w:rPr>
      <w:b/>
      <w:bCs/>
      <w:kern w:val="44"/>
      <w:sz w:val="36"/>
      <w:szCs w:val="44"/>
    </w:rPr>
  </w:style>
  <w:style w:type="paragraph" w:styleId="3">
    <w:name w:val="heading 2"/>
    <w:basedOn w:val="1"/>
    <w:next w:val="1"/>
    <w:link w:val="74"/>
    <w:autoRedefine/>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link w:val="104"/>
    <w:autoRedefine/>
    <w:qFormat/>
    <w:uiPriority w:val="0"/>
    <w:pPr>
      <w:keepNext/>
      <w:keepLines/>
      <w:widowControl/>
      <w:spacing w:before="260" w:after="260" w:line="416" w:lineRule="auto"/>
      <w:outlineLvl w:val="2"/>
    </w:pPr>
    <w:rPr>
      <w:b/>
      <w:bCs/>
      <w:sz w:val="24"/>
      <w:szCs w:val="32"/>
    </w:rPr>
  </w:style>
  <w:style w:type="paragraph" w:styleId="5">
    <w:name w:val="heading 4"/>
    <w:basedOn w:val="1"/>
    <w:next w:val="1"/>
    <w:link w:val="77"/>
    <w:autoRedefine/>
    <w:qFormat/>
    <w:uiPriority w:val="0"/>
    <w:pPr>
      <w:keepNext/>
      <w:keepLines/>
      <w:widowControl/>
      <w:spacing w:before="200" w:line="276" w:lineRule="auto"/>
      <w:jc w:val="left"/>
      <w:outlineLvl w:val="3"/>
    </w:pPr>
    <w:rPr>
      <w:rFonts w:ascii="Calibri Light" w:hAnsi="Calibri Light" w:cs="Times New Roman"/>
      <w:b/>
      <w:bCs/>
      <w:iCs/>
      <w:szCs w:val="22"/>
    </w:rPr>
  </w:style>
  <w:style w:type="paragraph" w:styleId="6">
    <w:name w:val="heading 5"/>
    <w:basedOn w:val="1"/>
    <w:next w:val="1"/>
    <w:link w:val="78"/>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79"/>
    <w:autoRedefine/>
    <w:qFormat/>
    <w:uiPriority w:val="0"/>
    <w:pPr>
      <w:keepNext/>
      <w:keepLines/>
      <w:spacing w:before="240" w:after="64" w:line="320" w:lineRule="auto"/>
      <w:outlineLvl w:val="5"/>
    </w:pPr>
    <w:rPr>
      <w:rFonts w:ascii="Cambria" w:hAnsi="Cambria" w:eastAsia="宋体" w:cs="Times New Roman"/>
      <w:b/>
      <w:bCs/>
      <w:sz w:val="24"/>
    </w:rPr>
  </w:style>
  <w:style w:type="paragraph" w:styleId="8">
    <w:name w:val="heading 7"/>
    <w:basedOn w:val="1"/>
    <w:next w:val="1"/>
    <w:link w:val="80"/>
    <w:autoRedefine/>
    <w:qFormat/>
    <w:uiPriority w:val="0"/>
    <w:pPr>
      <w:keepNext/>
      <w:keepLines/>
      <w:spacing w:before="240" w:after="64" w:line="320" w:lineRule="auto"/>
      <w:ind w:firstLine="200" w:firstLineChars="200"/>
      <w:outlineLvl w:val="6"/>
    </w:pPr>
    <w:rPr>
      <w:b/>
      <w:bCs/>
      <w:sz w:val="24"/>
    </w:rPr>
  </w:style>
  <w:style w:type="paragraph" w:styleId="9">
    <w:name w:val="heading 8"/>
    <w:basedOn w:val="1"/>
    <w:next w:val="1"/>
    <w:link w:val="81"/>
    <w:autoRedefine/>
    <w:qFormat/>
    <w:uiPriority w:val="0"/>
    <w:pPr>
      <w:keepNext/>
      <w:keepLines/>
      <w:spacing w:before="240" w:after="64" w:line="320" w:lineRule="auto"/>
      <w:ind w:firstLine="200" w:firstLineChars="200"/>
      <w:outlineLvl w:val="7"/>
    </w:pPr>
    <w:rPr>
      <w:rFonts w:ascii="Cambria" w:hAnsi="Cambria"/>
      <w:sz w:val="24"/>
    </w:rPr>
  </w:style>
  <w:style w:type="paragraph" w:styleId="10">
    <w:name w:val="heading 9"/>
    <w:basedOn w:val="1"/>
    <w:next w:val="1"/>
    <w:link w:val="82"/>
    <w:autoRedefine/>
    <w:qFormat/>
    <w:uiPriority w:val="0"/>
    <w:pPr>
      <w:keepNext/>
      <w:keepLines/>
      <w:spacing w:before="240" w:after="64" w:line="320" w:lineRule="auto"/>
      <w:ind w:firstLine="200" w:firstLineChars="200"/>
      <w:outlineLvl w:val="8"/>
    </w:pPr>
    <w:rPr>
      <w:rFonts w:ascii="Cambria" w:hAnsi="Cambria"/>
      <w:szCs w:val="21"/>
    </w:rPr>
  </w:style>
  <w:style w:type="character" w:default="1" w:styleId="56">
    <w:name w:val="Default Paragraph Font"/>
    <w:autoRedefine/>
    <w:unhideWhenUsed/>
    <w:qFormat/>
    <w:uiPriority w:val="1"/>
  </w:style>
  <w:style w:type="table" w:default="1" w:styleId="54">
    <w:name w:val="Normal Table"/>
    <w:autoRedefine/>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0"/>
    <w:pPr>
      <w:spacing w:line="360" w:lineRule="exact"/>
      <w:ind w:left="1260" w:firstLine="200" w:firstLineChars="200"/>
      <w:jc w:val="left"/>
    </w:pPr>
    <w:rPr>
      <w:rFonts w:ascii="Calibri" w:hAnsi="Calibri"/>
      <w:sz w:val="18"/>
      <w:szCs w:val="18"/>
    </w:rPr>
  </w:style>
  <w:style w:type="paragraph" w:styleId="12">
    <w:name w:val="index 8"/>
    <w:basedOn w:val="1"/>
    <w:next w:val="1"/>
    <w:autoRedefine/>
    <w:qFormat/>
    <w:uiPriority w:val="0"/>
    <w:pPr>
      <w:ind w:left="1400" w:leftChars="1400" w:firstLine="0"/>
    </w:pPr>
  </w:style>
  <w:style w:type="paragraph" w:styleId="13">
    <w:name w:val="Normal Indent"/>
    <w:basedOn w:val="1"/>
    <w:next w:val="14"/>
    <w:link w:val="83"/>
    <w:autoRedefine/>
    <w:qFormat/>
    <w:uiPriority w:val="0"/>
    <w:pPr>
      <w:adjustRightInd w:val="0"/>
      <w:spacing w:line="312" w:lineRule="atLeast"/>
      <w:ind w:firstLine="420" w:firstLineChars="200"/>
    </w:pPr>
    <w:rPr>
      <w:kern w:val="0"/>
      <w:szCs w:val="20"/>
    </w:rPr>
  </w:style>
  <w:style w:type="paragraph" w:customStyle="1" w:styleId="14">
    <w:name w:val="toc 21"/>
    <w:next w:val="1"/>
    <w:autoRedefine/>
    <w:qFormat/>
    <w:uiPriority w:val="0"/>
    <w:pPr>
      <w:wordWrap w:val="0"/>
      <w:ind w:left="425"/>
      <w:jc w:val="both"/>
    </w:pPr>
    <w:rPr>
      <w:rFonts w:ascii="Times New Roman" w:hAnsi="Times New Roman" w:eastAsia="宋体" w:cs="Times New Roman"/>
      <w:sz w:val="21"/>
      <w:lang w:val="en-US" w:eastAsia="zh-CN" w:bidi="ar-SA"/>
    </w:rPr>
  </w:style>
  <w:style w:type="paragraph" w:styleId="15">
    <w:name w:val="caption"/>
    <w:basedOn w:val="1"/>
    <w:next w:val="1"/>
    <w:autoRedefine/>
    <w:qFormat/>
    <w:uiPriority w:val="0"/>
    <w:pPr>
      <w:spacing w:line="360" w:lineRule="exact"/>
      <w:ind w:firstLine="200" w:firstLineChars="200"/>
    </w:pPr>
    <w:rPr>
      <w:rFonts w:ascii="Cambria" w:hAnsi="Cambria" w:eastAsia="黑体"/>
      <w:sz w:val="20"/>
      <w:szCs w:val="20"/>
    </w:rPr>
  </w:style>
  <w:style w:type="paragraph" w:styleId="16">
    <w:name w:val="List Bullet"/>
    <w:basedOn w:val="1"/>
    <w:autoRedefine/>
    <w:qFormat/>
    <w:uiPriority w:val="0"/>
    <w:pPr>
      <w:tabs>
        <w:tab w:val="left" w:pos="360"/>
      </w:tabs>
      <w:ind w:left="360" w:hanging="360"/>
    </w:pPr>
  </w:style>
  <w:style w:type="paragraph" w:styleId="17">
    <w:name w:val="Document Map"/>
    <w:basedOn w:val="1"/>
    <w:link w:val="84"/>
    <w:autoRedefine/>
    <w:qFormat/>
    <w:uiPriority w:val="0"/>
    <w:pPr>
      <w:shd w:val="clear" w:color="auto" w:fill="000080"/>
      <w:spacing w:line="360" w:lineRule="exact"/>
      <w:ind w:firstLine="200" w:firstLineChars="200"/>
    </w:pPr>
  </w:style>
  <w:style w:type="paragraph" w:styleId="18">
    <w:name w:val="annotation text"/>
    <w:basedOn w:val="1"/>
    <w:link w:val="85"/>
    <w:autoRedefine/>
    <w:qFormat/>
    <w:uiPriority w:val="0"/>
    <w:pPr>
      <w:widowControl/>
      <w:jc w:val="left"/>
    </w:pPr>
    <w:rPr>
      <w:rFonts w:ascii="Calibri" w:hAnsi="Calibri" w:eastAsia="宋体" w:cs="Times New Roman"/>
    </w:rPr>
  </w:style>
  <w:style w:type="paragraph" w:styleId="19">
    <w:name w:val="Body Text 3"/>
    <w:basedOn w:val="1"/>
    <w:link w:val="86"/>
    <w:autoRedefine/>
    <w:qFormat/>
    <w:uiPriority w:val="0"/>
    <w:pPr>
      <w:spacing w:line="360" w:lineRule="exact"/>
      <w:ind w:firstLine="200" w:firstLineChars="200"/>
    </w:pPr>
    <w:rPr>
      <w:rFonts w:ascii="宋体"/>
      <w:sz w:val="24"/>
      <w:szCs w:val="20"/>
    </w:rPr>
  </w:style>
  <w:style w:type="paragraph" w:styleId="20">
    <w:name w:val="Body Text"/>
    <w:basedOn w:val="1"/>
    <w:next w:val="1"/>
    <w:link w:val="87"/>
    <w:autoRedefine/>
    <w:unhideWhenUsed/>
    <w:qFormat/>
    <w:uiPriority w:val="0"/>
    <w:pPr>
      <w:spacing w:after="120"/>
    </w:pPr>
  </w:style>
  <w:style w:type="paragraph" w:styleId="21">
    <w:name w:val="Body Text Indent"/>
    <w:basedOn w:val="1"/>
    <w:next w:val="22"/>
    <w:link w:val="88"/>
    <w:autoRedefine/>
    <w:qFormat/>
    <w:uiPriority w:val="0"/>
    <w:pPr>
      <w:spacing w:after="120" w:line="360" w:lineRule="exact"/>
      <w:ind w:left="420" w:leftChars="200" w:firstLine="200" w:firstLineChars="200"/>
    </w:pPr>
  </w:style>
  <w:style w:type="paragraph" w:styleId="22">
    <w:name w:val="envelope return"/>
    <w:basedOn w:val="1"/>
    <w:autoRedefine/>
    <w:qFormat/>
    <w:uiPriority w:val="0"/>
    <w:pPr>
      <w:snapToGrid w:val="0"/>
    </w:pPr>
    <w:rPr>
      <w:rFonts w:ascii="Arial" w:hAnsi="Arial"/>
    </w:rPr>
  </w:style>
  <w:style w:type="paragraph" w:styleId="23">
    <w:name w:val="List 2"/>
    <w:basedOn w:val="1"/>
    <w:autoRedefine/>
    <w:qFormat/>
    <w:uiPriority w:val="0"/>
    <w:pPr>
      <w:ind w:left="840" w:hanging="420"/>
    </w:pPr>
    <w:rPr>
      <w:szCs w:val="20"/>
    </w:rPr>
  </w:style>
  <w:style w:type="paragraph" w:styleId="24">
    <w:name w:val="Block Text"/>
    <w:basedOn w:val="1"/>
    <w:autoRedefine/>
    <w:qFormat/>
    <w:uiPriority w:val="0"/>
    <w:pPr>
      <w:widowControl/>
      <w:overflowPunct w:val="0"/>
      <w:autoSpaceDE w:val="0"/>
      <w:autoSpaceDN w:val="0"/>
      <w:adjustRightInd w:val="0"/>
      <w:snapToGrid w:val="0"/>
      <w:spacing w:line="360" w:lineRule="auto"/>
      <w:ind w:left="1440" w:right="-510" w:hanging="759"/>
      <w:textAlignment w:val="baseline"/>
    </w:pPr>
    <w:rPr>
      <w:kern w:val="0"/>
      <w:sz w:val="24"/>
      <w:szCs w:val="20"/>
    </w:rPr>
  </w:style>
  <w:style w:type="paragraph" w:styleId="25">
    <w:name w:val="index 4"/>
    <w:basedOn w:val="1"/>
    <w:next w:val="1"/>
    <w:autoRedefine/>
    <w:qFormat/>
    <w:uiPriority w:val="0"/>
    <w:pPr>
      <w:ind w:left="600" w:leftChars="600"/>
    </w:pPr>
  </w:style>
  <w:style w:type="paragraph" w:styleId="26">
    <w:name w:val="toc 5"/>
    <w:basedOn w:val="1"/>
    <w:next w:val="1"/>
    <w:autoRedefine/>
    <w:unhideWhenUsed/>
    <w:qFormat/>
    <w:uiPriority w:val="0"/>
    <w:pPr>
      <w:spacing w:line="360" w:lineRule="exact"/>
      <w:ind w:left="840" w:firstLine="200" w:firstLineChars="200"/>
      <w:jc w:val="left"/>
    </w:pPr>
    <w:rPr>
      <w:rFonts w:ascii="Calibri" w:hAnsi="Calibri"/>
      <w:sz w:val="18"/>
      <w:szCs w:val="18"/>
    </w:rPr>
  </w:style>
  <w:style w:type="paragraph" w:styleId="27">
    <w:name w:val="toc 3"/>
    <w:basedOn w:val="1"/>
    <w:next w:val="1"/>
    <w:autoRedefine/>
    <w:unhideWhenUsed/>
    <w:qFormat/>
    <w:uiPriority w:val="39"/>
    <w:pPr>
      <w:ind w:left="840" w:leftChars="400"/>
    </w:pPr>
  </w:style>
  <w:style w:type="paragraph" w:styleId="28">
    <w:name w:val="Plain Text"/>
    <w:basedOn w:val="1"/>
    <w:link w:val="89"/>
    <w:autoRedefine/>
    <w:qFormat/>
    <w:uiPriority w:val="0"/>
    <w:rPr>
      <w:rFonts w:ascii="宋体" w:hAnsi="Courier New" w:cs="Times New Roman"/>
      <w:szCs w:val="22"/>
    </w:rPr>
  </w:style>
  <w:style w:type="paragraph" w:styleId="29">
    <w:name w:val="toc 8"/>
    <w:basedOn w:val="1"/>
    <w:next w:val="1"/>
    <w:autoRedefine/>
    <w:unhideWhenUsed/>
    <w:qFormat/>
    <w:uiPriority w:val="0"/>
    <w:pPr>
      <w:spacing w:line="360" w:lineRule="exact"/>
      <w:ind w:left="1470" w:firstLine="200" w:firstLineChars="200"/>
      <w:jc w:val="left"/>
    </w:pPr>
    <w:rPr>
      <w:rFonts w:ascii="Calibri" w:hAnsi="Calibri"/>
      <w:sz w:val="18"/>
      <w:szCs w:val="18"/>
    </w:rPr>
  </w:style>
  <w:style w:type="paragraph" w:styleId="30">
    <w:name w:val="index 3"/>
    <w:basedOn w:val="1"/>
    <w:next w:val="1"/>
    <w:autoRedefine/>
    <w:qFormat/>
    <w:uiPriority w:val="0"/>
    <w:pPr>
      <w:ind w:left="400" w:leftChars="400"/>
      <w:jc w:val="left"/>
    </w:pPr>
  </w:style>
  <w:style w:type="paragraph" w:styleId="31">
    <w:name w:val="Date"/>
    <w:basedOn w:val="1"/>
    <w:next w:val="1"/>
    <w:link w:val="90"/>
    <w:autoRedefine/>
    <w:qFormat/>
    <w:uiPriority w:val="0"/>
    <w:pPr>
      <w:spacing w:line="360" w:lineRule="exact"/>
      <w:ind w:left="100" w:leftChars="2500" w:firstLine="200" w:firstLineChars="200"/>
    </w:pPr>
    <w:rPr>
      <w:rFonts w:ascii="Calibri" w:hAnsi="Calibri" w:eastAsia="宋体" w:cs="Times New Roman"/>
    </w:rPr>
  </w:style>
  <w:style w:type="paragraph" w:styleId="32">
    <w:name w:val="Body Text Indent 2"/>
    <w:basedOn w:val="1"/>
    <w:link w:val="91"/>
    <w:autoRedefine/>
    <w:qFormat/>
    <w:uiPriority w:val="0"/>
    <w:pPr>
      <w:spacing w:after="120" w:line="480" w:lineRule="auto"/>
      <w:ind w:left="420" w:leftChars="200" w:firstLine="200" w:firstLineChars="200"/>
    </w:pPr>
  </w:style>
  <w:style w:type="paragraph" w:styleId="33">
    <w:name w:val="Balloon Text"/>
    <w:basedOn w:val="1"/>
    <w:link w:val="92"/>
    <w:autoRedefine/>
    <w:unhideWhenUsed/>
    <w:qFormat/>
    <w:uiPriority w:val="0"/>
    <w:rPr>
      <w:sz w:val="18"/>
      <w:szCs w:val="18"/>
    </w:rPr>
  </w:style>
  <w:style w:type="paragraph" w:styleId="34">
    <w:name w:val="footer"/>
    <w:basedOn w:val="1"/>
    <w:link w:val="93"/>
    <w:autoRedefine/>
    <w:unhideWhenUsed/>
    <w:qFormat/>
    <w:uiPriority w:val="0"/>
    <w:pPr>
      <w:tabs>
        <w:tab w:val="center" w:pos="4153"/>
        <w:tab w:val="right" w:pos="8306"/>
      </w:tabs>
      <w:snapToGrid w:val="0"/>
      <w:jc w:val="left"/>
    </w:pPr>
    <w:rPr>
      <w:sz w:val="18"/>
      <w:szCs w:val="18"/>
    </w:rPr>
  </w:style>
  <w:style w:type="paragraph" w:styleId="35">
    <w:name w:val="header"/>
    <w:basedOn w:val="1"/>
    <w:link w:val="94"/>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autoRedefine/>
    <w:unhideWhenUsed/>
    <w:qFormat/>
    <w:uiPriority w:val="39"/>
  </w:style>
  <w:style w:type="paragraph" w:styleId="37">
    <w:name w:val="toc 4"/>
    <w:basedOn w:val="1"/>
    <w:next w:val="1"/>
    <w:autoRedefine/>
    <w:unhideWhenUsed/>
    <w:qFormat/>
    <w:uiPriority w:val="0"/>
    <w:pPr>
      <w:spacing w:line="360" w:lineRule="exact"/>
      <w:ind w:left="630" w:firstLine="200" w:firstLineChars="200"/>
      <w:jc w:val="left"/>
    </w:pPr>
    <w:rPr>
      <w:rFonts w:ascii="Calibri" w:hAnsi="Calibri"/>
      <w:sz w:val="18"/>
      <w:szCs w:val="18"/>
    </w:rPr>
  </w:style>
  <w:style w:type="paragraph" w:styleId="38">
    <w:name w:val="Subtitle"/>
    <w:basedOn w:val="1"/>
    <w:next w:val="1"/>
    <w:link w:val="95"/>
    <w:autoRedefine/>
    <w:qFormat/>
    <w:uiPriority w:val="0"/>
    <w:pPr>
      <w:spacing w:before="240" w:after="60" w:line="312" w:lineRule="auto"/>
      <w:ind w:firstLine="200" w:firstLineChars="200"/>
      <w:jc w:val="center"/>
      <w:outlineLvl w:val="1"/>
    </w:pPr>
    <w:rPr>
      <w:rFonts w:ascii="Cambria" w:hAnsi="Cambria" w:eastAsia="宋体"/>
      <w:b/>
      <w:bCs/>
      <w:kern w:val="28"/>
      <w:sz w:val="32"/>
      <w:szCs w:val="32"/>
    </w:rPr>
  </w:style>
  <w:style w:type="paragraph" w:styleId="39">
    <w:name w:val="footnote text"/>
    <w:basedOn w:val="1"/>
    <w:link w:val="96"/>
    <w:autoRedefine/>
    <w:qFormat/>
    <w:uiPriority w:val="0"/>
    <w:pPr>
      <w:snapToGrid w:val="0"/>
      <w:jc w:val="left"/>
    </w:pPr>
    <w:rPr>
      <w:sz w:val="18"/>
      <w:szCs w:val="18"/>
    </w:rPr>
  </w:style>
  <w:style w:type="paragraph" w:styleId="40">
    <w:name w:val="toc 6"/>
    <w:basedOn w:val="1"/>
    <w:next w:val="1"/>
    <w:autoRedefine/>
    <w:unhideWhenUsed/>
    <w:qFormat/>
    <w:uiPriority w:val="0"/>
    <w:pPr>
      <w:spacing w:line="360" w:lineRule="exact"/>
      <w:ind w:left="1050" w:firstLine="200" w:firstLineChars="200"/>
      <w:jc w:val="left"/>
    </w:pPr>
    <w:rPr>
      <w:rFonts w:ascii="Calibri" w:hAnsi="Calibri"/>
      <w:sz w:val="18"/>
      <w:szCs w:val="18"/>
    </w:rPr>
  </w:style>
  <w:style w:type="paragraph" w:styleId="41">
    <w:name w:val="List 5"/>
    <w:basedOn w:val="1"/>
    <w:autoRedefine/>
    <w:qFormat/>
    <w:uiPriority w:val="0"/>
    <w:pPr>
      <w:ind w:left="2100" w:hanging="420"/>
    </w:pPr>
    <w:rPr>
      <w:szCs w:val="20"/>
    </w:rPr>
  </w:style>
  <w:style w:type="paragraph" w:styleId="42">
    <w:name w:val="Body Text Indent 3"/>
    <w:basedOn w:val="1"/>
    <w:link w:val="97"/>
    <w:autoRedefine/>
    <w:qFormat/>
    <w:uiPriority w:val="0"/>
    <w:pPr>
      <w:spacing w:after="120" w:line="360" w:lineRule="exact"/>
      <w:ind w:left="420" w:leftChars="200" w:firstLine="200" w:firstLineChars="200"/>
    </w:pPr>
    <w:rPr>
      <w:sz w:val="16"/>
      <w:szCs w:val="16"/>
    </w:rPr>
  </w:style>
  <w:style w:type="paragraph" w:styleId="43">
    <w:name w:val="index 9"/>
    <w:basedOn w:val="1"/>
    <w:next w:val="1"/>
    <w:autoRedefine/>
    <w:qFormat/>
    <w:uiPriority w:val="0"/>
    <w:pPr>
      <w:ind w:left="1600" w:leftChars="1600"/>
    </w:pPr>
    <w:rPr>
      <w:szCs w:val="20"/>
    </w:rPr>
  </w:style>
  <w:style w:type="paragraph" w:styleId="44">
    <w:name w:val="toc 2"/>
    <w:basedOn w:val="1"/>
    <w:next w:val="1"/>
    <w:link w:val="98"/>
    <w:autoRedefine/>
    <w:unhideWhenUsed/>
    <w:qFormat/>
    <w:uiPriority w:val="39"/>
    <w:pPr>
      <w:ind w:left="420" w:leftChars="200"/>
    </w:pPr>
  </w:style>
  <w:style w:type="paragraph" w:styleId="45">
    <w:name w:val="toc 9"/>
    <w:basedOn w:val="1"/>
    <w:next w:val="1"/>
    <w:autoRedefine/>
    <w:unhideWhenUsed/>
    <w:qFormat/>
    <w:uiPriority w:val="0"/>
    <w:pPr>
      <w:spacing w:line="360" w:lineRule="exact"/>
      <w:ind w:left="1680" w:firstLine="200" w:firstLineChars="200"/>
      <w:jc w:val="left"/>
    </w:pPr>
    <w:rPr>
      <w:rFonts w:ascii="Calibri" w:hAnsi="Calibri"/>
      <w:sz w:val="18"/>
      <w:szCs w:val="18"/>
    </w:rPr>
  </w:style>
  <w:style w:type="paragraph" w:styleId="46">
    <w:name w:val="Body Text 2"/>
    <w:basedOn w:val="1"/>
    <w:link w:val="99"/>
    <w:autoRedefine/>
    <w:qFormat/>
    <w:uiPriority w:val="0"/>
    <w:pPr>
      <w:spacing w:after="120" w:line="480" w:lineRule="auto"/>
      <w:ind w:firstLine="200" w:firstLineChars="200"/>
    </w:pPr>
    <w:rPr>
      <w:rFonts w:ascii="Calibri" w:hAnsi="Calibri" w:eastAsia="宋体" w:cs="Times New Roman"/>
    </w:rPr>
  </w:style>
  <w:style w:type="paragraph" w:styleId="47">
    <w:name w:val="HTML Preformatted"/>
    <w:basedOn w:val="1"/>
    <w:link w:val="10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8">
    <w:name w:val="Normal (Web)"/>
    <w:basedOn w:val="1"/>
    <w:autoRedefine/>
    <w:unhideWhenUsed/>
    <w:qFormat/>
    <w:uiPriority w:val="0"/>
    <w:pPr>
      <w:widowControl/>
      <w:spacing w:before="100" w:beforeAutospacing="1" w:after="100" w:afterAutospacing="1"/>
      <w:jc w:val="left"/>
    </w:pPr>
    <w:rPr>
      <w:rFonts w:ascii="宋体" w:hAnsi="宋体" w:cs="宋体"/>
      <w:kern w:val="0"/>
      <w:sz w:val="24"/>
    </w:rPr>
  </w:style>
  <w:style w:type="paragraph" w:styleId="49">
    <w:name w:val="index 1"/>
    <w:basedOn w:val="1"/>
    <w:next w:val="1"/>
    <w:autoRedefine/>
    <w:qFormat/>
    <w:uiPriority w:val="0"/>
    <w:pPr>
      <w:ind w:right="257"/>
    </w:pPr>
    <w:rPr>
      <w:rFonts w:ascii="宋体" w:hAnsi="宋体"/>
      <w:szCs w:val="20"/>
    </w:rPr>
  </w:style>
  <w:style w:type="paragraph" w:styleId="50">
    <w:name w:val="Title"/>
    <w:basedOn w:val="1"/>
    <w:next w:val="28"/>
    <w:link w:val="101"/>
    <w:autoRedefine/>
    <w:qFormat/>
    <w:uiPriority w:val="0"/>
    <w:pPr>
      <w:spacing w:before="240" w:after="240"/>
      <w:ind w:firstLine="1687"/>
      <w:jc w:val="center"/>
      <w:outlineLvl w:val="0"/>
    </w:pPr>
    <w:rPr>
      <w:rFonts w:ascii="Cambria" w:hAnsi="Cambria" w:eastAsia="宋体" w:cs="Times New Roman"/>
      <w:b/>
      <w:bCs/>
      <w:sz w:val="32"/>
      <w:szCs w:val="32"/>
    </w:rPr>
  </w:style>
  <w:style w:type="paragraph" w:styleId="51">
    <w:name w:val="annotation subject"/>
    <w:basedOn w:val="18"/>
    <w:next w:val="18"/>
    <w:link w:val="102"/>
    <w:autoRedefine/>
    <w:qFormat/>
    <w:uiPriority w:val="0"/>
    <w:pPr>
      <w:widowControl w:val="0"/>
      <w:spacing w:line="360" w:lineRule="exact"/>
      <w:ind w:firstLine="200" w:firstLineChars="200"/>
    </w:pPr>
    <w:rPr>
      <w:rFonts w:ascii="Times New Roman" w:hAnsi="Times New Roman" w:eastAsia="宋体" w:cs="Times New Roman"/>
      <w:b/>
      <w:bCs/>
    </w:rPr>
  </w:style>
  <w:style w:type="paragraph" w:styleId="52">
    <w:name w:val="Body Text First Indent"/>
    <w:basedOn w:val="20"/>
    <w:next w:val="44"/>
    <w:link w:val="103"/>
    <w:autoRedefine/>
    <w:qFormat/>
    <w:uiPriority w:val="0"/>
    <w:pPr>
      <w:ind w:firstLine="420" w:firstLineChars="100"/>
    </w:pPr>
  </w:style>
  <w:style w:type="paragraph" w:styleId="53">
    <w:name w:val="Body Text First Indent 2"/>
    <w:basedOn w:val="21"/>
    <w:autoRedefine/>
    <w:unhideWhenUsed/>
    <w:qFormat/>
    <w:uiPriority w:val="99"/>
    <w:pPr>
      <w:ind w:firstLine="420" w:firstLineChars="200"/>
    </w:pPr>
  </w:style>
  <w:style w:type="table" w:styleId="55">
    <w:name w:val="Table Grid"/>
    <w:basedOn w:val="5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7">
    <w:name w:val="Strong"/>
    <w:autoRedefine/>
    <w:qFormat/>
    <w:uiPriority w:val="0"/>
    <w:rPr>
      <w:b/>
      <w:bCs/>
    </w:rPr>
  </w:style>
  <w:style w:type="character" w:styleId="58">
    <w:name w:val="page number"/>
    <w:basedOn w:val="56"/>
    <w:autoRedefine/>
    <w:qFormat/>
    <w:uiPriority w:val="0"/>
  </w:style>
  <w:style w:type="character" w:styleId="59">
    <w:name w:val="FollowedHyperlink"/>
    <w:autoRedefine/>
    <w:qFormat/>
    <w:uiPriority w:val="0"/>
    <w:rPr>
      <w:color w:val="333333"/>
      <w:u w:val="none"/>
    </w:rPr>
  </w:style>
  <w:style w:type="character" w:styleId="60">
    <w:name w:val="Emphasis"/>
    <w:autoRedefine/>
    <w:qFormat/>
    <w:uiPriority w:val="0"/>
    <w:rPr>
      <w:i/>
      <w:iCs/>
    </w:rPr>
  </w:style>
  <w:style w:type="character" w:styleId="61">
    <w:name w:val="HTML Definition"/>
    <w:autoRedefine/>
    <w:qFormat/>
    <w:uiPriority w:val="0"/>
  </w:style>
  <w:style w:type="character" w:styleId="62">
    <w:name w:val="HTML Typewriter"/>
    <w:basedOn w:val="56"/>
    <w:semiHidden/>
    <w:unhideWhenUsed/>
    <w:qFormat/>
    <w:uiPriority w:val="99"/>
    <w:rPr>
      <w:rFonts w:hint="default" w:ascii="monospace" w:hAnsi="monospace" w:eastAsia="monospace" w:cs="monospace"/>
      <w:sz w:val="20"/>
    </w:rPr>
  </w:style>
  <w:style w:type="character" w:styleId="63">
    <w:name w:val="HTML Acronym"/>
    <w:basedOn w:val="56"/>
    <w:autoRedefine/>
    <w:qFormat/>
    <w:uiPriority w:val="0"/>
  </w:style>
  <w:style w:type="character" w:styleId="64">
    <w:name w:val="HTML Variable"/>
    <w:autoRedefine/>
    <w:qFormat/>
    <w:uiPriority w:val="0"/>
  </w:style>
  <w:style w:type="character" w:styleId="65">
    <w:name w:val="Hyperlink"/>
    <w:basedOn w:val="56"/>
    <w:autoRedefine/>
    <w:qFormat/>
    <w:uiPriority w:val="99"/>
    <w:rPr>
      <w:color w:val="333333"/>
      <w:u w:val="none"/>
    </w:rPr>
  </w:style>
  <w:style w:type="character" w:styleId="66">
    <w:name w:val="HTML Code"/>
    <w:autoRedefine/>
    <w:qFormat/>
    <w:uiPriority w:val="0"/>
    <w:rPr>
      <w:rFonts w:ascii="Courier New" w:hAnsi="Courier New"/>
      <w:color w:val="505050"/>
      <w:sz w:val="24"/>
      <w:szCs w:val="24"/>
    </w:rPr>
  </w:style>
  <w:style w:type="character" w:styleId="67">
    <w:name w:val="annotation reference"/>
    <w:autoRedefine/>
    <w:qFormat/>
    <w:uiPriority w:val="0"/>
    <w:rPr>
      <w:sz w:val="21"/>
      <w:szCs w:val="21"/>
    </w:rPr>
  </w:style>
  <w:style w:type="character" w:styleId="68">
    <w:name w:val="HTML Cite"/>
    <w:autoRedefine/>
    <w:qFormat/>
    <w:uiPriority w:val="0"/>
  </w:style>
  <w:style w:type="character" w:styleId="69">
    <w:name w:val="footnote reference"/>
    <w:autoRedefine/>
    <w:qFormat/>
    <w:uiPriority w:val="0"/>
    <w:rPr>
      <w:vertAlign w:val="superscript"/>
    </w:rPr>
  </w:style>
  <w:style w:type="character" w:styleId="70">
    <w:name w:val="HTML Keyboard"/>
    <w:basedOn w:val="56"/>
    <w:semiHidden/>
    <w:unhideWhenUsed/>
    <w:qFormat/>
    <w:uiPriority w:val="99"/>
    <w:rPr>
      <w:rFonts w:hint="default" w:ascii="monospace" w:hAnsi="monospace" w:eastAsia="monospace" w:cs="monospace"/>
      <w:sz w:val="20"/>
    </w:rPr>
  </w:style>
  <w:style w:type="character" w:styleId="71">
    <w:name w:val="HTML Sample"/>
    <w:basedOn w:val="56"/>
    <w:semiHidden/>
    <w:unhideWhenUsed/>
    <w:qFormat/>
    <w:uiPriority w:val="99"/>
    <w:rPr>
      <w:rFonts w:hint="default" w:ascii="monospace" w:hAnsi="monospace" w:eastAsia="monospace" w:cs="monospace"/>
    </w:rPr>
  </w:style>
  <w:style w:type="paragraph" w:customStyle="1" w:styleId="72">
    <w:name w:val="Default"/>
    <w:autoRedefine/>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73">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character" w:customStyle="1" w:styleId="74">
    <w:name w:val="标题 2 Char1"/>
    <w:link w:val="3"/>
    <w:autoRedefine/>
    <w:qFormat/>
    <w:uiPriority w:val="0"/>
    <w:rPr>
      <w:rFonts w:ascii="Cambria" w:hAnsi="Cambria" w:eastAsia="宋体" w:cs="Times New Roman"/>
      <w:b/>
      <w:bCs/>
      <w:sz w:val="32"/>
      <w:szCs w:val="32"/>
    </w:rPr>
  </w:style>
  <w:style w:type="character" w:customStyle="1" w:styleId="75">
    <w:name w:val="标题 1 Char"/>
    <w:link w:val="2"/>
    <w:autoRedefine/>
    <w:qFormat/>
    <w:uiPriority w:val="0"/>
    <w:rPr>
      <w:rFonts w:ascii="Times New Roman" w:hAnsi="Times New Roman" w:eastAsia="宋体" w:cs="Times New Roman"/>
      <w:b/>
      <w:bCs/>
      <w:kern w:val="44"/>
      <w:sz w:val="36"/>
      <w:szCs w:val="44"/>
    </w:rPr>
  </w:style>
  <w:style w:type="character" w:customStyle="1" w:styleId="76">
    <w:name w:val="标题 3 Char"/>
    <w:link w:val="4"/>
    <w:autoRedefine/>
    <w:qFormat/>
    <w:uiPriority w:val="0"/>
    <w:rPr>
      <w:rFonts w:ascii="Times New Roman" w:hAnsi="Times New Roman" w:eastAsia="宋体" w:cs="Times New Roman"/>
      <w:b/>
      <w:bCs/>
      <w:kern w:val="2"/>
      <w:sz w:val="24"/>
      <w:szCs w:val="32"/>
    </w:rPr>
  </w:style>
  <w:style w:type="character" w:customStyle="1" w:styleId="77">
    <w:name w:val="标题 4 Char"/>
    <w:link w:val="5"/>
    <w:autoRedefine/>
    <w:qFormat/>
    <w:uiPriority w:val="0"/>
    <w:rPr>
      <w:rFonts w:ascii="Calibri Light" w:hAnsi="Calibri Light" w:eastAsia="宋体"/>
      <w:b/>
      <w:bCs/>
      <w:iCs/>
    </w:rPr>
  </w:style>
  <w:style w:type="character" w:customStyle="1" w:styleId="78">
    <w:name w:val="标题 5 Char"/>
    <w:link w:val="6"/>
    <w:autoRedefine/>
    <w:qFormat/>
    <w:uiPriority w:val="0"/>
    <w:rPr>
      <w:rFonts w:ascii="Times New Roman" w:hAnsi="Times New Roman" w:eastAsia="宋体" w:cs="Times New Roman"/>
      <w:b/>
      <w:bCs/>
      <w:sz w:val="28"/>
      <w:szCs w:val="28"/>
    </w:rPr>
  </w:style>
  <w:style w:type="character" w:customStyle="1" w:styleId="79">
    <w:name w:val="标题 6 Char"/>
    <w:link w:val="7"/>
    <w:autoRedefine/>
    <w:qFormat/>
    <w:uiPriority w:val="0"/>
    <w:rPr>
      <w:rFonts w:ascii="Cambria" w:hAnsi="Cambria" w:eastAsia="宋体" w:cs="Times New Roman"/>
      <w:b/>
      <w:bCs/>
      <w:sz w:val="24"/>
      <w:szCs w:val="24"/>
    </w:rPr>
  </w:style>
  <w:style w:type="character" w:customStyle="1" w:styleId="80">
    <w:name w:val="标题 7 Char"/>
    <w:link w:val="8"/>
    <w:autoRedefine/>
    <w:qFormat/>
    <w:uiPriority w:val="0"/>
    <w:rPr>
      <w:rFonts w:ascii="Times New Roman" w:hAnsi="Times New Roman" w:eastAsia="宋体" w:cs="Times New Roman"/>
      <w:b/>
      <w:bCs/>
      <w:sz w:val="24"/>
      <w:szCs w:val="24"/>
    </w:rPr>
  </w:style>
  <w:style w:type="character" w:customStyle="1" w:styleId="81">
    <w:name w:val="标题 8 Char"/>
    <w:link w:val="9"/>
    <w:autoRedefine/>
    <w:qFormat/>
    <w:uiPriority w:val="0"/>
    <w:rPr>
      <w:rFonts w:ascii="Cambria" w:hAnsi="Cambria" w:eastAsia="宋体" w:cs="Times New Roman"/>
      <w:sz w:val="24"/>
      <w:szCs w:val="24"/>
    </w:rPr>
  </w:style>
  <w:style w:type="character" w:customStyle="1" w:styleId="82">
    <w:name w:val="标题 9 Char"/>
    <w:link w:val="10"/>
    <w:autoRedefine/>
    <w:qFormat/>
    <w:uiPriority w:val="0"/>
    <w:rPr>
      <w:rFonts w:ascii="Cambria" w:hAnsi="Cambria" w:eastAsia="宋体" w:cs="Times New Roman"/>
      <w:szCs w:val="21"/>
    </w:rPr>
  </w:style>
  <w:style w:type="character" w:customStyle="1" w:styleId="83">
    <w:name w:val="正文缩进 Char"/>
    <w:link w:val="13"/>
    <w:autoRedefine/>
    <w:qFormat/>
    <w:locked/>
    <w:uiPriority w:val="0"/>
    <w:rPr>
      <w:sz w:val="21"/>
    </w:rPr>
  </w:style>
  <w:style w:type="character" w:customStyle="1" w:styleId="84">
    <w:name w:val="文档结构图 Char"/>
    <w:link w:val="17"/>
    <w:autoRedefine/>
    <w:qFormat/>
    <w:uiPriority w:val="0"/>
    <w:rPr>
      <w:rFonts w:ascii="Times New Roman" w:hAnsi="Times New Roman" w:eastAsia="宋体" w:cs="Times New Roman"/>
      <w:szCs w:val="24"/>
      <w:shd w:val="clear" w:color="auto" w:fill="000080"/>
    </w:rPr>
  </w:style>
  <w:style w:type="character" w:customStyle="1" w:styleId="85">
    <w:name w:val="批注文字 Char"/>
    <w:link w:val="18"/>
    <w:autoRedefine/>
    <w:qFormat/>
    <w:uiPriority w:val="0"/>
    <w:rPr>
      <w:szCs w:val="24"/>
    </w:rPr>
  </w:style>
  <w:style w:type="character" w:customStyle="1" w:styleId="86">
    <w:name w:val="正文文本 3 Char"/>
    <w:link w:val="19"/>
    <w:autoRedefine/>
    <w:qFormat/>
    <w:uiPriority w:val="0"/>
    <w:rPr>
      <w:rFonts w:ascii="宋体" w:hAnsi="Times New Roman" w:eastAsia="宋体" w:cs="Times New Roman"/>
      <w:sz w:val="24"/>
      <w:szCs w:val="20"/>
    </w:rPr>
  </w:style>
  <w:style w:type="character" w:customStyle="1" w:styleId="87">
    <w:name w:val="正文文本 Char"/>
    <w:link w:val="20"/>
    <w:autoRedefine/>
    <w:qFormat/>
    <w:uiPriority w:val="0"/>
    <w:rPr>
      <w:rFonts w:ascii="Times New Roman" w:hAnsi="Times New Roman" w:eastAsia="宋体" w:cs="Times New Roman"/>
      <w:szCs w:val="24"/>
    </w:rPr>
  </w:style>
  <w:style w:type="character" w:customStyle="1" w:styleId="88">
    <w:name w:val="正文文本缩进 Char"/>
    <w:link w:val="21"/>
    <w:autoRedefine/>
    <w:qFormat/>
    <w:uiPriority w:val="0"/>
    <w:rPr>
      <w:rFonts w:ascii="Times New Roman" w:hAnsi="Times New Roman" w:eastAsia="宋体" w:cs="Times New Roman"/>
      <w:szCs w:val="24"/>
    </w:rPr>
  </w:style>
  <w:style w:type="character" w:customStyle="1" w:styleId="89">
    <w:name w:val="纯文本 Char"/>
    <w:link w:val="28"/>
    <w:autoRedefine/>
    <w:qFormat/>
    <w:uiPriority w:val="0"/>
    <w:rPr>
      <w:rFonts w:ascii="宋体" w:hAnsi="Courier New" w:eastAsia="宋体"/>
    </w:rPr>
  </w:style>
  <w:style w:type="character" w:customStyle="1" w:styleId="90">
    <w:name w:val="日期 Char"/>
    <w:link w:val="31"/>
    <w:autoRedefine/>
    <w:qFormat/>
    <w:uiPriority w:val="0"/>
    <w:rPr>
      <w:szCs w:val="24"/>
    </w:rPr>
  </w:style>
  <w:style w:type="character" w:customStyle="1" w:styleId="91">
    <w:name w:val="正文文本缩进 2 Char"/>
    <w:link w:val="32"/>
    <w:autoRedefine/>
    <w:qFormat/>
    <w:uiPriority w:val="0"/>
    <w:rPr>
      <w:rFonts w:ascii="Times New Roman" w:hAnsi="Times New Roman" w:eastAsia="宋体" w:cs="Times New Roman"/>
      <w:szCs w:val="24"/>
    </w:rPr>
  </w:style>
  <w:style w:type="character" w:customStyle="1" w:styleId="92">
    <w:name w:val="批注框文本 Char"/>
    <w:link w:val="33"/>
    <w:autoRedefine/>
    <w:qFormat/>
    <w:uiPriority w:val="0"/>
    <w:rPr>
      <w:rFonts w:ascii="Times New Roman" w:hAnsi="Times New Roman" w:eastAsia="宋体" w:cs="Times New Roman"/>
      <w:sz w:val="18"/>
      <w:szCs w:val="18"/>
    </w:rPr>
  </w:style>
  <w:style w:type="character" w:customStyle="1" w:styleId="93">
    <w:name w:val="页脚 Char"/>
    <w:link w:val="34"/>
    <w:autoRedefine/>
    <w:qFormat/>
    <w:uiPriority w:val="0"/>
    <w:rPr>
      <w:rFonts w:ascii="Times New Roman" w:hAnsi="Times New Roman" w:eastAsia="宋体" w:cs="Times New Roman"/>
      <w:sz w:val="18"/>
      <w:szCs w:val="18"/>
    </w:rPr>
  </w:style>
  <w:style w:type="character" w:customStyle="1" w:styleId="94">
    <w:name w:val="页眉 Char"/>
    <w:link w:val="35"/>
    <w:autoRedefine/>
    <w:qFormat/>
    <w:uiPriority w:val="0"/>
    <w:rPr>
      <w:rFonts w:ascii="Times New Roman" w:hAnsi="Times New Roman" w:eastAsia="宋体" w:cs="Times New Roman"/>
      <w:sz w:val="18"/>
      <w:szCs w:val="18"/>
    </w:rPr>
  </w:style>
  <w:style w:type="character" w:customStyle="1" w:styleId="95">
    <w:name w:val="副标题 Char"/>
    <w:link w:val="38"/>
    <w:autoRedefine/>
    <w:qFormat/>
    <w:uiPriority w:val="0"/>
    <w:rPr>
      <w:rFonts w:ascii="Cambria" w:hAnsi="Cambria" w:cs="Times New Roman"/>
      <w:b/>
      <w:bCs/>
      <w:kern w:val="28"/>
      <w:sz w:val="32"/>
      <w:szCs w:val="32"/>
    </w:rPr>
  </w:style>
  <w:style w:type="character" w:customStyle="1" w:styleId="96">
    <w:name w:val="脚注文本 Char1"/>
    <w:link w:val="39"/>
    <w:autoRedefine/>
    <w:qFormat/>
    <w:uiPriority w:val="0"/>
    <w:rPr>
      <w:kern w:val="2"/>
      <w:sz w:val="18"/>
      <w:szCs w:val="18"/>
    </w:rPr>
  </w:style>
  <w:style w:type="character" w:customStyle="1" w:styleId="97">
    <w:name w:val="正文文本缩进 3 Char"/>
    <w:link w:val="42"/>
    <w:autoRedefine/>
    <w:qFormat/>
    <w:uiPriority w:val="0"/>
    <w:rPr>
      <w:rFonts w:ascii="Times New Roman" w:hAnsi="Times New Roman" w:eastAsia="宋体" w:cs="Times New Roman"/>
      <w:sz w:val="16"/>
      <w:szCs w:val="16"/>
    </w:rPr>
  </w:style>
  <w:style w:type="character" w:customStyle="1" w:styleId="98">
    <w:name w:val="目录 2 Char"/>
    <w:link w:val="44"/>
    <w:autoRedefine/>
    <w:qFormat/>
    <w:locked/>
    <w:uiPriority w:val="39"/>
    <w:rPr>
      <w:rFonts w:ascii="Times New Roman" w:hAnsi="Times New Roman" w:eastAsia="宋体" w:cs="Times New Roman"/>
      <w:szCs w:val="24"/>
    </w:rPr>
  </w:style>
  <w:style w:type="character" w:customStyle="1" w:styleId="99">
    <w:name w:val="正文文本 2 Char"/>
    <w:link w:val="46"/>
    <w:autoRedefine/>
    <w:qFormat/>
    <w:uiPriority w:val="0"/>
    <w:rPr>
      <w:szCs w:val="24"/>
    </w:rPr>
  </w:style>
  <w:style w:type="character" w:customStyle="1" w:styleId="100">
    <w:name w:val="HTML 预设格式 Char"/>
    <w:link w:val="47"/>
    <w:autoRedefine/>
    <w:qFormat/>
    <w:uiPriority w:val="0"/>
    <w:rPr>
      <w:rFonts w:ascii="Arial" w:hAnsi="Arial" w:cs="Arial"/>
      <w:sz w:val="24"/>
      <w:szCs w:val="24"/>
    </w:rPr>
  </w:style>
  <w:style w:type="character" w:customStyle="1" w:styleId="101">
    <w:name w:val="标题 Char"/>
    <w:link w:val="50"/>
    <w:autoRedefine/>
    <w:qFormat/>
    <w:uiPriority w:val="0"/>
    <w:rPr>
      <w:rFonts w:ascii="Cambria" w:hAnsi="Cambria"/>
      <w:b/>
      <w:bCs/>
      <w:sz w:val="32"/>
      <w:szCs w:val="32"/>
    </w:rPr>
  </w:style>
  <w:style w:type="character" w:customStyle="1" w:styleId="102">
    <w:name w:val="批注主题 Char"/>
    <w:link w:val="51"/>
    <w:autoRedefine/>
    <w:qFormat/>
    <w:uiPriority w:val="0"/>
    <w:rPr>
      <w:rFonts w:ascii="Times New Roman" w:hAnsi="Times New Roman" w:eastAsia="宋体" w:cs="Times New Roman"/>
      <w:b/>
      <w:bCs/>
      <w:szCs w:val="24"/>
    </w:rPr>
  </w:style>
  <w:style w:type="character" w:customStyle="1" w:styleId="103">
    <w:name w:val="正文首行缩进 Char"/>
    <w:link w:val="52"/>
    <w:autoRedefine/>
    <w:qFormat/>
    <w:uiPriority w:val="0"/>
    <w:rPr>
      <w:rFonts w:ascii="Times New Roman" w:hAnsi="Times New Roman" w:eastAsia="宋体" w:cs="Times New Roman"/>
      <w:kern w:val="2"/>
      <w:sz w:val="21"/>
      <w:szCs w:val="24"/>
    </w:rPr>
  </w:style>
  <w:style w:type="character" w:customStyle="1" w:styleId="104">
    <w:name w:val="标题 3 字符"/>
    <w:link w:val="4"/>
    <w:autoRedefine/>
    <w:qFormat/>
    <w:uiPriority w:val="0"/>
    <w:rPr>
      <w:rFonts w:ascii="Calibri" w:hAnsi="Calibri" w:eastAsia="宋体"/>
      <w:b/>
      <w:sz w:val="32"/>
    </w:rPr>
  </w:style>
  <w:style w:type="character" w:customStyle="1" w:styleId="105">
    <w:name w:val="标题 1 Char Char"/>
    <w:autoRedefine/>
    <w:qFormat/>
    <w:uiPriority w:val="0"/>
    <w:rPr>
      <w:rFonts w:eastAsia="宋体"/>
      <w:b/>
      <w:sz w:val="44"/>
      <w:lang w:val="en-US" w:eastAsia="zh-CN" w:bidi="ar-SA"/>
    </w:rPr>
  </w:style>
  <w:style w:type="paragraph" w:customStyle="1" w:styleId="106">
    <w:name w:val="首行缩进"/>
    <w:basedOn w:val="1"/>
    <w:autoRedefine/>
    <w:qFormat/>
    <w:uiPriority w:val="0"/>
    <w:pPr>
      <w:spacing w:line="360" w:lineRule="auto"/>
      <w:ind w:firstLine="480" w:firstLineChars="200"/>
    </w:pPr>
    <w:rPr>
      <w:rFonts w:ascii="宋体" w:hAnsi="宋体"/>
      <w:kern w:val="0"/>
      <w:sz w:val="24"/>
    </w:rPr>
  </w:style>
  <w:style w:type="character" w:customStyle="1" w:styleId="107">
    <w:name w:val="正文文本 (2) + 10 pt34"/>
    <w:autoRedefine/>
    <w:qFormat/>
    <w:uiPriority w:val="0"/>
    <w:rPr>
      <w:rFonts w:ascii="MingLiU" w:hAnsi="MingLiU" w:eastAsia="MingLiU" w:cs="MingLiU"/>
      <w:color w:val="000000"/>
      <w:spacing w:val="140"/>
      <w:w w:val="100"/>
      <w:position w:val="0"/>
      <w:sz w:val="20"/>
      <w:szCs w:val="20"/>
      <w:u w:val="none"/>
      <w:shd w:val="clear" w:color="auto" w:fill="FFFFFF"/>
      <w:lang w:val="zh-CN" w:eastAsia="zh-CN"/>
    </w:rPr>
  </w:style>
  <w:style w:type="character" w:customStyle="1" w:styleId="108">
    <w:name w:val="4 Char Char"/>
    <w:link w:val="109"/>
    <w:autoRedefine/>
    <w:qFormat/>
    <w:uiPriority w:val="0"/>
    <w:rPr>
      <w:rFonts w:ascii="Cambria" w:hAnsi="Cambria" w:eastAsia="宋体" w:cs="Times New Roman"/>
      <w:b/>
      <w:bCs/>
      <w:sz w:val="32"/>
      <w:szCs w:val="28"/>
    </w:rPr>
  </w:style>
  <w:style w:type="paragraph" w:customStyle="1" w:styleId="109">
    <w:name w:val="4"/>
    <w:basedOn w:val="5"/>
    <w:next w:val="20"/>
    <w:link w:val="108"/>
    <w:autoRedefine/>
    <w:qFormat/>
    <w:uiPriority w:val="0"/>
    <w:pPr>
      <w:widowControl w:val="0"/>
      <w:spacing w:before="120" w:after="120" w:line="360" w:lineRule="exact"/>
    </w:pPr>
    <w:rPr>
      <w:rFonts w:ascii="Cambria" w:hAnsi="Cambria" w:cs="Times New Roman"/>
      <w:iCs w:val="0"/>
      <w:sz w:val="32"/>
      <w:szCs w:val="28"/>
    </w:rPr>
  </w:style>
  <w:style w:type="character" w:customStyle="1" w:styleId="110">
    <w:name w:val="Heading 3 Char"/>
    <w:autoRedefine/>
    <w:qFormat/>
    <w:uiPriority w:val="0"/>
    <w:rPr>
      <w:rFonts w:cs="Times New Roman"/>
      <w:b/>
      <w:bCs/>
      <w:kern w:val="2"/>
      <w:sz w:val="32"/>
      <w:szCs w:val="32"/>
    </w:rPr>
  </w:style>
  <w:style w:type="character" w:customStyle="1" w:styleId="111">
    <w:name w:val="op-map-singlepoint-info-right"/>
    <w:basedOn w:val="56"/>
    <w:autoRedefine/>
    <w:qFormat/>
    <w:uiPriority w:val="0"/>
  </w:style>
  <w:style w:type="character" w:customStyle="1" w:styleId="112">
    <w:name w:val="15"/>
    <w:autoRedefine/>
    <w:qFormat/>
    <w:uiPriority w:val="0"/>
    <w:rPr>
      <w:rFonts w:hint="default" w:ascii="Times New Roman" w:hAnsi="Times New Roman" w:cs="Times New Roman"/>
      <w:color w:val="0000FF"/>
      <w:u w:val="single"/>
    </w:rPr>
  </w:style>
  <w:style w:type="character" w:customStyle="1" w:styleId="113">
    <w:name w:val="Body Text Indent Char"/>
    <w:autoRedefine/>
    <w:qFormat/>
    <w:uiPriority w:val="0"/>
    <w:rPr>
      <w:rFonts w:ascii="宋体" w:hAnsi="宋体" w:eastAsia="宋体"/>
      <w:kern w:val="2"/>
      <w:sz w:val="21"/>
      <w:lang w:val="en-US" w:eastAsia="zh-CN" w:bidi="ar-SA"/>
    </w:rPr>
  </w:style>
  <w:style w:type="character" w:customStyle="1" w:styleId="114">
    <w:name w:val="明显引用 Char"/>
    <w:link w:val="115"/>
    <w:autoRedefine/>
    <w:qFormat/>
    <w:uiPriority w:val="0"/>
    <w:rPr>
      <w:b/>
      <w:bCs/>
      <w:i/>
      <w:iCs/>
      <w:color w:val="4F81BD"/>
      <w:szCs w:val="24"/>
    </w:rPr>
  </w:style>
  <w:style w:type="paragraph" w:styleId="115">
    <w:name w:val="Intense Quote"/>
    <w:basedOn w:val="1"/>
    <w:next w:val="1"/>
    <w:link w:val="114"/>
    <w:autoRedefine/>
    <w:qFormat/>
    <w:uiPriority w:val="0"/>
    <w:pPr>
      <w:pBdr>
        <w:bottom w:val="single" w:color="4F81BD" w:sz="4" w:space="4"/>
      </w:pBdr>
      <w:spacing w:before="200" w:after="280" w:line="360" w:lineRule="exact"/>
      <w:ind w:left="936" w:right="936" w:firstLine="200" w:firstLineChars="200"/>
    </w:pPr>
    <w:rPr>
      <w:rFonts w:ascii="Calibri" w:hAnsi="Calibri" w:eastAsia="宋体" w:cs="Times New Roman"/>
      <w:b/>
      <w:bCs/>
      <w:i/>
      <w:iCs/>
      <w:color w:val="4F81BD"/>
    </w:rPr>
  </w:style>
  <w:style w:type="character" w:customStyle="1" w:styleId="116">
    <w:name w:val="正文文本 (2)_"/>
    <w:link w:val="117"/>
    <w:autoRedefine/>
    <w:qFormat/>
    <w:uiPriority w:val="0"/>
    <w:rPr>
      <w:rFonts w:ascii="MingLiU" w:hAnsi="MingLiU" w:eastAsia="MingLiU" w:cs="MingLiU"/>
      <w:spacing w:val="20"/>
      <w:sz w:val="22"/>
      <w:shd w:val="clear" w:color="auto" w:fill="FFFFFF"/>
    </w:rPr>
  </w:style>
  <w:style w:type="paragraph" w:customStyle="1" w:styleId="117">
    <w:name w:val="正文文本 (2)4"/>
    <w:basedOn w:val="1"/>
    <w:link w:val="116"/>
    <w:autoRedefine/>
    <w:qFormat/>
    <w:uiPriority w:val="0"/>
    <w:pPr>
      <w:shd w:val="clear" w:color="auto" w:fill="FFFFFF"/>
      <w:spacing w:before="300" w:line="439" w:lineRule="exact"/>
      <w:jc w:val="distribute"/>
    </w:pPr>
    <w:rPr>
      <w:rFonts w:ascii="MingLiU" w:hAnsi="MingLiU" w:eastAsia="MingLiU" w:cs="MingLiU"/>
      <w:spacing w:val="20"/>
      <w:sz w:val="22"/>
      <w:szCs w:val="22"/>
    </w:rPr>
  </w:style>
  <w:style w:type="character" w:customStyle="1" w:styleId="118">
    <w:name w:val="正文呀 Char"/>
    <w:link w:val="119"/>
    <w:autoRedefine/>
    <w:qFormat/>
    <w:uiPriority w:val="0"/>
    <w:rPr>
      <w:rFonts w:ascii="宋体" w:hAnsi="宋体"/>
      <w:kern w:val="2"/>
      <w:sz w:val="21"/>
      <w:szCs w:val="21"/>
    </w:rPr>
  </w:style>
  <w:style w:type="paragraph" w:customStyle="1" w:styleId="119">
    <w:name w:val="正文呀"/>
    <w:basedOn w:val="1"/>
    <w:link w:val="118"/>
    <w:autoRedefine/>
    <w:qFormat/>
    <w:uiPriority w:val="0"/>
    <w:pPr>
      <w:spacing w:line="420" w:lineRule="exact"/>
      <w:ind w:firstLine="420" w:firstLineChars="200"/>
    </w:pPr>
    <w:rPr>
      <w:rFonts w:ascii="宋体" w:hAnsi="宋体"/>
      <w:szCs w:val="21"/>
    </w:rPr>
  </w:style>
  <w:style w:type="character" w:customStyle="1" w:styleId="120">
    <w:name w:val="正文文本 (14) + Times New Roman"/>
    <w:autoRedefine/>
    <w:qFormat/>
    <w:uiPriority w:val="0"/>
    <w:rPr>
      <w:rFonts w:ascii="Times New Roman" w:hAnsi="Times New Roman" w:eastAsia="MingLiU" w:cs="Times New Roman"/>
      <w:color w:val="000000"/>
      <w:spacing w:val="0"/>
      <w:w w:val="100"/>
      <w:position w:val="0"/>
      <w:sz w:val="24"/>
      <w:szCs w:val="24"/>
      <w:u w:val="none"/>
      <w:shd w:val="clear" w:color="auto" w:fill="FFFFFF"/>
      <w:lang w:val="en-US" w:eastAsia="en-US"/>
    </w:rPr>
  </w:style>
  <w:style w:type="character" w:customStyle="1" w:styleId="121">
    <w:name w:val="正文文本 (45)_"/>
    <w:link w:val="122"/>
    <w:autoRedefine/>
    <w:qFormat/>
    <w:locked/>
    <w:uiPriority w:val="0"/>
    <w:rPr>
      <w:rFonts w:ascii="MingLiU" w:hAnsi="MingLiU" w:eastAsia="MingLiU"/>
      <w:sz w:val="22"/>
      <w:shd w:val="clear" w:color="auto" w:fill="FFFFFF"/>
    </w:rPr>
  </w:style>
  <w:style w:type="paragraph" w:customStyle="1" w:styleId="122">
    <w:name w:val="正文文本 (45)"/>
    <w:basedOn w:val="1"/>
    <w:link w:val="121"/>
    <w:autoRedefine/>
    <w:qFormat/>
    <w:uiPriority w:val="0"/>
    <w:pPr>
      <w:shd w:val="clear" w:color="auto" w:fill="FFFFFF"/>
      <w:spacing w:after="420" w:line="240" w:lineRule="atLeast"/>
      <w:jc w:val="center"/>
    </w:pPr>
    <w:rPr>
      <w:rFonts w:ascii="MingLiU" w:hAnsi="MingLiU" w:eastAsia="MingLiU" w:cs="Times New Roman"/>
      <w:sz w:val="22"/>
      <w:szCs w:val="22"/>
    </w:rPr>
  </w:style>
  <w:style w:type="character" w:customStyle="1" w:styleId="123">
    <w:name w:val="普通文字 Char Char1"/>
    <w:autoRedefine/>
    <w:qFormat/>
    <w:uiPriority w:val="0"/>
    <w:rPr>
      <w:rFonts w:ascii="宋体" w:hAnsi="Courier New" w:eastAsia="宋体"/>
      <w:kern w:val="2"/>
      <w:sz w:val="21"/>
      <w:lang w:val="en-US" w:eastAsia="zh-CN" w:bidi="ar-SA"/>
    </w:rPr>
  </w:style>
  <w:style w:type="character" w:customStyle="1" w:styleId="124">
    <w:name w:val="纯文本 Char2"/>
    <w:autoRedefine/>
    <w:qFormat/>
    <w:uiPriority w:val="0"/>
    <w:rPr>
      <w:rFonts w:ascii="宋体" w:hAnsi="Courier New"/>
      <w:kern w:val="2"/>
      <w:sz w:val="21"/>
    </w:rPr>
  </w:style>
  <w:style w:type="character" w:customStyle="1" w:styleId="125">
    <w:name w:val="正文文本 (2) + 间距 0 pt Exact1"/>
    <w:autoRedefine/>
    <w:qFormat/>
    <w:uiPriority w:val="0"/>
    <w:rPr>
      <w:rFonts w:ascii="MingLiU" w:hAnsi="MingLiU" w:eastAsia="MingLiU" w:cs="MingLiU"/>
      <w:color w:val="000000"/>
      <w:spacing w:val="0"/>
      <w:w w:val="100"/>
      <w:position w:val="0"/>
      <w:sz w:val="22"/>
      <w:szCs w:val="22"/>
      <w:u w:val="none"/>
      <w:shd w:val="clear" w:color="auto" w:fill="FFFFFF"/>
      <w:lang w:val="zh-CN" w:eastAsia="zh-CN"/>
    </w:rPr>
  </w:style>
  <w:style w:type="character" w:customStyle="1" w:styleId="126">
    <w:name w:val="Subtle Reference"/>
    <w:autoRedefine/>
    <w:qFormat/>
    <w:uiPriority w:val="0"/>
    <w:rPr>
      <w:smallCaps/>
      <w:color w:val="C0504D"/>
      <w:u w:val="single"/>
    </w:rPr>
  </w:style>
  <w:style w:type="character" w:customStyle="1" w:styleId="127">
    <w:name w:val="标题 #7_"/>
    <w:link w:val="128"/>
    <w:autoRedefine/>
    <w:qFormat/>
    <w:locked/>
    <w:uiPriority w:val="0"/>
    <w:rPr>
      <w:rFonts w:ascii="MingLiU" w:hAnsi="MingLiU" w:eastAsia="MingLiU"/>
      <w:spacing w:val="30"/>
      <w:sz w:val="26"/>
      <w:szCs w:val="26"/>
      <w:shd w:val="clear" w:color="auto" w:fill="FFFFFF"/>
    </w:rPr>
  </w:style>
  <w:style w:type="paragraph" w:customStyle="1" w:styleId="128">
    <w:name w:val="标题 #7"/>
    <w:basedOn w:val="1"/>
    <w:link w:val="127"/>
    <w:autoRedefine/>
    <w:qFormat/>
    <w:uiPriority w:val="0"/>
    <w:pPr>
      <w:shd w:val="clear" w:color="auto" w:fill="FFFFFF"/>
      <w:spacing w:before="540" w:after="540" w:line="240" w:lineRule="atLeast"/>
      <w:jc w:val="center"/>
      <w:outlineLvl w:val="6"/>
    </w:pPr>
    <w:rPr>
      <w:rFonts w:ascii="MingLiU" w:hAnsi="MingLiU" w:eastAsia="MingLiU" w:cs="Times New Roman"/>
      <w:spacing w:val="30"/>
      <w:sz w:val="26"/>
      <w:szCs w:val="26"/>
    </w:rPr>
  </w:style>
  <w:style w:type="character" w:customStyle="1" w:styleId="129">
    <w:name w:val="Plain Text Char"/>
    <w:autoRedefine/>
    <w:qFormat/>
    <w:uiPriority w:val="0"/>
    <w:rPr>
      <w:rFonts w:ascii="宋体" w:hAnsi="Courier New" w:eastAsia="宋体"/>
      <w:sz w:val="24"/>
      <w:lang w:bidi="ar-SA"/>
    </w:rPr>
  </w:style>
  <w:style w:type="character" w:customStyle="1" w:styleId="130">
    <w:name w:val="正文文本 (2) + 间距 7 pt"/>
    <w:autoRedefine/>
    <w:qFormat/>
    <w:uiPriority w:val="0"/>
    <w:rPr>
      <w:rFonts w:ascii="MingLiU" w:hAnsi="MingLiU" w:eastAsia="MingLiU" w:cs="MingLiU"/>
      <w:color w:val="000000"/>
      <w:spacing w:val="150"/>
      <w:w w:val="100"/>
      <w:position w:val="0"/>
      <w:sz w:val="22"/>
      <w:szCs w:val="22"/>
      <w:u w:val="none"/>
      <w:shd w:val="clear" w:color="auto" w:fill="FFFFFF"/>
      <w:lang w:val="zh-CN" w:eastAsia="zh-CN"/>
    </w:rPr>
  </w:style>
  <w:style w:type="character" w:customStyle="1" w:styleId="131">
    <w:name w:val="正文文本 (2) + 10 pt3"/>
    <w:autoRedefine/>
    <w:qFormat/>
    <w:uiPriority w:val="0"/>
    <w:rPr>
      <w:rFonts w:ascii="MingLiU" w:hAnsi="MingLiU" w:eastAsia="MingLiU" w:cs="MingLiU"/>
      <w:color w:val="000000"/>
      <w:spacing w:val="0"/>
      <w:w w:val="100"/>
      <w:position w:val="0"/>
      <w:sz w:val="20"/>
      <w:szCs w:val="20"/>
      <w:u w:val="none"/>
      <w:lang w:val="zh-CN" w:eastAsia="zh-CN" w:bidi="zh-CN"/>
    </w:rPr>
  </w:style>
  <w:style w:type="character" w:customStyle="1" w:styleId="132">
    <w:name w:val="Char Char21"/>
    <w:autoRedefine/>
    <w:qFormat/>
    <w:uiPriority w:val="0"/>
    <w:rPr>
      <w:rFonts w:ascii="Arial" w:hAnsi="Arial" w:eastAsia="黑体" w:cs="Times New Roman"/>
      <w:b/>
      <w:bCs/>
      <w:sz w:val="32"/>
      <w:szCs w:val="32"/>
    </w:rPr>
  </w:style>
  <w:style w:type="character" w:customStyle="1" w:styleId="133">
    <w:name w:val="样式4 Char Char"/>
    <w:link w:val="134"/>
    <w:autoRedefine/>
    <w:qFormat/>
    <w:uiPriority w:val="0"/>
    <w:rPr>
      <w:rFonts w:ascii="宋体" w:hAnsi="宋体"/>
      <w:color w:val="FF0000"/>
      <w:sz w:val="24"/>
      <w:szCs w:val="24"/>
    </w:rPr>
  </w:style>
  <w:style w:type="paragraph" w:customStyle="1" w:styleId="134">
    <w:name w:val="样式4"/>
    <w:link w:val="133"/>
    <w:autoRedefine/>
    <w:qFormat/>
    <w:uiPriority w:val="0"/>
    <w:pPr>
      <w:ind w:left="-178" w:leftChars="-85" w:right="-107" w:rightChars="-51"/>
      <w:jc w:val="center"/>
    </w:pPr>
    <w:rPr>
      <w:rFonts w:ascii="宋体" w:hAnsi="宋体" w:eastAsia="宋体" w:cs="Times New Roman"/>
      <w:color w:val="FF0000"/>
      <w:kern w:val="2"/>
      <w:sz w:val="24"/>
      <w:szCs w:val="24"/>
      <w:lang w:val="en-US" w:eastAsia="zh-CN" w:bidi="ar-SA"/>
    </w:rPr>
  </w:style>
  <w:style w:type="character" w:customStyle="1" w:styleId="135">
    <w:name w:val="Char Char20"/>
    <w:autoRedefine/>
    <w:qFormat/>
    <w:uiPriority w:val="0"/>
    <w:rPr>
      <w:rFonts w:ascii="Times New Roman" w:hAnsi="Times New Roman" w:eastAsia="宋体" w:cs="Times New Roman"/>
      <w:b/>
      <w:bCs/>
      <w:sz w:val="24"/>
      <w:szCs w:val="32"/>
    </w:rPr>
  </w:style>
  <w:style w:type="character" w:customStyle="1" w:styleId="136">
    <w:name w:val="页眉或页脚 + Times New Roman"/>
    <w:autoRedefine/>
    <w:qFormat/>
    <w:uiPriority w:val="0"/>
    <w:rPr>
      <w:rFonts w:ascii="Times New Roman" w:hAnsi="Times New Roman" w:eastAsia="MingLiU" w:cs="Times New Roman"/>
      <w:color w:val="000000"/>
      <w:spacing w:val="0"/>
      <w:w w:val="100"/>
      <w:position w:val="0"/>
      <w:sz w:val="18"/>
      <w:szCs w:val="18"/>
      <w:u w:val="none"/>
      <w:lang w:val="zh-CN" w:eastAsia="zh-CN" w:bidi="ar-SA"/>
    </w:rPr>
  </w:style>
  <w:style w:type="character" w:customStyle="1" w:styleId="137">
    <w:name w:val="正文文本缩进 Char1"/>
    <w:autoRedefine/>
    <w:semiHidden/>
    <w:qFormat/>
    <w:uiPriority w:val="99"/>
    <w:rPr>
      <w:sz w:val="21"/>
    </w:rPr>
  </w:style>
  <w:style w:type="character" w:customStyle="1" w:styleId="138">
    <w:name w:val="Heading 2 Char"/>
    <w:autoRedefine/>
    <w:qFormat/>
    <w:uiPriority w:val="0"/>
    <w:rPr>
      <w:rFonts w:ascii="Arial" w:hAnsi="Arial" w:eastAsia="黑体"/>
      <w:b/>
      <w:bCs/>
      <w:kern w:val="2"/>
      <w:sz w:val="32"/>
      <w:szCs w:val="32"/>
      <w:lang w:val="en-US" w:eastAsia="zh-CN" w:bidi="ar-SA"/>
    </w:rPr>
  </w:style>
  <w:style w:type="character" w:customStyle="1" w:styleId="139">
    <w:name w:val="Title Char"/>
    <w:autoRedefine/>
    <w:qFormat/>
    <w:uiPriority w:val="0"/>
    <w:rPr>
      <w:rFonts w:ascii="Cambria" w:hAnsi="Cambria"/>
      <w:b/>
      <w:sz w:val="32"/>
      <w:lang w:bidi="ar-SA"/>
    </w:rPr>
  </w:style>
  <w:style w:type="character" w:customStyle="1" w:styleId="140">
    <w:name w:val="Comment Text Char1"/>
    <w:autoRedefine/>
    <w:qFormat/>
    <w:uiPriority w:val="0"/>
    <w:rPr>
      <w:sz w:val="24"/>
      <w:lang w:bidi="ar-SA"/>
    </w:rPr>
  </w:style>
  <w:style w:type="character" w:customStyle="1" w:styleId="141">
    <w:name w:val="样式3 Char Char"/>
    <w:link w:val="142"/>
    <w:autoRedefine/>
    <w:qFormat/>
    <w:uiPriority w:val="0"/>
    <w:rPr>
      <w:rFonts w:ascii="Times New Roman" w:hAnsi="Times New Roman" w:eastAsia="宋体" w:cs="Times New Roman"/>
      <w:szCs w:val="24"/>
    </w:rPr>
  </w:style>
  <w:style w:type="paragraph" w:customStyle="1" w:styleId="142">
    <w:name w:val="样式3"/>
    <w:basedOn w:val="20"/>
    <w:link w:val="141"/>
    <w:autoRedefine/>
    <w:qFormat/>
    <w:uiPriority w:val="0"/>
    <w:pPr>
      <w:spacing w:line="360" w:lineRule="exact"/>
    </w:pPr>
    <w:rPr>
      <w:rFonts w:ascii="Calibri" w:hAnsi="Calibri" w:eastAsia="宋体" w:cs="Times New Roman"/>
    </w:rPr>
  </w:style>
  <w:style w:type="character" w:customStyle="1" w:styleId="143">
    <w:name w:val="不明显强调3"/>
    <w:autoRedefine/>
    <w:qFormat/>
    <w:uiPriority w:val="0"/>
    <w:rPr>
      <w:i/>
      <w:iCs/>
      <w:color w:val="808080"/>
    </w:rPr>
  </w:style>
  <w:style w:type="character" w:customStyle="1" w:styleId="144">
    <w:name w:val="Subtle Emphasis"/>
    <w:autoRedefine/>
    <w:qFormat/>
    <w:uiPriority w:val="0"/>
    <w:rPr>
      <w:i/>
      <w:iCs/>
      <w:color w:val="808080"/>
    </w:rPr>
  </w:style>
  <w:style w:type="character" w:customStyle="1" w:styleId="145">
    <w:name w:val="正文文本 (19) + 间距 0 pt"/>
    <w:autoRedefine/>
    <w:qFormat/>
    <w:uiPriority w:val="0"/>
    <w:rPr>
      <w:rFonts w:ascii="MingLiU" w:hAnsi="MingLiU" w:eastAsia="MingLiU" w:cs="MingLiU"/>
      <w:b/>
      <w:bCs/>
      <w:color w:val="000000"/>
      <w:spacing w:val="0"/>
      <w:w w:val="100"/>
      <w:position w:val="0"/>
      <w:sz w:val="22"/>
      <w:szCs w:val="22"/>
      <w:u w:val="none"/>
      <w:lang w:val="zh-CN" w:eastAsia="zh-CN" w:bidi="zh-CN"/>
    </w:rPr>
  </w:style>
  <w:style w:type="character" w:customStyle="1" w:styleId="146">
    <w:name w:val="目录 (2) + 间距 0 pt"/>
    <w:autoRedefine/>
    <w:qFormat/>
    <w:uiPriority w:val="0"/>
    <w:rPr>
      <w:rFonts w:ascii="MingLiU" w:hAnsi="MingLiU" w:eastAsia="MingLiU" w:cs="MingLiU"/>
      <w:color w:val="000000"/>
      <w:spacing w:val="0"/>
      <w:w w:val="100"/>
      <w:position w:val="0"/>
      <w:sz w:val="22"/>
      <w:szCs w:val="22"/>
      <w:u w:val="none"/>
      <w:lang w:val="zh-CN" w:eastAsia="zh-CN"/>
    </w:rPr>
  </w:style>
  <w:style w:type="character" w:customStyle="1" w:styleId="147">
    <w:name w:val="标题 #8_"/>
    <w:link w:val="148"/>
    <w:autoRedefine/>
    <w:qFormat/>
    <w:uiPriority w:val="0"/>
    <w:rPr>
      <w:rFonts w:ascii="MingLiU" w:hAnsi="MingLiU" w:eastAsia="MingLiU" w:cs="MingLiU"/>
      <w:b/>
      <w:bCs/>
      <w:spacing w:val="10"/>
      <w:sz w:val="22"/>
      <w:shd w:val="clear" w:color="auto" w:fill="FFFFFF"/>
    </w:rPr>
  </w:style>
  <w:style w:type="paragraph" w:customStyle="1" w:styleId="148">
    <w:name w:val="标题 #8"/>
    <w:basedOn w:val="1"/>
    <w:link w:val="147"/>
    <w:autoRedefine/>
    <w:qFormat/>
    <w:uiPriority w:val="0"/>
    <w:pPr>
      <w:shd w:val="clear" w:color="auto" w:fill="FFFFFF"/>
      <w:spacing w:before="120" w:after="420" w:line="0" w:lineRule="atLeast"/>
      <w:jc w:val="left"/>
      <w:outlineLvl w:val="7"/>
    </w:pPr>
    <w:rPr>
      <w:rFonts w:ascii="MingLiU" w:hAnsi="MingLiU" w:eastAsia="MingLiU" w:cs="MingLiU"/>
      <w:b/>
      <w:bCs/>
      <w:spacing w:val="10"/>
      <w:sz w:val="22"/>
      <w:szCs w:val="22"/>
    </w:rPr>
  </w:style>
  <w:style w:type="character" w:customStyle="1" w:styleId="149">
    <w:name w:val="样式5 Char Char"/>
    <w:link w:val="150"/>
    <w:autoRedefine/>
    <w:qFormat/>
    <w:uiPriority w:val="0"/>
    <w:rPr>
      <w:szCs w:val="24"/>
    </w:rPr>
  </w:style>
  <w:style w:type="paragraph" w:customStyle="1" w:styleId="150">
    <w:name w:val="样式5"/>
    <w:basedOn w:val="1"/>
    <w:next w:val="151"/>
    <w:link w:val="149"/>
    <w:autoRedefine/>
    <w:qFormat/>
    <w:uiPriority w:val="0"/>
    <w:pPr>
      <w:spacing w:line="360" w:lineRule="exact"/>
    </w:pPr>
    <w:rPr>
      <w:rFonts w:ascii="Calibri" w:hAnsi="Calibri" w:eastAsia="宋体" w:cs="Times New Roman"/>
    </w:rPr>
  </w:style>
  <w:style w:type="paragraph" w:customStyle="1" w:styleId="151">
    <w:name w:val="样式2"/>
    <w:basedOn w:val="20"/>
    <w:link w:val="152"/>
    <w:autoRedefine/>
    <w:qFormat/>
    <w:uiPriority w:val="0"/>
    <w:pPr>
      <w:wordWrap w:val="0"/>
      <w:spacing w:after="0" w:line="440" w:lineRule="exact"/>
      <w:ind w:firstLine="480" w:firstLineChars="200"/>
    </w:pPr>
    <w:rPr>
      <w:rFonts w:ascii="宋体" w:hAnsi="宋体" w:cs="Times New Roman"/>
      <w:sz w:val="24"/>
      <w:szCs w:val="84"/>
    </w:rPr>
  </w:style>
  <w:style w:type="character" w:customStyle="1" w:styleId="152">
    <w:name w:val="样式2 Char Char"/>
    <w:link w:val="151"/>
    <w:autoRedefine/>
    <w:qFormat/>
    <w:uiPriority w:val="0"/>
    <w:rPr>
      <w:rFonts w:ascii="宋体" w:hAnsi="宋体" w:eastAsia="宋体"/>
      <w:sz w:val="24"/>
      <w:szCs w:val="84"/>
    </w:rPr>
  </w:style>
  <w:style w:type="character" w:customStyle="1" w:styleId="153">
    <w:name w:val="页脚 Char1"/>
    <w:autoRedefine/>
    <w:semiHidden/>
    <w:qFormat/>
    <w:uiPriority w:val="99"/>
    <w:rPr>
      <w:sz w:val="18"/>
      <w:szCs w:val="18"/>
    </w:rPr>
  </w:style>
  <w:style w:type="character" w:customStyle="1" w:styleId="154">
    <w:name w:val="正文文本 (5)_"/>
    <w:link w:val="155"/>
    <w:autoRedefine/>
    <w:qFormat/>
    <w:uiPriority w:val="0"/>
    <w:rPr>
      <w:rFonts w:ascii="MingLiU" w:hAnsi="MingLiU" w:eastAsia="MingLiU" w:cs="MingLiU"/>
      <w:shd w:val="clear" w:color="auto" w:fill="FFFFFF"/>
    </w:rPr>
  </w:style>
  <w:style w:type="paragraph" w:customStyle="1" w:styleId="155">
    <w:name w:val="正文文本 (5)"/>
    <w:basedOn w:val="1"/>
    <w:link w:val="154"/>
    <w:autoRedefine/>
    <w:qFormat/>
    <w:uiPriority w:val="0"/>
    <w:pPr>
      <w:shd w:val="clear" w:color="auto" w:fill="FFFFFF"/>
      <w:spacing w:before="5100" w:line="0" w:lineRule="atLeast"/>
      <w:jc w:val="left"/>
    </w:pPr>
    <w:rPr>
      <w:rFonts w:ascii="MingLiU" w:hAnsi="MingLiU" w:eastAsia="MingLiU" w:cs="MingLiU"/>
      <w:szCs w:val="22"/>
    </w:rPr>
  </w:style>
  <w:style w:type="character" w:customStyle="1" w:styleId="156">
    <w:name w:val="正文文本 (2) + 间距 0 pt"/>
    <w:autoRedefine/>
    <w:qFormat/>
    <w:uiPriority w:val="0"/>
    <w:rPr>
      <w:rFonts w:ascii="MingLiU" w:hAnsi="MingLiU" w:eastAsia="MingLiU" w:cs="MingLiU"/>
      <w:color w:val="000000"/>
      <w:spacing w:val="0"/>
      <w:w w:val="100"/>
      <w:position w:val="0"/>
      <w:sz w:val="22"/>
      <w:szCs w:val="22"/>
      <w:u w:val="none"/>
      <w:shd w:val="clear" w:color="auto" w:fill="FFFFFF"/>
      <w:lang w:val="zh-CN" w:eastAsia="zh-CN" w:bidi="ar-SA"/>
    </w:rPr>
  </w:style>
  <w:style w:type="character" w:customStyle="1" w:styleId="157">
    <w:name w:val="style6"/>
    <w:basedOn w:val="56"/>
    <w:autoRedefine/>
    <w:qFormat/>
    <w:uiPriority w:val="0"/>
  </w:style>
  <w:style w:type="character" w:customStyle="1" w:styleId="158">
    <w:name w:val="Date Char"/>
    <w:autoRedefine/>
    <w:qFormat/>
    <w:uiPriority w:val="0"/>
    <w:rPr>
      <w:rFonts w:eastAsia="宋体"/>
      <w:kern w:val="2"/>
      <w:sz w:val="21"/>
      <w:szCs w:val="24"/>
      <w:lang w:val="en-US" w:eastAsia="zh-CN" w:bidi="ar-SA"/>
    </w:rPr>
  </w:style>
  <w:style w:type="character" w:customStyle="1" w:styleId="159">
    <w:name w:val="正文文本 (2) + 6.5 pt"/>
    <w:autoRedefine/>
    <w:qFormat/>
    <w:uiPriority w:val="0"/>
    <w:rPr>
      <w:rFonts w:ascii="MingLiU" w:hAnsi="MingLiU" w:eastAsia="MingLiU" w:cs="MingLiU"/>
      <w:i/>
      <w:iCs/>
      <w:color w:val="000000"/>
      <w:spacing w:val="0"/>
      <w:w w:val="100"/>
      <w:position w:val="0"/>
      <w:sz w:val="13"/>
      <w:szCs w:val="13"/>
      <w:u w:val="none"/>
      <w:shd w:val="clear" w:color="auto" w:fill="FFFFFF"/>
      <w:lang w:val="en-US" w:eastAsia="en-US" w:bidi="ar-SA"/>
    </w:rPr>
  </w:style>
  <w:style w:type="character" w:customStyle="1" w:styleId="160">
    <w:name w:val="标题 1 Char_1"/>
    <w:link w:val="161"/>
    <w:autoRedefine/>
    <w:qFormat/>
    <w:uiPriority w:val="99"/>
    <w:rPr>
      <w:rFonts w:ascii="Calibri" w:hAnsi="Calibri"/>
      <w:b/>
      <w:bCs/>
      <w:kern w:val="44"/>
      <w:sz w:val="32"/>
      <w:szCs w:val="44"/>
    </w:rPr>
  </w:style>
  <w:style w:type="paragraph" w:customStyle="1" w:styleId="161">
    <w:name w:val="标题 1_1"/>
    <w:basedOn w:val="162"/>
    <w:next w:val="162"/>
    <w:link w:val="160"/>
    <w:autoRedefine/>
    <w:qFormat/>
    <w:uiPriority w:val="99"/>
    <w:pPr>
      <w:keepNext/>
      <w:keepLines/>
      <w:spacing w:line="360" w:lineRule="auto"/>
      <w:outlineLvl w:val="0"/>
    </w:pPr>
    <w:rPr>
      <w:b/>
      <w:bCs/>
      <w:kern w:val="44"/>
      <w:sz w:val="32"/>
      <w:szCs w:val="44"/>
    </w:rPr>
  </w:style>
  <w:style w:type="paragraph" w:customStyle="1" w:styleId="162">
    <w:name w:val="正文_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3">
    <w:name w:val="标题 4_1"/>
    <w:basedOn w:val="162"/>
    <w:next w:val="162"/>
    <w:qFormat/>
    <w:uiPriority w:val="99"/>
    <w:pPr>
      <w:keepNext/>
      <w:keepLines/>
      <w:spacing w:before="280" w:after="290" w:line="376" w:lineRule="auto"/>
      <w:outlineLvl w:val="3"/>
    </w:pPr>
    <w:rPr>
      <w:rFonts w:ascii="Arial" w:hAnsi="Arial" w:eastAsia="黑体"/>
      <w:b/>
      <w:bCs/>
      <w:sz w:val="28"/>
      <w:szCs w:val="28"/>
    </w:rPr>
  </w:style>
  <w:style w:type="character" w:customStyle="1" w:styleId="164">
    <w:name w:val="不明显参考3"/>
    <w:autoRedefine/>
    <w:qFormat/>
    <w:uiPriority w:val="0"/>
    <w:rPr>
      <w:smallCaps/>
      <w:color w:val="C0504D"/>
      <w:u w:val="single"/>
    </w:rPr>
  </w:style>
  <w:style w:type="character" w:customStyle="1" w:styleId="165">
    <w:name w:val="正文小标题 Char"/>
    <w:link w:val="166"/>
    <w:autoRedefine/>
    <w:qFormat/>
    <w:uiPriority w:val="0"/>
    <w:rPr>
      <w:rFonts w:hAnsi="宋体"/>
      <w:sz w:val="21"/>
      <w:szCs w:val="21"/>
    </w:rPr>
  </w:style>
  <w:style w:type="paragraph" w:customStyle="1" w:styleId="166">
    <w:name w:val="正文小标题"/>
    <w:basedOn w:val="2"/>
    <w:link w:val="165"/>
    <w:autoRedefine/>
    <w:qFormat/>
    <w:uiPriority w:val="0"/>
    <w:pPr>
      <w:keepLines w:val="0"/>
      <w:spacing w:before="240" w:after="240" w:line="420" w:lineRule="exact"/>
    </w:pPr>
    <w:rPr>
      <w:rFonts w:hAnsi="宋体"/>
      <w:b w:val="0"/>
      <w:bCs w:val="0"/>
      <w:kern w:val="0"/>
      <w:sz w:val="21"/>
      <w:szCs w:val="21"/>
    </w:rPr>
  </w:style>
  <w:style w:type="character" w:customStyle="1" w:styleId="167">
    <w:name w:val="正文文本 (42)_"/>
    <w:link w:val="168"/>
    <w:autoRedefine/>
    <w:qFormat/>
    <w:locked/>
    <w:uiPriority w:val="0"/>
    <w:rPr>
      <w:rFonts w:ascii="MingLiU" w:hAnsi="MingLiU" w:eastAsia="MingLiU"/>
      <w:b/>
      <w:bCs/>
      <w:shd w:val="clear" w:color="auto" w:fill="FFFFFF"/>
    </w:rPr>
  </w:style>
  <w:style w:type="paragraph" w:customStyle="1" w:styleId="168">
    <w:name w:val="正文文本 (42)1"/>
    <w:basedOn w:val="1"/>
    <w:link w:val="167"/>
    <w:autoRedefine/>
    <w:qFormat/>
    <w:uiPriority w:val="0"/>
    <w:pPr>
      <w:shd w:val="clear" w:color="auto" w:fill="FFFFFF"/>
      <w:spacing w:line="398" w:lineRule="exact"/>
      <w:jc w:val="distribute"/>
    </w:pPr>
    <w:rPr>
      <w:rFonts w:ascii="MingLiU" w:hAnsi="MingLiU" w:eastAsia="MingLiU" w:cs="Times New Roman"/>
      <w:b/>
      <w:bCs/>
      <w:szCs w:val="22"/>
    </w:rPr>
  </w:style>
  <w:style w:type="character" w:customStyle="1" w:styleId="169">
    <w:name w:val="T10 Char"/>
    <w:link w:val="170"/>
    <w:autoRedefine/>
    <w:qFormat/>
    <w:uiPriority w:val="0"/>
    <w:rPr>
      <w:rFonts w:ascii="宋体" w:hAnsi="宋体"/>
      <w:b/>
      <w:sz w:val="28"/>
    </w:rPr>
  </w:style>
  <w:style w:type="paragraph" w:customStyle="1" w:styleId="170">
    <w:name w:val="T10"/>
    <w:basedOn w:val="1"/>
    <w:link w:val="169"/>
    <w:autoRedefine/>
    <w:qFormat/>
    <w:uiPriority w:val="0"/>
    <w:pPr>
      <w:adjustRightInd w:val="0"/>
      <w:spacing w:line="500" w:lineRule="exact"/>
      <w:ind w:left="10" w:leftChars="5" w:firstLine="561" w:firstLineChars="200"/>
      <w:jc w:val="center"/>
      <w:textAlignment w:val="baseline"/>
    </w:pPr>
    <w:rPr>
      <w:rFonts w:ascii="宋体" w:hAnsi="宋体"/>
      <w:b/>
      <w:kern w:val="0"/>
      <w:sz w:val="28"/>
      <w:szCs w:val="20"/>
    </w:rPr>
  </w:style>
  <w:style w:type="character" w:customStyle="1" w:styleId="171">
    <w:name w:val="ca-11"/>
    <w:autoRedefine/>
    <w:qFormat/>
    <w:uiPriority w:val="0"/>
    <w:rPr>
      <w:rFonts w:ascii="宋体" w:eastAsia="宋体"/>
      <w:sz w:val="21"/>
      <w:szCs w:val="21"/>
    </w:rPr>
  </w:style>
  <w:style w:type="character" w:customStyle="1" w:styleId="172">
    <w:name w:val="Char Char24"/>
    <w:autoRedefine/>
    <w:qFormat/>
    <w:uiPriority w:val="0"/>
    <w:rPr>
      <w:rFonts w:eastAsia="宋体"/>
      <w:b/>
      <w:bCs/>
      <w:kern w:val="44"/>
      <w:sz w:val="32"/>
      <w:szCs w:val="44"/>
      <w:lang w:val="en-US" w:eastAsia="zh-CN" w:bidi="ar-SA"/>
    </w:rPr>
  </w:style>
  <w:style w:type="character" w:customStyle="1" w:styleId="173">
    <w:name w:val="Char Char3"/>
    <w:autoRedefine/>
    <w:qFormat/>
    <w:uiPriority w:val="0"/>
    <w:rPr>
      <w:rFonts w:eastAsia="宋体"/>
      <w:kern w:val="2"/>
      <w:sz w:val="21"/>
      <w:szCs w:val="24"/>
      <w:lang w:val="en-US" w:eastAsia="zh-CN" w:bidi="ar-SA"/>
    </w:rPr>
  </w:style>
  <w:style w:type="character" w:customStyle="1" w:styleId="174">
    <w:name w:val="正文文本 (2) + 5.5 pt1"/>
    <w:autoRedefine/>
    <w:qFormat/>
    <w:uiPriority w:val="0"/>
    <w:rPr>
      <w:rFonts w:ascii="MingLiU" w:hAnsi="MingLiU" w:eastAsia="MingLiU" w:cs="MingLiU"/>
      <w:i/>
      <w:iCs/>
      <w:color w:val="000000"/>
      <w:spacing w:val="-20"/>
      <w:w w:val="100"/>
      <w:position w:val="0"/>
      <w:sz w:val="11"/>
      <w:szCs w:val="11"/>
      <w:u w:val="none"/>
      <w:shd w:val="clear" w:color="auto" w:fill="FFFFFF"/>
      <w:lang w:val="zh-CN" w:eastAsia="zh-CN"/>
    </w:rPr>
  </w:style>
  <w:style w:type="character" w:customStyle="1" w:styleId="175">
    <w:name w:val="Comment Text Char"/>
    <w:autoRedefine/>
    <w:qFormat/>
    <w:uiPriority w:val="0"/>
    <w:rPr>
      <w:rFonts w:cs="Times New Roman"/>
      <w:sz w:val="24"/>
      <w:szCs w:val="24"/>
    </w:rPr>
  </w:style>
  <w:style w:type="character" w:customStyle="1" w:styleId="176">
    <w:name w:val="不明显参考1"/>
    <w:autoRedefine/>
    <w:qFormat/>
    <w:uiPriority w:val="31"/>
    <w:rPr>
      <w:smallCaps/>
      <w:color w:val="C0504D"/>
      <w:u w:val="single"/>
    </w:rPr>
  </w:style>
  <w:style w:type="character" w:customStyle="1" w:styleId="177">
    <w:name w:val="标题 Char2"/>
    <w:autoRedefine/>
    <w:qFormat/>
    <w:uiPriority w:val="0"/>
    <w:rPr>
      <w:rFonts w:ascii="Cambria" w:hAnsi="Cambria" w:eastAsia="宋体" w:cs="Times New Roman"/>
      <w:b/>
      <w:bCs/>
      <w:sz w:val="32"/>
      <w:szCs w:val="32"/>
    </w:rPr>
  </w:style>
  <w:style w:type="character" w:customStyle="1" w:styleId="178">
    <w:name w:val="引用 Char1"/>
    <w:autoRedefine/>
    <w:qFormat/>
    <w:uiPriority w:val="29"/>
    <w:rPr>
      <w:rFonts w:ascii="Times New Roman" w:hAnsi="Times New Roman" w:eastAsia="宋体" w:cs="Times New Roman"/>
      <w:i/>
      <w:iCs/>
      <w:color w:val="000000"/>
      <w:szCs w:val="24"/>
    </w:rPr>
  </w:style>
  <w:style w:type="character" w:customStyle="1" w:styleId="179">
    <w:name w:val="纯文本 Char1"/>
    <w:autoRedefine/>
    <w:qFormat/>
    <w:uiPriority w:val="0"/>
    <w:rPr>
      <w:rFonts w:ascii="宋体" w:hAnsi="Courier New" w:eastAsia="宋体" w:cs="Courier New"/>
      <w:szCs w:val="21"/>
    </w:rPr>
  </w:style>
  <w:style w:type="character" w:customStyle="1" w:styleId="180">
    <w:name w:val="Char Char6"/>
    <w:autoRedefine/>
    <w:qFormat/>
    <w:uiPriority w:val="0"/>
    <w:rPr>
      <w:rFonts w:ascii="Arial" w:hAnsi="Arial" w:eastAsia="宋体"/>
      <w:b/>
      <w:bCs/>
      <w:kern w:val="2"/>
      <w:sz w:val="21"/>
      <w:szCs w:val="28"/>
      <w:lang w:val="en-US" w:eastAsia="zh-CN" w:bidi="ar-SA"/>
    </w:rPr>
  </w:style>
  <w:style w:type="character" w:customStyle="1" w:styleId="181">
    <w:name w:val="明显强调1"/>
    <w:autoRedefine/>
    <w:qFormat/>
    <w:uiPriority w:val="21"/>
    <w:rPr>
      <w:b/>
      <w:bCs/>
      <w:i/>
      <w:iCs/>
      <w:color w:val="4F81BD"/>
    </w:rPr>
  </w:style>
  <w:style w:type="character" w:customStyle="1" w:styleId="182">
    <w:name w:val="Comment Subject Char"/>
    <w:autoRedefine/>
    <w:qFormat/>
    <w:uiPriority w:val="0"/>
    <w:rPr>
      <w:b/>
      <w:sz w:val="24"/>
      <w:lang w:bidi="ar-SA"/>
    </w:rPr>
  </w:style>
  <w:style w:type="character" w:customStyle="1" w:styleId="183">
    <w:name w:val="Char Char"/>
    <w:autoRedefine/>
    <w:qFormat/>
    <w:uiPriority w:val="0"/>
    <w:rPr>
      <w:rFonts w:ascii="Cambria" w:hAnsi="Cambria"/>
      <w:b/>
      <w:bCs/>
      <w:kern w:val="2"/>
      <w:sz w:val="32"/>
      <w:szCs w:val="32"/>
      <w:lang w:bidi="ar-SA"/>
    </w:rPr>
  </w:style>
  <w:style w:type="character" w:customStyle="1" w:styleId="184">
    <w:name w:val="正文文本 (2) + 4 pt1"/>
    <w:autoRedefine/>
    <w:qFormat/>
    <w:uiPriority w:val="0"/>
    <w:rPr>
      <w:rFonts w:ascii="MingLiU" w:hAnsi="MingLiU" w:eastAsia="MingLiU" w:cs="MingLiU"/>
      <w:color w:val="000000"/>
      <w:spacing w:val="0"/>
      <w:w w:val="100"/>
      <w:position w:val="0"/>
      <w:sz w:val="8"/>
      <w:szCs w:val="8"/>
      <w:u w:val="none"/>
      <w:shd w:val="clear" w:color="auto" w:fill="FFFFFF"/>
      <w:lang w:val="zh-CN" w:eastAsia="zh-CN"/>
    </w:rPr>
  </w:style>
  <w:style w:type="character" w:customStyle="1" w:styleId="185">
    <w:name w:val="明显引用 Char2"/>
    <w:autoRedefine/>
    <w:qFormat/>
    <w:uiPriority w:val="30"/>
    <w:rPr>
      <w:b/>
      <w:bCs/>
      <w:i/>
      <w:iCs/>
      <w:color w:val="4F81BD"/>
      <w:sz w:val="21"/>
    </w:rPr>
  </w:style>
  <w:style w:type="character" w:customStyle="1" w:styleId="186">
    <w:name w:val="正文文本缩进 2 Char1"/>
    <w:autoRedefine/>
    <w:semiHidden/>
    <w:qFormat/>
    <w:uiPriority w:val="99"/>
    <w:rPr>
      <w:sz w:val="21"/>
    </w:rPr>
  </w:style>
  <w:style w:type="character" w:customStyle="1" w:styleId="187">
    <w:name w:val="明显参考1"/>
    <w:autoRedefine/>
    <w:qFormat/>
    <w:uiPriority w:val="32"/>
    <w:rPr>
      <w:b/>
      <w:bCs/>
      <w:smallCaps/>
      <w:color w:val="C0504D"/>
      <w:spacing w:val="5"/>
      <w:u w:val="single"/>
    </w:rPr>
  </w:style>
  <w:style w:type="character" w:customStyle="1" w:styleId="188">
    <w:name w:val="正文文本 (30) + CordiaUPC"/>
    <w:autoRedefine/>
    <w:qFormat/>
    <w:uiPriority w:val="0"/>
    <w:rPr>
      <w:rFonts w:ascii="CordiaUPC" w:hAnsi="CordiaUPC" w:eastAsia="Times New Roman" w:cs="CordiaUPC"/>
      <w:b/>
      <w:bCs/>
      <w:color w:val="000000"/>
      <w:spacing w:val="0"/>
      <w:w w:val="100"/>
      <w:position w:val="0"/>
      <w:sz w:val="34"/>
      <w:szCs w:val="34"/>
      <w:lang w:val="en-US" w:eastAsia="en-US" w:bidi="ar-SA"/>
    </w:rPr>
  </w:style>
  <w:style w:type="character" w:customStyle="1" w:styleId="189">
    <w:name w:val="正文文本 (2) + 间距 -1 pt"/>
    <w:autoRedefine/>
    <w:qFormat/>
    <w:uiPriority w:val="0"/>
    <w:rPr>
      <w:rFonts w:ascii="MingLiU" w:hAnsi="MingLiU" w:eastAsia="MingLiU" w:cs="MingLiU"/>
      <w:color w:val="000000"/>
      <w:spacing w:val="-20"/>
      <w:w w:val="100"/>
      <w:position w:val="0"/>
      <w:sz w:val="22"/>
      <w:szCs w:val="22"/>
      <w:u w:val="none"/>
      <w:shd w:val="clear" w:color="auto" w:fill="FFFFFF"/>
      <w:lang w:val="zh-CN" w:eastAsia="zh-CN" w:bidi="zh-CN"/>
    </w:rPr>
  </w:style>
  <w:style w:type="character" w:customStyle="1" w:styleId="190">
    <w:name w:val="正文文本 (2) + Impact1"/>
    <w:autoRedefine/>
    <w:qFormat/>
    <w:uiPriority w:val="0"/>
    <w:rPr>
      <w:rFonts w:ascii="Impact" w:hAnsi="Impact" w:eastAsia="Times New Roman" w:cs="Impact"/>
      <w:color w:val="000000"/>
      <w:spacing w:val="0"/>
      <w:w w:val="100"/>
      <w:position w:val="0"/>
      <w:sz w:val="16"/>
      <w:szCs w:val="16"/>
      <w:u w:val="none"/>
      <w:shd w:val="clear" w:color="auto" w:fill="FFFFFF"/>
      <w:lang w:val="en-US" w:eastAsia="en-US"/>
    </w:rPr>
  </w:style>
  <w:style w:type="character" w:customStyle="1" w:styleId="191">
    <w:name w:val="书籍标题2"/>
    <w:autoRedefine/>
    <w:qFormat/>
    <w:uiPriority w:val="33"/>
    <w:rPr>
      <w:b/>
      <w:bCs/>
      <w:smallCaps/>
      <w:spacing w:val="5"/>
    </w:rPr>
  </w:style>
  <w:style w:type="character" w:customStyle="1" w:styleId="192">
    <w:name w:val="Header Char"/>
    <w:autoRedefine/>
    <w:qFormat/>
    <w:uiPriority w:val="0"/>
    <w:rPr>
      <w:rFonts w:eastAsia="宋体"/>
      <w:kern w:val="2"/>
      <w:sz w:val="18"/>
      <w:szCs w:val="18"/>
      <w:lang w:val="en-US" w:eastAsia="zh-CN" w:bidi="ar-SA"/>
    </w:rPr>
  </w:style>
  <w:style w:type="character" w:customStyle="1" w:styleId="193">
    <w:name w:val="样式 宋体 小四 加粗 黑色"/>
    <w:autoRedefine/>
    <w:qFormat/>
    <w:uiPriority w:val="0"/>
    <w:rPr>
      <w:rFonts w:ascii="宋体" w:hAnsi="宋体"/>
      <w:b/>
      <w:bCs/>
      <w:color w:val="000000"/>
      <w:sz w:val="24"/>
    </w:rPr>
  </w:style>
  <w:style w:type="character" w:customStyle="1" w:styleId="194">
    <w:name w:val="明显引用 Char3"/>
    <w:autoRedefine/>
    <w:qFormat/>
    <w:uiPriority w:val="99"/>
    <w:rPr>
      <w:b/>
      <w:bCs/>
      <w:i/>
      <w:iCs/>
      <w:color w:val="4F81BD"/>
      <w:kern w:val="2"/>
      <w:sz w:val="21"/>
      <w:szCs w:val="24"/>
    </w:rPr>
  </w:style>
  <w:style w:type="character" w:customStyle="1" w:styleId="195">
    <w:name w:val="正文文本 (15)_"/>
    <w:link w:val="196"/>
    <w:autoRedefine/>
    <w:qFormat/>
    <w:locked/>
    <w:uiPriority w:val="0"/>
    <w:rPr>
      <w:rFonts w:ascii="MingLiU" w:hAnsi="MingLiU" w:eastAsia="MingLiU"/>
      <w:b/>
      <w:bCs/>
      <w:sz w:val="28"/>
      <w:szCs w:val="28"/>
      <w:shd w:val="clear" w:color="auto" w:fill="FFFFFF"/>
    </w:rPr>
  </w:style>
  <w:style w:type="paragraph" w:customStyle="1" w:styleId="196">
    <w:name w:val="正文文本 (15)"/>
    <w:basedOn w:val="1"/>
    <w:link w:val="195"/>
    <w:autoRedefine/>
    <w:qFormat/>
    <w:uiPriority w:val="0"/>
    <w:pPr>
      <w:shd w:val="clear" w:color="auto" w:fill="FFFFFF"/>
      <w:spacing w:before="120" w:after="420" w:line="240" w:lineRule="atLeast"/>
      <w:jc w:val="distribute"/>
    </w:pPr>
    <w:rPr>
      <w:rFonts w:ascii="MingLiU" w:hAnsi="MingLiU" w:eastAsia="MingLiU" w:cs="Times New Roman"/>
      <w:b/>
      <w:bCs/>
      <w:sz w:val="28"/>
      <w:szCs w:val="28"/>
    </w:rPr>
  </w:style>
  <w:style w:type="character" w:customStyle="1" w:styleId="197">
    <w:name w:val="正文文本 (19)_"/>
    <w:link w:val="198"/>
    <w:autoRedefine/>
    <w:qFormat/>
    <w:uiPriority w:val="0"/>
    <w:rPr>
      <w:rFonts w:ascii="MingLiU" w:hAnsi="MingLiU" w:eastAsia="MingLiU" w:cs="MingLiU"/>
      <w:b/>
      <w:bCs/>
      <w:spacing w:val="10"/>
      <w:sz w:val="22"/>
      <w:shd w:val="clear" w:color="auto" w:fill="FFFFFF"/>
    </w:rPr>
  </w:style>
  <w:style w:type="paragraph" w:customStyle="1" w:styleId="198">
    <w:name w:val="正文文本 (19)"/>
    <w:basedOn w:val="1"/>
    <w:link w:val="197"/>
    <w:autoRedefine/>
    <w:qFormat/>
    <w:uiPriority w:val="0"/>
    <w:pPr>
      <w:shd w:val="clear" w:color="auto" w:fill="FFFFFF"/>
      <w:spacing w:line="559" w:lineRule="exact"/>
      <w:jc w:val="left"/>
    </w:pPr>
    <w:rPr>
      <w:rFonts w:ascii="MingLiU" w:hAnsi="MingLiU" w:eastAsia="MingLiU" w:cs="MingLiU"/>
      <w:b/>
      <w:bCs/>
      <w:spacing w:val="10"/>
      <w:sz w:val="22"/>
      <w:szCs w:val="22"/>
    </w:rPr>
  </w:style>
  <w:style w:type="character" w:customStyle="1" w:styleId="199">
    <w:name w:val="正文文本 (2) + Times New Roman"/>
    <w:autoRedefine/>
    <w:qFormat/>
    <w:uiPriority w:val="0"/>
    <w:rPr>
      <w:rFonts w:ascii="Times New Roman" w:hAnsi="Times New Roman" w:eastAsia="Times New Roman" w:cs="Times New Roman"/>
      <w:color w:val="000000"/>
      <w:spacing w:val="0"/>
      <w:w w:val="100"/>
      <w:position w:val="0"/>
      <w:sz w:val="24"/>
      <w:szCs w:val="24"/>
      <w:u w:val="none"/>
      <w:shd w:val="clear" w:color="auto" w:fill="FFFFFF"/>
      <w:lang w:val="en-US" w:eastAsia="en-US" w:bidi="en-US"/>
    </w:rPr>
  </w:style>
  <w:style w:type="character" w:customStyle="1" w:styleId="200">
    <w:name w:val="小标题无样式 Char"/>
    <w:link w:val="201"/>
    <w:autoRedefine/>
    <w:qFormat/>
    <w:uiPriority w:val="0"/>
    <w:rPr>
      <w:rFonts w:ascii="宋体" w:hAnsi="宋体"/>
      <w:b/>
      <w:sz w:val="24"/>
      <w:szCs w:val="21"/>
    </w:rPr>
  </w:style>
  <w:style w:type="paragraph" w:customStyle="1" w:styleId="201">
    <w:name w:val="小标题无样式"/>
    <w:basedOn w:val="119"/>
    <w:link w:val="200"/>
    <w:autoRedefine/>
    <w:qFormat/>
    <w:uiPriority w:val="0"/>
    <w:pPr>
      <w:ind w:firstLine="0" w:firstLineChars="0"/>
    </w:pPr>
    <w:rPr>
      <w:b/>
      <w:kern w:val="0"/>
      <w:sz w:val="24"/>
    </w:rPr>
  </w:style>
  <w:style w:type="character" w:customStyle="1" w:styleId="202">
    <w:name w:val="样式 Char Char"/>
    <w:autoRedefine/>
    <w:qFormat/>
    <w:uiPriority w:val="0"/>
    <w:rPr>
      <w:rFonts w:ascii="宋体" w:hAnsi="宋体" w:eastAsia="宋体" w:cs="宋体"/>
      <w:sz w:val="24"/>
      <w:szCs w:val="24"/>
      <w:lang w:val="en-US" w:eastAsia="zh-CN" w:bidi="ar-SA"/>
    </w:rPr>
  </w:style>
  <w:style w:type="character" w:customStyle="1" w:styleId="203">
    <w:name w:val="Char Char2"/>
    <w:autoRedefine/>
    <w:qFormat/>
    <w:uiPriority w:val="0"/>
    <w:rPr>
      <w:rFonts w:ascii="宋体" w:hAnsi="Courier New" w:eastAsia="宋体"/>
      <w:kern w:val="2"/>
      <w:sz w:val="21"/>
      <w:szCs w:val="24"/>
      <w:lang w:val="en-US" w:eastAsia="zh-CN" w:bidi="ar-SA"/>
    </w:rPr>
  </w:style>
  <w:style w:type="character" w:customStyle="1" w:styleId="204">
    <w:name w:val="明显参考2"/>
    <w:autoRedefine/>
    <w:qFormat/>
    <w:uiPriority w:val="32"/>
    <w:rPr>
      <w:b/>
      <w:bCs/>
      <w:smallCaps/>
      <w:color w:val="C0504D"/>
      <w:spacing w:val="5"/>
      <w:u w:val="single"/>
    </w:rPr>
  </w:style>
  <w:style w:type="character" w:customStyle="1" w:styleId="205">
    <w:name w:val="para1"/>
    <w:autoRedefine/>
    <w:qFormat/>
    <w:uiPriority w:val="0"/>
    <w:rPr>
      <w:rFonts w:hint="default" w:ascii="Arial" w:hAnsi="Arial" w:cs="Arial"/>
      <w:sz w:val="18"/>
      <w:szCs w:val="18"/>
    </w:rPr>
  </w:style>
  <w:style w:type="character" w:customStyle="1" w:styleId="206">
    <w:name w:val="明显强调2"/>
    <w:autoRedefine/>
    <w:qFormat/>
    <w:uiPriority w:val="21"/>
    <w:rPr>
      <w:b/>
      <w:bCs/>
      <w:i/>
      <w:iCs/>
      <w:color w:val="4F81BD"/>
    </w:rPr>
  </w:style>
  <w:style w:type="character" w:customStyle="1" w:styleId="207">
    <w:name w:val="标题 #7 + 间距 0 pt"/>
    <w:autoRedefine/>
    <w:qFormat/>
    <w:uiPriority w:val="0"/>
    <w:rPr>
      <w:rFonts w:ascii="MingLiU" w:hAnsi="MingLiU" w:eastAsia="MingLiU" w:cs="MingLiU"/>
      <w:color w:val="000000"/>
      <w:spacing w:val="0"/>
      <w:w w:val="100"/>
      <w:position w:val="0"/>
      <w:sz w:val="26"/>
      <w:szCs w:val="26"/>
      <w:u w:val="none"/>
      <w:shd w:val="clear" w:color="auto" w:fill="FFFFFF"/>
      <w:lang w:val="zh-CN" w:eastAsia="zh-CN"/>
    </w:rPr>
  </w:style>
  <w:style w:type="character" w:customStyle="1" w:styleId="208">
    <w:name w:val="Intense Reference"/>
    <w:autoRedefine/>
    <w:qFormat/>
    <w:uiPriority w:val="0"/>
    <w:rPr>
      <w:b/>
      <w:bCs/>
      <w:smallCaps/>
      <w:color w:val="C0504D"/>
      <w:spacing w:val="5"/>
      <w:u w:val="single"/>
    </w:rPr>
  </w:style>
  <w:style w:type="character" w:customStyle="1" w:styleId="209">
    <w:name w:val="正文文本 (14)_"/>
    <w:link w:val="210"/>
    <w:autoRedefine/>
    <w:qFormat/>
    <w:uiPriority w:val="0"/>
    <w:rPr>
      <w:rFonts w:ascii="MingLiU" w:hAnsi="MingLiU" w:eastAsia="MingLiU" w:cs="MingLiU"/>
      <w:sz w:val="18"/>
      <w:szCs w:val="18"/>
      <w:shd w:val="clear" w:color="auto" w:fill="FFFFFF"/>
    </w:rPr>
  </w:style>
  <w:style w:type="paragraph" w:customStyle="1" w:styleId="210">
    <w:name w:val="正文文本 (14)"/>
    <w:basedOn w:val="1"/>
    <w:link w:val="209"/>
    <w:autoRedefine/>
    <w:qFormat/>
    <w:uiPriority w:val="0"/>
    <w:pPr>
      <w:shd w:val="clear" w:color="auto" w:fill="FFFFFF"/>
      <w:spacing w:before="300" w:line="300" w:lineRule="exact"/>
      <w:jc w:val="distribute"/>
    </w:pPr>
    <w:rPr>
      <w:rFonts w:ascii="MingLiU" w:hAnsi="MingLiU" w:eastAsia="MingLiU" w:cs="MingLiU"/>
      <w:sz w:val="18"/>
      <w:szCs w:val="18"/>
    </w:rPr>
  </w:style>
  <w:style w:type="character" w:customStyle="1" w:styleId="211">
    <w:name w:val="正文文本 (31) + CordiaUPC"/>
    <w:autoRedefine/>
    <w:qFormat/>
    <w:uiPriority w:val="0"/>
    <w:rPr>
      <w:rFonts w:ascii="CordiaUPC" w:hAnsi="CordiaUPC" w:eastAsia="Times New Roman" w:cs="CordiaUPC"/>
      <w:b/>
      <w:bCs/>
      <w:color w:val="000000"/>
      <w:spacing w:val="0"/>
      <w:w w:val="100"/>
      <w:position w:val="0"/>
      <w:sz w:val="34"/>
      <w:szCs w:val="34"/>
      <w:lang w:val="en-US" w:eastAsia="en-US" w:bidi="ar-SA"/>
    </w:rPr>
  </w:style>
  <w:style w:type="character" w:customStyle="1" w:styleId="212">
    <w:name w:val="Intense Emphasis"/>
    <w:autoRedefine/>
    <w:qFormat/>
    <w:uiPriority w:val="0"/>
    <w:rPr>
      <w:b/>
      <w:bCs/>
      <w:i/>
      <w:iCs/>
      <w:color w:val="4F81BD"/>
    </w:rPr>
  </w:style>
  <w:style w:type="character" w:customStyle="1" w:styleId="213">
    <w:name w:val="页眉或页脚_"/>
    <w:link w:val="214"/>
    <w:autoRedefine/>
    <w:qFormat/>
    <w:locked/>
    <w:uiPriority w:val="0"/>
    <w:rPr>
      <w:rFonts w:ascii="MingLiU" w:hAnsi="MingLiU" w:eastAsia="MingLiU"/>
      <w:spacing w:val="10"/>
      <w:shd w:val="clear" w:color="auto" w:fill="FFFFFF"/>
    </w:rPr>
  </w:style>
  <w:style w:type="paragraph" w:customStyle="1" w:styleId="214">
    <w:name w:val="页眉或页脚1"/>
    <w:basedOn w:val="1"/>
    <w:link w:val="213"/>
    <w:autoRedefine/>
    <w:qFormat/>
    <w:uiPriority w:val="0"/>
    <w:pPr>
      <w:shd w:val="clear" w:color="auto" w:fill="FFFFFF"/>
      <w:spacing w:line="240" w:lineRule="atLeast"/>
      <w:jc w:val="left"/>
    </w:pPr>
    <w:rPr>
      <w:rFonts w:ascii="MingLiU" w:hAnsi="MingLiU" w:eastAsia="MingLiU" w:cs="Times New Roman"/>
      <w:spacing w:val="10"/>
      <w:szCs w:val="22"/>
    </w:rPr>
  </w:style>
  <w:style w:type="character" w:customStyle="1" w:styleId="215">
    <w:name w:val="书籍标题1"/>
    <w:autoRedefine/>
    <w:qFormat/>
    <w:uiPriority w:val="33"/>
    <w:rPr>
      <w:b/>
      <w:bCs/>
      <w:smallCaps/>
      <w:spacing w:val="5"/>
    </w:rPr>
  </w:style>
  <w:style w:type="character" w:customStyle="1" w:styleId="216">
    <w:name w:val="标题 #8 + 间距 0 pt"/>
    <w:autoRedefine/>
    <w:qFormat/>
    <w:uiPriority w:val="0"/>
    <w:rPr>
      <w:rFonts w:ascii="MingLiU" w:hAnsi="MingLiU" w:eastAsia="MingLiU" w:cs="MingLiU"/>
      <w:b/>
      <w:bCs/>
      <w:color w:val="000000"/>
      <w:spacing w:val="0"/>
      <w:w w:val="100"/>
      <w:position w:val="0"/>
      <w:sz w:val="22"/>
      <w:szCs w:val="22"/>
      <w:u w:val="none"/>
      <w:lang w:val="zh-CN" w:eastAsia="zh-CN" w:bidi="zh-CN"/>
    </w:rPr>
  </w:style>
  <w:style w:type="character" w:customStyle="1" w:styleId="217">
    <w:name w:val="标题 3 Char Char"/>
    <w:autoRedefine/>
    <w:qFormat/>
    <w:uiPriority w:val="0"/>
    <w:rPr>
      <w:rFonts w:eastAsia="宋体"/>
      <w:b/>
      <w:bCs/>
      <w:kern w:val="2"/>
      <w:sz w:val="32"/>
      <w:szCs w:val="32"/>
      <w:lang w:val="en-US" w:eastAsia="zh-CN" w:bidi="ar-SA"/>
    </w:rPr>
  </w:style>
  <w:style w:type="character" w:customStyle="1" w:styleId="218">
    <w:name w:val="en"/>
    <w:basedOn w:val="56"/>
    <w:autoRedefine/>
    <w:qFormat/>
    <w:uiPriority w:val="0"/>
  </w:style>
  <w:style w:type="character" w:customStyle="1" w:styleId="219">
    <w:name w:val="Char Char7"/>
    <w:autoRedefine/>
    <w:qFormat/>
    <w:uiPriority w:val="0"/>
    <w:rPr>
      <w:rFonts w:eastAsia="宋体"/>
      <w:b/>
      <w:bCs/>
      <w:kern w:val="2"/>
      <w:sz w:val="24"/>
      <w:szCs w:val="32"/>
      <w:lang w:val="en-US" w:eastAsia="zh-CN" w:bidi="ar-SA"/>
    </w:rPr>
  </w:style>
  <w:style w:type="character" w:customStyle="1" w:styleId="220">
    <w:name w:val="Char Char23"/>
    <w:autoRedefine/>
    <w:qFormat/>
    <w:uiPriority w:val="0"/>
    <w:rPr>
      <w:rFonts w:eastAsia="宋体"/>
      <w:b/>
      <w:bCs/>
      <w:kern w:val="44"/>
      <w:sz w:val="32"/>
      <w:szCs w:val="44"/>
      <w:lang w:val="en-US" w:eastAsia="zh-CN" w:bidi="ar-SA"/>
    </w:rPr>
  </w:style>
  <w:style w:type="character" w:customStyle="1" w:styleId="221">
    <w:name w:val="批注文字 Char2"/>
    <w:autoRedefine/>
    <w:qFormat/>
    <w:uiPriority w:val="0"/>
    <w:rPr>
      <w:kern w:val="2"/>
      <w:sz w:val="21"/>
      <w:szCs w:val="24"/>
    </w:rPr>
  </w:style>
  <w:style w:type="character" w:customStyle="1" w:styleId="222">
    <w:name w:val="标题 2 Char"/>
    <w:autoRedefine/>
    <w:qFormat/>
    <w:uiPriority w:val="0"/>
    <w:rPr>
      <w:rFonts w:ascii="Cambria" w:hAnsi="Cambria" w:eastAsia="宋体" w:cs="Times New Roman"/>
      <w:b/>
      <w:bCs/>
      <w:sz w:val="32"/>
      <w:szCs w:val="32"/>
    </w:rPr>
  </w:style>
  <w:style w:type="character" w:customStyle="1" w:styleId="223">
    <w:name w:val="标题 #7 (5)_"/>
    <w:link w:val="224"/>
    <w:autoRedefine/>
    <w:qFormat/>
    <w:locked/>
    <w:uiPriority w:val="0"/>
    <w:rPr>
      <w:rFonts w:ascii="MingLiU" w:hAnsi="MingLiU" w:eastAsia="MingLiU"/>
      <w:spacing w:val="50"/>
      <w:sz w:val="30"/>
      <w:szCs w:val="30"/>
      <w:shd w:val="clear" w:color="auto" w:fill="FFFFFF"/>
    </w:rPr>
  </w:style>
  <w:style w:type="paragraph" w:customStyle="1" w:styleId="224">
    <w:name w:val="标题 #7 (5)"/>
    <w:basedOn w:val="1"/>
    <w:link w:val="223"/>
    <w:autoRedefine/>
    <w:qFormat/>
    <w:uiPriority w:val="0"/>
    <w:pPr>
      <w:shd w:val="clear" w:color="auto" w:fill="FFFFFF"/>
      <w:spacing w:line="559" w:lineRule="exact"/>
      <w:jc w:val="left"/>
      <w:outlineLvl w:val="6"/>
    </w:pPr>
    <w:rPr>
      <w:rFonts w:ascii="MingLiU" w:hAnsi="MingLiU" w:eastAsia="MingLiU" w:cs="Times New Roman"/>
      <w:spacing w:val="50"/>
      <w:sz w:val="30"/>
      <w:szCs w:val="30"/>
    </w:rPr>
  </w:style>
  <w:style w:type="character" w:customStyle="1" w:styleId="225">
    <w:name w:val="正文文本 (2) + 间距 3 pt"/>
    <w:autoRedefine/>
    <w:qFormat/>
    <w:uiPriority w:val="0"/>
    <w:rPr>
      <w:rFonts w:ascii="MingLiU" w:hAnsi="MingLiU" w:eastAsia="MingLiU" w:cs="MingLiU"/>
      <w:color w:val="000000"/>
      <w:spacing w:val="60"/>
      <w:w w:val="100"/>
      <w:position w:val="0"/>
      <w:sz w:val="22"/>
      <w:szCs w:val="22"/>
      <w:u w:val="none"/>
      <w:shd w:val="clear" w:color="auto" w:fill="FFFFFF"/>
      <w:lang w:val="zh-CN" w:eastAsia="zh-CN"/>
    </w:rPr>
  </w:style>
  <w:style w:type="character" w:customStyle="1" w:styleId="226">
    <w:name w:val="页眉或页脚 + Impact1"/>
    <w:autoRedefine/>
    <w:qFormat/>
    <w:uiPriority w:val="0"/>
    <w:rPr>
      <w:rFonts w:ascii="Impact" w:hAnsi="Impact" w:eastAsia="Times New Roman" w:cs="Impact"/>
      <w:color w:val="000000"/>
      <w:spacing w:val="0"/>
      <w:w w:val="100"/>
      <w:position w:val="0"/>
      <w:sz w:val="16"/>
      <w:szCs w:val="16"/>
      <w:u w:val="none"/>
      <w:lang w:val="zh-CN" w:eastAsia="zh-CN" w:bidi="ar-SA"/>
    </w:rPr>
  </w:style>
  <w:style w:type="character" w:customStyle="1" w:styleId="227">
    <w:name w:val="日期 Char1"/>
    <w:autoRedefine/>
    <w:qFormat/>
    <w:uiPriority w:val="0"/>
    <w:rPr>
      <w:rFonts w:ascii="Times New Roman" w:hAnsi="Times New Roman" w:eastAsia="宋体" w:cs="Times New Roman"/>
      <w:szCs w:val="24"/>
    </w:rPr>
  </w:style>
  <w:style w:type="character" w:customStyle="1" w:styleId="228">
    <w:name w:val="Char Char5"/>
    <w:autoRedefine/>
    <w:qFormat/>
    <w:uiPriority w:val="0"/>
    <w:rPr>
      <w:rFonts w:eastAsia="宋体"/>
      <w:b/>
      <w:bCs/>
      <w:kern w:val="2"/>
      <w:sz w:val="28"/>
      <w:szCs w:val="28"/>
      <w:lang w:val="en-US" w:eastAsia="zh-CN" w:bidi="ar-SA"/>
    </w:rPr>
  </w:style>
  <w:style w:type="character" w:customStyle="1" w:styleId="229">
    <w:name w:val="标题 Char3"/>
    <w:autoRedefine/>
    <w:qFormat/>
    <w:uiPriority w:val="0"/>
    <w:rPr>
      <w:rFonts w:ascii="Cambria" w:hAnsi="Cambria" w:cs="Times New Roman"/>
      <w:b/>
      <w:bCs/>
      <w:kern w:val="2"/>
      <w:sz w:val="32"/>
      <w:szCs w:val="32"/>
    </w:rPr>
  </w:style>
  <w:style w:type="character" w:customStyle="1" w:styleId="230">
    <w:name w:val="正文文本 Char2"/>
    <w:autoRedefine/>
    <w:qFormat/>
    <w:uiPriority w:val="0"/>
    <w:rPr>
      <w:kern w:val="2"/>
      <w:sz w:val="21"/>
      <w:szCs w:val="24"/>
    </w:rPr>
  </w:style>
  <w:style w:type="character" w:customStyle="1" w:styleId="231">
    <w:name w:val="正文文本 (2) + 5.5 pt"/>
    <w:autoRedefine/>
    <w:qFormat/>
    <w:uiPriority w:val="0"/>
    <w:rPr>
      <w:rFonts w:ascii="MingLiU" w:hAnsi="MingLiU" w:eastAsia="MingLiU" w:cs="MingLiU"/>
      <w:i/>
      <w:iCs/>
      <w:color w:val="000000"/>
      <w:spacing w:val="10"/>
      <w:w w:val="100"/>
      <w:position w:val="0"/>
      <w:sz w:val="11"/>
      <w:szCs w:val="11"/>
      <w:u w:val="none"/>
      <w:shd w:val="clear" w:color="auto" w:fill="FFFFFF"/>
      <w:lang w:val="zh-CN" w:eastAsia="zh-CN"/>
    </w:rPr>
  </w:style>
  <w:style w:type="character" w:customStyle="1" w:styleId="232">
    <w:name w:val="页眉或页脚 + 间距 0 pt"/>
    <w:autoRedefine/>
    <w:qFormat/>
    <w:uiPriority w:val="0"/>
    <w:rPr>
      <w:rFonts w:ascii="MingLiU" w:hAnsi="MingLiU" w:eastAsia="MingLiU" w:cs="MingLiU"/>
      <w:color w:val="000000"/>
      <w:spacing w:val="0"/>
      <w:w w:val="100"/>
      <w:position w:val="0"/>
      <w:sz w:val="20"/>
      <w:szCs w:val="20"/>
      <w:u w:val="none"/>
      <w:lang w:val="zh-CN" w:eastAsia="zh-CN" w:bidi="ar-SA"/>
    </w:rPr>
  </w:style>
  <w:style w:type="character" w:customStyle="1" w:styleId="233">
    <w:name w:val="Char Char4"/>
    <w:autoRedefine/>
    <w:qFormat/>
    <w:uiPriority w:val="0"/>
    <w:rPr>
      <w:b/>
      <w:bCs/>
      <w:kern w:val="2"/>
      <w:sz w:val="21"/>
      <w:szCs w:val="24"/>
      <w:lang w:bidi="ar-SA"/>
    </w:rPr>
  </w:style>
  <w:style w:type="character" w:customStyle="1" w:styleId="234">
    <w:name w:val="正文文本 (2) + 10 pt14"/>
    <w:autoRedefine/>
    <w:qFormat/>
    <w:uiPriority w:val="0"/>
    <w:rPr>
      <w:rFonts w:ascii="MingLiU" w:hAnsi="MingLiU" w:eastAsia="MingLiU" w:cs="MingLiU"/>
      <w:color w:val="000000"/>
      <w:spacing w:val="-40"/>
      <w:w w:val="100"/>
      <w:position w:val="0"/>
      <w:sz w:val="20"/>
      <w:szCs w:val="20"/>
      <w:u w:val="none"/>
      <w:shd w:val="clear" w:color="auto" w:fill="FFFFFF"/>
      <w:lang w:val="zh-CN" w:eastAsia="zh-CN"/>
    </w:rPr>
  </w:style>
  <w:style w:type="character" w:customStyle="1" w:styleId="235">
    <w:name w:val="Char Char19"/>
    <w:autoRedefine/>
    <w:qFormat/>
    <w:uiPriority w:val="0"/>
    <w:rPr>
      <w:rFonts w:ascii="Arial" w:hAnsi="Arial" w:eastAsia="宋体" w:cs="Times New Roman"/>
      <w:b/>
      <w:bCs/>
      <w:szCs w:val="28"/>
    </w:rPr>
  </w:style>
  <w:style w:type="character" w:customStyle="1" w:styleId="236">
    <w:name w:val="正文文本 (2) + 间距 2 pt1"/>
    <w:autoRedefine/>
    <w:qFormat/>
    <w:uiPriority w:val="0"/>
    <w:rPr>
      <w:rFonts w:ascii="MingLiU" w:hAnsi="MingLiU" w:eastAsia="MingLiU" w:cs="MingLiU"/>
      <w:color w:val="000000"/>
      <w:spacing w:val="50"/>
      <w:w w:val="100"/>
      <w:position w:val="0"/>
      <w:sz w:val="22"/>
      <w:szCs w:val="22"/>
      <w:u w:val="none"/>
      <w:shd w:val="clear" w:color="auto" w:fill="FFFFFF"/>
      <w:lang w:val="zh-CN" w:eastAsia="zh-CN"/>
    </w:rPr>
  </w:style>
  <w:style w:type="character" w:customStyle="1" w:styleId="237">
    <w:name w:val="正文文本 (2) + 间距 0 pt2"/>
    <w:autoRedefine/>
    <w:qFormat/>
    <w:uiPriority w:val="0"/>
    <w:rPr>
      <w:rFonts w:ascii="MingLiU" w:hAnsi="MingLiU" w:eastAsia="MingLiU" w:cs="MingLiU"/>
      <w:color w:val="000000"/>
      <w:spacing w:val="0"/>
      <w:w w:val="100"/>
      <w:position w:val="0"/>
      <w:sz w:val="22"/>
      <w:szCs w:val="22"/>
      <w:u w:val="none"/>
      <w:shd w:val="clear" w:color="auto" w:fill="FFFFFF"/>
      <w:lang w:val="zh-CN" w:eastAsia="zh-CN" w:bidi="zh-CN"/>
    </w:rPr>
  </w:style>
  <w:style w:type="character" w:customStyle="1" w:styleId="238">
    <w:name w:val="批注框文本 Char1"/>
    <w:autoRedefine/>
    <w:qFormat/>
    <w:uiPriority w:val="0"/>
    <w:rPr>
      <w:sz w:val="18"/>
      <w:szCs w:val="18"/>
    </w:rPr>
  </w:style>
  <w:style w:type="character" w:customStyle="1" w:styleId="239">
    <w:name w:val="引用 Char2"/>
    <w:autoRedefine/>
    <w:qFormat/>
    <w:uiPriority w:val="29"/>
    <w:rPr>
      <w:i/>
      <w:iCs/>
      <w:color w:val="000000"/>
      <w:sz w:val="21"/>
    </w:rPr>
  </w:style>
  <w:style w:type="character" w:customStyle="1" w:styleId="240">
    <w:name w:val="标题 Char1"/>
    <w:autoRedefine/>
    <w:qFormat/>
    <w:uiPriority w:val="0"/>
    <w:rPr>
      <w:rFonts w:ascii="Cambria" w:hAnsi="Cambria" w:eastAsia="宋体" w:cs="Times New Roman"/>
      <w:b/>
      <w:bCs/>
      <w:sz w:val="32"/>
      <w:szCs w:val="32"/>
    </w:rPr>
  </w:style>
  <w:style w:type="character" w:customStyle="1" w:styleId="241">
    <w:name w:val="引用 Char3"/>
    <w:autoRedefine/>
    <w:qFormat/>
    <w:uiPriority w:val="99"/>
    <w:rPr>
      <w:i/>
      <w:iCs/>
      <w:color w:val="000000"/>
      <w:kern w:val="2"/>
      <w:sz w:val="21"/>
      <w:szCs w:val="24"/>
    </w:rPr>
  </w:style>
  <w:style w:type="character" w:customStyle="1" w:styleId="242">
    <w:name w:val="正文文本 Char1"/>
    <w:autoRedefine/>
    <w:qFormat/>
    <w:uiPriority w:val="0"/>
    <w:rPr>
      <w:sz w:val="21"/>
    </w:rPr>
  </w:style>
  <w:style w:type="character" w:customStyle="1" w:styleId="243">
    <w:name w:val="文档结构图 Char1"/>
    <w:autoRedefine/>
    <w:qFormat/>
    <w:uiPriority w:val="0"/>
    <w:rPr>
      <w:rFonts w:ascii="宋体"/>
      <w:sz w:val="18"/>
      <w:szCs w:val="18"/>
    </w:rPr>
  </w:style>
  <w:style w:type="character" w:customStyle="1" w:styleId="244">
    <w:name w:val="Heading 3 Char1"/>
    <w:autoRedefine/>
    <w:qFormat/>
    <w:uiPriority w:val="0"/>
    <w:rPr>
      <w:rFonts w:eastAsia="宋体"/>
      <w:b/>
      <w:bCs/>
      <w:kern w:val="2"/>
      <w:sz w:val="24"/>
      <w:szCs w:val="32"/>
      <w:lang w:val="en-US" w:eastAsia="zh-CN" w:bidi="ar-SA"/>
    </w:rPr>
  </w:style>
  <w:style w:type="character" w:customStyle="1" w:styleId="245">
    <w:name w:val="Footnote Text Char"/>
    <w:autoRedefine/>
    <w:qFormat/>
    <w:uiPriority w:val="0"/>
    <w:rPr>
      <w:rFonts w:eastAsia="宋体"/>
      <w:sz w:val="18"/>
      <w:lang w:val="en-US" w:eastAsia="zh-CN" w:bidi="ar-SA"/>
    </w:rPr>
  </w:style>
  <w:style w:type="character" w:customStyle="1" w:styleId="246">
    <w:name w:val="副标题 Char1"/>
    <w:autoRedefine/>
    <w:qFormat/>
    <w:uiPriority w:val="11"/>
    <w:rPr>
      <w:rFonts w:ascii="Cambria" w:hAnsi="Cambria" w:eastAsia="宋体" w:cs="Times New Roman"/>
      <w:b/>
      <w:bCs/>
      <w:kern w:val="28"/>
      <w:sz w:val="32"/>
      <w:szCs w:val="32"/>
    </w:rPr>
  </w:style>
  <w:style w:type="character" w:customStyle="1" w:styleId="247">
    <w:name w:val="明显强调3"/>
    <w:autoRedefine/>
    <w:qFormat/>
    <w:uiPriority w:val="0"/>
    <w:rPr>
      <w:b/>
      <w:bCs/>
      <w:i/>
      <w:iCs/>
      <w:color w:val="4F81BD"/>
    </w:rPr>
  </w:style>
  <w:style w:type="character" w:customStyle="1" w:styleId="248">
    <w:name w:val="style1"/>
    <w:basedOn w:val="56"/>
    <w:autoRedefine/>
    <w:qFormat/>
    <w:uiPriority w:val="0"/>
  </w:style>
  <w:style w:type="character" w:customStyle="1" w:styleId="249">
    <w:name w:val="HTML 预设格式 Char1"/>
    <w:autoRedefine/>
    <w:qFormat/>
    <w:uiPriority w:val="99"/>
    <w:rPr>
      <w:rFonts w:ascii="Courier New" w:hAnsi="Courier New" w:cs="Courier New"/>
      <w:kern w:val="2"/>
    </w:rPr>
  </w:style>
  <w:style w:type="character" w:customStyle="1" w:styleId="250">
    <w:name w:val="正文呀2 Char"/>
    <w:link w:val="251"/>
    <w:autoRedefine/>
    <w:qFormat/>
    <w:uiPriority w:val="0"/>
    <w:rPr>
      <w:kern w:val="2"/>
      <w:sz w:val="21"/>
      <w:szCs w:val="21"/>
    </w:rPr>
  </w:style>
  <w:style w:type="paragraph" w:customStyle="1" w:styleId="251">
    <w:name w:val="正文呀2"/>
    <w:basedOn w:val="119"/>
    <w:link w:val="250"/>
    <w:autoRedefine/>
    <w:qFormat/>
    <w:uiPriority w:val="0"/>
    <w:rPr>
      <w:rFonts w:ascii="Times New Roman" w:hAnsi="Times New Roman"/>
    </w:rPr>
  </w:style>
  <w:style w:type="character" w:customStyle="1" w:styleId="252">
    <w:name w:val="普通文字 Char Char5"/>
    <w:autoRedefine/>
    <w:qFormat/>
    <w:uiPriority w:val="0"/>
    <w:rPr>
      <w:rFonts w:ascii="宋体" w:hAnsi="Courier New" w:eastAsia="宋体"/>
      <w:szCs w:val="21"/>
      <w:lang w:bidi="ar-SA"/>
    </w:rPr>
  </w:style>
  <w:style w:type="character" w:customStyle="1" w:styleId="253">
    <w:name w:val="Footer Char"/>
    <w:autoRedefine/>
    <w:qFormat/>
    <w:uiPriority w:val="0"/>
    <w:rPr>
      <w:rFonts w:eastAsia="宋体"/>
      <w:kern w:val="2"/>
      <w:sz w:val="18"/>
      <w:szCs w:val="18"/>
      <w:lang w:val="en-US" w:eastAsia="zh-CN" w:bidi="ar-SA"/>
    </w:rPr>
  </w:style>
  <w:style w:type="character" w:customStyle="1" w:styleId="254">
    <w:name w:val="表格标题 (4)_"/>
    <w:link w:val="255"/>
    <w:autoRedefine/>
    <w:qFormat/>
    <w:locked/>
    <w:uiPriority w:val="0"/>
    <w:rPr>
      <w:rFonts w:ascii="MingLiU" w:hAnsi="MingLiU" w:eastAsia="MingLiU"/>
      <w:b/>
      <w:bCs/>
      <w:sz w:val="22"/>
      <w:shd w:val="clear" w:color="auto" w:fill="FFFFFF"/>
    </w:rPr>
  </w:style>
  <w:style w:type="paragraph" w:customStyle="1" w:styleId="255">
    <w:name w:val="表格标题 (4)"/>
    <w:basedOn w:val="1"/>
    <w:link w:val="254"/>
    <w:autoRedefine/>
    <w:qFormat/>
    <w:uiPriority w:val="0"/>
    <w:pPr>
      <w:shd w:val="clear" w:color="auto" w:fill="FFFFFF"/>
      <w:spacing w:line="240" w:lineRule="atLeast"/>
      <w:jc w:val="left"/>
    </w:pPr>
    <w:rPr>
      <w:rFonts w:ascii="MingLiU" w:hAnsi="MingLiU" w:eastAsia="MingLiU" w:cs="Times New Roman"/>
      <w:b/>
      <w:bCs/>
      <w:sz w:val="22"/>
      <w:szCs w:val="22"/>
    </w:rPr>
  </w:style>
  <w:style w:type="character" w:customStyle="1" w:styleId="256">
    <w:name w:val="批注文字 Char Char"/>
    <w:autoRedefine/>
    <w:qFormat/>
    <w:uiPriority w:val="0"/>
    <w:rPr>
      <w:rFonts w:ascii="宋体" w:hAnsi="Times New Roman" w:eastAsia="宋体" w:cs="Times New Roman"/>
      <w:sz w:val="28"/>
      <w:szCs w:val="20"/>
    </w:rPr>
  </w:style>
  <w:style w:type="character" w:customStyle="1" w:styleId="257">
    <w:name w:val="页眉或页脚 + 间距 1 pt1"/>
    <w:autoRedefine/>
    <w:qFormat/>
    <w:uiPriority w:val="0"/>
    <w:rPr>
      <w:rFonts w:ascii="MingLiU" w:hAnsi="MingLiU" w:eastAsia="MingLiU" w:cs="MingLiU"/>
      <w:color w:val="000000"/>
      <w:spacing w:val="30"/>
      <w:w w:val="100"/>
      <w:position w:val="0"/>
      <w:sz w:val="20"/>
      <w:szCs w:val="20"/>
      <w:u w:val="none"/>
      <w:lang w:val="zh-CN" w:eastAsia="zh-CN" w:bidi="ar-SA"/>
    </w:rPr>
  </w:style>
  <w:style w:type="character" w:customStyle="1" w:styleId="258">
    <w:name w:val="标题5 Char Char"/>
    <w:link w:val="259"/>
    <w:autoRedefine/>
    <w:qFormat/>
    <w:uiPriority w:val="0"/>
    <w:rPr>
      <w:rFonts w:ascii="Arial" w:hAnsi="Arial"/>
      <w:b/>
      <w:bCs/>
      <w:sz w:val="24"/>
      <w:szCs w:val="32"/>
    </w:rPr>
  </w:style>
  <w:style w:type="paragraph" w:customStyle="1" w:styleId="259">
    <w:name w:val="标题5"/>
    <w:basedOn w:val="4"/>
    <w:link w:val="258"/>
    <w:autoRedefine/>
    <w:qFormat/>
    <w:uiPriority w:val="0"/>
    <w:pPr>
      <w:widowControl w:val="0"/>
      <w:spacing w:line="413" w:lineRule="auto"/>
    </w:pPr>
    <w:rPr>
      <w:rFonts w:ascii="Arial" w:hAnsi="Arial"/>
      <w:kern w:val="0"/>
    </w:rPr>
  </w:style>
  <w:style w:type="character" w:customStyle="1" w:styleId="260">
    <w:name w:val="标题 #8 (3)_"/>
    <w:link w:val="261"/>
    <w:autoRedefine/>
    <w:qFormat/>
    <w:uiPriority w:val="0"/>
    <w:rPr>
      <w:rFonts w:ascii="MingLiU" w:hAnsi="MingLiU" w:eastAsia="MingLiU" w:cs="MingLiU"/>
      <w:shd w:val="clear" w:color="auto" w:fill="FFFFFF"/>
    </w:rPr>
  </w:style>
  <w:style w:type="paragraph" w:customStyle="1" w:styleId="261">
    <w:name w:val="标题 #8 (3)"/>
    <w:basedOn w:val="1"/>
    <w:link w:val="260"/>
    <w:autoRedefine/>
    <w:qFormat/>
    <w:uiPriority w:val="0"/>
    <w:pPr>
      <w:shd w:val="clear" w:color="auto" w:fill="FFFFFF"/>
      <w:spacing w:before="300" w:after="420" w:line="0" w:lineRule="atLeast"/>
      <w:jc w:val="distribute"/>
      <w:outlineLvl w:val="7"/>
    </w:pPr>
    <w:rPr>
      <w:rFonts w:ascii="MingLiU" w:hAnsi="MingLiU" w:eastAsia="MingLiU" w:cs="MingLiU"/>
      <w:szCs w:val="22"/>
    </w:rPr>
  </w:style>
  <w:style w:type="character" w:customStyle="1" w:styleId="262">
    <w:name w:val="脚注文本 Char"/>
    <w:autoRedefine/>
    <w:qFormat/>
    <w:uiPriority w:val="0"/>
    <w:rPr>
      <w:sz w:val="18"/>
      <w:szCs w:val="18"/>
    </w:rPr>
  </w:style>
  <w:style w:type="character" w:customStyle="1" w:styleId="263">
    <w:name w:val="批注主题 Char1"/>
    <w:autoRedefine/>
    <w:qFormat/>
    <w:uiPriority w:val="0"/>
    <w:rPr>
      <w:b/>
      <w:bCs/>
      <w:kern w:val="2"/>
      <w:sz w:val="21"/>
      <w:szCs w:val="24"/>
    </w:rPr>
  </w:style>
  <w:style w:type="character" w:customStyle="1" w:styleId="264">
    <w:name w:val="Char Char8"/>
    <w:autoRedefine/>
    <w:qFormat/>
    <w:uiPriority w:val="0"/>
    <w:rPr>
      <w:rFonts w:eastAsia="宋体"/>
      <w:b/>
      <w:bCs/>
      <w:kern w:val="44"/>
      <w:sz w:val="32"/>
      <w:szCs w:val="44"/>
      <w:lang w:val="en-US" w:eastAsia="zh-CN" w:bidi="ar-SA"/>
    </w:rPr>
  </w:style>
  <w:style w:type="character" w:customStyle="1" w:styleId="265">
    <w:name w:val="Char Char Char"/>
    <w:autoRedefine/>
    <w:qFormat/>
    <w:uiPriority w:val="0"/>
    <w:rPr>
      <w:rFonts w:eastAsia="宋体"/>
      <w:kern w:val="2"/>
      <w:sz w:val="18"/>
      <w:szCs w:val="18"/>
      <w:lang w:val="en-US" w:eastAsia="zh-CN" w:bidi="ar-SA"/>
    </w:rPr>
  </w:style>
  <w:style w:type="character" w:customStyle="1" w:styleId="266">
    <w:name w:val="副标题 Char2"/>
    <w:autoRedefine/>
    <w:qFormat/>
    <w:uiPriority w:val="0"/>
    <w:rPr>
      <w:rFonts w:ascii="Cambria" w:hAnsi="Cambria" w:cs="Times New Roman"/>
      <w:b/>
      <w:bCs/>
      <w:kern w:val="28"/>
      <w:sz w:val="32"/>
      <w:szCs w:val="32"/>
    </w:rPr>
  </w:style>
  <w:style w:type="character" w:customStyle="1" w:styleId="267">
    <w:name w:val="062"/>
    <w:autoRedefine/>
    <w:qFormat/>
    <w:uiPriority w:val="0"/>
    <w:rPr>
      <w:rFonts w:ascii="宋体" w:hAnsi="宋体"/>
      <w:b/>
      <w:bCs/>
      <w:sz w:val="32"/>
    </w:rPr>
  </w:style>
  <w:style w:type="character" w:customStyle="1" w:styleId="268">
    <w:name w:val="Char Char22"/>
    <w:autoRedefine/>
    <w:qFormat/>
    <w:uiPriority w:val="0"/>
    <w:rPr>
      <w:rFonts w:ascii="Times New Roman" w:hAnsi="Times New Roman" w:eastAsia="宋体" w:cs="Times New Roman"/>
      <w:b/>
      <w:bCs/>
      <w:kern w:val="44"/>
      <w:sz w:val="32"/>
      <w:szCs w:val="44"/>
    </w:rPr>
  </w:style>
  <w:style w:type="character" w:customStyle="1" w:styleId="269">
    <w:name w:val="Book Title"/>
    <w:autoRedefine/>
    <w:qFormat/>
    <w:uiPriority w:val="0"/>
    <w:rPr>
      <w:b/>
      <w:bCs/>
      <w:smallCaps/>
      <w:spacing w:val="5"/>
    </w:rPr>
  </w:style>
  <w:style w:type="character" w:customStyle="1" w:styleId="270">
    <w:name w:val="标题 3 Char1"/>
    <w:autoRedefine/>
    <w:qFormat/>
    <w:uiPriority w:val="0"/>
    <w:rPr>
      <w:b/>
      <w:bCs/>
      <w:kern w:val="2"/>
      <w:sz w:val="32"/>
      <w:szCs w:val="32"/>
    </w:rPr>
  </w:style>
  <w:style w:type="character" w:customStyle="1" w:styleId="271">
    <w:name w:val="书籍标题3"/>
    <w:autoRedefine/>
    <w:qFormat/>
    <w:uiPriority w:val="0"/>
    <w:rPr>
      <w:b/>
      <w:bCs/>
      <w:smallCaps/>
      <w:spacing w:val="5"/>
    </w:rPr>
  </w:style>
  <w:style w:type="character" w:customStyle="1" w:styleId="272">
    <w:name w:val="Char Char91"/>
    <w:autoRedefine/>
    <w:qFormat/>
    <w:uiPriority w:val="0"/>
    <w:rPr>
      <w:rFonts w:eastAsia="宋体"/>
      <w:b/>
      <w:bCs/>
      <w:kern w:val="44"/>
      <w:sz w:val="32"/>
      <w:szCs w:val="44"/>
      <w:lang w:val="en-US" w:eastAsia="zh-CN" w:bidi="ar-SA"/>
    </w:rPr>
  </w:style>
  <w:style w:type="character" w:customStyle="1" w:styleId="273">
    <w:name w:val="Body Text Indent 2 Char"/>
    <w:autoRedefine/>
    <w:qFormat/>
    <w:uiPriority w:val="0"/>
    <w:rPr>
      <w:rFonts w:eastAsia="宋体"/>
      <w:kern w:val="2"/>
      <w:sz w:val="21"/>
      <w:szCs w:val="24"/>
      <w:lang w:val="en-US" w:eastAsia="zh-CN" w:bidi="ar-SA"/>
    </w:rPr>
  </w:style>
  <w:style w:type="character" w:customStyle="1" w:styleId="274">
    <w:name w:val="明显参考3"/>
    <w:autoRedefine/>
    <w:qFormat/>
    <w:uiPriority w:val="0"/>
    <w:rPr>
      <w:b/>
      <w:bCs/>
      <w:smallCaps/>
      <w:color w:val="C0504D"/>
      <w:spacing w:val="5"/>
      <w:u w:val="single"/>
    </w:rPr>
  </w:style>
  <w:style w:type="character" w:customStyle="1" w:styleId="275">
    <w:name w:val="标题 #7 (4) + 间距 7 pt"/>
    <w:autoRedefine/>
    <w:qFormat/>
    <w:uiPriority w:val="0"/>
    <w:rPr>
      <w:rFonts w:ascii="MingLiU" w:hAnsi="MingLiU" w:eastAsia="MingLiU"/>
      <w:color w:val="000000"/>
      <w:spacing w:val="140"/>
      <w:w w:val="100"/>
      <w:position w:val="0"/>
      <w:sz w:val="26"/>
      <w:szCs w:val="26"/>
      <w:lang w:val="zh-CN" w:eastAsia="zh-CN" w:bidi="ar-SA"/>
    </w:rPr>
  </w:style>
  <w:style w:type="character" w:customStyle="1" w:styleId="276">
    <w:name w:val="不明显参考2"/>
    <w:autoRedefine/>
    <w:qFormat/>
    <w:uiPriority w:val="31"/>
    <w:rPr>
      <w:smallCaps/>
      <w:color w:val="C0504D"/>
      <w:u w:val="single"/>
    </w:rPr>
  </w:style>
  <w:style w:type="character" w:customStyle="1" w:styleId="277">
    <w:name w:val="NormalCharacter"/>
    <w:autoRedefine/>
    <w:semiHidden/>
    <w:qFormat/>
    <w:uiPriority w:val="0"/>
  </w:style>
  <w:style w:type="character" w:customStyle="1" w:styleId="278">
    <w:name w:val="Char Char9"/>
    <w:autoRedefine/>
    <w:qFormat/>
    <w:uiPriority w:val="0"/>
    <w:rPr>
      <w:rFonts w:eastAsia="宋体"/>
      <w:b/>
      <w:bCs/>
      <w:kern w:val="44"/>
      <w:sz w:val="32"/>
      <w:szCs w:val="44"/>
      <w:lang w:val="en-US" w:eastAsia="zh-CN" w:bidi="ar-SA"/>
    </w:rPr>
  </w:style>
  <w:style w:type="character" w:customStyle="1" w:styleId="279">
    <w:name w:val="样式 Char"/>
    <w:autoRedefine/>
    <w:qFormat/>
    <w:uiPriority w:val="0"/>
    <w:rPr>
      <w:rFonts w:ascii="宋体" w:hAnsi="宋体" w:eastAsia="宋体" w:cs="宋体"/>
      <w:sz w:val="24"/>
      <w:szCs w:val="24"/>
      <w:lang w:val="en-US" w:eastAsia="zh-CN" w:bidi="ar-SA"/>
    </w:rPr>
  </w:style>
  <w:style w:type="character" w:customStyle="1" w:styleId="280">
    <w:name w:val="批注文字 Char1"/>
    <w:autoRedefine/>
    <w:qFormat/>
    <w:uiPriority w:val="0"/>
    <w:rPr>
      <w:rFonts w:ascii="Times New Roman" w:hAnsi="Times New Roman" w:eastAsia="宋体" w:cs="Times New Roman"/>
      <w:szCs w:val="24"/>
    </w:rPr>
  </w:style>
  <w:style w:type="character" w:customStyle="1" w:styleId="281">
    <w:name w:val="Heading 4 Char"/>
    <w:autoRedefine/>
    <w:qFormat/>
    <w:uiPriority w:val="0"/>
    <w:rPr>
      <w:rFonts w:ascii="Arial" w:hAnsi="Arial" w:eastAsia="宋体"/>
      <w:b/>
      <w:bCs/>
      <w:kern w:val="2"/>
      <w:sz w:val="21"/>
      <w:szCs w:val="28"/>
      <w:lang w:val="en-US" w:eastAsia="zh-CN" w:bidi="ar-SA"/>
    </w:rPr>
  </w:style>
  <w:style w:type="character" w:customStyle="1" w:styleId="282">
    <w:name w:val="Heading 5 Char"/>
    <w:autoRedefine/>
    <w:qFormat/>
    <w:uiPriority w:val="0"/>
    <w:rPr>
      <w:rFonts w:eastAsia="宋体"/>
      <w:b/>
      <w:bCs/>
      <w:kern w:val="2"/>
      <w:sz w:val="28"/>
      <w:szCs w:val="28"/>
      <w:lang w:val="en-US" w:eastAsia="zh-CN" w:bidi="ar-SA"/>
    </w:rPr>
  </w:style>
  <w:style w:type="character" w:customStyle="1" w:styleId="283">
    <w:name w:val="font161"/>
    <w:autoRedefine/>
    <w:qFormat/>
    <w:uiPriority w:val="0"/>
    <w:rPr>
      <w:rFonts w:ascii="Arial" w:hAnsi="Arial" w:eastAsia="黑体"/>
      <w:b/>
      <w:bCs/>
      <w:kern w:val="2"/>
      <w:sz w:val="32"/>
      <w:szCs w:val="32"/>
      <w:lang w:val="en-US" w:eastAsia="zh-CN" w:bidi="ar-SA"/>
    </w:rPr>
  </w:style>
  <w:style w:type="character" w:customStyle="1" w:styleId="284">
    <w:name w:val="不明显强调1"/>
    <w:autoRedefine/>
    <w:qFormat/>
    <w:uiPriority w:val="19"/>
    <w:rPr>
      <w:i/>
      <w:iCs/>
      <w:color w:val="808080"/>
    </w:rPr>
  </w:style>
  <w:style w:type="character" w:customStyle="1" w:styleId="285">
    <w:name w:val="样式 4 + 四号 Char Char"/>
    <w:link w:val="286"/>
    <w:autoRedefine/>
    <w:qFormat/>
    <w:uiPriority w:val="0"/>
    <w:rPr>
      <w:rFonts w:ascii="Cambria" w:hAnsi="Cambria" w:eastAsia="宋体" w:cs="Times New Roman"/>
      <w:b/>
      <w:bCs/>
      <w:sz w:val="28"/>
      <w:szCs w:val="28"/>
    </w:rPr>
  </w:style>
  <w:style w:type="paragraph" w:customStyle="1" w:styleId="286">
    <w:name w:val="样式 4 + 四号"/>
    <w:basedOn w:val="109"/>
    <w:next w:val="5"/>
    <w:link w:val="285"/>
    <w:autoRedefine/>
    <w:qFormat/>
    <w:uiPriority w:val="0"/>
    <w:rPr>
      <w:sz w:val="28"/>
    </w:rPr>
  </w:style>
  <w:style w:type="character" w:customStyle="1" w:styleId="287">
    <w:name w:val="标题 #7 (4)_"/>
    <w:link w:val="288"/>
    <w:autoRedefine/>
    <w:qFormat/>
    <w:locked/>
    <w:uiPriority w:val="0"/>
    <w:rPr>
      <w:rFonts w:ascii="MingLiU" w:hAnsi="MingLiU" w:eastAsia="MingLiU"/>
      <w:sz w:val="26"/>
      <w:szCs w:val="26"/>
      <w:shd w:val="clear" w:color="auto" w:fill="FFFFFF"/>
    </w:rPr>
  </w:style>
  <w:style w:type="paragraph" w:customStyle="1" w:styleId="288">
    <w:name w:val="标题 #7 (4)"/>
    <w:basedOn w:val="1"/>
    <w:link w:val="287"/>
    <w:autoRedefine/>
    <w:qFormat/>
    <w:uiPriority w:val="0"/>
    <w:pPr>
      <w:shd w:val="clear" w:color="auto" w:fill="FFFFFF"/>
      <w:spacing w:after="1020" w:line="240" w:lineRule="atLeast"/>
      <w:jc w:val="left"/>
      <w:outlineLvl w:val="6"/>
    </w:pPr>
    <w:rPr>
      <w:rFonts w:ascii="MingLiU" w:hAnsi="MingLiU" w:eastAsia="MingLiU" w:cs="Times New Roman"/>
      <w:sz w:val="26"/>
      <w:szCs w:val="26"/>
    </w:rPr>
  </w:style>
  <w:style w:type="character" w:customStyle="1" w:styleId="289">
    <w:name w:val="Balloon Text Char"/>
    <w:autoRedefine/>
    <w:qFormat/>
    <w:uiPriority w:val="0"/>
    <w:rPr>
      <w:sz w:val="18"/>
      <w:lang w:bidi="ar-SA"/>
    </w:rPr>
  </w:style>
  <w:style w:type="character" w:customStyle="1" w:styleId="290">
    <w:name w:val="脚注文本 Char2"/>
    <w:autoRedefine/>
    <w:qFormat/>
    <w:uiPriority w:val="99"/>
    <w:rPr>
      <w:kern w:val="2"/>
      <w:sz w:val="18"/>
      <w:szCs w:val="18"/>
    </w:rPr>
  </w:style>
  <w:style w:type="character" w:customStyle="1" w:styleId="291">
    <w:name w:val="引用 Char"/>
    <w:link w:val="292"/>
    <w:autoRedefine/>
    <w:qFormat/>
    <w:uiPriority w:val="0"/>
    <w:rPr>
      <w:i/>
      <w:iCs/>
      <w:color w:val="000000"/>
      <w:szCs w:val="24"/>
    </w:rPr>
  </w:style>
  <w:style w:type="paragraph" w:styleId="292">
    <w:name w:val="Quote"/>
    <w:basedOn w:val="1"/>
    <w:next w:val="1"/>
    <w:link w:val="291"/>
    <w:autoRedefine/>
    <w:qFormat/>
    <w:uiPriority w:val="0"/>
    <w:pPr>
      <w:spacing w:line="360" w:lineRule="exact"/>
      <w:ind w:firstLine="200" w:firstLineChars="200"/>
    </w:pPr>
    <w:rPr>
      <w:rFonts w:ascii="Calibri" w:hAnsi="Calibri" w:eastAsia="宋体" w:cs="Times New Roman"/>
      <w:i/>
      <w:iCs/>
      <w:color w:val="000000"/>
    </w:rPr>
  </w:style>
  <w:style w:type="character" w:customStyle="1" w:styleId="293">
    <w:name w:val="标题4 Char Char"/>
    <w:link w:val="294"/>
    <w:autoRedefine/>
    <w:qFormat/>
    <w:uiPriority w:val="0"/>
    <w:rPr>
      <w:rFonts w:ascii="Arial" w:hAnsi="Arial"/>
      <w:b/>
      <w:bCs/>
      <w:sz w:val="24"/>
      <w:szCs w:val="32"/>
    </w:rPr>
  </w:style>
  <w:style w:type="paragraph" w:customStyle="1" w:styleId="294">
    <w:name w:val="标题4"/>
    <w:basedOn w:val="3"/>
    <w:next w:val="25"/>
    <w:link w:val="293"/>
    <w:autoRedefine/>
    <w:qFormat/>
    <w:uiPriority w:val="0"/>
    <w:pPr>
      <w:spacing w:before="60" w:after="60" w:line="413" w:lineRule="auto"/>
      <w:jc w:val="center"/>
    </w:pPr>
    <w:rPr>
      <w:rFonts w:ascii="Arial" w:hAnsi="Arial"/>
      <w:kern w:val="0"/>
      <w:sz w:val="24"/>
    </w:rPr>
  </w:style>
  <w:style w:type="character" w:customStyle="1" w:styleId="295">
    <w:name w:val="正文文本 (31)_"/>
    <w:link w:val="296"/>
    <w:autoRedefine/>
    <w:qFormat/>
    <w:locked/>
    <w:uiPriority w:val="0"/>
    <w:rPr>
      <w:shd w:val="clear" w:color="auto" w:fill="FFFFFF"/>
      <w:lang w:eastAsia="en-US"/>
    </w:rPr>
  </w:style>
  <w:style w:type="paragraph" w:customStyle="1" w:styleId="296">
    <w:name w:val="正文文本 (31)"/>
    <w:basedOn w:val="1"/>
    <w:link w:val="295"/>
    <w:autoRedefine/>
    <w:qFormat/>
    <w:uiPriority w:val="0"/>
    <w:pPr>
      <w:shd w:val="clear" w:color="auto" w:fill="FFFFFF"/>
      <w:spacing w:line="401" w:lineRule="exact"/>
      <w:ind w:firstLine="500"/>
    </w:pPr>
    <w:rPr>
      <w:rFonts w:ascii="Calibri" w:hAnsi="Calibri" w:eastAsia="宋体" w:cs="Times New Roman"/>
      <w:szCs w:val="22"/>
      <w:lang w:eastAsia="en-US"/>
    </w:rPr>
  </w:style>
  <w:style w:type="character" w:customStyle="1" w:styleId="297">
    <w:name w:val="标题 #7 + 间距 0 pt2"/>
    <w:autoRedefine/>
    <w:qFormat/>
    <w:uiPriority w:val="0"/>
    <w:rPr>
      <w:rFonts w:ascii="MingLiU" w:hAnsi="MingLiU" w:eastAsia="MingLiU" w:cs="MingLiU"/>
      <w:color w:val="000000"/>
      <w:spacing w:val="10"/>
      <w:w w:val="100"/>
      <w:position w:val="0"/>
      <w:sz w:val="26"/>
      <w:szCs w:val="26"/>
      <w:u w:val="single"/>
      <w:shd w:val="clear" w:color="auto" w:fill="FFFFFF"/>
      <w:lang w:val="zh-CN" w:eastAsia="zh-CN"/>
    </w:rPr>
  </w:style>
  <w:style w:type="character" w:customStyle="1" w:styleId="298">
    <w:name w:val="正文文本 (2) + 间距 0 pt6"/>
    <w:autoRedefine/>
    <w:qFormat/>
    <w:uiPriority w:val="0"/>
    <w:rPr>
      <w:rFonts w:ascii="MingLiU" w:hAnsi="MingLiU" w:eastAsia="MingLiU" w:cs="MingLiU"/>
      <w:color w:val="000000"/>
      <w:spacing w:val="0"/>
      <w:w w:val="100"/>
      <w:position w:val="0"/>
      <w:sz w:val="22"/>
      <w:szCs w:val="22"/>
      <w:u w:val="single"/>
      <w:shd w:val="clear" w:color="auto" w:fill="FFFFFF"/>
      <w:lang w:val="zh-CN" w:eastAsia="zh-CN"/>
    </w:rPr>
  </w:style>
  <w:style w:type="character" w:customStyle="1" w:styleId="299">
    <w:name w:val="Char Char1"/>
    <w:autoRedefine/>
    <w:qFormat/>
    <w:uiPriority w:val="0"/>
    <w:rPr>
      <w:rFonts w:eastAsia="宋体"/>
      <w:kern w:val="2"/>
      <w:sz w:val="18"/>
      <w:szCs w:val="18"/>
      <w:lang w:val="en-US" w:eastAsia="zh-CN" w:bidi="ar-SA"/>
    </w:rPr>
  </w:style>
  <w:style w:type="character" w:customStyle="1" w:styleId="300">
    <w:name w:val="Char Char61"/>
    <w:autoRedefine/>
    <w:qFormat/>
    <w:uiPriority w:val="0"/>
    <w:rPr>
      <w:rFonts w:eastAsia="宋体"/>
      <w:b/>
      <w:bCs/>
      <w:kern w:val="44"/>
      <w:sz w:val="32"/>
      <w:szCs w:val="44"/>
      <w:lang w:val="en-US" w:eastAsia="zh-CN" w:bidi="ar-SA"/>
    </w:rPr>
  </w:style>
  <w:style w:type="character" w:customStyle="1" w:styleId="301">
    <w:name w:val="font5 Char"/>
    <w:autoRedefine/>
    <w:qFormat/>
    <w:uiPriority w:val="0"/>
    <w:rPr>
      <w:rFonts w:ascii="宋体" w:hAnsi="宋体" w:eastAsia="宋体"/>
      <w:sz w:val="24"/>
      <w:szCs w:val="24"/>
      <w:lang w:val="en-US" w:eastAsia="zh-CN" w:bidi="ar-SA"/>
    </w:rPr>
  </w:style>
  <w:style w:type="character" w:customStyle="1" w:styleId="302">
    <w:name w:val="正文文本 (42)"/>
    <w:autoRedefine/>
    <w:qFormat/>
    <w:uiPriority w:val="0"/>
    <w:rPr>
      <w:rFonts w:ascii="MingLiU" w:hAnsi="MingLiU" w:eastAsia="MingLiU"/>
      <w:b/>
      <w:bCs/>
      <w:color w:val="000000"/>
      <w:spacing w:val="0"/>
      <w:w w:val="100"/>
      <w:position w:val="0"/>
      <w:u w:val="single"/>
      <w:lang w:val="zh-CN" w:eastAsia="zh-CN" w:bidi="ar-SA"/>
    </w:rPr>
  </w:style>
  <w:style w:type="character" w:customStyle="1" w:styleId="303">
    <w:name w:val="样式6 Char Char"/>
    <w:link w:val="304"/>
    <w:autoRedefine/>
    <w:qFormat/>
    <w:uiPriority w:val="0"/>
    <w:rPr>
      <w:rFonts w:ascii="Times New Roman" w:hAnsi="Times New Roman" w:eastAsia="宋体" w:cs="Times New Roman"/>
      <w:sz w:val="18"/>
      <w:szCs w:val="18"/>
    </w:rPr>
  </w:style>
  <w:style w:type="paragraph" w:customStyle="1" w:styleId="304">
    <w:name w:val="样式6"/>
    <w:basedOn w:val="35"/>
    <w:next w:val="305"/>
    <w:link w:val="303"/>
    <w:autoRedefine/>
    <w:qFormat/>
    <w:uiPriority w:val="0"/>
    <w:pPr>
      <w:pBdr>
        <w:bottom w:val="none" w:color="auto" w:sz="0" w:space="0"/>
      </w:pBdr>
      <w:spacing w:line="360" w:lineRule="exact"/>
      <w:ind w:firstLine="200" w:firstLineChars="200"/>
    </w:pPr>
    <w:rPr>
      <w:rFonts w:ascii="Calibri" w:hAnsi="Calibri" w:eastAsia="宋体" w:cs="Times New Roman"/>
    </w:rPr>
  </w:style>
  <w:style w:type="paragraph" w:customStyle="1" w:styleId="305">
    <w:name w:val="样式1"/>
    <w:basedOn w:val="35"/>
    <w:next w:val="1"/>
    <w:link w:val="306"/>
    <w:autoRedefine/>
    <w:qFormat/>
    <w:uiPriority w:val="0"/>
    <w:pPr>
      <w:pBdr>
        <w:bottom w:val="none" w:color="auto" w:sz="0" w:space="0"/>
      </w:pBdr>
      <w:spacing w:line="360" w:lineRule="auto"/>
      <w:ind w:right="-876" w:rightChars="-417"/>
    </w:pPr>
    <w:rPr>
      <w:rFonts w:ascii="Calibri" w:hAnsi="Calibri" w:eastAsia="黑体" w:cs="Times New Roman"/>
      <w:b/>
      <w:sz w:val="44"/>
    </w:rPr>
  </w:style>
  <w:style w:type="character" w:customStyle="1" w:styleId="306">
    <w:name w:val="样式1 Char Char"/>
    <w:link w:val="305"/>
    <w:autoRedefine/>
    <w:qFormat/>
    <w:uiPriority w:val="0"/>
    <w:rPr>
      <w:rFonts w:eastAsia="黑体"/>
      <w:b/>
      <w:sz w:val="44"/>
      <w:szCs w:val="18"/>
    </w:rPr>
  </w:style>
  <w:style w:type="character" w:customStyle="1" w:styleId="307">
    <w:name w:val="1ji Char Char"/>
    <w:link w:val="308"/>
    <w:autoRedefine/>
    <w:qFormat/>
    <w:uiPriority w:val="0"/>
    <w:rPr>
      <w:rFonts w:ascii="宋体" w:hAnsi="宋体"/>
      <w:b/>
      <w:bCs/>
      <w:sz w:val="36"/>
    </w:rPr>
  </w:style>
  <w:style w:type="paragraph" w:customStyle="1" w:styleId="308">
    <w:name w:val="1ji"/>
    <w:basedOn w:val="2"/>
    <w:link w:val="307"/>
    <w:autoRedefine/>
    <w:qFormat/>
    <w:uiPriority w:val="0"/>
    <w:pPr>
      <w:keepLines w:val="0"/>
      <w:widowControl/>
      <w:spacing w:before="0" w:after="0" w:line="240" w:lineRule="auto"/>
      <w:jc w:val="center"/>
    </w:pPr>
    <w:rPr>
      <w:rFonts w:ascii="宋体" w:hAnsi="宋体"/>
      <w:kern w:val="0"/>
      <w:szCs w:val="20"/>
    </w:rPr>
  </w:style>
  <w:style w:type="character" w:customStyle="1" w:styleId="309">
    <w:name w:val="标题 #7 (5) + 间距 0 pt"/>
    <w:autoRedefine/>
    <w:qFormat/>
    <w:uiPriority w:val="0"/>
    <w:rPr>
      <w:rFonts w:ascii="MingLiU" w:hAnsi="MingLiU" w:eastAsia="MingLiU"/>
      <w:color w:val="000000"/>
      <w:spacing w:val="0"/>
      <w:w w:val="100"/>
      <w:position w:val="0"/>
      <w:sz w:val="30"/>
      <w:szCs w:val="30"/>
      <w:lang w:val="zh-CN" w:eastAsia="zh-CN" w:bidi="ar-SA"/>
    </w:rPr>
  </w:style>
  <w:style w:type="character" w:customStyle="1" w:styleId="310">
    <w:name w:val="正文文本 (30)_"/>
    <w:link w:val="311"/>
    <w:autoRedefine/>
    <w:qFormat/>
    <w:locked/>
    <w:uiPriority w:val="0"/>
    <w:rPr>
      <w:shd w:val="clear" w:color="auto" w:fill="FFFFFF"/>
      <w:lang w:eastAsia="en-US"/>
    </w:rPr>
  </w:style>
  <w:style w:type="paragraph" w:customStyle="1" w:styleId="311">
    <w:name w:val="正文文本 (30)"/>
    <w:basedOn w:val="1"/>
    <w:link w:val="310"/>
    <w:autoRedefine/>
    <w:qFormat/>
    <w:uiPriority w:val="0"/>
    <w:pPr>
      <w:shd w:val="clear" w:color="auto" w:fill="FFFFFF"/>
      <w:spacing w:before="420" w:line="401" w:lineRule="exact"/>
      <w:ind w:firstLine="500"/>
    </w:pPr>
    <w:rPr>
      <w:rFonts w:ascii="Calibri" w:hAnsi="Calibri" w:eastAsia="宋体" w:cs="Times New Roman"/>
      <w:szCs w:val="22"/>
      <w:lang w:eastAsia="en-US"/>
    </w:rPr>
  </w:style>
  <w:style w:type="character" w:customStyle="1" w:styleId="312">
    <w:name w:val="标题 3 Char Char Char"/>
    <w:autoRedefine/>
    <w:qFormat/>
    <w:uiPriority w:val="0"/>
    <w:rPr>
      <w:rFonts w:eastAsia="宋体"/>
      <w:b/>
      <w:bCs/>
      <w:kern w:val="2"/>
      <w:sz w:val="32"/>
      <w:szCs w:val="32"/>
      <w:lang w:val="en-US" w:eastAsia="zh-CN" w:bidi="ar-SA"/>
    </w:rPr>
  </w:style>
  <w:style w:type="character" w:customStyle="1" w:styleId="313">
    <w:name w:val="不明显强调2"/>
    <w:autoRedefine/>
    <w:qFormat/>
    <w:uiPriority w:val="19"/>
    <w:rPr>
      <w:i/>
      <w:iCs/>
      <w:color w:val="808080"/>
    </w:rPr>
  </w:style>
  <w:style w:type="character" w:customStyle="1" w:styleId="314">
    <w:name w:val="正文文本 2 Char1"/>
    <w:autoRedefine/>
    <w:qFormat/>
    <w:uiPriority w:val="0"/>
    <w:rPr>
      <w:rFonts w:ascii="Times New Roman" w:hAnsi="Times New Roman" w:eastAsia="宋体" w:cs="Times New Roman"/>
      <w:szCs w:val="24"/>
    </w:rPr>
  </w:style>
  <w:style w:type="character" w:customStyle="1" w:styleId="315">
    <w:name w:val="Document Map Char"/>
    <w:autoRedefine/>
    <w:qFormat/>
    <w:uiPriority w:val="0"/>
    <w:rPr>
      <w:rFonts w:eastAsia="宋体"/>
      <w:kern w:val="2"/>
      <w:sz w:val="21"/>
      <w:szCs w:val="24"/>
      <w:lang w:val="en-US" w:eastAsia="zh-CN" w:bidi="ar-SA"/>
    </w:rPr>
  </w:style>
  <w:style w:type="character" w:customStyle="1" w:styleId="316">
    <w:name w:val="Heading 1 Char"/>
    <w:autoRedefine/>
    <w:qFormat/>
    <w:uiPriority w:val="0"/>
    <w:rPr>
      <w:rFonts w:eastAsia="宋体"/>
      <w:b/>
      <w:bCs/>
      <w:kern w:val="44"/>
      <w:sz w:val="32"/>
      <w:szCs w:val="44"/>
      <w:lang w:val="en-US" w:eastAsia="zh-CN" w:bidi="ar-SA"/>
    </w:rPr>
  </w:style>
  <w:style w:type="character" w:customStyle="1" w:styleId="317">
    <w:name w:val="标题 #7 + 间距 0 pt1"/>
    <w:autoRedefine/>
    <w:qFormat/>
    <w:uiPriority w:val="0"/>
    <w:rPr>
      <w:rFonts w:ascii="MingLiU" w:hAnsi="MingLiU" w:eastAsia="MingLiU" w:cs="MingLiU"/>
      <w:color w:val="000000"/>
      <w:spacing w:val="10"/>
      <w:w w:val="100"/>
      <w:position w:val="0"/>
      <w:sz w:val="26"/>
      <w:szCs w:val="26"/>
      <w:u w:val="none"/>
      <w:shd w:val="clear" w:color="auto" w:fill="FFFFFF"/>
      <w:lang w:val="zh-CN" w:eastAsia="zh-CN"/>
    </w:rPr>
  </w:style>
  <w:style w:type="character" w:customStyle="1" w:styleId="318">
    <w:name w:val="textcontents"/>
    <w:autoRedefine/>
    <w:qFormat/>
    <w:uiPriority w:val="0"/>
    <w:rPr>
      <w:rFonts w:cs="Times New Roman"/>
    </w:rPr>
  </w:style>
  <w:style w:type="character" w:customStyle="1" w:styleId="319">
    <w:name w:val="Char Char18"/>
    <w:autoRedefine/>
    <w:qFormat/>
    <w:uiPriority w:val="0"/>
    <w:rPr>
      <w:rFonts w:ascii="Times New Roman" w:hAnsi="Times New Roman" w:eastAsia="宋体" w:cs="Times New Roman"/>
      <w:b/>
      <w:bCs/>
      <w:sz w:val="28"/>
      <w:szCs w:val="28"/>
    </w:rPr>
  </w:style>
  <w:style w:type="character" w:customStyle="1" w:styleId="320">
    <w:name w:val="正文文本缩进 3 Char1"/>
    <w:autoRedefine/>
    <w:semiHidden/>
    <w:qFormat/>
    <w:uiPriority w:val="99"/>
    <w:rPr>
      <w:sz w:val="16"/>
      <w:szCs w:val="16"/>
    </w:rPr>
  </w:style>
  <w:style w:type="character" w:customStyle="1" w:styleId="321">
    <w:name w:val="表格标题_"/>
    <w:link w:val="322"/>
    <w:autoRedefine/>
    <w:qFormat/>
    <w:locked/>
    <w:uiPriority w:val="0"/>
    <w:rPr>
      <w:rFonts w:ascii="MingLiU" w:hAnsi="MingLiU" w:eastAsia="MingLiU"/>
      <w:shd w:val="clear" w:color="auto" w:fill="FFFFFF"/>
    </w:rPr>
  </w:style>
  <w:style w:type="paragraph" w:customStyle="1" w:styleId="322">
    <w:name w:val="表格标题"/>
    <w:basedOn w:val="1"/>
    <w:link w:val="321"/>
    <w:autoRedefine/>
    <w:qFormat/>
    <w:uiPriority w:val="0"/>
    <w:pPr>
      <w:shd w:val="clear" w:color="auto" w:fill="FFFFFF"/>
      <w:spacing w:line="322" w:lineRule="exact"/>
      <w:jc w:val="distribute"/>
    </w:pPr>
    <w:rPr>
      <w:rFonts w:ascii="MingLiU" w:hAnsi="MingLiU" w:eastAsia="MingLiU" w:cs="Times New Roman"/>
      <w:szCs w:val="22"/>
    </w:rPr>
  </w:style>
  <w:style w:type="character" w:customStyle="1" w:styleId="323">
    <w:name w:val="copy1"/>
    <w:autoRedefine/>
    <w:qFormat/>
    <w:uiPriority w:val="0"/>
    <w:rPr>
      <w:rFonts w:hint="default" w:ascii="Arial" w:hAnsi="Arial" w:cs="Arial"/>
      <w:color w:val="525252"/>
      <w:sz w:val="15"/>
      <w:szCs w:val="15"/>
      <w:u w:val="none"/>
    </w:rPr>
  </w:style>
  <w:style w:type="character" w:customStyle="1" w:styleId="324">
    <w:name w:val="页眉 Char1"/>
    <w:autoRedefine/>
    <w:semiHidden/>
    <w:qFormat/>
    <w:uiPriority w:val="99"/>
    <w:rPr>
      <w:sz w:val="18"/>
      <w:szCs w:val="18"/>
    </w:rPr>
  </w:style>
  <w:style w:type="character" w:customStyle="1" w:styleId="325">
    <w:name w:val="明显引用 Char1"/>
    <w:autoRedefine/>
    <w:qFormat/>
    <w:uiPriority w:val="30"/>
    <w:rPr>
      <w:rFonts w:ascii="Times New Roman" w:hAnsi="Times New Roman" w:eastAsia="宋体" w:cs="Times New Roman"/>
      <w:b/>
      <w:bCs/>
      <w:i/>
      <w:iCs/>
      <w:color w:val="4F81BD"/>
      <w:szCs w:val="24"/>
    </w:rPr>
  </w:style>
  <w:style w:type="paragraph" w:styleId="326">
    <w:name w:val="List Paragraph"/>
    <w:basedOn w:val="1"/>
    <w:autoRedefine/>
    <w:qFormat/>
    <w:uiPriority w:val="0"/>
    <w:pPr>
      <w:ind w:firstLine="420" w:firstLineChars="200"/>
    </w:pPr>
  </w:style>
  <w:style w:type="paragraph" w:customStyle="1" w:styleId="327">
    <w:name w:val="p0"/>
    <w:basedOn w:val="1"/>
    <w:autoRedefine/>
    <w:qFormat/>
    <w:uiPriority w:val="0"/>
    <w:pPr>
      <w:widowControl/>
    </w:pPr>
    <w:rPr>
      <w:rFonts w:ascii="Calibri" w:hAnsi="Calibri" w:cs="宋体"/>
      <w:kern w:val="0"/>
      <w:szCs w:val="21"/>
    </w:rPr>
  </w:style>
  <w:style w:type="paragraph" w:customStyle="1" w:styleId="328">
    <w:name w:val="Char2 Char Char Char"/>
    <w:basedOn w:val="1"/>
    <w:autoRedefine/>
    <w:qFormat/>
    <w:uiPriority w:val="0"/>
  </w:style>
  <w:style w:type="paragraph" w:customStyle="1" w:styleId="329">
    <w:name w:val="Char Char10"/>
    <w:basedOn w:val="1"/>
    <w:autoRedefine/>
    <w:qFormat/>
    <w:uiPriority w:val="0"/>
    <w:rPr>
      <w:rFonts w:ascii="仿宋_GB2312" w:eastAsia="仿宋_GB2312"/>
      <w:b/>
      <w:sz w:val="32"/>
      <w:szCs w:val="32"/>
    </w:rPr>
  </w:style>
  <w:style w:type="paragraph" w:customStyle="1" w:styleId="330">
    <w:name w:val="_Style 5"/>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331">
    <w:name w:val="Table Paragraph"/>
    <w:basedOn w:val="1"/>
    <w:autoRedefine/>
    <w:qFormat/>
    <w:uiPriority w:val="1"/>
    <w:pPr>
      <w:autoSpaceDE w:val="0"/>
      <w:autoSpaceDN w:val="0"/>
      <w:jc w:val="left"/>
    </w:pPr>
    <w:rPr>
      <w:rFonts w:ascii="Noto Sans CJK JP Regular" w:hAnsi="Noto Sans CJK JP Regular" w:eastAsia="Noto Sans CJK JP Regular" w:cs="Noto Sans CJK JP Regular"/>
      <w:kern w:val="0"/>
      <w:sz w:val="22"/>
      <w:szCs w:val="22"/>
      <w:lang w:val="zh-CN" w:bidi="zh-CN"/>
    </w:rPr>
  </w:style>
  <w:style w:type="paragraph" w:customStyle="1" w:styleId="332">
    <w:name w:val="样式 样式 4 + 宋体 小三 黑色 + 居中 左侧:  2 字符 首行缩进:  2 字符"/>
    <w:basedOn w:val="333"/>
    <w:next w:val="5"/>
    <w:autoRedefine/>
    <w:qFormat/>
    <w:uiPriority w:val="0"/>
    <w:pPr>
      <w:ind w:left="420" w:firstLine="602"/>
      <w:jc w:val="center"/>
    </w:pPr>
    <w:rPr>
      <w:rFonts w:cs="宋体"/>
      <w:szCs w:val="20"/>
    </w:rPr>
  </w:style>
  <w:style w:type="paragraph" w:customStyle="1" w:styleId="333">
    <w:name w:val="样式 4 + 宋体 小三 黑色"/>
    <w:basedOn w:val="109"/>
    <w:next w:val="5"/>
    <w:autoRedefine/>
    <w:qFormat/>
    <w:uiPriority w:val="0"/>
    <w:rPr>
      <w:rFonts w:ascii="宋体" w:hAnsi="宋体"/>
      <w:color w:val="000000"/>
      <w:sz w:val="30"/>
    </w:rPr>
  </w:style>
  <w:style w:type="paragraph" w:customStyle="1" w:styleId="334">
    <w:name w:val="2-2ji"/>
    <w:basedOn w:val="3"/>
    <w:autoRedefine/>
    <w:qFormat/>
    <w:uiPriority w:val="0"/>
    <w:pPr>
      <w:adjustRightInd w:val="0"/>
      <w:spacing w:before="0" w:after="0" w:line="360" w:lineRule="auto"/>
      <w:jc w:val="center"/>
      <w:textAlignment w:val="baseline"/>
    </w:pPr>
    <w:rPr>
      <w:rFonts w:ascii="宋体" w:hAnsi="宋体"/>
      <w:bCs w:val="0"/>
      <w:kern w:val="0"/>
      <w:sz w:val="36"/>
    </w:rPr>
  </w:style>
  <w:style w:type="paragraph" w:customStyle="1" w:styleId="335">
    <w:name w:val="(1)"/>
    <w:basedOn w:val="336"/>
    <w:autoRedefine/>
    <w:qFormat/>
    <w:uiPriority w:val="0"/>
    <w:pPr>
      <w:spacing w:before="240"/>
      <w:ind w:left="431" w:hanging="431"/>
    </w:pPr>
    <w:rPr>
      <w:b w:val="0"/>
      <w:sz w:val="24"/>
    </w:rPr>
  </w:style>
  <w:style w:type="paragraph" w:customStyle="1" w:styleId="336">
    <w:name w:val="1.1"/>
    <w:basedOn w:val="1"/>
    <w:autoRedefine/>
    <w:qFormat/>
    <w:uiPriority w:val="0"/>
    <w:pPr>
      <w:widowControl/>
      <w:overflowPunct w:val="0"/>
      <w:autoSpaceDE w:val="0"/>
      <w:autoSpaceDN w:val="0"/>
      <w:adjustRightInd w:val="0"/>
      <w:jc w:val="left"/>
      <w:textAlignment w:val="baseline"/>
    </w:pPr>
    <w:rPr>
      <w:rFonts w:ascii="黑体" w:eastAsia="黑体"/>
      <w:b/>
      <w:spacing w:val="-20"/>
      <w:kern w:val="28"/>
      <w:position w:val="-6"/>
      <w:sz w:val="28"/>
      <w:szCs w:val="20"/>
    </w:rPr>
  </w:style>
  <w:style w:type="paragraph" w:customStyle="1" w:styleId="337">
    <w:name w:val="a 正文"/>
    <w:basedOn w:val="338"/>
    <w:autoRedefine/>
    <w:qFormat/>
    <w:uiPriority w:val="0"/>
    <w:pPr>
      <w:tabs>
        <w:tab w:val="left" w:pos="720"/>
        <w:tab w:val="left" w:pos="3240"/>
        <w:tab w:val="left" w:pos="3750"/>
      </w:tabs>
      <w:ind w:left="681" w:hanging="227"/>
    </w:pPr>
  </w:style>
  <w:style w:type="paragraph" w:customStyle="1" w:styleId="338">
    <w:name w:val="A.正文"/>
    <w:basedOn w:val="1"/>
    <w:autoRedefine/>
    <w:qFormat/>
    <w:uiPriority w:val="0"/>
    <w:pPr>
      <w:widowControl/>
      <w:tabs>
        <w:tab w:val="left" w:pos="720"/>
        <w:tab w:val="left" w:pos="3750"/>
      </w:tabs>
      <w:spacing w:before="40" w:after="40" w:line="300" w:lineRule="exact"/>
      <w:ind w:left="720" w:firstLine="510"/>
    </w:pPr>
    <w:rPr>
      <w:szCs w:val="20"/>
    </w:rPr>
  </w:style>
  <w:style w:type="paragraph" w:customStyle="1" w:styleId="339">
    <w:name w:val="样式 4 + 段前: 0 磅 段后: 0 磅 行距: 单倍行距"/>
    <w:basedOn w:val="109"/>
    <w:autoRedefine/>
    <w:qFormat/>
    <w:uiPriority w:val="0"/>
    <w:pPr>
      <w:spacing w:before="0" w:after="0" w:line="240" w:lineRule="auto"/>
    </w:pPr>
    <w:rPr>
      <w:rFonts w:cs="宋体"/>
      <w:b w:val="0"/>
      <w:szCs w:val="20"/>
    </w:rPr>
  </w:style>
  <w:style w:type="paragraph" w:customStyle="1" w:styleId="340">
    <w:name w:val="bb"/>
    <w:basedOn w:val="1"/>
    <w:autoRedefine/>
    <w:qFormat/>
    <w:uiPriority w:val="0"/>
    <w:pPr>
      <w:widowControl/>
      <w:spacing w:before="100" w:beforeAutospacing="1" w:after="100" w:afterAutospacing="1"/>
      <w:jc w:val="left"/>
    </w:pPr>
    <w:rPr>
      <w:rFonts w:ascii="宋体"/>
      <w:kern w:val="0"/>
      <w:sz w:val="24"/>
    </w:rPr>
  </w:style>
  <w:style w:type="paragraph" w:customStyle="1" w:styleId="341">
    <w:name w:val="TOC Heading"/>
    <w:basedOn w:val="2"/>
    <w:next w:val="1"/>
    <w:autoRedefine/>
    <w:qFormat/>
    <w:uiPriority w:val="0"/>
    <w:pPr>
      <w:widowControl/>
      <w:tabs>
        <w:tab w:val="left" w:pos="4184"/>
        <w:tab w:val="left" w:pos="6406"/>
      </w:tabs>
      <w:spacing w:before="480" w:after="0" w:line="240" w:lineRule="auto"/>
      <w:jc w:val="left"/>
      <w:outlineLvl w:val="9"/>
    </w:pPr>
    <w:rPr>
      <w:rFonts w:ascii="Cambria" w:hAnsi="Cambria"/>
      <w:b w:val="0"/>
      <w:color w:val="365F91"/>
      <w:kern w:val="0"/>
      <w:sz w:val="28"/>
      <w:szCs w:val="28"/>
    </w:rPr>
  </w:style>
  <w:style w:type="paragraph" w:customStyle="1" w:styleId="342">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b/>
      <w:bCs/>
      <w:kern w:val="0"/>
      <w:sz w:val="24"/>
    </w:rPr>
  </w:style>
  <w:style w:type="paragraph" w:customStyle="1" w:styleId="343">
    <w:name w:val="列出段落1"/>
    <w:basedOn w:val="1"/>
    <w:autoRedefine/>
    <w:qFormat/>
    <w:uiPriority w:val="0"/>
    <w:pPr>
      <w:autoSpaceDE w:val="0"/>
      <w:autoSpaceDN w:val="0"/>
      <w:ind w:left="400" w:firstLine="420"/>
      <w:jc w:val="left"/>
    </w:pPr>
    <w:rPr>
      <w:rFonts w:ascii="宋体" w:hAnsi="宋体" w:cs="宋体"/>
      <w:kern w:val="0"/>
      <w:sz w:val="22"/>
      <w:szCs w:val="22"/>
      <w:lang w:val="zh-CN" w:bidi="zh-CN"/>
    </w:rPr>
  </w:style>
  <w:style w:type="paragraph" w:customStyle="1" w:styleId="344">
    <w:name w:val="样式 样式 样式 小四 加粗 居中 + 宋体 加粗 黑色 + 左侧:  0.74 厘米"/>
    <w:basedOn w:val="345"/>
    <w:autoRedefine/>
    <w:qFormat/>
    <w:uiPriority w:val="0"/>
    <w:pPr>
      <w:ind w:left="420" w:firstLine="422"/>
    </w:pPr>
  </w:style>
  <w:style w:type="paragraph" w:customStyle="1" w:styleId="345">
    <w:name w:val="样式 样式 小四 加粗 居中 + 宋体 加粗 黑色"/>
    <w:basedOn w:val="346"/>
    <w:next w:val="6"/>
    <w:autoRedefine/>
    <w:qFormat/>
    <w:uiPriority w:val="0"/>
    <w:rPr>
      <w:rFonts w:ascii="宋体" w:hAnsi="宋体"/>
      <w:b/>
      <w:bCs/>
      <w:color w:val="000000"/>
    </w:rPr>
  </w:style>
  <w:style w:type="paragraph" w:customStyle="1" w:styleId="346">
    <w:name w:val="样式 小四 加粗 居中"/>
    <w:basedOn w:val="6"/>
    <w:next w:val="6"/>
    <w:autoRedefine/>
    <w:qFormat/>
    <w:uiPriority w:val="0"/>
    <w:pPr>
      <w:spacing w:before="50" w:beforeLines="50" w:after="50" w:afterLines="50" w:line="240" w:lineRule="auto"/>
      <w:jc w:val="center"/>
    </w:pPr>
    <w:rPr>
      <w:rFonts w:cs="宋体"/>
      <w:b w:val="0"/>
      <w:bCs w:val="0"/>
      <w:sz w:val="24"/>
      <w:szCs w:val="20"/>
    </w:rPr>
  </w:style>
  <w:style w:type="paragraph" w:customStyle="1" w:styleId="347">
    <w:name w:val="BodyText"/>
    <w:basedOn w:val="1"/>
    <w:autoRedefine/>
    <w:qFormat/>
    <w:locked/>
    <w:uiPriority w:val="0"/>
    <w:pPr>
      <w:spacing w:after="60" w:line="360" w:lineRule="atLeast"/>
      <w:ind w:left="72" w:leftChars="30" w:right="30" w:rightChars="30"/>
      <w:jc w:val="center"/>
    </w:pPr>
    <w:rPr>
      <w:kern w:val="0"/>
      <w:sz w:val="20"/>
      <w:szCs w:val="20"/>
    </w:rPr>
  </w:style>
  <w:style w:type="paragraph" w:customStyle="1" w:styleId="348">
    <w:name w:val="µ1"/>
    <w:basedOn w:val="1"/>
    <w:autoRedefine/>
    <w:qFormat/>
    <w:uiPriority w:val="0"/>
    <w:pPr>
      <w:widowControl/>
      <w:overflowPunct w:val="0"/>
      <w:autoSpaceDE w:val="0"/>
      <w:autoSpaceDN w:val="0"/>
      <w:adjustRightInd w:val="0"/>
      <w:spacing w:before="120"/>
      <w:ind w:left="432" w:hanging="432"/>
      <w:textAlignment w:val="baseline"/>
    </w:pPr>
    <w:rPr>
      <w:rFonts w:ascii="楷体" w:eastAsia="楷体"/>
      <w:spacing w:val="-20"/>
      <w:kern w:val="28"/>
      <w:position w:val="-6"/>
      <w:sz w:val="24"/>
      <w:szCs w:val="20"/>
    </w:rPr>
  </w:style>
  <w:style w:type="paragraph" w:customStyle="1" w:styleId="349">
    <w:name w:val="样式 4 + 小三"/>
    <w:basedOn w:val="109"/>
    <w:next w:val="5"/>
    <w:autoRedefine/>
    <w:qFormat/>
    <w:uiPriority w:val="0"/>
    <w:rPr>
      <w:sz w:val="30"/>
    </w:rPr>
  </w:style>
  <w:style w:type="paragraph" w:customStyle="1" w:styleId="350">
    <w:name w:val="xl39"/>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Unicode MS" w:hAnsi="Arial Unicode MS"/>
      <w:kern w:val="0"/>
      <w:sz w:val="28"/>
      <w:szCs w:val="28"/>
    </w:rPr>
  </w:style>
  <w:style w:type="paragraph" w:customStyle="1" w:styleId="351">
    <w:name w:val="标准正文"/>
    <w:basedOn w:val="1"/>
    <w:autoRedefine/>
    <w:qFormat/>
    <w:uiPriority w:val="99"/>
    <w:pPr>
      <w:spacing w:afterLines="50"/>
      <w:ind w:firstLine="200" w:firstLineChars="200"/>
      <w:jc w:val="left"/>
    </w:pPr>
    <w:rPr>
      <w:sz w:val="24"/>
      <w:szCs w:val="21"/>
    </w:rPr>
  </w:style>
  <w:style w:type="paragraph" w:customStyle="1" w:styleId="352">
    <w:name w:val="合同正文"/>
    <w:basedOn w:val="1"/>
    <w:autoRedefine/>
    <w:qFormat/>
    <w:uiPriority w:val="0"/>
    <w:pPr>
      <w:adjustRightInd w:val="0"/>
      <w:spacing w:line="580" w:lineRule="exact"/>
    </w:pPr>
    <w:rPr>
      <w:b/>
      <w:sz w:val="24"/>
      <w:szCs w:val="20"/>
    </w:rPr>
  </w:style>
  <w:style w:type="paragraph" w:customStyle="1" w:styleId="353">
    <w:name w:val="**"/>
    <w:basedOn w:val="336"/>
    <w:autoRedefine/>
    <w:qFormat/>
    <w:uiPriority w:val="0"/>
    <w:rPr>
      <w:rFonts w:ascii="楷体" w:eastAsia="楷体"/>
      <w:sz w:val="24"/>
    </w:rPr>
  </w:style>
  <w:style w:type="paragraph" w:customStyle="1" w:styleId="354">
    <w:name w:val="表格2"/>
    <w:basedOn w:val="1"/>
    <w:autoRedefine/>
    <w:qFormat/>
    <w:uiPriority w:val="0"/>
    <w:pPr>
      <w:adjustRightInd w:val="0"/>
      <w:spacing w:before="60" w:after="60"/>
      <w:jc w:val="center"/>
    </w:pPr>
    <w:rPr>
      <w:rFonts w:ascii="宋体"/>
      <w:color w:val="000000"/>
      <w:kern w:val="0"/>
      <w:sz w:val="24"/>
      <w:szCs w:val="20"/>
    </w:rPr>
  </w:style>
  <w:style w:type="paragraph" w:customStyle="1" w:styleId="355">
    <w:name w:val="p16"/>
    <w:basedOn w:val="1"/>
    <w:autoRedefine/>
    <w:qFormat/>
    <w:uiPriority w:val="0"/>
    <w:pPr>
      <w:widowControl/>
    </w:pPr>
    <w:rPr>
      <w:kern w:val="0"/>
      <w:szCs w:val="21"/>
    </w:rPr>
  </w:style>
  <w:style w:type="paragraph" w:customStyle="1" w:styleId="356">
    <w:name w:val="."/>
    <w:basedOn w:val="1"/>
    <w:autoRedefine/>
    <w:qFormat/>
    <w:uiPriority w:val="0"/>
    <w:pPr>
      <w:widowControl/>
      <w:overflowPunct w:val="0"/>
      <w:autoSpaceDE w:val="0"/>
      <w:autoSpaceDN w:val="0"/>
      <w:adjustRightInd w:val="0"/>
      <w:spacing w:before="60" w:line="264" w:lineRule="auto"/>
      <w:ind w:left="681" w:right="-57" w:hanging="227"/>
      <w:textAlignment w:val="baseline"/>
    </w:pPr>
    <w:rPr>
      <w:rFonts w:ascii="宋体"/>
      <w:kern w:val="0"/>
      <w:sz w:val="24"/>
      <w:szCs w:val="20"/>
    </w:rPr>
  </w:style>
  <w:style w:type="paragraph" w:customStyle="1" w:styleId="357">
    <w:name w:val="3"/>
    <w:basedOn w:val="4"/>
    <w:next w:val="4"/>
    <w:autoRedefine/>
    <w:qFormat/>
    <w:uiPriority w:val="0"/>
    <w:pPr>
      <w:widowControl w:val="0"/>
      <w:spacing w:before="0" w:after="0" w:line="415" w:lineRule="auto"/>
    </w:pPr>
    <w:rPr>
      <w:rFonts w:ascii="黑体" w:eastAsia="黑体"/>
      <w:sz w:val="28"/>
      <w:szCs w:val="28"/>
    </w:rPr>
  </w:style>
  <w:style w:type="paragraph" w:customStyle="1" w:styleId="358">
    <w:name w:val="TOC 标题3"/>
    <w:basedOn w:val="2"/>
    <w:next w:val="1"/>
    <w:autoRedefine/>
    <w:qFormat/>
    <w:uiPriority w:val="0"/>
    <w:pPr>
      <w:widowControl/>
      <w:tabs>
        <w:tab w:val="left" w:pos="4184"/>
        <w:tab w:val="left" w:pos="6406"/>
      </w:tabs>
      <w:spacing w:before="480" w:after="0" w:line="240" w:lineRule="auto"/>
      <w:jc w:val="left"/>
      <w:outlineLvl w:val="9"/>
    </w:pPr>
    <w:rPr>
      <w:rFonts w:ascii="Cambria" w:hAnsi="Cambria"/>
      <w:b w:val="0"/>
      <w:color w:val="365F91"/>
      <w:kern w:val="0"/>
      <w:sz w:val="28"/>
      <w:szCs w:val="28"/>
    </w:rPr>
  </w:style>
  <w:style w:type="paragraph" w:customStyle="1" w:styleId="359">
    <w:name w:val="font5"/>
    <w:basedOn w:val="1"/>
    <w:autoRedefine/>
    <w:qFormat/>
    <w:uiPriority w:val="0"/>
    <w:pPr>
      <w:widowControl/>
      <w:spacing w:before="100" w:beforeAutospacing="1" w:after="100" w:afterAutospacing="1"/>
      <w:jc w:val="left"/>
    </w:pPr>
    <w:rPr>
      <w:rFonts w:ascii="宋体" w:hAnsi="宋体"/>
      <w:kern w:val="0"/>
      <w:sz w:val="24"/>
    </w:rPr>
  </w:style>
  <w:style w:type="paragraph" w:customStyle="1" w:styleId="360">
    <w:name w:val="Char Char Char Char Char Char Char Char Char Char"/>
    <w:basedOn w:val="1"/>
    <w:autoRedefine/>
    <w:qFormat/>
    <w:uiPriority w:val="0"/>
  </w:style>
  <w:style w:type="paragraph" w:customStyle="1" w:styleId="361">
    <w:name w:val="表格文字"/>
    <w:basedOn w:val="1"/>
    <w:autoRedefine/>
    <w:qFormat/>
    <w:uiPriority w:val="0"/>
    <w:pPr>
      <w:adjustRightInd w:val="0"/>
      <w:spacing w:line="420" w:lineRule="atLeast"/>
      <w:ind w:firstLine="200" w:firstLineChars="200"/>
      <w:jc w:val="left"/>
      <w:textAlignment w:val="baseline"/>
    </w:pPr>
    <w:rPr>
      <w:kern w:val="0"/>
      <w:szCs w:val="20"/>
    </w:rPr>
  </w:style>
  <w:style w:type="paragraph" w:customStyle="1" w:styleId="362">
    <w:name w:val="+正文"/>
    <w:basedOn w:val="1"/>
    <w:autoRedefine/>
    <w:qFormat/>
    <w:uiPriority w:val="0"/>
    <w:pPr>
      <w:spacing w:line="360" w:lineRule="auto"/>
      <w:ind w:firstLine="200" w:firstLineChars="200"/>
    </w:pPr>
    <w:rPr>
      <w:sz w:val="24"/>
      <w:szCs w:val="28"/>
    </w:rPr>
  </w:style>
  <w:style w:type="paragraph" w:customStyle="1" w:styleId="363">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364">
    <w:name w:val="纯文本2"/>
    <w:basedOn w:val="1"/>
    <w:autoRedefine/>
    <w:qFormat/>
    <w:uiPriority w:val="0"/>
    <w:rPr>
      <w:rFonts w:ascii="宋体" w:hAnsi="Courier New"/>
      <w:szCs w:val="20"/>
    </w:rPr>
  </w:style>
  <w:style w:type="paragraph" w:customStyle="1" w:styleId="365">
    <w:name w:val="font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366">
    <w:name w:val="无间隔1"/>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67">
    <w:name w:val="Index8"/>
    <w:basedOn w:val="1"/>
    <w:next w:val="1"/>
    <w:autoRedefine/>
    <w:qFormat/>
    <w:locked/>
    <w:uiPriority w:val="0"/>
    <w:pPr>
      <w:ind w:left="2940"/>
    </w:pPr>
  </w:style>
  <w:style w:type="paragraph" w:customStyle="1" w:styleId="368">
    <w:name w:val="2"/>
    <w:basedOn w:val="4"/>
    <w:autoRedefine/>
    <w:qFormat/>
    <w:uiPriority w:val="0"/>
    <w:pPr>
      <w:widowControl w:val="0"/>
      <w:spacing w:before="120" w:beforeLines="50" w:after="120" w:afterLines="50" w:line="240" w:lineRule="auto"/>
      <w:jc w:val="center"/>
    </w:pPr>
    <w:rPr>
      <w:rFonts w:ascii="黑体" w:eastAsia="黑体"/>
      <w:sz w:val="44"/>
      <w:szCs w:val="28"/>
    </w:rPr>
  </w:style>
  <w:style w:type="paragraph" w:customStyle="1" w:styleId="369">
    <w:name w:val="table"/>
    <w:basedOn w:val="1"/>
    <w:autoRedefine/>
    <w:qFormat/>
    <w:uiPriority w:val="0"/>
    <w:pPr>
      <w:keepNext/>
      <w:widowControl/>
      <w:overflowPunct w:val="0"/>
      <w:autoSpaceDE w:val="0"/>
      <w:autoSpaceDN w:val="0"/>
      <w:adjustRightInd w:val="0"/>
      <w:jc w:val="left"/>
      <w:textAlignment w:val="baseline"/>
    </w:pPr>
    <w:rPr>
      <w:rFonts w:ascii="楷体" w:eastAsia="楷体"/>
      <w:b/>
      <w:spacing w:val="2"/>
      <w:kern w:val="28"/>
      <w:position w:val="-6"/>
      <w:sz w:val="24"/>
      <w:szCs w:val="20"/>
    </w:rPr>
  </w:style>
  <w:style w:type="paragraph" w:customStyle="1" w:styleId="370">
    <w:name w:val="样式 4 + 小三 两端对齐 段前: 0 磅 段后: 0 磅 行距: 单倍行距"/>
    <w:basedOn w:val="109"/>
    <w:autoRedefine/>
    <w:qFormat/>
    <w:uiPriority w:val="0"/>
    <w:pPr>
      <w:spacing w:before="0" w:after="0" w:line="240" w:lineRule="auto"/>
      <w:jc w:val="both"/>
    </w:pPr>
    <w:rPr>
      <w:rFonts w:cs="宋体"/>
      <w:sz w:val="30"/>
      <w:szCs w:val="20"/>
    </w:rPr>
  </w:style>
  <w:style w:type="paragraph" w:customStyle="1" w:styleId="371">
    <w:name w:val="444"/>
    <w:basedOn w:val="1"/>
    <w:autoRedefine/>
    <w:qFormat/>
    <w:uiPriority w:val="0"/>
    <w:pPr>
      <w:adjustRightInd w:val="0"/>
      <w:spacing w:line="312" w:lineRule="atLeast"/>
      <w:jc w:val="center"/>
      <w:textAlignment w:val="baseline"/>
    </w:pPr>
    <w:rPr>
      <w:b/>
      <w:kern w:val="0"/>
      <w:sz w:val="36"/>
      <w:szCs w:val="36"/>
    </w:rPr>
  </w:style>
  <w:style w:type="paragraph" w:customStyle="1" w:styleId="372">
    <w:name w:val="标题2"/>
    <w:basedOn w:val="3"/>
    <w:next w:val="1"/>
    <w:autoRedefine/>
    <w:qFormat/>
    <w:uiPriority w:val="0"/>
    <w:pPr>
      <w:snapToGrid w:val="0"/>
      <w:spacing w:before="120" w:after="120" w:line="240" w:lineRule="auto"/>
      <w:jc w:val="left"/>
    </w:pPr>
    <w:rPr>
      <w:rFonts w:ascii="Arial" w:hAnsi="Arial" w:eastAsia="黑体"/>
      <w:b w:val="0"/>
      <w:bCs w:val="0"/>
      <w:sz w:val="21"/>
      <w:szCs w:val="21"/>
    </w:rPr>
  </w:style>
  <w:style w:type="paragraph" w:customStyle="1" w:styleId="373">
    <w:name w:val="Char Char Char Char Char Char Char Char Char1 Char Char Char Char Char Char Char Char Char Char Char Char Char"/>
    <w:basedOn w:val="2"/>
    <w:autoRedefine/>
    <w:qFormat/>
    <w:uiPriority w:val="0"/>
    <w:pPr>
      <w:snapToGrid w:val="0"/>
      <w:spacing w:before="240" w:after="240" w:line="348" w:lineRule="auto"/>
    </w:pPr>
    <w:rPr>
      <w:sz w:val="44"/>
    </w:rPr>
  </w:style>
  <w:style w:type="paragraph" w:customStyle="1" w:styleId="374">
    <w:name w:val="head4"/>
    <w:basedOn w:val="1"/>
    <w:autoRedefine/>
    <w:qFormat/>
    <w:uiPriority w:val="0"/>
    <w:pPr>
      <w:widowControl/>
      <w:overflowPunct w:val="0"/>
      <w:autoSpaceDE w:val="0"/>
      <w:autoSpaceDN w:val="0"/>
      <w:adjustRightInd w:val="0"/>
      <w:spacing w:before="120" w:line="360" w:lineRule="auto"/>
      <w:textAlignment w:val="baseline"/>
    </w:pPr>
    <w:rPr>
      <w:rFonts w:ascii="¿¬Ìå" w:hAnsi="¿¬Ìå"/>
      <w:kern w:val="0"/>
      <w:sz w:val="24"/>
    </w:rPr>
  </w:style>
  <w:style w:type="paragraph" w:customStyle="1" w:styleId="375">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b/>
      <w:bCs/>
      <w:kern w:val="0"/>
      <w:sz w:val="24"/>
    </w:rPr>
  </w:style>
  <w:style w:type="paragraph" w:customStyle="1" w:styleId="376">
    <w:name w:val="tds100"/>
    <w:basedOn w:val="44"/>
    <w:autoRedefine/>
    <w:qFormat/>
    <w:uiPriority w:val="0"/>
    <w:pPr>
      <w:tabs>
        <w:tab w:val="right" w:leader="dot" w:pos="9628"/>
      </w:tabs>
      <w:ind w:left="200"/>
      <w:jc w:val="center"/>
    </w:pPr>
    <w:rPr>
      <w:b/>
      <w:sz w:val="44"/>
    </w:rPr>
  </w:style>
  <w:style w:type="paragraph" w:customStyle="1" w:styleId="377">
    <w:name w:val="Char Char Char Char Char Char Char"/>
    <w:basedOn w:val="1"/>
    <w:autoRedefine/>
    <w:qFormat/>
    <w:uiPriority w:val="0"/>
    <w:pPr>
      <w:widowControl/>
      <w:spacing w:after="160" w:line="240" w:lineRule="exact"/>
      <w:ind w:firstLine="200" w:firstLineChars="200"/>
      <w:jc w:val="left"/>
    </w:pPr>
    <w:rPr>
      <w:rFonts w:ascii="Arial" w:hAnsi="Arial" w:eastAsia="Times New Roman" w:cs="Verdana"/>
      <w:b/>
      <w:spacing w:val="2"/>
      <w:kern w:val="0"/>
      <w:sz w:val="24"/>
      <w:lang w:eastAsia="en-US"/>
    </w:rPr>
  </w:style>
  <w:style w:type="paragraph" w:customStyle="1" w:styleId="378">
    <w:name w:val="·"/>
    <w:basedOn w:val="1"/>
    <w:autoRedefine/>
    <w:qFormat/>
    <w:uiPriority w:val="0"/>
    <w:pPr>
      <w:widowControl/>
      <w:overflowPunct w:val="0"/>
      <w:autoSpaceDE w:val="0"/>
      <w:autoSpaceDN w:val="0"/>
      <w:adjustRightInd w:val="0"/>
      <w:spacing w:before="120"/>
      <w:ind w:left="432" w:hanging="432"/>
      <w:textAlignment w:val="baseline"/>
    </w:pPr>
    <w:rPr>
      <w:rFonts w:ascii="楷体" w:eastAsia="楷体"/>
      <w:spacing w:val="-20"/>
      <w:kern w:val="28"/>
      <w:position w:val="-6"/>
      <w:sz w:val="24"/>
      <w:szCs w:val="20"/>
    </w:rPr>
  </w:style>
  <w:style w:type="paragraph" w:customStyle="1" w:styleId="379">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380">
    <w:name w:val="PlainText"/>
    <w:basedOn w:val="1"/>
    <w:next w:val="367"/>
    <w:autoRedefine/>
    <w:qFormat/>
    <w:locked/>
    <w:uiPriority w:val="0"/>
    <w:rPr>
      <w:rFonts w:ascii="宋体" w:hAnsi="Courier New"/>
      <w:szCs w:val="20"/>
    </w:rPr>
  </w:style>
  <w:style w:type="paragraph" w:customStyle="1" w:styleId="381">
    <w:name w:val="head1"/>
    <w:basedOn w:val="1"/>
    <w:autoRedefine/>
    <w:qFormat/>
    <w:uiPriority w:val="0"/>
    <w:pPr>
      <w:widowControl/>
      <w:tabs>
        <w:tab w:val="left" w:pos="1680"/>
      </w:tabs>
      <w:overflowPunct w:val="0"/>
      <w:autoSpaceDE w:val="0"/>
      <w:autoSpaceDN w:val="0"/>
      <w:adjustRightInd w:val="0"/>
      <w:spacing w:before="60" w:after="60"/>
      <w:ind w:left="1680"/>
      <w:jc w:val="left"/>
      <w:textAlignment w:val="baseline"/>
      <w:outlineLvl w:val="0"/>
    </w:pPr>
    <w:rPr>
      <w:rFonts w:ascii="黑体" w:hAnsi="¿¬Ìå" w:eastAsia="黑体"/>
      <w:kern w:val="0"/>
      <w:sz w:val="30"/>
      <w:szCs w:val="30"/>
    </w:rPr>
  </w:style>
  <w:style w:type="paragraph" w:customStyle="1" w:styleId="382">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b/>
      <w:bCs/>
      <w:kern w:val="0"/>
      <w:sz w:val="24"/>
    </w:rPr>
  </w:style>
  <w:style w:type="paragraph" w:customStyle="1" w:styleId="383">
    <w:name w:val="Char"/>
    <w:basedOn w:val="1"/>
    <w:autoRedefine/>
    <w:qFormat/>
    <w:uiPriority w:val="0"/>
    <w:rPr>
      <w:rFonts w:ascii="Tahoma" w:hAnsi="Tahoma"/>
      <w:sz w:val="24"/>
      <w:szCs w:val="20"/>
    </w:rPr>
  </w:style>
  <w:style w:type="paragraph" w:customStyle="1" w:styleId="384">
    <w:name w:val="font6"/>
    <w:basedOn w:val="1"/>
    <w:autoRedefine/>
    <w:qFormat/>
    <w:uiPriority w:val="0"/>
    <w:pPr>
      <w:widowControl/>
      <w:spacing w:before="100" w:beforeAutospacing="1" w:after="100" w:afterAutospacing="1"/>
      <w:jc w:val="left"/>
    </w:pPr>
    <w:rPr>
      <w:kern w:val="0"/>
      <w:sz w:val="24"/>
    </w:rPr>
  </w:style>
  <w:style w:type="paragraph" w:customStyle="1" w:styleId="385">
    <w:name w:val="5 Char Char Char Char Char Char Char Char Char Char"/>
    <w:basedOn w:val="1"/>
    <w:autoRedefine/>
    <w:qFormat/>
    <w:uiPriority w:val="0"/>
  </w:style>
  <w:style w:type="paragraph" w:customStyle="1" w:styleId="386">
    <w:name w:val="xl31"/>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paragraph" w:customStyle="1" w:styleId="387">
    <w:name w:val="2ji"/>
    <w:basedOn w:val="3"/>
    <w:autoRedefine/>
    <w:qFormat/>
    <w:uiPriority w:val="0"/>
    <w:pPr>
      <w:adjustRightInd w:val="0"/>
      <w:spacing w:before="0" w:after="0" w:line="360" w:lineRule="auto"/>
      <w:jc w:val="center"/>
      <w:textAlignment w:val="baseline"/>
    </w:pPr>
    <w:rPr>
      <w:rFonts w:ascii="宋体" w:hAnsi="宋体"/>
      <w:kern w:val="0"/>
      <w:sz w:val="21"/>
      <w:szCs w:val="21"/>
    </w:rPr>
  </w:style>
  <w:style w:type="paragraph" w:customStyle="1" w:styleId="388">
    <w:name w:val="样式 标题 3 + (中文) 黑体 小四 非加粗 段前: 7.8 磅 段后: 0 磅 行距: 固定值 20 磅"/>
    <w:basedOn w:val="4"/>
    <w:autoRedefine/>
    <w:qFormat/>
    <w:uiPriority w:val="0"/>
    <w:pPr>
      <w:widowControl w:val="0"/>
      <w:spacing w:before="0" w:after="0" w:line="400" w:lineRule="exact"/>
    </w:pPr>
    <w:rPr>
      <w:rFonts w:ascii="黑体" w:eastAsia="黑体" w:cs="宋体"/>
      <w:b w:val="0"/>
      <w:bCs w:val="0"/>
      <w:szCs w:val="20"/>
    </w:rPr>
  </w:style>
  <w:style w:type="paragraph" w:customStyle="1" w:styleId="389">
    <w:name w:val="样式 4 + 宋体 小三 黑色 两端对齐 段前: 0 磅 段后: 0 磅 行距: 单倍行距1"/>
    <w:basedOn w:val="109"/>
    <w:next w:val="5"/>
    <w:autoRedefine/>
    <w:qFormat/>
    <w:uiPriority w:val="0"/>
    <w:pPr>
      <w:spacing w:before="0" w:after="0" w:line="240" w:lineRule="auto"/>
      <w:ind w:firstLine="422"/>
      <w:jc w:val="both"/>
    </w:pPr>
    <w:rPr>
      <w:rFonts w:ascii="宋体" w:hAnsi="宋体" w:cs="宋体"/>
      <w:color w:val="000000"/>
      <w:sz w:val="30"/>
      <w:szCs w:val="20"/>
    </w:rPr>
  </w:style>
  <w:style w:type="paragraph" w:customStyle="1" w:styleId="390">
    <w:name w:val="修订1"/>
    <w:autoRedefine/>
    <w:qFormat/>
    <w:uiPriority w:val="0"/>
    <w:rPr>
      <w:rFonts w:ascii="Times New Roman" w:hAnsi="Times New Roman" w:eastAsia="宋体" w:cs="Times New Roman"/>
      <w:sz w:val="21"/>
      <w:lang w:val="en-US" w:eastAsia="zh-CN" w:bidi="ar-SA"/>
    </w:rPr>
  </w:style>
  <w:style w:type="paragraph" w:customStyle="1" w:styleId="391">
    <w:name w:val="F2"/>
    <w:basedOn w:val="1"/>
    <w:autoRedefine/>
    <w:qFormat/>
    <w:uiPriority w:val="0"/>
    <w:pPr>
      <w:autoSpaceDE w:val="0"/>
      <w:autoSpaceDN w:val="0"/>
      <w:adjustRightInd w:val="0"/>
      <w:ind w:firstLine="601"/>
      <w:textAlignment w:val="baseline"/>
    </w:pPr>
    <w:rPr>
      <w:kern w:val="0"/>
      <w:sz w:val="24"/>
      <w:szCs w:val="20"/>
    </w:rPr>
  </w:style>
  <w:style w:type="paragraph" w:customStyle="1" w:styleId="392">
    <w:name w:val="xl44"/>
    <w:basedOn w:val="1"/>
    <w:autoRedefine/>
    <w:qFormat/>
    <w:uiPriority w:val="0"/>
    <w:pPr>
      <w:widowControl/>
      <w:pBdr>
        <w:bottom w:val="single" w:color="auto" w:sz="4" w:space="0"/>
      </w:pBdr>
      <w:spacing w:before="100" w:beforeAutospacing="1" w:after="100" w:afterAutospacing="1"/>
      <w:jc w:val="center"/>
    </w:pPr>
    <w:rPr>
      <w:rFonts w:ascii="Arial Unicode MS" w:hAnsi="Arial Unicode MS"/>
      <w:kern w:val="0"/>
      <w:sz w:val="24"/>
    </w:rPr>
  </w:style>
  <w:style w:type="paragraph" w:customStyle="1" w:styleId="393">
    <w:name w:val="文件目录"/>
    <w:basedOn w:val="1"/>
    <w:autoRedefine/>
    <w:qFormat/>
    <w:uiPriority w:val="0"/>
    <w:pPr>
      <w:spacing w:line="600" w:lineRule="exact"/>
      <w:jc w:val="left"/>
    </w:pPr>
    <w:rPr>
      <w:b/>
      <w:sz w:val="30"/>
      <w:szCs w:val="20"/>
    </w:rPr>
  </w:style>
  <w:style w:type="paragraph" w:customStyle="1" w:styleId="394">
    <w:name w:val="xl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b/>
      <w:bCs/>
      <w:kern w:val="0"/>
      <w:sz w:val="24"/>
    </w:rPr>
  </w:style>
  <w:style w:type="paragraph" w:customStyle="1" w:styleId="395">
    <w:name w:val="Char1 Char Char Char Char Char Char Char Char Char Char Char Char Char Char Char"/>
    <w:basedOn w:val="6"/>
    <w:autoRedefine/>
    <w:qFormat/>
    <w:uiPriority w:val="0"/>
    <w:pPr>
      <w:tabs>
        <w:tab w:val="left" w:pos="0"/>
        <w:tab w:val="left" w:pos="3660"/>
      </w:tabs>
      <w:adjustRightInd w:val="0"/>
      <w:spacing w:line="240" w:lineRule="auto"/>
      <w:ind w:left="3660" w:hanging="420"/>
      <w:textAlignment w:val="baseline"/>
    </w:pPr>
    <w:rPr>
      <w:rFonts w:ascii="黑体" w:eastAsia="黑体"/>
      <w:b w:val="0"/>
      <w:kern w:val="0"/>
    </w:rPr>
  </w:style>
  <w:style w:type="paragraph" w:customStyle="1" w:styleId="396">
    <w:name w:val="正文_0"/>
    <w:next w:val="397"/>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7">
    <w:name w:val="正文文本_0"/>
    <w:basedOn w:val="396"/>
    <w:autoRedefine/>
    <w:unhideWhenUsed/>
    <w:qFormat/>
    <w:uiPriority w:val="99"/>
    <w:pPr>
      <w:adjustRightInd w:val="0"/>
      <w:spacing w:after="60" w:line="360" w:lineRule="atLeast"/>
      <w:ind w:left="72" w:leftChars="30" w:right="30" w:rightChars="30"/>
      <w:jc w:val="center"/>
    </w:pPr>
    <w:rPr>
      <w:rFonts w:ascii="Calibri" w:hAnsi="Calibri"/>
      <w:kern w:val="0"/>
      <w:sz w:val="20"/>
      <w:szCs w:val="20"/>
      <w:lang w:val="zh-CN" w:eastAsia="zh-CN"/>
    </w:rPr>
  </w:style>
  <w:style w:type="paragraph" w:customStyle="1" w:styleId="398">
    <w:name w:val="样式 2 + 段前: 0 磅 段后: 0 磅 行距: 多倍行距 1.73 字行"/>
    <w:basedOn w:val="368"/>
    <w:next w:val="3"/>
    <w:autoRedefine/>
    <w:qFormat/>
    <w:uiPriority w:val="0"/>
    <w:pPr>
      <w:spacing w:before="0" w:beforeLines="0" w:after="0" w:afterLines="0" w:line="415" w:lineRule="auto"/>
    </w:pPr>
    <w:rPr>
      <w:rFonts w:cs="宋体"/>
      <w:szCs w:val="20"/>
    </w:rPr>
  </w:style>
  <w:style w:type="paragraph" w:customStyle="1" w:styleId="399">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400">
    <w:name w:val="1.正文"/>
    <w:basedOn w:val="1"/>
    <w:autoRedefine/>
    <w:qFormat/>
    <w:uiPriority w:val="0"/>
    <w:pPr>
      <w:widowControl/>
      <w:tabs>
        <w:tab w:val="left" w:pos="840"/>
        <w:tab w:val="left" w:pos="2820"/>
      </w:tabs>
      <w:spacing w:before="40" w:after="40" w:line="300" w:lineRule="exact"/>
      <w:ind w:left="840" w:hanging="420"/>
    </w:pPr>
    <w:rPr>
      <w:szCs w:val="20"/>
    </w:rPr>
  </w:style>
  <w:style w:type="paragraph" w:customStyle="1" w:styleId="401">
    <w:name w:val="xl47"/>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02">
    <w:name w:val="Char Char Char Char Char Char Char2"/>
    <w:basedOn w:val="1"/>
    <w:autoRedefine/>
    <w:qFormat/>
    <w:uiPriority w:val="0"/>
  </w:style>
  <w:style w:type="paragraph" w:customStyle="1" w:styleId="403">
    <w:name w:val="Char Char Char Char Char Char Char Char Char Char1"/>
    <w:basedOn w:val="17"/>
    <w:autoRedefine/>
    <w:qFormat/>
    <w:uiPriority w:val="0"/>
    <w:pPr>
      <w:keepNext/>
      <w:spacing w:before="312" w:beforeLines="100" w:line="240" w:lineRule="auto"/>
      <w:ind w:firstLine="0" w:firstLineChars="0"/>
    </w:pPr>
    <w:rPr>
      <w:rFonts w:ascii="Tahoma" w:hAnsi="Tahoma"/>
      <w:sz w:val="24"/>
    </w:rPr>
  </w:style>
  <w:style w:type="paragraph" w:customStyle="1" w:styleId="404">
    <w:name w:val="批注框文本 Char Char"/>
    <w:basedOn w:val="1"/>
    <w:autoRedefine/>
    <w:qFormat/>
    <w:uiPriority w:val="0"/>
    <w:rPr>
      <w:sz w:val="18"/>
      <w:szCs w:val="20"/>
    </w:rPr>
  </w:style>
  <w:style w:type="paragraph" w:customStyle="1" w:styleId="405">
    <w:name w:val="样式 标题 2 + Times New Roman 四号 非加粗 段前: 5 磅 段后: 0 磅 行距: 固定值 20..."/>
    <w:basedOn w:val="3"/>
    <w:autoRedefine/>
    <w:qFormat/>
    <w:uiPriority w:val="0"/>
    <w:pPr>
      <w:spacing w:before="100" w:after="0" w:line="400" w:lineRule="exact"/>
      <w:jc w:val="center"/>
    </w:pPr>
    <w:rPr>
      <w:rFonts w:ascii="Times New Roman" w:hAnsi="Times New Roman" w:eastAsia="黑体" w:cs="宋体"/>
      <w:b w:val="0"/>
      <w:bCs w:val="0"/>
      <w:sz w:val="28"/>
      <w:szCs w:val="20"/>
    </w:rPr>
  </w:style>
  <w:style w:type="paragraph" w:customStyle="1" w:styleId="406">
    <w:name w:val="表格"/>
    <w:basedOn w:val="1"/>
    <w:autoRedefine/>
    <w:qFormat/>
    <w:uiPriority w:val="0"/>
    <w:pPr>
      <w:jc w:val="center"/>
      <w:textAlignment w:val="center"/>
    </w:pPr>
    <w:rPr>
      <w:rFonts w:ascii="华文细黑" w:hAnsi="华文细黑"/>
      <w:kern w:val="0"/>
      <w:szCs w:val="20"/>
    </w:rPr>
  </w:style>
  <w:style w:type="paragraph" w:customStyle="1" w:styleId="407">
    <w:name w:val="表中"/>
    <w:basedOn w:val="1"/>
    <w:autoRedefine/>
    <w:qFormat/>
    <w:uiPriority w:val="0"/>
    <w:pPr>
      <w:adjustRightInd w:val="0"/>
      <w:spacing w:line="420" w:lineRule="atLeast"/>
      <w:ind w:firstLine="200" w:firstLineChars="200"/>
      <w:jc w:val="center"/>
      <w:textAlignment w:val="baseline"/>
    </w:pPr>
    <w:rPr>
      <w:kern w:val="0"/>
      <w:szCs w:val="20"/>
    </w:rPr>
  </w:style>
  <w:style w:type="paragraph" w:customStyle="1" w:styleId="408">
    <w:name w:val="1.1编号"/>
    <w:basedOn w:val="1"/>
    <w:autoRedefine/>
    <w:qFormat/>
    <w:uiPriority w:val="0"/>
    <w:pPr>
      <w:widowControl/>
      <w:tabs>
        <w:tab w:val="left" w:pos="1559"/>
      </w:tabs>
      <w:spacing w:before="120" w:after="80" w:line="380" w:lineRule="exact"/>
      <w:ind w:left="1559" w:hanging="1559"/>
    </w:pPr>
    <w:rPr>
      <w:b/>
      <w:spacing w:val="20"/>
      <w:szCs w:val="20"/>
    </w:rPr>
  </w:style>
  <w:style w:type="paragraph" w:customStyle="1" w:styleId="409">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410">
    <w:name w:val="纯文本11"/>
    <w:basedOn w:val="1"/>
    <w:autoRedefine/>
    <w:qFormat/>
    <w:uiPriority w:val="0"/>
    <w:rPr>
      <w:rFonts w:ascii="宋体" w:hAnsi="Courier New"/>
      <w:szCs w:val="20"/>
    </w:rPr>
  </w:style>
  <w:style w:type="paragraph" w:customStyle="1" w:styleId="411">
    <w:name w:val="Char1 Char Char Char Char Char Char"/>
    <w:basedOn w:val="1"/>
    <w:autoRedefine/>
    <w:qFormat/>
    <w:uiPriority w:val="0"/>
    <w:rPr>
      <w:rFonts w:ascii="Tahoma" w:hAnsi="Tahoma"/>
      <w:sz w:val="24"/>
      <w:szCs w:val="20"/>
    </w:rPr>
  </w:style>
  <w:style w:type="paragraph" w:customStyle="1" w:styleId="412">
    <w:name w:val="默认段落字体 Para Char Char Char Char Char Char Char"/>
    <w:basedOn w:val="1"/>
    <w:autoRedefine/>
    <w:qFormat/>
    <w:uiPriority w:val="0"/>
    <w:pPr>
      <w:adjustRightInd w:val="0"/>
      <w:spacing w:line="360" w:lineRule="auto"/>
      <w:ind w:left="200" w:hanging="200" w:hangingChars="200"/>
    </w:pPr>
    <w:rPr>
      <w:kern w:val="0"/>
      <w:sz w:val="24"/>
      <w:szCs w:val="20"/>
    </w:rPr>
  </w:style>
  <w:style w:type="paragraph" w:customStyle="1" w:styleId="413">
    <w:name w:val="p15"/>
    <w:basedOn w:val="1"/>
    <w:autoRedefine/>
    <w:qFormat/>
    <w:uiPriority w:val="0"/>
    <w:pPr>
      <w:widowControl/>
      <w:jc w:val="left"/>
    </w:pPr>
    <w:rPr>
      <w:kern w:val="0"/>
      <w:szCs w:val="21"/>
    </w:rPr>
  </w:style>
  <w:style w:type="paragraph" w:customStyle="1" w:styleId="414">
    <w:name w:val="font9"/>
    <w:basedOn w:val="1"/>
    <w:autoRedefine/>
    <w:qFormat/>
    <w:uiPriority w:val="0"/>
    <w:pPr>
      <w:widowControl/>
      <w:spacing w:before="100" w:beforeAutospacing="1" w:after="100" w:afterAutospacing="1"/>
      <w:jc w:val="left"/>
    </w:pPr>
    <w:rPr>
      <w:kern w:val="0"/>
      <w:sz w:val="40"/>
      <w:szCs w:val="40"/>
    </w:rPr>
  </w:style>
  <w:style w:type="paragraph" w:customStyle="1" w:styleId="415">
    <w:name w:val="样式 样式 小四 加粗 居中 + 加粗"/>
    <w:basedOn w:val="20"/>
    <w:next w:val="1"/>
    <w:autoRedefine/>
    <w:qFormat/>
    <w:uiPriority w:val="0"/>
    <w:pPr>
      <w:spacing w:line="360" w:lineRule="exact"/>
      <w:ind w:firstLine="200" w:firstLineChars="200"/>
    </w:pPr>
    <w:rPr>
      <w:b/>
      <w:bCs/>
    </w:rPr>
  </w:style>
  <w:style w:type="paragraph" w:customStyle="1" w:styleId="416">
    <w:name w:val="xl32"/>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Arial Unicode MS" w:hAnsi="Arial Unicode MS"/>
      <w:kern w:val="0"/>
      <w:sz w:val="24"/>
    </w:rPr>
  </w:style>
  <w:style w:type="paragraph" w:customStyle="1" w:styleId="417">
    <w:name w:val="样式 3 + 两端对齐 段前: 0 磅 段后: 0 磅 行距: 单倍行距"/>
    <w:basedOn w:val="357"/>
    <w:next w:val="4"/>
    <w:autoRedefine/>
    <w:qFormat/>
    <w:uiPriority w:val="0"/>
    <w:pPr>
      <w:spacing w:line="240" w:lineRule="auto"/>
    </w:pPr>
    <w:rPr>
      <w:rFonts w:eastAsia="宋体" w:cs="宋体"/>
      <w:sz w:val="32"/>
      <w:szCs w:val="20"/>
    </w:rPr>
  </w:style>
  <w:style w:type="paragraph" w:customStyle="1" w:styleId="418">
    <w:name w:val="µ"/>
    <w:basedOn w:val="1"/>
    <w:autoRedefine/>
    <w:qFormat/>
    <w:uiPriority w:val="0"/>
    <w:pPr>
      <w:widowControl/>
      <w:overflowPunct w:val="0"/>
      <w:autoSpaceDE w:val="0"/>
      <w:autoSpaceDN w:val="0"/>
      <w:adjustRightInd w:val="0"/>
      <w:ind w:left="360" w:hanging="360"/>
      <w:jc w:val="left"/>
      <w:textAlignment w:val="baseline"/>
    </w:pPr>
    <w:rPr>
      <w:rFonts w:ascii="宋体"/>
      <w:b/>
      <w:spacing w:val="2"/>
      <w:kern w:val="28"/>
      <w:position w:val="-6"/>
      <w:sz w:val="24"/>
      <w:szCs w:val="20"/>
    </w:rPr>
  </w:style>
  <w:style w:type="paragraph" w:customStyle="1" w:styleId="419">
    <w:name w:val="样式 3 + 首行缩进:  0.74 厘米"/>
    <w:basedOn w:val="357"/>
    <w:next w:val="4"/>
    <w:autoRedefine/>
    <w:qFormat/>
    <w:uiPriority w:val="0"/>
    <w:pPr>
      <w:ind w:firstLine="422"/>
    </w:pPr>
    <w:rPr>
      <w:rFonts w:cs="宋体"/>
      <w:szCs w:val="20"/>
    </w:rPr>
  </w:style>
  <w:style w:type="paragraph" w:customStyle="1" w:styleId="420">
    <w:name w:val="List Paragraph1"/>
    <w:basedOn w:val="1"/>
    <w:autoRedefine/>
    <w:qFormat/>
    <w:uiPriority w:val="0"/>
    <w:pPr>
      <w:ind w:left="424" w:firstLine="480"/>
    </w:pPr>
  </w:style>
  <w:style w:type="paragraph" w:customStyle="1" w:styleId="421">
    <w:name w:val="xl45"/>
    <w:basedOn w:val="1"/>
    <w:autoRedefine/>
    <w:qFormat/>
    <w:uiPriority w:val="0"/>
    <w:pPr>
      <w:widowControl/>
      <w:pBdr>
        <w:bottom w:val="single" w:color="auto" w:sz="4" w:space="0"/>
      </w:pBdr>
      <w:spacing w:before="100" w:beforeAutospacing="1" w:after="100" w:afterAutospacing="1"/>
      <w:jc w:val="center"/>
    </w:pPr>
    <w:rPr>
      <w:kern w:val="0"/>
      <w:sz w:val="40"/>
      <w:szCs w:val="40"/>
    </w:rPr>
  </w:style>
  <w:style w:type="paragraph" w:customStyle="1" w:styleId="422">
    <w:name w:val="样式 3 + 段前: 0 磅 段后: 0 磅 行距: 多倍行距 1.73 字行"/>
    <w:basedOn w:val="357"/>
    <w:next w:val="4"/>
    <w:autoRedefine/>
    <w:qFormat/>
    <w:uiPriority w:val="0"/>
    <w:rPr>
      <w:rFonts w:cs="宋体"/>
      <w:szCs w:val="20"/>
    </w:rPr>
  </w:style>
  <w:style w:type="paragraph" w:customStyle="1" w:styleId="423">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styleId="424">
    <w:name w:val="No Spacing"/>
    <w:autoRedefine/>
    <w:qFormat/>
    <w:uiPriority w:val="0"/>
    <w:pPr>
      <w:widowControl w:val="0"/>
      <w:ind w:left="200" w:leftChars="200" w:firstLine="200" w:firstLineChars="200"/>
      <w:jc w:val="both"/>
    </w:pPr>
    <w:rPr>
      <w:rFonts w:ascii="Times New Roman" w:hAnsi="Times New Roman" w:eastAsia="宋体" w:cs="Times New Roman"/>
      <w:kern w:val="2"/>
      <w:sz w:val="21"/>
      <w:szCs w:val="24"/>
      <w:lang w:val="en-US" w:eastAsia="zh-CN" w:bidi="ar-SA"/>
    </w:rPr>
  </w:style>
  <w:style w:type="paragraph" w:customStyle="1" w:styleId="425">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8"/>
      <w:szCs w:val="28"/>
    </w:rPr>
  </w:style>
  <w:style w:type="paragraph" w:customStyle="1" w:styleId="426">
    <w:name w:val="样式 4 + 居中"/>
    <w:basedOn w:val="109"/>
    <w:next w:val="20"/>
    <w:autoRedefine/>
    <w:qFormat/>
    <w:uiPriority w:val="0"/>
    <w:pPr>
      <w:jc w:val="center"/>
    </w:pPr>
    <w:rPr>
      <w:rFonts w:cs="宋体"/>
      <w:szCs w:val="20"/>
    </w:rPr>
  </w:style>
  <w:style w:type="paragraph" w:customStyle="1" w:styleId="427">
    <w:name w:val="样式 4 + 黑色 段前: 0 磅 段后: 0 磅 行距: 单倍行距"/>
    <w:basedOn w:val="109"/>
    <w:next w:val="5"/>
    <w:autoRedefine/>
    <w:qFormat/>
    <w:uiPriority w:val="0"/>
    <w:pPr>
      <w:spacing w:before="0" w:after="0" w:line="240" w:lineRule="auto"/>
    </w:pPr>
    <w:rPr>
      <w:rFonts w:cs="宋体"/>
      <w:color w:val="000000"/>
      <w:szCs w:val="20"/>
    </w:rPr>
  </w:style>
  <w:style w:type="paragraph" w:customStyle="1" w:styleId="428">
    <w:name w:val="text"/>
    <w:basedOn w:val="1"/>
    <w:autoRedefine/>
    <w:qFormat/>
    <w:uiPriority w:val="0"/>
    <w:pPr>
      <w:overflowPunct w:val="0"/>
      <w:autoSpaceDE w:val="0"/>
      <w:autoSpaceDN w:val="0"/>
      <w:adjustRightInd w:val="0"/>
      <w:spacing w:before="120" w:after="120"/>
      <w:ind w:left="864"/>
      <w:textAlignment w:val="baseline"/>
    </w:pPr>
    <w:rPr>
      <w:rFonts w:ascii="宋体"/>
      <w:spacing w:val="-14"/>
      <w:kern w:val="0"/>
      <w:sz w:val="24"/>
    </w:rPr>
  </w:style>
  <w:style w:type="paragraph" w:customStyle="1" w:styleId="429">
    <w:name w:val="Char Char Char Char"/>
    <w:basedOn w:val="1"/>
    <w:autoRedefine/>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430">
    <w:name w:val="Default Paragraph Font Para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431">
    <w:name w:val="xl4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 w:val="24"/>
    </w:rPr>
  </w:style>
  <w:style w:type="paragraph" w:customStyle="1" w:styleId="432">
    <w:name w:val="TOC 标题2"/>
    <w:basedOn w:val="2"/>
    <w:next w:val="1"/>
    <w:autoRedefine/>
    <w:qFormat/>
    <w:uiPriority w:val="39"/>
    <w:pPr>
      <w:spacing w:before="120" w:beforeLines="50" w:after="120" w:afterLines="50" w:line="240" w:lineRule="auto"/>
      <w:jc w:val="center"/>
      <w:outlineLvl w:val="9"/>
    </w:pPr>
    <w:rPr>
      <w:rFonts w:eastAsia="黑体"/>
      <w:spacing w:val="200"/>
      <w:sz w:val="72"/>
    </w:rPr>
  </w:style>
  <w:style w:type="paragraph" w:customStyle="1" w:styleId="433">
    <w:name w:val="section编号"/>
    <w:basedOn w:val="1"/>
    <w:autoRedefine/>
    <w:qFormat/>
    <w:uiPriority w:val="0"/>
    <w:pPr>
      <w:widowControl/>
      <w:tabs>
        <w:tab w:val="left" w:pos="0"/>
        <w:tab w:val="left" w:pos="1260"/>
      </w:tabs>
      <w:spacing w:before="200" w:after="160" w:line="420" w:lineRule="exact"/>
      <w:jc w:val="center"/>
    </w:pPr>
    <w:rPr>
      <w:rFonts w:ascii="Arial" w:hAnsi="Arial" w:eastAsia="黑体"/>
      <w:spacing w:val="40"/>
      <w:sz w:val="28"/>
      <w:szCs w:val="20"/>
    </w:rPr>
  </w:style>
  <w:style w:type="paragraph" w:customStyle="1" w:styleId="434">
    <w:name w:val="(i)正文"/>
    <w:basedOn w:val="1"/>
    <w:autoRedefine/>
    <w:qFormat/>
    <w:uiPriority w:val="0"/>
    <w:pPr>
      <w:widowControl/>
      <w:tabs>
        <w:tab w:val="left" w:pos="0"/>
        <w:tab w:val="left" w:pos="2381"/>
      </w:tabs>
      <w:spacing w:line="360" w:lineRule="exact"/>
    </w:pPr>
    <w:rPr>
      <w:szCs w:val="20"/>
    </w:rPr>
  </w:style>
  <w:style w:type="paragraph" w:customStyle="1" w:styleId="435">
    <w:name w:val="1"/>
    <w:basedOn w:val="3"/>
    <w:next w:val="28"/>
    <w:autoRedefine/>
    <w:qFormat/>
    <w:uiPriority w:val="0"/>
    <w:pPr>
      <w:spacing w:before="360" w:after="360" w:line="360" w:lineRule="exact"/>
      <w:jc w:val="center"/>
    </w:pPr>
    <w:rPr>
      <w:rFonts w:eastAsia="黑体"/>
      <w:sz w:val="72"/>
    </w:rPr>
  </w:style>
  <w:style w:type="paragraph" w:customStyle="1" w:styleId="436">
    <w:name w:val="样式 宋体 小四 加粗 黑色 居中 左侧:  2 字符 首行缩进:  2 字符"/>
    <w:basedOn w:val="1"/>
    <w:next w:val="6"/>
    <w:autoRedefine/>
    <w:qFormat/>
    <w:uiPriority w:val="0"/>
    <w:pPr>
      <w:spacing w:line="360" w:lineRule="exact"/>
      <w:ind w:left="420" w:firstLine="482" w:firstLineChars="200"/>
      <w:jc w:val="center"/>
    </w:pPr>
    <w:rPr>
      <w:rFonts w:ascii="宋体" w:hAnsi="宋体" w:cs="宋体"/>
      <w:b/>
      <w:bCs/>
      <w:color w:val="000000"/>
      <w:sz w:val="24"/>
      <w:szCs w:val="20"/>
    </w:rPr>
  </w:style>
  <w:style w:type="paragraph" w:customStyle="1" w:styleId="437">
    <w:name w:val="Revision"/>
    <w:autoRedefine/>
    <w:qFormat/>
    <w:uiPriority w:val="0"/>
    <w:rPr>
      <w:rFonts w:ascii="Times New Roman" w:hAnsi="Times New Roman" w:eastAsia="宋体" w:cs="Times New Roman"/>
      <w:sz w:val="21"/>
      <w:lang w:val="en-US" w:eastAsia="zh-CN" w:bidi="ar-SA"/>
    </w:rPr>
  </w:style>
  <w:style w:type="paragraph" w:customStyle="1" w:styleId="438">
    <w:name w:val="font8"/>
    <w:basedOn w:val="1"/>
    <w:autoRedefine/>
    <w:qFormat/>
    <w:uiPriority w:val="0"/>
    <w:pPr>
      <w:widowControl/>
      <w:spacing w:before="100" w:beforeAutospacing="1" w:after="100" w:afterAutospacing="1"/>
      <w:jc w:val="left"/>
    </w:pPr>
    <w:rPr>
      <w:rFonts w:hint="eastAsia" w:ascii="宋体" w:hAnsi="宋体"/>
      <w:kern w:val="0"/>
      <w:sz w:val="40"/>
      <w:szCs w:val="40"/>
    </w:rPr>
  </w:style>
  <w:style w:type="paragraph" w:customStyle="1" w:styleId="439">
    <w:name w:val="Char Char Char Char Char Char Char1"/>
    <w:basedOn w:val="1"/>
    <w:autoRedefine/>
    <w:qFormat/>
    <w:uiPriority w:val="0"/>
    <w:pPr>
      <w:widowControl/>
      <w:spacing w:after="160" w:line="240" w:lineRule="exact"/>
      <w:ind w:firstLine="200" w:firstLineChars="200"/>
      <w:jc w:val="left"/>
    </w:pPr>
    <w:rPr>
      <w:rFonts w:ascii="Arial" w:hAnsi="Arial" w:eastAsia="Times New Roman" w:cs="Verdana"/>
      <w:b/>
      <w:spacing w:val="2"/>
      <w:kern w:val="0"/>
      <w:sz w:val="24"/>
      <w:lang w:eastAsia="en-US"/>
    </w:rPr>
  </w:style>
  <w:style w:type="paragraph" w:customStyle="1" w:styleId="440">
    <w:name w:val="xl4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kern w:val="0"/>
      <w:sz w:val="24"/>
    </w:rPr>
  </w:style>
  <w:style w:type="paragraph" w:customStyle="1" w:styleId="441">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442">
    <w:name w:val="_Style 21"/>
    <w:basedOn w:val="1"/>
    <w:next w:val="21"/>
    <w:autoRedefine/>
    <w:qFormat/>
    <w:uiPriority w:val="0"/>
    <w:pPr>
      <w:spacing w:line="200" w:lineRule="exact"/>
      <w:ind w:firstLine="301"/>
    </w:pPr>
    <w:rPr>
      <w:rFonts w:ascii="宋体" w:hAnsi="Courier New"/>
      <w:spacing w:val="-4"/>
      <w:sz w:val="18"/>
      <w:szCs w:val="20"/>
    </w:rPr>
  </w:style>
  <w:style w:type="paragraph" w:customStyle="1" w:styleId="443">
    <w:name w:val="样式 3 + 三号"/>
    <w:basedOn w:val="357"/>
    <w:next w:val="4"/>
    <w:autoRedefine/>
    <w:qFormat/>
    <w:uiPriority w:val="0"/>
    <w:rPr>
      <w:sz w:val="32"/>
    </w:rPr>
  </w:style>
  <w:style w:type="paragraph" w:customStyle="1" w:styleId="444">
    <w:name w:val="a"/>
    <w:basedOn w:val="336"/>
    <w:autoRedefine/>
    <w:qFormat/>
    <w:uiPriority w:val="0"/>
    <w:pPr>
      <w:ind w:left="360" w:hanging="360"/>
    </w:pPr>
    <w:rPr>
      <w:rFonts w:ascii="楷体" w:eastAsia="楷体"/>
      <w:sz w:val="24"/>
    </w:rPr>
  </w:style>
  <w:style w:type="paragraph" w:customStyle="1" w:styleId="445">
    <w:name w:val="样式 3 + 首行缩进:  0.31 厘米"/>
    <w:basedOn w:val="357"/>
    <w:next w:val="4"/>
    <w:autoRedefine/>
    <w:qFormat/>
    <w:uiPriority w:val="0"/>
    <w:pPr>
      <w:ind w:firstLine="175"/>
    </w:pPr>
    <w:rPr>
      <w:rFonts w:cs="宋体"/>
      <w:szCs w:val="20"/>
    </w:rPr>
  </w:style>
  <w:style w:type="paragraph" w:customStyle="1" w:styleId="446">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47">
    <w:name w:val="正文文本 21"/>
    <w:basedOn w:val="1"/>
    <w:autoRedefine/>
    <w:qFormat/>
    <w:uiPriority w:val="0"/>
    <w:pPr>
      <w:adjustRightInd w:val="0"/>
      <w:spacing w:line="460" w:lineRule="exact"/>
      <w:ind w:firstLine="635"/>
      <w:jc w:val="left"/>
      <w:textAlignment w:val="baseline"/>
    </w:pPr>
    <w:rPr>
      <w:sz w:val="28"/>
      <w:szCs w:val="20"/>
    </w:rPr>
  </w:style>
  <w:style w:type="paragraph" w:customStyle="1" w:styleId="448">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449">
    <w:name w:val="_Style 26"/>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50">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451">
    <w:name w:val="样式 样式 4 + 宋体 小三 黑色 + 左侧:  2 字符 首行缩进:  2 字符"/>
    <w:basedOn w:val="333"/>
    <w:next w:val="5"/>
    <w:autoRedefine/>
    <w:qFormat/>
    <w:uiPriority w:val="0"/>
    <w:pPr>
      <w:ind w:left="420" w:firstLine="602"/>
    </w:pPr>
    <w:rPr>
      <w:rFonts w:cs="宋体"/>
      <w:szCs w:val="20"/>
    </w:rPr>
  </w:style>
  <w:style w:type="paragraph" w:customStyle="1" w:styleId="452">
    <w:name w:val="(a)正文"/>
    <w:basedOn w:val="1"/>
    <w:autoRedefine/>
    <w:qFormat/>
    <w:uiPriority w:val="0"/>
    <w:pPr>
      <w:widowControl/>
      <w:tabs>
        <w:tab w:val="left" w:pos="1871"/>
      </w:tabs>
      <w:spacing w:line="360" w:lineRule="exact"/>
    </w:pPr>
    <w:rPr>
      <w:szCs w:val="20"/>
    </w:rPr>
  </w:style>
  <w:style w:type="paragraph" w:customStyle="1" w:styleId="453">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54">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455">
    <w:name w:val="部分编号"/>
    <w:basedOn w:val="1"/>
    <w:autoRedefine/>
    <w:qFormat/>
    <w:uiPriority w:val="0"/>
    <w:pPr>
      <w:widowControl/>
      <w:tabs>
        <w:tab w:val="left" w:pos="0"/>
        <w:tab w:val="left" w:pos="1418"/>
      </w:tabs>
      <w:spacing w:before="160" w:after="120" w:line="400" w:lineRule="exact"/>
      <w:ind w:left="1418" w:hanging="1418"/>
    </w:pPr>
    <w:rPr>
      <w:rFonts w:ascii="Arial" w:hAnsi="Arial" w:eastAsia="黑体"/>
      <w:spacing w:val="30"/>
      <w:sz w:val="24"/>
      <w:szCs w:val="20"/>
    </w:rPr>
  </w:style>
  <w:style w:type="paragraph" w:customStyle="1" w:styleId="456">
    <w:name w:val="Char Char Char Char Char Char Char Char Char Char Char Char Char Char Char Char"/>
    <w:basedOn w:val="1"/>
    <w:autoRedefine/>
    <w:qFormat/>
    <w:uiPriority w:val="0"/>
    <w:pPr>
      <w:tabs>
        <w:tab w:val="left" w:pos="360"/>
      </w:tabs>
      <w:spacing w:line="360" w:lineRule="auto"/>
      <w:ind w:left="482" w:firstLine="200" w:firstLineChars="200"/>
    </w:pPr>
    <w:rPr>
      <w:rFonts w:ascii="宋体"/>
      <w:sz w:val="24"/>
    </w:rPr>
  </w:style>
  <w:style w:type="paragraph" w:customStyle="1" w:styleId="457">
    <w:name w:val="样式 行距: 固定值 25 磅"/>
    <w:basedOn w:val="1"/>
    <w:autoRedefine/>
    <w:qFormat/>
    <w:uiPriority w:val="0"/>
    <w:pPr>
      <w:spacing w:line="500" w:lineRule="exact"/>
    </w:pPr>
    <w:rPr>
      <w:rFonts w:cs="宋体"/>
      <w:sz w:val="28"/>
      <w:szCs w:val="20"/>
    </w:rPr>
  </w:style>
  <w:style w:type="paragraph" w:customStyle="1" w:styleId="458">
    <w:name w:val="纯文本1"/>
    <w:basedOn w:val="1"/>
    <w:autoRedefine/>
    <w:qFormat/>
    <w:uiPriority w:val="0"/>
    <w:pPr>
      <w:adjustRightInd w:val="0"/>
      <w:jc w:val="left"/>
      <w:textAlignment w:val="baseline"/>
    </w:pPr>
    <w:rPr>
      <w:rFonts w:ascii="宋体" w:hAnsi="Courier New"/>
      <w:szCs w:val="20"/>
    </w:rPr>
  </w:style>
  <w:style w:type="paragraph" w:customStyle="1" w:styleId="459">
    <w:name w:val="样式 4 + 居中 段前: 0 磅 段后: 0 磅 行距: 单倍行距1"/>
    <w:basedOn w:val="109"/>
    <w:next w:val="5"/>
    <w:autoRedefine/>
    <w:qFormat/>
    <w:uiPriority w:val="0"/>
    <w:pPr>
      <w:spacing w:before="0" w:after="0" w:line="240" w:lineRule="auto"/>
      <w:jc w:val="center"/>
    </w:pPr>
    <w:rPr>
      <w:rFonts w:cs="宋体"/>
      <w:szCs w:val="20"/>
    </w:rPr>
  </w:style>
  <w:style w:type="paragraph" w:customStyle="1" w:styleId="46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461">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4"/>
    </w:rPr>
  </w:style>
  <w:style w:type="paragraph" w:customStyle="1" w:styleId="462">
    <w:name w:val="_Style 15"/>
    <w:basedOn w:val="1"/>
    <w:next w:val="28"/>
    <w:autoRedefine/>
    <w:qFormat/>
    <w:uiPriority w:val="0"/>
    <w:rPr>
      <w:rFonts w:ascii="宋体" w:hAnsi="Courier New"/>
      <w:szCs w:val="20"/>
    </w:rPr>
  </w:style>
  <w:style w:type="paragraph" w:customStyle="1" w:styleId="463">
    <w:name w:val="默认段落字体 Para Char Char Char Char Char Char Char Char Char Char"/>
    <w:basedOn w:val="1"/>
    <w:autoRedefine/>
    <w:qFormat/>
    <w:uiPriority w:val="0"/>
    <w:rPr>
      <w:rFonts w:ascii="Tahoma" w:hAnsi="Tahoma"/>
      <w:sz w:val="24"/>
      <w:u w:val="single"/>
    </w:rPr>
  </w:style>
  <w:style w:type="paragraph" w:customStyle="1" w:styleId="464">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465">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466">
    <w:name w:val="_Style 37"/>
    <w:basedOn w:val="1"/>
    <w:next w:val="1"/>
    <w:autoRedefine/>
    <w:qFormat/>
    <w:uiPriority w:val="0"/>
  </w:style>
  <w:style w:type="paragraph" w:customStyle="1" w:styleId="467">
    <w:name w:val="Char Char Char1"/>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468">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469">
    <w:name w:val="表头"/>
    <w:basedOn w:val="1"/>
    <w:autoRedefine/>
    <w:qFormat/>
    <w:uiPriority w:val="0"/>
    <w:pPr>
      <w:adjustRightInd w:val="0"/>
      <w:spacing w:line="420" w:lineRule="atLeast"/>
      <w:ind w:firstLine="200" w:firstLineChars="200"/>
      <w:jc w:val="center"/>
      <w:textAlignment w:val="baseline"/>
    </w:pPr>
    <w:rPr>
      <w:rFonts w:ascii="黑体" w:eastAsia="黑体"/>
      <w:kern w:val="0"/>
      <w:szCs w:val="20"/>
    </w:rPr>
  </w:style>
  <w:style w:type="paragraph" w:customStyle="1" w:styleId="470">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471">
    <w:name w:val="Char1 Char Char Char Char Char Char1"/>
    <w:basedOn w:val="1"/>
    <w:autoRedefine/>
    <w:qFormat/>
    <w:uiPriority w:val="0"/>
    <w:rPr>
      <w:rFonts w:ascii="Tahoma" w:hAnsi="Tahoma"/>
      <w:sz w:val="24"/>
      <w:szCs w:val="20"/>
    </w:rPr>
  </w:style>
  <w:style w:type="paragraph" w:customStyle="1" w:styleId="472">
    <w:name w:val="样式 标题 4 + 黑色 首行缩进:  2 字符"/>
    <w:basedOn w:val="6"/>
    <w:next w:val="6"/>
    <w:autoRedefine/>
    <w:qFormat/>
    <w:uiPriority w:val="0"/>
    <w:pPr>
      <w:spacing w:before="50" w:beforeLines="50" w:after="50" w:afterLines="50" w:line="240" w:lineRule="auto"/>
      <w:ind w:firstLine="562" w:firstLineChars="200"/>
    </w:pPr>
    <w:rPr>
      <w:rFonts w:cs="宋体"/>
      <w:color w:val="000000"/>
      <w:szCs w:val="20"/>
    </w:rPr>
  </w:style>
  <w:style w:type="paragraph" w:customStyle="1" w:styleId="473">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474">
    <w:name w:val="xl27"/>
    <w:basedOn w:val="1"/>
    <w:autoRedefine/>
    <w:qFormat/>
    <w:uiPriority w:val="0"/>
    <w:pPr>
      <w:widowControl/>
      <w:pBdr>
        <w:bottom w:val="single" w:color="auto" w:sz="4" w:space="0"/>
        <w:right w:val="single" w:color="auto" w:sz="4" w:space="0"/>
      </w:pBdr>
      <w:spacing w:before="100" w:beforeAutospacing="1" w:after="100" w:afterAutospacing="1"/>
      <w:jc w:val="center"/>
    </w:pPr>
    <w:rPr>
      <w:kern w:val="0"/>
      <w:sz w:val="24"/>
    </w:rPr>
  </w:style>
  <w:style w:type="paragraph" w:customStyle="1" w:styleId="475">
    <w:name w:val="Char1"/>
    <w:basedOn w:val="1"/>
    <w:autoRedefine/>
    <w:qFormat/>
    <w:uiPriority w:val="0"/>
    <w:rPr>
      <w:rFonts w:ascii="仿宋_GB2312" w:eastAsia="仿宋_GB2312"/>
      <w:b/>
      <w:sz w:val="32"/>
      <w:szCs w:val="32"/>
    </w:rPr>
  </w:style>
  <w:style w:type="paragraph" w:customStyle="1" w:styleId="476">
    <w:name w:val="样式 4 + 居中 段前: 0 磅 段后: 0 磅 行距: 单倍行距"/>
    <w:basedOn w:val="109"/>
    <w:next w:val="5"/>
    <w:autoRedefine/>
    <w:qFormat/>
    <w:uiPriority w:val="0"/>
    <w:pPr>
      <w:spacing w:before="0" w:after="0" w:line="240" w:lineRule="auto"/>
      <w:jc w:val="center"/>
    </w:pPr>
    <w:rPr>
      <w:rFonts w:cs="宋体"/>
      <w:szCs w:val="20"/>
    </w:rPr>
  </w:style>
  <w:style w:type="paragraph" w:customStyle="1" w:styleId="477">
    <w:name w:val="样式 4 + 宋体 小三 黑色 两端对齐 段前: 0 磅 段后: 0 磅 行距: 单倍行距"/>
    <w:basedOn w:val="109"/>
    <w:next w:val="5"/>
    <w:autoRedefine/>
    <w:qFormat/>
    <w:uiPriority w:val="0"/>
    <w:pPr>
      <w:spacing w:before="0" w:after="0" w:line="240" w:lineRule="auto"/>
      <w:jc w:val="both"/>
    </w:pPr>
    <w:rPr>
      <w:rFonts w:ascii="宋体" w:hAnsi="宋体" w:cs="宋体"/>
      <w:color w:val="000000"/>
      <w:sz w:val="30"/>
      <w:szCs w:val="20"/>
    </w:rPr>
  </w:style>
  <w:style w:type="paragraph" w:customStyle="1" w:styleId="478">
    <w:name w:val="xl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479">
    <w:name w:val="样式 样式 标题 3 + (中文) 黑体 小四 非加粗 段前: 7.8 磅 段后: 0 磅 行距: 固定值 20 磅 + 黑色..."/>
    <w:basedOn w:val="388"/>
    <w:next w:val="109"/>
    <w:autoRedefine/>
    <w:qFormat/>
    <w:uiPriority w:val="0"/>
    <w:pPr>
      <w:ind w:firstLine="480"/>
    </w:pPr>
    <w:rPr>
      <w:color w:val="000000"/>
    </w:rPr>
  </w:style>
  <w:style w:type="paragraph" w:customStyle="1" w:styleId="480">
    <w:name w:val="TOC 标题1"/>
    <w:basedOn w:val="2"/>
    <w:next w:val="1"/>
    <w:autoRedefine/>
    <w:unhideWhenUsed/>
    <w:qFormat/>
    <w:uiPriority w:val="39"/>
    <w:pPr>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481">
    <w:name w:val="简单回函地址"/>
    <w:basedOn w:val="1"/>
    <w:autoRedefine/>
    <w:qFormat/>
    <w:uiPriority w:val="0"/>
    <w:rPr>
      <w:rFonts w:ascii="仿宋_GB2312" w:hAnsi="宋体" w:eastAsia="仿宋_GB2312"/>
      <w:bCs/>
      <w:sz w:val="30"/>
      <w:szCs w:val="20"/>
    </w:rPr>
  </w:style>
  <w:style w:type="paragraph" w:customStyle="1" w:styleId="482">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4"/>
    </w:rPr>
  </w:style>
  <w:style w:type="paragraph" w:customStyle="1" w:styleId="483">
    <w:name w:val="样式 4 + 段前: 0 磅 段后: 0 磅 行距: 单倍行距1"/>
    <w:basedOn w:val="109"/>
    <w:next w:val="5"/>
    <w:autoRedefine/>
    <w:qFormat/>
    <w:uiPriority w:val="0"/>
    <w:pPr>
      <w:spacing w:before="0" w:after="0" w:line="240" w:lineRule="auto"/>
    </w:pPr>
    <w:rPr>
      <w:rFonts w:cs="宋体"/>
      <w:szCs w:val="20"/>
    </w:rPr>
  </w:style>
  <w:style w:type="paragraph" w:customStyle="1" w:styleId="484">
    <w:name w:val="文件标题"/>
    <w:basedOn w:val="1"/>
    <w:autoRedefine/>
    <w:qFormat/>
    <w:uiPriority w:val="0"/>
    <w:pPr>
      <w:jc w:val="center"/>
    </w:pPr>
    <w:rPr>
      <w:b/>
      <w:sz w:val="36"/>
      <w:szCs w:val="20"/>
    </w:rPr>
  </w:style>
  <w:style w:type="paragraph" w:customStyle="1" w:styleId="485">
    <w:name w:val="2 Char Char Char Char Char Char Char Char Char Char Char Char1 Char"/>
    <w:basedOn w:val="1"/>
    <w:autoRedefine/>
    <w:qFormat/>
    <w:uiPriority w:val="0"/>
    <w:pPr>
      <w:spacing w:line="360" w:lineRule="auto"/>
      <w:ind w:firstLine="200" w:firstLineChars="200"/>
    </w:pPr>
  </w:style>
  <w:style w:type="paragraph" w:customStyle="1" w:styleId="486">
    <w:name w:val="菲页(卷)"/>
    <w:basedOn w:val="2"/>
    <w:next w:val="487"/>
    <w:autoRedefine/>
    <w:qFormat/>
    <w:uiPriority w:val="0"/>
    <w:pPr>
      <w:keepLines w:val="0"/>
      <w:pageBreakBefore/>
      <w:widowControl/>
      <w:tabs>
        <w:tab w:val="left" w:pos="0"/>
      </w:tabs>
      <w:spacing w:before="0" w:after="0" w:line="240" w:lineRule="auto"/>
      <w:jc w:val="center"/>
      <w:outlineLvl w:val="1"/>
    </w:pPr>
    <w:rPr>
      <w:rFonts w:ascii="黑体" w:eastAsia="黑体"/>
      <w:bCs w:val="0"/>
      <w:kern w:val="0"/>
      <w:sz w:val="32"/>
      <w:szCs w:val="20"/>
    </w:rPr>
  </w:style>
  <w:style w:type="paragraph" w:customStyle="1" w:styleId="487">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488">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489">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490">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491">
    <w:name w:val="xl34"/>
    <w:basedOn w:val="1"/>
    <w:autoRedefine/>
    <w:qFormat/>
    <w:uiPriority w:val="0"/>
    <w:pPr>
      <w:widowControl/>
      <w:pBdr>
        <w:left w:val="single" w:color="auto" w:sz="4" w:space="0"/>
        <w:right w:val="single" w:color="auto" w:sz="4" w:space="0"/>
      </w:pBdr>
      <w:spacing w:before="100" w:after="100"/>
      <w:jc w:val="center"/>
    </w:pPr>
    <w:rPr>
      <w:rFonts w:ascii="宋体" w:hAnsi="宋体"/>
      <w:kern w:val="0"/>
      <w:sz w:val="24"/>
      <w:szCs w:val="20"/>
    </w:rPr>
  </w:style>
  <w:style w:type="paragraph" w:customStyle="1" w:styleId="492">
    <w:name w:val="样式 标题 4 + 小四 首行缩进:  2 字符"/>
    <w:basedOn w:val="5"/>
    <w:next w:val="6"/>
    <w:autoRedefine/>
    <w:qFormat/>
    <w:uiPriority w:val="0"/>
    <w:pPr>
      <w:widowControl w:val="0"/>
      <w:spacing w:before="120" w:after="120" w:line="360" w:lineRule="exact"/>
      <w:ind w:firstLine="482"/>
    </w:pPr>
    <w:rPr>
      <w:rFonts w:ascii="Cambria" w:hAnsi="Cambria" w:eastAsia="黑体" w:cs="宋体"/>
      <w:iCs w:val="0"/>
      <w:sz w:val="24"/>
      <w:szCs w:val="20"/>
    </w:rPr>
  </w:style>
  <w:style w:type="paragraph" w:customStyle="1" w:styleId="493">
    <w:name w:val="表"/>
    <w:basedOn w:val="1"/>
    <w:autoRedefine/>
    <w:qFormat/>
    <w:uiPriority w:val="0"/>
    <w:pPr>
      <w:spacing w:line="300" w:lineRule="auto"/>
    </w:pPr>
    <w:rPr>
      <w:color w:val="000000"/>
      <w:szCs w:val="21"/>
    </w:rPr>
  </w:style>
  <w:style w:type="table" w:customStyle="1" w:styleId="494">
    <w:name w:val="Table Normal"/>
    <w:autoRedefine/>
    <w:unhideWhenUsed/>
    <w:qFormat/>
    <w:uiPriority w:val="2"/>
    <w:pPr>
      <w:widowControl w:val="0"/>
      <w:autoSpaceDE w:val="0"/>
      <w:autoSpaceDN w:val="0"/>
    </w:pPr>
    <w:rPr>
      <w:rFonts w:ascii="Calibri" w:hAnsi="Calibri"/>
      <w:sz w:val="22"/>
      <w:lang w:val="en-US" w:eastAsia="en-US" w:bidi="ar-SA"/>
    </w:rPr>
    <w:tblPr>
      <w:tblCellMar>
        <w:top w:w="0" w:type="dxa"/>
        <w:left w:w="0" w:type="dxa"/>
        <w:bottom w:w="0" w:type="dxa"/>
        <w:right w:w="0" w:type="dxa"/>
      </w:tblCellMar>
    </w:tblPr>
  </w:style>
  <w:style w:type="paragraph" w:customStyle="1" w:styleId="495">
    <w:name w:val="正文格式"/>
    <w:basedOn w:val="1"/>
    <w:autoRedefine/>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paragraph" w:customStyle="1" w:styleId="496">
    <w:name w:val="WPSOffice手动目录 1"/>
    <w:autoRedefine/>
    <w:qFormat/>
    <w:uiPriority w:val="0"/>
    <w:pPr>
      <w:ind w:leftChars="0"/>
    </w:pPr>
    <w:rPr>
      <w:rFonts w:ascii="Times New Roman" w:hAnsi="Times New Roman" w:eastAsia="宋体" w:cs="Times New Roman"/>
      <w:sz w:val="20"/>
      <w:szCs w:val="20"/>
    </w:rPr>
  </w:style>
  <w:style w:type="paragraph" w:customStyle="1" w:styleId="497">
    <w:name w:val="WPSOffice手动目录 2"/>
    <w:autoRedefine/>
    <w:qFormat/>
    <w:uiPriority w:val="0"/>
    <w:pPr>
      <w:ind w:leftChars="200"/>
    </w:pPr>
    <w:rPr>
      <w:rFonts w:ascii="Times New Roman" w:hAnsi="Times New Roman" w:eastAsia="宋体" w:cs="Times New Roman"/>
      <w:sz w:val="20"/>
      <w:szCs w:val="20"/>
    </w:rPr>
  </w:style>
  <w:style w:type="paragraph" w:customStyle="1" w:styleId="498">
    <w:name w:val="WPSOffice手动目录 3"/>
    <w:autoRedefine/>
    <w:qFormat/>
    <w:uiPriority w:val="0"/>
    <w:pPr>
      <w:ind w:leftChars="400"/>
    </w:pPr>
    <w:rPr>
      <w:rFonts w:ascii="Times New Roman" w:hAnsi="Times New Roman" w:eastAsia="宋体" w:cs="Times New Roman"/>
      <w:sz w:val="20"/>
      <w:szCs w:val="20"/>
    </w:rPr>
  </w:style>
  <w:style w:type="paragraph" w:customStyle="1" w:styleId="499">
    <w:name w:val="NormalIndent"/>
    <w:basedOn w:val="1"/>
    <w:next w:val="1"/>
    <w:autoRedefine/>
    <w:qFormat/>
    <w:uiPriority w:val="0"/>
    <w:pPr>
      <w:ind w:firstLine="420" w:firstLineChars="200"/>
    </w:pPr>
    <w:rPr>
      <w:kern w:val="0"/>
      <w:sz w:val="24"/>
    </w:rPr>
  </w:style>
  <w:style w:type="paragraph" w:customStyle="1" w:styleId="500">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1">
    <w:name w:val="正文呀2_1"/>
    <w:basedOn w:val="502"/>
    <w:autoRedefine/>
    <w:qFormat/>
    <w:uiPriority w:val="0"/>
    <w:rPr>
      <w:rFonts w:ascii="Times New Roman" w:hAnsi="Times New Roman" w:eastAsia="宋体" w:cs="Times New Roman"/>
      <w:kern w:val="2"/>
      <w:sz w:val="21"/>
      <w:lang w:val="en-US" w:eastAsia="zh-CN"/>
    </w:rPr>
  </w:style>
  <w:style w:type="paragraph" w:customStyle="1" w:styleId="502">
    <w:name w:val="正文呀_1"/>
    <w:basedOn w:val="503"/>
    <w:autoRedefine/>
    <w:qFormat/>
    <w:uiPriority w:val="0"/>
    <w:pPr>
      <w:spacing w:line="420" w:lineRule="exact"/>
      <w:ind w:firstLine="420" w:firstLineChars="200"/>
    </w:pPr>
    <w:rPr>
      <w:rFonts w:ascii="宋体" w:hAnsi="宋体"/>
      <w:kern w:val="0"/>
      <w:sz w:val="20"/>
      <w:szCs w:val="21"/>
      <w:lang w:val="zh-CN" w:eastAsia="zh-CN"/>
    </w:rPr>
  </w:style>
  <w:style w:type="paragraph" w:customStyle="1" w:styleId="503">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4">
    <w:name w:val="正文小标题_0"/>
    <w:basedOn w:val="505"/>
    <w:autoRedefine/>
    <w:qFormat/>
    <w:uiPriority w:val="0"/>
    <w:pPr>
      <w:spacing w:line="420" w:lineRule="exact"/>
    </w:pPr>
    <w:rPr>
      <w:rFonts w:hAnsi="宋体" w:eastAsia="宋体"/>
      <w:sz w:val="21"/>
      <w:szCs w:val="21"/>
    </w:rPr>
  </w:style>
  <w:style w:type="paragraph" w:customStyle="1" w:styleId="505">
    <w:name w:val="标题 1_0"/>
    <w:basedOn w:val="396"/>
    <w:next w:val="396"/>
    <w:autoRedefine/>
    <w:qFormat/>
    <w:uiPriority w:val="99"/>
    <w:pPr>
      <w:keepNext/>
      <w:keepLines/>
      <w:spacing w:line="360" w:lineRule="auto"/>
      <w:outlineLvl w:val="0"/>
    </w:pPr>
    <w:rPr>
      <w:rFonts w:eastAsia="黑体"/>
      <w:b/>
      <w:bCs/>
      <w:kern w:val="44"/>
      <w:sz w:val="32"/>
      <w:szCs w:val="44"/>
    </w:rPr>
  </w:style>
  <w:style w:type="paragraph" w:customStyle="1" w:styleId="506">
    <w:name w:val="纯文本_0"/>
    <w:basedOn w:val="396"/>
    <w:autoRedefine/>
    <w:unhideWhenUsed/>
    <w:qFormat/>
    <w:uiPriority w:val="0"/>
    <w:rPr>
      <w:rFonts w:ascii="宋体" w:hAnsi="Courier New"/>
      <w:szCs w:val="24"/>
    </w:rPr>
  </w:style>
  <w:style w:type="paragraph" w:customStyle="1" w:styleId="507">
    <w:name w:val="正文_5"/>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8">
    <w:name w:val="hover1"/>
    <w:basedOn w:val="56"/>
    <w:qFormat/>
    <w:uiPriority w:val="0"/>
    <w:rPr>
      <w:color w:val="2590EB"/>
    </w:rPr>
  </w:style>
  <w:style w:type="character" w:customStyle="1" w:styleId="509">
    <w:name w:val="hover2"/>
    <w:basedOn w:val="56"/>
    <w:qFormat/>
    <w:uiPriority w:val="0"/>
    <w:rPr>
      <w:color w:val="2590EB"/>
    </w:rPr>
  </w:style>
  <w:style w:type="character" w:customStyle="1" w:styleId="510">
    <w:name w:val="hover3"/>
    <w:basedOn w:val="56"/>
    <w:qFormat/>
    <w:uiPriority w:val="0"/>
  </w:style>
  <w:style w:type="character" w:customStyle="1" w:styleId="511">
    <w:name w:val="mini-outputtext1"/>
    <w:basedOn w:val="56"/>
    <w:qFormat/>
    <w:uiPriority w:val="0"/>
  </w:style>
  <w:style w:type="character" w:customStyle="1" w:styleId="512">
    <w:name w:val="hover"/>
    <w:basedOn w:val="56"/>
    <w:qFormat/>
    <w:uiPriority w:val="0"/>
  </w:style>
  <w:style w:type="paragraph" w:customStyle="1" w:styleId="513">
    <w:name w:val="正文_1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4">
    <w:name w:val="正文呀2_0"/>
    <w:basedOn w:val="515"/>
    <w:qFormat/>
    <w:uiPriority w:val="0"/>
    <w:pPr>
      <w:spacing w:line="420" w:lineRule="exact"/>
      <w:ind w:firstLine="420" w:firstLineChars="200"/>
    </w:pPr>
    <w:rPr>
      <w:rFonts w:eastAsia="等线"/>
      <w:szCs w:val="21"/>
    </w:rPr>
  </w:style>
  <w:style w:type="paragraph" w:customStyle="1" w:styleId="515">
    <w:name w:val="正文呀_0"/>
    <w:basedOn w:val="396"/>
    <w:qFormat/>
    <w:uiPriority w:val="0"/>
    <w:pPr>
      <w:spacing w:line="420" w:lineRule="exact"/>
      <w:ind w:firstLine="420" w:firstLineChars="200"/>
    </w:pPr>
    <w:rPr>
      <w:rFonts w:ascii="宋体" w:hAnsi="宋体"/>
      <w:szCs w:val="21"/>
    </w:rPr>
  </w:style>
  <w:style w:type="paragraph" w:customStyle="1" w:styleId="516">
    <w:name w:val="无间隔_0"/>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17">
    <w:name w:val="正本"/>
    <w:basedOn w:val="1"/>
    <w:qFormat/>
    <w:uiPriority w:val="99"/>
    <w:pPr>
      <w:spacing w:line="360" w:lineRule="auto"/>
      <w:ind w:firstLine="480" w:firstLineChars="200"/>
    </w:pPr>
    <w:rPr>
      <w:rFonts w:ascii="宋体" w:hAnsi="宋体"/>
      <w:sz w:val="24"/>
    </w:rPr>
  </w:style>
  <w:style w:type="paragraph" w:customStyle="1" w:styleId="518">
    <w:name w:val="Table Text"/>
    <w:basedOn w:val="1"/>
    <w:semiHidden/>
    <w:qFormat/>
    <w:uiPriority w:val="0"/>
    <w:rPr>
      <w:rFonts w:ascii="微软雅黑" w:hAnsi="微软雅黑" w:eastAsia="微软雅黑" w:cs="微软雅黑"/>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zyz</Company>
  <Pages>106</Pages>
  <Words>14145</Words>
  <Characters>15277</Characters>
  <Lines>368</Lines>
  <Paragraphs>103</Paragraphs>
  <TotalTime>7</TotalTime>
  <ScaleCrop>false</ScaleCrop>
  <LinksUpToDate>false</LinksUpToDate>
  <CharactersWithSpaces>15480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2019-07-01T07:04:00Z</dcterms:created>
  <dc:creator>NTKO</dc:creator>
  <cp:lastModifiedBy>YS.寶ぃ</cp:lastModifiedBy>
  <cp:lastPrinted>2026-06-08T01:55:00Z</cp:lastPrinted>
  <dcterms:modified xsi:type="dcterms:W3CDTF">2026-08-20T12:45:10Z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73D1138766EE400F935051C9EE20CCEA_13</vt:lpwstr>
  </property>
  <property fmtid="{D5CDD505-2E9C-101B-9397-08002B2CF9AE}" pid="4" name="commondata">
    <vt:lpwstr>eyJoZGlkIjoiNmI0ZWI0N2Y0ZjU5YzVjZThmOGM0OTdjZGU1NTliN2QifQ==</vt:lpwstr>
  </property>
  <property fmtid="{D5CDD505-2E9C-101B-9397-08002B2CF9AE}" pid="5" name="KSOTemplateDocerSaveRecord">
    <vt:lpwstr>eyJoZGlkIjoiNzAxMWEwMDA2NjFmM2YxNDkwYmRiOTk5ZjM0ZTE4OTQiLCJ1c2VySWQiOiI0MTAxMTQ3NTIifQ==</vt:lpwstr>
  </property>
</Properties>
</file>