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54683E">
      <w:pPr>
        <w:rPr>
          <w:rFonts w:cs="Times New Roman" w:asciiTheme="minorEastAsia" w:hAnsiTheme="minorEastAsia"/>
          <w:color w:val="auto"/>
          <w:highlight w:val="none"/>
        </w:rPr>
      </w:pPr>
    </w:p>
    <w:p w14:paraId="693E9D6A">
      <w:pPr>
        <w:tabs>
          <w:tab w:val="left" w:pos="1710"/>
        </w:tabs>
        <w:rPr>
          <w:rFonts w:ascii="宋体" w:cs="宋体"/>
          <w:color w:val="auto"/>
          <w:highlight w:val="none"/>
        </w:rPr>
      </w:pPr>
    </w:p>
    <w:p w14:paraId="6B6586AA">
      <w:pPr>
        <w:pStyle w:val="62"/>
        <w:rPr>
          <w:rFonts w:cs="宋体"/>
          <w:color w:val="auto"/>
          <w:highlight w:val="none"/>
        </w:rPr>
      </w:pPr>
      <w:r>
        <w:rPr>
          <w:rFonts w:hint="eastAsia" w:ascii="楷体" w:hAnsi="楷体" w:eastAsia="楷体" w:cs="楷体"/>
          <w:color w:val="auto"/>
          <w:szCs w:val="21"/>
          <w:highlight w:val="none"/>
        </w:rPr>
        <w:drawing>
          <wp:anchor distT="0" distB="0" distL="114300" distR="114300" simplePos="0" relativeHeight="251666432" behindDoc="0" locked="0" layoutInCell="1" allowOverlap="1">
            <wp:simplePos x="0" y="0"/>
            <wp:positionH relativeFrom="column">
              <wp:posOffset>2186305</wp:posOffset>
            </wp:positionH>
            <wp:positionV relativeFrom="paragraph">
              <wp:posOffset>40005</wp:posOffset>
            </wp:positionV>
            <wp:extent cx="1503045" cy="1202055"/>
            <wp:effectExtent l="0" t="0" r="1905" b="17145"/>
            <wp:wrapNone/>
            <wp:docPr id="2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pic:cNvPicPr>
                      <a:picLocks noChangeAspect="1"/>
                    </pic:cNvPicPr>
                  </pic:nvPicPr>
                  <pic:blipFill>
                    <a:blip r:embed="rId18" cstate="print"/>
                    <a:stretch>
                      <a:fillRect/>
                    </a:stretch>
                  </pic:blipFill>
                  <pic:spPr>
                    <a:xfrm>
                      <a:off x="0" y="0"/>
                      <a:ext cx="1503045" cy="1202055"/>
                    </a:xfrm>
                    <a:prstGeom prst="rect">
                      <a:avLst/>
                    </a:prstGeom>
                    <a:noFill/>
                    <a:ln>
                      <a:noFill/>
                    </a:ln>
                  </pic:spPr>
                </pic:pic>
              </a:graphicData>
            </a:graphic>
          </wp:anchor>
        </w:drawing>
      </w:r>
    </w:p>
    <w:p w14:paraId="674BCCAD">
      <w:pPr>
        <w:rPr>
          <w:rFonts w:hint="eastAsia" w:ascii="宋体" w:hAnsi="宋体"/>
          <w:color w:val="auto"/>
          <w:sz w:val="18"/>
          <w:highlight w:val="none"/>
        </w:rPr>
      </w:pPr>
    </w:p>
    <w:p w14:paraId="4E158F8C">
      <w:pPr>
        <w:jc w:val="center"/>
        <w:rPr>
          <w:rFonts w:hint="eastAsia" w:ascii="宋体" w:hAnsi="宋体" w:cs="宋体"/>
          <w:b/>
          <w:bCs/>
          <w:color w:val="auto"/>
          <w:kern w:val="0"/>
          <w:sz w:val="36"/>
          <w:szCs w:val="44"/>
          <w:highlight w:val="none"/>
        </w:rPr>
      </w:pPr>
    </w:p>
    <w:p w14:paraId="43B7199E">
      <w:pPr>
        <w:jc w:val="both"/>
        <w:rPr>
          <w:rFonts w:hint="eastAsia" w:ascii="宋体" w:hAnsi="宋体" w:cs="宋体"/>
          <w:b/>
          <w:bCs/>
          <w:color w:val="auto"/>
          <w:kern w:val="0"/>
          <w:sz w:val="36"/>
          <w:szCs w:val="44"/>
          <w:highlight w:val="none"/>
        </w:rPr>
      </w:pPr>
    </w:p>
    <w:p w14:paraId="3AF2A34F">
      <w:pPr>
        <w:jc w:val="center"/>
        <w:rPr>
          <w:rFonts w:hint="eastAsia" w:ascii="宋体" w:hAnsi="宋体" w:cs="宋体"/>
          <w:b/>
          <w:color w:val="auto"/>
          <w:kern w:val="0"/>
          <w:sz w:val="36"/>
          <w:szCs w:val="44"/>
          <w:highlight w:val="none"/>
        </w:rPr>
      </w:pPr>
      <w:r>
        <w:rPr>
          <w:rFonts w:hint="eastAsia" w:ascii="宋体" w:hAnsi="宋体"/>
          <w:b/>
          <w:color w:val="auto"/>
          <w:kern w:val="0"/>
          <w:sz w:val="44"/>
          <w:szCs w:val="44"/>
          <w:highlight w:val="none"/>
        </w:rPr>
        <w:t>华 睿 诚 项 目 管 理 有 限 公 司</w:t>
      </w:r>
    </w:p>
    <w:p w14:paraId="221AABD2">
      <w:pPr>
        <w:jc w:val="center"/>
        <w:rPr>
          <w:rFonts w:hint="eastAsia" w:ascii="宋体" w:hAnsi="宋体" w:cs="宋体"/>
          <w:b/>
          <w:bCs/>
          <w:color w:val="auto"/>
          <w:kern w:val="0"/>
          <w:sz w:val="36"/>
          <w:szCs w:val="44"/>
          <w:highlight w:val="none"/>
        </w:rPr>
      </w:pPr>
      <w:r>
        <w:rPr>
          <w:rFonts w:hint="eastAsia" w:ascii="宋体" w:hAnsi="宋体" w:cs="宋体"/>
          <w:b/>
          <w:bCs/>
          <w:color w:val="auto"/>
          <w:kern w:val="0"/>
          <w:sz w:val="36"/>
          <w:szCs w:val="44"/>
          <w:highlight w:val="none"/>
        </w:rPr>
        <w:t xml:space="preserve"> </w:t>
      </w:r>
    </w:p>
    <w:p w14:paraId="0A9D2D0C">
      <w:pPr>
        <w:rPr>
          <w:rFonts w:hint="eastAsia" w:ascii="宋体" w:hAnsi="宋体"/>
          <w:color w:val="auto"/>
          <w:sz w:val="18"/>
          <w:highlight w:val="none"/>
        </w:rPr>
      </w:pPr>
      <w:r>
        <w:rPr>
          <w:rFonts w:ascii="宋体" w:hAnsi="宋体"/>
          <w:color w:val="auto"/>
          <w:sz w:val="36"/>
          <w:szCs w:val="44"/>
          <w:highlight w:val="none"/>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843270" cy="0"/>
                <wp:effectExtent l="0" t="28575" r="5080" b="28575"/>
                <wp:wrapNone/>
                <wp:docPr id="7" name="直接连接符 7"/>
                <wp:cNvGraphicFramePr/>
                <a:graphic xmlns:a="http://schemas.openxmlformats.org/drawingml/2006/main">
                  <a:graphicData uri="http://schemas.microsoft.com/office/word/2010/wordprocessingShape">
                    <wps:wsp>
                      <wps:cNvCnPr/>
                      <wps:spPr>
                        <a:xfrm>
                          <a:off x="0" y="0"/>
                          <a:ext cx="5843270"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60.1pt;z-index:251667456;mso-width-relative:page;mso-height-relative:page;" filled="f" stroked="t" coordsize="21600,21600" o:gfxdata="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UHjkTUAAAAAgEAAA8AAAAAAAAAAQAgAAAAIgAAAGRycy9kb3ducmV2LnhtbFBL&#10;AQIUABQAAAAIAIdO4kAe908b+gEAAOsDAAAOAAAAAAAAAAEAIAAAACMBAABkcnMvZTJvRG9jLnht&#10;bFBLBQYAAAAABgAGAFkBAACPBQAAAAA=&#10;">
                <v:fill on="f" focussize="0,0"/>
                <v:stroke weight="4.5pt" color="#000000" linestyle="thinThick" joinstyle="round"/>
                <v:imagedata o:title=""/>
                <o:lock v:ext="edit" aspectratio="f"/>
              </v:line>
            </w:pict>
          </mc:Fallback>
        </mc:AlternateContent>
      </w:r>
    </w:p>
    <w:p w14:paraId="5D19F2D1">
      <w:pPr>
        <w:jc w:val="both"/>
        <w:rPr>
          <w:rFonts w:ascii="宋体" w:hAnsi="宋体" w:cs="宋体"/>
          <w:b/>
          <w:color w:val="auto"/>
          <w:kern w:val="0"/>
          <w:sz w:val="36"/>
          <w:szCs w:val="44"/>
          <w:highlight w:val="none"/>
          <w:u w:val="double" w:color="000000" w:themeColor="text1"/>
        </w:rPr>
      </w:pPr>
    </w:p>
    <w:p w14:paraId="7D557879">
      <w:pPr>
        <w:rPr>
          <w:color w:val="auto"/>
          <w:highlight w:val="none"/>
        </w:rPr>
      </w:pPr>
    </w:p>
    <w:p w14:paraId="5FB41A17">
      <w:pPr>
        <w:rPr>
          <w:color w:val="auto"/>
          <w:highlight w:val="none"/>
        </w:rPr>
      </w:pPr>
    </w:p>
    <w:p w14:paraId="434D1F43">
      <w:pPr>
        <w:rPr>
          <w:color w:val="auto"/>
          <w:highlight w:val="none"/>
        </w:rPr>
      </w:pPr>
    </w:p>
    <w:p w14:paraId="769CEF36">
      <w:pPr>
        <w:pStyle w:val="15"/>
        <w:jc w:val="center"/>
        <w:rPr>
          <w:rFonts w:hAnsi="宋体"/>
          <w:bCs/>
          <w:color w:val="auto"/>
          <w:sz w:val="96"/>
          <w:szCs w:val="96"/>
          <w:highlight w:val="none"/>
        </w:rPr>
      </w:pPr>
      <w:r>
        <w:rPr>
          <w:rFonts w:hint="eastAsia" w:hAnsi="宋体"/>
          <w:bCs/>
          <w:color w:val="auto"/>
          <w:sz w:val="96"/>
          <w:szCs w:val="96"/>
          <w:highlight w:val="none"/>
        </w:rPr>
        <w:t>竞争性磋商文件</w:t>
      </w:r>
    </w:p>
    <w:p w14:paraId="6E2394E4">
      <w:pPr>
        <w:pStyle w:val="15"/>
        <w:jc w:val="center"/>
        <w:rPr>
          <w:rFonts w:hAnsi="宋体"/>
          <w:b/>
          <w:color w:val="auto"/>
          <w:sz w:val="96"/>
          <w:szCs w:val="96"/>
          <w:highlight w:val="none"/>
        </w:rPr>
      </w:pPr>
    </w:p>
    <w:p w14:paraId="7DD2074E">
      <w:pPr>
        <w:pStyle w:val="5"/>
        <w:rPr>
          <w:color w:val="auto"/>
          <w:highlight w:val="none"/>
        </w:rPr>
      </w:pPr>
    </w:p>
    <w:p w14:paraId="59E68E80">
      <w:pPr>
        <w:spacing w:line="480" w:lineRule="auto"/>
        <w:ind w:left="1" w:leftChars="-200" w:right="-388" w:rightChars="-185" w:hanging="421" w:hangingChars="131"/>
        <w:jc w:val="center"/>
        <w:rPr>
          <w:rFonts w:hint="default" w:hAnsi="宋体" w:cs="宋体"/>
          <w:b/>
          <w:color w:val="auto"/>
          <w:sz w:val="32"/>
          <w:szCs w:val="32"/>
          <w:highlight w:val="none"/>
          <w:lang w:val="en-US"/>
        </w:rPr>
      </w:pPr>
      <w:r>
        <w:rPr>
          <w:rFonts w:hint="eastAsia" w:hAnsi="宋体"/>
          <w:b/>
          <w:color w:val="auto"/>
          <w:sz w:val="32"/>
          <w:szCs w:val="32"/>
          <w:highlight w:val="none"/>
        </w:rPr>
        <w:t>项目名称: 梧州市文化路小学校园改造提升项目</w:t>
      </w:r>
    </w:p>
    <w:p w14:paraId="1C6F5BDA">
      <w:pPr>
        <w:spacing w:line="480" w:lineRule="auto"/>
        <w:ind w:firstLine="1751" w:firstLineChars="545"/>
        <w:rPr>
          <w:rFonts w:hAnsi="宋体"/>
          <w:b/>
          <w:color w:val="auto"/>
          <w:sz w:val="32"/>
          <w:szCs w:val="32"/>
          <w:highlight w:val="none"/>
        </w:rPr>
      </w:pPr>
      <w:r>
        <w:rPr>
          <w:rFonts w:hint="eastAsia" w:hAnsi="宋体"/>
          <w:b/>
          <w:color w:val="auto"/>
          <w:sz w:val="32"/>
          <w:szCs w:val="32"/>
          <w:highlight w:val="none"/>
        </w:rPr>
        <w:t>项目编号：WZZC2026-C2-030022-HRCX</w:t>
      </w:r>
    </w:p>
    <w:p w14:paraId="233F6819">
      <w:pPr>
        <w:rPr>
          <w:rFonts w:hAnsi="宋体" w:cs="宋体"/>
          <w:b/>
          <w:color w:val="auto"/>
          <w:sz w:val="32"/>
          <w:szCs w:val="32"/>
          <w:highlight w:val="none"/>
        </w:rPr>
      </w:pPr>
      <w:r>
        <w:rPr>
          <w:rFonts w:hint="eastAsia"/>
          <w:color w:val="auto"/>
          <w:sz w:val="32"/>
          <w:szCs w:val="32"/>
          <w:highlight w:val="none"/>
        </w:rPr>
        <w:t xml:space="preserve">                                                              </w:t>
      </w:r>
    </w:p>
    <w:p w14:paraId="0B02BAB1">
      <w:pPr>
        <w:rPr>
          <w:rFonts w:hAnsi="宋体" w:cs="宋体"/>
          <w:b/>
          <w:color w:val="auto"/>
          <w:sz w:val="32"/>
          <w:szCs w:val="32"/>
          <w:highlight w:val="none"/>
        </w:rPr>
      </w:pPr>
    </w:p>
    <w:p w14:paraId="13F73FD4">
      <w:pPr>
        <w:rPr>
          <w:rFonts w:hAnsi="宋体" w:cs="宋体"/>
          <w:b/>
          <w:color w:val="auto"/>
          <w:sz w:val="32"/>
          <w:szCs w:val="32"/>
          <w:highlight w:val="none"/>
        </w:rPr>
      </w:pPr>
    </w:p>
    <w:p w14:paraId="613A5A16">
      <w:pPr>
        <w:spacing w:line="560" w:lineRule="exact"/>
        <w:jc w:val="center"/>
        <w:rPr>
          <w:rFonts w:hint="default" w:hAnsi="宋体" w:cs="宋体"/>
          <w:b/>
          <w:color w:val="auto"/>
          <w:sz w:val="32"/>
          <w:szCs w:val="32"/>
          <w:highlight w:val="none"/>
          <w:lang w:val="en-US"/>
        </w:rPr>
      </w:pPr>
      <w:r>
        <w:rPr>
          <w:rFonts w:hAnsi="宋体" w:cs="宋体"/>
          <w:b/>
          <w:color w:val="auto"/>
          <w:sz w:val="32"/>
          <w:szCs w:val="32"/>
          <w:highlight w:val="none"/>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0</wp:posOffset>
                </wp:positionV>
                <wp:extent cx="5934075" cy="0"/>
                <wp:effectExtent l="0" t="28575" r="9525" b="28575"/>
                <wp:wrapNone/>
                <wp:docPr id="6" name="直接连接符 6"/>
                <wp:cNvGraphicFramePr/>
                <a:graphic xmlns:a="http://schemas.openxmlformats.org/drawingml/2006/main">
                  <a:graphicData uri="http://schemas.microsoft.com/office/word/2010/wordprocessingShape">
                    <wps:wsp>
                      <wps:cNvCnPr/>
                      <wps:spPr>
                        <a:xfrm>
                          <a:off x="0" y="0"/>
                          <a:ext cx="5934075" cy="0"/>
                        </a:xfrm>
                        <a:prstGeom prst="line">
                          <a:avLst/>
                        </a:prstGeom>
                        <a:ln w="57150" cap="flat" cmpd="thinThick">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9pt;margin-top:0pt;height:0pt;width:467.25pt;z-index:251663360;mso-width-relative:page;mso-height-relative:page;" filled="f" stroked="t" coordsize="21600,21600" o:gfxdata="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kqh9XVAAAABAEAAA8AAAAAAAAAAQAgAAAAIgAAAGRycy9kb3ducmV2&#10;LnhtbFBLAQIUABQAAAAIAIdO4kBcjoNq/wEAAPkDAAAOAAAAAAAAAAEAIAAAACQBAABkcnMvZTJv&#10;RG9jLnhtbFBLBQYAAAAABgAGAFkBAACVBQAAAAA=&#10;">
                <v:fill on="f" focussize="0,0"/>
                <v:stroke weight="4.5pt" color="#000000" linestyle="thinThick" joinstyle="round"/>
                <v:imagedata o:title=""/>
                <o:lock v:ext="edit" aspectratio="f"/>
              </v:line>
            </w:pict>
          </mc:Fallback>
        </mc:AlternateContent>
      </w:r>
      <w:r>
        <w:rPr>
          <w:rFonts w:hint="eastAsia" w:hAnsi="宋体" w:cs="宋体"/>
          <w:b/>
          <w:color w:val="auto"/>
          <w:sz w:val="32"/>
          <w:szCs w:val="32"/>
          <w:highlight w:val="none"/>
        </w:rPr>
        <w:t>采购单位：梧州市文化路小学</w:t>
      </w:r>
    </w:p>
    <w:p w14:paraId="09A66107">
      <w:pPr>
        <w:spacing w:line="560" w:lineRule="exact"/>
        <w:jc w:val="center"/>
        <w:rPr>
          <w:rFonts w:hAnsi="宋体" w:eastAsia="宋体" w:cs="宋体"/>
          <w:b/>
          <w:color w:val="auto"/>
          <w:sz w:val="32"/>
          <w:szCs w:val="32"/>
          <w:highlight w:val="none"/>
        </w:rPr>
      </w:pPr>
      <w:r>
        <w:rPr>
          <w:rFonts w:hint="eastAsia" w:hAnsi="宋体" w:cs="宋体"/>
          <w:b/>
          <w:color w:val="auto"/>
          <w:sz w:val="32"/>
          <w:szCs w:val="32"/>
          <w:highlight w:val="none"/>
        </w:rPr>
        <w:t>采购代理机构：华睿诚项目管理有限公司</w:t>
      </w:r>
    </w:p>
    <w:p w14:paraId="6A973E61">
      <w:pPr>
        <w:spacing w:line="560" w:lineRule="exact"/>
        <w:jc w:val="center"/>
        <w:rPr>
          <w:rFonts w:hAnsi="宋体" w:cs="宋体"/>
          <w:b/>
          <w:color w:val="auto"/>
          <w:sz w:val="32"/>
          <w:szCs w:val="32"/>
          <w:highlight w:val="none"/>
        </w:rPr>
      </w:pPr>
      <w:r>
        <w:rPr>
          <w:rFonts w:hint="eastAsia" w:hAnsi="宋体" w:cs="宋体"/>
          <w:b/>
          <w:color w:val="auto"/>
          <w:sz w:val="32"/>
          <w:szCs w:val="32"/>
          <w:highlight w:val="none"/>
        </w:rPr>
        <w:t>二O二</w:t>
      </w:r>
      <w:r>
        <w:rPr>
          <w:rFonts w:hint="eastAsia" w:hAnsi="宋体" w:cs="宋体"/>
          <w:b/>
          <w:color w:val="auto"/>
          <w:sz w:val="32"/>
          <w:szCs w:val="32"/>
          <w:highlight w:val="none"/>
          <w:lang w:val="en-US" w:eastAsia="zh-CN"/>
        </w:rPr>
        <w:t>六</w:t>
      </w:r>
      <w:r>
        <w:rPr>
          <w:rFonts w:hint="eastAsia" w:hAnsi="宋体" w:cs="宋体"/>
          <w:b/>
          <w:color w:val="auto"/>
          <w:sz w:val="32"/>
          <w:szCs w:val="32"/>
          <w:highlight w:val="none"/>
        </w:rPr>
        <w:t>年</w:t>
      </w:r>
      <w:r>
        <w:rPr>
          <w:rFonts w:hint="eastAsia" w:hAnsi="宋体" w:cs="宋体"/>
          <w:b/>
          <w:color w:val="auto"/>
          <w:sz w:val="32"/>
          <w:szCs w:val="32"/>
          <w:highlight w:val="none"/>
          <w:lang w:val="en-US" w:eastAsia="zh-CN"/>
        </w:rPr>
        <w:t>九</w:t>
      </w:r>
      <w:r>
        <w:rPr>
          <w:rFonts w:hint="eastAsia" w:hAnsi="宋体" w:cs="宋体"/>
          <w:b/>
          <w:color w:val="auto"/>
          <w:sz w:val="32"/>
          <w:szCs w:val="32"/>
          <w:highlight w:val="none"/>
        </w:rPr>
        <w:t>月</w:t>
      </w:r>
    </w:p>
    <w:p w14:paraId="5F2914F8">
      <w:pPr>
        <w:jc w:val="distribute"/>
        <w:rPr>
          <w:rFonts w:asciiTheme="minorEastAsia" w:hAnsiTheme="minorEastAsia" w:cstheme="minorEastAsia"/>
          <w:b/>
          <w:color w:val="auto"/>
          <w:kern w:val="0"/>
          <w:sz w:val="36"/>
          <w:highlight w:val="none"/>
        </w:rPr>
        <w:sectPr>
          <w:headerReference r:id="rId3" w:type="default"/>
          <w:endnotePr>
            <w:numFmt w:val="decimal"/>
          </w:endnotePr>
          <w:pgSz w:w="11906" w:h="16838"/>
          <w:pgMar w:top="1134" w:right="1418" w:bottom="1134" w:left="1418" w:header="397" w:footer="680" w:gutter="0"/>
          <w:paperSrc w:first="7" w:other="7"/>
          <w:pgNumType w:start="0"/>
          <w:cols w:space="720" w:num="1"/>
          <w:titlePg/>
          <w:docGrid w:type="lines" w:linePitch="312" w:charSpace="0"/>
        </w:sectPr>
      </w:pPr>
    </w:p>
    <w:p w14:paraId="79D64081">
      <w:pPr>
        <w:pStyle w:val="37"/>
        <w:spacing w:line="360" w:lineRule="auto"/>
        <w:jc w:val="center"/>
        <w:rPr>
          <w:rFonts w:asciiTheme="minorEastAsia" w:hAnsiTheme="minorEastAsia" w:cstheme="minorEastAsia"/>
          <w:b/>
          <w:color w:val="auto"/>
          <w:sz w:val="36"/>
          <w:szCs w:val="36"/>
          <w:highlight w:val="none"/>
        </w:rPr>
      </w:pPr>
      <w:r>
        <w:rPr>
          <w:rFonts w:hint="eastAsia" w:asciiTheme="minorEastAsia" w:hAnsiTheme="minorEastAsia" w:cstheme="minorEastAsia"/>
          <w:b/>
          <w:color w:val="auto"/>
          <w:sz w:val="36"/>
          <w:szCs w:val="36"/>
          <w:highlight w:val="none"/>
        </w:rPr>
        <w:t>目     录</w:t>
      </w:r>
    </w:p>
    <w:p w14:paraId="65557C8D">
      <w:pPr>
        <w:pStyle w:val="37"/>
        <w:spacing w:line="360" w:lineRule="auto"/>
        <w:rPr>
          <w:rFonts w:asciiTheme="minorEastAsia" w:hAnsiTheme="minorEastAsia" w:cstheme="minorEastAsia"/>
          <w:b/>
          <w:color w:val="auto"/>
          <w:sz w:val="28"/>
          <w:szCs w:val="24"/>
          <w:highlight w:val="none"/>
        </w:rPr>
      </w:pPr>
    </w:p>
    <w:sdt>
      <w:sdtPr>
        <w:rPr>
          <w:rFonts w:asciiTheme="minorEastAsia" w:hAnsiTheme="minorEastAsia"/>
          <w:b w:val="0"/>
          <w:smallCaps/>
          <w:color w:val="auto"/>
          <w:kern w:val="0"/>
          <w:sz w:val="24"/>
          <w:highlight w:val="none"/>
        </w:rPr>
        <w:id w:val="147461954"/>
        <w:docPartObj>
          <w:docPartGallery w:val="Table of Contents"/>
          <w:docPartUnique/>
        </w:docPartObj>
      </w:sdtPr>
      <w:sdtEndPr>
        <w:rPr>
          <w:rFonts w:asciiTheme="minorEastAsia" w:hAnsiTheme="minorEastAsia" w:cstheme="minorEastAsia"/>
          <w:b w:val="0"/>
          <w:smallCaps/>
          <w:color w:val="auto"/>
          <w:kern w:val="0"/>
          <w:sz w:val="24"/>
          <w:szCs w:val="24"/>
          <w:highlight w:val="none"/>
        </w:rPr>
      </w:sdtEndPr>
      <w:sdtContent>
        <w:p w14:paraId="2A5AEE3D">
          <w:pPr>
            <w:pStyle w:val="22"/>
            <w:rPr>
              <w:rStyle w:val="31"/>
              <w:rFonts w:cstheme="minorEastAsia"/>
              <w:color w:val="auto"/>
              <w:highlight w:val="none"/>
              <w:u w:val="none"/>
            </w:rPr>
          </w:pPr>
          <w:r>
            <w:rPr>
              <w:rStyle w:val="31"/>
              <w:rFonts w:hint="eastAsia" w:cstheme="minorEastAsia"/>
              <w:color w:val="auto"/>
              <w:highlight w:val="none"/>
              <w:u w:val="none"/>
            </w:rPr>
            <w:t>竞争性磋商公告</w:t>
          </w:r>
          <w:r>
            <w:rPr>
              <w:rStyle w:val="31"/>
              <w:rFonts w:hint="eastAsia" w:cstheme="minorEastAsia"/>
              <w:color w:val="auto"/>
              <w:highlight w:val="none"/>
              <w:u w:val="none"/>
            </w:rPr>
            <w:tab/>
          </w:r>
          <w:r>
            <w:rPr>
              <w:rStyle w:val="31"/>
              <w:rFonts w:hint="eastAsia" w:cstheme="minorEastAsia"/>
              <w:color w:val="auto"/>
              <w:highlight w:val="none"/>
              <w:u w:val="none"/>
            </w:rPr>
            <w:t>1</w:t>
          </w:r>
        </w:p>
        <w:p w14:paraId="52B69939">
          <w:pPr>
            <w:pStyle w:val="22"/>
            <w:tabs>
              <w:tab w:val="right" w:leader="dot" w:pos="9070"/>
              <w:tab w:val="clear" w:pos="9060"/>
            </w:tabs>
            <w:rPr>
              <w:rFonts w:hint="eastAsia" w:eastAsiaTheme="minorEastAsia"/>
              <w:color w:val="auto"/>
              <w:highlight w:val="none"/>
              <w:lang w:eastAsia="zh-CN"/>
            </w:rPr>
          </w:pPr>
          <w:r>
            <w:rPr>
              <w:rFonts w:asciiTheme="minorEastAsia" w:hAnsiTheme="minorEastAsia" w:cstheme="minorEastAsia"/>
              <w:color w:val="auto"/>
              <w:sz w:val="20"/>
              <w:szCs w:val="24"/>
              <w:highlight w:val="none"/>
            </w:rPr>
            <w:fldChar w:fldCharType="begin"/>
          </w:r>
          <w:r>
            <w:rPr>
              <w:rFonts w:asciiTheme="minorEastAsia" w:hAnsiTheme="minorEastAsia" w:cstheme="minorEastAsia"/>
              <w:color w:val="auto"/>
              <w:szCs w:val="24"/>
              <w:highlight w:val="none"/>
            </w:rPr>
            <w:instrText xml:space="preserve">TOC \o "1-1" \h \u </w:instrText>
          </w:r>
          <w:r>
            <w:rPr>
              <w:rFonts w:asciiTheme="minorEastAsia" w:hAnsiTheme="minorEastAsia" w:cstheme="minorEastAsia"/>
              <w:color w:val="auto"/>
              <w:sz w:val="20"/>
              <w:szCs w:val="24"/>
              <w:highlight w:val="none"/>
            </w:rPr>
            <w:fldChar w:fldCharType="separate"/>
          </w: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_Toc26669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第一章 磋商须知及磋商须知前附表</w:t>
          </w:r>
          <w:r>
            <w:rPr>
              <w:color w:val="auto"/>
              <w:highlight w:val="none"/>
            </w:rPr>
            <w:tab/>
          </w:r>
          <w:r>
            <w:rPr>
              <w:color w:val="auto"/>
              <w:highlight w:val="none"/>
            </w:rPr>
            <w:fldChar w:fldCharType="begin"/>
          </w:r>
          <w:r>
            <w:rPr>
              <w:color w:val="auto"/>
              <w:highlight w:val="none"/>
            </w:rPr>
            <w:instrText xml:space="preserve"> PAGEREF _Toc26669 \h </w:instrText>
          </w:r>
          <w:r>
            <w:rPr>
              <w:color w:val="auto"/>
              <w:highlight w:val="none"/>
            </w:rPr>
            <w:fldChar w:fldCharType="separate"/>
          </w:r>
          <w:r>
            <w:rPr>
              <w:color w:val="auto"/>
              <w:highlight w:val="none"/>
            </w:rPr>
            <w:t>5</w:t>
          </w:r>
          <w:r>
            <w:rPr>
              <w:color w:val="auto"/>
              <w:highlight w:val="none"/>
            </w:rPr>
            <w:fldChar w:fldCharType="end"/>
          </w:r>
          <w:r>
            <w:rPr>
              <w:rFonts w:asciiTheme="minorEastAsia" w:hAnsiTheme="minorEastAsia" w:cstheme="minorEastAsia"/>
              <w:color w:val="auto"/>
              <w:szCs w:val="24"/>
              <w:highlight w:val="none"/>
            </w:rPr>
            <w:fldChar w:fldCharType="end"/>
          </w:r>
        </w:p>
        <w:p w14:paraId="4B899407">
          <w:pPr>
            <w:pStyle w:val="22"/>
            <w:tabs>
              <w:tab w:val="right" w:leader="dot" w:pos="9070"/>
              <w:tab w:val="clear" w:pos="9060"/>
            </w:tabs>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_Toc15623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第二章 合同条款及格式</w:t>
          </w:r>
          <w:r>
            <w:rPr>
              <w:color w:val="auto"/>
              <w:highlight w:val="none"/>
            </w:rPr>
            <w:tab/>
          </w:r>
          <w:r>
            <w:rPr>
              <w:color w:val="auto"/>
              <w:highlight w:val="none"/>
            </w:rPr>
            <w:fldChar w:fldCharType="begin"/>
          </w:r>
          <w:r>
            <w:rPr>
              <w:color w:val="auto"/>
              <w:highlight w:val="none"/>
            </w:rPr>
            <w:instrText xml:space="preserve"> PAGEREF _Toc15623 \h </w:instrText>
          </w:r>
          <w:r>
            <w:rPr>
              <w:color w:val="auto"/>
              <w:highlight w:val="none"/>
            </w:rPr>
            <w:fldChar w:fldCharType="separate"/>
          </w:r>
          <w:r>
            <w:rPr>
              <w:color w:val="auto"/>
              <w:highlight w:val="none"/>
            </w:rPr>
            <w:t>25</w:t>
          </w:r>
          <w:r>
            <w:rPr>
              <w:color w:val="auto"/>
              <w:highlight w:val="none"/>
            </w:rPr>
            <w:fldChar w:fldCharType="end"/>
          </w:r>
          <w:r>
            <w:rPr>
              <w:rFonts w:asciiTheme="minorEastAsia" w:hAnsiTheme="minorEastAsia" w:cstheme="minorEastAsia"/>
              <w:color w:val="auto"/>
              <w:szCs w:val="24"/>
              <w:highlight w:val="none"/>
            </w:rPr>
            <w:fldChar w:fldCharType="end"/>
          </w:r>
        </w:p>
        <w:p w14:paraId="6F4C5B28">
          <w:pPr>
            <w:pStyle w:val="22"/>
            <w:tabs>
              <w:tab w:val="right" w:leader="dot" w:pos="9070"/>
              <w:tab w:val="clear" w:pos="9060"/>
            </w:tabs>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_Toc4423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第三章 工程技术标准和要求</w:t>
          </w:r>
          <w:r>
            <w:rPr>
              <w:color w:val="auto"/>
              <w:highlight w:val="none"/>
            </w:rPr>
            <w:tab/>
          </w:r>
          <w:r>
            <w:rPr>
              <w:color w:val="auto"/>
              <w:highlight w:val="none"/>
            </w:rPr>
            <w:fldChar w:fldCharType="begin"/>
          </w:r>
          <w:r>
            <w:rPr>
              <w:color w:val="auto"/>
              <w:highlight w:val="none"/>
            </w:rPr>
            <w:instrText xml:space="preserve"> PAGEREF _Toc4423 \h </w:instrText>
          </w:r>
          <w:r>
            <w:rPr>
              <w:color w:val="auto"/>
              <w:highlight w:val="none"/>
            </w:rPr>
            <w:fldChar w:fldCharType="separate"/>
          </w:r>
          <w:r>
            <w:rPr>
              <w:color w:val="auto"/>
              <w:highlight w:val="none"/>
            </w:rPr>
            <w:t>66</w:t>
          </w:r>
          <w:r>
            <w:rPr>
              <w:color w:val="auto"/>
              <w:highlight w:val="none"/>
            </w:rPr>
            <w:fldChar w:fldCharType="end"/>
          </w:r>
          <w:r>
            <w:rPr>
              <w:rFonts w:asciiTheme="minorEastAsia" w:hAnsiTheme="minorEastAsia" w:cstheme="minorEastAsia"/>
              <w:color w:val="auto"/>
              <w:szCs w:val="24"/>
              <w:highlight w:val="none"/>
            </w:rPr>
            <w:fldChar w:fldCharType="end"/>
          </w:r>
        </w:p>
        <w:p w14:paraId="00F2B225">
          <w:pPr>
            <w:pStyle w:val="22"/>
            <w:tabs>
              <w:tab w:val="right" w:leader="dot" w:pos="9070"/>
              <w:tab w:val="clear" w:pos="9060"/>
            </w:tabs>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_Toc25169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第四章 图纸</w:t>
          </w:r>
          <w:r>
            <w:rPr>
              <w:color w:val="auto"/>
              <w:highlight w:val="none"/>
            </w:rPr>
            <w:tab/>
          </w:r>
          <w:r>
            <w:rPr>
              <w:color w:val="auto"/>
              <w:highlight w:val="none"/>
            </w:rPr>
            <w:fldChar w:fldCharType="begin"/>
          </w:r>
          <w:r>
            <w:rPr>
              <w:color w:val="auto"/>
              <w:highlight w:val="none"/>
            </w:rPr>
            <w:instrText xml:space="preserve"> PAGEREF _Toc25169 \h </w:instrText>
          </w:r>
          <w:r>
            <w:rPr>
              <w:color w:val="auto"/>
              <w:highlight w:val="none"/>
            </w:rPr>
            <w:fldChar w:fldCharType="separate"/>
          </w:r>
          <w:r>
            <w:rPr>
              <w:color w:val="auto"/>
              <w:highlight w:val="none"/>
            </w:rPr>
            <w:t>66</w:t>
          </w:r>
          <w:r>
            <w:rPr>
              <w:color w:val="auto"/>
              <w:highlight w:val="none"/>
            </w:rPr>
            <w:fldChar w:fldCharType="end"/>
          </w:r>
          <w:r>
            <w:rPr>
              <w:rFonts w:asciiTheme="minorEastAsia" w:hAnsiTheme="minorEastAsia" w:cstheme="minorEastAsia"/>
              <w:color w:val="auto"/>
              <w:szCs w:val="24"/>
              <w:highlight w:val="none"/>
            </w:rPr>
            <w:fldChar w:fldCharType="end"/>
          </w:r>
        </w:p>
        <w:p w14:paraId="1E1524E5">
          <w:pPr>
            <w:pStyle w:val="22"/>
            <w:tabs>
              <w:tab w:val="right" w:leader="dot" w:pos="9070"/>
              <w:tab w:val="clear" w:pos="9060"/>
            </w:tabs>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_Toc19454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第五章 工程量清单</w:t>
          </w:r>
          <w:r>
            <w:rPr>
              <w:color w:val="auto"/>
              <w:highlight w:val="none"/>
            </w:rPr>
            <w:tab/>
          </w:r>
          <w:r>
            <w:rPr>
              <w:color w:val="auto"/>
              <w:highlight w:val="none"/>
            </w:rPr>
            <w:fldChar w:fldCharType="begin"/>
          </w:r>
          <w:r>
            <w:rPr>
              <w:color w:val="auto"/>
              <w:highlight w:val="none"/>
            </w:rPr>
            <w:instrText xml:space="preserve"> PAGEREF _Toc19454 \h </w:instrText>
          </w:r>
          <w:r>
            <w:rPr>
              <w:color w:val="auto"/>
              <w:highlight w:val="none"/>
            </w:rPr>
            <w:fldChar w:fldCharType="separate"/>
          </w:r>
          <w:r>
            <w:rPr>
              <w:color w:val="auto"/>
              <w:highlight w:val="none"/>
            </w:rPr>
            <w:t>66</w:t>
          </w:r>
          <w:r>
            <w:rPr>
              <w:color w:val="auto"/>
              <w:highlight w:val="none"/>
            </w:rPr>
            <w:fldChar w:fldCharType="end"/>
          </w:r>
          <w:r>
            <w:rPr>
              <w:rFonts w:asciiTheme="minorEastAsia" w:hAnsiTheme="minorEastAsia" w:cstheme="minorEastAsia"/>
              <w:color w:val="auto"/>
              <w:szCs w:val="24"/>
              <w:highlight w:val="none"/>
            </w:rPr>
            <w:fldChar w:fldCharType="end"/>
          </w:r>
        </w:p>
        <w:p w14:paraId="0D643B51">
          <w:pPr>
            <w:pStyle w:val="22"/>
            <w:tabs>
              <w:tab w:val="right" w:leader="dot" w:pos="9070"/>
              <w:tab w:val="clear" w:pos="9060"/>
            </w:tabs>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_Toc24601 </w:instrText>
          </w:r>
          <w:r>
            <w:rPr>
              <w:rFonts w:asciiTheme="minorEastAsia" w:hAnsiTheme="minorEastAsia" w:cstheme="minorEastAsia"/>
              <w:color w:val="auto"/>
              <w:szCs w:val="24"/>
              <w:highlight w:val="none"/>
            </w:rPr>
            <w:fldChar w:fldCharType="separate"/>
          </w:r>
          <w:r>
            <w:rPr>
              <w:rFonts w:hint="eastAsia" w:asciiTheme="minorEastAsia" w:hAnsiTheme="minorEastAsia" w:cstheme="minorEastAsia"/>
              <w:color w:val="auto"/>
              <w:highlight w:val="none"/>
            </w:rPr>
            <w:t>第六章 响应文件格式</w:t>
          </w:r>
          <w:r>
            <w:rPr>
              <w:color w:val="auto"/>
              <w:highlight w:val="none"/>
            </w:rPr>
            <w:tab/>
          </w:r>
          <w:r>
            <w:rPr>
              <w:color w:val="auto"/>
              <w:highlight w:val="none"/>
            </w:rPr>
            <w:fldChar w:fldCharType="begin"/>
          </w:r>
          <w:r>
            <w:rPr>
              <w:color w:val="auto"/>
              <w:highlight w:val="none"/>
            </w:rPr>
            <w:instrText xml:space="preserve"> PAGEREF _Toc24601 \h </w:instrText>
          </w:r>
          <w:r>
            <w:rPr>
              <w:color w:val="auto"/>
              <w:highlight w:val="none"/>
            </w:rPr>
            <w:fldChar w:fldCharType="separate"/>
          </w:r>
          <w:r>
            <w:rPr>
              <w:color w:val="auto"/>
              <w:highlight w:val="none"/>
            </w:rPr>
            <w:t>67</w:t>
          </w:r>
          <w:r>
            <w:rPr>
              <w:color w:val="auto"/>
              <w:highlight w:val="none"/>
            </w:rPr>
            <w:fldChar w:fldCharType="end"/>
          </w:r>
          <w:r>
            <w:rPr>
              <w:rFonts w:asciiTheme="minorEastAsia" w:hAnsiTheme="minorEastAsia" w:cstheme="minorEastAsia"/>
              <w:color w:val="auto"/>
              <w:szCs w:val="24"/>
              <w:highlight w:val="none"/>
            </w:rPr>
            <w:fldChar w:fldCharType="end"/>
          </w:r>
        </w:p>
        <w:p w14:paraId="74D8E605">
          <w:pPr>
            <w:pStyle w:val="22"/>
            <w:tabs>
              <w:tab w:val="right" w:leader="dot" w:pos="9070"/>
              <w:tab w:val="clear" w:pos="9060"/>
            </w:tabs>
            <w:rPr>
              <w:color w:val="auto"/>
              <w:highlight w:val="none"/>
            </w:rPr>
          </w:pPr>
          <w:r>
            <w:rPr>
              <w:rFonts w:asciiTheme="minorEastAsia" w:hAnsiTheme="minorEastAsia" w:cstheme="minorEastAsia"/>
              <w:color w:val="auto"/>
              <w:szCs w:val="24"/>
              <w:highlight w:val="none"/>
            </w:rPr>
            <w:fldChar w:fldCharType="begin"/>
          </w:r>
          <w:r>
            <w:rPr>
              <w:rFonts w:asciiTheme="minorEastAsia" w:hAnsiTheme="minorEastAsia" w:cstheme="minorEastAsia"/>
              <w:color w:val="auto"/>
              <w:szCs w:val="24"/>
              <w:highlight w:val="none"/>
            </w:rPr>
            <w:instrText xml:space="preserve"> HYPERLINK \l _Toc13412 </w:instrText>
          </w:r>
          <w:r>
            <w:rPr>
              <w:rFonts w:asciiTheme="minorEastAsia" w:hAnsiTheme="minorEastAsia" w:cstheme="minorEastAsia"/>
              <w:color w:val="auto"/>
              <w:szCs w:val="24"/>
              <w:highlight w:val="none"/>
            </w:rPr>
            <w:fldChar w:fldCharType="separate"/>
          </w:r>
          <w:r>
            <w:rPr>
              <w:rFonts w:hint="eastAsia" w:cs="黑体" w:asciiTheme="minorEastAsia" w:hAnsiTheme="minorEastAsia"/>
              <w:color w:val="auto"/>
              <w:highlight w:val="none"/>
            </w:rPr>
            <w:t>第七章</w:t>
          </w:r>
          <w:r>
            <w:rPr>
              <w:rFonts w:hint="eastAsia" w:asciiTheme="minorEastAsia" w:hAnsiTheme="minorEastAsia" w:cstheme="minorEastAsia"/>
              <w:color w:val="auto"/>
              <w:highlight w:val="none"/>
            </w:rPr>
            <w:t xml:space="preserve"> </w:t>
          </w:r>
          <w:r>
            <w:rPr>
              <w:rFonts w:hint="eastAsia" w:cs="黑体" w:asciiTheme="minorEastAsia" w:hAnsiTheme="minorEastAsia"/>
              <w:color w:val="auto"/>
              <w:highlight w:val="none"/>
            </w:rPr>
            <w:t>评标办法（综合评估法）</w:t>
          </w:r>
          <w:r>
            <w:rPr>
              <w:color w:val="auto"/>
              <w:highlight w:val="none"/>
            </w:rPr>
            <w:tab/>
          </w:r>
          <w:r>
            <w:rPr>
              <w:color w:val="auto"/>
              <w:highlight w:val="none"/>
            </w:rPr>
            <w:fldChar w:fldCharType="begin"/>
          </w:r>
          <w:r>
            <w:rPr>
              <w:color w:val="auto"/>
              <w:highlight w:val="none"/>
            </w:rPr>
            <w:instrText xml:space="preserve"> PAGEREF _Toc13412 \h </w:instrText>
          </w:r>
          <w:r>
            <w:rPr>
              <w:color w:val="auto"/>
              <w:highlight w:val="none"/>
            </w:rPr>
            <w:fldChar w:fldCharType="separate"/>
          </w:r>
          <w:r>
            <w:rPr>
              <w:color w:val="auto"/>
              <w:highlight w:val="none"/>
            </w:rPr>
            <w:t>91</w:t>
          </w:r>
          <w:r>
            <w:rPr>
              <w:color w:val="auto"/>
              <w:highlight w:val="none"/>
            </w:rPr>
            <w:fldChar w:fldCharType="end"/>
          </w:r>
          <w:r>
            <w:rPr>
              <w:rFonts w:asciiTheme="minorEastAsia" w:hAnsiTheme="minorEastAsia" w:cstheme="minorEastAsia"/>
              <w:color w:val="auto"/>
              <w:szCs w:val="24"/>
              <w:highlight w:val="none"/>
            </w:rPr>
            <w:fldChar w:fldCharType="end"/>
          </w:r>
        </w:p>
        <w:p w14:paraId="1227D432">
          <w:pPr>
            <w:pStyle w:val="24"/>
            <w:spacing w:line="360" w:lineRule="auto"/>
            <w:ind w:left="0"/>
            <w:rPr>
              <w:rFonts w:asciiTheme="minorEastAsia" w:hAnsiTheme="minorEastAsia" w:cstheme="minorEastAsia"/>
              <w:color w:val="auto"/>
              <w:szCs w:val="24"/>
              <w:highlight w:val="none"/>
            </w:rPr>
            <w:sectPr>
              <w:headerReference r:id="rId4" w:type="default"/>
              <w:footerReference r:id="rId5" w:type="default"/>
              <w:endnotePr>
                <w:numFmt w:val="decimal"/>
              </w:endnotePr>
              <w:pgSz w:w="11906" w:h="16838"/>
              <w:pgMar w:top="1134" w:right="1418" w:bottom="1134" w:left="1418" w:header="567" w:footer="567" w:gutter="0"/>
              <w:pgNumType w:start="1"/>
              <w:cols w:space="720" w:num="1"/>
              <w:docGrid w:type="lines" w:linePitch="312" w:charSpace="0"/>
            </w:sectPr>
          </w:pPr>
          <w:r>
            <w:rPr>
              <w:rFonts w:asciiTheme="minorEastAsia" w:hAnsiTheme="minorEastAsia" w:cstheme="minorEastAsia"/>
              <w:color w:val="auto"/>
              <w:szCs w:val="24"/>
              <w:highlight w:val="none"/>
            </w:rPr>
            <w:fldChar w:fldCharType="end"/>
          </w:r>
        </w:p>
      </w:sdtContent>
    </w:sdt>
    <w:p w14:paraId="7513855B">
      <w:pPr>
        <w:jc w:val="center"/>
        <w:rPr>
          <w:rStyle w:val="53"/>
          <w:rFonts w:cs="宋体" w:asciiTheme="minorEastAsia" w:hAnsiTheme="minorEastAsia"/>
          <w:b/>
          <w:bCs/>
          <w:color w:val="auto"/>
          <w:sz w:val="32"/>
          <w:szCs w:val="32"/>
          <w:highlight w:val="none"/>
        </w:rPr>
      </w:pPr>
      <w:bookmarkStart w:id="0" w:name="_Toc243584222"/>
      <w:r>
        <w:rPr>
          <w:rStyle w:val="53"/>
          <w:rFonts w:hint="eastAsia" w:cs="宋体" w:asciiTheme="minorEastAsia" w:hAnsiTheme="minorEastAsia"/>
          <w:b/>
          <w:bCs/>
          <w:color w:val="auto"/>
          <w:sz w:val="32"/>
          <w:szCs w:val="32"/>
          <w:highlight w:val="none"/>
        </w:rPr>
        <w:t xml:space="preserve">华睿诚项目管理有限公司 </w:t>
      </w:r>
    </w:p>
    <w:p w14:paraId="6A94FBDF">
      <w:pPr>
        <w:jc w:val="center"/>
        <w:rPr>
          <w:rStyle w:val="53"/>
          <w:rFonts w:hint="eastAsia" w:eastAsia="宋体" w:cs="宋体" w:asciiTheme="minorEastAsia" w:hAnsiTheme="minorEastAsia"/>
          <w:b/>
          <w:bCs/>
          <w:color w:val="auto"/>
          <w:sz w:val="32"/>
          <w:szCs w:val="32"/>
          <w:highlight w:val="none"/>
          <w:lang w:val="en-US" w:eastAsia="zh-CN"/>
        </w:rPr>
      </w:pPr>
      <w:r>
        <w:rPr>
          <w:rStyle w:val="53"/>
          <w:rFonts w:hint="eastAsia" w:eastAsia="宋体" w:cs="宋体" w:asciiTheme="minorEastAsia" w:hAnsiTheme="minorEastAsia"/>
          <w:b/>
          <w:bCs/>
          <w:color w:val="auto"/>
          <w:sz w:val="32"/>
          <w:szCs w:val="32"/>
          <w:highlight w:val="none"/>
          <w:lang w:val="en-US" w:eastAsia="zh-CN"/>
        </w:rPr>
        <w:t>梧州市文化路小学校园改造提升项目</w:t>
      </w:r>
    </w:p>
    <w:p w14:paraId="3F0861C4">
      <w:pPr>
        <w:jc w:val="center"/>
        <w:rPr>
          <w:rStyle w:val="53"/>
          <w:rFonts w:eastAsia="宋体" w:cs="宋体" w:asciiTheme="minorEastAsia" w:hAnsiTheme="minorEastAsia"/>
          <w:b/>
          <w:bCs/>
          <w:color w:val="auto"/>
          <w:sz w:val="32"/>
          <w:szCs w:val="32"/>
          <w:highlight w:val="none"/>
        </w:rPr>
      </w:pPr>
      <w:r>
        <w:rPr>
          <w:rStyle w:val="53"/>
          <w:rFonts w:hint="eastAsia" w:eastAsia="宋体" w:cs="宋体" w:asciiTheme="minorEastAsia" w:hAnsiTheme="minorEastAsia"/>
          <w:b/>
          <w:bCs/>
          <w:color w:val="auto"/>
          <w:sz w:val="32"/>
          <w:szCs w:val="32"/>
          <w:highlight w:val="none"/>
          <w:lang w:val="en-US" w:eastAsia="zh-CN"/>
        </w:rPr>
        <w:t>（项目编号：WZZC2026-C2-030022-HRCX）</w:t>
      </w:r>
      <w:r>
        <w:rPr>
          <w:rStyle w:val="53"/>
          <w:rFonts w:hint="eastAsia" w:eastAsia="宋体" w:cs="宋体" w:asciiTheme="minorEastAsia" w:hAnsiTheme="minorEastAsia"/>
          <w:b/>
          <w:bCs/>
          <w:color w:val="auto"/>
          <w:sz w:val="32"/>
          <w:szCs w:val="32"/>
          <w:highlight w:val="none"/>
        </w:rPr>
        <w:t>竞争性磋商公告</w:t>
      </w:r>
    </w:p>
    <w:tbl>
      <w:tblPr>
        <w:tblStyle w:val="27"/>
        <w:tblW w:w="98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40"/>
      </w:tblGrid>
      <w:tr w14:paraId="6B50C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2" w:hRule="atLeast"/>
        </w:trPr>
        <w:tc>
          <w:tcPr>
            <w:tcW w:w="9840" w:type="dxa"/>
            <w:tcBorders>
              <w:top w:val="single" w:color="000000" w:sz="4" w:space="0"/>
              <w:left w:val="single" w:color="000000" w:sz="4" w:space="0"/>
              <w:bottom w:val="single" w:color="000000" w:sz="4" w:space="0"/>
              <w:right w:val="single" w:color="000000" w:sz="4" w:space="0"/>
            </w:tcBorders>
          </w:tcPr>
          <w:p w14:paraId="546D420F">
            <w:pPr>
              <w:spacing w:line="360" w:lineRule="auto"/>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项目概况</w:t>
            </w:r>
          </w:p>
          <w:p w14:paraId="7B88CE89">
            <w:pPr>
              <w:spacing w:line="360" w:lineRule="auto"/>
              <w:ind w:left="210" w:leftChars="100" w:firstLine="240" w:firstLineChars="100"/>
              <w:rPr>
                <w:rStyle w:val="53"/>
                <w:rFonts w:asciiTheme="minorEastAsia" w:hAnsiTheme="minorEastAsia"/>
                <w:color w:val="auto"/>
                <w:sz w:val="24"/>
                <w:szCs w:val="24"/>
                <w:highlight w:val="none"/>
              </w:rPr>
            </w:pPr>
            <w:r>
              <w:rPr>
                <w:rStyle w:val="53"/>
                <w:rFonts w:hint="eastAsia" w:asciiTheme="minorEastAsia" w:hAnsiTheme="minorEastAsia"/>
                <w:color w:val="auto"/>
                <w:sz w:val="24"/>
                <w:szCs w:val="24"/>
                <w:highlight w:val="none"/>
                <w:u w:val="single"/>
                <w:lang w:eastAsia="zh-CN"/>
              </w:rPr>
              <w:t>梧州市文化路小学校园改造提升项目</w:t>
            </w:r>
            <w:r>
              <w:rPr>
                <w:rStyle w:val="53"/>
                <w:rFonts w:asciiTheme="minorEastAsia" w:hAnsiTheme="minorEastAsia"/>
                <w:color w:val="auto"/>
                <w:sz w:val="24"/>
                <w:szCs w:val="24"/>
                <w:highlight w:val="none"/>
              </w:rPr>
              <w:t>的潜在供应商应在</w:t>
            </w:r>
            <w:r>
              <w:rPr>
                <w:rStyle w:val="53"/>
                <w:rFonts w:hint="eastAsia" w:asciiTheme="minorEastAsia" w:hAnsiTheme="minorEastAsia"/>
                <w:color w:val="auto"/>
                <w:sz w:val="24"/>
                <w:szCs w:val="24"/>
                <w:highlight w:val="none"/>
                <w:u w:val="single"/>
              </w:rPr>
              <w:t>广西政府采购云平台（</w:t>
            </w:r>
            <w:r>
              <w:rPr>
                <w:rFonts w:hint="eastAsia" w:cs="宋体" w:asciiTheme="minorEastAsia" w:hAnsiTheme="minorEastAsia"/>
                <w:bCs/>
                <w:color w:val="auto"/>
                <w:kern w:val="0"/>
                <w:sz w:val="24"/>
                <w:szCs w:val="24"/>
                <w:highlight w:val="none"/>
                <w:u w:val="single"/>
              </w:rPr>
              <w:t>https://www.gcy.zfcg.gxzf.gov.cn/</w:t>
            </w:r>
            <w:r>
              <w:rPr>
                <w:rFonts w:hint="eastAsia" w:cs="宋体" w:asciiTheme="minorEastAsia" w:hAnsiTheme="minorEastAsia"/>
                <w:bCs/>
                <w:color w:val="auto"/>
                <w:kern w:val="0"/>
                <w:sz w:val="24"/>
                <w:szCs w:val="24"/>
                <w:highlight w:val="none"/>
              </w:rPr>
              <w:t>在线申请获取采购文件</w:t>
            </w:r>
            <w:r>
              <w:rPr>
                <w:rFonts w:hint="eastAsia" w:cs="宋体" w:asciiTheme="minorEastAsia" w:hAnsiTheme="minorEastAsia"/>
                <w:bCs/>
                <w:color w:val="auto"/>
                <w:kern w:val="0"/>
                <w:sz w:val="24"/>
                <w:szCs w:val="24"/>
                <w:highlight w:val="none"/>
                <w:lang w:val="en-US" w:eastAsia="zh-CN"/>
              </w:rPr>
              <w:t>并于</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9</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Fonts w:hint="eastAsia" w:cs="宋体" w:asciiTheme="minorEastAsia" w:hAnsiTheme="minorEastAsia"/>
                <w:bCs/>
                <w:color w:val="auto"/>
                <w:kern w:val="0"/>
                <w:sz w:val="24"/>
                <w:szCs w:val="24"/>
                <w:highlight w:val="none"/>
                <w:u w:val="single"/>
                <w:lang w:val="en-US" w:eastAsia="zh-CN"/>
              </w:rPr>
              <w:t>09时00分</w:t>
            </w:r>
            <w:r>
              <w:rPr>
                <w:rStyle w:val="31"/>
                <w:rFonts w:eastAsia="宋体" w:cs="Times New Roman" w:asciiTheme="minorEastAsia" w:hAnsiTheme="minorEastAsia"/>
                <w:color w:val="auto"/>
                <w:sz w:val="24"/>
                <w:szCs w:val="24"/>
                <w:highlight w:val="none"/>
              </w:rPr>
              <w:t>（</w:t>
            </w:r>
            <w:r>
              <w:rPr>
                <w:rStyle w:val="53"/>
                <w:rFonts w:asciiTheme="minorEastAsia" w:hAnsiTheme="minorEastAsia"/>
                <w:color w:val="auto"/>
                <w:sz w:val="24"/>
                <w:szCs w:val="24"/>
                <w:highlight w:val="none"/>
              </w:rPr>
              <w:t>北京时间）前递交响应文件。</w:t>
            </w:r>
          </w:p>
        </w:tc>
      </w:tr>
    </w:tbl>
    <w:p w14:paraId="3E96FF68">
      <w:pPr>
        <w:spacing w:line="450" w:lineRule="atLeast"/>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一、项目基本情况</w:t>
      </w:r>
    </w:p>
    <w:p w14:paraId="258BB8F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项目编号：WZZC2026-C2-030022-HRCX              </w:t>
      </w:r>
    </w:p>
    <w:p w14:paraId="130DBB0F">
      <w:pPr>
        <w:spacing w:line="360" w:lineRule="auto"/>
        <w:ind w:firstLine="480" w:firstLineChars="200"/>
        <w:rPr>
          <w:rFonts w:hint="eastAsia" w:ascii="宋体" w:cs="宋体" w:eastAsiaTheme="minorEastAsia"/>
          <w:color w:val="auto"/>
          <w:sz w:val="24"/>
          <w:szCs w:val="24"/>
          <w:highlight w:val="none"/>
          <w:lang w:val="en-US" w:eastAsia="zh-CN"/>
        </w:rPr>
      </w:pPr>
      <w:r>
        <w:rPr>
          <w:rFonts w:hint="eastAsia" w:ascii="宋体" w:hAnsi="宋体" w:cs="宋体"/>
          <w:color w:val="auto"/>
          <w:sz w:val="24"/>
          <w:szCs w:val="24"/>
          <w:highlight w:val="none"/>
        </w:rPr>
        <w:t>项目名称：</w:t>
      </w:r>
      <w:r>
        <w:rPr>
          <w:rFonts w:hint="eastAsia" w:ascii="宋体" w:hAnsi="宋体" w:cs="宋体"/>
          <w:color w:val="auto"/>
          <w:sz w:val="24"/>
          <w:szCs w:val="24"/>
          <w:highlight w:val="none"/>
          <w:lang w:eastAsia="zh-CN"/>
        </w:rPr>
        <w:t>梧州市文化路小学校园改造提升项目</w:t>
      </w:r>
    </w:p>
    <w:p w14:paraId="6965625A">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采购方式：竞争性磋商</w:t>
      </w:r>
    </w:p>
    <w:p w14:paraId="4064AF9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简要规格描述或项目基本概况介绍、用途：(1)拆除工程：拆除砖墙、内墙涂料、墙裙乳胶漆、外墙砂浆及涂 料面层、拆除门、移植花木；(2)建筑装修工程：安装304不锈钢门、块料楼地面、聚氨酯校门 口台阶及平台地面、块料内墙面、腻子乳胶漆内墙面、抹灰及涂料外墙面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(3)电气工程：新装教室专用照明灯、吊风扇及配套管线与开关插 座等；(4)总图工程：新建围墙工程、混凝土挡土墙、不锈钢宣传栏等。详见采购文件及工程量清单。</w:t>
      </w:r>
    </w:p>
    <w:p w14:paraId="769484C4">
      <w:pPr>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最高限价：</w:t>
      </w:r>
      <w:r>
        <w:rPr>
          <w:rFonts w:hint="eastAsia" w:ascii="宋体" w:hAnsi="宋体" w:cs="宋体"/>
          <w:color w:val="auto"/>
          <w:sz w:val="24"/>
          <w:szCs w:val="24"/>
          <w:highlight w:val="none"/>
          <w:lang w:val="en-US" w:eastAsia="zh-CN"/>
        </w:rPr>
        <w:t>柒拾叁万叁仟肆佰零陆元伍角玖分</w:t>
      </w:r>
      <w:r>
        <w:rPr>
          <w:rFonts w:hint="eastAsia" w:ascii="宋体" w:hAnsi="宋体" w:cs="宋体"/>
          <w:color w:val="auto"/>
          <w:sz w:val="24"/>
          <w:szCs w:val="24"/>
          <w:highlight w:val="none"/>
        </w:rPr>
        <w:t>（¥733406.59元）</w:t>
      </w:r>
    </w:p>
    <w:p w14:paraId="2B1C5C6E">
      <w:pPr>
        <w:spacing w:line="360" w:lineRule="auto"/>
        <w:ind w:left="0" w:leftChars="0"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合同履约期限：从本项目开工之日起</w:t>
      </w:r>
      <w:r>
        <w:rPr>
          <w:rFonts w:hint="eastAsia" w:ascii="宋体" w:hAnsi="宋体" w:cs="宋体"/>
          <w:color w:val="auto"/>
          <w:sz w:val="24"/>
          <w:szCs w:val="24"/>
          <w:highlight w:val="none"/>
          <w:lang w:val="en-US" w:eastAsia="zh-CN"/>
        </w:rPr>
        <w:t>120</w:t>
      </w:r>
      <w:r>
        <w:rPr>
          <w:rFonts w:hint="eastAsia" w:ascii="宋体" w:hAnsi="宋体" w:cs="宋体"/>
          <w:color w:val="auto"/>
          <w:sz w:val="24"/>
          <w:szCs w:val="24"/>
          <w:highlight w:val="none"/>
        </w:rPr>
        <w:t>日历天内完成（具体开工时间由采购人另外约定）。</w:t>
      </w:r>
    </w:p>
    <w:p w14:paraId="1160B609">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二、</w:t>
      </w:r>
      <w:r>
        <w:rPr>
          <w:rFonts w:hint="eastAsia" w:cs="宋体" w:asciiTheme="minorEastAsia" w:hAnsiTheme="minorEastAsia"/>
          <w:b/>
          <w:bCs/>
          <w:color w:val="auto"/>
          <w:kern w:val="0"/>
          <w:sz w:val="24"/>
          <w:szCs w:val="24"/>
          <w:highlight w:val="none"/>
        </w:rPr>
        <w:t>磋商供应商</w:t>
      </w:r>
      <w:r>
        <w:rPr>
          <w:rFonts w:cs="宋体" w:asciiTheme="minorEastAsia" w:hAnsiTheme="minorEastAsia"/>
          <w:b/>
          <w:bCs/>
          <w:color w:val="auto"/>
          <w:kern w:val="0"/>
          <w:sz w:val="24"/>
          <w:szCs w:val="24"/>
          <w:highlight w:val="none"/>
        </w:rPr>
        <w:t>的资格要求：</w:t>
      </w:r>
    </w:p>
    <w:p w14:paraId="381E6311">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 xml:space="preserve">1、必须在中华人民共和国境内注册，具有独立法人资格，同时具备建设行政主管部门颁发建筑工程施工总承包三级以上(含三级)资质的施工企业； </w:t>
      </w:r>
    </w:p>
    <w:p w14:paraId="0F1D4F9C">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2、磋商供应商拟派项目经理须具备建筑工程贰级以上（含贰级）注册建造师执业资格；</w:t>
      </w:r>
    </w:p>
    <w:p w14:paraId="7A93680E">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3、符合《中华人民共和国政府采购法》第二十二条的规定；</w:t>
      </w:r>
    </w:p>
    <w:p w14:paraId="2949A3B1">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74880D9">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5、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760A11B">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6、本项目不接受联合体参加磋商；</w:t>
      </w:r>
    </w:p>
    <w:p w14:paraId="56830EC7">
      <w:pPr>
        <w:spacing w:line="360" w:lineRule="auto"/>
        <w:ind w:firstLine="480" w:firstLineChars="2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7、本项目为专门面向中小企业采购，不再执行价格评审的优惠政策。供应商必须为中小企业。</w:t>
      </w:r>
    </w:p>
    <w:p w14:paraId="16991ADA">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三、获取采购文件</w:t>
      </w:r>
    </w:p>
    <w:p w14:paraId="52F05916">
      <w:pPr>
        <w:spacing w:line="360" w:lineRule="auto"/>
        <w:ind w:firstLine="240" w:firstLineChars="1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9</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14</w:t>
      </w:r>
      <w:r>
        <w:rPr>
          <w:rFonts w:hint="eastAsia" w:cs="宋体" w:asciiTheme="minorEastAsia" w:hAnsiTheme="minorEastAsia"/>
          <w:bCs/>
          <w:color w:val="auto"/>
          <w:kern w:val="0"/>
          <w:sz w:val="24"/>
          <w:szCs w:val="24"/>
          <w:highlight w:val="none"/>
          <w:u w:val="single"/>
        </w:rPr>
        <w:t>日</w:t>
      </w:r>
      <w:r>
        <w:rPr>
          <w:rFonts w:hint="eastAsia" w:cs="宋体" w:asciiTheme="minorEastAsia" w:hAnsiTheme="minorEastAsia"/>
          <w:bCs/>
          <w:color w:val="auto"/>
          <w:kern w:val="0"/>
          <w:sz w:val="24"/>
          <w:szCs w:val="24"/>
          <w:highlight w:val="none"/>
        </w:rPr>
        <w:t>至</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9</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20</w:t>
      </w:r>
      <w:r>
        <w:rPr>
          <w:rFonts w:hint="eastAsia" w:cs="宋体" w:asciiTheme="minorEastAsia" w:hAnsiTheme="minorEastAsia"/>
          <w:bCs/>
          <w:color w:val="auto"/>
          <w:kern w:val="0"/>
          <w:sz w:val="24"/>
          <w:szCs w:val="24"/>
          <w:highlight w:val="none"/>
          <w:u w:val="single"/>
        </w:rPr>
        <w:t>日</w:t>
      </w:r>
      <w:r>
        <w:rPr>
          <w:rFonts w:hint="eastAsia" w:cs="宋体" w:asciiTheme="minorEastAsia" w:hAnsiTheme="minorEastAsia"/>
          <w:bCs/>
          <w:color w:val="auto"/>
          <w:kern w:val="0"/>
          <w:sz w:val="24"/>
          <w:szCs w:val="24"/>
          <w:highlight w:val="none"/>
        </w:rPr>
        <w:t>，每天上午00:00至12:00，下午12:00至23:59（北京时间，法定节假日除外）；</w:t>
      </w:r>
    </w:p>
    <w:p w14:paraId="7B678C1B">
      <w:pPr>
        <w:spacing w:line="360" w:lineRule="auto"/>
        <w:ind w:firstLine="240" w:firstLineChars="100"/>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 xml:space="preserve">地点：广西政府采购云平台线上获取。   </w:t>
      </w:r>
    </w:p>
    <w:p w14:paraId="32EA4517">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售价：0</w:t>
      </w:r>
    </w:p>
    <w:p w14:paraId="12B696BD">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方式：</w:t>
      </w:r>
      <w:r>
        <w:rPr>
          <w:rFonts w:hint="eastAsia" w:cs="宋体" w:asciiTheme="minorEastAsia" w:hAnsiTheme="minorEastAsia"/>
          <w:bCs/>
          <w:color w:val="auto"/>
          <w:kern w:val="0"/>
          <w:sz w:val="24"/>
          <w:szCs w:val="24"/>
          <w:highlight w:val="none"/>
        </w:rPr>
        <w:t>网上下载。本项目不发放纸质采购文件，供应商登录广西政府采购云平台https://www.gcy.zfcg.gxzf.gov.cn/在线申请获取采购文件（进入“项目采购”应用，在获取采购文件菜单中选择项目，申请获取采购文件，咨询电话：95763）。 提示：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14:paraId="082B4982">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四、响应文件提交</w:t>
      </w:r>
    </w:p>
    <w:p w14:paraId="1BAE6BEC">
      <w:pPr>
        <w:spacing w:line="360" w:lineRule="auto"/>
        <w:ind w:firstLine="480" w:firstLineChars="200"/>
        <w:rPr>
          <w:rFonts w:ascii="宋体" w:hAnsi="宋体" w:cs="宋体"/>
          <w:color w:val="auto"/>
          <w:sz w:val="24"/>
          <w:szCs w:val="24"/>
          <w:highlight w:val="none"/>
          <w:u w:val="single"/>
        </w:rPr>
      </w:pPr>
      <w:r>
        <w:rPr>
          <w:rFonts w:hint="eastAsia" w:ascii="宋体" w:hAnsi="宋体"/>
          <w:color w:val="auto"/>
          <w:sz w:val="24"/>
          <w:szCs w:val="24"/>
          <w:highlight w:val="none"/>
        </w:rPr>
        <w:t>1、首次响应文件提交截止时间</w:t>
      </w:r>
      <w:r>
        <w:rPr>
          <w:rFonts w:hint="eastAsia" w:ascii="宋体" w:hAnsi="宋体"/>
          <w:bCs/>
          <w:color w:val="auto"/>
          <w:sz w:val="24"/>
          <w:szCs w:val="24"/>
          <w:highlight w:val="none"/>
        </w:rPr>
        <w:t>（北京时间）：</w:t>
      </w:r>
      <w:bookmarkStart w:id="1" w:name="PO_3000001868_PM015"/>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9</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Fonts w:hint="eastAsia" w:ascii="宋体" w:hAnsi="宋体" w:cs="宋体"/>
          <w:bCs/>
          <w:color w:val="auto"/>
          <w:sz w:val="24"/>
          <w:szCs w:val="24"/>
          <w:highlight w:val="none"/>
          <w:u w:val="single"/>
        </w:rPr>
        <w:t>9点00分</w:t>
      </w:r>
      <w:bookmarkEnd w:id="1"/>
      <w:r>
        <w:rPr>
          <w:rFonts w:hint="eastAsia" w:ascii="宋体" w:hAnsi="宋体" w:cs="宋体"/>
          <w:color w:val="auto"/>
          <w:sz w:val="24"/>
          <w:szCs w:val="24"/>
          <w:highlight w:val="none"/>
          <w:u w:val="single"/>
        </w:rPr>
        <w:t>（从磋商文件开始发出之日起至供应商提交首次响应文件截止之日止不得少于10日）</w:t>
      </w:r>
    </w:p>
    <w:p w14:paraId="6E0F493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2、首次响应文件提交地点：（1）响应文件提交方式：本项目为全流程电子化项目，通过</w:t>
      </w:r>
      <w:r>
        <w:rPr>
          <w:rFonts w:hint="eastAsia" w:cs="宋体" w:asciiTheme="minorEastAsia" w:hAnsiTheme="minorEastAsia"/>
          <w:bCs/>
          <w:color w:val="auto"/>
          <w:kern w:val="0"/>
          <w:sz w:val="24"/>
          <w:szCs w:val="24"/>
          <w:highlight w:val="none"/>
        </w:rPr>
        <w:t>广西政府采购云平台https://www.gcy.zfcg.gxzf.gov.cn/</w:t>
      </w:r>
      <w:r>
        <w:rPr>
          <w:rFonts w:hint="eastAsia" w:ascii="宋体" w:hAnsi="宋体"/>
          <w:color w:val="auto"/>
          <w:sz w:val="24"/>
          <w:szCs w:val="24"/>
          <w:highlight w:val="none"/>
        </w:rPr>
        <w:t>实行在线电子响应，供应商应先安装“政采云电子交易客户端”（请自行前往“</w:t>
      </w:r>
      <w:r>
        <w:rPr>
          <w:rFonts w:hint="eastAsia" w:cs="宋体" w:asciiTheme="minorEastAsia" w:hAnsiTheme="minorEastAsia"/>
          <w:bCs/>
          <w:color w:val="auto"/>
          <w:kern w:val="0"/>
          <w:sz w:val="24"/>
          <w:szCs w:val="24"/>
          <w:highlight w:val="none"/>
        </w:rPr>
        <w:t>广西政府采购云平台”</w:t>
      </w:r>
      <w:r>
        <w:rPr>
          <w:rFonts w:hint="eastAsia" w:ascii="宋体" w:hAnsi="宋体"/>
          <w:color w:val="auto"/>
          <w:sz w:val="24"/>
          <w:szCs w:val="24"/>
          <w:highlight w:val="none"/>
        </w:rPr>
        <w:t>进行下载），并按照本项目采购文件和广西政府采购云平台的要求编制、加密后在投标截止时间前通过网络上传至广西政府采购云平台，供应商在</w:t>
      </w:r>
      <w:r>
        <w:rPr>
          <w:rFonts w:hint="eastAsia" w:cs="宋体" w:asciiTheme="minorEastAsia" w:hAnsiTheme="minorEastAsia"/>
          <w:bCs/>
          <w:color w:val="auto"/>
          <w:kern w:val="0"/>
          <w:sz w:val="24"/>
          <w:szCs w:val="24"/>
          <w:highlight w:val="none"/>
        </w:rPr>
        <w:t>广西政府采购云平台</w:t>
      </w:r>
      <w:r>
        <w:rPr>
          <w:rFonts w:hint="eastAsia" w:ascii="宋体" w:hAnsi="宋体"/>
          <w:color w:val="auto"/>
          <w:sz w:val="24"/>
          <w:szCs w:val="24"/>
          <w:highlight w:val="none"/>
        </w:rPr>
        <w:t>提交电子版响应文件时，请填写参加远程采购活动经办人联系方式</w:t>
      </w:r>
      <w:r>
        <w:rPr>
          <w:rFonts w:hint="eastAsia" w:ascii="宋体" w:hAnsi="宋体"/>
          <w:bCs/>
          <w:color w:val="auto"/>
          <w:sz w:val="24"/>
          <w:szCs w:val="24"/>
          <w:highlight w:val="none"/>
        </w:rPr>
        <w:t>。</w:t>
      </w:r>
    </w:p>
    <w:p w14:paraId="7507292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（2）未进行网上注册并办理数字证书（CA认证）的供应商将无法参与本项目政府采购活动，潜在供应商应当在投标截止时间前，完成电子交易平台上的CA数字证书办理及响应文件的提交。</w:t>
      </w:r>
    </w:p>
    <w:p w14:paraId="4AB85C7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（3）为确保网上操作合法、有效和安全，请供应商确保在电子响应过程中能够对相关数据电文进行加密和使用电子签章，妥善保管C</w:t>
      </w:r>
      <w:r>
        <w:rPr>
          <w:rFonts w:ascii="宋体" w:hAnsi="宋体"/>
          <w:color w:val="auto"/>
          <w:sz w:val="24"/>
          <w:szCs w:val="24"/>
          <w:highlight w:val="none"/>
        </w:rPr>
        <w:t>A</w:t>
      </w:r>
      <w:r>
        <w:rPr>
          <w:rFonts w:hint="eastAsia" w:ascii="宋体" w:hAnsi="宋体"/>
          <w:color w:val="auto"/>
          <w:sz w:val="24"/>
          <w:szCs w:val="24"/>
          <w:highlight w:val="none"/>
        </w:rPr>
        <w:t>数字证书并使用有效的CA数字证书参与整个采购活动。</w:t>
      </w:r>
    </w:p>
    <w:p w14:paraId="44DB8805">
      <w:pPr>
        <w:spacing w:line="360" w:lineRule="auto"/>
        <w:ind w:firstLine="480" w:firstLineChars="200"/>
        <w:rPr>
          <w:rFonts w:ascii="宋体" w:hAnsi="宋体"/>
          <w:bCs/>
          <w:color w:val="auto"/>
          <w:sz w:val="24"/>
          <w:szCs w:val="24"/>
          <w:highlight w:val="none"/>
          <w:u w:val="none"/>
        </w:rPr>
      </w:pPr>
      <w:r>
        <w:rPr>
          <w:rFonts w:hint="eastAsia" w:ascii="宋体" w:hAnsi="宋体"/>
          <w:bCs/>
          <w:color w:val="auto"/>
          <w:sz w:val="24"/>
          <w:szCs w:val="24"/>
          <w:highlight w:val="none"/>
          <w:u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14:paraId="265C0F0F">
      <w:pPr>
        <w:numPr>
          <w:ilvl w:val="0"/>
          <w:numId w:val="1"/>
        </w:numPr>
        <w:snapToGrid w:val="0"/>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CA证书在线解密：首次响应文件开启时，须要供应商携带制作响应文件时用来加密的有效数字证书（CA认证）登录广西政府采购云平台电子开标大厅现场按规定时间对加密的响应文件进行解密，否则后果自负。</w:t>
      </w:r>
    </w:p>
    <w:p w14:paraId="1BAA74AE">
      <w:pPr>
        <w:snapToGrid w:val="0"/>
        <w:spacing w:line="360" w:lineRule="auto"/>
        <w:ind w:firstLine="480" w:firstLineChars="200"/>
        <w:rPr>
          <w:rFonts w:cs="宋体" w:asciiTheme="minorEastAsia" w:hAnsiTheme="minorEastAsia"/>
          <w:bCs/>
          <w:color w:val="auto"/>
          <w:kern w:val="0"/>
          <w:sz w:val="24"/>
          <w:szCs w:val="24"/>
          <w:highlight w:val="none"/>
        </w:rPr>
      </w:pPr>
      <w:r>
        <w:rPr>
          <w:rFonts w:hint="eastAsia" w:ascii="宋体" w:hAnsi="宋体" w:cs="宋体"/>
          <w:color w:val="auto"/>
          <w:kern w:val="0"/>
          <w:sz w:val="24"/>
          <w:szCs w:val="24"/>
          <w:highlight w:val="none"/>
        </w:rPr>
        <w:t>4、供应商需要在具备有摄像头及语音功能且互联网网络状况良好的电脑登录广西政府采购云平台远程开标大厅参与本次磋商，否则后果自负。</w:t>
      </w:r>
    </w:p>
    <w:p w14:paraId="2AAE95FE">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五、开启</w:t>
      </w:r>
    </w:p>
    <w:p w14:paraId="31793467">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9</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日9时00分</w:t>
      </w:r>
      <w:r>
        <w:rPr>
          <w:rFonts w:cs="宋体" w:asciiTheme="minorEastAsia" w:hAnsiTheme="minorEastAsia"/>
          <w:bCs/>
          <w:color w:val="auto"/>
          <w:kern w:val="0"/>
          <w:sz w:val="24"/>
          <w:szCs w:val="24"/>
          <w:highlight w:val="none"/>
        </w:rPr>
        <w:t>（北京时间）</w:t>
      </w:r>
    </w:p>
    <w:p w14:paraId="0AE47863">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地点：</w:t>
      </w:r>
      <w:r>
        <w:rPr>
          <w:rFonts w:hint="eastAsia" w:cs="宋体" w:asciiTheme="minorEastAsia" w:hAnsiTheme="minorEastAsia"/>
          <w:bCs/>
          <w:color w:val="auto"/>
          <w:kern w:val="0"/>
          <w:sz w:val="24"/>
          <w:szCs w:val="24"/>
          <w:highlight w:val="none"/>
        </w:rPr>
        <w:t>通过广西政府采购云平台远程开标大厅实行在线解密开启。</w:t>
      </w:r>
    </w:p>
    <w:p w14:paraId="3399A5D1">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六、公告期限</w:t>
      </w:r>
    </w:p>
    <w:p w14:paraId="77863C55">
      <w:pPr>
        <w:spacing w:line="360" w:lineRule="auto"/>
        <w:ind w:firstLine="240" w:firstLineChars="100"/>
        <w:rPr>
          <w:rFonts w:cs="宋体" w:asciiTheme="minorEastAsia" w:hAnsiTheme="minorEastAsia"/>
          <w:bCs/>
          <w:color w:val="auto"/>
          <w:kern w:val="0"/>
          <w:sz w:val="24"/>
          <w:szCs w:val="24"/>
          <w:highlight w:val="none"/>
        </w:rPr>
      </w:pPr>
      <w:r>
        <w:rPr>
          <w:rFonts w:cs="宋体" w:asciiTheme="minorEastAsia" w:hAnsiTheme="minorEastAsia"/>
          <w:bCs/>
          <w:color w:val="auto"/>
          <w:kern w:val="0"/>
          <w:sz w:val="24"/>
          <w:szCs w:val="24"/>
          <w:highlight w:val="none"/>
        </w:rPr>
        <w:t>自本公告发布之日起</w:t>
      </w:r>
      <w:r>
        <w:rPr>
          <w:rFonts w:hint="eastAsia" w:cs="宋体" w:asciiTheme="minorEastAsia" w:hAnsiTheme="minorEastAsia"/>
          <w:bCs/>
          <w:color w:val="auto"/>
          <w:kern w:val="0"/>
          <w:sz w:val="24"/>
          <w:szCs w:val="24"/>
          <w:highlight w:val="none"/>
        </w:rPr>
        <w:t>5</w:t>
      </w:r>
      <w:r>
        <w:rPr>
          <w:rFonts w:cs="宋体" w:asciiTheme="minorEastAsia" w:hAnsiTheme="minorEastAsia"/>
          <w:bCs/>
          <w:color w:val="auto"/>
          <w:kern w:val="0"/>
          <w:sz w:val="24"/>
          <w:szCs w:val="24"/>
          <w:highlight w:val="none"/>
        </w:rPr>
        <w:t>个工作日。</w:t>
      </w:r>
    </w:p>
    <w:p w14:paraId="79A39BA8">
      <w:pPr>
        <w:spacing w:line="360" w:lineRule="auto"/>
        <w:rPr>
          <w:rFonts w:cs="宋体" w:asciiTheme="minorEastAsia" w:hAnsiTheme="minorEastAsia"/>
          <w:b/>
          <w:bCs/>
          <w:color w:val="auto"/>
          <w:kern w:val="0"/>
          <w:sz w:val="24"/>
          <w:szCs w:val="24"/>
          <w:highlight w:val="none"/>
        </w:rPr>
      </w:pPr>
      <w:r>
        <w:rPr>
          <w:rFonts w:cs="宋体" w:asciiTheme="minorEastAsia" w:hAnsiTheme="minorEastAsia"/>
          <w:b/>
          <w:bCs/>
          <w:color w:val="auto"/>
          <w:kern w:val="0"/>
          <w:sz w:val="24"/>
          <w:szCs w:val="24"/>
          <w:highlight w:val="none"/>
        </w:rPr>
        <w:t>七、其他补充事宜：</w:t>
      </w:r>
    </w:p>
    <w:p w14:paraId="71203F54">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olor w:val="auto"/>
          <w:sz w:val="24"/>
          <w:szCs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E663E2B">
      <w:pPr>
        <w:snapToGrid w:val="0"/>
        <w:spacing w:line="360" w:lineRule="auto"/>
        <w:ind w:firstLine="480" w:firstLineChars="200"/>
        <w:rPr>
          <w:rFonts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2、</w:t>
      </w:r>
      <w:r>
        <w:rPr>
          <w:rFonts w:hint="eastAsia" w:ascii="宋体" w:hAnsi="宋体" w:eastAsia="宋体" w:cs="宋体"/>
          <w:color w:val="auto"/>
          <w:kern w:val="0"/>
          <w:sz w:val="24"/>
          <w:szCs w:val="24"/>
          <w:highlight w:val="none"/>
        </w:rPr>
        <w:t>磋商保证金：</w:t>
      </w:r>
      <w:r>
        <w:rPr>
          <w:rFonts w:hint="eastAsia" w:ascii="宋体" w:hAnsi="宋体" w:eastAsia="宋体" w:cs="Times New Roman"/>
          <w:bCs/>
          <w:color w:val="auto"/>
          <w:sz w:val="24"/>
          <w:szCs w:val="24"/>
          <w:highlight w:val="none"/>
        </w:rPr>
        <w:t>本项目不需要缴纳保证金。</w:t>
      </w:r>
    </w:p>
    <w:p w14:paraId="3B931942">
      <w:pPr>
        <w:snapToGrid w:val="0"/>
        <w:spacing w:line="360" w:lineRule="auto"/>
        <w:ind w:firstLine="480" w:firstLineChars="200"/>
        <w:rPr>
          <w:rFonts w:ascii="宋体" w:hAnsi="宋体"/>
          <w:color w:val="auto"/>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cs="宋体"/>
          <w:color w:val="auto"/>
          <w:kern w:val="1"/>
          <w:sz w:val="24"/>
          <w:szCs w:val="24"/>
          <w:highlight w:val="none"/>
        </w:rPr>
        <w:t>公告媒体</w:t>
      </w:r>
      <w:r>
        <w:rPr>
          <w:rFonts w:ascii="宋体" w:hAnsi="宋体" w:cs="宋体"/>
          <w:color w:val="auto"/>
          <w:kern w:val="1"/>
          <w:sz w:val="24"/>
          <w:szCs w:val="24"/>
          <w:highlight w:val="none"/>
        </w:rPr>
        <w:t>：</w:t>
      </w:r>
      <w:r>
        <w:rPr>
          <w:rFonts w:ascii="宋体" w:hAnsi="宋体"/>
          <w:color w:val="auto"/>
          <w:sz w:val="24"/>
          <w:szCs w:val="24"/>
          <w:highlight w:val="none"/>
        </w:rPr>
        <w:t>广西壮族自治区政府采购网</w:t>
      </w:r>
      <w:r>
        <w:rPr>
          <w:rFonts w:hint="eastAsia" w:ascii="宋体" w:hAnsi="宋体" w:cs="宋体"/>
          <w:bCs/>
          <w:color w:val="auto"/>
          <w:kern w:val="1"/>
          <w:sz w:val="24"/>
          <w:szCs w:val="24"/>
          <w:highlight w:val="none"/>
        </w:rPr>
        <w:t>、</w:t>
      </w:r>
      <w:r>
        <w:rPr>
          <w:rFonts w:ascii="宋体" w:hAnsi="宋体"/>
          <w:color w:val="auto"/>
          <w:sz w:val="24"/>
          <w:szCs w:val="24"/>
          <w:highlight w:val="none"/>
        </w:rPr>
        <w:t>中国政府采购网</w:t>
      </w:r>
      <w:r>
        <w:rPr>
          <w:rFonts w:hint="eastAsia" w:ascii="宋体" w:hAnsi="宋体" w:cs="宋体"/>
          <w:bCs/>
          <w:color w:val="auto"/>
          <w:kern w:val="1"/>
          <w:sz w:val="24"/>
          <w:szCs w:val="24"/>
          <w:highlight w:val="none"/>
        </w:rPr>
        <w:t>、梧州市政府采购网</w:t>
      </w:r>
      <w:r>
        <w:rPr>
          <w:rFonts w:hint="eastAsia" w:ascii="宋体" w:hAnsi="宋体"/>
          <w:color w:val="auto"/>
          <w:sz w:val="24"/>
          <w:szCs w:val="24"/>
          <w:highlight w:val="none"/>
        </w:rPr>
        <w:t>。</w:t>
      </w:r>
    </w:p>
    <w:p w14:paraId="22AA62C4">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cs="宋体"/>
          <w:color w:val="auto"/>
          <w:kern w:val="0"/>
          <w:sz w:val="24"/>
          <w:szCs w:val="24"/>
          <w:highlight w:val="none"/>
        </w:rPr>
        <w:t>4、</w:t>
      </w:r>
      <w:r>
        <w:rPr>
          <w:rFonts w:hint="eastAsia" w:ascii="宋体" w:hAnsi="宋体" w:eastAsia="宋体" w:cs="宋体"/>
          <w:color w:val="auto"/>
          <w:kern w:val="0"/>
          <w:sz w:val="24"/>
          <w:szCs w:val="24"/>
          <w:highlight w:val="none"/>
        </w:rPr>
        <w:t>在线投标（网上投标）说明：</w:t>
      </w:r>
    </w:p>
    <w:p w14:paraId="47D91402">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 若对项目采购电子交易系统操作有疑问，可登录广西政府采购云平台（</w:t>
      </w:r>
      <w:r>
        <w:rPr>
          <w:rFonts w:hint="eastAsia" w:cs="宋体" w:asciiTheme="minorEastAsia" w:hAnsiTheme="minorEastAsia"/>
          <w:bCs/>
          <w:color w:val="auto"/>
          <w:kern w:val="0"/>
          <w:sz w:val="24"/>
          <w:szCs w:val="24"/>
          <w:highlight w:val="none"/>
        </w:rPr>
        <w:t>https://www.gcy.zfcg.gxzf.gov.cn/</w:t>
      </w:r>
      <w:r>
        <w:rPr>
          <w:rFonts w:hint="eastAsia" w:ascii="宋体" w:hAnsi="宋体" w:eastAsia="宋体" w:cs="宋体"/>
          <w:color w:val="auto"/>
          <w:kern w:val="0"/>
          <w:sz w:val="24"/>
          <w:szCs w:val="24"/>
          <w:highlight w:val="none"/>
        </w:rPr>
        <w:t xml:space="preserve">），点击右侧咨询小采，获取采小蜜智能服务管家帮助，或拨打政采云服务热线95763获取热线服务帮助。 </w:t>
      </w:r>
    </w:p>
    <w:p w14:paraId="61DBF1B5">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（2）供应商应及时完成CA申领和绑定（见广西壮族自治区政府采购网—办事服务—下载专区-政采云CA证书办理操作指南）。</w:t>
      </w:r>
    </w:p>
    <w:p w14:paraId="382C0A11">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（3）因未注册入库、未办理CA数字证书、CA证书故障、操作不当等原因造成无法投标或投标失败等后果由供应商自行承担。</w:t>
      </w:r>
    </w:p>
    <w:p w14:paraId="64CC2E72">
      <w:pPr>
        <w:snapToGrid w:val="0"/>
        <w:spacing w:line="360" w:lineRule="auto"/>
        <w:ind w:firstLine="480" w:firstLineChars="200"/>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响应文件网上递交截止后，政采云（电子标系统）自动提取所有响应文件，各供应商须在开启程序开始后30分钟内对上传政采云的响应文件进行解密，所有供应商应在规定的解密时限内解密完成。解密时限结束后，我公司开启响应文件；供应商超过解密时限的，系统默认自动放弃。</w:t>
      </w:r>
    </w:p>
    <w:p w14:paraId="51B6A2FB">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5398F12A">
      <w:pPr>
        <w:spacing w:line="360" w:lineRule="auto"/>
        <w:rPr>
          <w:rFonts w:cs="宋体" w:asciiTheme="minorEastAsia" w:hAnsiTheme="minorEastAsia"/>
          <w:b/>
          <w:bCs/>
          <w:color w:val="auto"/>
          <w:kern w:val="0"/>
          <w:sz w:val="24"/>
          <w:szCs w:val="24"/>
          <w:highlight w:val="none"/>
        </w:rPr>
      </w:pPr>
      <w:r>
        <w:rPr>
          <w:rFonts w:hint="eastAsia" w:cs="宋体" w:asciiTheme="minorEastAsia" w:hAnsiTheme="minorEastAsia"/>
          <w:b/>
          <w:bCs/>
          <w:color w:val="auto"/>
          <w:kern w:val="0"/>
          <w:sz w:val="24"/>
          <w:szCs w:val="24"/>
          <w:highlight w:val="none"/>
        </w:rPr>
        <w:t>八、</w:t>
      </w:r>
      <w:r>
        <w:rPr>
          <w:rFonts w:cs="宋体" w:asciiTheme="minorEastAsia" w:hAnsiTheme="minorEastAsia"/>
          <w:b/>
          <w:bCs/>
          <w:color w:val="auto"/>
          <w:kern w:val="0"/>
          <w:sz w:val="24"/>
          <w:szCs w:val="24"/>
          <w:highlight w:val="none"/>
        </w:rPr>
        <w:t>凡对本次采购提出询问，请按以下方式联系</w:t>
      </w:r>
    </w:p>
    <w:p w14:paraId="08437650">
      <w:pPr>
        <w:spacing w:line="360" w:lineRule="auto"/>
        <w:ind w:firstLine="240" w:firstLineChars="100"/>
        <w:rPr>
          <w:rStyle w:val="53"/>
          <w:rFonts w:hint="default" w:asciiTheme="minorEastAsia" w:hAnsiTheme="minorEastAsia" w:eastAsiaTheme="minorEastAsia"/>
          <w:color w:val="auto"/>
          <w:sz w:val="24"/>
          <w:szCs w:val="24"/>
          <w:highlight w:val="none"/>
          <w:lang w:val="en-US" w:eastAsia="zh-CN"/>
        </w:rPr>
      </w:pPr>
      <w:r>
        <w:rPr>
          <w:rStyle w:val="53"/>
          <w:rFonts w:hint="eastAsia" w:asciiTheme="minorEastAsia" w:hAnsiTheme="minorEastAsia"/>
          <w:color w:val="auto"/>
          <w:sz w:val="24"/>
          <w:szCs w:val="24"/>
          <w:highlight w:val="none"/>
        </w:rPr>
        <w:t>采购人：</w:t>
      </w:r>
      <w:r>
        <w:rPr>
          <w:rStyle w:val="53"/>
          <w:rFonts w:hint="eastAsia" w:asciiTheme="minorEastAsia" w:hAnsiTheme="minorEastAsia"/>
          <w:color w:val="auto"/>
          <w:sz w:val="24"/>
          <w:szCs w:val="24"/>
          <w:highlight w:val="none"/>
          <w:lang w:val="en-US" w:eastAsia="zh-CN"/>
        </w:rPr>
        <w:t>梧州市文化路小学</w:t>
      </w:r>
    </w:p>
    <w:p w14:paraId="5AAFF8C1">
      <w:pPr>
        <w:spacing w:line="360" w:lineRule="auto"/>
        <w:ind w:firstLine="240" w:firstLineChars="100"/>
        <w:rPr>
          <w:rStyle w:val="53"/>
          <w:rFonts w:hint="eastAsia" w:asciiTheme="minorEastAsia" w:hAnsiTheme="minorEastAsia"/>
          <w:color w:val="auto"/>
          <w:sz w:val="24"/>
          <w:szCs w:val="24"/>
          <w:highlight w:val="none"/>
        </w:rPr>
      </w:pPr>
      <w:r>
        <w:rPr>
          <w:rStyle w:val="53"/>
          <w:rFonts w:hint="eastAsia" w:asciiTheme="minorEastAsia" w:hAnsiTheme="minorEastAsia"/>
          <w:color w:val="auto"/>
          <w:sz w:val="24"/>
          <w:szCs w:val="24"/>
          <w:highlight w:val="none"/>
        </w:rPr>
        <w:t>联系人：</w:t>
      </w:r>
      <w:r>
        <w:rPr>
          <w:rStyle w:val="53"/>
          <w:rFonts w:hint="eastAsia" w:asciiTheme="minorEastAsia" w:hAnsiTheme="minorEastAsia"/>
          <w:color w:val="auto"/>
          <w:sz w:val="24"/>
          <w:szCs w:val="24"/>
          <w:highlight w:val="none"/>
          <w:lang w:val="en-US" w:eastAsia="zh-CN"/>
        </w:rPr>
        <w:t xml:space="preserve">黎老师 </w:t>
      </w:r>
      <w:r>
        <w:rPr>
          <w:rStyle w:val="53"/>
          <w:rFonts w:hint="eastAsia" w:asciiTheme="minorEastAsia" w:hAnsiTheme="minorEastAsia"/>
          <w:color w:val="auto"/>
          <w:sz w:val="24"/>
          <w:szCs w:val="24"/>
          <w:highlight w:val="none"/>
        </w:rPr>
        <w:t xml:space="preserve">   联系电话：0774-3953132   </w:t>
      </w:r>
    </w:p>
    <w:p w14:paraId="5E09B10A">
      <w:pPr>
        <w:spacing w:line="360" w:lineRule="auto"/>
        <w:ind w:firstLine="240" w:firstLineChars="100"/>
        <w:rPr>
          <w:rStyle w:val="53"/>
          <w:rFonts w:hint="eastAsia" w:asciiTheme="minorEastAsia" w:hAnsiTheme="minorEastAsia"/>
          <w:color w:val="auto"/>
          <w:sz w:val="24"/>
          <w:szCs w:val="24"/>
          <w:highlight w:val="none"/>
        </w:rPr>
      </w:pPr>
      <w:r>
        <w:rPr>
          <w:rStyle w:val="53"/>
          <w:rFonts w:hint="eastAsia" w:asciiTheme="minorEastAsia" w:hAnsiTheme="minorEastAsia"/>
          <w:color w:val="auto"/>
          <w:sz w:val="24"/>
          <w:szCs w:val="24"/>
          <w:highlight w:val="none"/>
        </w:rPr>
        <w:t>地址：梧州市文化路东二巷1号</w:t>
      </w:r>
    </w:p>
    <w:p w14:paraId="668DACB1">
      <w:pPr>
        <w:spacing w:line="360" w:lineRule="auto"/>
        <w:ind w:firstLine="240" w:firstLineChars="100"/>
        <w:rPr>
          <w:rStyle w:val="53"/>
          <w:rFonts w:hint="eastAsia" w:asciiTheme="minorEastAsia" w:hAnsiTheme="minorEastAsia"/>
          <w:color w:val="auto"/>
          <w:sz w:val="24"/>
          <w:szCs w:val="24"/>
          <w:highlight w:val="none"/>
        </w:rPr>
      </w:pPr>
      <w:r>
        <w:rPr>
          <w:rStyle w:val="53"/>
          <w:rFonts w:hint="eastAsia" w:asciiTheme="minorEastAsia" w:hAnsiTheme="minorEastAsia"/>
          <w:color w:val="auto"/>
          <w:sz w:val="24"/>
          <w:szCs w:val="24"/>
          <w:highlight w:val="none"/>
        </w:rPr>
        <w:t>采购代理机构：华睿诚项目管理有限公司</w:t>
      </w:r>
    </w:p>
    <w:p w14:paraId="0569817C">
      <w:pPr>
        <w:spacing w:line="360" w:lineRule="auto"/>
        <w:ind w:firstLine="240" w:firstLineChars="100"/>
        <w:rPr>
          <w:rStyle w:val="53"/>
          <w:rFonts w:hint="eastAsia" w:asciiTheme="minorEastAsia" w:hAnsiTheme="minorEastAsia"/>
          <w:color w:val="auto"/>
          <w:sz w:val="24"/>
          <w:szCs w:val="24"/>
          <w:highlight w:val="none"/>
        </w:rPr>
      </w:pPr>
      <w:r>
        <w:rPr>
          <w:rStyle w:val="53"/>
          <w:rFonts w:hint="eastAsia" w:asciiTheme="minorEastAsia" w:hAnsiTheme="minorEastAsia"/>
          <w:color w:val="auto"/>
          <w:sz w:val="24"/>
          <w:szCs w:val="24"/>
          <w:highlight w:val="none"/>
        </w:rPr>
        <w:t>联系人：李工      联系电话：0774-5832822</w:t>
      </w:r>
    </w:p>
    <w:p w14:paraId="0BEC2E97">
      <w:pPr>
        <w:spacing w:line="360" w:lineRule="auto"/>
        <w:ind w:firstLine="240" w:firstLineChars="100"/>
        <w:rPr>
          <w:rStyle w:val="53"/>
          <w:rFonts w:asciiTheme="minorEastAsia" w:hAnsiTheme="minorEastAsia"/>
          <w:color w:val="auto"/>
          <w:sz w:val="24"/>
          <w:szCs w:val="24"/>
          <w:highlight w:val="none"/>
        </w:rPr>
      </w:pPr>
      <w:r>
        <w:rPr>
          <w:rStyle w:val="53"/>
          <w:rFonts w:hint="eastAsia" w:asciiTheme="minorEastAsia" w:hAnsiTheme="minorEastAsia"/>
          <w:color w:val="auto"/>
          <w:sz w:val="24"/>
          <w:szCs w:val="24"/>
          <w:highlight w:val="none"/>
        </w:rPr>
        <w:t>地址：梧州市长洲区西环路上段16号丰业山庄B区41幢</w:t>
      </w:r>
    </w:p>
    <w:p w14:paraId="63521A67">
      <w:pPr>
        <w:spacing w:line="360" w:lineRule="auto"/>
        <w:rPr>
          <w:rStyle w:val="53"/>
          <w:rFonts w:asciiTheme="minorEastAsia" w:hAnsiTheme="minorEastAsia"/>
          <w:color w:val="auto"/>
          <w:sz w:val="24"/>
          <w:szCs w:val="24"/>
          <w:highlight w:val="none"/>
        </w:rPr>
      </w:pPr>
    </w:p>
    <w:p w14:paraId="3B6574DF">
      <w:pPr>
        <w:spacing w:line="360" w:lineRule="auto"/>
        <w:jc w:val="right"/>
        <w:rPr>
          <w:rFonts w:hint="default" w:ascii="宋体" w:hAnsi="宋体" w:eastAsia="宋体" w:cs="宋体"/>
          <w:color w:val="auto"/>
          <w:sz w:val="24"/>
          <w:szCs w:val="24"/>
          <w:highlight w:val="none"/>
          <w:lang w:val="en-US"/>
        </w:rPr>
      </w:pPr>
      <w:r>
        <w:rPr>
          <w:rStyle w:val="53"/>
          <w:rFonts w:hint="eastAsia" w:asciiTheme="minorEastAsia" w:hAnsiTheme="minorEastAsia"/>
          <w:color w:val="auto"/>
          <w:sz w:val="24"/>
          <w:szCs w:val="24"/>
          <w:highlight w:val="none"/>
          <w:lang w:val="en-US" w:eastAsia="zh-CN"/>
        </w:rPr>
        <w:t>梧州市文化路小学</w:t>
      </w:r>
    </w:p>
    <w:p w14:paraId="7F30EBB3">
      <w:pPr>
        <w:pStyle w:val="9"/>
        <w:rPr>
          <w:rFonts w:hint="default"/>
          <w:color w:val="auto"/>
          <w:highlight w:val="none"/>
          <w:lang w:val="en-US"/>
        </w:rPr>
      </w:pPr>
    </w:p>
    <w:p w14:paraId="3C77A763">
      <w:pPr>
        <w:spacing w:line="360" w:lineRule="auto"/>
        <w:jc w:val="right"/>
        <w:rPr>
          <w:color w:val="auto"/>
          <w:highlight w:val="none"/>
        </w:rPr>
      </w:pPr>
      <w:r>
        <w:rPr>
          <w:rStyle w:val="53"/>
          <w:rFonts w:hint="eastAsia" w:asciiTheme="minorEastAsia" w:hAnsiTheme="minorEastAsia"/>
          <w:color w:val="auto"/>
          <w:sz w:val="24"/>
          <w:szCs w:val="24"/>
          <w:highlight w:val="none"/>
        </w:rPr>
        <w:t>华睿诚项目管理有限公司</w:t>
      </w:r>
    </w:p>
    <w:p w14:paraId="770121E3">
      <w:pPr>
        <w:spacing w:line="360" w:lineRule="auto"/>
        <w:jc w:val="right"/>
        <w:rPr>
          <w:rFonts w:hint="eastAsia" w:ascii="宋体" w:hAnsi="宋体" w:eastAsia="宋体" w:cs="宋体"/>
          <w:color w:val="auto"/>
          <w:sz w:val="24"/>
          <w:szCs w:val="24"/>
          <w:highlight w:val="none"/>
          <w:lang w:val="en-US"/>
        </w:rPr>
      </w:pPr>
      <w:bookmarkStart w:id="2" w:name="_Toc22307"/>
    </w:p>
    <w:p w14:paraId="46C2B820">
      <w:pPr>
        <w:spacing w:line="360" w:lineRule="auto"/>
        <w:ind w:firstLine="240" w:firstLineChars="100"/>
        <w:jc w:val="right"/>
        <w:rPr>
          <w:rStyle w:val="53"/>
          <w:rFonts w:hint="eastAsia" w:eastAsia="宋体" w:cs="Times New Roman" w:asciiTheme="minorEastAsia" w:hAnsiTheme="minorEastAsia"/>
          <w:color w:val="auto"/>
          <w:sz w:val="24"/>
          <w:szCs w:val="24"/>
          <w:highlight w:val="none"/>
        </w:rPr>
        <w:sectPr>
          <w:footerReference r:id="rId6" w:type="default"/>
          <w:endnotePr>
            <w:numFmt w:val="decimal"/>
          </w:endnotePr>
          <w:pgSz w:w="11906" w:h="16838"/>
          <w:pgMar w:top="1134" w:right="1406" w:bottom="1440" w:left="1338" w:header="454" w:footer="680" w:gutter="0"/>
          <w:pgNumType w:start="1"/>
          <w:cols w:space="720" w:num="1"/>
          <w:docGrid w:type="lines" w:linePitch="312" w:charSpace="0"/>
        </w:sectPr>
      </w:pPr>
      <w:r>
        <w:rPr>
          <w:rStyle w:val="53"/>
          <w:rFonts w:hint="eastAsia" w:eastAsia="宋体" w:cs="Times New Roman" w:asciiTheme="minorEastAsia" w:hAnsiTheme="minorEastAsia"/>
          <w:color w:val="auto"/>
          <w:sz w:val="24"/>
          <w:szCs w:val="24"/>
          <w:highlight w:val="none"/>
        </w:rPr>
        <w:t>2026年</w:t>
      </w:r>
      <w:r>
        <w:rPr>
          <w:rStyle w:val="53"/>
          <w:rFonts w:hint="eastAsia" w:eastAsia="宋体" w:cs="Times New Roman" w:asciiTheme="minorEastAsia" w:hAnsiTheme="minorEastAsia"/>
          <w:color w:val="auto"/>
          <w:sz w:val="24"/>
          <w:szCs w:val="24"/>
          <w:highlight w:val="none"/>
          <w:lang w:val="en-US" w:eastAsia="zh-CN"/>
        </w:rPr>
        <w:t>9</w:t>
      </w:r>
      <w:r>
        <w:rPr>
          <w:rStyle w:val="53"/>
          <w:rFonts w:hint="eastAsia" w:eastAsia="宋体" w:cs="Times New Roman" w:asciiTheme="minorEastAsia" w:hAnsiTheme="minorEastAsia"/>
          <w:color w:val="auto"/>
          <w:sz w:val="24"/>
          <w:szCs w:val="24"/>
          <w:highlight w:val="none"/>
        </w:rPr>
        <w:t>月</w:t>
      </w:r>
      <w:r>
        <w:rPr>
          <w:rStyle w:val="53"/>
          <w:rFonts w:hint="eastAsia" w:eastAsia="宋体" w:cs="Times New Roman" w:asciiTheme="minorEastAsia" w:hAnsiTheme="minorEastAsia"/>
          <w:color w:val="auto"/>
          <w:sz w:val="24"/>
          <w:szCs w:val="24"/>
          <w:highlight w:val="none"/>
          <w:lang w:val="en-US" w:eastAsia="zh-CN"/>
        </w:rPr>
        <w:t>14</w:t>
      </w:r>
      <w:r>
        <w:rPr>
          <w:rStyle w:val="53"/>
          <w:rFonts w:hint="eastAsia" w:eastAsia="宋体" w:cs="Times New Roman" w:asciiTheme="minorEastAsia" w:hAnsiTheme="minorEastAsia"/>
          <w:color w:val="auto"/>
          <w:sz w:val="24"/>
          <w:szCs w:val="24"/>
          <w:highlight w:val="none"/>
        </w:rPr>
        <w:t>日</w:t>
      </w:r>
    </w:p>
    <w:p w14:paraId="420F5BE8">
      <w:pPr>
        <w:pStyle w:val="2"/>
        <w:spacing w:line="360" w:lineRule="auto"/>
        <w:jc w:val="center"/>
        <w:rPr>
          <w:rFonts w:asciiTheme="minorEastAsia" w:hAnsiTheme="minorEastAsia" w:cstheme="minorEastAsia"/>
          <w:color w:val="auto"/>
          <w:highlight w:val="none"/>
        </w:rPr>
      </w:pPr>
      <w:bookmarkStart w:id="3" w:name="_Toc26669"/>
      <w:r>
        <w:rPr>
          <w:rFonts w:hint="eastAsia" w:asciiTheme="minorEastAsia" w:hAnsiTheme="minorEastAsia" w:cstheme="minorEastAsia"/>
          <w:color w:val="auto"/>
          <w:sz w:val="36"/>
          <w:highlight w:val="none"/>
        </w:rPr>
        <w:t>第一章  磋商须知及磋商须知前附表</w:t>
      </w:r>
      <w:bookmarkEnd w:id="0"/>
      <w:bookmarkEnd w:id="2"/>
      <w:bookmarkEnd w:id="3"/>
      <w:bookmarkStart w:id="4" w:name="_Toc23152554"/>
      <w:bookmarkStart w:id="5" w:name="_Toc23046660"/>
      <w:bookmarkStart w:id="6" w:name="_Toc514238584"/>
    </w:p>
    <w:p w14:paraId="01D7C072">
      <w:pPr>
        <w:pStyle w:val="3"/>
        <w:spacing w:line="360" w:lineRule="auto"/>
        <w:jc w:val="center"/>
        <w:rPr>
          <w:rFonts w:asciiTheme="minorEastAsia" w:hAnsiTheme="minorEastAsia" w:eastAsiaTheme="minorEastAsia" w:cstheme="minorEastAsia"/>
          <w:color w:val="auto"/>
          <w:kern w:val="0"/>
          <w:sz w:val="36"/>
          <w:szCs w:val="24"/>
          <w:highlight w:val="none"/>
        </w:rPr>
      </w:pPr>
      <w:bookmarkStart w:id="7" w:name="_Toc16327"/>
      <w:bookmarkStart w:id="8" w:name="_Toc243584223"/>
      <w:bookmarkStart w:id="9" w:name="_Toc74156182"/>
      <w:r>
        <w:rPr>
          <w:rFonts w:hint="eastAsia" w:asciiTheme="minorEastAsia" w:hAnsiTheme="minorEastAsia" w:eastAsiaTheme="minorEastAsia" w:cstheme="minorEastAsia"/>
          <w:color w:val="auto"/>
          <w:kern w:val="0"/>
          <w:sz w:val="36"/>
          <w:szCs w:val="24"/>
          <w:highlight w:val="none"/>
        </w:rPr>
        <w:t>一、磋商须知前附表</w:t>
      </w:r>
      <w:bookmarkEnd w:id="4"/>
      <w:bookmarkEnd w:id="5"/>
      <w:bookmarkEnd w:id="6"/>
      <w:bookmarkEnd w:id="7"/>
      <w:bookmarkEnd w:id="8"/>
      <w:bookmarkEnd w:id="9"/>
    </w:p>
    <w:tbl>
      <w:tblPr>
        <w:tblStyle w:val="27"/>
        <w:tblW w:w="992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44"/>
        <w:gridCol w:w="785"/>
        <w:gridCol w:w="1475"/>
        <w:gridCol w:w="7016"/>
      </w:tblGrid>
      <w:tr w14:paraId="03185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 w:hRule="atLeast"/>
        </w:trPr>
        <w:tc>
          <w:tcPr>
            <w:tcW w:w="644" w:type="dxa"/>
            <w:vAlign w:val="center"/>
          </w:tcPr>
          <w:p w14:paraId="031102E7">
            <w:pPr>
              <w:spacing w:line="360" w:lineRule="auto"/>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项号</w:t>
            </w:r>
          </w:p>
        </w:tc>
        <w:tc>
          <w:tcPr>
            <w:tcW w:w="785" w:type="dxa"/>
            <w:vAlign w:val="center"/>
          </w:tcPr>
          <w:p w14:paraId="6CB51D18">
            <w:pPr>
              <w:spacing w:line="360" w:lineRule="auto"/>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条款号</w:t>
            </w:r>
          </w:p>
        </w:tc>
        <w:tc>
          <w:tcPr>
            <w:tcW w:w="1475" w:type="dxa"/>
            <w:vAlign w:val="center"/>
          </w:tcPr>
          <w:p w14:paraId="38FF8A0B">
            <w:pPr>
              <w:spacing w:line="360" w:lineRule="auto"/>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内容</w:t>
            </w:r>
          </w:p>
        </w:tc>
        <w:tc>
          <w:tcPr>
            <w:tcW w:w="7016" w:type="dxa"/>
            <w:vAlign w:val="center"/>
          </w:tcPr>
          <w:p w14:paraId="35974700">
            <w:pPr>
              <w:keepNext w:val="0"/>
              <w:keepLines w:val="0"/>
              <w:pageBreakBefore w:val="0"/>
              <w:widowControl/>
              <w:kinsoku/>
              <w:wordWrap/>
              <w:overflowPunct/>
              <w:topLinePunct w:val="0"/>
              <w:bidi w:val="0"/>
              <w:adjustRightInd/>
              <w:spacing w:line="360" w:lineRule="auto"/>
              <w:ind w:left="0" w:leftChars="0" w:firstLine="0" w:firstLineChars="0"/>
              <w:jc w:val="center"/>
              <w:textAlignment w:val="auto"/>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说明与要求</w:t>
            </w:r>
          </w:p>
        </w:tc>
      </w:tr>
      <w:tr w14:paraId="5F8F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469" w:hRule="exact"/>
        </w:trPr>
        <w:tc>
          <w:tcPr>
            <w:tcW w:w="644" w:type="dxa"/>
            <w:vAlign w:val="center"/>
          </w:tcPr>
          <w:p w14:paraId="52A212A6">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w:t>
            </w:r>
          </w:p>
        </w:tc>
        <w:tc>
          <w:tcPr>
            <w:tcW w:w="785" w:type="dxa"/>
            <w:vAlign w:val="center"/>
          </w:tcPr>
          <w:p w14:paraId="138C5657">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1.1</w:t>
            </w:r>
          </w:p>
        </w:tc>
        <w:tc>
          <w:tcPr>
            <w:tcW w:w="1475" w:type="dxa"/>
            <w:vAlign w:val="center"/>
          </w:tcPr>
          <w:p w14:paraId="571DAA6D">
            <w:pPr>
              <w:spacing w:line="440" w:lineRule="exact"/>
              <w:ind w:left="1205" w:hanging="1205" w:hangingChars="500"/>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工程名称及</w:t>
            </w:r>
          </w:p>
          <w:p w14:paraId="5CD4D898">
            <w:pPr>
              <w:spacing w:line="440" w:lineRule="exact"/>
              <w:ind w:left="1205" w:hanging="1205" w:hangingChars="500"/>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采购编号</w:t>
            </w:r>
          </w:p>
        </w:tc>
        <w:tc>
          <w:tcPr>
            <w:tcW w:w="7016" w:type="dxa"/>
            <w:vAlign w:val="center"/>
          </w:tcPr>
          <w:p w14:paraId="6C2C18C4">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cstheme="minorEastAsia"/>
                <w:bCs/>
                <w:color w:val="auto"/>
                <w:sz w:val="24"/>
                <w:szCs w:val="24"/>
                <w:highlight w:val="none"/>
              </w:rPr>
              <w:t>工程名称：</w:t>
            </w:r>
            <w:r>
              <w:rPr>
                <w:rFonts w:hint="eastAsia" w:asciiTheme="minorEastAsia" w:hAnsiTheme="minorEastAsia" w:cstheme="minorEastAsia"/>
                <w:bCs/>
                <w:color w:val="auto"/>
                <w:sz w:val="24"/>
                <w:szCs w:val="24"/>
                <w:highlight w:val="none"/>
                <w:lang w:eastAsia="zh-CN"/>
              </w:rPr>
              <w:t>梧州市文化路小学校园改造提升项目</w:t>
            </w:r>
          </w:p>
          <w:p w14:paraId="4F702E8E">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项目编号：</w:t>
            </w:r>
            <w:r>
              <w:rPr>
                <w:rFonts w:hint="eastAsia" w:ascii="宋体" w:hAnsi="宋体" w:cs="宋体"/>
                <w:color w:val="auto"/>
                <w:sz w:val="24"/>
                <w:szCs w:val="24"/>
                <w:highlight w:val="none"/>
              </w:rPr>
              <w:t>WZZC2026-C2-030022-HRCX</w:t>
            </w:r>
          </w:p>
        </w:tc>
      </w:tr>
      <w:tr w14:paraId="282C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33" w:hRule="exact"/>
        </w:trPr>
        <w:tc>
          <w:tcPr>
            <w:tcW w:w="644" w:type="dxa"/>
            <w:vAlign w:val="center"/>
          </w:tcPr>
          <w:p w14:paraId="2FB8C8FE">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2</w:t>
            </w:r>
          </w:p>
        </w:tc>
        <w:tc>
          <w:tcPr>
            <w:tcW w:w="785" w:type="dxa"/>
            <w:vAlign w:val="center"/>
          </w:tcPr>
          <w:p w14:paraId="2E11DD1C">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2</w:t>
            </w:r>
            <w:r>
              <w:rPr>
                <w:rFonts w:hint="eastAsia" w:asciiTheme="minorEastAsia" w:hAnsiTheme="minorEastAsia" w:cstheme="minorEastAsia"/>
                <w:b/>
                <w:color w:val="auto"/>
                <w:kern w:val="0"/>
                <w:sz w:val="24"/>
                <w:szCs w:val="24"/>
                <w:highlight w:val="none"/>
              </w:rPr>
              <w:t>.1</w:t>
            </w:r>
          </w:p>
        </w:tc>
        <w:tc>
          <w:tcPr>
            <w:tcW w:w="1475" w:type="dxa"/>
            <w:vAlign w:val="center"/>
          </w:tcPr>
          <w:p w14:paraId="5BB4218A">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建设地点</w:t>
            </w:r>
          </w:p>
        </w:tc>
        <w:tc>
          <w:tcPr>
            <w:tcW w:w="7016" w:type="dxa"/>
            <w:vAlign w:val="center"/>
          </w:tcPr>
          <w:p w14:paraId="5474A6FF">
            <w:pPr>
              <w:pStyle w:val="35"/>
              <w:keepNext w:val="0"/>
              <w:keepLines w:val="0"/>
              <w:pageBreakBefore w:val="0"/>
              <w:widowControl/>
              <w:kinsoku/>
              <w:wordWrap/>
              <w:overflowPunct/>
              <w:topLinePunct w:val="0"/>
              <w:bidi w:val="0"/>
              <w:adjustRightInd/>
              <w:spacing w:before="0" w:after="0"/>
              <w:ind w:left="0" w:leftChars="0" w:firstLine="0" w:firstLineChars="0"/>
              <w:jc w:val="both"/>
              <w:textAlignment w:val="auto"/>
              <w:rPr>
                <w:rFonts w:hint="eastAsia" w:asciiTheme="minorEastAsia" w:hAnsiTheme="minorEastAsia" w:eastAsiaTheme="minorEastAsia" w:cstheme="minorEastAsia"/>
                <w:color w:val="auto"/>
                <w:spacing w:val="0"/>
                <w:szCs w:val="24"/>
                <w:highlight w:val="none"/>
                <w:lang w:eastAsia="zh-CN"/>
              </w:rPr>
            </w:pPr>
            <w:r>
              <w:rPr>
                <w:rFonts w:hint="eastAsia" w:asciiTheme="minorEastAsia" w:hAnsiTheme="minorEastAsia" w:cstheme="minorEastAsia"/>
                <w:color w:val="auto"/>
                <w:spacing w:val="0"/>
                <w:szCs w:val="24"/>
                <w:highlight w:val="none"/>
                <w:lang w:eastAsia="zh-CN"/>
              </w:rPr>
              <w:t>梧州市文化路小学</w:t>
            </w:r>
          </w:p>
        </w:tc>
      </w:tr>
      <w:tr w14:paraId="2B8E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3" w:hRule="exact"/>
        </w:trPr>
        <w:tc>
          <w:tcPr>
            <w:tcW w:w="644" w:type="dxa"/>
            <w:vAlign w:val="center"/>
          </w:tcPr>
          <w:p w14:paraId="4591FC47">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3</w:t>
            </w:r>
          </w:p>
        </w:tc>
        <w:tc>
          <w:tcPr>
            <w:tcW w:w="785" w:type="dxa"/>
            <w:vAlign w:val="center"/>
          </w:tcPr>
          <w:p w14:paraId="53C75FA4">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3</w:t>
            </w:r>
            <w:r>
              <w:rPr>
                <w:rFonts w:hint="eastAsia" w:asciiTheme="minorEastAsia" w:hAnsiTheme="minorEastAsia" w:cstheme="minorEastAsia"/>
                <w:b/>
                <w:color w:val="auto"/>
                <w:kern w:val="0"/>
                <w:sz w:val="24"/>
                <w:szCs w:val="24"/>
                <w:highlight w:val="none"/>
              </w:rPr>
              <w:t>.1</w:t>
            </w:r>
          </w:p>
        </w:tc>
        <w:tc>
          <w:tcPr>
            <w:tcW w:w="1475" w:type="dxa"/>
            <w:vAlign w:val="center"/>
          </w:tcPr>
          <w:p w14:paraId="704B538C">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招标控制价</w:t>
            </w:r>
          </w:p>
        </w:tc>
        <w:tc>
          <w:tcPr>
            <w:tcW w:w="7016" w:type="dxa"/>
            <w:vAlign w:val="center"/>
          </w:tcPr>
          <w:p w14:paraId="0D6BF5D9">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Cs/>
                <w:color w:val="auto"/>
                <w:sz w:val="24"/>
                <w:szCs w:val="24"/>
                <w:highlight w:val="none"/>
              </w:rPr>
            </w:pPr>
            <w:r>
              <w:rPr>
                <w:rFonts w:hint="eastAsia" w:cs="宋体" w:asciiTheme="minorEastAsia" w:hAnsiTheme="minorEastAsia"/>
                <w:color w:val="auto"/>
                <w:sz w:val="24"/>
                <w:szCs w:val="24"/>
                <w:highlight w:val="none"/>
              </w:rPr>
              <w:t>人民币（大写）柒拾叁万叁仟肆佰零陆元伍角玖分（¥733406.59元）</w:t>
            </w:r>
          </w:p>
        </w:tc>
      </w:tr>
      <w:tr w14:paraId="4D05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8" w:hRule="exact"/>
        </w:trPr>
        <w:tc>
          <w:tcPr>
            <w:tcW w:w="644" w:type="dxa"/>
            <w:vAlign w:val="center"/>
          </w:tcPr>
          <w:p w14:paraId="50916D88">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4</w:t>
            </w:r>
          </w:p>
        </w:tc>
        <w:tc>
          <w:tcPr>
            <w:tcW w:w="785" w:type="dxa"/>
            <w:vAlign w:val="center"/>
          </w:tcPr>
          <w:p w14:paraId="661FD505">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4</w:t>
            </w:r>
            <w:r>
              <w:rPr>
                <w:rFonts w:hint="eastAsia" w:asciiTheme="minorEastAsia" w:hAnsiTheme="minorEastAsia" w:cstheme="minorEastAsia"/>
                <w:b/>
                <w:color w:val="auto"/>
                <w:kern w:val="0"/>
                <w:sz w:val="24"/>
                <w:szCs w:val="24"/>
                <w:highlight w:val="none"/>
              </w:rPr>
              <w:t>.1</w:t>
            </w:r>
          </w:p>
        </w:tc>
        <w:tc>
          <w:tcPr>
            <w:tcW w:w="1475" w:type="dxa"/>
            <w:vAlign w:val="center"/>
          </w:tcPr>
          <w:p w14:paraId="3A6F40E7">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发包方式</w:t>
            </w:r>
          </w:p>
        </w:tc>
        <w:tc>
          <w:tcPr>
            <w:tcW w:w="7016" w:type="dxa"/>
            <w:vAlign w:val="center"/>
          </w:tcPr>
          <w:p w14:paraId="794D1882">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Cs/>
                <w:color w:val="auto"/>
                <w:sz w:val="24"/>
                <w:szCs w:val="24"/>
                <w:highlight w:val="none"/>
              </w:rPr>
            </w:pPr>
            <w:r>
              <w:rPr>
                <w:rFonts w:hint="eastAsia" w:ascii="宋体" w:hAnsi="宋体" w:cs="宋体"/>
                <w:color w:val="auto"/>
                <w:sz w:val="24"/>
                <w:szCs w:val="24"/>
                <w:highlight w:val="none"/>
              </w:rPr>
              <w:t>包工包料，综合单价固定，总价</w:t>
            </w:r>
            <w:r>
              <w:rPr>
                <w:rFonts w:hint="eastAsia" w:ascii="宋体" w:hAnsi="宋体" w:cs="宋体"/>
                <w:color w:val="auto"/>
                <w:sz w:val="24"/>
                <w:szCs w:val="24"/>
                <w:highlight w:val="none"/>
                <w:lang w:val="en-US" w:eastAsia="zh-CN"/>
              </w:rPr>
              <w:t>可调。</w:t>
            </w:r>
          </w:p>
        </w:tc>
      </w:tr>
      <w:tr w14:paraId="6CB6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exact"/>
        </w:trPr>
        <w:tc>
          <w:tcPr>
            <w:tcW w:w="644" w:type="dxa"/>
            <w:vAlign w:val="center"/>
          </w:tcPr>
          <w:p w14:paraId="51A2A6A5">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5</w:t>
            </w:r>
          </w:p>
        </w:tc>
        <w:tc>
          <w:tcPr>
            <w:tcW w:w="785" w:type="dxa"/>
            <w:vAlign w:val="center"/>
          </w:tcPr>
          <w:p w14:paraId="42718BD9">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5</w:t>
            </w:r>
            <w:r>
              <w:rPr>
                <w:rFonts w:hint="eastAsia" w:asciiTheme="minorEastAsia" w:hAnsiTheme="minorEastAsia" w:cstheme="minorEastAsia"/>
                <w:b/>
                <w:color w:val="auto"/>
                <w:kern w:val="0"/>
                <w:sz w:val="24"/>
                <w:szCs w:val="24"/>
                <w:highlight w:val="none"/>
              </w:rPr>
              <w:t>.1</w:t>
            </w:r>
          </w:p>
        </w:tc>
        <w:tc>
          <w:tcPr>
            <w:tcW w:w="1475" w:type="dxa"/>
            <w:vAlign w:val="center"/>
          </w:tcPr>
          <w:p w14:paraId="519A6090">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质量标准</w:t>
            </w:r>
          </w:p>
        </w:tc>
        <w:tc>
          <w:tcPr>
            <w:tcW w:w="7016" w:type="dxa"/>
            <w:vAlign w:val="center"/>
          </w:tcPr>
          <w:p w14:paraId="4A5DF076">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达到国家和行业颁发的施工及验收规程规范要求。</w:t>
            </w:r>
          </w:p>
        </w:tc>
      </w:tr>
      <w:tr w14:paraId="5B87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exact"/>
        </w:trPr>
        <w:tc>
          <w:tcPr>
            <w:tcW w:w="644" w:type="dxa"/>
            <w:vAlign w:val="center"/>
          </w:tcPr>
          <w:p w14:paraId="3E2FA763">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6</w:t>
            </w:r>
          </w:p>
        </w:tc>
        <w:tc>
          <w:tcPr>
            <w:tcW w:w="785" w:type="dxa"/>
            <w:vAlign w:val="center"/>
          </w:tcPr>
          <w:p w14:paraId="7DC50140">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6</w:t>
            </w:r>
            <w:r>
              <w:rPr>
                <w:rFonts w:hint="eastAsia" w:asciiTheme="minorEastAsia" w:hAnsiTheme="minorEastAsia" w:cstheme="minorEastAsia"/>
                <w:b/>
                <w:color w:val="auto"/>
                <w:kern w:val="0"/>
                <w:sz w:val="24"/>
                <w:szCs w:val="24"/>
                <w:highlight w:val="none"/>
              </w:rPr>
              <w:t>.1</w:t>
            </w:r>
          </w:p>
        </w:tc>
        <w:tc>
          <w:tcPr>
            <w:tcW w:w="1475" w:type="dxa"/>
            <w:vAlign w:val="center"/>
          </w:tcPr>
          <w:p w14:paraId="7D8D344D">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采购范围</w:t>
            </w:r>
          </w:p>
        </w:tc>
        <w:tc>
          <w:tcPr>
            <w:tcW w:w="7016" w:type="dxa"/>
            <w:vAlign w:val="center"/>
          </w:tcPr>
          <w:p w14:paraId="1F6A606D">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工程量清单范围内包含的工程施工。</w:t>
            </w:r>
          </w:p>
        </w:tc>
      </w:tr>
      <w:tr w14:paraId="62AA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1" w:hRule="exact"/>
        </w:trPr>
        <w:tc>
          <w:tcPr>
            <w:tcW w:w="644" w:type="dxa"/>
            <w:vAlign w:val="center"/>
          </w:tcPr>
          <w:p w14:paraId="621F6BCA">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7</w:t>
            </w:r>
          </w:p>
        </w:tc>
        <w:tc>
          <w:tcPr>
            <w:tcW w:w="785" w:type="dxa"/>
            <w:vAlign w:val="center"/>
          </w:tcPr>
          <w:p w14:paraId="6ED3B061">
            <w:pPr>
              <w:spacing w:line="440" w:lineRule="exact"/>
              <w:jc w:val="center"/>
              <w:rPr>
                <w:rFonts w:hint="eastAsia" w:asciiTheme="minorEastAsia" w:hAnsiTheme="minorEastAsia" w:eastAsiaTheme="minorEastAsia" w:cstheme="minorEastAsia"/>
                <w:b/>
                <w:color w:val="auto"/>
                <w:kern w:val="0"/>
                <w:sz w:val="24"/>
                <w:szCs w:val="24"/>
                <w:highlight w:val="none"/>
                <w:lang w:eastAsia="zh-CN"/>
              </w:rPr>
            </w:pPr>
            <w:r>
              <w:rPr>
                <w:rFonts w:hint="eastAsia" w:asciiTheme="minorEastAsia" w:hAnsiTheme="minorEastAsia" w:cstheme="minorEastAsia"/>
                <w:b/>
                <w:color w:val="auto"/>
                <w:kern w:val="0"/>
                <w:sz w:val="24"/>
                <w:szCs w:val="24"/>
                <w:highlight w:val="none"/>
                <w:lang w:val="en-US" w:eastAsia="zh-CN"/>
              </w:rPr>
              <w:t>7</w:t>
            </w:r>
            <w:r>
              <w:rPr>
                <w:rFonts w:hint="eastAsia" w:asciiTheme="minorEastAsia" w:hAnsiTheme="minorEastAsia" w:cstheme="minorEastAsia"/>
                <w:b/>
                <w:color w:val="auto"/>
                <w:kern w:val="0"/>
                <w:sz w:val="24"/>
                <w:szCs w:val="24"/>
                <w:highlight w:val="none"/>
              </w:rPr>
              <w:t>.</w:t>
            </w:r>
            <w:r>
              <w:rPr>
                <w:rFonts w:hint="eastAsia" w:asciiTheme="minorEastAsia" w:hAnsiTheme="minorEastAsia" w:cstheme="minorEastAsia"/>
                <w:b/>
                <w:color w:val="auto"/>
                <w:kern w:val="0"/>
                <w:sz w:val="24"/>
                <w:szCs w:val="24"/>
                <w:highlight w:val="none"/>
                <w:lang w:val="en-US" w:eastAsia="zh-CN"/>
              </w:rPr>
              <w:t>1</w:t>
            </w:r>
          </w:p>
        </w:tc>
        <w:tc>
          <w:tcPr>
            <w:tcW w:w="1475" w:type="dxa"/>
            <w:vAlign w:val="center"/>
          </w:tcPr>
          <w:p w14:paraId="59F584C6">
            <w:pPr>
              <w:spacing w:line="440" w:lineRule="exact"/>
              <w:jc w:val="center"/>
              <w:rPr>
                <w:rFonts w:asciiTheme="minorEastAsia" w:hAnsiTheme="minorEastAsia" w:cstheme="minorEastAsia"/>
                <w:b/>
                <w:bCs/>
                <w:color w:val="auto"/>
                <w:kern w:val="0"/>
                <w:sz w:val="22"/>
                <w:highlight w:val="none"/>
              </w:rPr>
            </w:pPr>
            <w:r>
              <w:rPr>
                <w:rFonts w:hint="eastAsia" w:asciiTheme="minorEastAsia" w:hAnsiTheme="minorEastAsia" w:cstheme="minorEastAsia"/>
                <w:b/>
                <w:bCs/>
                <w:color w:val="auto"/>
                <w:kern w:val="0"/>
                <w:sz w:val="24"/>
                <w:szCs w:val="24"/>
                <w:highlight w:val="none"/>
              </w:rPr>
              <w:t>项目工期</w:t>
            </w:r>
          </w:p>
        </w:tc>
        <w:tc>
          <w:tcPr>
            <w:tcW w:w="7016" w:type="dxa"/>
            <w:vAlign w:val="center"/>
          </w:tcPr>
          <w:p w14:paraId="452A765A">
            <w:pPr>
              <w:keepNext w:val="0"/>
              <w:keepLines w:val="0"/>
              <w:pageBreakBefore w:val="0"/>
              <w:widowControl/>
              <w:kinsoku/>
              <w:wordWrap/>
              <w:overflowPunct/>
              <w:topLinePunct w:val="0"/>
              <w:bidi w:val="0"/>
              <w:adjustRightInd/>
              <w:snapToGrid w:val="0"/>
              <w:spacing w:line="340" w:lineRule="atLeast"/>
              <w:ind w:left="0" w:leftChars="0" w:firstLine="0" w:firstLineChars="0"/>
              <w:jc w:val="both"/>
              <w:textAlignment w:val="auto"/>
              <w:rPr>
                <w:rFonts w:asciiTheme="minorEastAsia" w:hAnsiTheme="minorEastAsia" w:cstheme="minorEastAsia"/>
                <w:bCs/>
                <w:color w:val="auto"/>
                <w:sz w:val="22"/>
                <w:highlight w:val="none"/>
              </w:rPr>
            </w:pPr>
            <w:r>
              <w:rPr>
                <w:rFonts w:hint="eastAsia" w:cs="宋体" w:asciiTheme="minorEastAsia" w:hAnsiTheme="minorEastAsia"/>
                <w:bCs/>
                <w:color w:val="auto"/>
                <w:kern w:val="0"/>
                <w:sz w:val="24"/>
                <w:szCs w:val="24"/>
                <w:highlight w:val="none"/>
              </w:rPr>
              <w:t>从本项目开工之日起</w:t>
            </w:r>
            <w:r>
              <w:rPr>
                <w:rFonts w:hint="eastAsia" w:cs="宋体" w:asciiTheme="minorEastAsia" w:hAnsiTheme="minorEastAsia"/>
                <w:bCs/>
                <w:color w:val="auto"/>
                <w:kern w:val="0"/>
                <w:sz w:val="24"/>
                <w:szCs w:val="24"/>
                <w:highlight w:val="none"/>
                <w:lang w:val="en-US" w:eastAsia="zh-CN"/>
              </w:rPr>
              <w:t>120</w:t>
            </w:r>
            <w:r>
              <w:rPr>
                <w:rFonts w:hint="eastAsia" w:cs="宋体" w:asciiTheme="minorEastAsia" w:hAnsiTheme="minorEastAsia"/>
                <w:bCs/>
                <w:color w:val="auto"/>
                <w:kern w:val="0"/>
                <w:sz w:val="24"/>
                <w:szCs w:val="24"/>
                <w:highlight w:val="none"/>
              </w:rPr>
              <w:t>个日历天内完成（具体开工时间由采购人另外约定）。</w:t>
            </w:r>
          </w:p>
        </w:tc>
      </w:tr>
      <w:tr w14:paraId="30470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exact"/>
        </w:trPr>
        <w:tc>
          <w:tcPr>
            <w:tcW w:w="644" w:type="dxa"/>
            <w:vAlign w:val="center"/>
          </w:tcPr>
          <w:p w14:paraId="379A0782">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8</w:t>
            </w:r>
          </w:p>
        </w:tc>
        <w:tc>
          <w:tcPr>
            <w:tcW w:w="785" w:type="dxa"/>
            <w:vAlign w:val="center"/>
          </w:tcPr>
          <w:p w14:paraId="3ABC4826">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8</w:t>
            </w:r>
            <w:r>
              <w:rPr>
                <w:rFonts w:hint="eastAsia" w:asciiTheme="minorEastAsia" w:hAnsiTheme="minorEastAsia" w:cstheme="minorEastAsia"/>
                <w:b/>
                <w:color w:val="auto"/>
                <w:kern w:val="0"/>
                <w:sz w:val="24"/>
                <w:szCs w:val="24"/>
                <w:highlight w:val="none"/>
              </w:rPr>
              <w:t>.1</w:t>
            </w:r>
          </w:p>
        </w:tc>
        <w:tc>
          <w:tcPr>
            <w:tcW w:w="1475" w:type="dxa"/>
            <w:vAlign w:val="center"/>
          </w:tcPr>
          <w:p w14:paraId="2B4D55D5">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资金来源</w:t>
            </w:r>
          </w:p>
        </w:tc>
        <w:tc>
          <w:tcPr>
            <w:tcW w:w="7016" w:type="dxa"/>
            <w:vAlign w:val="center"/>
          </w:tcPr>
          <w:p w14:paraId="03D39865">
            <w:pPr>
              <w:pStyle w:val="25"/>
              <w:keepNext w:val="0"/>
              <w:keepLines w:val="0"/>
              <w:pageBreakBefore w:val="0"/>
              <w:widowControl/>
              <w:kinsoku/>
              <w:wordWrap/>
              <w:overflowPunct/>
              <w:topLinePunct w:val="0"/>
              <w:bidi w:val="0"/>
              <w:adjustRightInd/>
              <w:spacing w:beforeAutospacing="0" w:afterAutospacing="0" w:line="440" w:lineRule="exact"/>
              <w:ind w:left="0" w:leftChars="0" w:firstLine="0" w:firstLineChars="0"/>
              <w:jc w:val="both"/>
              <w:textAlignment w:val="auto"/>
              <w:rPr>
                <w:rFonts w:asciiTheme="minorEastAsia" w:hAnsiTheme="minorEastAsia" w:cstheme="minorEastAsia"/>
                <w:bCs/>
                <w:color w:val="auto"/>
                <w:kern w:val="2"/>
                <w:szCs w:val="24"/>
                <w:highlight w:val="none"/>
              </w:rPr>
            </w:pPr>
            <w:r>
              <w:rPr>
                <w:rFonts w:hint="eastAsia" w:asciiTheme="minorEastAsia" w:hAnsiTheme="minorEastAsia" w:cstheme="minorEastAsia"/>
                <w:bCs/>
                <w:color w:val="auto"/>
                <w:kern w:val="2"/>
                <w:szCs w:val="24"/>
                <w:highlight w:val="none"/>
              </w:rPr>
              <w:t>财政资金</w:t>
            </w:r>
          </w:p>
        </w:tc>
      </w:tr>
      <w:tr w14:paraId="751A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trPr>
        <w:tc>
          <w:tcPr>
            <w:tcW w:w="644" w:type="dxa"/>
            <w:vAlign w:val="center"/>
          </w:tcPr>
          <w:p w14:paraId="7533A223">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9</w:t>
            </w:r>
          </w:p>
        </w:tc>
        <w:tc>
          <w:tcPr>
            <w:tcW w:w="785" w:type="dxa"/>
            <w:vAlign w:val="center"/>
          </w:tcPr>
          <w:p w14:paraId="687BBE9A">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9</w:t>
            </w:r>
            <w:r>
              <w:rPr>
                <w:rFonts w:hint="eastAsia" w:asciiTheme="minorEastAsia" w:hAnsiTheme="minorEastAsia" w:cstheme="minorEastAsia"/>
                <w:b/>
                <w:color w:val="auto"/>
                <w:kern w:val="0"/>
                <w:sz w:val="24"/>
                <w:szCs w:val="24"/>
                <w:highlight w:val="none"/>
              </w:rPr>
              <w:t>.1</w:t>
            </w:r>
          </w:p>
        </w:tc>
        <w:tc>
          <w:tcPr>
            <w:tcW w:w="1475" w:type="dxa"/>
            <w:vAlign w:val="center"/>
          </w:tcPr>
          <w:p w14:paraId="0FB94D62">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供应商资质</w:t>
            </w:r>
          </w:p>
          <w:p w14:paraId="1A4E1FBE">
            <w:pPr>
              <w:spacing w:line="440" w:lineRule="exact"/>
              <w:jc w:val="center"/>
              <w:rPr>
                <w:rFonts w:asciiTheme="minorEastAsia" w:hAnsiTheme="minorEastAsia" w:cstheme="minorEastAsia"/>
                <w:color w:val="auto"/>
                <w:kern w:val="0"/>
                <w:sz w:val="24"/>
                <w:szCs w:val="24"/>
                <w:highlight w:val="none"/>
              </w:rPr>
            </w:pPr>
            <w:r>
              <w:rPr>
                <w:rFonts w:hint="eastAsia" w:asciiTheme="minorEastAsia" w:hAnsiTheme="minorEastAsia" w:cstheme="minorEastAsia"/>
                <w:b/>
                <w:bCs/>
                <w:color w:val="auto"/>
                <w:kern w:val="0"/>
                <w:sz w:val="24"/>
                <w:szCs w:val="24"/>
                <w:highlight w:val="none"/>
              </w:rPr>
              <w:t>等级要求</w:t>
            </w:r>
          </w:p>
        </w:tc>
        <w:tc>
          <w:tcPr>
            <w:tcW w:w="7016" w:type="dxa"/>
            <w:vAlign w:val="center"/>
          </w:tcPr>
          <w:p w14:paraId="7AB8474C">
            <w:pPr>
              <w:keepNext w:val="0"/>
              <w:keepLines w:val="0"/>
              <w:pageBreakBefore w:val="0"/>
              <w:widowControl/>
              <w:kinsoku/>
              <w:wordWrap/>
              <w:overflowPunct/>
              <w:topLinePunct w:val="0"/>
              <w:bidi w:val="0"/>
              <w:adjustRightInd/>
              <w:spacing w:line="360" w:lineRule="auto"/>
              <w:ind w:left="0" w:leftChars="0" w:firstLine="0" w:firstLineChars="0"/>
              <w:jc w:val="both"/>
              <w:textAlignment w:val="auto"/>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 xml:space="preserve">1、必须在中华人民共和国境内注册，具有独立法人资格，同时具备建设行政主管部门颁发建筑工程施工总承包三级以上(含三级)资质的施工企业； </w:t>
            </w:r>
          </w:p>
          <w:p w14:paraId="5AEDB6C9">
            <w:pPr>
              <w:keepNext w:val="0"/>
              <w:keepLines w:val="0"/>
              <w:pageBreakBefore w:val="0"/>
              <w:widowControl/>
              <w:kinsoku/>
              <w:wordWrap/>
              <w:overflowPunct/>
              <w:topLinePunct w:val="0"/>
              <w:bidi w:val="0"/>
              <w:adjustRightInd/>
              <w:spacing w:line="360" w:lineRule="auto"/>
              <w:ind w:left="0" w:leftChars="0" w:firstLine="0" w:firstLineChars="0"/>
              <w:jc w:val="both"/>
              <w:textAlignment w:val="auto"/>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2、磋商供应商拟派项目经理须具备建筑工程贰级以上（含贰级）注册建造师执业资格；</w:t>
            </w:r>
          </w:p>
          <w:p w14:paraId="686577A3">
            <w:pPr>
              <w:keepNext w:val="0"/>
              <w:keepLines w:val="0"/>
              <w:pageBreakBefore w:val="0"/>
              <w:widowControl/>
              <w:kinsoku/>
              <w:wordWrap/>
              <w:overflowPunct/>
              <w:topLinePunct w:val="0"/>
              <w:bidi w:val="0"/>
              <w:adjustRightInd/>
              <w:spacing w:line="360" w:lineRule="auto"/>
              <w:ind w:left="0" w:leftChars="0" w:firstLine="0" w:firstLineChars="0"/>
              <w:jc w:val="both"/>
              <w:textAlignment w:val="auto"/>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3、符合《中华人民共和国政府采购法》第二十二条的规定；</w:t>
            </w:r>
          </w:p>
          <w:p w14:paraId="42CA8F3B">
            <w:pPr>
              <w:keepNext w:val="0"/>
              <w:keepLines w:val="0"/>
              <w:pageBreakBefore w:val="0"/>
              <w:widowControl/>
              <w:kinsoku/>
              <w:wordWrap/>
              <w:overflowPunct/>
              <w:topLinePunct w:val="0"/>
              <w:bidi w:val="0"/>
              <w:adjustRightInd/>
              <w:spacing w:line="360" w:lineRule="auto"/>
              <w:ind w:left="0" w:leftChars="0" w:firstLine="0" w:firstLineChars="0"/>
              <w:jc w:val="both"/>
              <w:textAlignment w:val="auto"/>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6891BD">
            <w:pPr>
              <w:keepNext w:val="0"/>
              <w:keepLines w:val="0"/>
              <w:pageBreakBefore w:val="0"/>
              <w:widowControl/>
              <w:kinsoku/>
              <w:wordWrap/>
              <w:overflowPunct/>
              <w:topLinePunct w:val="0"/>
              <w:bidi w:val="0"/>
              <w:adjustRightInd/>
              <w:spacing w:line="360" w:lineRule="auto"/>
              <w:ind w:left="0" w:leftChars="0" w:firstLine="0" w:firstLineChars="0"/>
              <w:jc w:val="both"/>
              <w:textAlignment w:val="auto"/>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5、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BB58BD6">
            <w:pPr>
              <w:keepNext w:val="0"/>
              <w:keepLines w:val="0"/>
              <w:pageBreakBefore w:val="0"/>
              <w:widowControl/>
              <w:kinsoku/>
              <w:wordWrap/>
              <w:overflowPunct/>
              <w:topLinePunct w:val="0"/>
              <w:bidi w:val="0"/>
              <w:adjustRightInd/>
              <w:spacing w:line="360" w:lineRule="auto"/>
              <w:ind w:left="0" w:leftChars="0" w:firstLine="0" w:firstLineChars="0"/>
              <w:jc w:val="both"/>
              <w:textAlignment w:val="auto"/>
              <w:rPr>
                <w:rFonts w:cs="宋体" w:asciiTheme="minorEastAsia" w:hAnsiTheme="minorEastAsia"/>
                <w:bCs/>
                <w:color w:val="auto"/>
                <w:kern w:val="0"/>
                <w:sz w:val="24"/>
                <w:szCs w:val="24"/>
                <w:highlight w:val="none"/>
              </w:rPr>
            </w:pPr>
            <w:r>
              <w:rPr>
                <w:rFonts w:hint="eastAsia" w:cs="宋体" w:asciiTheme="minorEastAsia" w:hAnsiTheme="minorEastAsia"/>
                <w:bCs/>
                <w:color w:val="auto"/>
                <w:kern w:val="0"/>
                <w:sz w:val="24"/>
                <w:szCs w:val="24"/>
                <w:highlight w:val="none"/>
              </w:rPr>
              <w:t>6、本项目不接受联合体参加磋商；</w:t>
            </w:r>
          </w:p>
          <w:p w14:paraId="3799AFC3">
            <w:pPr>
              <w:keepNext w:val="0"/>
              <w:keepLines w:val="0"/>
              <w:pageBreakBefore w:val="0"/>
              <w:widowControl/>
              <w:kinsoku/>
              <w:wordWrap/>
              <w:overflowPunct/>
              <w:topLinePunct w:val="0"/>
              <w:bidi w:val="0"/>
              <w:adjustRightInd/>
              <w:spacing w:line="360" w:lineRule="auto"/>
              <w:ind w:left="0" w:leftChars="0" w:firstLine="0" w:firstLineChars="0"/>
              <w:jc w:val="both"/>
              <w:textAlignment w:val="auto"/>
              <w:rPr>
                <w:rFonts w:cs="宋体" w:asciiTheme="minorEastAsia" w:hAnsiTheme="minorEastAsia"/>
                <w:color w:val="auto"/>
                <w:sz w:val="24"/>
                <w:szCs w:val="24"/>
                <w:highlight w:val="none"/>
              </w:rPr>
            </w:pPr>
            <w:r>
              <w:rPr>
                <w:rFonts w:hint="eastAsia" w:cs="宋体" w:asciiTheme="minorEastAsia" w:hAnsiTheme="minorEastAsia"/>
                <w:bCs/>
                <w:color w:val="auto"/>
                <w:kern w:val="0"/>
                <w:sz w:val="24"/>
                <w:szCs w:val="24"/>
                <w:highlight w:val="none"/>
              </w:rPr>
              <w:t>7、本项目为专门面向中小企业采购，不再执行价格评审的优惠政策。供应商必须为中小企业。</w:t>
            </w:r>
          </w:p>
        </w:tc>
      </w:tr>
      <w:tr w14:paraId="3A19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trPr>
        <w:tc>
          <w:tcPr>
            <w:tcW w:w="644" w:type="dxa"/>
            <w:vAlign w:val="center"/>
          </w:tcPr>
          <w:p w14:paraId="6E8D35A1">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10</w:t>
            </w:r>
          </w:p>
        </w:tc>
        <w:tc>
          <w:tcPr>
            <w:tcW w:w="785" w:type="dxa"/>
            <w:vAlign w:val="center"/>
          </w:tcPr>
          <w:p w14:paraId="1276BB34">
            <w:pPr>
              <w:spacing w:line="440" w:lineRule="exact"/>
              <w:jc w:val="center"/>
              <w:rPr>
                <w:rFonts w:hint="default" w:asciiTheme="minorEastAsia" w:hAnsiTheme="minorEastAsia" w:eastAsiaTheme="minorEastAsia" w:cstheme="minorEastAsia"/>
                <w:b/>
                <w:color w:val="auto"/>
                <w:kern w:val="0"/>
                <w:sz w:val="24"/>
                <w:szCs w:val="24"/>
                <w:highlight w:val="none"/>
                <w:lang w:val="en-US" w:eastAsia="zh-CN"/>
              </w:rPr>
            </w:pPr>
            <w:r>
              <w:rPr>
                <w:rFonts w:hint="eastAsia" w:asciiTheme="minorEastAsia" w:hAnsiTheme="minorEastAsia" w:cstheme="minorEastAsia"/>
                <w:b/>
                <w:color w:val="auto"/>
                <w:kern w:val="0"/>
                <w:sz w:val="24"/>
                <w:szCs w:val="24"/>
                <w:highlight w:val="none"/>
                <w:lang w:val="en-US" w:eastAsia="zh-CN"/>
              </w:rPr>
              <w:t>10.1</w:t>
            </w:r>
          </w:p>
        </w:tc>
        <w:tc>
          <w:tcPr>
            <w:tcW w:w="1475" w:type="dxa"/>
            <w:vAlign w:val="center"/>
          </w:tcPr>
          <w:p w14:paraId="5DE0C8FD">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资格审查方式</w:t>
            </w:r>
          </w:p>
        </w:tc>
        <w:tc>
          <w:tcPr>
            <w:tcW w:w="7016" w:type="dxa"/>
            <w:vAlign w:val="center"/>
          </w:tcPr>
          <w:p w14:paraId="18B26773">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资格后审</w:t>
            </w:r>
          </w:p>
        </w:tc>
      </w:tr>
      <w:tr w14:paraId="6BD8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644" w:type="dxa"/>
            <w:vAlign w:val="center"/>
          </w:tcPr>
          <w:p w14:paraId="06371B42">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11</w:t>
            </w:r>
          </w:p>
        </w:tc>
        <w:tc>
          <w:tcPr>
            <w:tcW w:w="785" w:type="dxa"/>
            <w:vAlign w:val="center"/>
          </w:tcPr>
          <w:p w14:paraId="3B74FA4F">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11</w:t>
            </w:r>
            <w:r>
              <w:rPr>
                <w:rFonts w:hint="eastAsia" w:asciiTheme="minorEastAsia" w:hAnsiTheme="minorEastAsia" w:cstheme="minorEastAsia"/>
                <w:b/>
                <w:color w:val="auto"/>
                <w:kern w:val="0"/>
                <w:sz w:val="24"/>
                <w:szCs w:val="24"/>
                <w:highlight w:val="none"/>
              </w:rPr>
              <w:t>.1</w:t>
            </w:r>
          </w:p>
        </w:tc>
        <w:tc>
          <w:tcPr>
            <w:tcW w:w="1475" w:type="dxa"/>
            <w:vAlign w:val="center"/>
          </w:tcPr>
          <w:p w14:paraId="45CA4E2F">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工程计价方式</w:t>
            </w:r>
          </w:p>
        </w:tc>
        <w:tc>
          <w:tcPr>
            <w:tcW w:w="7016" w:type="dxa"/>
            <w:vAlign w:val="center"/>
          </w:tcPr>
          <w:p w14:paraId="39D8F0A9">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(一)《关于梧州市文化路小学校园改造提升项目预算送审的函》;</w:t>
            </w:r>
          </w:p>
          <w:p w14:paraId="57F06AD9">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(二)广西规亿工程技术集团有限公司设计施工图纸；</w:t>
            </w:r>
          </w:p>
          <w:p w14:paraId="1023D551">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(三)广西睿建项目管理咨询有限公司编制的工程造价报告书；</w:t>
            </w:r>
          </w:p>
          <w:p w14:paraId="50617547">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(四)工程预算审核价计算依据：</w:t>
            </w:r>
          </w:p>
          <w:p w14:paraId="6B2CA9E9">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1、《广西壮族自治区建设工程全过程计价规范》(桂建价(2025)1 号);</w:t>
            </w:r>
          </w:p>
          <w:p w14:paraId="130377A3">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2、《广西壮族自治区建设工程多层级工程量清单计算规范(房屋建筑 与装饰工程)》(桂建价(2025)1号);</w:t>
            </w:r>
          </w:p>
          <w:p w14:paraId="5E7064B9">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3、《广西壮族自治区建设工程多层级工程量清单计算规范(通用安装 工程)》(桂建价(2025)1号);</w:t>
            </w:r>
          </w:p>
          <w:p w14:paraId="2E7A0DA7">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4、《广西壮族自治区建设工程预算清单综合单价组价表(房屋建筑与 装饰工程)》(桂建价(2025)2号)及市场询价；</w:t>
            </w:r>
          </w:p>
          <w:p w14:paraId="0EE32F06">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5、《广西壮族自治区建设工程预算清单综合单价组价表(通用安装工 程)》(桂建价(2025)2号)及市场询价；</w:t>
            </w:r>
          </w:p>
          <w:p w14:paraId="5A1AA051">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6、材料价格采用2026年第6期《梧州市建设工程造价信息》发布的 价格信息，信息价没有发布的材料按市场询价计取；</w:t>
            </w:r>
          </w:p>
          <w:p w14:paraId="5A34233D">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7 、与建设工程有关的标准、规范、技术资料。</w:t>
            </w:r>
          </w:p>
          <w:p w14:paraId="01783D66">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eastAsia"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(五)本工程计税方式采用一般计税法。</w:t>
            </w:r>
          </w:p>
          <w:p w14:paraId="108ECF2C">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(六)项目评审所需的其他有关依据。</w:t>
            </w:r>
          </w:p>
        </w:tc>
      </w:tr>
      <w:tr w14:paraId="4767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trPr>
        <w:tc>
          <w:tcPr>
            <w:tcW w:w="644" w:type="dxa"/>
            <w:vAlign w:val="center"/>
          </w:tcPr>
          <w:p w14:paraId="4D3E4DAA">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12</w:t>
            </w:r>
          </w:p>
        </w:tc>
        <w:tc>
          <w:tcPr>
            <w:tcW w:w="785" w:type="dxa"/>
            <w:vAlign w:val="center"/>
          </w:tcPr>
          <w:p w14:paraId="630D8B30">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12</w:t>
            </w:r>
            <w:r>
              <w:rPr>
                <w:rFonts w:hint="eastAsia" w:asciiTheme="minorEastAsia" w:hAnsiTheme="minorEastAsia" w:cstheme="minorEastAsia"/>
                <w:b/>
                <w:color w:val="auto"/>
                <w:kern w:val="0"/>
                <w:sz w:val="24"/>
                <w:szCs w:val="24"/>
                <w:highlight w:val="none"/>
              </w:rPr>
              <w:t>.1</w:t>
            </w:r>
          </w:p>
        </w:tc>
        <w:tc>
          <w:tcPr>
            <w:tcW w:w="1475" w:type="dxa"/>
            <w:vAlign w:val="center"/>
          </w:tcPr>
          <w:p w14:paraId="286C5855">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磋商有效期</w:t>
            </w:r>
          </w:p>
        </w:tc>
        <w:tc>
          <w:tcPr>
            <w:tcW w:w="7016" w:type="dxa"/>
            <w:vAlign w:val="center"/>
          </w:tcPr>
          <w:p w14:paraId="34A62247">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60日（自提交响应文件截止之日算起）</w:t>
            </w:r>
          </w:p>
        </w:tc>
      </w:tr>
      <w:tr w14:paraId="6ED9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trPr>
        <w:tc>
          <w:tcPr>
            <w:tcW w:w="644" w:type="dxa"/>
            <w:vAlign w:val="center"/>
          </w:tcPr>
          <w:p w14:paraId="7F611E15">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13</w:t>
            </w:r>
          </w:p>
        </w:tc>
        <w:tc>
          <w:tcPr>
            <w:tcW w:w="785" w:type="dxa"/>
            <w:vAlign w:val="center"/>
          </w:tcPr>
          <w:p w14:paraId="2585EDE1">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13</w:t>
            </w:r>
            <w:r>
              <w:rPr>
                <w:rFonts w:hint="eastAsia" w:asciiTheme="minorEastAsia" w:hAnsiTheme="minorEastAsia" w:cstheme="minorEastAsia"/>
                <w:b/>
                <w:color w:val="auto"/>
                <w:kern w:val="0"/>
                <w:sz w:val="24"/>
                <w:szCs w:val="24"/>
                <w:highlight w:val="none"/>
              </w:rPr>
              <w:t>.1</w:t>
            </w:r>
          </w:p>
        </w:tc>
        <w:tc>
          <w:tcPr>
            <w:tcW w:w="1475" w:type="dxa"/>
            <w:vAlign w:val="center"/>
          </w:tcPr>
          <w:p w14:paraId="1DB4A6E0">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磋商保证金</w:t>
            </w:r>
          </w:p>
        </w:tc>
        <w:tc>
          <w:tcPr>
            <w:tcW w:w="7016" w:type="dxa"/>
            <w:vAlign w:val="center"/>
          </w:tcPr>
          <w:p w14:paraId="54F2BAFA">
            <w:pPr>
              <w:pStyle w:val="35"/>
              <w:keepNext w:val="0"/>
              <w:keepLines w:val="0"/>
              <w:pageBreakBefore w:val="0"/>
              <w:widowControl/>
              <w:kinsoku/>
              <w:wordWrap/>
              <w:overflowPunct/>
              <w:topLinePunct w:val="0"/>
              <w:bidi w:val="0"/>
              <w:adjustRightInd/>
              <w:spacing w:before="0" w:after="0" w:line="360" w:lineRule="auto"/>
              <w:ind w:left="0" w:leftChars="0" w:firstLine="0" w:firstLineChars="0"/>
              <w:jc w:val="both"/>
              <w:textAlignment w:val="auto"/>
              <w:rPr>
                <w:rFonts w:cs="宋体" w:asciiTheme="minorEastAsia" w:hAnsiTheme="minorEastAsia"/>
                <w:color w:val="auto"/>
                <w:spacing w:val="0"/>
                <w:highlight w:val="none"/>
              </w:rPr>
            </w:pPr>
            <w:r>
              <w:rPr>
                <w:rFonts w:hint="eastAsia" w:asciiTheme="minorEastAsia" w:hAnsiTheme="minorEastAsia" w:cstheme="minorEastAsia"/>
                <w:bCs w:val="0"/>
                <w:color w:val="auto"/>
                <w:spacing w:val="0"/>
                <w:kern w:val="2"/>
                <w:szCs w:val="24"/>
                <w:highlight w:val="none"/>
              </w:rPr>
              <w:t>无</w:t>
            </w:r>
          </w:p>
        </w:tc>
      </w:tr>
      <w:tr w14:paraId="4EF97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644" w:type="dxa"/>
            <w:vAlign w:val="center"/>
          </w:tcPr>
          <w:p w14:paraId="44826162">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14</w:t>
            </w:r>
          </w:p>
        </w:tc>
        <w:tc>
          <w:tcPr>
            <w:tcW w:w="785" w:type="dxa"/>
            <w:vAlign w:val="center"/>
          </w:tcPr>
          <w:p w14:paraId="5FAD2F10">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14</w:t>
            </w:r>
            <w:r>
              <w:rPr>
                <w:rFonts w:hint="eastAsia" w:asciiTheme="minorEastAsia" w:hAnsiTheme="minorEastAsia" w:cstheme="minorEastAsia"/>
                <w:b/>
                <w:color w:val="auto"/>
                <w:kern w:val="0"/>
                <w:sz w:val="24"/>
                <w:szCs w:val="24"/>
                <w:highlight w:val="none"/>
              </w:rPr>
              <w:t>.1</w:t>
            </w:r>
          </w:p>
        </w:tc>
        <w:tc>
          <w:tcPr>
            <w:tcW w:w="1475" w:type="dxa"/>
            <w:vAlign w:val="center"/>
          </w:tcPr>
          <w:p w14:paraId="4E9E64C2">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踏勘现场</w:t>
            </w:r>
          </w:p>
        </w:tc>
        <w:tc>
          <w:tcPr>
            <w:tcW w:w="7016" w:type="dxa"/>
            <w:vAlign w:val="center"/>
          </w:tcPr>
          <w:p w14:paraId="499A75C1">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不组织</w:t>
            </w:r>
          </w:p>
        </w:tc>
      </w:tr>
      <w:tr w14:paraId="0C09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644" w:type="dxa"/>
            <w:vAlign w:val="center"/>
          </w:tcPr>
          <w:p w14:paraId="7996CB8C">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15</w:t>
            </w:r>
          </w:p>
        </w:tc>
        <w:tc>
          <w:tcPr>
            <w:tcW w:w="785" w:type="dxa"/>
            <w:vAlign w:val="center"/>
          </w:tcPr>
          <w:p w14:paraId="1E3FE467">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15</w:t>
            </w:r>
            <w:r>
              <w:rPr>
                <w:rFonts w:hint="eastAsia" w:asciiTheme="minorEastAsia" w:hAnsiTheme="minorEastAsia" w:cstheme="minorEastAsia"/>
                <w:b/>
                <w:color w:val="auto"/>
                <w:kern w:val="0"/>
                <w:sz w:val="24"/>
                <w:szCs w:val="24"/>
                <w:highlight w:val="none"/>
              </w:rPr>
              <w:t>.1</w:t>
            </w:r>
          </w:p>
        </w:tc>
        <w:tc>
          <w:tcPr>
            <w:tcW w:w="1475" w:type="dxa"/>
            <w:vAlign w:val="center"/>
          </w:tcPr>
          <w:p w14:paraId="630FA340">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响应文件份数</w:t>
            </w:r>
          </w:p>
        </w:tc>
        <w:tc>
          <w:tcPr>
            <w:tcW w:w="7016" w:type="dxa"/>
            <w:vAlign w:val="center"/>
          </w:tcPr>
          <w:p w14:paraId="5628BB58">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响应文件：电子版一份；</w:t>
            </w:r>
          </w:p>
        </w:tc>
      </w:tr>
      <w:tr w14:paraId="008FD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trPr>
        <w:tc>
          <w:tcPr>
            <w:tcW w:w="644" w:type="dxa"/>
            <w:vAlign w:val="center"/>
          </w:tcPr>
          <w:p w14:paraId="0BC320E6">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16</w:t>
            </w:r>
          </w:p>
        </w:tc>
        <w:tc>
          <w:tcPr>
            <w:tcW w:w="785" w:type="dxa"/>
            <w:vAlign w:val="center"/>
          </w:tcPr>
          <w:p w14:paraId="55B16C1D">
            <w:pPr>
              <w:spacing w:line="440" w:lineRule="exact"/>
              <w:jc w:val="center"/>
              <w:rPr>
                <w:rFonts w:asciiTheme="minorEastAsia" w:hAnsiTheme="minorEastAsia" w:cstheme="minorEastAsia"/>
                <w:b/>
                <w:color w:val="auto"/>
                <w:kern w:val="0"/>
                <w:sz w:val="24"/>
                <w:szCs w:val="24"/>
                <w:highlight w:val="none"/>
              </w:rPr>
            </w:pPr>
          </w:p>
        </w:tc>
        <w:tc>
          <w:tcPr>
            <w:tcW w:w="1475" w:type="dxa"/>
            <w:vAlign w:val="center"/>
          </w:tcPr>
          <w:p w14:paraId="4BFAC0BF">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响应文件提交地点及截止时间</w:t>
            </w:r>
          </w:p>
        </w:tc>
        <w:tc>
          <w:tcPr>
            <w:tcW w:w="7016" w:type="dxa"/>
            <w:vAlign w:val="center"/>
          </w:tcPr>
          <w:p w14:paraId="774B4CE5">
            <w:pPr>
              <w:keepNext w:val="0"/>
              <w:keepLines w:val="0"/>
              <w:pageBreakBefore w:val="0"/>
              <w:widowControl/>
              <w:kinsoku/>
              <w:wordWrap/>
              <w:overflowPunct/>
              <w:topLinePunct w:val="0"/>
              <w:bidi w:val="0"/>
              <w:adjustRightInd/>
              <w:snapToGrid w:val="0"/>
              <w:spacing w:line="300" w:lineRule="auto"/>
              <w:ind w:left="0" w:leftChars="0" w:firstLine="0" w:firstLineChars="0"/>
              <w:jc w:val="both"/>
              <w:textAlignment w:val="auto"/>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开标时间：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9</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r>
              <w:rPr>
                <w:rFonts w:hint="eastAsia" w:asciiTheme="minorEastAsia" w:hAnsiTheme="minorEastAsia" w:cstheme="minorEastAsia"/>
                <w:color w:val="auto"/>
                <w:sz w:val="24"/>
                <w:szCs w:val="24"/>
                <w:highlight w:val="none"/>
              </w:rPr>
              <w:t>9时00分（北京时间）</w:t>
            </w:r>
          </w:p>
          <w:p w14:paraId="49D9F6C9">
            <w:pPr>
              <w:pStyle w:val="12"/>
              <w:keepNext w:val="0"/>
              <w:keepLines w:val="0"/>
              <w:pageBreakBefore w:val="0"/>
              <w:widowControl/>
              <w:kinsoku/>
              <w:wordWrap/>
              <w:overflowPunct/>
              <w:topLinePunct w:val="0"/>
              <w:bidi w:val="0"/>
              <w:adjustRightInd/>
              <w:snapToGrid w:val="0"/>
              <w:spacing w:line="300" w:lineRule="auto"/>
              <w:ind w:left="0" w:leftChars="0" w:firstLine="0" w:firstLineChars="0"/>
              <w:jc w:val="both"/>
              <w:textAlignment w:val="auto"/>
              <w:rPr>
                <w:color w:val="auto"/>
                <w:highlight w:val="none"/>
              </w:rPr>
            </w:pPr>
            <w:r>
              <w:rPr>
                <w:rFonts w:hint="eastAsia" w:asciiTheme="minorEastAsia" w:hAnsiTheme="minorEastAsia" w:eastAsiaTheme="minorEastAsia" w:cstheme="minorEastAsia"/>
                <w:color w:val="auto"/>
                <w:kern w:val="2"/>
                <w:sz w:val="24"/>
                <w:szCs w:val="24"/>
                <w:highlight w:val="none"/>
              </w:rPr>
              <w:t>响应文件递交地点（网址）：广西政府采购云平台（</w:t>
            </w:r>
            <w:r>
              <w:rPr>
                <w:rFonts w:hint="eastAsia" w:cs="宋体" w:asciiTheme="minorEastAsia" w:hAnsiTheme="minorEastAsia"/>
                <w:bCs/>
                <w:color w:val="auto"/>
                <w:sz w:val="24"/>
                <w:szCs w:val="24"/>
                <w:highlight w:val="none"/>
              </w:rPr>
              <w:t>https://www.gcy.zfcg.gxzf.gov.cn/</w:t>
            </w:r>
            <w:r>
              <w:rPr>
                <w:rFonts w:hint="eastAsia" w:asciiTheme="minorEastAsia" w:hAnsiTheme="minorEastAsia" w:eastAsiaTheme="minorEastAsia" w:cstheme="minorEastAsia"/>
                <w:color w:val="auto"/>
                <w:kern w:val="2"/>
                <w:sz w:val="24"/>
                <w:szCs w:val="24"/>
                <w:highlight w:val="none"/>
              </w:rPr>
              <w:t>）（本项目不要求供应商到达开标现场，但供应商应派法定代表（负责人）或委托代理人准时在线出席电子开评标会议，随时关注开标进度，如在开标过程中有电子询标，应在规定的时间内电子询标进行澄清回复。）</w:t>
            </w:r>
          </w:p>
          <w:p w14:paraId="3566C44B">
            <w:pPr>
              <w:keepNext w:val="0"/>
              <w:keepLines w:val="0"/>
              <w:pageBreakBefore w:val="0"/>
              <w:widowControl/>
              <w:kinsoku/>
              <w:wordWrap/>
              <w:overflowPunct/>
              <w:topLinePunct w:val="0"/>
              <w:bidi w:val="0"/>
              <w:adjustRightInd/>
              <w:snapToGrid w:val="0"/>
              <w:spacing w:line="300" w:lineRule="auto"/>
              <w:ind w:left="0" w:leftChars="0" w:firstLine="0" w:firstLineChars="0"/>
              <w:jc w:val="both"/>
              <w:textAlignment w:val="auto"/>
              <w:rPr>
                <w:rFonts w:asciiTheme="minorEastAsia" w:hAnsiTheme="minorEastAsia" w:cstheme="minorEastAsia"/>
                <w:color w:val="auto"/>
                <w:kern w:val="0"/>
                <w:sz w:val="24"/>
                <w:szCs w:val="24"/>
                <w:highlight w:val="none"/>
                <w:u w:val="single"/>
              </w:rPr>
            </w:pPr>
            <w:r>
              <w:rPr>
                <w:rFonts w:hint="eastAsia" w:asciiTheme="minorEastAsia" w:hAnsiTheme="minorEastAsia" w:cstheme="minorEastAsia"/>
                <w:color w:val="auto"/>
                <w:sz w:val="24"/>
                <w:szCs w:val="24"/>
                <w:highlight w:val="none"/>
              </w:rPr>
              <w:t>响应文件递交截止时间：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 xml:space="preserve"> </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 xml:space="preserve"> </w:t>
            </w:r>
            <w:r>
              <w:rPr>
                <w:rFonts w:hint="eastAsia" w:cs="宋体" w:asciiTheme="minorEastAsia" w:hAnsiTheme="minorEastAsia"/>
                <w:bCs/>
                <w:color w:val="auto"/>
                <w:kern w:val="0"/>
                <w:sz w:val="24"/>
                <w:szCs w:val="24"/>
                <w:highlight w:val="none"/>
                <w:u w:val="single"/>
              </w:rPr>
              <w:t>日</w:t>
            </w:r>
            <w:r>
              <w:rPr>
                <w:rFonts w:hint="eastAsia" w:asciiTheme="minorEastAsia" w:hAnsiTheme="minorEastAsia" w:cstheme="minorEastAsia"/>
                <w:color w:val="auto"/>
                <w:sz w:val="24"/>
                <w:szCs w:val="24"/>
                <w:highlight w:val="none"/>
              </w:rPr>
              <w:t>9时00分之前将电子磋商响应文件上传到广西政府采购云平台。应按照本项目竞争性磋商文件和广西政府采购云平台的要求编制、加密传输磋商响应文件。供应商在使用系统进行投标的过程中遇到涉及平台使用的任何问题，可致电广西政府采购云平台技术支持热线咨询，联系方式：95763。</w:t>
            </w:r>
          </w:p>
        </w:tc>
      </w:tr>
      <w:tr w14:paraId="36D4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0" w:hRule="atLeast"/>
        </w:trPr>
        <w:tc>
          <w:tcPr>
            <w:tcW w:w="644" w:type="dxa"/>
            <w:vAlign w:val="center"/>
          </w:tcPr>
          <w:p w14:paraId="4C2891A3">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17</w:t>
            </w:r>
          </w:p>
        </w:tc>
        <w:tc>
          <w:tcPr>
            <w:tcW w:w="785" w:type="dxa"/>
            <w:vAlign w:val="center"/>
          </w:tcPr>
          <w:p w14:paraId="0092A987">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17</w:t>
            </w:r>
            <w:r>
              <w:rPr>
                <w:rFonts w:hint="eastAsia" w:asciiTheme="minorEastAsia" w:hAnsiTheme="minorEastAsia" w:cstheme="minorEastAsia"/>
                <w:b/>
                <w:color w:val="auto"/>
                <w:kern w:val="0"/>
                <w:sz w:val="24"/>
                <w:szCs w:val="24"/>
                <w:highlight w:val="none"/>
              </w:rPr>
              <w:t>.1</w:t>
            </w:r>
          </w:p>
        </w:tc>
        <w:tc>
          <w:tcPr>
            <w:tcW w:w="1475" w:type="dxa"/>
            <w:vAlign w:val="center"/>
          </w:tcPr>
          <w:p w14:paraId="6E0A08C8">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磋商地点</w:t>
            </w:r>
          </w:p>
          <w:p w14:paraId="5431AC06">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及时间</w:t>
            </w:r>
          </w:p>
        </w:tc>
        <w:tc>
          <w:tcPr>
            <w:tcW w:w="7016" w:type="dxa"/>
            <w:vAlign w:val="center"/>
          </w:tcPr>
          <w:p w14:paraId="2616D7C3">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磋商时间：</w:t>
            </w:r>
            <w:r>
              <w:rPr>
                <w:rFonts w:hint="eastAsia" w:cs="宋体" w:asciiTheme="minorEastAsia" w:hAnsiTheme="minorEastAsia"/>
                <w:bCs/>
                <w:color w:val="auto"/>
                <w:kern w:val="0"/>
                <w:sz w:val="24"/>
                <w:szCs w:val="24"/>
                <w:highlight w:val="none"/>
                <w:u w:val="single"/>
              </w:rPr>
              <w:t>202</w:t>
            </w:r>
            <w:r>
              <w:rPr>
                <w:rFonts w:hint="eastAsia" w:cs="宋体" w:asciiTheme="minorEastAsia" w:hAnsiTheme="minorEastAsia"/>
                <w:bCs/>
                <w:color w:val="auto"/>
                <w:kern w:val="0"/>
                <w:sz w:val="24"/>
                <w:szCs w:val="24"/>
                <w:highlight w:val="none"/>
                <w:u w:val="single"/>
                <w:lang w:val="en-US" w:eastAsia="zh-CN"/>
              </w:rPr>
              <w:t>6</w:t>
            </w:r>
            <w:r>
              <w:rPr>
                <w:rFonts w:hint="eastAsia" w:cs="宋体" w:asciiTheme="minorEastAsia" w:hAnsiTheme="minorEastAsia"/>
                <w:bCs/>
                <w:color w:val="auto"/>
                <w:kern w:val="0"/>
                <w:sz w:val="24"/>
                <w:szCs w:val="24"/>
                <w:highlight w:val="none"/>
                <w:u w:val="single"/>
              </w:rPr>
              <w:t>年</w:t>
            </w:r>
            <w:r>
              <w:rPr>
                <w:rFonts w:hint="eastAsia" w:cs="宋体" w:asciiTheme="minorEastAsia" w:hAnsiTheme="minorEastAsia"/>
                <w:bCs/>
                <w:color w:val="auto"/>
                <w:kern w:val="0"/>
                <w:sz w:val="24"/>
                <w:szCs w:val="24"/>
                <w:highlight w:val="none"/>
                <w:u w:val="single"/>
                <w:lang w:val="en-US" w:eastAsia="zh-CN"/>
              </w:rPr>
              <w:t>9</w:t>
            </w:r>
            <w:r>
              <w:rPr>
                <w:rFonts w:hint="eastAsia" w:cs="宋体" w:asciiTheme="minorEastAsia" w:hAnsiTheme="minorEastAsia"/>
                <w:bCs/>
                <w:color w:val="auto"/>
                <w:kern w:val="0"/>
                <w:sz w:val="24"/>
                <w:szCs w:val="24"/>
                <w:highlight w:val="none"/>
                <w:u w:val="single"/>
              </w:rPr>
              <w:t>月</w:t>
            </w:r>
            <w:r>
              <w:rPr>
                <w:rFonts w:hint="eastAsia" w:cs="宋体" w:asciiTheme="minorEastAsia" w:hAnsiTheme="minorEastAsia"/>
                <w:bCs/>
                <w:color w:val="auto"/>
                <w:kern w:val="0"/>
                <w:sz w:val="24"/>
                <w:szCs w:val="24"/>
                <w:highlight w:val="none"/>
                <w:u w:val="single"/>
                <w:lang w:val="en-US" w:eastAsia="zh-CN"/>
              </w:rPr>
              <w:t>28</w:t>
            </w:r>
            <w:r>
              <w:rPr>
                <w:rFonts w:hint="eastAsia" w:cs="宋体" w:asciiTheme="minorEastAsia" w:hAnsiTheme="minorEastAsia"/>
                <w:bCs/>
                <w:color w:val="auto"/>
                <w:kern w:val="0"/>
                <w:sz w:val="24"/>
                <w:szCs w:val="24"/>
                <w:highlight w:val="none"/>
                <w:u w:val="single"/>
              </w:rPr>
              <w:t>日</w:t>
            </w:r>
            <w:bookmarkStart w:id="1450" w:name="_GoBack"/>
            <w:bookmarkEnd w:id="1450"/>
            <w:r>
              <w:rPr>
                <w:rFonts w:hint="eastAsia" w:asciiTheme="minorEastAsia" w:hAnsiTheme="minorEastAsia" w:cstheme="minorEastAsia"/>
                <w:color w:val="auto"/>
                <w:sz w:val="24"/>
                <w:szCs w:val="24"/>
                <w:highlight w:val="none"/>
              </w:rPr>
              <w:t>9时00分</w:t>
            </w:r>
            <w:r>
              <w:rPr>
                <w:rFonts w:hint="eastAsia" w:asciiTheme="minorEastAsia" w:hAnsiTheme="minorEastAsia" w:cstheme="minorEastAsia"/>
                <w:color w:val="auto"/>
                <w:kern w:val="0"/>
                <w:sz w:val="24"/>
                <w:szCs w:val="24"/>
                <w:highlight w:val="none"/>
              </w:rPr>
              <w:t>截标后</w:t>
            </w:r>
          </w:p>
          <w:p w14:paraId="7901CD41">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b/>
                <w:color w:val="auto"/>
                <w:sz w:val="24"/>
                <w:szCs w:val="24"/>
                <w:highlight w:val="none"/>
              </w:rPr>
            </w:pPr>
            <w:r>
              <w:rPr>
                <w:rFonts w:hint="eastAsia" w:asciiTheme="minorEastAsia" w:hAnsiTheme="minorEastAsia" w:cstheme="minorEastAsia"/>
                <w:color w:val="auto"/>
                <w:kern w:val="0"/>
                <w:sz w:val="24"/>
                <w:szCs w:val="24"/>
                <w:highlight w:val="none"/>
              </w:rPr>
              <w:t>磋商地点：通过广西政府采购云平台实行在线解密开启及在线磋商。</w:t>
            </w:r>
          </w:p>
        </w:tc>
      </w:tr>
      <w:tr w14:paraId="5B1F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trPr>
        <w:tc>
          <w:tcPr>
            <w:tcW w:w="644" w:type="dxa"/>
            <w:vAlign w:val="center"/>
          </w:tcPr>
          <w:p w14:paraId="4A8AD262">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18</w:t>
            </w:r>
          </w:p>
        </w:tc>
        <w:tc>
          <w:tcPr>
            <w:tcW w:w="785" w:type="dxa"/>
            <w:vAlign w:val="center"/>
          </w:tcPr>
          <w:p w14:paraId="24C495C1">
            <w:pPr>
              <w:spacing w:line="440" w:lineRule="exact"/>
              <w:jc w:val="center"/>
              <w:rPr>
                <w:rFonts w:hint="eastAsia" w:asciiTheme="minorEastAsia" w:hAnsiTheme="minorEastAsia" w:eastAsiaTheme="minorEastAsia" w:cstheme="minorEastAsia"/>
                <w:b/>
                <w:color w:val="auto"/>
                <w:kern w:val="0"/>
                <w:sz w:val="24"/>
                <w:szCs w:val="24"/>
                <w:highlight w:val="none"/>
                <w:lang w:eastAsia="zh-CN"/>
              </w:rPr>
            </w:pPr>
            <w:r>
              <w:rPr>
                <w:rFonts w:hint="eastAsia" w:asciiTheme="minorEastAsia" w:hAnsiTheme="minorEastAsia" w:cstheme="minorEastAsia"/>
                <w:b/>
                <w:color w:val="auto"/>
                <w:kern w:val="0"/>
                <w:sz w:val="24"/>
                <w:szCs w:val="24"/>
                <w:highlight w:val="none"/>
                <w:lang w:val="en-US" w:eastAsia="zh-CN"/>
              </w:rPr>
              <w:t>18</w:t>
            </w:r>
            <w:r>
              <w:rPr>
                <w:rFonts w:hint="eastAsia" w:asciiTheme="minorEastAsia" w:hAnsiTheme="minorEastAsia" w:cstheme="minorEastAsia"/>
                <w:b/>
                <w:color w:val="auto"/>
                <w:kern w:val="0"/>
                <w:sz w:val="24"/>
                <w:szCs w:val="24"/>
                <w:highlight w:val="none"/>
              </w:rPr>
              <w:t>.</w:t>
            </w:r>
            <w:r>
              <w:rPr>
                <w:rFonts w:hint="eastAsia" w:asciiTheme="minorEastAsia" w:hAnsiTheme="minorEastAsia" w:cstheme="minorEastAsia"/>
                <w:b/>
                <w:color w:val="auto"/>
                <w:kern w:val="0"/>
                <w:sz w:val="24"/>
                <w:szCs w:val="24"/>
                <w:highlight w:val="none"/>
                <w:lang w:val="en-US" w:eastAsia="zh-CN"/>
              </w:rPr>
              <w:t>1</w:t>
            </w:r>
          </w:p>
        </w:tc>
        <w:tc>
          <w:tcPr>
            <w:tcW w:w="1475" w:type="dxa"/>
            <w:vAlign w:val="center"/>
          </w:tcPr>
          <w:p w14:paraId="472DC172">
            <w:pPr>
              <w:spacing w:line="440" w:lineRule="exact"/>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评标方法</w:t>
            </w:r>
          </w:p>
        </w:tc>
        <w:tc>
          <w:tcPr>
            <w:tcW w:w="7016" w:type="dxa"/>
            <w:vAlign w:val="center"/>
          </w:tcPr>
          <w:p w14:paraId="12F8D21B">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sz w:val="24"/>
                <w:szCs w:val="24"/>
                <w:highlight w:val="none"/>
              </w:rPr>
              <w:t>综合评分法</w:t>
            </w:r>
          </w:p>
        </w:tc>
      </w:tr>
      <w:tr w14:paraId="2D47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trPr>
        <w:tc>
          <w:tcPr>
            <w:tcW w:w="644" w:type="dxa"/>
            <w:vAlign w:val="center"/>
          </w:tcPr>
          <w:p w14:paraId="61EE3A5A">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19</w:t>
            </w:r>
          </w:p>
        </w:tc>
        <w:tc>
          <w:tcPr>
            <w:tcW w:w="785" w:type="dxa"/>
            <w:vAlign w:val="center"/>
          </w:tcPr>
          <w:p w14:paraId="369FAC40">
            <w:pPr>
              <w:spacing w:line="440" w:lineRule="exact"/>
              <w:jc w:val="center"/>
              <w:rPr>
                <w:rFonts w:hint="default" w:asciiTheme="minorEastAsia" w:hAnsiTheme="minorEastAsia" w:eastAsiaTheme="minorEastAsia" w:cstheme="minorEastAsia"/>
                <w:b/>
                <w:color w:val="auto"/>
                <w:kern w:val="0"/>
                <w:sz w:val="24"/>
                <w:szCs w:val="24"/>
                <w:highlight w:val="none"/>
                <w:lang w:val="en-US" w:eastAsia="zh-CN"/>
              </w:rPr>
            </w:pPr>
            <w:r>
              <w:rPr>
                <w:rFonts w:hint="eastAsia" w:asciiTheme="minorEastAsia" w:hAnsiTheme="minorEastAsia" w:cstheme="minorEastAsia"/>
                <w:b/>
                <w:color w:val="auto"/>
                <w:kern w:val="0"/>
                <w:sz w:val="24"/>
                <w:szCs w:val="24"/>
                <w:highlight w:val="none"/>
                <w:lang w:val="en-US" w:eastAsia="zh-CN"/>
              </w:rPr>
              <w:t>19.1</w:t>
            </w:r>
          </w:p>
        </w:tc>
        <w:tc>
          <w:tcPr>
            <w:tcW w:w="1475" w:type="dxa"/>
            <w:vAlign w:val="center"/>
          </w:tcPr>
          <w:p w14:paraId="1A4D4122">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lang w:val="en-US" w:eastAsia="zh-CN"/>
              </w:rPr>
              <w:t>履约</w:t>
            </w:r>
            <w:r>
              <w:rPr>
                <w:rFonts w:hint="eastAsia" w:asciiTheme="minorEastAsia" w:hAnsiTheme="minorEastAsia" w:cstheme="minorEastAsia"/>
                <w:b/>
                <w:color w:val="auto"/>
                <w:kern w:val="0"/>
                <w:sz w:val="24"/>
                <w:szCs w:val="24"/>
                <w:highlight w:val="none"/>
              </w:rPr>
              <w:t>保证金</w:t>
            </w:r>
          </w:p>
        </w:tc>
        <w:tc>
          <w:tcPr>
            <w:tcW w:w="7016" w:type="dxa"/>
            <w:vAlign w:val="center"/>
          </w:tcPr>
          <w:p w14:paraId="6C63C659">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hint="default" w:cs="宋体" w:asciiTheme="minorEastAsia" w:hAnsiTheme="minorEastAsia" w:eastAsiaTheme="minorEastAsia"/>
                <w:color w:val="auto"/>
                <w:sz w:val="24"/>
                <w:szCs w:val="24"/>
                <w:highlight w:val="none"/>
                <w:lang w:val="en-US" w:eastAsia="zh-CN"/>
              </w:rPr>
            </w:pPr>
            <w:r>
              <w:rPr>
                <w:rFonts w:hint="eastAsia" w:cs="宋体" w:asciiTheme="minorEastAsia" w:hAnsiTheme="minorEastAsia"/>
                <w:color w:val="auto"/>
                <w:sz w:val="24"/>
                <w:szCs w:val="24"/>
                <w:highlight w:val="none"/>
                <w:lang w:val="en-US" w:eastAsia="zh-CN"/>
              </w:rPr>
              <w:t>无</w:t>
            </w:r>
          </w:p>
        </w:tc>
      </w:tr>
      <w:tr w14:paraId="076E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6" w:hRule="atLeast"/>
        </w:trPr>
        <w:tc>
          <w:tcPr>
            <w:tcW w:w="644" w:type="dxa"/>
            <w:vAlign w:val="center"/>
          </w:tcPr>
          <w:p w14:paraId="2F8D9D73">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20</w:t>
            </w:r>
          </w:p>
        </w:tc>
        <w:tc>
          <w:tcPr>
            <w:tcW w:w="785" w:type="dxa"/>
            <w:vAlign w:val="center"/>
          </w:tcPr>
          <w:p w14:paraId="15BD660F">
            <w:pPr>
              <w:spacing w:line="440" w:lineRule="exact"/>
              <w:jc w:val="center"/>
              <w:rPr>
                <w:rFonts w:hint="default" w:asciiTheme="minorEastAsia" w:hAnsiTheme="minorEastAsia" w:eastAsiaTheme="minorEastAsia" w:cstheme="minorEastAsia"/>
                <w:b/>
                <w:color w:val="auto"/>
                <w:kern w:val="0"/>
                <w:sz w:val="24"/>
                <w:szCs w:val="24"/>
                <w:highlight w:val="none"/>
                <w:lang w:val="en-US" w:eastAsia="zh-CN"/>
              </w:rPr>
            </w:pPr>
            <w:r>
              <w:rPr>
                <w:rFonts w:hint="eastAsia" w:asciiTheme="minorEastAsia" w:hAnsiTheme="minorEastAsia" w:cstheme="minorEastAsia"/>
                <w:b/>
                <w:color w:val="auto"/>
                <w:kern w:val="0"/>
                <w:sz w:val="24"/>
                <w:szCs w:val="24"/>
                <w:highlight w:val="none"/>
                <w:lang w:val="en-US" w:eastAsia="zh-CN"/>
              </w:rPr>
              <w:t>20.1</w:t>
            </w:r>
          </w:p>
        </w:tc>
        <w:tc>
          <w:tcPr>
            <w:tcW w:w="1475" w:type="dxa"/>
            <w:vAlign w:val="center"/>
          </w:tcPr>
          <w:p w14:paraId="0E07C06A">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采购代理服务费</w:t>
            </w:r>
          </w:p>
        </w:tc>
        <w:tc>
          <w:tcPr>
            <w:tcW w:w="7016" w:type="dxa"/>
            <w:vAlign w:val="center"/>
          </w:tcPr>
          <w:p w14:paraId="073C549E">
            <w:pPr>
              <w:keepNext w:val="0"/>
              <w:keepLines w:val="0"/>
              <w:pageBreakBefore w:val="0"/>
              <w:widowControl/>
              <w:kinsoku/>
              <w:wordWrap/>
              <w:overflowPunct/>
              <w:topLinePunct w:val="0"/>
              <w:bidi w:val="0"/>
              <w:adjustRightInd/>
              <w:snapToGrid w:val="0"/>
              <w:spacing w:line="300" w:lineRule="auto"/>
              <w:ind w:left="0" w:leftChars="0" w:firstLine="0" w:firstLineChars="0"/>
              <w:jc w:val="both"/>
              <w:textAlignment w:val="auto"/>
              <w:rPr>
                <w:rFonts w:hint="eastAsia" w:asciiTheme="minorEastAsia" w:hAnsiTheme="minorEastAsia" w:cstheme="minorEastAsia"/>
                <w:color w:val="auto"/>
                <w:sz w:val="24"/>
                <w:szCs w:val="24"/>
                <w:highlight w:val="none"/>
                <w:lang w:val="zh-CN"/>
              </w:rPr>
            </w:pPr>
            <w:r>
              <w:rPr>
                <w:rFonts w:hint="eastAsia" w:asciiTheme="minorEastAsia" w:hAnsiTheme="minorEastAsia" w:cstheme="minorEastAsia"/>
                <w:color w:val="auto"/>
                <w:sz w:val="24"/>
                <w:szCs w:val="24"/>
                <w:highlight w:val="none"/>
                <w:lang w:val="zh-CN"/>
              </w:rPr>
              <w:t>代理服务费按广西壮族自治区物价局转发国家发展改革委关于降低部分建设项目收费标准规范收费行为等有关问题的通知(桂价费[2011] 55号) 的收费标准计算，（最终以成交价作为计费基数计算），领取中标通知书前，由中标人向华睿诚项目管理有限公司一次性付清招标代理服务费。</w:t>
            </w:r>
          </w:p>
          <w:p w14:paraId="156EDE34">
            <w:pPr>
              <w:keepNext w:val="0"/>
              <w:keepLines w:val="0"/>
              <w:pageBreakBefore w:val="0"/>
              <w:widowControl/>
              <w:kinsoku/>
              <w:wordWrap/>
              <w:overflowPunct/>
              <w:topLinePunct w:val="0"/>
              <w:bidi w:val="0"/>
              <w:adjustRightInd/>
              <w:snapToGrid w:val="0"/>
              <w:spacing w:line="300" w:lineRule="auto"/>
              <w:ind w:left="0" w:leftChars="0" w:firstLine="0" w:firstLineChars="0"/>
              <w:jc w:val="both"/>
              <w:textAlignment w:val="auto"/>
              <w:rPr>
                <w:rFonts w:hint="eastAsia" w:asciiTheme="minorEastAsia" w:hAnsiTheme="minorEastAsia" w:cstheme="minorEastAsia"/>
                <w:color w:val="auto"/>
                <w:sz w:val="24"/>
                <w:szCs w:val="24"/>
                <w:highlight w:val="none"/>
                <w:lang w:val="zh-CN"/>
              </w:rPr>
            </w:pPr>
            <w:r>
              <w:rPr>
                <w:rFonts w:hint="eastAsia" w:asciiTheme="minorEastAsia" w:hAnsiTheme="minorEastAsia" w:cstheme="minorEastAsia"/>
                <w:color w:val="auto"/>
                <w:sz w:val="24"/>
                <w:szCs w:val="24"/>
                <w:highlight w:val="none"/>
                <w:lang w:val="zh-CN"/>
              </w:rPr>
              <w:t>户  名：华睿诚项目管理有限公司梧州分公司</w:t>
            </w:r>
          </w:p>
          <w:p w14:paraId="1AECC929">
            <w:pPr>
              <w:keepNext w:val="0"/>
              <w:keepLines w:val="0"/>
              <w:pageBreakBefore w:val="0"/>
              <w:widowControl/>
              <w:kinsoku/>
              <w:wordWrap/>
              <w:overflowPunct/>
              <w:topLinePunct w:val="0"/>
              <w:bidi w:val="0"/>
              <w:adjustRightInd/>
              <w:snapToGrid w:val="0"/>
              <w:spacing w:line="300" w:lineRule="auto"/>
              <w:ind w:left="0" w:leftChars="0" w:firstLine="0" w:firstLineChars="0"/>
              <w:jc w:val="both"/>
              <w:textAlignment w:val="auto"/>
              <w:rPr>
                <w:rFonts w:hint="eastAsia" w:asciiTheme="minorEastAsia" w:hAnsiTheme="minorEastAsia" w:cstheme="minorEastAsia"/>
                <w:color w:val="auto"/>
                <w:sz w:val="24"/>
                <w:szCs w:val="24"/>
                <w:highlight w:val="none"/>
                <w:lang w:val="zh-CN"/>
              </w:rPr>
            </w:pPr>
            <w:r>
              <w:rPr>
                <w:rFonts w:hint="eastAsia" w:asciiTheme="minorEastAsia" w:hAnsiTheme="minorEastAsia" w:cstheme="minorEastAsia"/>
                <w:color w:val="auto"/>
                <w:sz w:val="24"/>
                <w:szCs w:val="24"/>
                <w:highlight w:val="none"/>
                <w:lang w:val="zh-CN"/>
              </w:rPr>
              <w:t>开户行：中国建设银行股份有限公司梧州新兴三路支行</w:t>
            </w:r>
          </w:p>
          <w:p w14:paraId="42B6658E">
            <w:pPr>
              <w:keepNext w:val="0"/>
              <w:keepLines w:val="0"/>
              <w:pageBreakBefore w:val="0"/>
              <w:widowControl/>
              <w:kinsoku/>
              <w:wordWrap/>
              <w:overflowPunct/>
              <w:topLinePunct w:val="0"/>
              <w:bidi w:val="0"/>
              <w:adjustRightInd/>
              <w:snapToGrid w:val="0"/>
              <w:spacing w:line="300" w:lineRule="auto"/>
              <w:ind w:left="0" w:leftChars="0" w:firstLine="0" w:firstLineChars="0"/>
              <w:jc w:val="both"/>
              <w:textAlignment w:val="auto"/>
              <w:rPr>
                <w:rFonts w:cs="宋体" w:asciiTheme="minorEastAsia" w:hAnsiTheme="minorEastAsia"/>
                <w:b/>
                <w:bCs/>
                <w:color w:val="auto"/>
                <w:highlight w:val="none"/>
                <w:u w:val="single"/>
                <w:lang w:val="zh-CN"/>
              </w:rPr>
            </w:pPr>
            <w:r>
              <w:rPr>
                <w:rFonts w:hint="eastAsia" w:asciiTheme="minorEastAsia" w:hAnsiTheme="minorEastAsia" w:cstheme="minorEastAsia"/>
                <w:color w:val="auto"/>
                <w:sz w:val="24"/>
                <w:szCs w:val="24"/>
                <w:highlight w:val="none"/>
                <w:lang w:val="zh-CN"/>
              </w:rPr>
              <w:t>帐  号：45050 16486 55000 00180</w:t>
            </w:r>
          </w:p>
        </w:tc>
      </w:tr>
      <w:tr w14:paraId="597D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trPr>
        <w:tc>
          <w:tcPr>
            <w:tcW w:w="644" w:type="dxa"/>
            <w:vAlign w:val="center"/>
          </w:tcPr>
          <w:p w14:paraId="7E20CA21">
            <w:pPr>
              <w:spacing w:line="440" w:lineRule="exact"/>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21</w:t>
            </w:r>
          </w:p>
        </w:tc>
        <w:tc>
          <w:tcPr>
            <w:tcW w:w="785" w:type="dxa"/>
            <w:vAlign w:val="center"/>
          </w:tcPr>
          <w:p w14:paraId="15E34102">
            <w:pPr>
              <w:spacing w:line="440" w:lineRule="exact"/>
              <w:jc w:val="center"/>
              <w:rPr>
                <w:rFonts w:asciiTheme="minorEastAsia" w:hAnsiTheme="minorEastAsia" w:cstheme="minorEastAsia"/>
                <w:b/>
                <w:color w:val="auto"/>
                <w:kern w:val="0"/>
                <w:sz w:val="24"/>
                <w:szCs w:val="24"/>
                <w:highlight w:val="none"/>
              </w:rPr>
            </w:pPr>
          </w:p>
        </w:tc>
        <w:tc>
          <w:tcPr>
            <w:tcW w:w="1475" w:type="dxa"/>
            <w:vAlign w:val="center"/>
          </w:tcPr>
          <w:p w14:paraId="0DC9468C">
            <w:pPr>
              <w:spacing w:line="380" w:lineRule="exact"/>
              <w:jc w:val="center"/>
              <w:rPr>
                <w:rFonts w:cs="Courier New" w:asciiTheme="minorEastAsia" w:hAnsiTheme="minorEastAsia"/>
                <w:color w:val="auto"/>
                <w:sz w:val="22"/>
                <w:highlight w:val="none"/>
              </w:rPr>
            </w:pPr>
            <w:r>
              <w:rPr>
                <w:rFonts w:hint="eastAsia" w:asciiTheme="minorEastAsia" w:hAnsiTheme="minorEastAsia" w:cstheme="minorEastAsia"/>
                <w:b/>
                <w:bCs/>
                <w:color w:val="auto"/>
                <w:kern w:val="0"/>
                <w:sz w:val="24"/>
                <w:szCs w:val="24"/>
                <w:highlight w:val="none"/>
              </w:rPr>
              <w:t>质疑递交部门</w:t>
            </w:r>
          </w:p>
          <w:p w14:paraId="3BDDE7AE">
            <w:pPr>
              <w:spacing w:line="440" w:lineRule="exact"/>
              <w:jc w:val="center"/>
              <w:rPr>
                <w:rFonts w:asciiTheme="minorEastAsia" w:hAnsiTheme="minorEastAsia" w:cstheme="minorEastAsia"/>
                <w:b/>
                <w:color w:val="auto"/>
                <w:kern w:val="0"/>
                <w:sz w:val="24"/>
                <w:szCs w:val="24"/>
                <w:highlight w:val="none"/>
              </w:rPr>
            </w:pPr>
          </w:p>
        </w:tc>
        <w:tc>
          <w:tcPr>
            <w:tcW w:w="7016" w:type="dxa"/>
            <w:vAlign w:val="center"/>
          </w:tcPr>
          <w:p w14:paraId="2C9780A8">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cs="宋体" w:asciiTheme="minorEastAsia" w:hAnsiTheme="minorEastAsia"/>
                <w:color w:val="auto"/>
                <w:sz w:val="24"/>
                <w:szCs w:val="24"/>
                <w:highlight w:val="none"/>
              </w:rPr>
            </w:pPr>
            <w:r>
              <w:rPr>
                <w:rFonts w:hint="eastAsia" w:cs="宋体" w:asciiTheme="minorEastAsia" w:hAnsiTheme="minorEastAsia"/>
                <w:color w:val="auto"/>
                <w:sz w:val="24"/>
                <w:szCs w:val="24"/>
                <w:highlight w:val="none"/>
              </w:rPr>
              <w:t>代理机构名称：华睿诚项目管理有限公司</w:t>
            </w:r>
          </w:p>
          <w:p w14:paraId="38B4918F">
            <w:pPr>
              <w:keepNext w:val="0"/>
              <w:keepLines w:val="0"/>
              <w:pageBreakBefore w:val="0"/>
              <w:widowControl/>
              <w:kinsoku/>
              <w:wordWrap/>
              <w:overflowPunct/>
              <w:topLinePunct w:val="0"/>
              <w:bidi w:val="0"/>
              <w:adjustRightInd/>
              <w:spacing w:line="450" w:lineRule="atLeast"/>
              <w:ind w:left="0" w:leftChars="0" w:firstLine="0" w:firstLineChars="0"/>
              <w:jc w:val="both"/>
              <w:textAlignment w:val="auto"/>
              <w:rPr>
                <w:rFonts w:hint="eastAsia" w:cs="宋体" w:asciiTheme="minorEastAsia" w:hAnsiTheme="minorEastAsia" w:eastAsiaTheme="minorEastAsia"/>
                <w:bCs/>
                <w:color w:val="auto"/>
                <w:kern w:val="0"/>
                <w:sz w:val="24"/>
                <w:szCs w:val="24"/>
                <w:highlight w:val="none"/>
                <w:lang w:eastAsia="zh-CN"/>
              </w:rPr>
            </w:pPr>
            <w:r>
              <w:rPr>
                <w:rFonts w:hint="eastAsia" w:cs="宋体" w:asciiTheme="minorEastAsia" w:hAnsiTheme="minorEastAsia"/>
                <w:color w:val="auto"/>
                <w:sz w:val="24"/>
                <w:highlight w:val="none"/>
              </w:rPr>
              <w:t>地址：</w:t>
            </w:r>
            <w:r>
              <w:rPr>
                <w:rFonts w:hint="eastAsia" w:cs="宋体" w:asciiTheme="minorEastAsia" w:hAnsiTheme="minorEastAsia"/>
                <w:bCs/>
                <w:color w:val="auto"/>
                <w:kern w:val="0"/>
                <w:sz w:val="24"/>
                <w:szCs w:val="24"/>
                <w:highlight w:val="none"/>
                <w:lang w:eastAsia="zh-CN"/>
              </w:rPr>
              <w:t>梧州市长洲区西环路上段16号丰业山庄B区41幢</w:t>
            </w:r>
          </w:p>
          <w:p w14:paraId="5BCDA2CF">
            <w:pPr>
              <w:keepNext w:val="0"/>
              <w:keepLines w:val="0"/>
              <w:pageBreakBefore w:val="0"/>
              <w:widowControl/>
              <w:kinsoku/>
              <w:wordWrap/>
              <w:overflowPunct/>
              <w:topLinePunct w:val="0"/>
              <w:bidi w:val="0"/>
              <w:adjustRightInd/>
              <w:spacing w:line="450" w:lineRule="atLeast"/>
              <w:ind w:left="0" w:leftChars="0" w:firstLine="0" w:firstLineChars="0"/>
              <w:jc w:val="both"/>
              <w:textAlignment w:val="auto"/>
              <w:rPr>
                <w:rFonts w:asciiTheme="minorEastAsia" w:hAnsiTheme="minorEastAsia" w:cstheme="minorEastAsia"/>
                <w:color w:val="auto"/>
                <w:sz w:val="24"/>
                <w:szCs w:val="24"/>
                <w:highlight w:val="none"/>
              </w:rPr>
            </w:pPr>
            <w:r>
              <w:rPr>
                <w:rFonts w:cs="宋体" w:asciiTheme="minorEastAsia" w:hAnsiTheme="minorEastAsia"/>
                <w:bCs/>
                <w:color w:val="auto"/>
                <w:kern w:val="0"/>
                <w:sz w:val="24"/>
                <w:szCs w:val="24"/>
                <w:highlight w:val="none"/>
              </w:rPr>
              <w:t>联系人</w:t>
            </w:r>
            <w:r>
              <w:rPr>
                <w:rFonts w:hint="eastAsia" w:cs="宋体" w:asciiTheme="minorEastAsia" w:hAnsiTheme="minorEastAsia"/>
                <w:bCs/>
                <w:color w:val="auto"/>
                <w:kern w:val="0"/>
                <w:sz w:val="24"/>
                <w:szCs w:val="24"/>
                <w:highlight w:val="none"/>
              </w:rPr>
              <w:t>及</w:t>
            </w:r>
            <w:r>
              <w:rPr>
                <w:rFonts w:cs="宋体" w:asciiTheme="minorEastAsia" w:hAnsiTheme="minorEastAsia"/>
                <w:bCs/>
                <w:color w:val="auto"/>
                <w:kern w:val="0"/>
                <w:sz w:val="24"/>
                <w:szCs w:val="24"/>
                <w:highlight w:val="none"/>
              </w:rPr>
              <w:t>联系方式：</w:t>
            </w:r>
            <w:r>
              <w:rPr>
                <w:rFonts w:hint="eastAsia" w:cs="宋体" w:asciiTheme="minorEastAsia" w:hAnsiTheme="minorEastAsia"/>
                <w:bCs/>
                <w:color w:val="auto"/>
                <w:kern w:val="0"/>
                <w:sz w:val="24"/>
                <w:szCs w:val="24"/>
                <w:highlight w:val="none"/>
              </w:rPr>
              <w:t>李工 0774-5832822</w:t>
            </w:r>
          </w:p>
        </w:tc>
      </w:tr>
      <w:tr w14:paraId="207C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644" w:type="dxa"/>
            <w:vAlign w:val="center"/>
          </w:tcPr>
          <w:p w14:paraId="6F653958">
            <w:pPr>
              <w:spacing w:line="440" w:lineRule="exact"/>
              <w:jc w:val="center"/>
              <w:rPr>
                <w:rFonts w:hint="eastAsia" w:asciiTheme="minorEastAsia" w:hAnsiTheme="minorEastAsia" w:eastAsiaTheme="minorEastAsia" w:cstheme="minorEastAsia"/>
                <w:b/>
                <w:color w:val="auto"/>
                <w:kern w:val="0"/>
                <w:sz w:val="24"/>
                <w:szCs w:val="24"/>
                <w:highlight w:val="none"/>
                <w:lang w:eastAsia="zh-CN"/>
              </w:rPr>
            </w:pPr>
            <w:r>
              <w:rPr>
                <w:rFonts w:hint="eastAsia" w:asciiTheme="minorEastAsia" w:hAnsiTheme="minorEastAsia" w:cstheme="minorEastAsia"/>
                <w:b/>
                <w:color w:val="auto"/>
                <w:kern w:val="0"/>
                <w:sz w:val="24"/>
                <w:szCs w:val="24"/>
                <w:highlight w:val="none"/>
              </w:rPr>
              <w:t>2</w:t>
            </w:r>
            <w:r>
              <w:rPr>
                <w:rFonts w:hint="eastAsia" w:asciiTheme="minorEastAsia" w:hAnsiTheme="minorEastAsia" w:cstheme="minorEastAsia"/>
                <w:b/>
                <w:color w:val="auto"/>
                <w:kern w:val="0"/>
                <w:sz w:val="24"/>
                <w:szCs w:val="24"/>
                <w:highlight w:val="none"/>
                <w:lang w:val="en-US" w:eastAsia="zh-CN"/>
              </w:rPr>
              <w:t>2</w:t>
            </w:r>
          </w:p>
        </w:tc>
        <w:tc>
          <w:tcPr>
            <w:tcW w:w="9276" w:type="dxa"/>
            <w:gridSpan w:val="3"/>
            <w:vAlign w:val="center"/>
          </w:tcPr>
          <w:p w14:paraId="27E4CFD7">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磋商前准备：</w:t>
            </w:r>
          </w:p>
          <w:p w14:paraId="45F58AF0">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1、本项目实行网上磋商，采用电子磋商响应文件。若供应商参与磋商，自行承担磋商一切费用。</w:t>
            </w:r>
          </w:p>
          <w:p w14:paraId="7FFB8ADC">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2、各供应商应在截标前应确保成为广西政府采购云平台正式注册入库供应商，并完成CA数字证书申领。因未注册入库、未办理CA数字证书等原因造成无法磋商或磋商失败等后果由供应商自行承担。</w:t>
            </w:r>
          </w:p>
          <w:p w14:paraId="29EC6DF3">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3、供应商将政采云电子交易客户端下载、安装完成后，可通过账号密码或CA登录客户端进行响应文件制作。客户端请至网站下载专区查看，如有问题可拨打政采云客户服务热线400-881-7190进行咨询。</w:t>
            </w:r>
          </w:p>
          <w:p w14:paraId="4FC6B1F4">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磋商响应文件解密时间：</w:t>
            </w:r>
          </w:p>
          <w:p w14:paraId="31FD61BE">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截标时间后30分钟内磋商供应商可以登录广西政府采购云平台，用“项目采购-开标评标”功能进行解密磋商响应文件。</w:t>
            </w:r>
          </w:p>
        </w:tc>
      </w:tr>
      <w:tr w14:paraId="4C7A2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644" w:type="dxa"/>
            <w:vAlign w:val="center"/>
          </w:tcPr>
          <w:p w14:paraId="206DB1D5">
            <w:pPr>
              <w:spacing w:line="440" w:lineRule="exact"/>
              <w:jc w:val="center"/>
              <w:rPr>
                <w:rFonts w:hint="eastAsia" w:asciiTheme="minorEastAsia" w:hAnsiTheme="minorEastAsia" w:eastAsiaTheme="minorEastAsia" w:cstheme="minorEastAsia"/>
                <w:b/>
                <w:color w:val="auto"/>
                <w:kern w:val="0"/>
                <w:sz w:val="24"/>
                <w:szCs w:val="24"/>
                <w:highlight w:val="none"/>
                <w:lang w:eastAsia="zh-CN"/>
              </w:rPr>
            </w:pPr>
            <w:r>
              <w:rPr>
                <w:rFonts w:hint="eastAsia" w:asciiTheme="minorEastAsia" w:hAnsiTheme="minorEastAsia" w:cstheme="minorEastAsia"/>
                <w:b/>
                <w:color w:val="auto"/>
                <w:kern w:val="0"/>
                <w:sz w:val="24"/>
                <w:szCs w:val="24"/>
                <w:highlight w:val="none"/>
              </w:rPr>
              <w:t>2</w:t>
            </w:r>
            <w:r>
              <w:rPr>
                <w:rFonts w:hint="eastAsia" w:asciiTheme="minorEastAsia" w:hAnsiTheme="minorEastAsia" w:cstheme="minorEastAsia"/>
                <w:b/>
                <w:color w:val="auto"/>
                <w:kern w:val="0"/>
                <w:sz w:val="24"/>
                <w:szCs w:val="24"/>
                <w:highlight w:val="none"/>
                <w:lang w:val="en-US" w:eastAsia="zh-CN"/>
              </w:rPr>
              <w:t>3</w:t>
            </w:r>
          </w:p>
        </w:tc>
        <w:tc>
          <w:tcPr>
            <w:tcW w:w="9276" w:type="dxa"/>
            <w:gridSpan w:val="3"/>
            <w:vAlign w:val="center"/>
          </w:tcPr>
          <w:p w14:paraId="64C569FC">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1.电子响应文件中须加盖供应商公章部分均采用CA签章，并根据“政府采购项目电子交易管理操作指南-供应商” 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 漏读，或者在按采购文件规定的部位查找不到相关内容的，由供应商自行承担。</w:t>
            </w:r>
          </w:p>
          <w:p w14:paraId="697EF32A">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2.CA签章上目前没有法人（负责人）或授权代表签字信息，供应商在响应文件中涉及到签字的位置线下签好字然后扫描或者拍照做成PDF的格式亦可。响应文件中涉及到签字的位置未按要求签字的，提供的材料视为无效。</w:t>
            </w:r>
          </w:p>
          <w:p w14:paraId="3392517C">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3.供应商为其他组织或自然人时，本竞争性磋商文件规定的法定代表人指负责人或自然人。本竞争性磋商文件所称负责人是指参加磋商的其他组织营业执照上的负责人，本竞争性磋商文件所称自然人指参与磋商的自然人本人。</w:t>
            </w:r>
          </w:p>
          <w:p w14:paraId="47543712">
            <w:pPr>
              <w:keepNext w:val="0"/>
              <w:keepLines w:val="0"/>
              <w:pageBreakBefore w:val="0"/>
              <w:widowControl/>
              <w:kinsoku/>
              <w:wordWrap/>
              <w:overflowPunct/>
              <w:topLinePunct w:val="0"/>
              <w:bidi w:val="0"/>
              <w:adjustRightInd/>
              <w:spacing w:line="400" w:lineRule="exact"/>
              <w:ind w:left="0" w:leftChars="0" w:firstLine="0" w:firstLineChars="0"/>
              <w:jc w:val="both"/>
              <w:textAlignment w:val="auto"/>
              <w:rPr>
                <w:rFonts w:cs="宋体" w:asciiTheme="minorEastAsia" w:hAnsiTheme="minorEastAsia"/>
                <w:color w:val="auto"/>
                <w:sz w:val="24"/>
                <w:highlight w:val="none"/>
                <w:lang w:val="zh-CN" w:bidi="zh-CN"/>
              </w:rPr>
            </w:pPr>
            <w:r>
              <w:rPr>
                <w:rFonts w:hint="eastAsia" w:cs="宋体" w:asciiTheme="minorEastAsia" w:hAnsiTheme="minorEastAsia"/>
                <w:color w:val="auto"/>
                <w:sz w:val="24"/>
                <w:highlight w:val="none"/>
                <w:lang w:val="zh-CN" w:bidi="zh-CN"/>
              </w:rPr>
              <w:t>4.本竞争性磋商文件中描述供应商的“签字”是指供应商的法定代表人或委托代理人亲自在文件规定签署处亲笔写上个人的名字的行为，私章、签字章、印鉴、影印等其它形式均不能代替亲笔签字。</w:t>
            </w:r>
          </w:p>
        </w:tc>
      </w:tr>
      <w:tr w14:paraId="7DF90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9" w:hRule="atLeast"/>
        </w:trPr>
        <w:tc>
          <w:tcPr>
            <w:tcW w:w="644" w:type="dxa"/>
            <w:vAlign w:val="center"/>
          </w:tcPr>
          <w:p w14:paraId="42455C97">
            <w:pPr>
              <w:spacing w:line="440" w:lineRule="exact"/>
              <w:jc w:val="center"/>
              <w:rPr>
                <w:rFonts w:hint="eastAsia" w:asciiTheme="minorEastAsia" w:hAnsiTheme="minorEastAsia" w:eastAsiaTheme="minorEastAsia" w:cstheme="minorEastAsia"/>
                <w:b/>
                <w:color w:val="auto"/>
                <w:kern w:val="0"/>
                <w:sz w:val="24"/>
                <w:szCs w:val="24"/>
                <w:highlight w:val="none"/>
                <w:lang w:eastAsia="zh-CN"/>
              </w:rPr>
            </w:pPr>
            <w:r>
              <w:rPr>
                <w:rFonts w:hint="eastAsia" w:asciiTheme="minorEastAsia" w:hAnsiTheme="minorEastAsia" w:cstheme="minorEastAsia"/>
                <w:b/>
                <w:color w:val="auto"/>
                <w:kern w:val="0"/>
                <w:sz w:val="24"/>
                <w:szCs w:val="24"/>
                <w:highlight w:val="none"/>
              </w:rPr>
              <w:t>2</w:t>
            </w:r>
            <w:r>
              <w:rPr>
                <w:rFonts w:hint="eastAsia" w:asciiTheme="minorEastAsia" w:hAnsiTheme="minorEastAsia" w:cstheme="minorEastAsia"/>
                <w:b/>
                <w:color w:val="auto"/>
                <w:kern w:val="0"/>
                <w:sz w:val="24"/>
                <w:szCs w:val="24"/>
                <w:highlight w:val="none"/>
                <w:lang w:val="en-US" w:eastAsia="zh-CN"/>
              </w:rPr>
              <w:t>4</w:t>
            </w:r>
          </w:p>
        </w:tc>
        <w:tc>
          <w:tcPr>
            <w:tcW w:w="9276" w:type="dxa"/>
            <w:gridSpan w:val="3"/>
            <w:vAlign w:val="center"/>
          </w:tcPr>
          <w:p w14:paraId="576964E7">
            <w:pPr>
              <w:keepNext w:val="0"/>
              <w:keepLines w:val="0"/>
              <w:pageBreakBefore w:val="0"/>
              <w:widowControl/>
              <w:kinsoku/>
              <w:wordWrap/>
              <w:overflowPunct/>
              <w:topLinePunct w:val="0"/>
              <w:bidi w:val="0"/>
              <w:adjustRightInd/>
              <w:spacing w:line="440" w:lineRule="exact"/>
              <w:ind w:left="0" w:leftChars="0" w:firstLine="0" w:firstLineChars="0"/>
              <w:jc w:val="both"/>
              <w:textAlignment w:val="auto"/>
              <w:rPr>
                <w:rFonts w:asciiTheme="minorEastAsia" w:hAnsiTheme="minorEastAsia" w:cstheme="minorEastAsia"/>
                <w:color w:val="auto"/>
                <w:kern w:val="0"/>
                <w:sz w:val="24"/>
                <w:szCs w:val="24"/>
                <w:highlight w:val="none"/>
              </w:rPr>
            </w:pPr>
            <w:r>
              <w:rPr>
                <w:rFonts w:hint="eastAsia" w:cs="宋体" w:asciiTheme="minorEastAsia" w:hAnsiTheme="minorEastAsia"/>
                <w:color w:val="auto"/>
                <w:sz w:val="24"/>
                <w:highlight w:val="none"/>
                <w:lang w:val="zh-CN" w:bidi="zh-CN"/>
              </w:rPr>
              <w:t>本竞争性磋商文</w:t>
            </w:r>
            <w:r>
              <w:rPr>
                <w:rFonts w:hint="eastAsia" w:asciiTheme="minorEastAsia" w:hAnsiTheme="minorEastAsia" w:cstheme="minorEastAsia"/>
                <w:color w:val="auto"/>
                <w:kern w:val="0"/>
                <w:sz w:val="24"/>
                <w:szCs w:val="24"/>
                <w:highlight w:val="none"/>
              </w:rPr>
              <w:t>件中时间单位“日”除另有说明外，均表示日历日。</w:t>
            </w:r>
          </w:p>
        </w:tc>
      </w:tr>
    </w:tbl>
    <w:p w14:paraId="6C68EC34">
      <w:pPr>
        <w:spacing w:line="360" w:lineRule="auto"/>
        <w:rPr>
          <w:rFonts w:asciiTheme="minorEastAsia" w:hAnsiTheme="minorEastAsia" w:cstheme="minorEastAsia"/>
          <w:color w:val="auto"/>
          <w:sz w:val="22"/>
          <w:szCs w:val="24"/>
          <w:highlight w:val="none"/>
        </w:rPr>
        <w:sectPr>
          <w:endnotePr>
            <w:numFmt w:val="decimal"/>
          </w:endnotePr>
          <w:pgSz w:w="11906" w:h="16838"/>
          <w:pgMar w:top="1134" w:right="1406" w:bottom="1440" w:left="1338" w:header="454" w:footer="680" w:gutter="0"/>
          <w:cols w:space="720" w:num="1"/>
          <w:docGrid w:type="lines" w:linePitch="312" w:charSpace="0"/>
        </w:sectPr>
      </w:pPr>
      <w:bookmarkStart w:id="10" w:name="_Toc74156183"/>
      <w:bookmarkStart w:id="11" w:name="_Toc23152555"/>
      <w:bookmarkStart w:id="12" w:name="_Toc514238585"/>
      <w:bookmarkStart w:id="13" w:name="_Toc23046661"/>
      <w:bookmarkStart w:id="14" w:name="_Toc29153311"/>
    </w:p>
    <w:bookmarkEnd w:id="10"/>
    <w:bookmarkEnd w:id="11"/>
    <w:bookmarkEnd w:id="12"/>
    <w:bookmarkEnd w:id="13"/>
    <w:bookmarkEnd w:id="14"/>
    <w:p w14:paraId="139BA54E">
      <w:pPr>
        <w:pStyle w:val="3"/>
        <w:spacing w:line="360" w:lineRule="auto"/>
        <w:jc w:val="center"/>
        <w:rPr>
          <w:rFonts w:asciiTheme="minorEastAsia" w:hAnsiTheme="minorEastAsia" w:eastAsiaTheme="minorEastAsia" w:cstheme="minorEastAsia"/>
          <w:color w:val="auto"/>
          <w:kern w:val="0"/>
          <w:sz w:val="36"/>
          <w:szCs w:val="24"/>
          <w:highlight w:val="none"/>
        </w:rPr>
      </w:pPr>
      <w:bookmarkStart w:id="15" w:name="_Toc243584224"/>
      <w:bookmarkStart w:id="16" w:name="_Toc29121"/>
      <w:r>
        <w:rPr>
          <w:rFonts w:hint="eastAsia" w:asciiTheme="minorEastAsia" w:hAnsiTheme="minorEastAsia" w:eastAsiaTheme="minorEastAsia" w:cstheme="minorEastAsia"/>
          <w:color w:val="auto"/>
          <w:kern w:val="0"/>
          <w:sz w:val="36"/>
          <w:szCs w:val="24"/>
          <w:highlight w:val="none"/>
        </w:rPr>
        <w:t>二、磋商须知</w:t>
      </w:r>
      <w:bookmarkEnd w:id="15"/>
      <w:bookmarkEnd w:id="16"/>
    </w:p>
    <w:p w14:paraId="1F7263C7">
      <w:pPr>
        <w:pStyle w:val="4"/>
        <w:spacing w:line="360" w:lineRule="auto"/>
        <w:jc w:val="center"/>
        <w:rPr>
          <w:rFonts w:asciiTheme="minorEastAsia" w:hAnsiTheme="minorEastAsia" w:eastAsiaTheme="minorEastAsia" w:cstheme="minorEastAsia"/>
          <w:color w:val="auto"/>
          <w:kern w:val="0"/>
          <w:highlight w:val="none"/>
        </w:rPr>
      </w:pPr>
      <w:bookmarkStart w:id="17" w:name="_Toc74156184"/>
      <w:bookmarkStart w:id="18" w:name="_Toc29153312"/>
      <w:bookmarkStart w:id="19" w:name="_Toc31698"/>
      <w:bookmarkStart w:id="20" w:name="_Toc243584225"/>
      <w:r>
        <w:rPr>
          <w:rFonts w:hint="eastAsia" w:asciiTheme="minorEastAsia" w:hAnsiTheme="minorEastAsia" w:eastAsiaTheme="minorEastAsia" w:cstheme="minorEastAsia"/>
          <w:color w:val="auto"/>
          <w:kern w:val="0"/>
          <w:highlight w:val="none"/>
        </w:rPr>
        <w:t>（一） 总则</w:t>
      </w:r>
      <w:bookmarkEnd w:id="17"/>
      <w:bookmarkEnd w:id="18"/>
      <w:bookmarkEnd w:id="19"/>
      <w:bookmarkEnd w:id="20"/>
    </w:p>
    <w:p w14:paraId="3F5680A6">
      <w:pPr>
        <w:pStyle w:val="4"/>
        <w:spacing w:line="360" w:lineRule="auto"/>
        <w:ind w:firstLine="472" w:firstLineChars="196"/>
        <w:rPr>
          <w:rFonts w:asciiTheme="minorEastAsia" w:hAnsiTheme="minorEastAsia" w:eastAsiaTheme="minorEastAsia" w:cstheme="minorEastAsia"/>
          <w:color w:val="auto"/>
          <w:kern w:val="0"/>
          <w:sz w:val="24"/>
          <w:szCs w:val="24"/>
          <w:highlight w:val="none"/>
        </w:rPr>
      </w:pPr>
      <w:bookmarkStart w:id="21" w:name="_Toc514238586"/>
      <w:bookmarkStart w:id="22" w:name="_Toc74156185"/>
      <w:bookmarkStart w:id="23" w:name="_Toc23152556"/>
      <w:bookmarkStart w:id="24" w:name="_Toc4751"/>
      <w:bookmarkStart w:id="25" w:name="_Toc23046662"/>
      <w:bookmarkStart w:id="26" w:name="_Toc243584226"/>
      <w:bookmarkStart w:id="27" w:name="_Toc29153313"/>
      <w:r>
        <w:rPr>
          <w:rFonts w:hint="eastAsia" w:asciiTheme="minorEastAsia" w:hAnsiTheme="minorEastAsia" w:eastAsiaTheme="minorEastAsia" w:cstheme="minorEastAsia"/>
          <w:color w:val="auto"/>
          <w:kern w:val="0"/>
          <w:sz w:val="24"/>
          <w:szCs w:val="24"/>
          <w:highlight w:val="none"/>
        </w:rPr>
        <w:t>1. 工程说明</w:t>
      </w:r>
      <w:bookmarkEnd w:id="21"/>
      <w:bookmarkEnd w:id="22"/>
      <w:bookmarkEnd w:id="23"/>
      <w:bookmarkEnd w:id="24"/>
      <w:bookmarkEnd w:id="25"/>
      <w:bookmarkEnd w:id="26"/>
      <w:bookmarkEnd w:id="27"/>
    </w:p>
    <w:p w14:paraId="7F29DBC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1.1  本工程项目说明详见磋商须知前附表（以下简称“前附表”）第1项～第5项。</w:t>
      </w:r>
    </w:p>
    <w:p w14:paraId="5CAA3B9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1.2  本工程按照有关法律、法规及规章的规定，已办理采购申请，并经采购管理机构核准备案，现通过竞争性磋商采购方式选定承包人。</w:t>
      </w:r>
    </w:p>
    <w:p w14:paraId="29AFDD9F">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28" w:name="_Toc23152557"/>
      <w:bookmarkStart w:id="29" w:name="_Toc243584227"/>
      <w:bookmarkStart w:id="30" w:name="_Toc12476"/>
      <w:bookmarkStart w:id="31" w:name="_Toc514238587"/>
      <w:bookmarkStart w:id="32" w:name="_Toc29153314"/>
      <w:bookmarkStart w:id="33" w:name="_Toc74156186"/>
      <w:bookmarkStart w:id="34" w:name="_Toc23046663"/>
      <w:r>
        <w:rPr>
          <w:rFonts w:hint="eastAsia" w:asciiTheme="minorEastAsia" w:hAnsiTheme="minorEastAsia" w:eastAsiaTheme="minorEastAsia" w:cstheme="minorEastAsia"/>
          <w:color w:val="auto"/>
          <w:kern w:val="0"/>
          <w:sz w:val="24"/>
          <w:szCs w:val="24"/>
          <w:highlight w:val="none"/>
        </w:rPr>
        <w:t>2. 采购范围及工期</w:t>
      </w:r>
      <w:bookmarkEnd w:id="28"/>
      <w:bookmarkEnd w:id="29"/>
      <w:bookmarkEnd w:id="30"/>
      <w:bookmarkEnd w:id="31"/>
      <w:bookmarkEnd w:id="32"/>
      <w:bookmarkEnd w:id="33"/>
      <w:bookmarkEnd w:id="34"/>
    </w:p>
    <w:p w14:paraId="3F36B25F">
      <w:pPr>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2.1  本工程项目的范围详见前附表第6项。</w:t>
      </w:r>
    </w:p>
    <w:p w14:paraId="60E2FC0A">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2.2  本工程项目的工期要求详见前附表第7项。</w:t>
      </w:r>
    </w:p>
    <w:p w14:paraId="4D19DBAA">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35" w:name="_Toc29153315"/>
      <w:bookmarkStart w:id="36" w:name="_Toc243584228"/>
      <w:bookmarkStart w:id="37" w:name="_Toc27513"/>
      <w:bookmarkStart w:id="38" w:name="_Toc23046664"/>
      <w:bookmarkStart w:id="39" w:name="_Toc23152558"/>
      <w:bookmarkStart w:id="40" w:name="_Toc74156187"/>
      <w:r>
        <w:rPr>
          <w:rFonts w:hint="eastAsia" w:asciiTheme="minorEastAsia" w:hAnsiTheme="minorEastAsia" w:eastAsiaTheme="minorEastAsia" w:cstheme="minorEastAsia"/>
          <w:color w:val="auto"/>
          <w:kern w:val="0"/>
          <w:sz w:val="24"/>
          <w:szCs w:val="24"/>
          <w:highlight w:val="none"/>
        </w:rPr>
        <w:t xml:space="preserve">3. </w:t>
      </w:r>
      <w:bookmarkStart w:id="41" w:name="_Toc74156188"/>
      <w:r>
        <w:rPr>
          <w:rFonts w:hint="eastAsia" w:asciiTheme="minorEastAsia" w:hAnsiTheme="minorEastAsia" w:eastAsiaTheme="minorEastAsia" w:cstheme="minorEastAsia"/>
          <w:color w:val="auto"/>
          <w:kern w:val="0"/>
          <w:sz w:val="24"/>
          <w:szCs w:val="24"/>
          <w:highlight w:val="none"/>
        </w:rPr>
        <w:t>资金来源</w:t>
      </w:r>
      <w:bookmarkEnd w:id="35"/>
      <w:bookmarkEnd w:id="36"/>
      <w:bookmarkEnd w:id="37"/>
      <w:bookmarkEnd w:id="41"/>
    </w:p>
    <w:p w14:paraId="2700725D">
      <w:pPr>
        <w:spacing w:line="360"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kern w:val="0"/>
          <w:sz w:val="24"/>
          <w:szCs w:val="24"/>
          <w:highlight w:val="none"/>
        </w:rPr>
        <w:t>3.1  本工程项目资金来源详见前附表第8项。</w:t>
      </w:r>
    </w:p>
    <w:p w14:paraId="0A30F11F">
      <w:pPr>
        <w:pStyle w:val="4"/>
        <w:spacing w:line="360" w:lineRule="auto"/>
        <w:ind w:firstLine="482" w:firstLineChars="200"/>
        <w:rPr>
          <w:rFonts w:asciiTheme="minorEastAsia" w:hAnsiTheme="minorEastAsia" w:eastAsiaTheme="minorEastAsia" w:cstheme="minorEastAsia"/>
          <w:color w:val="auto"/>
          <w:sz w:val="24"/>
          <w:szCs w:val="24"/>
          <w:highlight w:val="none"/>
        </w:rPr>
      </w:pPr>
      <w:bookmarkStart w:id="42" w:name="_Toc1578"/>
      <w:bookmarkStart w:id="43" w:name="_Toc243584229"/>
      <w:bookmarkStart w:id="44" w:name="_Toc29153316"/>
      <w:r>
        <w:rPr>
          <w:rFonts w:hint="eastAsia" w:asciiTheme="minorEastAsia" w:hAnsiTheme="minorEastAsia" w:eastAsiaTheme="minorEastAsia" w:cstheme="minorEastAsia"/>
          <w:color w:val="auto"/>
          <w:kern w:val="0"/>
          <w:sz w:val="24"/>
          <w:szCs w:val="24"/>
          <w:highlight w:val="none"/>
        </w:rPr>
        <w:t xml:space="preserve">4. </w:t>
      </w:r>
      <w:r>
        <w:rPr>
          <w:rFonts w:hint="eastAsia" w:asciiTheme="minorEastAsia" w:hAnsiTheme="minorEastAsia" w:eastAsiaTheme="minorEastAsia" w:cstheme="minorEastAsia"/>
          <w:color w:val="auto"/>
          <w:sz w:val="24"/>
          <w:szCs w:val="24"/>
          <w:highlight w:val="none"/>
        </w:rPr>
        <w:t>合格的</w:t>
      </w:r>
      <w:bookmarkEnd w:id="38"/>
      <w:bookmarkEnd w:id="39"/>
      <w:bookmarkEnd w:id="40"/>
      <w:bookmarkEnd w:id="42"/>
      <w:bookmarkEnd w:id="43"/>
      <w:bookmarkEnd w:id="44"/>
      <w:r>
        <w:rPr>
          <w:rFonts w:hint="eastAsia" w:asciiTheme="minorEastAsia" w:hAnsiTheme="minorEastAsia" w:eastAsiaTheme="minorEastAsia" w:cstheme="minorEastAsia"/>
          <w:color w:val="auto"/>
          <w:sz w:val="24"/>
          <w:szCs w:val="24"/>
          <w:highlight w:val="none"/>
        </w:rPr>
        <w:t>供应商</w:t>
      </w:r>
    </w:p>
    <w:p w14:paraId="655B645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4.1  供应商资质等级要求详见前附表第9项。</w:t>
      </w:r>
    </w:p>
    <w:p w14:paraId="4570DD15">
      <w:pPr>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4.2  本工程项目采用前附表第10项所述的资格审查方式确定合格的供应商。</w:t>
      </w:r>
    </w:p>
    <w:p w14:paraId="7D7DFB08">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45" w:name="_Toc30033"/>
      <w:bookmarkStart w:id="46" w:name="_Toc29153317"/>
      <w:bookmarkStart w:id="47" w:name="_Toc74156189"/>
      <w:bookmarkStart w:id="48" w:name="_Toc243584230"/>
      <w:r>
        <w:rPr>
          <w:rFonts w:hint="eastAsia" w:asciiTheme="minorEastAsia" w:hAnsiTheme="minorEastAsia" w:eastAsiaTheme="minorEastAsia" w:cstheme="minorEastAsia"/>
          <w:color w:val="auto"/>
          <w:kern w:val="0"/>
          <w:sz w:val="24"/>
          <w:szCs w:val="24"/>
          <w:highlight w:val="none"/>
        </w:rPr>
        <w:t>5. 踏勘现场</w:t>
      </w:r>
      <w:bookmarkEnd w:id="45"/>
      <w:bookmarkEnd w:id="46"/>
      <w:bookmarkEnd w:id="47"/>
      <w:bookmarkEnd w:id="48"/>
    </w:p>
    <w:p w14:paraId="3514B0B1">
      <w:pPr>
        <w:spacing w:line="360" w:lineRule="auto"/>
        <w:rPr>
          <w:rFonts w:asciiTheme="minorEastAsia" w:hAnsiTheme="minorEastAsia"/>
          <w:color w:val="auto"/>
          <w:sz w:val="24"/>
          <w:szCs w:val="24"/>
          <w:highlight w:val="none"/>
        </w:rPr>
      </w:pPr>
      <w:r>
        <w:rPr>
          <w:rFonts w:hint="eastAsia" w:asciiTheme="minorEastAsia" w:hAnsiTheme="minorEastAsia" w:cstheme="minorEastAsia"/>
          <w:color w:val="auto"/>
          <w:kern w:val="0"/>
          <w:sz w:val="24"/>
          <w:szCs w:val="24"/>
          <w:highlight w:val="none"/>
        </w:rPr>
        <w:t xml:space="preserve">    5.1  </w:t>
      </w:r>
      <w:r>
        <w:rPr>
          <w:rFonts w:asciiTheme="minorEastAsia" w:hAnsiTheme="minorEastAsia"/>
          <w:color w:val="auto"/>
          <w:sz w:val="24"/>
          <w:szCs w:val="24"/>
          <w:highlight w:val="none"/>
        </w:rPr>
        <w:t>供应商须知前附表规定不组织踏勘现场。</w:t>
      </w:r>
    </w:p>
    <w:p w14:paraId="0B73E390">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5.2  供应商自行踏勘现场发生的费用自理。</w:t>
      </w:r>
    </w:p>
    <w:p w14:paraId="01B0F7FC">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5.3  供应商经现场踏勘自行获取有关现场的资料和数据，采购人对供应商由此而作出的推论、理解和结论均不负责任。</w:t>
      </w:r>
    </w:p>
    <w:p w14:paraId="4CA12BCB">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5.4  经采购人允许，供应商可为踏勘目的进入采购人的项目现场，但供应商不得因此使采购人承担有关的责任和蒙受损失。供应商应承担踏勘现场的责任和风险。</w:t>
      </w:r>
    </w:p>
    <w:p w14:paraId="60C17025">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49" w:name="_Toc19037"/>
      <w:bookmarkStart w:id="50" w:name="_Toc29153318"/>
      <w:bookmarkStart w:id="51" w:name="_Toc514238592"/>
      <w:bookmarkStart w:id="52" w:name="_Toc243584231"/>
      <w:bookmarkStart w:id="53" w:name="_Toc74156190"/>
      <w:bookmarkStart w:id="54" w:name="_Toc23046668"/>
      <w:bookmarkStart w:id="55" w:name="_Toc23152562"/>
      <w:r>
        <w:rPr>
          <w:rFonts w:hint="eastAsia" w:asciiTheme="minorEastAsia" w:hAnsiTheme="minorEastAsia" w:eastAsiaTheme="minorEastAsia" w:cstheme="minorEastAsia"/>
          <w:color w:val="auto"/>
          <w:kern w:val="0"/>
          <w:sz w:val="24"/>
          <w:szCs w:val="24"/>
          <w:highlight w:val="none"/>
        </w:rPr>
        <w:t>6. 磋商费用</w:t>
      </w:r>
      <w:bookmarkEnd w:id="49"/>
      <w:bookmarkEnd w:id="50"/>
      <w:bookmarkEnd w:id="51"/>
      <w:bookmarkEnd w:id="52"/>
      <w:bookmarkEnd w:id="53"/>
      <w:bookmarkEnd w:id="54"/>
      <w:bookmarkEnd w:id="55"/>
    </w:p>
    <w:p w14:paraId="24EDA0C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6.1  供应商应承担其参加本采购活动自身发生的所有费用。</w:t>
      </w:r>
    </w:p>
    <w:p w14:paraId="57C63F55">
      <w:pPr>
        <w:pStyle w:val="4"/>
        <w:spacing w:line="360" w:lineRule="auto"/>
        <w:jc w:val="center"/>
        <w:rPr>
          <w:rFonts w:asciiTheme="minorEastAsia" w:hAnsiTheme="minorEastAsia" w:eastAsiaTheme="minorEastAsia" w:cstheme="minorEastAsia"/>
          <w:color w:val="auto"/>
          <w:kern w:val="0"/>
          <w:sz w:val="24"/>
          <w:szCs w:val="24"/>
          <w:highlight w:val="none"/>
        </w:rPr>
      </w:pPr>
      <w:bookmarkStart w:id="56" w:name="_Toc806"/>
      <w:bookmarkStart w:id="57" w:name="_Toc74156191"/>
      <w:bookmarkStart w:id="58" w:name="_Toc514238594"/>
      <w:bookmarkStart w:id="59" w:name="_Toc29153319"/>
      <w:bookmarkStart w:id="60" w:name="_Toc23152564"/>
      <w:bookmarkStart w:id="61" w:name="_Toc243584232"/>
      <w:bookmarkStart w:id="62" w:name="_Toc23046670"/>
      <w:r>
        <w:rPr>
          <w:rFonts w:hint="eastAsia" w:asciiTheme="minorEastAsia" w:hAnsiTheme="minorEastAsia" w:eastAsiaTheme="minorEastAsia" w:cstheme="minorEastAsia"/>
          <w:color w:val="auto"/>
          <w:kern w:val="0"/>
          <w:sz w:val="24"/>
          <w:szCs w:val="24"/>
          <w:highlight w:val="none"/>
        </w:rPr>
        <w:t>（二） 竞争性磋商采购文件</w:t>
      </w:r>
      <w:bookmarkEnd w:id="56"/>
      <w:bookmarkEnd w:id="57"/>
      <w:bookmarkEnd w:id="58"/>
      <w:bookmarkEnd w:id="59"/>
      <w:bookmarkEnd w:id="60"/>
      <w:bookmarkEnd w:id="61"/>
      <w:bookmarkEnd w:id="62"/>
    </w:p>
    <w:p w14:paraId="14AE1116">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63" w:name="_Toc29153320"/>
      <w:bookmarkStart w:id="64" w:name="_Toc4788"/>
      <w:bookmarkStart w:id="65" w:name="_Toc243584233"/>
      <w:r>
        <w:rPr>
          <w:rFonts w:hint="eastAsia" w:asciiTheme="minorEastAsia" w:hAnsiTheme="minorEastAsia" w:eastAsiaTheme="minorEastAsia" w:cstheme="minorEastAsia"/>
          <w:color w:val="auto"/>
          <w:kern w:val="0"/>
          <w:sz w:val="24"/>
          <w:szCs w:val="24"/>
          <w:highlight w:val="none"/>
        </w:rPr>
        <w:t>7. 竞争性磋商采购文件的组成</w:t>
      </w:r>
      <w:bookmarkEnd w:id="63"/>
      <w:bookmarkEnd w:id="64"/>
      <w:bookmarkEnd w:id="65"/>
    </w:p>
    <w:p w14:paraId="4054FAA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7.1  竞争性磋商采购文件包括下列内容:</w:t>
      </w:r>
    </w:p>
    <w:p w14:paraId="1218C532">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第一章  磋商须知及磋商须知前附表</w:t>
      </w:r>
    </w:p>
    <w:p w14:paraId="0A5A71DC">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第二章  合同条款及格式（协议书、通用条款、专用条款和工程质量保修书）</w:t>
      </w:r>
    </w:p>
    <w:p w14:paraId="6FDA0E87">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第三章  工程技术标准和要求</w:t>
      </w:r>
    </w:p>
    <w:p w14:paraId="193B416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第四章  图纸</w:t>
      </w:r>
    </w:p>
    <w:p w14:paraId="0171601C">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第五章  工程量清单</w:t>
      </w:r>
    </w:p>
    <w:p w14:paraId="5F48245C">
      <w:pPr>
        <w:adjustRightInd w:val="0"/>
        <w:spacing w:line="360" w:lineRule="auto"/>
        <w:ind w:left="48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第六章  响应文件格式</w:t>
      </w:r>
    </w:p>
    <w:p w14:paraId="4E484269">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 xml:space="preserve">第七章  </w:t>
      </w:r>
      <w:bookmarkStart w:id="66" w:name="_Toc23152566"/>
      <w:bookmarkStart w:id="67" w:name="_Toc23046672"/>
      <w:bookmarkStart w:id="68" w:name="_Toc514238596"/>
      <w:bookmarkStart w:id="69" w:name="_Toc74156193"/>
      <w:bookmarkStart w:id="70" w:name="_Toc243584234"/>
      <w:bookmarkStart w:id="71" w:name="_Toc20794"/>
      <w:bookmarkStart w:id="72" w:name="_Toc29153321"/>
      <w:r>
        <w:rPr>
          <w:rFonts w:hint="eastAsia" w:asciiTheme="minorEastAsia" w:hAnsiTheme="minorEastAsia" w:cstheme="minorEastAsia"/>
          <w:color w:val="auto"/>
          <w:kern w:val="0"/>
          <w:sz w:val="24"/>
          <w:szCs w:val="24"/>
          <w:highlight w:val="none"/>
        </w:rPr>
        <w:t>评标办法（综合评估法）</w:t>
      </w:r>
    </w:p>
    <w:p w14:paraId="1B7F0A4D">
      <w:pPr>
        <w:adjustRightInd w:val="0"/>
        <w:spacing w:line="360" w:lineRule="auto"/>
        <w:ind w:firstLine="482" w:firstLineChars="200"/>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8. 竞争性磋商采购文件的</w:t>
      </w:r>
      <w:bookmarkEnd w:id="66"/>
      <w:bookmarkEnd w:id="67"/>
      <w:bookmarkEnd w:id="68"/>
      <w:r>
        <w:rPr>
          <w:rFonts w:hint="eastAsia" w:asciiTheme="minorEastAsia" w:hAnsiTheme="minorEastAsia" w:cstheme="minorEastAsia"/>
          <w:b/>
          <w:bCs/>
          <w:color w:val="auto"/>
          <w:kern w:val="0"/>
          <w:sz w:val="24"/>
          <w:szCs w:val="24"/>
          <w:highlight w:val="none"/>
        </w:rPr>
        <w:t>澄清</w:t>
      </w:r>
      <w:bookmarkEnd w:id="69"/>
      <w:bookmarkEnd w:id="70"/>
      <w:bookmarkEnd w:id="71"/>
      <w:bookmarkEnd w:id="72"/>
      <w:r>
        <w:rPr>
          <w:rFonts w:hint="eastAsia" w:asciiTheme="minorEastAsia" w:hAnsiTheme="minorEastAsia" w:cstheme="minorEastAsia"/>
          <w:b/>
          <w:bCs/>
          <w:color w:val="auto"/>
          <w:kern w:val="0"/>
          <w:sz w:val="24"/>
          <w:szCs w:val="24"/>
          <w:highlight w:val="none"/>
        </w:rPr>
        <w:t>和修改</w:t>
      </w:r>
      <w:bookmarkStart w:id="73" w:name="_Toc243584235"/>
      <w:bookmarkStart w:id="74" w:name="_Toc514238597"/>
      <w:bookmarkStart w:id="75" w:name="_Toc74156194"/>
      <w:bookmarkStart w:id="76" w:name="_Toc23046673"/>
      <w:bookmarkStart w:id="77" w:name="_Toc15682"/>
      <w:bookmarkStart w:id="78" w:name="_Toc23152567"/>
      <w:bookmarkStart w:id="79" w:name="_Toc29153322"/>
      <w:r>
        <w:rPr>
          <w:rFonts w:hint="eastAsia" w:asciiTheme="minorEastAsia" w:hAnsiTheme="minorEastAsia" w:cstheme="minorEastAsia"/>
          <w:b/>
          <w:bCs/>
          <w:color w:val="auto"/>
          <w:kern w:val="0"/>
          <w:sz w:val="24"/>
          <w:szCs w:val="24"/>
          <w:highlight w:val="none"/>
        </w:rPr>
        <w:t xml:space="preserve"> </w:t>
      </w:r>
    </w:p>
    <w:p w14:paraId="463923DD">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8</w:t>
      </w:r>
      <w:r>
        <w:rPr>
          <w:rFonts w:asciiTheme="minorEastAsia" w:hAnsiTheme="minorEastAsia" w:cstheme="minorEastAsia"/>
          <w:color w:val="auto"/>
          <w:kern w:val="0"/>
          <w:sz w:val="24"/>
          <w:szCs w:val="24"/>
          <w:highlight w:val="none"/>
        </w:rPr>
        <w:t>.1</w:t>
      </w:r>
      <w:r>
        <w:rPr>
          <w:rFonts w:hint="eastAsia" w:asciiTheme="minorEastAsia" w:hAnsiTheme="minorEastAsia" w:cstheme="minorEastAsia"/>
          <w:color w:val="auto"/>
          <w:kern w:val="0"/>
          <w:sz w:val="24"/>
          <w:szCs w:val="24"/>
          <w:highlight w:val="none"/>
        </w:rPr>
        <w:t xml:space="preserve">磋商供应商应认真审核采购中的项目需求及要求，如发现采购需求中需求及要求有误或要求不合理的，磋商供应商必须在规定的时间前要求澄清，否则，由此产生的后果由磋商供应商负责。  </w:t>
      </w:r>
    </w:p>
    <w:p w14:paraId="003FF1D8">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8</w:t>
      </w:r>
      <w:r>
        <w:rPr>
          <w:rFonts w:hint="eastAsia" w:asciiTheme="minorEastAsia" w:hAnsiTheme="minorEastAsia" w:cstheme="minorEastAsia"/>
          <w:color w:val="auto"/>
          <w:kern w:val="0"/>
          <w:sz w:val="24"/>
          <w:szCs w:val="24"/>
          <w:highlight w:val="none"/>
        </w:rPr>
        <w:t xml:space="preserve">.2 任何要求澄清竞争性磋商文件的磋商供应商，在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  </w:t>
      </w:r>
    </w:p>
    <w:p w14:paraId="0611C26A">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8</w:t>
      </w:r>
      <w:r>
        <w:rPr>
          <w:rFonts w:hint="eastAsia" w:asciiTheme="minorEastAsia" w:hAnsiTheme="minorEastAsia" w:cstheme="minorEastAsia"/>
          <w:color w:val="auto"/>
          <w:kern w:val="0"/>
          <w:sz w:val="24"/>
          <w:szCs w:val="24"/>
          <w:highlight w:val="none"/>
        </w:rPr>
        <w:t xml:space="preserve">.3 本公司对已发出的磋商文件进行必要澄清或者修改的，在竞争性磋商文件要求提交竞争性磋商响应文件截止时间五日前（不足五日顺延），在http://www.ccgp.gov.cn（中国政府采购网）、http://zfcg.gxzf.gov.cn/（广西壮族自治区政府采购网）、http:/117.141.250.58:10030/web/cgw/index.ptl（梧州市政府采购网）上发布更正公告，该澄清或者修改的内容为竞争性磋商文件的组成部分。  </w:t>
      </w:r>
    </w:p>
    <w:p w14:paraId="58D2D344">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8</w:t>
      </w:r>
      <w:r>
        <w:rPr>
          <w:rFonts w:hint="eastAsia" w:asciiTheme="minorEastAsia" w:hAnsiTheme="minorEastAsia" w:cstheme="minorEastAsia"/>
          <w:color w:val="auto"/>
          <w:kern w:val="0"/>
          <w:sz w:val="24"/>
          <w:szCs w:val="24"/>
          <w:highlight w:val="none"/>
        </w:rPr>
        <w:t>.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62D72B">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bookmarkEnd w:id="73"/>
    <w:bookmarkEnd w:id="74"/>
    <w:bookmarkEnd w:id="75"/>
    <w:bookmarkEnd w:id="76"/>
    <w:bookmarkEnd w:id="77"/>
    <w:bookmarkEnd w:id="78"/>
    <w:bookmarkEnd w:id="79"/>
    <w:p w14:paraId="127918A2">
      <w:pPr>
        <w:numPr>
          <w:ilvl w:val="0"/>
          <w:numId w:val="2"/>
        </w:numPr>
        <w:adjustRightInd w:val="0"/>
        <w:spacing w:line="360" w:lineRule="auto"/>
        <w:ind w:firstLine="422" w:firstLineChars="175"/>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质疑与投诉</w:t>
      </w:r>
      <w:bookmarkStart w:id="80" w:name="_Toc29153323"/>
      <w:bookmarkStart w:id="81" w:name="_Toc74156195"/>
      <w:bookmarkStart w:id="82" w:name="_Toc29901"/>
      <w:bookmarkStart w:id="83" w:name="_Toc243584236"/>
    </w:p>
    <w:p w14:paraId="28C2B5CF">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有关质疑处理必须先经过质疑程序，依照相关规定执行。磋商供应商认为竞争性磋商采购文件、磋商过程和成交结果使自己的权益受到损害的，可以在知道或者应知其权益受到损害之日起七个工作日内，以书面质疑形式向采购代理机构提交。</w:t>
      </w:r>
    </w:p>
    <w:p w14:paraId="39D445E6">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磋商供应商质疑实行实名制，其质疑应当有具体的质疑事项及事实根据，不得进行虚假、恶意质疑。</w:t>
      </w:r>
    </w:p>
    <w:p w14:paraId="79EC362D">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磋商供应商质疑时，应当提交质疑书原件，质疑书应当包括下列主要内容：</w:t>
      </w:r>
    </w:p>
    <w:p w14:paraId="4BC79127">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（1）供应商的姓名或者名称、地址、邮编、联系人及联系电话；</w:t>
      </w:r>
    </w:p>
    <w:p w14:paraId="12677AB7">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（2）质疑项目的名称、编号；</w:t>
      </w:r>
    </w:p>
    <w:p w14:paraId="2E664770">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（3）具体、明确的质疑事项和与质疑事项相关的请求；</w:t>
      </w:r>
    </w:p>
    <w:p w14:paraId="376F7D8B">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（4）事实依据；</w:t>
      </w:r>
    </w:p>
    <w:p w14:paraId="446E5A07">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（5）必要的法律依据；</w:t>
      </w:r>
    </w:p>
    <w:p w14:paraId="40C09034">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（6）提出质疑的日期；</w:t>
      </w:r>
    </w:p>
    <w:p w14:paraId="69A0AF20">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质疑书应当署名。质疑磋商供应商为法人或者其他组织的，应当由法定代表人或者主要负责人签字盖章并加盖公章。</w:t>
      </w:r>
    </w:p>
    <w:p w14:paraId="57CA64E3">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质疑磋商供应商可以委托代理人办理质疑事务。代理人办理质疑事务时，除提交质疑书外，还应当提交质疑磋商供应商的授权委托书，授权委托书应当载明委托代理的具体权限和事项。</w:t>
      </w:r>
    </w:p>
    <w:p w14:paraId="3F0BC4A9">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质疑磋商供应商提起质疑应当符合下列条件：</w:t>
      </w:r>
    </w:p>
    <w:p w14:paraId="0F593357">
      <w:pPr>
        <w:numPr>
          <w:ilvl w:val="0"/>
          <w:numId w:val="0"/>
        </w:numPr>
        <w:adjustRightInd w:val="0"/>
        <w:spacing w:line="360" w:lineRule="auto"/>
        <w:ind w:left="0" w:leftChars="0" w:firstLine="420" w:firstLineChars="175"/>
        <w:rPr>
          <w:rFonts w:asciiTheme="minorEastAsia" w:hAnsiTheme="minorEastAsia" w:cstheme="minorEastAsia"/>
          <w:bCs/>
          <w:color w:val="auto"/>
          <w:kern w:val="0"/>
          <w:sz w:val="24"/>
          <w:szCs w:val="24"/>
          <w:highlight w:val="none"/>
        </w:rPr>
      </w:pPr>
      <w:r>
        <w:rPr>
          <w:rFonts w:asciiTheme="minorEastAsia" w:hAnsiTheme="minorEastAsia" w:eastAsiaTheme="minorEastAsia" w:cstheme="minorEastAsia"/>
          <w:bCs/>
          <w:color w:val="auto"/>
          <w:kern w:val="0"/>
          <w:sz w:val="24"/>
          <w:szCs w:val="24"/>
          <w:highlight w:val="none"/>
          <w:lang w:val="en-US" w:eastAsia="zh-CN" w:bidi="ar-SA"/>
        </w:rPr>
        <w:t>（1）</w:t>
      </w:r>
      <w:r>
        <w:rPr>
          <w:rFonts w:hint="eastAsia" w:asciiTheme="minorEastAsia" w:hAnsiTheme="minorEastAsia" w:cstheme="minorEastAsia"/>
          <w:bCs/>
          <w:color w:val="auto"/>
          <w:kern w:val="0"/>
          <w:sz w:val="24"/>
          <w:szCs w:val="24"/>
          <w:highlight w:val="none"/>
        </w:rPr>
        <w:t>质疑磋商供应商是参与所质疑政府采购活动的竞争单位；</w:t>
      </w:r>
    </w:p>
    <w:p w14:paraId="76F3E603">
      <w:pPr>
        <w:numPr>
          <w:ilvl w:val="0"/>
          <w:numId w:val="0"/>
        </w:numPr>
        <w:adjustRightInd w:val="0"/>
        <w:spacing w:line="360" w:lineRule="auto"/>
        <w:ind w:left="0" w:leftChars="0" w:firstLine="420" w:firstLineChars="175"/>
        <w:rPr>
          <w:rFonts w:asciiTheme="minorEastAsia" w:hAnsiTheme="minorEastAsia" w:cstheme="minorEastAsia"/>
          <w:bCs/>
          <w:color w:val="auto"/>
          <w:kern w:val="0"/>
          <w:sz w:val="24"/>
          <w:szCs w:val="24"/>
          <w:highlight w:val="none"/>
        </w:rPr>
      </w:pPr>
      <w:r>
        <w:rPr>
          <w:rFonts w:asciiTheme="minorEastAsia" w:hAnsiTheme="minorEastAsia" w:eastAsiaTheme="minorEastAsia" w:cstheme="minorEastAsia"/>
          <w:bCs/>
          <w:color w:val="auto"/>
          <w:kern w:val="0"/>
          <w:sz w:val="24"/>
          <w:szCs w:val="24"/>
          <w:highlight w:val="none"/>
          <w:lang w:val="en-US" w:eastAsia="zh-CN" w:bidi="ar-SA"/>
        </w:rPr>
        <w:t>（2）</w:t>
      </w:r>
      <w:r>
        <w:rPr>
          <w:rFonts w:hint="eastAsia" w:asciiTheme="minorEastAsia" w:hAnsiTheme="minorEastAsia" w:cstheme="minorEastAsia"/>
          <w:bCs/>
          <w:color w:val="auto"/>
          <w:kern w:val="0"/>
          <w:sz w:val="24"/>
          <w:szCs w:val="24"/>
          <w:highlight w:val="none"/>
        </w:rPr>
        <w:t>质疑书内容符合本章第</w:t>
      </w:r>
      <w:r>
        <w:rPr>
          <w:rFonts w:hint="eastAsia" w:asciiTheme="minorEastAsia" w:hAnsiTheme="minorEastAsia" w:cstheme="minorEastAsia"/>
          <w:bCs/>
          <w:color w:val="auto"/>
          <w:kern w:val="0"/>
          <w:sz w:val="24"/>
          <w:szCs w:val="24"/>
          <w:highlight w:val="none"/>
          <w:lang w:val="en-US" w:eastAsia="zh-CN"/>
        </w:rPr>
        <w:t>9</w:t>
      </w:r>
      <w:r>
        <w:rPr>
          <w:rFonts w:hint="eastAsia" w:asciiTheme="minorEastAsia" w:hAnsiTheme="minorEastAsia" w:cstheme="minorEastAsia"/>
          <w:bCs/>
          <w:color w:val="auto"/>
          <w:kern w:val="0"/>
          <w:sz w:val="24"/>
          <w:szCs w:val="24"/>
          <w:highlight w:val="none"/>
        </w:rPr>
        <w:t>项的规定；</w:t>
      </w:r>
    </w:p>
    <w:p w14:paraId="2F45E0FC">
      <w:pPr>
        <w:adjustRightInd w:val="0"/>
        <w:spacing w:line="360" w:lineRule="auto"/>
        <w:ind w:left="0" w:leftChars="0"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（3）在质疑有效期限内提起质疑；</w:t>
      </w:r>
    </w:p>
    <w:p w14:paraId="35EB0263">
      <w:pPr>
        <w:adjustRightInd w:val="0"/>
        <w:spacing w:line="360" w:lineRule="auto"/>
        <w:ind w:left="0" w:leftChars="0"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（4）属于所质疑的采购代理机构组织的采购活动；</w:t>
      </w:r>
    </w:p>
    <w:p w14:paraId="7C59E6A5">
      <w:pPr>
        <w:adjustRightInd w:val="0"/>
        <w:spacing w:line="360" w:lineRule="auto"/>
        <w:ind w:left="0" w:leftChars="0"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（5）同一质疑事项未经采购代理机构质疑处理；</w:t>
      </w:r>
    </w:p>
    <w:p w14:paraId="76D6100D">
      <w:pPr>
        <w:adjustRightInd w:val="0"/>
        <w:spacing w:line="360" w:lineRule="auto"/>
        <w:ind w:left="0" w:leftChars="0"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（6）财政部门规定的其他条件。</w:t>
      </w:r>
    </w:p>
    <w:p w14:paraId="25A06766">
      <w:pPr>
        <w:adjustRightInd w:val="0"/>
        <w:spacing w:line="360" w:lineRule="auto"/>
        <w:ind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 xml:space="preserve">  采购代理机构应当在收到磋商供应商的书面质疑后七个工作日内对质疑事项作出答复，并以书面形式通知质疑磋商供应商及其他有关磋商供应商。但答复的内容不得涉及商业秘密。</w:t>
      </w:r>
    </w:p>
    <w:p w14:paraId="0832FE2D">
      <w:pPr>
        <w:adjustRightInd w:val="0"/>
        <w:spacing w:line="360" w:lineRule="auto"/>
        <w:ind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接收质疑函的方式、联系部门、联系电话和通讯地址：</w:t>
      </w:r>
    </w:p>
    <w:p w14:paraId="082183D3">
      <w:pPr>
        <w:spacing w:line="360" w:lineRule="auto"/>
        <w:ind w:firstLine="638" w:firstLineChars="266"/>
        <w:rPr>
          <w:rFonts w:asciiTheme="minorEastAsia" w:hAnsiTheme="minorEastAsia" w:cstheme="minorEastAsia"/>
          <w:color w:val="auto"/>
          <w:sz w:val="24"/>
          <w:szCs w:val="24"/>
          <w:highlight w:val="none"/>
        </w:rPr>
      </w:pPr>
      <w:r>
        <w:rPr>
          <w:rFonts w:hint="eastAsia" w:asciiTheme="minorEastAsia" w:hAnsiTheme="minorEastAsia" w:cstheme="minorEastAsia"/>
          <w:bCs/>
          <w:color w:val="auto"/>
          <w:kern w:val="0"/>
          <w:sz w:val="24"/>
          <w:szCs w:val="24"/>
          <w:highlight w:val="none"/>
        </w:rPr>
        <w:t>采购代理机构：</w:t>
      </w:r>
      <w:r>
        <w:rPr>
          <w:rFonts w:hint="eastAsia" w:asciiTheme="minorEastAsia" w:hAnsiTheme="minorEastAsia" w:cstheme="minorEastAsia"/>
          <w:color w:val="auto"/>
          <w:sz w:val="24"/>
          <w:szCs w:val="24"/>
          <w:highlight w:val="none"/>
        </w:rPr>
        <w:t>华睿诚项目管理有限公司</w:t>
      </w:r>
    </w:p>
    <w:p w14:paraId="4AB307FD">
      <w:pPr>
        <w:spacing w:line="360" w:lineRule="auto"/>
        <w:ind w:firstLine="480" w:firstLineChars="200"/>
        <w:rPr>
          <w:rFonts w:hint="eastAsia" w:cs="宋体" w:asciiTheme="minorEastAsia" w:hAnsiTheme="minorEastAsia" w:eastAsiaTheme="minorEastAsia"/>
          <w:color w:val="auto"/>
          <w:sz w:val="24"/>
          <w:szCs w:val="24"/>
          <w:highlight w:val="none"/>
          <w:lang w:eastAsia="zh-CN"/>
        </w:rPr>
      </w:pPr>
      <w:r>
        <w:rPr>
          <w:rFonts w:hint="eastAsia" w:asciiTheme="minorEastAsia" w:hAnsiTheme="minorEastAsia" w:cstheme="minorEastAsia"/>
          <w:color w:val="auto"/>
          <w:sz w:val="24"/>
          <w:szCs w:val="24"/>
          <w:highlight w:val="none"/>
        </w:rPr>
        <w:t xml:space="preserve"> 地 址：</w:t>
      </w:r>
      <w:r>
        <w:rPr>
          <w:rFonts w:hint="eastAsia" w:cs="宋体" w:asciiTheme="minorEastAsia" w:hAnsiTheme="minorEastAsia"/>
          <w:bCs/>
          <w:color w:val="auto"/>
          <w:kern w:val="0"/>
          <w:sz w:val="24"/>
          <w:szCs w:val="24"/>
          <w:highlight w:val="none"/>
          <w:lang w:eastAsia="zh-CN"/>
        </w:rPr>
        <w:t>梧州市长洲区西环路上段16号丰业山庄B区41幢</w:t>
      </w:r>
    </w:p>
    <w:p w14:paraId="4637E1FA">
      <w:pPr>
        <w:spacing w:line="360" w:lineRule="auto"/>
        <w:ind w:left="1200" w:hanging="1200" w:hangingChars="5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联系人及电话：</w:t>
      </w:r>
      <w:r>
        <w:rPr>
          <w:rFonts w:hint="eastAsia" w:cs="宋体" w:asciiTheme="minorEastAsia" w:hAnsiTheme="minorEastAsia"/>
          <w:bCs/>
          <w:color w:val="auto"/>
          <w:kern w:val="0"/>
          <w:sz w:val="24"/>
          <w:szCs w:val="24"/>
          <w:highlight w:val="none"/>
        </w:rPr>
        <w:t>李工  0774-5832822</w:t>
      </w:r>
    </w:p>
    <w:p w14:paraId="403D94CC">
      <w:pPr>
        <w:pStyle w:val="4"/>
        <w:spacing w:line="360" w:lineRule="auto"/>
        <w:rPr>
          <w:rFonts w:asciiTheme="minorEastAsia" w:hAnsiTheme="minorEastAsia" w:eastAsiaTheme="minorEastAsia" w:cstheme="minorEastAsia"/>
          <w:b w:val="0"/>
          <w:bCs/>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rPr>
        <w:t>质疑磋商供应商必须首先经过质疑程序，在对采购代理机构的答复不满意或者采购代理机构未在规定的时间内做出答复的，可以在答复期满后十五个工作日内书面向监督管理机构投诉。</w:t>
      </w:r>
    </w:p>
    <w:p w14:paraId="4A1A8D18">
      <w:pPr>
        <w:pStyle w:val="4"/>
        <w:spacing w:line="360" w:lineRule="auto"/>
        <w:ind w:firstLine="480" w:firstLineChars="200"/>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b w:val="0"/>
          <w:bCs/>
          <w:color w:val="auto"/>
          <w:kern w:val="0"/>
          <w:sz w:val="24"/>
          <w:szCs w:val="24"/>
          <w:highlight w:val="none"/>
        </w:rPr>
        <w:t>监督管理机构在处理投诉事项期间，可以视具体情况书面通知采购当事人暂停采购活动。</w:t>
      </w:r>
    </w:p>
    <w:p w14:paraId="520E177E">
      <w:pPr>
        <w:pStyle w:val="4"/>
        <w:spacing w:line="360" w:lineRule="auto"/>
        <w:ind w:firstLine="482" w:firstLineChars="200"/>
        <w:jc w:val="center"/>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（三） 响应文件的编制</w:t>
      </w:r>
      <w:bookmarkEnd w:id="80"/>
      <w:bookmarkEnd w:id="81"/>
      <w:bookmarkEnd w:id="82"/>
      <w:bookmarkEnd w:id="83"/>
    </w:p>
    <w:p w14:paraId="2D22FE33">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84" w:name="_Toc23046677"/>
      <w:bookmarkStart w:id="85" w:name="_Toc514238601"/>
      <w:bookmarkStart w:id="86" w:name="_Toc23152571"/>
      <w:bookmarkStart w:id="87" w:name="_Toc29153324"/>
      <w:bookmarkStart w:id="88" w:name="_Toc243584237"/>
      <w:bookmarkStart w:id="89" w:name="_Toc74156196"/>
      <w:bookmarkStart w:id="90" w:name="_Toc17397"/>
      <w:r>
        <w:rPr>
          <w:rFonts w:hint="eastAsia" w:asciiTheme="minorEastAsia" w:hAnsiTheme="minorEastAsia" w:eastAsiaTheme="minorEastAsia" w:cstheme="minorEastAsia"/>
          <w:color w:val="auto"/>
          <w:kern w:val="0"/>
          <w:sz w:val="24"/>
          <w:szCs w:val="24"/>
          <w:highlight w:val="none"/>
        </w:rPr>
        <w:t>10. 响应文件的语言</w:t>
      </w:r>
      <w:bookmarkEnd w:id="84"/>
      <w:bookmarkEnd w:id="85"/>
      <w:bookmarkEnd w:id="86"/>
      <w:r>
        <w:rPr>
          <w:rFonts w:hint="eastAsia" w:asciiTheme="minorEastAsia" w:hAnsiTheme="minorEastAsia" w:eastAsiaTheme="minorEastAsia" w:cstheme="minorEastAsia"/>
          <w:color w:val="auto"/>
          <w:kern w:val="0"/>
          <w:sz w:val="24"/>
          <w:szCs w:val="24"/>
          <w:highlight w:val="none"/>
        </w:rPr>
        <w:t>及计量单位</w:t>
      </w:r>
      <w:bookmarkEnd w:id="87"/>
      <w:bookmarkEnd w:id="88"/>
      <w:bookmarkEnd w:id="89"/>
      <w:bookmarkEnd w:id="90"/>
    </w:p>
    <w:p w14:paraId="0BF5B9D8">
      <w:pPr>
        <w:pStyle w:val="4"/>
        <w:spacing w:line="360" w:lineRule="auto"/>
        <w:rPr>
          <w:rFonts w:asciiTheme="minorEastAsia" w:hAnsiTheme="minorEastAsia" w:eastAsiaTheme="minorEastAsia" w:cstheme="minorEastAsia"/>
          <w:b w:val="0"/>
          <w:color w:val="auto"/>
          <w:kern w:val="0"/>
          <w:sz w:val="24"/>
          <w:szCs w:val="24"/>
          <w:highlight w:val="none"/>
        </w:rPr>
      </w:pPr>
      <w:r>
        <w:rPr>
          <w:rFonts w:hint="eastAsia" w:asciiTheme="minorEastAsia" w:hAnsiTheme="minorEastAsia" w:eastAsiaTheme="minorEastAsia" w:cstheme="minorEastAsia"/>
          <w:b w:val="0"/>
          <w:color w:val="auto"/>
          <w:kern w:val="0"/>
          <w:sz w:val="24"/>
          <w:szCs w:val="24"/>
          <w:highlight w:val="none"/>
        </w:rPr>
        <w:t xml:space="preserve">    </w:t>
      </w:r>
      <w:bookmarkStart w:id="91" w:name="_Toc31508"/>
      <w:r>
        <w:rPr>
          <w:rFonts w:hint="eastAsia" w:asciiTheme="minorEastAsia" w:hAnsiTheme="minorEastAsia" w:eastAsiaTheme="minorEastAsia" w:cstheme="minorEastAsia"/>
          <w:b w:val="0"/>
          <w:color w:val="auto"/>
          <w:kern w:val="0"/>
          <w:sz w:val="24"/>
          <w:szCs w:val="24"/>
          <w:highlight w:val="none"/>
        </w:rPr>
        <w:t xml:space="preserve">10.1 </w:t>
      </w:r>
      <w:r>
        <w:rPr>
          <w:rFonts w:hint="eastAsia" w:asciiTheme="minorEastAsia" w:hAnsiTheme="minorEastAsia" w:eastAsiaTheme="minorEastAsia" w:cstheme="minorEastAsia"/>
          <w:b w:val="0"/>
          <w:bCs/>
          <w:color w:val="auto"/>
          <w:kern w:val="0"/>
          <w:sz w:val="24"/>
          <w:szCs w:val="24"/>
          <w:highlight w:val="none"/>
        </w:rPr>
        <w:t>响应</w:t>
      </w:r>
      <w:r>
        <w:rPr>
          <w:rFonts w:hint="eastAsia" w:asciiTheme="minorEastAsia" w:hAnsiTheme="minorEastAsia" w:eastAsiaTheme="minorEastAsia" w:cstheme="minorEastAsia"/>
          <w:b w:val="0"/>
          <w:color w:val="auto"/>
          <w:kern w:val="0"/>
          <w:sz w:val="24"/>
          <w:szCs w:val="24"/>
          <w:highlight w:val="none"/>
        </w:rPr>
        <w:t>文件和与磋商有关的所有文件均应使用中文。</w:t>
      </w:r>
      <w:bookmarkEnd w:id="91"/>
    </w:p>
    <w:p w14:paraId="70E107BA">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10.2  除工程规范另有规定外，</w:t>
      </w:r>
      <w:r>
        <w:rPr>
          <w:rFonts w:hint="eastAsia" w:asciiTheme="minorEastAsia" w:hAnsiTheme="minorEastAsia" w:cstheme="minorEastAsia"/>
          <w:bCs/>
          <w:color w:val="auto"/>
          <w:kern w:val="0"/>
          <w:sz w:val="24"/>
          <w:szCs w:val="24"/>
          <w:highlight w:val="none"/>
        </w:rPr>
        <w:t>响应</w:t>
      </w:r>
      <w:r>
        <w:rPr>
          <w:rFonts w:hint="eastAsia" w:asciiTheme="minorEastAsia" w:hAnsiTheme="minorEastAsia" w:cstheme="minorEastAsia"/>
          <w:color w:val="auto"/>
          <w:kern w:val="0"/>
          <w:sz w:val="24"/>
          <w:szCs w:val="24"/>
          <w:highlight w:val="none"/>
        </w:rPr>
        <w:t>文件使用的计量单位，均采用中华人民共和国法定计量单位。</w:t>
      </w:r>
    </w:p>
    <w:p w14:paraId="56071096">
      <w:pPr>
        <w:spacing w:line="360" w:lineRule="auto"/>
        <w:ind w:firstLine="354" w:firstLineChars="147"/>
        <w:rPr>
          <w:rFonts w:cs="宋体" w:asciiTheme="minorEastAsia" w:hAnsiTheme="minorEastAsia"/>
          <w:color w:val="auto"/>
          <w:sz w:val="24"/>
          <w:szCs w:val="24"/>
          <w:highlight w:val="none"/>
        </w:rPr>
      </w:pPr>
      <w:r>
        <w:rPr>
          <w:rStyle w:val="53"/>
          <w:rFonts w:asciiTheme="minorEastAsia" w:hAnsiTheme="minorEastAsia"/>
          <w:b/>
          <w:color w:val="auto"/>
          <w:sz w:val="24"/>
          <w:szCs w:val="24"/>
          <w:highlight w:val="none"/>
        </w:rPr>
        <w:t xml:space="preserve">11.竞争性磋商响应文件编制基本要求 </w:t>
      </w:r>
    </w:p>
    <w:p w14:paraId="79FBC94A">
      <w:pPr>
        <w:spacing w:line="440" w:lineRule="exact"/>
        <w:ind w:firstLine="360"/>
        <w:rPr>
          <w:rFonts w:asciiTheme="minorEastAsia" w:hAnsiTheme="minorEastAsia"/>
          <w:color w:val="auto"/>
          <w:sz w:val="24"/>
          <w:szCs w:val="24"/>
          <w:highlight w:val="none"/>
        </w:rPr>
      </w:pPr>
      <w:r>
        <w:rPr>
          <w:rFonts w:asciiTheme="minorEastAsia" w:hAnsiTheme="minorEastAsia"/>
          <w:color w:val="auto"/>
          <w:sz w:val="24"/>
          <w:szCs w:val="24"/>
          <w:highlight w:val="none"/>
        </w:rPr>
        <w:t>11</w:t>
      </w:r>
      <w:r>
        <w:rPr>
          <w:rFonts w:hint="eastAsia" w:asciiTheme="minorEastAsia" w:hAnsiTheme="minorEastAsia"/>
          <w:color w:val="auto"/>
          <w:sz w:val="24"/>
          <w:szCs w:val="24"/>
          <w:highlight w:val="none"/>
        </w:rPr>
        <w:t>.1.本项目实行电子投标，供应商应准备电子磋商响应文件：</w:t>
      </w:r>
    </w:p>
    <w:p w14:paraId="7EFC4E4D">
      <w:pPr>
        <w:spacing w:line="440" w:lineRule="exact"/>
        <w:ind w:firstLine="360"/>
        <w:rPr>
          <w:rFonts w:asciiTheme="minorEastAsia" w:hAnsiTheme="minorEastAsia"/>
          <w:color w:val="auto"/>
          <w:sz w:val="24"/>
          <w:szCs w:val="24"/>
          <w:highlight w:val="none"/>
        </w:rPr>
      </w:pPr>
      <w:r>
        <w:rPr>
          <w:rFonts w:asciiTheme="minorEastAsia" w:hAnsiTheme="minorEastAsia"/>
          <w:color w:val="auto"/>
          <w:sz w:val="24"/>
          <w:szCs w:val="24"/>
          <w:highlight w:val="none"/>
        </w:rPr>
        <w:t>11</w:t>
      </w:r>
      <w:r>
        <w:rPr>
          <w:rFonts w:hint="eastAsia" w:asciiTheme="minorEastAsia" w:hAnsiTheme="minorEastAsia"/>
          <w:color w:val="auto"/>
          <w:sz w:val="24"/>
          <w:szCs w:val="24"/>
          <w:highlight w:val="none"/>
        </w:rPr>
        <w:t>.1.1电子响应文件按广西政府采购云平台要求及本竞争性磋商文件要求制作、加密并递交。具体操作流程可参考《政府采购项目电子交易管理操作指南-供应商》，指南可在“http://www.ccgp-guangxi.gov.cn/PurchaseAdvisory/ImportantNotice/2866753.html”下载。</w:t>
      </w:r>
    </w:p>
    <w:p w14:paraId="3C9F9EBD">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11.</w:t>
      </w:r>
      <w:r>
        <w:rPr>
          <w:rStyle w:val="53"/>
          <w:rFonts w:hint="eastAsia" w:asciiTheme="minorEastAsia" w:hAnsiTheme="minorEastAsia"/>
          <w:color w:val="auto"/>
          <w:sz w:val="24"/>
          <w:szCs w:val="24"/>
          <w:highlight w:val="none"/>
        </w:rPr>
        <w:t>2</w:t>
      </w:r>
      <w:r>
        <w:rPr>
          <w:rStyle w:val="53"/>
          <w:rFonts w:asciiTheme="minorEastAsia" w:hAnsiTheme="minorEastAsia"/>
          <w:color w:val="auto"/>
          <w:sz w:val="24"/>
          <w:szCs w:val="24"/>
          <w:highlight w:val="none"/>
        </w:rPr>
        <w:t xml:space="preserve"> 磋商供应商</w:t>
      </w:r>
      <w:r>
        <w:rPr>
          <w:rStyle w:val="53"/>
          <w:rFonts w:hint="eastAsia" w:asciiTheme="minorEastAsia" w:hAnsiTheme="minorEastAsia"/>
          <w:color w:val="auto"/>
          <w:sz w:val="24"/>
          <w:szCs w:val="24"/>
          <w:highlight w:val="none"/>
        </w:rPr>
        <w:t>应按采购文件的要求</w:t>
      </w:r>
      <w:r>
        <w:rPr>
          <w:rStyle w:val="53"/>
          <w:rFonts w:asciiTheme="minorEastAsia" w:hAnsiTheme="minorEastAsia"/>
          <w:color w:val="auto"/>
          <w:sz w:val="24"/>
          <w:szCs w:val="24"/>
          <w:highlight w:val="none"/>
        </w:rPr>
        <w:t>对竞争性磋商</w:t>
      </w:r>
      <w:r>
        <w:rPr>
          <w:rStyle w:val="53"/>
          <w:rFonts w:hint="eastAsia" w:asciiTheme="minorEastAsia" w:hAnsiTheme="minorEastAsia"/>
          <w:color w:val="auto"/>
          <w:sz w:val="24"/>
          <w:szCs w:val="24"/>
          <w:highlight w:val="none"/>
        </w:rPr>
        <w:t>电子</w:t>
      </w:r>
      <w:r>
        <w:rPr>
          <w:rStyle w:val="53"/>
          <w:rFonts w:asciiTheme="minorEastAsia" w:hAnsiTheme="minorEastAsia"/>
          <w:color w:val="auto"/>
          <w:sz w:val="24"/>
          <w:szCs w:val="24"/>
          <w:highlight w:val="none"/>
        </w:rPr>
        <w:t>响应文件</w:t>
      </w:r>
      <w:r>
        <w:rPr>
          <w:rStyle w:val="53"/>
          <w:rFonts w:hint="eastAsia" w:asciiTheme="minorEastAsia" w:hAnsiTheme="minorEastAsia"/>
          <w:color w:val="auto"/>
          <w:sz w:val="24"/>
          <w:szCs w:val="24"/>
          <w:highlight w:val="none"/>
        </w:rPr>
        <w:t>进行</w:t>
      </w:r>
      <w:r>
        <w:rPr>
          <w:rStyle w:val="53"/>
          <w:rFonts w:asciiTheme="minorEastAsia" w:hAnsiTheme="minorEastAsia"/>
          <w:color w:val="auto"/>
          <w:sz w:val="24"/>
          <w:szCs w:val="24"/>
          <w:highlight w:val="none"/>
        </w:rPr>
        <w:t xml:space="preserve">编制。  </w:t>
      </w:r>
    </w:p>
    <w:p w14:paraId="50A6FF08">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11.</w:t>
      </w:r>
      <w:r>
        <w:rPr>
          <w:rStyle w:val="53"/>
          <w:rFonts w:hint="eastAsia" w:asciiTheme="minorEastAsia" w:hAnsiTheme="minorEastAsia"/>
          <w:color w:val="auto"/>
          <w:sz w:val="24"/>
          <w:szCs w:val="24"/>
          <w:highlight w:val="none"/>
        </w:rPr>
        <w:t>3</w:t>
      </w:r>
      <w:r>
        <w:rPr>
          <w:rStyle w:val="53"/>
          <w:rFonts w:asciiTheme="minorEastAsia" w:hAnsiTheme="minorEastAsia"/>
          <w:color w:val="auto"/>
          <w:sz w:val="24"/>
          <w:szCs w:val="24"/>
          <w:highlight w:val="none"/>
        </w:rPr>
        <w:t xml:space="preserve">磋商供应商提交的竞争性磋商响应文件以及磋商供应商与本公司和采购人就有关磋商的所有来往函电均应使用中文。磋商供应商提交的支持文件和印刷的文献可以使用别的语言，但其相应内容必须附有中文翻译文本，在解释竞争性磋商响应文件时以翻译文本为主。  </w:t>
      </w:r>
    </w:p>
    <w:p w14:paraId="461B1E41">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11.</w:t>
      </w:r>
      <w:r>
        <w:rPr>
          <w:rStyle w:val="53"/>
          <w:rFonts w:hint="eastAsia" w:asciiTheme="minorEastAsia" w:hAnsiTheme="minorEastAsia"/>
          <w:color w:val="auto"/>
          <w:sz w:val="24"/>
          <w:szCs w:val="24"/>
          <w:highlight w:val="none"/>
        </w:rPr>
        <w:t>4</w:t>
      </w:r>
      <w:r>
        <w:rPr>
          <w:rStyle w:val="53"/>
          <w:rFonts w:asciiTheme="minorEastAsia" w:hAnsiTheme="minorEastAsia"/>
          <w:color w:val="auto"/>
          <w:sz w:val="24"/>
          <w:szCs w:val="24"/>
          <w:highlight w:val="none"/>
        </w:rPr>
        <w:t xml:space="preserve"> 磋商供应商应认真阅读、并充分理解本文件的全部内容（包括所有的澄清、更改、补充、答疑等内容），承诺并履行本文件中各项条款规定及要求。  </w:t>
      </w:r>
    </w:p>
    <w:p w14:paraId="192CFED3">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11.</w:t>
      </w:r>
      <w:r>
        <w:rPr>
          <w:rStyle w:val="53"/>
          <w:rFonts w:hint="eastAsia" w:asciiTheme="minorEastAsia" w:hAnsiTheme="minorEastAsia"/>
          <w:color w:val="auto"/>
          <w:sz w:val="24"/>
          <w:szCs w:val="24"/>
          <w:highlight w:val="none"/>
        </w:rPr>
        <w:t>5</w:t>
      </w:r>
      <w:r>
        <w:rPr>
          <w:rStyle w:val="53"/>
          <w:rFonts w:asciiTheme="minorEastAsia" w:hAnsiTheme="minorEastAsia"/>
          <w:color w:val="auto"/>
          <w:sz w:val="24"/>
          <w:szCs w:val="24"/>
          <w:highlight w:val="none"/>
        </w:rPr>
        <w:t>竞争性磋商响应文件必须按本文件的全部内容，包括所有的澄清、更改、补充、答疑等内容及附件进行编制。</w:t>
      </w:r>
    </w:p>
    <w:p w14:paraId="3A6FCC07">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11.</w:t>
      </w:r>
      <w:r>
        <w:rPr>
          <w:rStyle w:val="53"/>
          <w:rFonts w:hint="eastAsia" w:asciiTheme="minorEastAsia" w:hAnsiTheme="minorEastAsia"/>
          <w:color w:val="auto"/>
          <w:sz w:val="24"/>
          <w:szCs w:val="24"/>
          <w:highlight w:val="none"/>
        </w:rPr>
        <w:t>6</w:t>
      </w:r>
      <w:r>
        <w:rPr>
          <w:rStyle w:val="53"/>
          <w:rFonts w:asciiTheme="minorEastAsia" w:hAnsiTheme="minorEastAsia"/>
          <w:color w:val="auto"/>
          <w:sz w:val="24"/>
          <w:szCs w:val="24"/>
          <w:highlight w:val="none"/>
        </w:rPr>
        <w:t xml:space="preserve"> 如因磋商供应商只填写和提供了本文件要求的部分内容和附件，而给磋商小组评审造成困难，其可能导致的结果和责任由磋商供应商自行承担。</w:t>
      </w:r>
    </w:p>
    <w:p w14:paraId="26FA97B6">
      <w:pPr>
        <w:adjustRightInd w:val="0"/>
        <w:spacing w:line="360" w:lineRule="auto"/>
        <w:ind w:firstLine="482" w:firstLineChars="200"/>
        <w:rPr>
          <w:rFonts w:asciiTheme="minorEastAsia" w:hAnsiTheme="minorEastAsia" w:cstheme="minorEastAsia"/>
          <w:b/>
          <w:color w:val="auto"/>
          <w:kern w:val="0"/>
          <w:sz w:val="24"/>
          <w:szCs w:val="24"/>
          <w:highlight w:val="none"/>
        </w:rPr>
      </w:pPr>
      <w:bookmarkStart w:id="92" w:name="_Toc23046678"/>
      <w:bookmarkStart w:id="93" w:name="_Toc514238602"/>
      <w:bookmarkStart w:id="94" w:name="_Toc74156197"/>
      <w:bookmarkStart w:id="95" w:name="_Toc29153325"/>
      <w:bookmarkStart w:id="96" w:name="_Toc243584238"/>
      <w:bookmarkStart w:id="97" w:name="_Toc5670"/>
      <w:bookmarkStart w:id="98" w:name="_Toc23152572"/>
      <w:r>
        <w:rPr>
          <w:rFonts w:hint="eastAsia" w:asciiTheme="minorEastAsia" w:hAnsiTheme="minorEastAsia" w:cstheme="minorEastAsia"/>
          <w:b/>
          <w:color w:val="auto"/>
          <w:kern w:val="0"/>
          <w:sz w:val="24"/>
          <w:szCs w:val="24"/>
          <w:highlight w:val="none"/>
        </w:rPr>
        <w:t>11.</w:t>
      </w:r>
      <w:r>
        <w:rPr>
          <w:rFonts w:asciiTheme="minorEastAsia" w:hAnsiTheme="minorEastAsia" w:cstheme="minorEastAsia"/>
          <w:b/>
          <w:color w:val="auto"/>
          <w:kern w:val="0"/>
          <w:sz w:val="24"/>
          <w:szCs w:val="24"/>
          <w:highlight w:val="none"/>
        </w:rPr>
        <w:t>7</w:t>
      </w:r>
      <w:r>
        <w:rPr>
          <w:rFonts w:hint="eastAsia" w:asciiTheme="minorEastAsia" w:hAnsiTheme="minorEastAsia" w:cstheme="minorEastAsia"/>
          <w:b/>
          <w:color w:val="auto"/>
          <w:kern w:val="0"/>
          <w:sz w:val="24"/>
          <w:szCs w:val="24"/>
          <w:highlight w:val="none"/>
        </w:rPr>
        <w:t xml:space="preserve"> 响应文件的组成</w:t>
      </w:r>
      <w:bookmarkEnd w:id="92"/>
      <w:bookmarkEnd w:id="93"/>
      <w:bookmarkEnd w:id="94"/>
      <w:bookmarkEnd w:id="95"/>
      <w:bookmarkEnd w:id="96"/>
      <w:bookmarkEnd w:id="97"/>
      <w:bookmarkEnd w:id="98"/>
    </w:p>
    <w:p w14:paraId="3BAFD480">
      <w:pPr>
        <w:adjustRightInd w:val="0"/>
        <w:spacing w:line="360" w:lineRule="auto"/>
        <w:ind w:firstLine="482" w:firstLineChars="200"/>
        <w:rPr>
          <w:rFonts w:asciiTheme="minorEastAsia" w:hAnsiTheme="minorEastAsia" w:cstheme="minorEastAsia"/>
          <w:b/>
          <w:color w:val="auto"/>
          <w:kern w:val="0"/>
          <w:sz w:val="24"/>
          <w:szCs w:val="24"/>
          <w:highlight w:val="none"/>
        </w:rPr>
      </w:pPr>
      <w:bookmarkStart w:id="99" w:name="_Toc29153326"/>
      <w:bookmarkStart w:id="100" w:name="_Toc74156198"/>
      <w:r>
        <w:rPr>
          <w:rFonts w:hint="eastAsia" w:asciiTheme="minorEastAsia" w:hAnsiTheme="minorEastAsia" w:cstheme="minorEastAsia"/>
          <w:b/>
          <w:color w:val="auto"/>
          <w:kern w:val="0"/>
          <w:sz w:val="24"/>
          <w:szCs w:val="24"/>
          <w:highlight w:val="none"/>
        </w:rPr>
        <w:t>11</w:t>
      </w:r>
      <w:r>
        <w:rPr>
          <w:rFonts w:asciiTheme="minorEastAsia" w:hAnsiTheme="minorEastAsia" w:cstheme="minorEastAsia"/>
          <w:b/>
          <w:color w:val="auto"/>
          <w:kern w:val="0"/>
          <w:sz w:val="24"/>
          <w:szCs w:val="24"/>
          <w:highlight w:val="none"/>
        </w:rPr>
        <w:t>.7</w:t>
      </w:r>
      <w:r>
        <w:rPr>
          <w:rFonts w:hint="eastAsia" w:asciiTheme="minorEastAsia" w:hAnsiTheme="minorEastAsia" w:cstheme="minorEastAsia"/>
          <w:b/>
          <w:color w:val="auto"/>
          <w:kern w:val="0"/>
          <w:sz w:val="24"/>
          <w:szCs w:val="24"/>
          <w:highlight w:val="none"/>
        </w:rPr>
        <w:t>.</w:t>
      </w:r>
      <w:r>
        <w:rPr>
          <w:rFonts w:asciiTheme="minorEastAsia" w:hAnsiTheme="minorEastAsia" w:cstheme="minorEastAsia"/>
          <w:b/>
          <w:color w:val="auto"/>
          <w:kern w:val="0"/>
          <w:sz w:val="24"/>
          <w:szCs w:val="24"/>
          <w:highlight w:val="none"/>
        </w:rPr>
        <w:t>1</w:t>
      </w:r>
      <w:r>
        <w:rPr>
          <w:rFonts w:hint="eastAsia" w:asciiTheme="minorEastAsia" w:hAnsiTheme="minorEastAsia" w:cstheme="minorEastAsia"/>
          <w:b/>
          <w:color w:val="auto"/>
          <w:kern w:val="0"/>
          <w:sz w:val="24"/>
          <w:szCs w:val="24"/>
          <w:highlight w:val="none"/>
        </w:rPr>
        <w:t xml:space="preserve"> 响应文件由资格审查部分、商务及技术部分组成。</w:t>
      </w:r>
    </w:p>
    <w:p w14:paraId="3B9A60A4">
      <w:pPr>
        <w:adjustRightInd w:val="0"/>
        <w:spacing w:line="360" w:lineRule="auto"/>
        <w:ind w:firstLine="482" w:firstLineChars="200"/>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11.</w:t>
      </w:r>
      <w:r>
        <w:rPr>
          <w:rFonts w:asciiTheme="minorEastAsia" w:hAnsiTheme="minorEastAsia" w:cstheme="minorEastAsia"/>
          <w:b/>
          <w:color w:val="auto"/>
          <w:kern w:val="0"/>
          <w:sz w:val="24"/>
          <w:szCs w:val="24"/>
          <w:highlight w:val="none"/>
        </w:rPr>
        <w:t>7</w:t>
      </w:r>
      <w:r>
        <w:rPr>
          <w:rFonts w:hint="eastAsia" w:asciiTheme="minorEastAsia" w:hAnsiTheme="minorEastAsia" w:cstheme="minorEastAsia"/>
          <w:b/>
          <w:color w:val="auto"/>
          <w:kern w:val="0"/>
          <w:sz w:val="24"/>
          <w:szCs w:val="24"/>
          <w:highlight w:val="none"/>
        </w:rPr>
        <w:t>.</w:t>
      </w:r>
      <w:r>
        <w:rPr>
          <w:rFonts w:asciiTheme="minorEastAsia" w:hAnsiTheme="minorEastAsia" w:cstheme="minorEastAsia"/>
          <w:b/>
          <w:color w:val="auto"/>
          <w:kern w:val="0"/>
          <w:sz w:val="24"/>
          <w:szCs w:val="24"/>
          <w:highlight w:val="none"/>
        </w:rPr>
        <w:t>2</w:t>
      </w:r>
      <w:r>
        <w:rPr>
          <w:rFonts w:hint="eastAsia" w:asciiTheme="minorEastAsia" w:hAnsiTheme="minorEastAsia" w:cstheme="minorEastAsia"/>
          <w:b/>
          <w:color w:val="auto"/>
          <w:kern w:val="0"/>
          <w:sz w:val="24"/>
          <w:szCs w:val="24"/>
          <w:highlight w:val="none"/>
        </w:rPr>
        <w:t xml:space="preserve"> 资格审查部分应包括下列内容：（</w:t>
      </w:r>
      <w:r>
        <w:rPr>
          <w:rFonts w:hint="eastAsia" w:cs="宋体" w:asciiTheme="minorEastAsia" w:hAnsiTheme="minorEastAsia"/>
          <w:b/>
          <w:bCs/>
          <w:color w:val="auto"/>
          <w:sz w:val="24"/>
          <w:szCs w:val="24"/>
          <w:highlight w:val="none"/>
        </w:rPr>
        <w:t>以下材料注明“必须提供”的必须提供</w:t>
      </w:r>
      <w:r>
        <w:rPr>
          <w:rFonts w:hint="eastAsia" w:asciiTheme="minorEastAsia" w:hAnsiTheme="minorEastAsia" w:cstheme="minorEastAsia"/>
          <w:color w:val="auto"/>
          <w:kern w:val="0"/>
          <w:sz w:val="24"/>
          <w:szCs w:val="24"/>
          <w:highlight w:val="none"/>
        </w:rPr>
        <w:t>，</w:t>
      </w:r>
      <w:r>
        <w:rPr>
          <w:rFonts w:hint="eastAsia" w:asciiTheme="minorEastAsia" w:hAnsiTheme="minorEastAsia" w:cstheme="minorEastAsia"/>
          <w:b/>
          <w:color w:val="auto"/>
          <w:kern w:val="0"/>
          <w:sz w:val="24"/>
          <w:szCs w:val="24"/>
          <w:highlight w:val="none"/>
        </w:rPr>
        <w:t>属复印件必须加盖单位公章，否则其</w:t>
      </w:r>
      <w:r>
        <w:rPr>
          <w:rFonts w:hint="eastAsia" w:cs="宋体" w:asciiTheme="minorEastAsia" w:hAnsiTheme="minorEastAsia"/>
          <w:b/>
          <w:bCs/>
          <w:color w:val="auto"/>
          <w:sz w:val="24"/>
          <w:szCs w:val="24"/>
          <w:highlight w:val="none"/>
        </w:rPr>
        <w:t>磋商</w:t>
      </w:r>
      <w:r>
        <w:rPr>
          <w:rFonts w:hint="eastAsia" w:asciiTheme="minorEastAsia" w:hAnsiTheme="minorEastAsia" w:cstheme="minorEastAsia"/>
          <w:b/>
          <w:color w:val="auto"/>
          <w:kern w:val="0"/>
          <w:sz w:val="24"/>
          <w:szCs w:val="24"/>
          <w:highlight w:val="none"/>
        </w:rPr>
        <w:t>无效）</w:t>
      </w:r>
    </w:p>
    <w:p w14:paraId="697974F9">
      <w:pPr>
        <w:spacing w:line="312" w:lineRule="auto"/>
        <w:ind w:firstLine="480" w:firstLineChars="200"/>
        <w:rPr>
          <w:rFonts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（1）法定代表人资格证明书；</w:t>
      </w:r>
      <w:r>
        <w:rPr>
          <w:rFonts w:hint="eastAsia" w:asciiTheme="minorEastAsia" w:hAnsiTheme="minorEastAsia" w:cstheme="minorEastAsia"/>
          <w:b/>
          <w:bCs/>
          <w:color w:val="auto"/>
          <w:sz w:val="24"/>
          <w:szCs w:val="24"/>
          <w:highlight w:val="none"/>
        </w:rPr>
        <w:t>（必须提供）</w:t>
      </w:r>
    </w:p>
    <w:p w14:paraId="2A2DED28">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（2）法定代表人授权书原件及授权代理人身份证复印件（如无授权时则不需提供，复印件加盖供应商的电子签章）；</w:t>
      </w:r>
      <w:r>
        <w:rPr>
          <w:rFonts w:hint="eastAsia" w:asciiTheme="minorEastAsia" w:hAnsiTheme="minorEastAsia" w:cstheme="minorEastAsia"/>
          <w:b/>
          <w:bCs/>
          <w:color w:val="auto"/>
          <w:sz w:val="24"/>
          <w:szCs w:val="24"/>
          <w:highlight w:val="none"/>
        </w:rPr>
        <w:t>（必须提供并加盖供应商的电子签章）</w:t>
      </w:r>
    </w:p>
    <w:p w14:paraId="5947D41C">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（3）有效的企业营业执照副本复印件；</w:t>
      </w:r>
      <w:r>
        <w:rPr>
          <w:rFonts w:hint="eastAsia" w:asciiTheme="minorEastAsia" w:hAnsiTheme="minorEastAsia" w:cstheme="minorEastAsia"/>
          <w:b/>
          <w:bCs/>
          <w:color w:val="auto"/>
          <w:sz w:val="24"/>
          <w:szCs w:val="24"/>
          <w:highlight w:val="none"/>
        </w:rPr>
        <w:t>（必须提供并加盖供应商的电子签章）</w:t>
      </w:r>
    </w:p>
    <w:p w14:paraId="144ABF97">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（4）有效的安全生产许可证副本复印件；</w:t>
      </w:r>
      <w:r>
        <w:rPr>
          <w:rFonts w:hint="eastAsia" w:asciiTheme="minorEastAsia" w:hAnsiTheme="minorEastAsia" w:cstheme="minorEastAsia"/>
          <w:b/>
          <w:bCs/>
          <w:color w:val="auto"/>
          <w:sz w:val="24"/>
          <w:szCs w:val="24"/>
          <w:highlight w:val="none"/>
        </w:rPr>
        <w:t>（必须提供并加盖供应商的电子签章）</w:t>
      </w:r>
    </w:p>
    <w:p w14:paraId="44CD7D1C">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（5）有效的企业资质证书副本复印件；</w:t>
      </w:r>
      <w:r>
        <w:rPr>
          <w:rFonts w:hint="eastAsia" w:asciiTheme="minorEastAsia" w:hAnsiTheme="minorEastAsia" w:cstheme="minorEastAsia"/>
          <w:b/>
          <w:bCs/>
          <w:color w:val="auto"/>
          <w:sz w:val="24"/>
          <w:szCs w:val="24"/>
          <w:highlight w:val="none"/>
        </w:rPr>
        <w:t>（必须提供并加盖供应商的电子签章）</w:t>
      </w:r>
    </w:p>
    <w:p w14:paraId="52001785">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（6）拟投入本项目的项目经理有效的注册建造师资质证书复印件；</w:t>
      </w:r>
      <w:r>
        <w:rPr>
          <w:rFonts w:hint="eastAsia" w:asciiTheme="minorEastAsia" w:hAnsiTheme="minorEastAsia" w:cstheme="minorEastAsia"/>
          <w:b/>
          <w:bCs/>
          <w:color w:val="auto"/>
          <w:sz w:val="24"/>
          <w:szCs w:val="24"/>
          <w:highlight w:val="none"/>
        </w:rPr>
        <w:t>（必须提供并加盖供应商的电子签章）</w:t>
      </w:r>
    </w:p>
    <w:p w14:paraId="090B97CF">
      <w:pPr>
        <w:pStyle w:val="15"/>
        <w:spacing w:line="312" w:lineRule="auto"/>
        <w:ind w:firstLine="544" w:firstLineChars="227"/>
        <w:rPr>
          <w:rFonts w:cs="宋体"/>
          <w:color w:val="auto"/>
          <w:sz w:val="24"/>
          <w:szCs w:val="24"/>
          <w:highlight w:val="none"/>
        </w:rPr>
      </w:pPr>
      <w:r>
        <w:rPr>
          <w:rFonts w:hint="eastAsia" w:cs="宋体"/>
          <w:color w:val="auto"/>
          <w:sz w:val="24"/>
          <w:szCs w:val="24"/>
          <w:highlight w:val="none"/>
        </w:rPr>
        <w:t>（7）</w:t>
      </w:r>
      <w:r>
        <w:rPr>
          <w:rFonts w:hint="eastAsia"/>
          <w:color w:val="auto"/>
          <w:sz w:val="24"/>
          <w:szCs w:val="24"/>
          <w:highlight w:val="none"/>
        </w:rPr>
        <w:t>响应文件递交截止之日前半年内任意三个月</w:t>
      </w:r>
      <w:r>
        <w:rPr>
          <w:rFonts w:hint="eastAsia"/>
          <w:bCs/>
          <w:color w:val="auto"/>
          <w:sz w:val="24"/>
          <w:szCs w:val="24"/>
          <w:highlight w:val="none"/>
        </w:rPr>
        <w:t>的依法缴纳税费或依法免缴税费的证明[复印件，格式自拟，必须提供]；无纳税记录的，应提供由磋商供应商所在地主管国税、地税部门出具的《依法纳税或依法免税证明》复印件，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从取得营业执照时间起到响应文件提交截止时间为止不足要求月数的，只需提供从取得营业执照起的依法缴纳税收相应证明文件</w:t>
      </w:r>
      <w:r>
        <w:rPr>
          <w:rFonts w:hint="eastAsia"/>
          <w:b/>
          <w:color w:val="auto"/>
          <w:sz w:val="24"/>
          <w:highlight w:val="none"/>
        </w:rPr>
        <w:t>，必须提供并加盖供应商的电子签章）</w:t>
      </w:r>
      <w:r>
        <w:rPr>
          <w:rFonts w:hint="eastAsia"/>
          <w:b/>
          <w:color w:val="auto"/>
          <w:sz w:val="24"/>
          <w:szCs w:val="24"/>
          <w:highlight w:val="none"/>
        </w:rPr>
        <w:t>；</w:t>
      </w:r>
    </w:p>
    <w:p w14:paraId="2BE086BB">
      <w:pPr>
        <w:pStyle w:val="15"/>
        <w:spacing w:line="312" w:lineRule="auto"/>
        <w:ind w:firstLine="544" w:firstLineChars="227"/>
        <w:rPr>
          <w:rFonts w:cs="宋体"/>
          <w:color w:val="auto"/>
          <w:sz w:val="24"/>
          <w:szCs w:val="24"/>
          <w:highlight w:val="none"/>
        </w:rPr>
      </w:pPr>
      <w:r>
        <w:rPr>
          <w:rFonts w:hint="eastAsia" w:cs="宋体"/>
          <w:color w:val="auto"/>
          <w:sz w:val="24"/>
          <w:szCs w:val="24"/>
          <w:highlight w:val="none"/>
        </w:rPr>
        <w:t>（8）</w:t>
      </w:r>
      <w:r>
        <w:rPr>
          <w:rFonts w:hint="eastAsia"/>
          <w:color w:val="auto"/>
          <w:sz w:val="24"/>
          <w:highlight w:val="none"/>
        </w:rPr>
        <w:t>响应文件递交截止之日前半年内任意三个月</w:t>
      </w:r>
      <w:r>
        <w:rPr>
          <w:rFonts w:hint="eastAsia"/>
          <w:bCs/>
          <w:color w:val="auto"/>
          <w:sz w:val="24"/>
          <w:highlight w:val="none"/>
        </w:rPr>
        <w:t>依法缴纳社保费的缴费凭证（复印件，格式自拟）[必须提供]；无缴费记录的，应提供由磋商供应商所在地社保部门出具的《依法缴纳或依法免缴社保费证明》复印件，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从取得营业执照时间起到响应文件提交截止时间为止不足要求月数的只需提供从取得营业执照起的依法缴纳社会保障资金的相应证明文件</w:t>
      </w:r>
      <w:r>
        <w:rPr>
          <w:rFonts w:hint="eastAsia"/>
          <w:b/>
          <w:color w:val="auto"/>
          <w:sz w:val="24"/>
          <w:highlight w:val="none"/>
        </w:rPr>
        <w:t>，必须提供并加盖供应商的电子签章）；</w:t>
      </w:r>
    </w:p>
    <w:p w14:paraId="23E23670">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（9）</w:t>
      </w:r>
      <w:r>
        <w:rPr>
          <w:rFonts w:hint="eastAsia"/>
          <w:color w:val="auto"/>
          <w:sz w:val="24"/>
          <w:highlight w:val="none"/>
        </w:rPr>
        <w:t>供应商202</w:t>
      </w:r>
      <w:r>
        <w:rPr>
          <w:rFonts w:hint="eastAsia"/>
          <w:color w:val="auto"/>
          <w:sz w:val="24"/>
          <w:highlight w:val="none"/>
          <w:lang w:val="en-US" w:eastAsia="zh-CN"/>
        </w:rPr>
        <w:t>5</w:t>
      </w:r>
      <w:r>
        <w:rPr>
          <w:rFonts w:hint="eastAsia"/>
          <w:color w:val="auto"/>
          <w:sz w:val="24"/>
          <w:highlight w:val="none"/>
        </w:rPr>
        <w:t>年的年度财务报告复印件，如财务报告未经相关审计单位审计的须同时由供应商出具财务报表承诺书，承诺该财务报表数据真实可靠；新成立的企业则</w:t>
      </w:r>
      <w:r>
        <w:rPr>
          <w:rFonts w:hint="eastAsia" w:cs="宋体"/>
          <w:color w:val="auto"/>
          <w:sz w:val="24"/>
          <w:highlight w:val="none"/>
        </w:rPr>
        <w:t>提供公司成立时间以来的财务报表</w:t>
      </w:r>
      <w:r>
        <w:rPr>
          <w:rFonts w:hint="eastAsia"/>
          <w:color w:val="auto"/>
          <w:sz w:val="24"/>
          <w:highlight w:val="none"/>
        </w:rPr>
        <w:t>，同时由供应商出具财务报表承诺书，承诺该财务报表数据真实可靠（格式自拟）</w:t>
      </w:r>
      <w:r>
        <w:rPr>
          <w:rFonts w:hint="eastAsia"/>
          <w:b/>
          <w:color w:val="auto"/>
          <w:sz w:val="24"/>
          <w:highlight w:val="none"/>
        </w:rPr>
        <w:t>（必须提供并加盖供应商的电子签章）</w:t>
      </w:r>
    </w:p>
    <w:p w14:paraId="39108C8A">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（10）政府采购项目投标资格承诺函；</w:t>
      </w:r>
      <w:r>
        <w:rPr>
          <w:rFonts w:hint="eastAsia" w:asciiTheme="minorEastAsia" w:hAnsiTheme="minorEastAsia" w:cstheme="minorEastAsia"/>
          <w:b/>
          <w:bCs/>
          <w:color w:val="auto"/>
          <w:sz w:val="24"/>
          <w:szCs w:val="24"/>
          <w:highlight w:val="none"/>
        </w:rPr>
        <w:t>（必须提供）</w:t>
      </w:r>
    </w:p>
    <w:p w14:paraId="33228F2F">
      <w:pPr>
        <w:spacing w:line="312" w:lineRule="auto"/>
        <w:ind w:firstLine="480" w:firstLineChars="200"/>
        <w:rPr>
          <w:rFonts w:hint="eastAsia"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11）供应商参加政府采购活动前三年内在经营活动中没有重大违法记录和不良信用记录的书面声明原件；（供应商可在“信用中国”网站（www.creditchina.gov.cn）、中国政府采购网（www.ccgp.gov.cn）查询相关供应商主体信用记录，同时将查询结果截图加盖单位公章与上述书面声明一并提交）；</w:t>
      </w:r>
      <w:r>
        <w:rPr>
          <w:rFonts w:hint="eastAsia" w:asciiTheme="minorEastAsia" w:hAnsiTheme="minorEastAsia" w:cstheme="minorEastAsia"/>
          <w:b/>
          <w:bCs/>
          <w:color w:val="auto"/>
          <w:sz w:val="24"/>
          <w:szCs w:val="24"/>
          <w:highlight w:val="none"/>
        </w:rPr>
        <w:t>（必须提供）</w:t>
      </w:r>
    </w:p>
    <w:p w14:paraId="3442C631">
      <w:pPr>
        <w:spacing w:line="312" w:lineRule="auto"/>
        <w:ind w:firstLine="480" w:firstLineChars="200"/>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cstheme="minorEastAsia"/>
          <w:color w:val="auto"/>
          <w:sz w:val="24"/>
          <w:szCs w:val="24"/>
          <w:highlight w:val="none"/>
        </w:rPr>
        <w:t>（12）</w:t>
      </w:r>
      <w:r>
        <w:rPr>
          <w:rFonts w:hint="eastAsia" w:asciiTheme="minorEastAsia" w:hAnsiTheme="minorEastAsia" w:cstheme="minorEastAsia"/>
          <w:color w:val="auto"/>
          <w:sz w:val="24"/>
          <w:szCs w:val="24"/>
          <w:highlight w:val="none"/>
          <w:lang w:val="en-US" w:eastAsia="zh-CN"/>
        </w:rPr>
        <w:t>供应商为中小企业声明函；</w:t>
      </w:r>
      <w:r>
        <w:rPr>
          <w:rFonts w:hint="eastAsia" w:asciiTheme="minorEastAsia" w:hAnsiTheme="minorEastAsia" w:cstheme="minorEastAsia"/>
          <w:b/>
          <w:bCs/>
          <w:color w:val="auto"/>
          <w:sz w:val="24"/>
          <w:szCs w:val="24"/>
          <w:highlight w:val="none"/>
          <w:lang w:val="en-US" w:eastAsia="zh-CN"/>
        </w:rPr>
        <w:t>（</w:t>
      </w:r>
      <w:r>
        <w:rPr>
          <w:rFonts w:hint="eastAsia"/>
          <w:b/>
          <w:bCs/>
          <w:color w:val="auto"/>
          <w:sz w:val="24"/>
          <w:highlight w:val="none"/>
        </w:rPr>
        <w:t>必须提供并加盖供应商的电子签章</w:t>
      </w:r>
      <w:r>
        <w:rPr>
          <w:rFonts w:hint="eastAsia" w:asciiTheme="minorEastAsia" w:hAnsiTheme="minorEastAsia" w:cstheme="minorEastAsia"/>
          <w:b/>
          <w:bCs/>
          <w:color w:val="auto"/>
          <w:sz w:val="24"/>
          <w:szCs w:val="24"/>
          <w:highlight w:val="none"/>
          <w:lang w:val="en-US" w:eastAsia="zh-CN"/>
        </w:rPr>
        <w:t>）</w:t>
      </w:r>
    </w:p>
    <w:p w14:paraId="34FCBC0D">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w:t>
      </w:r>
      <w:r>
        <w:rPr>
          <w:rFonts w:hint="eastAsia" w:asciiTheme="minorEastAsia" w:hAnsiTheme="minorEastAsia" w:cstheme="minorEastAsia"/>
          <w:color w:val="auto"/>
          <w:sz w:val="24"/>
          <w:szCs w:val="24"/>
          <w:highlight w:val="none"/>
          <w:lang w:val="en-US" w:eastAsia="zh-CN"/>
        </w:rPr>
        <w:t>3</w:t>
      </w:r>
      <w:r>
        <w:rPr>
          <w:rFonts w:hint="eastAsia" w:asciiTheme="minorEastAsia" w:hAnsiTheme="minorEastAsia" w:cstheme="minorEastAsia"/>
          <w:color w:val="auto"/>
          <w:sz w:val="24"/>
          <w:szCs w:val="24"/>
          <w:highlight w:val="none"/>
        </w:rPr>
        <w:t>）供应商认为必要提供的声明及其它资料。（如有，请提供）</w:t>
      </w:r>
    </w:p>
    <w:p w14:paraId="30C474C4">
      <w:pPr>
        <w:pStyle w:val="44"/>
        <w:tabs>
          <w:tab w:val="left" w:pos="2145"/>
          <w:tab w:val="left" w:pos="2146"/>
        </w:tabs>
        <w:spacing w:line="360" w:lineRule="auto"/>
        <w:ind w:left="0" w:firstLine="422" w:firstLineChars="175"/>
        <w:rPr>
          <w:rFonts w:asciiTheme="minorEastAsia" w:hAnsiTheme="minorEastAsia" w:eastAsiaTheme="minorEastAsia" w:cstheme="minorEastAsia"/>
          <w:b/>
          <w:bCs/>
          <w:color w:val="auto"/>
          <w:kern w:val="0"/>
          <w:sz w:val="24"/>
          <w:szCs w:val="24"/>
          <w:highlight w:val="none"/>
          <w:lang w:val="en-US" w:bidi="ar-SA"/>
        </w:rPr>
      </w:pPr>
      <w:r>
        <w:rPr>
          <w:rFonts w:hint="eastAsia" w:asciiTheme="minorEastAsia" w:hAnsiTheme="minorEastAsia" w:eastAsiaTheme="minorEastAsia" w:cstheme="minorEastAsia"/>
          <w:b/>
          <w:color w:val="auto"/>
          <w:kern w:val="0"/>
          <w:sz w:val="24"/>
          <w:szCs w:val="24"/>
          <w:highlight w:val="none"/>
          <w:lang w:val="en-US" w:bidi="ar-SA"/>
        </w:rPr>
        <w:t>11.</w:t>
      </w:r>
      <w:r>
        <w:rPr>
          <w:rFonts w:asciiTheme="minorEastAsia" w:hAnsiTheme="minorEastAsia" w:eastAsiaTheme="minorEastAsia" w:cstheme="minorEastAsia"/>
          <w:b/>
          <w:color w:val="auto"/>
          <w:kern w:val="0"/>
          <w:sz w:val="24"/>
          <w:szCs w:val="24"/>
          <w:highlight w:val="none"/>
          <w:lang w:val="en-US" w:bidi="ar-SA"/>
        </w:rPr>
        <w:t>7</w:t>
      </w:r>
      <w:r>
        <w:rPr>
          <w:rFonts w:hint="eastAsia" w:asciiTheme="minorEastAsia" w:hAnsiTheme="minorEastAsia" w:eastAsiaTheme="minorEastAsia" w:cstheme="minorEastAsia"/>
          <w:b/>
          <w:color w:val="auto"/>
          <w:kern w:val="0"/>
          <w:sz w:val="24"/>
          <w:szCs w:val="24"/>
          <w:highlight w:val="none"/>
          <w:lang w:val="en-US" w:bidi="ar-SA"/>
        </w:rPr>
        <w:t>.</w:t>
      </w:r>
      <w:r>
        <w:rPr>
          <w:rFonts w:asciiTheme="minorEastAsia" w:hAnsiTheme="minorEastAsia" w:eastAsiaTheme="minorEastAsia" w:cstheme="minorEastAsia"/>
          <w:b/>
          <w:color w:val="auto"/>
          <w:kern w:val="0"/>
          <w:sz w:val="24"/>
          <w:szCs w:val="24"/>
          <w:highlight w:val="none"/>
          <w:lang w:val="en-US" w:bidi="ar-SA"/>
        </w:rPr>
        <w:t>3</w:t>
      </w:r>
      <w:r>
        <w:rPr>
          <w:rFonts w:hint="eastAsia" w:asciiTheme="minorEastAsia" w:hAnsiTheme="minorEastAsia" w:eastAsiaTheme="minorEastAsia" w:cstheme="minorEastAsia"/>
          <w:b/>
          <w:color w:val="auto"/>
          <w:kern w:val="0"/>
          <w:sz w:val="24"/>
          <w:szCs w:val="24"/>
          <w:highlight w:val="none"/>
          <w:lang w:val="en-US" w:bidi="ar-SA"/>
        </w:rPr>
        <w:t>商务及技术部分主要包括下列内容：</w:t>
      </w:r>
      <w:r>
        <w:rPr>
          <w:rFonts w:hint="eastAsia" w:asciiTheme="minorEastAsia" w:hAnsiTheme="minorEastAsia" w:eastAsiaTheme="minorEastAsia"/>
          <w:b/>
          <w:bCs/>
          <w:color w:val="auto"/>
          <w:sz w:val="24"/>
          <w:szCs w:val="24"/>
          <w:highlight w:val="none"/>
        </w:rPr>
        <w:t>（注明“必须提供”的必须提供且应加盖单位公章，否则磋商无效）</w:t>
      </w:r>
    </w:p>
    <w:p w14:paraId="4898330B">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1" w:name="_Toc20287"/>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1）</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w:t>
      </w:r>
      <w:r>
        <w:rPr>
          <w:rFonts w:hint="eastAsia" w:asciiTheme="minorEastAsia" w:hAnsiTheme="minorEastAsia" w:cstheme="minorEastAsia"/>
          <w:b/>
          <w:bCs/>
          <w:color w:val="auto"/>
          <w:sz w:val="24"/>
          <w:szCs w:val="24"/>
          <w:highlight w:val="none"/>
        </w:rPr>
        <w:t>（必须提供）</w:t>
      </w:r>
      <w:bookmarkEnd w:id="101"/>
    </w:p>
    <w:p w14:paraId="44B0DF55">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2" w:name="_Toc16053"/>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2）</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函附录；</w:t>
      </w:r>
      <w:r>
        <w:rPr>
          <w:rFonts w:hint="eastAsia" w:asciiTheme="minorEastAsia" w:hAnsiTheme="minorEastAsia" w:cstheme="minorEastAsia"/>
          <w:b/>
          <w:bCs/>
          <w:color w:val="auto"/>
          <w:sz w:val="24"/>
          <w:szCs w:val="24"/>
          <w:highlight w:val="none"/>
        </w:rPr>
        <w:t>（必须提供）</w:t>
      </w:r>
      <w:bookmarkEnd w:id="102"/>
    </w:p>
    <w:p w14:paraId="1ACE5945">
      <w:pPr>
        <w:pStyle w:val="44"/>
        <w:tabs>
          <w:tab w:val="left" w:pos="1972"/>
        </w:tabs>
        <w:spacing w:line="360" w:lineRule="auto"/>
        <w:ind w:left="0" w:firstLine="638" w:firstLineChars="266"/>
        <w:outlineLvl w:val="0"/>
        <w:rPr>
          <w:rFonts w:asciiTheme="minorEastAsia" w:hAnsiTheme="minorEastAsia" w:eastAsiaTheme="minorEastAsia"/>
          <w:b/>
          <w:bCs/>
          <w:color w:val="auto"/>
          <w:sz w:val="24"/>
          <w:highlight w:val="none"/>
        </w:rPr>
      </w:pPr>
      <w:bookmarkStart w:id="103" w:name="_Toc22913"/>
      <w:r>
        <w:rPr>
          <w:rFonts w:hint="eastAsia" w:asciiTheme="minorEastAsia" w:hAnsiTheme="minorEastAsia" w:eastAsiaTheme="minorEastAsia"/>
          <w:color w:val="auto"/>
          <w:sz w:val="24"/>
          <w:highlight w:val="none"/>
          <w:lang w:val="en-US"/>
        </w:rPr>
        <w:t>（3）</w:t>
      </w:r>
      <w:r>
        <w:rPr>
          <w:rFonts w:hint="eastAsia" w:asciiTheme="minorEastAsia" w:hAnsiTheme="minorEastAsia" w:eastAsiaTheme="minorEastAsia"/>
          <w:color w:val="auto"/>
          <w:sz w:val="24"/>
          <w:highlight w:val="none"/>
        </w:rPr>
        <w:t>磋商报价汇总表；</w:t>
      </w:r>
      <w:r>
        <w:rPr>
          <w:rFonts w:hint="eastAsia" w:asciiTheme="minorEastAsia" w:hAnsiTheme="minorEastAsia" w:eastAsiaTheme="minorEastAsia"/>
          <w:b/>
          <w:bCs/>
          <w:color w:val="auto"/>
          <w:sz w:val="24"/>
          <w:highlight w:val="none"/>
        </w:rPr>
        <w:t>（必须提供）</w:t>
      </w:r>
      <w:bookmarkEnd w:id="103"/>
    </w:p>
    <w:p w14:paraId="4BAEAE9C">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lang w:val="en-US"/>
        </w:rPr>
      </w:pPr>
      <w:bookmarkStart w:id="104" w:name="_Toc2057"/>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4）磋商报价系列表格；</w:t>
      </w:r>
      <w:r>
        <w:rPr>
          <w:rFonts w:hint="eastAsia" w:asciiTheme="minorEastAsia" w:hAnsiTheme="minorEastAsia" w:eastAsiaTheme="minorEastAsia"/>
          <w:b/>
          <w:bCs/>
          <w:color w:val="auto"/>
          <w:sz w:val="24"/>
          <w:highlight w:val="none"/>
        </w:rPr>
        <w:t>（必须提供并加盖供应商的电子签章）</w:t>
      </w:r>
      <w:bookmarkEnd w:id="104"/>
    </w:p>
    <w:p w14:paraId="28011C5B">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5" w:name="_Toc4187"/>
      <w:r>
        <w:rPr>
          <w:rFonts w:hint="eastAsia" w:asciiTheme="minorEastAsia" w:hAnsiTheme="minorEastAsia" w:eastAsiaTheme="minorEastAsia"/>
          <w:color w:val="auto"/>
          <w:sz w:val="24"/>
          <w:highlight w:val="none"/>
        </w:rPr>
        <w:t>【注：磋商报价系列表格应根据采购人提供的工程量清单相应表格及有关规定执行,可按预结算软件打印格式提供,本采购文件不另提供参考格式。】</w:t>
      </w:r>
      <w:bookmarkEnd w:id="105"/>
    </w:p>
    <w:p w14:paraId="51BC0375">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w:t>
      </w:r>
      <w:bookmarkStart w:id="106" w:name="_Toc18836"/>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5</w:t>
      </w:r>
      <w:r>
        <w:rPr>
          <w:rFonts w:hint="eastAsia" w:asciiTheme="minorEastAsia" w:hAnsiTheme="minorEastAsia" w:eastAsiaTheme="minorEastAsia"/>
          <w:color w:val="auto"/>
          <w:sz w:val="24"/>
          <w:highlight w:val="none"/>
        </w:rPr>
        <w:t>) 项目管理机构配备；</w:t>
      </w:r>
      <w:r>
        <w:rPr>
          <w:rFonts w:hint="eastAsia" w:asciiTheme="minorEastAsia" w:hAnsiTheme="minorEastAsia" w:eastAsiaTheme="minorEastAsia"/>
          <w:b/>
          <w:bCs/>
          <w:color w:val="auto"/>
          <w:sz w:val="24"/>
          <w:highlight w:val="none"/>
        </w:rPr>
        <w:t>（必须提供并加盖供应商的电子签章）</w:t>
      </w:r>
      <w:bookmarkEnd w:id="106"/>
    </w:p>
    <w:p w14:paraId="5B395A54">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7" w:name="_Toc15754"/>
      <w:r>
        <w:rPr>
          <w:rFonts w:hint="eastAsia" w:asciiTheme="minorEastAsia" w:hAnsiTheme="minorEastAsia" w:eastAsiaTheme="minorEastAsia"/>
          <w:color w:val="auto"/>
          <w:sz w:val="24"/>
          <w:highlight w:val="none"/>
        </w:rPr>
        <w:t>① 项目管理机构配备情况表；</w:t>
      </w:r>
      <w:bookmarkEnd w:id="107"/>
    </w:p>
    <w:p w14:paraId="7B93A8EC">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8" w:name="_Toc54"/>
      <w:r>
        <w:rPr>
          <w:rFonts w:hint="eastAsia" w:asciiTheme="minorEastAsia" w:hAnsiTheme="minorEastAsia" w:eastAsiaTheme="minorEastAsia"/>
          <w:color w:val="auto"/>
          <w:sz w:val="24"/>
          <w:highlight w:val="none"/>
        </w:rPr>
        <w:t>② 项目经理简历表；</w:t>
      </w:r>
      <w:bookmarkEnd w:id="108"/>
    </w:p>
    <w:p w14:paraId="3A2AB486">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09" w:name="_Toc9272"/>
      <w:r>
        <w:rPr>
          <w:rFonts w:hint="eastAsia" w:asciiTheme="minorEastAsia" w:hAnsiTheme="minorEastAsia" w:eastAsiaTheme="minorEastAsia"/>
          <w:color w:val="auto"/>
          <w:sz w:val="24"/>
          <w:highlight w:val="none"/>
        </w:rPr>
        <w:t>③ 项目技术负责人简历表；</w:t>
      </w:r>
      <w:bookmarkEnd w:id="109"/>
    </w:p>
    <w:p w14:paraId="34E78203">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10" w:name="_Toc23826"/>
      <w:r>
        <w:rPr>
          <w:rFonts w:hint="eastAsia" w:asciiTheme="minorEastAsia" w:hAnsiTheme="minorEastAsia" w:eastAsiaTheme="minorEastAsia"/>
          <w:color w:val="auto"/>
          <w:sz w:val="24"/>
          <w:highlight w:val="none"/>
        </w:rPr>
        <w:t>④ 项目管理机构配置情况辅助说明资料。</w:t>
      </w:r>
      <w:bookmarkEnd w:id="110"/>
    </w:p>
    <w:p w14:paraId="08E2D7E3">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11" w:name="_Toc18708"/>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6）</w:t>
      </w:r>
      <w:r>
        <w:rPr>
          <w:rFonts w:hint="eastAsia" w:asciiTheme="minorEastAsia" w:hAnsiTheme="minorEastAsia" w:eastAsiaTheme="minorEastAsia"/>
          <w:color w:val="auto"/>
          <w:sz w:val="24"/>
          <w:highlight w:val="none"/>
        </w:rPr>
        <w:t>施工组织设计；（加盖供应商的电子签章）</w:t>
      </w:r>
      <w:bookmarkEnd w:id="111"/>
    </w:p>
    <w:p w14:paraId="5AF83BEA">
      <w:pPr>
        <w:pStyle w:val="44"/>
        <w:tabs>
          <w:tab w:val="left" w:pos="1972"/>
        </w:tabs>
        <w:spacing w:line="360" w:lineRule="auto"/>
        <w:ind w:left="0" w:firstLine="638" w:firstLineChars="266"/>
        <w:outlineLvl w:val="0"/>
        <w:rPr>
          <w:rFonts w:asciiTheme="minorEastAsia" w:hAnsiTheme="minorEastAsia" w:eastAsiaTheme="minorEastAsia"/>
          <w:color w:val="auto"/>
          <w:sz w:val="24"/>
          <w:highlight w:val="none"/>
        </w:rPr>
      </w:pPr>
      <w:bookmarkStart w:id="112" w:name="_Toc29130"/>
      <w:r>
        <w:rPr>
          <w:rFonts w:hint="eastAsia" w:asciiTheme="minorEastAsia" w:hAnsiTheme="minorEastAsia" w:eastAsiaTheme="minorEastAsia"/>
          <w:color w:val="auto"/>
          <w:sz w:val="24"/>
          <w:highlight w:val="none"/>
          <w:lang w:val="en-US"/>
        </w:rPr>
        <w:t>（7）供应商</w:t>
      </w:r>
      <w:r>
        <w:rPr>
          <w:rFonts w:hint="eastAsia" w:asciiTheme="minorEastAsia" w:hAnsiTheme="minorEastAsia" w:eastAsiaTheme="minorEastAsia"/>
          <w:color w:val="auto"/>
          <w:sz w:val="24"/>
          <w:highlight w:val="none"/>
        </w:rPr>
        <w:t>可结合本项目的评标办法视自身情况自行提交相关证明材料（</w:t>
      </w:r>
      <w:r>
        <w:rPr>
          <w:rFonts w:hint="eastAsia" w:asciiTheme="minorEastAsia" w:hAnsiTheme="minorEastAsia" w:eastAsiaTheme="minorEastAsia"/>
          <w:color w:val="auto"/>
          <w:sz w:val="24"/>
          <w:highlight w:val="none"/>
          <w:lang w:val="en-US"/>
        </w:rPr>
        <w:t>如业绩等[需列汇总表格]，</w:t>
      </w:r>
      <w:r>
        <w:rPr>
          <w:rFonts w:hint="eastAsia" w:asciiTheme="minorEastAsia" w:hAnsiTheme="minorEastAsia" w:eastAsiaTheme="minorEastAsia"/>
          <w:color w:val="auto"/>
          <w:sz w:val="24"/>
          <w:highlight w:val="none"/>
        </w:rPr>
        <w:t>如有，请提供）</w:t>
      </w:r>
      <w:bookmarkEnd w:id="112"/>
    </w:p>
    <w:p w14:paraId="7E7E25C6">
      <w:pPr>
        <w:spacing w:line="360" w:lineRule="auto"/>
        <w:ind w:firstLine="480" w:firstLineChars="200"/>
        <w:rPr>
          <w:rFonts w:asciiTheme="minorEastAsia" w:hAnsiTheme="minorEastAsia"/>
          <w:b/>
          <w:color w:val="auto"/>
          <w:sz w:val="24"/>
          <w:szCs w:val="24"/>
          <w:highlight w:val="none"/>
        </w:rPr>
      </w:pPr>
      <w:r>
        <w:rPr>
          <w:rFonts w:hint="eastAsia" w:asciiTheme="minorEastAsia" w:hAnsiTheme="minorEastAsia"/>
          <w:color w:val="auto"/>
          <w:sz w:val="24"/>
          <w:szCs w:val="24"/>
          <w:highlight w:val="none"/>
        </w:rPr>
        <w:t>▲</w:t>
      </w:r>
      <w:r>
        <w:rPr>
          <w:rFonts w:hint="eastAsia" w:asciiTheme="minorEastAsia" w:hAnsiTheme="minorEastAsia"/>
          <w:b/>
          <w:color w:val="auto"/>
          <w:sz w:val="24"/>
          <w:szCs w:val="24"/>
          <w:highlight w:val="none"/>
        </w:rPr>
        <w:t>特别说明：（1）电子磋商</w:t>
      </w:r>
      <w:r>
        <w:rPr>
          <w:rFonts w:asciiTheme="minorEastAsia" w:hAnsiTheme="minorEastAsia"/>
          <w:b/>
          <w:color w:val="auto"/>
          <w:sz w:val="24"/>
          <w:szCs w:val="24"/>
          <w:highlight w:val="none"/>
        </w:rPr>
        <w:t>响应文件中所须加盖公章部分均采用CA签章。若</w:t>
      </w:r>
      <w:r>
        <w:rPr>
          <w:rFonts w:hint="eastAsia" w:asciiTheme="minorEastAsia" w:hAnsiTheme="minorEastAsia"/>
          <w:b/>
          <w:color w:val="auto"/>
          <w:sz w:val="24"/>
          <w:szCs w:val="24"/>
          <w:highlight w:val="none"/>
        </w:rPr>
        <w:t>竞争性磋商响应文件</w:t>
      </w:r>
      <w:r>
        <w:rPr>
          <w:rFonts w:asciiTheme="minorEastAsia" w:hAnsiTheme="minorEastAsia"/>
          <w:b/>
          <w:color w:val="auto"/>
          <w:sz w:val="24"/>
          <w:szCs w:val="24"/>
          <w:highlight w:val="none"/>
        </w:rPr>
        <w:t>中有专门标注的某关联点</w:t>
      </w: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并要求供应商在电子投标系统中作出</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响应的，如供应商未对关联点进行响应或者在响应文件其它内容进行描述，造成电子评审不能查询的责任由供应商自行承担。</w:t>
      </w:r>
    </w:p>
    <w:p w14:paraId="4A0438A6">
      <w:pPr>
        <w:spacing w:line="360" w:lineRule="auto"/>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2</w:t>
      </w:r>
      <w:r>
        <w:rPr>
          <w:rFonts w:hint="eastAsia" w:asciiTheme="minorEastAsia" w:hAnsiTheme="minorEastAsia"/>
          <w:b/>
          <w:color w:val="auto"/>
          <w:sz w:val="24"/>
          <w:szCs w:val="24"/>
          <w:highlight w:val="none"/>
        </w:rPr>
        <w:t>）竞争性磋商文件要求提供的的各种复印件，须加盖磋商供应商CA签章，否则其磋商无效。</w:t>
      </w:r>
    </w:p>
    <w:p w14:paraId="7CF18BA3">
      <w:pPr>
        <w:spacing w:line="360" w:lineRule="auto"/>
        <w:rPr>
          <w:rFonts w:asciiTheme="minorEastAsia" w:hAnsiTheme="minorEastAsia"/>
          <w:b/>
          <w:color w:val="auto"/>
          <w:sz w:val="24"/>
          <w:szCs w:val="24"/>
          <w:highlight w:val="none"/>
        </w:rPr>
      </w:pP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3</w:t>
      </w:r>
      <w:r>
        <w:rPr>
          <w:rFonts w:hint="eastAsia" w:asciiTheme="minorEastAsia" w:hAnsiTheme="minorEastAsia"/>
          <w:b/>
          <w:color w:val="auto"/>
          <w:sz w:val="24"/>
          <w:szCs w:val="24"/>
          <w:highlight w:val="none"/>
        </w:rPr>
        <w:t>）竞争性磋商文件要求“必须提供”的证明等材料，磋商供应商必须全部提供，缺一不可，否则磋商无效。</w:t>
      </w:r>
    </w:p>
    <w:p w14:paraId="0970F412">
      <w:pPr>
        <w:spacing w:line="360" w:lineRule="auto"/>
        <w:rPr>
          <w:rFonts w:asciiTheme="minorEastAsia" w:hAnsiTheme="minorEastAsia"/>
          <w:color w:val="auto"/>
          <w:sz w:val="24"/>
          <w:szCs w:val="24"/>
          <w:highlight w:val="none"/>
        </w:rPr>
      </w:pPr>
      <w:r>
        <w:rPr>
          <w:rFonts w:hint="eastAsia" w:asciiTheme="minorEastAsia" w:hAnsiTheme="minorEastAsia"/>
          <w:b/>
          <w:color w:val="auto"/>
          <w:sz w:val="24"/>
          <w:szCs w:val="24"/>
          <w:highlight w:val="none"/>
        </w:rPr>
        <w:t>（4）竞争性磋商文件要求法定代表人（负责人）或委托代理人签字的部分必须签字</w:t>
      </w:r>
      <w:r>
        <w:rPr>
          <w:rFonts w:hint="eastAsia" w:asciiTheme="minorEastAsia" w:hAnsiTheme="minorEastAsia"/>
          <w:b/>
          <w:color w:val="auto"/>
          <w:sz w:val="24"/>
          <w:szCs w:val="24"/>
          <w:highlight w:val="none"/>
          <w:lang w:val="en-US" w:eastAsia="zh-CN"/>
        </w:rPr>
        <w:t>或盖章，否则</w:t>
      </w:r>
      <w:r>
        <w:rPr>
          <w:rFonts w:hint="eastAsia" w:asciiTheme="minorEastAsia" w:hAnsiTheme="minorEastAsia"/>
          <w:b/>
          <w:color w:val="auto"/>
          <w:sz w:val="24"/>
          <w:szCs w:val="24"/>
          <w:highlight w:val="none"/>
        </w:rPr>
        <w:t>视为磋商无效。</w:t>
      </w:r>
    </w:p>
    <w:p w14:paraId="44BABF88">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13" w:name="_Toc14611"/>
      <w:bookmarkStart w:id="114" w:name="_Toc243584246"/>
      <w:r>
        <w:rPr>
          <w:rFonts w:hint="eastAsia" w:asciiTheme="minorEastAsia" w:hAnsiTheme="minorEastAsia" w:eastAsiaTheme="minorEastAsia" w:cstheme="minorEastAsia"/>
          <w:color w:val="auto"/>
          <w:kern w:val="0"/>
          <w:sz w:val="24"/>
          <w:szCs w:val="24"/>
          <w:highlight w:val="none"/>
        </w:rPr>
        <w:t>12. 响应文件格式</w:t>
      </w:r>
      <w:bookmarkEnd w:id="99"/>
      <w:bookmarkEnd w:id="100"/>
      <w:bookmarkEnd w:id="113"/>
      <w:bookmarkEnd w:id="114"/>
    </w:p>
    <w:p w14:paraId="6C3460AB">
      <w:pPr>
        <w:spacing w:line="360" w:lineRule="auto"/>
        <w:ind w:firstLine="48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12.1  响应文件包括本须知第11条规定的内容，除特别注明者外，供应商提交的响应文件应当使用竞争性磋商采购文件所提供的全部格式（表格可以按同样格式扩展）。</w:t>
      </w:r>
      <w:bookmarkStart w:id="115" w:name="_Toc23582298"/>
      <w:bookmarkStart w:id="116" w:name="_Toc74156199"/>
      <w:bookmarkStart w:id="117" w:name="_Toc5008"/>
      <w:bookmarkStart w:id="118" w:name="_Toc142383021"/>
      <w:bookmarkStart w:id="119" w:name="_Toc243584247"/>
      <w:bookmarkStart w:id="120" w:name="_Toc29153327"/>
    </w:p>
    <w:p w14:paraId="3804019C">
      <w:pPr>
        <w:spacing w:line="360" w:lineRule="auto"/>
        <w:ind w:firstLine="480"/>
        <w:rPr>
          <w:rFonts w:asciiTheme="minorEastAsia" w:hAnsiTheme="minorEastAsia" w:cstheme="minorEastAsia"/>
          <w:b/>
          <w:bCs/>
          <w:color w:val="auto"/>
          <w:sz w:val="24"/>
          <w:szCs w:val="24"/>
          <w:highlight w:val="none"/>
        </w:rPr>
      </w:pPr>
      <w:r>
        <w:rPr>
          <w:rFonts w:hint="eastAsia" w:asciiTheme="minorEastAsia" w:hAnsiTheme="minorEastAsia" w:cstheme="minorEastAsia"/>
          <w:b/>
          <w:bCs/>
          <w:color w:val="auto"/>
          <w:sz w:val="24"/>
          <w:szCs w:val="24"/>
          <w:highlight w:val="none"/>
        </w:rPr>
        <w:t xml:space="preserve">13. </w:t>
      </w:r>
      <w:bookmarkEnd w:id="115"/>
      <w:r>
        <w:rPr>
          <w:rFonts w:hint="eastAsia" w:asciiTheme="minorEastAsia" w:hAnsiTheme="minorEastAsia" w:cstheme="minorEastAsia"/>
          <w:b/>
          <w:bCs/>
          <w:color w:val="auto"/>
          <w:sz w:val="24"/>
          <w:szCs w:val="24"/>
          <w:highlight w:val="none"/>
        </w:rPr>
        <w:t>磋商报价</w:t>
      </w:r>
      <w:bookmarkEnd w:id="116"/>
      <w:r>
        <w:rPr>
          <w:rFonts w:hint="eastAsia" w:asciiTheme="minorEastAsia" w:hAnsiTheme="minorEastAsia" w:cstheme="minorEastAsia"/>
          <w:b/>
          <w:bCs/>
          <w:color w:val="auto"/>
          <w:sz w:val="24"/>
          <w:szCs w:val="24"/>
          <w:highlight w:val="none"/>
        </w:rPr>
        <w:t>及工程</w:t>
      </w:r>
      <w:bookmarkEnd w:id="117"/>
      <w:bookmarkEnd w:id="118"/>
      <w:bookmarkEnd w:id="119"/>
      <w:bookmarkEnd w:id="120"/>
      <w:r>
        <w:rPr>
          <w:rFonts w:hint="eastAsia" w:asciiTheme="minorEastAsia" w:hAnsiTheme="minorEastAsia" w:cstheme="minorEastAsia"/>
          <w:b/>
          <w:bCs/>
          <w:color w:val="auto"/>
          <w:sz w:val="24"/>
          <w:szCs w:val="24"/>
          <w:highlight w:val="none"/>
        </w:rPr>
        <w:t>招标控制价</w:t>
      </w:r>
    </w:p>
    <w:p w14:paraId="0339F67A">
      <w:pPr>
        <w:spacing w:line="360" w:lineRule="auto"/>
        <w:ind w:firstLine="480"/>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13.1  磋商报价</w:t>
      </w:r>
    </w:p>
    <w:p w14:paraId="187308B6">
      <w:pPr>
        <w:tabs>
          <w:tab w:val="left" w:pos="2160"/>
        </w:tabs>
        <w:adjustRightInd w:val="0"/>
        <w:spacing w:line="360" w:lineRule="auto"/>
        <w:ind w:right="84" w:firstLine="482" w:firstLineChars="200"/>
        <w:rPr>
          <w:rFonts w:asciiTheme="minorEastAsia" w:hAnsiTheme="minorEastAsia" w:cstheme="minorEastAsia"/>
          <w:bCs/>
          <w:color w:val="auto"/>
          <w:kern w:val="0"/>
          <w:sz w:val="24"/>
          <w:szCs w:val="24"/>
          <w:highlight w:val="none"/>
        </w:rPr>
      </w:pPr>
      <w:r>
        <w:rPr>
          <w:rFonts w:hint="eastAsia" w:asciiTheme="minorEastAsia" w:hAnsiTheme="minorEastAsia" w:cstheme="minorEastAsia"/>
          <w:b/>
          <w:color w:val="auto"/>
          <w:kern w:val="0"/>
          <w:sz w:val="24"/>
          <w:szCs w:val="24"/>
          <w:highlight w:val="none"/>
        </w:rPr>
        <w:t>本项目的报价要求为二次报价。</w:t>
      </w:r>
      <w:r>
        <w:rPr>
          <w:rFonts w:hint="eastAsia" w:asciiTheme="minorEastAsia" w:hAnsiTheme="minorEastAsia" w:cstheme="minorEastAsia"/>
          <w:bCs/>
          <w:color w:val="auto"/>
          <w:kern w:val="0"/>
          <w:sz w:val="24"/>
          <w:szCs w:val="24"/>
          <w:highlight w:val="none"/>
        </w:rPr>
        <w:t>磋商小组以磋商供应商所提交的响应文件为依据，在各磋商供应商的资格条件、响应文件均响应竞争性磋商采购文件的各项要求，磋商报价均在有效报价范围内的前提下，磋商小组将组织对报价进行谈判。</w:t>
      </w:r>
    </w:p>
    <w:p w14:paraId="1068AD38">
      <w:pPr>
        <w:spacing w:line="360" w:lineRule="auto"/>
        <w:ind w:firstLine="48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13.1.1  本工程采用包工包料，综合单价固定，总价</w:t>
      </w:r>
      <w:r>
        <w:rPr>
          <w:rFonts w:hint="eastAsia" w:asciiTheme="minorEastAsia" w:hAnsiTheme="minorEastAsia" w:cstheme="minorEastAsia"/>
          <w:color w:val="auto"/>
          <w:kern w:val="0"/>
          <w:sz w:val="24"/>
          <w:szCs w:val="24"/>
          <w:highlight w:val="none"/>
          <w:lang w:val="en-US" w:eastAsia="zh-CN"/>
        </w:rPr>
        <w:t>可调</w:t>
      </w:r>
      <w:r>
        <w:rPr>
          <w:rFonts w:hint="eastAsia" w:asciiTheme="minorEastAsia" w:hAnsiTheme="minorEastAsia" w:cstheme="minorEastAsia"/>
          <w:color w:val="auto"/>
          <w:kern w:val="0"/>
          <w:sz w:val="24"/>
          <w:szCs w:val="24"/>
          <w:highlight w:val="none"/>
        </w:rPr>
        <w:t>。</w:t>
      </w:r>
    </w:p>
    <w:p w14:paraId="52B2039C">
      <w:pPr>
        <w:tabs>
          <w:tab w:val="left" w:pos="2160"/>
        </w:tabs>
        <w:adjustRightInd w:val="0"/>
        <w:spacing w:line="360" w:lineRule="auto"/>
        <w:ind w:right="84"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13.1.2  磋商报价为供应商在响应文件中提出的各项支付金额的总和。</w:t>
      </w:r>
    </w:p>
    <w:p w14:paraId="48F0659E">
      <w:pPr>
        <w:tabs>
          <w:tab w:val="left" w:pos="2160"/>
        </w:tabs>
        <w:adjustRightInd w:val="0"/>
        <w:spacing w:line="360" w:lineRule="auto"/>
        <w:ind w:right="84"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13.1.3  供应商的磋商报价，应以在要求工期内完成本采购工程工程量清单范围的全部内容为依据，不得以任何理由得复计复。</w:t>
      </w:r>
    </w:p>
    <w:p w14:paraId="42EB6B16">
      <w:pPr>
        <w:tabs>
          <w:tab w:val="left" w:pos="2160"/>
        </w:tabs>
        <w:adjustRightInd w:val="0"/>
        <w:spacing w:line="360" w:lineRule="auto"/>
        <w:ind w:right="70"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13.1.4  除非采购人对竞争性磋商采购文件进行修改，供应商应按采购人提供的工程量清单中列出工程项目和工程量填报单价和合价。每一项目只允许有一个报价。任何有选择的报价将不予接受。供应商未填报单价或合价的工程项目，承包人必须实施且在实施后，采购人将不予支付，并视为该项费用已包括在其他有价款的单价或合价内。无工程量的项目不能报价，否则作无效标处理。</w:t>
      </w:r>
    </w:p>
    <w:p w14:paraId="72F89E86">
      <w:pPr>
        <w:tabs>
          <w:tab w:val="left" w:pos="2160"/>
        </w:tabs>
        <w:adjustRightInd w:val="0"/>
        <w:spacing w:line="360" w:lineRule="auto"/>
        <w:ind w:right="84" w:firstLine="547" w:firstLineChars="228"/>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 xml:space="preserve"> 13.1.5 供应商工程量清单总报价应包括完成该工程项目的成本、利润、税金、技术措施费、大型机械进出场费、风险费、一般性检测费、政策性文件规定费用等所有费用。供应商所填报的综合单价在合同实施期间不因市场价格变化因素而变动，供应商在报价时应考虑各种风险和承受能力。</w:t>
      </w:r>
    </w:p>
    <w:p w14:paraId="77C01939">
      <w:pPr>
        <w:tabs>
          <w:tab w:val="left" w:pos="2160"/>
        </w:tabs>
        <w:adjustRightInd w:val="0"/>
        <w:spacing w:line="360" w:lineRule="auto"/>
        <w:ind w:right="84"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13.1.6  供应商应先到工地踏勘以充分了解工地位置、情况、道路、储存空间、装卸限制及任何其他足以影响承包价的情况，任何因忽视或误解工地情况而导致的索赔或工期延长申请将不获批准。</w:t>
      </w:r>
    </w:p>
    <w:p w14:paraId="3D55AEB1">
      <w:pPr>
        <w:spacing w:line="360" w:lineRule="auto"/>
        <w:ind w:firstLine="480" w:firstLineChars="200"/>
        <w:rPr>
          <w:rFonts w:asciiTheme="minorEastAsia" w:hAnsiTheme="minorEastAsia"/>
          <w:color w:val="auto"/>
          <w:sz w:val="24"/>
          <w:szCs w:val="24"/>
          <w:highlight w:val="none"/>
        </w:rPr>
      </w:pPr>
      <w:r>
        <w:rPr>
          <w:rFonts w:hint="eastAsia" w:asciiTheme="minorEastAsia" w:hAnsiTheme="minorEastAsia" w:cstheme="minorEastAsia"/>
          <w:color w:val="auto"/>
          <w:sz w:val="24"/>
          <w:szCs w:val="24"/>
          <w:highlight w:val="none"/>
        </w:rPr>
        <w:t>13.1.7  承包人的临时占地（含预制厂、料厂、拌和站、借弃土场、项目部驻地等）租用费（含拆迁补偿）、临时用地的环保、恢复及所有临时性占地的青苗补偿及地面附着物补偿发生的费用均由承包人负责；由于承包人原因引起工期延长造成承包人临时占地的租用费增加由承包人负责并在磋商报价中综合考虑。采购人不提供取土点、弃土点，有关土石方挖、填、弃的超运、场地恢复、道路修复、土石方平整、压实、检测等一切作业以及运输过程中所发生的一切费用均应考虑在相关单价中，以综合单价包干。土石方按市场报价，土石方运距由供应商按所能承受能力自行考虑。</w:t>
      </w:r>
    </w:p>
    <w:p w14:paraId="3D00EEC8">
      <w:pPr>
        <w:tabs>
          <w:tab w:val="left" w:pos="2160"/>
        </w:tabs>
        <w:adjustRightInd w:val="0"/>
        <w:spacing w:line="360" w:lineRule="auto"/>
        <w:ind w:right="84"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13.1.8  承包人承担本工程所需配备的水电设备（如变压器、电路等）及其使用（如施工用水电费用）、维护、拆除、修复等费用由承包人负责。以上费用在磋商报价中综合考虑。</w:t>
      </w:r>
    </w:p>
    <w:p w14:paraId="5039C1BE">
      <w:pPr>
        <w:tabs>
          <w:tab w:val="left" w:pos="2160"/>
        </w:tabs>
        <w:adjustRightInd w:val="0"/>
        <w:spacing w:line="360" w:lineRule="auto"/>
        <w:ind w:right="84"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kern w:val="0"/>
          <w:sz w:val="24"/>
          <w:szCs w:val="24"/>
          <w:highlight w:val="none"/>
        </w:rPr>
        <w:t xml:space="preserve">13.1.9  </w:t>
      </w:r>
      <w:r>
        <w:rPr>
          <w:rFonts w:hint="eastAsia" w:asciiTheme="minorEastAsia" w:hAnsiTheme="minorEastAsia" w:cstheme="minorEastAsia"/>
          <w:color w:val="auto"/>
          <w:sz w:val="24"/>
          <w:szCs w:val="24"/>
          <w:highlight w:val="none"/>
        </w:rPr>
        <w:t>与本采购工程项目有关的技术规范要求的费用应包括在磋商报价中。</w:t>
      </w:r>
    </w:p>
    <w:p w14:paraId="5659DAB2">
      <w:pPr>
        <w:tabs>
          <w:tab w:val="left" w:pos="2160"/>
        </w:tabs>
        <w:adjustRightInd w:val="0"/>
        <w:spacing w:line="360" w:lineRule="auto"/>
        <w:ind w:right="85"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sz w:val="24"/>
          <w:szCs w:val="24"/>
          <w:highlight w:val="none"/>
        </w:rPr>
        <w:t xml:space="preserve">13.1.10 </w:t>
      </w:r>
      <w:r>
        <w:rPr>
          <w:rFonts w:hint="eastAsia" w:asciiTheme="minorEastAsia" w:hAnsiTheme="minorEastAsia" w:cstheme="minorEastAsia"/>
          <w:color w:val="auto"/>
          <w:kern w:val="0"/>
          <w:sz w:val="24"/>
          <w:szCs w:val="24"/>
          <w:highlight w:val="none"/>
        </w:rPr>
        <w:t>供应商应按照采购人提供的工程量清单进行报价，并要求所填写的</w:t>
      </w:r>
      <w:r>
        <w:rPr>
          <w:rFonts w:hint="eastAsia" w:asciiTheme="minorEastAsia" w:hAnsiTheme="minorEastAsia" w:cstheme="minorEastAsia"/>
          <w:bCs/>
          <w:color w:val="auto"/>
          <w:sz w:val="24"/>
          <w:szCs w:val="24"/>
          <w:highlight w:val="none"/>
        </w:rPr>
        <w:t>项目编号、项目名称、计量单位、工程数量负责</w:t>
      </w:r>
      <w:r>
        <w:rPr>
          <w:rFonts w:hint="eastAsia" w:asciiTheme="minorEastAsia" w:hAnsiTheme="minorEastAsia" w:cstheme="minorEastAsia"/>
          <w:color w:val="auto"/>
          <w:kern w:val="0"/>
          <w:sz w:val="24"/>
          <w:szCs w:val="24"/>
          <w:highlight w:val="none"/>
        </w:rPr>
        <w:t>。</w:t>
      </w:r>
      <w:r>
        <w:rPr>
          <w:rFonts w:hint="eastAsia" w:asciiTheme="minorEastAsia" w:hAnsiTheme="minorEastAsia" w:cstheme="minorEastAsia"/>
          <w:b/>
          <w:bCs/>
          <w:color w:val="auto"/>
          <w:sz w:val="24"/>
          <w:szCs w:val="24"/>
          <w:highlight w:val="none"/>
        </w:rPr>
        <w:t>工程量清单报价有关资料，应逐页加盖供应商公章，否则磋商无效。</w:t>
      </w:r>
      <w:r>
        <w:rPr>
          <w:rFonts w:hint="eastAsia" w:asciiTheme="minorEastAsia" w:hAnsiTheme="minorEastAsia" w:cstheme="minorEastAsia"/>
          <w:color w:val="auto"/>
          <w:sz w:val="24"/>
          <w:szCs w:val="24"/>
          <w:highlight w:val="none"/>
        </w:rPr>
        <w:t>评标时，</w:t>
      </w:r>
      <w:r>
        <w:rPr>
          <w:rFonts w:hint="eastAsia" w:asciiTheme="minorEastAsia" w:hAnsiTheme="minorEastAsia" w:cstheme="minorEastAsia"/>
          <w:bCs/>
          <w:color w:val="auto"/>
          <w:sz w:val="24"/>
          <w:szCs w:val="24"/>
          <w:highlight w:val="none"/>
        </w:rPr>
        <w:t>如项目编号与项目名称不一致，以项目编号为准；如项目编号与计量单位、工程数量无法一一对应，该清单项目作废，该清单项目的费用视为包含在其它清单项目中；如作废的清单项目达到3项以上（含3项）或作废的清单项目造价累计超过单位工程磋商报价的2%（含2%），</w:t>
      </w:r>
      <w:r>
        <w:rPr>
          <w:rFonts w:hint="eastAsia" w:asciiTheme="minorEastAsia" w:hAnsiTheme="minorEastAsia" w:cstheme="minorEastAsia"/>
          <w:color w:val="auto"/>
          <w:kern w:val="0"/>
          <w:sz w:val="24"/>
          <w:szCs w:val="24"/>
          <w:highlight w:val="none"/>
        </w:rPr>
        <w:t>视为不响应</w:t>
      </w:r>
      <w:r>
        <w:rPr>
          <w:rFonts w:hint="eastAsia" w:asciiTheme="minorEastAsia" w:hAnsiTheme="minorEastAsia" w:cstheme="minorEastAsia"/>
          <w:bCs/>
          <w:color w:val="auto"/>
          <w:sz w:val="24"/>
          <w:szCs w:val="24"/>
          <w:highlight w:val="none"/>
        </w:rPr>
        <w:t>竞争性磋商</w:t>
      </w:r>
      <w:r>
        <w:rPr>
          <w:rFonts w:hint="eastAsia" w:asciiTheme="minorEastAsia" w:hAnsiTheme="minorEastAsia" w:cstheme="minorEastAsia"/>
          <w:color w:val="auto"/>
          <w:kern w:val="0"/>
          <w:sz w:val="24"/>
          <w:szCs w:val="24"/>
          <w:highlight w:val="none"/>
        </w:rPr>
        <w:t>采购文件实质内容，作废标处理。</w:t>
      </w:r>
    </w:p>
    <w:p w14:paraId="70BB4076">
      <w:pPr>
        <w:pStyle w:val="35"/>
        <w:spacing w:before="0" w:after="0" w:line="360" w:lineRule="auto"/>
        <w:rPr>
          <w:rFonts w:asciiTheme="minorEastAsia" w:hAnsiTheme="minorEastAsia"/>
          <w:color w:val="auto"/>
          <w:spacing w:val="0"/>
          <w:szCs w:val="24"/>
          <w:highlight w:val="none"/>
        </w:rPr>
      </w:pPr>
      <w:r>
        <w:rPr>
          <w:rFonts w:hint="eastAsia" w:asciiTheme="minorEastAsia" w:hAnsiTheme="minorEastAsia" w:cstheme="minorEastAsia"/>
          <w:bCs w:val="0"/>
          <w:color w:val="auto"/>
          <w:spacing w:val="0"/>
          <w:szCs w:val="24"/>
          <w:highlight w:val="none"/>
        </w:rPr>
        <w:t xml:space="preserve">    13.1.11 供应商应采用综合单价进行工程量清单报价，不得采用总价让利或以百分比让利等形式报价。工程量清单总造价与磋商函中文字表示的磋商报价不相符的，作无效标处理。</w:t>
      </w:r>
      <w:r>
        <w:rPr>
          <w:rFonts w:hint="eastAsia" w:asciiTheme="minorEastAsia" w:hAnsiTheme="minorEastAsia" w:cstheme="minorEastAsia"/>
          <w:b/>
          <w:color w:val="auto"/>
          <w:spacing w:val="0"/>
          <w:szCs w:val="24"/>
          <w:highlight w:val="none"/>
        </w:rPr>
        <w:t>如在磋商报价过程中，供应商最终报价发生变化时，须提供相应的工程量清单报价表</w:t>
      </w:r>
      <w:r>
        <w:rPr>
          <w:rFonts w:hint="eastAsia" w:asciiTheme="minorEastAsia" w:hAnsiTheme="minorEastAsia" w:cstheme="minorEastAsia"/>
          <w:bCs w:val="0"/>
          <w:color w:val="auto"/>
          <w:spacing w:val="0"/>
          <w:szCs w:val="24"/>
          <w:highlight w:val="none"/>
        </w:rPr>
        <w:t>，否则属无效报价处理。</w:t>
      </w:r>
    </w:p>
    <w:p w14:paraId="36E3727B">
      <w:pPr>
        <w:tabs>
          <w:tab w:val="left" w:pos="2160"/>
        </w:tabs>
        <w:adjustRightInd w:val="0"/>
        <w:spacing w:line="360" w:lineRule="auto"/>
        <w:ind w:right="85" w:firstLine="549" w:firstLineChars="228"/>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13.2  工程招标控制价及磋商报价计算参考依据</w:t>
      </w:r>
    </w:p>
    <w:p w14:paraId="5877ED55">
      <w:pPr>
        <w:tabs>
          <w:tab w:val="left" w:pos="2160"/>
        </w:tabs>
        <w:adjustRightInd w:val="0"/>
        <w:spacing w:line="360" w:lineRule="auto"/>
        <w:ind w:right="85" w:firstLine="542" w:firstLineChars="226"/>
        <w:rPr>
          <w:rFonts w:asciiTheme="minorEastAsia" w:hAnsiTheme="minorEastAsia" w:cstheme="minorEastAsia"/>
          <w:bCs/>
          <w:color w:val="auto"/>
          <w:kern w:val="0"/>
          <w:sz w:val="24"/>
          <w:szCs w:val="24"/>
          <w:highlight w:val="none"/>
        </w:rPr>
      </w:pPr>
      <w:r>
        <w:rPr>
          <w:rFonts w:hint="eastAsia" w:asciiTheme="minorEastAsia" w:hAnsiTheme="minorEastAsia" w:cstheme="minorEastAsia"/>
          <w:bCs/>
          <w:color w:val="auto"/>
          <w:kern w:val="0"/>
          <w:sz w:val="24"/>
          <w:szCs w:val="24"/>
          <w:highlight w:val="none"/>
        </w:rPr>
        <w:t>13.2.1  计算参考依据：详见工程量清单。</w:t>
      </w:r>
    </w:p>
    <w:p w14:paraId="40F34B02">
      <w:pPr>
        <w:tabs>
          <w:tab w:val="left" w:pos="2160"/>
        </w:tabs>
        <w:adjustRightInd w:val="0"/>
        <w:spacing w:line="360" w:lineRule="auto"/>
        <w:ind w:right="85" w:firstLine="482" w:firstLineChars="200"/>
        <w:rPr>
          <w:rFonts w:asciiTheme="minorEastAsia" w:hAnsiTheme="minorEastAsia" w:cstheme="minorEastAsia"/>
          <w:b/>
          <w:color w:val="auto"/>
          <w:sz w:val="24"/>
          <w:szCs w:val="24"/>
          <w:highlight w:val="none"/>
        </w:rPr>
      </w:pPr>
      <w:r>
        <w:rPr>
          <w:rFonts w:hint="eastAsia" w:asciiTheme="minorEastAsia" w:hAnsiTheme="minorEastAsia" w:cstheme="minorEastAsia"/>
          <w:b/>
          <w:color w:val="auto"/>
          <w:kern w:val="0"/>
          <w:sz w:val="24"/>
          <w:szCs w:val="24"/>
          <w:highlight w:val="none"/>
        </w:rPr>
        <w:t>13.3  工</w:t>
      </w:r>
      <w:r>
        <w:rPr>
          <w:rFonts w:hint="eastAsia" w:asciiTheme="minorEastAsia" w:hAnsiTheme="minorEastAsia" w:cstheme="minorEastAsia"/>
          <w:b/>
          <w:color w:val="auto"/>
          <w:sz w:val="24"/>
          <w:szCs w:val="24"/>
          <w:highlight w:val="none"/>
        </w:rPr>
        <w:t>程招标控制价</w:t>
      </w:r>
    </w:p>
    <w:p w14:paraId="6F6E417C">
      <w:pPr>
        <w:tabs>
          <w:tab w:val="left" w:pos="2160"/>
        </w:tabs>
        <w:adjustRightInd w:val="0"/>
        <w:spacing w:line="360" w:lineRule="auto"/>
        <w:ind w:right="85" w:firstLine="420" w:firstLineChars="175"/>
        <w:rPr>
          <w:rFonts w:asciiTheme="minorEastAsia" w:hAnsiTheme="minorEastAsia" w:cstheme="minorEastAsia"/>
          <w:bCs/>
          <w:color w:val="auto"/>
          <w:kern w:val="0"/>
          <w:sz w:val="24"/>
          <w:szCs w:val="24"/>
          <w:highlight w:val="none"/>
        </w:rPr>
      </w:pPr>
      <w:r>
        <w:rPr>
          <w:rFonts w:hint="eastAsia" w:asciiTheme="minorEastAsia" w:hAnsiTheme="minorEastAsia" w:cstheme="minorEastAsia"/>
          <w:color w:val="auto"/>
          <w:sz w:val="24"/>
          <w:szCs w:val="24"/>
          <w:highlight w:val="none"/>
        </w:rPr>
        <w:t>13.3.1</w:t>
      </w:r>
      <w:r>
        <w:rPr>
          <w:rFonts w:hint="eastAsia" w:asciiTheme="minorEastAsia" w:hAnsiTheme="minorEastAsia" w:cstheme="minorEastAsia"/>
          <w:b w:val="0"/>
          <w:bCs w:val="0"/>
          <w:color w:val="auto"/>
          <w:sz w:val="24"/>
          <w:szCs w:val="24"/>
          <w:highlight w:val="none"/>
        </w:rPr>
        <w:t xml:space="preserve"> </w:t>
      </w:r>
      <w:r>
        <w:rPr>
          <w:rFonts w:hint="eastAsia" w:asciiTheme="minorEastAsia" w:hAnsiTheme="minorEastAsia" w:cstheme="minorEastAsia"/>
          <w:bCs/>
          <w:color w:val="auto"/>
          <w:kern w:val="0"/>
          <w:sz w:val="24"/>
          <w:szCs w:val="24"/>
          <w:highlight w:val="none"/>
        </w:rPr>
        <w:t>供应商应认真对照施工设计图纸等文件核对采购人公布的工程招标控制价，如发现工程招标控制价的计算存在误差或有遗漏的，必须在规定的时间</w:t>
      </w:r>
      <w:r>
        <w:rPr>
          <w:rFonts w:hint="eastAsia" w:asciiTheme="minorEastAsia" w:hAnsiTheme="minorEastAsia" w:cstheme="minorEastAsia"/>
          <w:color w:val="auto"/>
          <w:sz w:val="24"/>
          <w:szCs w:val="24"/>
          <w:highlight w:val="none"/>
        </w:rPr>
        <w:t>内</w:t>
      </w:r>
      <w:r>
        <w:rPr>
          <w:rFonts w:hint="eastAsia" w:asciiTheme="minorEastAsia" w:hAnsiTheme="minorEastAsia" w:cstheme="minorEastAsia"/>
          <w:bCs/>
          <w:color w:val="auto"/>
          <w:kern w:val="0"/>
          <w:sz w:val="24"/>
          <w:szCs w:val="24"/>
          <w:highlight w:val="none"/>
        </w:rPr>
        <w:t>向采购人提出书面异议或修正要求。采购人将对供应商提出的书面异议或修正要求进行核实。如采购人认为有必要对工程招标控制价进行修正的，在提交采购文件截止时间5日前将重新公布修正后的工程招标控制价。</w:t>
      </w:r>
    </w:p>
    <w:p w14:paraId="61B642AB">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21" w:name="_Toc243584248"/>
      <w:bookmarkStart w:id="122" w:name="_Toc6973"/>
      <w:bookmarkStart w:id="123" w:name="_Toc29153328"/>
      <w:bookmarkStart w:id="124" w:name="_Toc74156200"/>
      <w:r>
        <w:rPr>
          <w:rFonts w:hint="eastAsia" w:asciiTheme="minorEastAsia" w:hAnsiTheme="minorEastAsia" w:eastAsiaTheme="minorEastAsia" w:cstheme="minorEastAsia"/>
          <w:color w:val="auto"/>
          <w:kern w:val="0"/>
          <w:sz w:val="24"/>
          <w:szCs w:val="24"/>
          <w:highlight w:val="none"/>
        </w:rPr>
        <w:t>14. 磋商货币</w:t>
      </w:r>
      <w:bookmarkEnd w:id="121"/>
      <w:bookmarkEnd w:id="122"/>
      <w:bookmarkEnd w:id="123"/>
      <w:bookmarkEnd w:id="124"/>
    </w:p>
    <w:p w14:paraId="79C320AF">
      <w:pPr>
        <w:pStyle w:val="12"/>
        <w:autoSpaceDE/>
        <w:autoSpaceDN/>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14.1  本工程磋商报价采用的币种为:人民币</w:t>
      </w:r>
    </w:p>
    <w:p w14:paraId="04CF5E72">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25" w:name="_Toc74156201"/>
      <w:bookmarkStart w:id="126" w:name="_Toc243584249"/>
      <w:bookmarkStart w:id="127" w:name="_Toc23046679"/>
      <w:bookmarkStart w:id="128" w:name="_Toc23152573"/>
      <w:bookmarkStart w:id="129" w:name="_Toc29153329"/>
      <w:bookmarkStart w:id="130" w:name="_Toc514238603"/>
      <w:bookmarkStart w:id="131" w:name="_Toc23542"/>
      <w:r>
        <w:rPr>
          <w:rFonts w:hint="eastAsia" w:asciiTheme="minorEastAsia" w:hAnsiTheme="minorEastAsia" w:eastAsiaTheme="minorEastAsia" w:cstheme="minorEastAsia"/>
          <w:color w:val="auto"/>
          <w:kern w:val="0"/>
          <w:sz w:val="24"/>
          <w:szCs w:val="24"/>
          <w:highlight w:val="none"/>
        </w:rPr>
        <w:t>15. 磋商有效期</w:t>
      </w:r>
      <w:bookmarkEnd w:id="125"/>
      <w:bookmarkEnd w:id="126"/>
      <w:bookmarkEnd w:id="127"/>
      <w:bookmarkEnd w:id="128"/>
      <w:bookmarkEnd w:id="129"/>
      <w:bookmarkEnd w:id="130"/>
      <w:bookmarkEnd w:id="131"/>
    </w:p>
    <w:p w14:paraId="3158426E">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15.1  磋商有效期为提交响应文件截止之日起</w:t>
      </w:r>
      <w:r>
        <w:rPr>
          <w:rFonts w:hint="eastAsia" w:asciiTheme="minorEastAsia" w:hAnsiTheme="minorEastAsia" w:cstheme="minorEastAsia"/>
          <w:bCs/>
          <w:color w:val="auto"/>
          <w:kern w:val="0"/>
          <w:sz w:val="24"/>
          <w:szCs w:val="24"/>
          <w:highlight w:val="none"/>
          <w:u w:val="single"/>
        </w:rPr>
        <w:t>60</w:t>
      </w:r>
      <w:r>
        <w:rPr>
          <w:rFonts w:hint="eastAsia" w:asciiTheme="minorEastAsia" w:hAnsiTheme="minorEastAsia" w:cstheme="minorEastAsia"/>
          <w:color w:val="auto"/>
          <w:kern w:val="0"/>
          <w:sz w:val="24"/>
          <w:szCs w:val="24"/>
          <w:highlight w:val="none"/>
        </w:rPr>
        <w:t>日内。在此期间，凡符合本竞争性磋商采购文件要求的响应文件均保持有效。</w:t>
      </w:r>
    </w:p>
    <w:p w14:paraId="5CB50EB7">
      <w:pPr>
        <w:adjustRightInd w:val="0"/>
        <w:spacing w:line="360"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kern w:val="0"/>
          <w:sz w:val="24"/>
          <w:szCs w:val="24"/>
          <w:highlight w:val="none"/>
        </w:rPr>
        <w:t>15.2  在特殊情况下，采购人在原定磋商有效期内，可以根据需要以书面形式向供应商提出延长磋商有效期的要求，对此要求供应商须以书面形式予以答复。供应商可以拒绝采购人这种要求，而不被没收磋商保证金。</w:t>
      </w:r>
      <w:r>
        <w:rPr>
          <w:rFonts w:hint="eastAsia" w:asciiTheme="minorEastAsia" w:hAnsiTheme="minorEastAsia" w:cstheme="minorEastAsia"/>
          <w:color w:val="auto"/>
          <w:sz w:val="24"/>
          <w:szCs w:val="24"/>
          <w:highlight w:val="none"/>
        </w:rPr>
        <w:t>同意延长</w:t>
      </w:r>
      <w:r>
        <w:rPr>
          <w:rFonts w:hint="eastAsia" w:asciiTheme="minorEastAsia" w:hAnsiTheme="minorEastAsia" w:cstheme="minorEastAsia"/>
          <w:color w:val="auto"/>
          <w:kern w:val="0"/>
          <w:sz w:val="24"/>
          <w:szCs w:val="24"/>
          <w:highlight w:val="none"/>
        </w:rPr>
        <w:t>磋商</w:t>
      </w:r>
      <w:r>
        <w:rPr>
          <w:rFonts w:hint="eastAsia" w:asciiTheme="minorEastAsia" w:hAnsiTheme="minorEastAsia" w:cstheme="minorEastAsia"/>
          <w:color w:val="auto"/>
          <w:sz w:val="24"/>
          <w:szCs w:val="24"/>
          <w:highlight w:val="none"/>
        </w:rPr>
        <w:t>有效期的供应商，不允许修改或撤回其响应文件。</w:t>
      </w:r>
      <w:r>
        <w:rPr>
          <w:rFonts w:hint="eastAsia" w:asciiTheme="minorEastAsia" w:hAnsiTheme="minorEastAsia" w:cstheme="minorEastAsia"/>
          <w:color w:val="auto"/>
          <w:kern w:val="0"/>
          <w:sz w:val="24"/>
          <w:szCs w:val="24"/>
          <w:highlight w:val="none"/>
        </w:rPr>
        <w:t>供应商拒绝延长磋商有效期的，其磋商失效。</w:t>
      </w:r>
      <w:r>
        <w:rPr>
          <w:rFonts w:hint="eastAsia" w:asciiTheme="minorEastAsia" w:hAnsiTheme="minorEastAsia" w:cstheme="minorEastAsia"/>
          <w:color w:val="auto"/>
          <w:sz w:val="24"/>
          <w:szCs w:val="24"/>
          <w:highlight w:val="none"/>
        </w:rPr>
        <w:t>在延长的</w:t>
      </w:r>
      <w:r>
        <w:rPr>
          <w:rFonts w:hint="eastAsia" w:asciiTheme="minorEastAsia" w:hAnsiTheme="minorEastAsia" w:cstheme="minorEastAsia"/>
          <w:color w:val="auto"/>
          <w:kern w:val="0"/>
          <w:sz w:val="24"/>
          <w:szCs w:val="24"/>
          <w:highlight w:val="none"/>
        </w:rPr>
        <w:t>磋商</w:t>
      </w:r>
      <w:r>
        <w:rPr>
          <w:rFonts w:hint="eastAsia" w:asciiTheme="minorEastAsia" w:hAnsiTheme="minorEastAsia" w:cstheme="minorEastAsia"/>
          <w:color w:val="auto"/>
          <w:sz w:val="24"/>
          <w:szCs w:val="24"/>
          <w:highlight w:val="none"/>
        </w:rPr>
        <w:t>有效期内，本须知第16条的规定仍然适用。</w:t>
      </w:r>
    </w:p>
    <w:p w14:paraId="297FB9D3">
      <w:pPr>
        <w:pStyle w:val="4"/>
        <w:spacing w:line="360" w:lineRule="auto"/>
        <w:ind w:firstLine="482" w:firstLineChars="200"/>
        <w:rPr>
          <w:rFonts w:asciiTheme="minorEastAsia" w:hAnsiTheme="minorEastAsia" w:eastAsiaTheme="minorEastAsia" w:cstheme="minorEastAsia"/>
          <w:color w:val="auto"/>
          <w:sz w:val="24"/>
          <w:szCs w:val="24"/>
          <w:highlight w:val="none"/>
        </w:rPr>
      </w:pPr>
      <w:bookmarkStart w:id="132" w:name="_Toc243584250"/>
      <w:bookmarkStart w:id="133" w:name="_Toc23046680"/>
      <w:bookmarkStart w:id="134" w:name="_Toc23152574"/>
      <w:bookmarkStart w:id="135" w:name="_Toc514238604"/>
      <w:bookmarkStart w:id="136" w:name="_Toc74156202"/>
      <w:bookmarkStart w:id="137" w:name="_Toc31485"/>
      <w:bookmarkStart w:id="138" w:name="_Toc29153330"/>
      <w:r>
        <w:rPr>
          <w:rFonts w:hint="eastAsia" w:asciiTheme="minorEastAsia" w:hAnsiTheme="minorEastAsia" w:eastAsiaTheme="minorEastAsia" w:cstheme="minorEastAsia"/>
          <w:color w:val="auto"/>
          <w:sz w:val="24"/>
          <w:szCs w:val="24"/>
          <w:highlight w:val="none"/>
        </w:rPr>
        <w:t>16. 磋商保证金</w:t>
      </w:r>
      <w:bookmarkEnd w:id="132"/>
      <w:bookmarkEnd w:id="133"/>
      <w:bookmarkEnd w:id="134"/>
      <w:bookmarkEnd w:id="135"/>
      <w:bookmarkEnd w:id="136"/>
      <w:bookmarkEnd w:id="137"/>
      <w:bookmarkEnd w:id="138"/>
    </w:p>
    <w:p w14:paraId="6FBF55B7">
      <w:pPr>
        <w:adjustRightInd w:val="0"/>
        <w:spacing w:line="360" w:lineRule="auto"/>
        <w:ind w:firstLine="480" w:firstLineChars="200"/>
        <w:rPr>
          <w:rFonts w:asciiTheme="minorEastAsia" w:hAnsiTheme="minorEastAsia" w:cstheme="minorEastAsia"/>
          <w:color w:val="auto"/>
          <w:kern w:val="0"/>
          <w:sz w:val="24"/>
          <w:szCs w:val="24"/>
          <w:highlight w:val="none"/>
        </w:rPr>
      </w:pPr>
      <w:bookmarkStart w:id="139" w:name="_Toc243584251"/>
      <w:bookmarkStart w:id="140" w:name="_Toc258"/>
      <w:bookmarkStart w:id="141" w:name="_Toc29153331"/>
      <w:bookmarkStart w:id="142" w:name="_Toc514238606"/>
      <w:bookmarkStart w:id="143" w:name="_Toc23152576"/>
      <w:bookmarkStart w:id="144" w:name="_Toc23046682"/>
      <w:bookmarkStart w:id="145" w:name="_Toc74156203"/>
      <w:r>
        <w:rPr>
          <w:rFonts w:hint="eastAsia" w:asciiTheme="minorEastAsia" w:hAnsiTheme="minorEastAsia" w:cstheme="minorEastAsia"/>
          <w:color w:val="auto"/>
          <w:kern w:val="0"/>
          <w:sz w:val="24"/>
          <w:szCs w:val="24"/>
          <w:highlight w:val="none"/>
        </w:rPr>
        <w:t>16.1  供应商应按前附表第13项规定的数额、方式和地点在提交响应文件截止时间前提交磋商保证金，此磋商保证金是响应文件的一个组成部分。</w:t>
      </w:r>
    </w:p>
    <w:p w14:paraId="254F9222">
      <w:pPr>
        <w:spacing w:line="360" w:lineRule="auto"/>
        <w:ind w:firstLine="470" w:firstLineChars="196"/>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16.1.1 磋商保证金在截标时间前交到磋商须知前附表要求的账户上，开标时核验转账证明材料。</w:t>
      </w:r>
    </w:p>
    <w:p w14:paraId="543F61DA">
      <w:pPr>
        <w:adjustRightInd w:val="0"/>
        <w:spacing w:line="360" w:lineRule="auto"/>
        <w:ind w:firstLine="480" w:firstLineChars="200"/>
        <w:rPr>
          <w:rFonts w:asciiTheme="minorEastAsia" w:hAnsiTheme="minorEastAsia" w:cstheme="minorEastAsia"/>
          <w:bCs/>
          <w:color w:val="auto"/>
          <w:sz w:val="24"/>
          <w:szCs w:val="24"/>
          <w:highlight w:val="none"/>
        </w:rPr>
      </w:pPr>
      <w:r>
        <w:rPr>
          <w:rFonts w:hint="eastAsia" w:asciiTheme="minorEastAsia" w:hAnsiTheme="minorEastAsia" w:cstheme="minorEastAsia"/>
          <w:color w:val="auto"/>
          <w:kern w:val="0"/>
          <w:sz w:val="24"/>
          <w:szCs w:val="24"/>
          <w:highlight w:val="none"/>
        </w:rPr>
        <w:t>16.2 对于未能按要求提交磋商保证金的供应商，采购人将视为不响应竞争性磋商采购文件而拒绝其磋商。</w:t>
      </w:r>
    </w:p>
    <w:p w14:paraId="6EA1B7E9">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16.3 成交人磋商保证金，在账户成交人与采购人签订合同后5个工作日内退还（无息）。</w:t>
      </w:r>
    </w:p>
    <w:p w14:paraId="1CC81DA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16.4 其他未成交的供应商的磋商保证金将在采购人发出成交通知书后5个工作日内退回（无息）。</w:t>
      </w:r>
    </w:p>
    <w:p w14:paraId="7250BFB8">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 供应商有下列情况之一的，磋商保证金不予退还：</w:t>
      </w:r>
    </w:p>
    <w:p w14:paraId="66F19F70">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16.5.1 供应商在提交响应文件截止时间后撤回响应文件的；</w:t>
      </w:r>
    </w:p>
    <w:p w14:paraId="63679DDC">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16.5.2 供应商在响应文件中提供虚假材料的；</w:t>
      </w:r>
    </w:p>
    <w:p w14:paraId="3FDEA325">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16.5.3 除因不可抗力或磋商文件认可的情形以外，成交供应商不与采购人签订合同的；</w:t>
      </w:r>
    </w:p>
    <w:p w14:paraId="78E6C7B1">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16.5.4 成交人未按规定向采购代理机构支付采购代理服务费。</w:t>
      </w:r>
    </w:p>
    <w:p w14:paraId="024898D1">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16.5.5供应商与采购人、其他供应商或者采购代理机构恶意串通的；</w:t>
      </w:r>
    </w:p>
    <w:p w14:paraId="4DEC96E4">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17. 供应商的替代方案</w:t>
      </w:r>
      <w:bookmarkEnd w:id="139"/>
      <w:bookmarkEnd w:id="140"/>
      <w:bookmarkEnd w:id="141"/>
    </w:p>
    <w:p w14:paraId="2511138C">
      <w:pPr>
        <w:spacing w:line="360"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17.1本采购工程不允许供应商提交替代方案。</w:t>
      </w:r>
    </w:p>
    <w:p w14:paraId="32CFC70F">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46" w:name="_Toc29077"/>
      <w:bookmarkStart w:id="147" w:name="_Toc29153332"/>
      <w:bookmarkStart w:id="148" w:name="_Toc243584252"/>
      <w:r>
        <w:rPr>
          <w:rFonts w:hint="eastAsia" w:asciiTheme="minorEastAsia" w:hAnsiTheme="minorEastAsia" w:eastAsiaTheme="minorEastAsia" w:cstheme="minorEastAsia"/>
          <w:color w:val="auto"/>
          <w:kern w:val="0"/>
          <w:sz w:val="24"/>
          <w:szCs w:val="24"/>
          <w:highlight w:val="none"/>
        </w:rPr>
        <w:t xml:space="preserve">18. </w:t>
      </w:r>
      <w:bookmarkEnd w:id="142"/>
      <w:bookmarkEnd w:id="143"/>
      <w:bookmarkEnd w:id="144"/>
      <w:bookmarkEnd w:id="145"/>
      <w:bookmarkEnd w:id="146"/>
      <w:bookmarkEnd w:id="147"/>
      <w:bookmarkEnd w:id="148"/>
      <w:r>
        <w:rPr>
          <w:rFonts w:hint="eastAsia" w:asciiTheme="minorEastAsia" w:hAnsiTheme="minorEastAsia" w:eastAsiaTheme="minorEastAsia" w:cstheme="minorEastAsia"/>
          <w:color w:val="auto"/>
          <w:kern w:val="0"/>
          <w:sz w:val="24"/>
          <w:szCs w:val="24"/>
          <w:highlight w:val="none"/>
        </w:rPr>
        <w:t>竞争性磋商响应文件的签署、份数和封装</w:t>
      </w:r>
    </w:p>
    <w:p w14:paraId="10C00B9C">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 xml:space="preserve">18.1 </w:t>
      </w:r>
      <w:r>
        <w:rPr>
          <w:rFonts w:hint="eastAsia" w:asciiTheme="minorEastAsia" w:hAnsiTheme="minorEastAsia" w:cstheme="minorEastAsia"/>
          <w:color w:val="auto"/>
          <w:sz w:val="24"/>
          <w:szCs w:val="24"/>
          <w:highlight w:val="none"/>
        </w:rPr>
        <w:t>供应商</w:t>
      </w:r>
      <w:r>
        <w:rPr>
          <w:rFonts w:hint="eastAsia" w:asciiTheme="minorEastAsia" w:hAnsiTheme="minorEastAsia" w:cstheme="minorEastAsia"/>
          <w:color w:val="auto"/>
          <w:kern w:val="0"/>
          <w:sz w:val="24"/>
          <w:szCs w:val="24"/>
          <w:highlight w:val="none"/>
        </w:rPr>
        <w:t>应按前附表第</w:t>
      </w:r>
      <w:r>
        <w:rPr>
          <w:rFonts w:hint="eastAsia" w:asciiTheme="minorEastAsia" w:hAnsiTheme="minorEastAsia" w:cstheme="minorEastAsia"/>
          <w:bCs/>
          <w:color w:val="auto"/>
          <w:kern w:val="0"/>
          <w:sz w:val="24"/>
          <w:szCs w:val="24"/>
          <w:highlight w:val="none"/>
        </w:rPr>
        <w:t>15</w:t>
      </w:r>
      <w:r>
        <w:rPr>
          <w:rFonts w:hint="eastAsia" w:asciiTheme="minorEastAsia" w:hAnsiTheme="minorEastAsia" w:cstheme="minorEastAsia"/>
          <w:color w:val="auto"/>
          <w:kern w:val="0"/>
          <w:sz w:val="24"/>
          <w:szCs w:val="24"/>
          <w:highlight w:val="none"/>
        </w:rPr>
        <w:t>项规定的份数提交响应文件。</w:t>
      </w:r>
    </w:p>
    <w:p w14:paraId="11B13153">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18</w:t>
      </w:r>
      <w:r>
        <w:rPr>
          <w:rFonts w:hint="eastAsia" w:asciiTheme="minorEastAsia" w:hAnsiTheme="minorEastAsia" w:cstheme="minorEastAsia"/>
          <w:color w:val="auto"/>
          <w:kern w:val="0"/>
          <w:sz w:val="24"/>
          <w:szCs w:val="24"/>
          <w:highlight w:val="none"/>
        </w:rPr>
        <w:t>.</w:t>
      </w:r>
      <w:r>
        <w:rPr>
          <w:rFonts w:asciiTheme="minorEastAsia" w:hAnsiTheme="minorEastAsia" w:cstheme="minorEastAsia"/>
          <w:color w:val="auto"/>
          <w:kern w:val="0"/>
          <w:sz w:val="24"/>
          <w:szCs w:val="24"/>
          <w:highlight w:val="none"/>
        </w:rPr>
        <w:t xml:space="preserve">2 </w:t>
      </w:r>
      <w:r>
        <w:rPr>
          <w:rFonts w:hint="eastAsia" w:asciiTheme="minorEastAsia" w:hAnsiTheme="minorEastAsia" w:cstheme="minorEastAsia"/>
          <w:color w:val="auto"/>
          <w:kern w:val="0"/>
          <w:sz w:val="24"/>
          <w:szCs w:val="24"/>
          <w:highlight w:val="none"/>
        </w:rPr>
        <w:t>电子磋商响应文件中须加盖供应商公章部分均采用 CA 签章，并根据“政府采购项目电子交易管理操作指南-供应商”及本竞争性磋商文件规定的格式和顺序编制电子磋商响应文件并进行关联定位，以便磋商小组在评审时，点击评分项可直接定位到该评分项内容。如对竞争性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漏读，或者在按竞争性磋商文件规定的部位查找不到相关内容的，由供应商自行承担。</w:t>
      </w:r>
    </w:p>
    <w:p w14:paraId="45E74999">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18.3</w:t>
      </w:r>
      <w:r>
        <w:rPr>
          <w:rFonts w:hint="eastAsia" w:asciiTheme="minorEastAsia" w:hAnsiTheme="minorEastAsia" w:cstheme="minorEastAsia"/>
          <w:color w:val="auto"/>
          <w:kern w:val="0"/>
          <w:sz w:val="24"/>
          <w:szCs w:val="24"/>
          <w:highlight w:val="none"/>
        </w:rPr>
        <w:t xml:space="preserve"> CA 签章上目前没有法人（负责人）或授权代表签字信息，供应商在磋商响应文件中涉及到签字的位置线下签好字然后扫描或者拍照做成PDF的格式即可。</w:t>
      </w:r>
    </w:p>
    <w:p w14:paraId="0FCA8780">
      <w:pPr>
        <w:adjustRightInd w:val="0"/>
        <w:spacing w:line="360" w:lineRule="auto"/>
        <w:ind w:firstLine="480" w:firstLineChars="200"/>
        <w:rPr>
          <w:rFonts w:asciiTheme="minorEastAsia" w:hAnsiTheme="minorEastAsia"/>
          <w:color w:val="auto"/>
          <w:sz w:val="24"/>
          <w:szCs w:val="24"/>
          <w:highlight w:val="none"/>
        </w:rPr>
      </w:pPr>
      <w:r>
        <w:rPr>
          <w:rFonts w:asciiTheme="minorEastAsia" w:hAnsiTheme="minorEastAsia" w:cstheme="minorEastAsia"/>
          <w:color w:val="auto"/>
          <w:kern w:val="0"/>
          <w:sz w:val="24"/>
          <w:szCs w:val="24"/>
          <w:highlight w:val="none"/>
        </w:rPr>
        <w:t>18.4</w:t>
      </w:r>
      <w:r>
        <w:rPr>
          <w:rFonts w:hint="eastAsia" w:asciiTheme="minorEastAsia" w:hAnsiTheme="minorEastAsia" w:cstheme="minorEastAsia"/>
          <w:color w:val="auto"/>
          <w:kern w:val="0"/>
          <w:sz w:val="24"/>
          <w:szCs w:val="24"/>
          <w:highlight w:val="none"/>
        </w:rPr>
        <w:t xml:space="preserve"> 磋商响应文件不得涂改，若有修改错漏处，须法定代表人（负责人）或授权委托人签字。磋商响应文件因字迹潦草或表达不清所引起的后果由供应商负责。</w:t>
      </w:r>
    </w:p>
    <w:p w14:paraId="6E9FDBFD">
      <w:pPr>
        <w:pStyle w:val="3"/>
        <w:spacing w:line="360" w:lineRule="auto"/>
        <w:jc w:val="center"/>
        <w:rPr>
          <w:rFonts w:hint="eastAsia" w:asciiTheme="minorEastAsia" w:hAnsiTheme="minorEastAsia" w:eastAsiaTheme="minorEastAsia" w:cstheme="minorEastAsia"/>
          <w:color w:val="auto"/>
          <w:kern w:val="0"/>
          <w:sz w:val="24"/>
          <w:szCs w:val="24"/>
          <w:highlight w:val="none"/>
        </w:rPr>
      </w:pPr>
      <w:bookmarkStart w:id="149" w:name="_Toc23152577"/>
      <w:bookmarkStart w:id="150" w:name="_Toc23046683"/>
      <w:bookmarkStart w:id="151" w:name="_Toc514238607"/>
      <w:r>
        <w:rPr>
          <w:rFonts w:hint="eastAsia" w:asciiTheme="minorEastAsia" w:hAnsiTheme="minorEastAsia" w:eastAsiaTheme="minorEastAsia" w:cstheme="minorEastAsia"/>
          <w:color w:val="auto"/>
          <w:kern w:val="0"/>
          <w:sz w:val="24"/>
          <w:szCs w:val="24"/>
          <w:highlight w:val="none"/>
        </w:rPr>
        <w:t xml:space="preserve">  </w:t>
      </w:r>
      <w:bookmarkStart w:id="152" w:name="_Toc29153333"/>
      <w:bookmarkStart w:id="153" w:name="_Toc21544"/>
      <w:bookmarkStart w:id="154" w:name="_Toc74156204"/>
      <w:bookmarkStart w:id="155" w:name="_Toc243584253"/>
    </w:p>
    <w:p w14:paraId="4EAB129B">
      <w:pPr>
        <w:pStyle w:val="3"/>
        <w:spacing w:line="360" w:lineRule="auto"/>
        <w:jc w:val="center"/>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（四） 响应文件的提交</w:t>
      </w:r>
      <w:bookmarkEnd w:id="149"/>
      <w:bookmarkEnd w:id="150"/>
      <w:bookmarkEnd w:id="151"/>
      <w:bookmarkEnd w:id="152"/>
      <w:bookmarkEnd w:id="153"/>
      <w:bookmarkEnd w:id="154"/>
      <w:bookmarkEnd w:id="155"/>
    </w:p>
    <w:p w14:paraId="6E2FB2B4">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56" w:name="_Toc6907"/>
      <w:bookmarkStart w:id="157" w:name="_Toc74156205"/>
      <w:bookmarkStart w:id="158" w:name="_Toc514238608"/>
      <w:bookmarkStart w:id="159" w:name="_Toc23046684"/>
      <w:bookmarkStart w:id="160" w:name="_Toc23152578"/>
      <w:bookmarkStart w:id="161" w:name="_Toc243584254"/>
      <w:bookmarkStart w:id="162" w:name="_Toc29153334"/>
      <w:r>
        <w:rPr>
          <w:rFonts w:hint="eastAsia" w:asciiTheme="minorEastAsia" w:hAnsiTheme="minorEastAsia" w:eastAsiaTheme="minorEastAsia" w:cstheme="minorEastAsia"/>
          <w:color w:val="auto"/>
          <w:kern w:val="0"/>
          <w:sz w:val="24"/>
          <w:szCs w:val="24"/>
          <w:highlight w:val="none"/>
        </w:rPr>
        <w:t>19. 响应文件的</w:t>
      </w:r>
      <w:bookmarkEnd w:id="156"/>
      <w:bookmarkEnd w:id="157"/>
      <w:bookmarkEnd w:id="158"/>
      <w:bookmarkEnd w:id="159"/>
      <w:bookmarkEnd w:id="160"/>
      <w:bookmarkEnd w:id="161"/>
      <w:bookmarkEnd w:id="162"/>
      <w:r>
        <w:rPr>
          <w:rFonts w:hint="eastAsia" w:asciiTheme="minorEastAsia" w:hAnsiTheme="minorEastAsia" w:eastAsiaTheme="minorEastAsia" w:cstheme="minorEastAsia"/>
          <w:color w:val="auto"/>
          <w:kern w:val="0"/>
          <w:sz w:val="24"/>
          <w:szCs w:val="24"/>
          <w:highlight w:val="none"/>
        </w:rPr>
        <w:t>提交</w:t>
      </w:r>
    </w:p>
    <w:p w14:paraId="4924C507">
      <w:pPr>
        <w:adjustRightInd w:val="0"/>
        <w:spacing w:line="360" w:lineRule="auto"/>
        <w:ind w:firstLine="480" w:firstLineChars="200"/>
        <w:rPr>
          <w:rFonts w:asciiTheme="minorEastAsia" w:hAnsiTheme="minorEastAsia" w:cstheme="minorEastAsia"/>
          <w:color w:val="auto"/>
          <w:kern w:val="0"/>
          <w:sz w:val="24"/>
          <w:szCs w:val="24"/>
          <w:highlight w:val="none"/>
        </w:rPr>
      </w:pPr>
      <w:bookmarkStart w:id="163" w:name="_Toc74156206"/>
      <w:bookmarkStart w:id="164" w:name="_Toc29153335"/>
      <w:bookmarkStart w:id="165" w:name="_Toc6287"/>
      <w:bookmarkStart w:id="166" w:name="_Toc243584255"/>
      <w:r>
        <w:rPr>
          <w:rFonts w:asciiTheme="minorEastAsia" w:hAnsiTheme="minorEastAsia" w:cstheme="minorEastAsia"/>
          <w:color w:val="auto"/>
          <w:kern w:val="0"/>
          <w:sz w:val="24"/>
          <w:szCs w:val="24"/>
          <w:highlight w:val="none"/>
        </w:rPr>
        <w:t>19</w:t>
      </w:r>
      <w:r>
        <w:rPr>
          <w:rFonts w:hint="eastAsia" w:asciiTheme="minorEastAsia" w:hAnsiTheme="minorEastAsia" w:cstheme="minorEastAsia"/>
          <w:color w:val="auto"/>
          <w:kern w:val="0"/>
          <w:sz w:val="24"/>
          <w:szCs w:val="24"/>
          <w:highlight w:val="none"/>
        </w:rPr>
        <w:t>.1 所有竞争性磋商响应文件应于竞争性磋商文件中规定的时间前</w:t>
      </w:r>
      <w:r>
        <w:rPr>
          <w:rFonts w:asciiTheme="minorEastAsia" w:hAnsiTheme="minorEastAsia" w:cstheme="minorEastAsia"/>
          <w:color w:val="auto"/>
          <w:kern w:val="0"/>
          <w:sz w:val="24"/>
          <w:szCs w:val="24"/>
          <w:highlight w:val="none"/>
        </w:rPr>
        <w:t>上传递交至广西政府采购云平台。</w:t>
      </w:r>
    </w:p>
    <w:p w14:paraId="48B4296F">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asciiTheme="minorEastAsia" w:hAnsiTheme="minorEastAsia" w:cstheme="minorEastAsia"/>
          <w:color w:val="auto"/>
          <w:kern w:val="0"/>
          <w:sz w:val="24"/>
          <w:szCs w:val="24"/>
          <w:highlight w:val="none"/>
        </w:rPr>
        <w:t>19</w:t>
      </w:r>
      <w:r>
        <w:rPr>
          <w:rFonts w:hint="eastAsia" w:asciiTheme="minorEastAsia" w:hAnsiTheme="minorEastAsia" w:cstheme="minorEastAsia"/>
          <w:color w:val="auto"/>
          <w:kern w:val="0"/>
          <w:sz w:val="24"/>
          <w:szCs w:val="24"/>
          <w:highlight w:val="none"/>
        </w:rPr>
        <w:t>.2</w:t>
      </w:r>
      <w:r>
        <w:rPr>
          <w:rFonts w:asciiTheme="minorEastAsia" w:hAnsiTheme="minorEastAsia" w:cstheme="minorEastAsia"/>
          <w:color w:val="auto"/>
          <w:kern w:val="0"/>
          <w:sz w:val="24"/>
          <w:szCs w:val="24"/>
          <w:highlight w:val="none"/>
        </w:rPr>
        <w:t xml:space="preserve"> 竞争性磋商响应文件从响应文件递交截止日期后60天内有效。  </w:t>
      </w:r>
    </w:p>
    <w:p w14:paraId="387AC415">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2</w:t>
      </w:r>
      <w:r>
        <w:rPr>
          <w:rFonts w:asciiTheme="minorEastAsia" w:hAnsiTheme="minorEastAsia" w:eastAsiaTheme="minorEastAsia" w:cstheme="minorEastAsia"/>
          <w:color w:val="auto"/>
          <w:kern w:val="0"/>
          <w:sz w:val="24"/>
          <w:szCs w:val="24"/>
          <w:highlight w:val="none"/>
        </w:rPr>
        <w:t>0.电子</w:t>
      </w:r>
      <w:r>
        <w:rPr>
          <w:rFonts w:hint="eastAsia" w:asciiTheme="minorEastAsia" w:hAnsiTheme="minorEastAsia" w:eastAsiaTheme="minorEastAsia" w:cstheme="minorEastAsia"/>
          <w:color w:val="auto"/>
          <w:kern w:val="0"/>
          <w:sz w:val="24"/>
          <w:szCs w:val="24"/>
          <w:highlight w:val="none"/>
        </w:rPr>
        <w:t>响应文件</w:t>
      </w:r>
      <w:r>
        <w:rPr>
          <w:rFonts w:asciiTheme="minorEastAsia" w:hAnsiTheme="minorEastAsia" w:eastAsiaTheme="minorEastAsia" w:cstheme="minorEastAsia"/>
          <w:color w:val="auto"/>
          <w:kern w:val="0"/>
          <w:sz w:val="24"/>
          <w:szCs w:val="24"/>
          <w:highlight w:val="none"/>
        </w:rPr>
        <w:t>的相关说明</w:t>
      </w:r>
      <w:r>
        <w:rPr>
          <w:rFonts w:hint="eastAsia" w:asciiTheme="minorEastAsia" w:hAnsiTheme="minorEastAsia" w:eastAsiaTheme="minorEastAsia" w:cstheme="minorEastAsia"/>
          <w:color w:val="auto"/>
          <w:kern w:val="0"/>
          <w:sz w:val="24"/>
          <w:szCs w:val="24"/>
          <w:highlight w:val="none"/>
        </w:rPr>
        <w:t>：</w:t>
      </w:r>
    </w:p>
    <w:p w14:paraId="7E9736DD">
      <w:pPr>
        <w:spacing w:line="360" w:lineRule="auto"/>
        <w:ind w:firstLine="361" w:firstLineChars="150"/>
        <w:rPr>
          <w:rFonts w:asciiTheme="minorEastAsia" w:hAnsiTheme="minorEastAsia"/>
          <w:b/>
          <w:color w:val="auto"/>
          <w:sz w:val="24"/>
          <w:szCs w:val="24"/>
          <w:highlight w:val="none"/>
        </w:rPr>
      </w:pPr>
      <w:r>
        <w:rPr>
          <w:rFonts w:asciiTheme="minorEastAsia" w:hAnsiTheme="minorEastAsia"/>
          <w:b/>
          <w:color w:val="auto"/>
          <w:sz w:val="24"/>
          <w:szCs w:val="24"/>
          <w:highlight w:val="none"/>
        </w:rPr>
        <w:t>（1）供应商进行电子投标应安装客户端软件，并按照</w:t>
      </w:r>
      <w:r>
        <w:rPr>
          <w:rFonts w:hint="eastAsia" w:asciiTheme="minorEastAsia" w:hAnsiTheme="minorEastAsia"/>
          <w:b/>
          <w:color w:val="auto"/>
          <w:sz w:val="24"/>
          <w:szCs w:val="24"/>
          <w:highlight w:val="none"/>
        </w:rPr>
        <w:t>竞争性磋商</w:t>
      </w:r>
      <w:r>
        <w:rPr>
          <w:rFonts w:asciiTheme="minorEastAsia" w:hAnsiTheme="minorEastAsia"/>
          <w:b/>
          <w:color w:val="auto"/>
          <w:sz w:val="24"/>
          <w:szCs w:val="24"/>
          <w:highlight w:val="none"/>
        </w:rPr>
        <w:t>文件和电子交易平台的要求编制并加密</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响应文件。供应商未按规定加密的</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响应文件，电子交易平台将拒收。供应商应当在</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截止时间前完成</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响应文件的传输递交，并可以补充、修改或者撤回</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响应文件。补充或者修改</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响应文件的，应当先行撤回原文件</w:t>
      </w:r>
      <w:r>
        <w:rPr>
          <w:rFonts w:hint="eastAsia" w:asciiTheme="minorEastAsia" w:hAnsiTheme="minorEastAsia"/>
          <w:b/>
          <w:color w:val="auto"/>
          <w:sz w:val="24"/>
          <w:szCs w:val="24"/>
          <w:highlight w:val="none"/>
        </w:rPr>
        <w:t>，</w:t>
      </w:r>
      <w:r>
        <w:rPr>
          <w:rFonts w:asciiTheme="minorEastAsia" w:hAnsiTheme="minorEastAsia"/>
          <w:b/>
          <w:color w:val="auto"/>
          <w:sz w:val="24"/>
          <w:szCs w:val="24"/>
          <w:highlight w:val="none"/>
        </w:rPr>
        <w:t>补充、修改后重新传输递交。</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截止时间前未完成传输的，视为撤回</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截止时间后递交的</w:t>
      </w:r>
      <w:r>
        <w:rPr>
          <w:rFonts w:hint="eastAsia" w:asciiTheme="minorEastAsia" w:hAnsiTheme="minorEastAsia"/>
          <w:b/>
          <w:color w:val="auto"/>
          <w:sz w:val="24"/>
          <w:szCs w:val="24"/>
          <w:highlight w:val="none"/>
        </w:rPr>
        <w:t>磋商</w:t>
      </w:r>
      <w:r>
        <w:rPr>
          <w:rFonts w:asciiTheme="minorEastAsia" w:hAnsiTheme="minorEastAsia"/>
          <w:b/>
          <w:color w:val="auto"/>
          <w:sz w:val="24"/>
          <w:szCs w:val="24"/>
          <w:highlight w:val="none"/>
        </w:rPr>
        <w:t>响应文件，电子交易平台将拒收。</w:t>
      </w:r>
    </w:p>
    <w:p w14:paraId="7C05B226">
      <w:pPr>
        <w:spacing w:line="360" w:lineRule="auto"/>
        <w:ind w:firstLine="361" w:firstLineChars="150"/>
        <w:rPr>
          <w:rFonts w:asciiTheme="minorEastAsia" w:hAnsiTheme="minorEastAsia"/>
          <w:b/>
          <w:color w:val="auto"/>
          <w:sz w:val="24"/>
          <w:szCs w:val="24"/>
          <w:highlight w:val="none"/>
        </w:rPr>
      </w:pPr>
      <w:r>
        <w:rPr>
          <w:rFonts w:asciiTheme="minorEastAsia" w:hAnsiTheme="minorEastAsia"/>
          <w:b/>
          <w:color w:val="auto"/>
          <w:sz w:val="24"/>
          <w:szCs w:val="24"/>
          <w:highlight w:val="none"/>
        </w:rPr>
        <w:t>（</w:t>
      </w:r>
      <w:r>
        <w:rPr>
          <w:rFonts w:hint="eastAsia" w:asciiTheme="minorEastAsia" w:hAnsiTheme="minorEastAsia"/>
          <w:b/>
          <w:color w:val="auto"/>
          <w:sz w:val="24"/>
          <w:szCs w:val="24"/>
          <w:highlight w:val="none"/>
        </w:rPr>
        <w:t>2</w:t>
      </w:r>
      <w:r>
        <w:rPr>
          <w:rFonts w:asciiTheme="minorEastAsia" w:hAnsiTheme="minorEastAsia"/>
          <w:b/>
          <w:color w:val="auto"/>
          <w:sz w:val="24"/>
          <w:szCs w:val="24"/>
          <w:highlight w:val="none"/>
        </w:rPr>
        <w:t>）如有特殊情况，采购代理机构延长截止时间和开标时间，采购代理机构和供应商的权利和义务将受到新的截止时间和开标时间的约束。</w:t>
      </w:r>
    </w:p>
    <w:p w14:paraId="0402B854">
      <w:pPr>
        <w:spacing w:line="360" w:lineRule="auto"/>
        <w:ind w:firstLine="361" w:firstLineChars="150"/>
        <w:rPr>
          <w:rFonts w:asciiTheme="minorEastAsia" w:hAnsiTheme="minorEastAsia"/>
          <w:b/>
          <w:bCs/>
          <w:color w:val="auto"/>
          <w:sz w:val="24"/>
          <w:szCs w:val="24"/>
          <w:highlight w:val="none"/>
        </w:rPr>
      </w:pPr>
      <w:r>
        <w:rPr>
          <w:rFonts w:asciiTheme="minorEastAsia" w:hAnsiTheme="minorEastAsia"/>
          <w:b/>
          <w:bCs/>
          <w:color w:val="auto"/>
          <w:sz w:val="24"/>
          <w:szCs w:val="24"/>
          <w:highlight w:val="none"/>
        </w:rPr>
        <w:t xml:space="preserve">21. </w:t>
      </w:r>
      <w:r>
        <w:rPr>
          <w:rFonts w:hint="eastAsia" w:asciiTheme="minorEastAsia" w:hAnsiTheme="minorEastAsia"/>
          <w:b/>
          <w:bCs/>
          <w:color w:val="auto"/>
          <w:sz w:val="24"/>
          <w:szCs w:val="24"/>
          <w:highlight w:val="none"/>
        </w:rPr>
        <w:t>迟交的响应文件</w:t>
      </w:r>
    </w:p>
    <w:p w14:paraId="6F7B8983">
      <w:pPr>
        <w:spacing w:line="360" w:lineRule="auto"/>
        <w:ind w:firstLine="480" w:firstLineChars="200"/>
        <w:rPr>
          <w:rStyle w:val="53"/>
          <w:rFonts w:asciiTheme="minorEastAsia" w:hAnsiTheme="minorEastAsia"/>
          <w:color w:val="auto"/>
          <w:sz w:val="24"/>
          <w:szCs w:val="24"/>
          <w:highlight w:val="none"/>
        </w:rPr>
      </w:pPr>
      <w:r>
        <w:rPr>
          <w:rFonts w:hint="eastAsia" w:asciiTheme="minorEastAsia" w:hAnsiTheme="minorEastAsia"/>
          <w:color w:val="auto"/>
          <w:sz w:val="24"/>
          <w:szCs w:val="24"/>
          <w:highlight w:val="none"/>
        </w:rPr>
        <w:t>采购代理机构拒绝在其规定的递交响应文件截止时间之后收到的任何响应文件。</w:t>
      </w:r>
    </w:p>
    <w:p w14:paraId="5346C4EB">
      <w:pPr>
        <w:spacing w:line="360" w:lineRule="auto"/>
        <w:ind w:firstLine="480" w:firstLineChars="20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供应商应认真阅读、并充分理解本文件的全部内容（包括所有的补充、修改内容），承诺并履行本文件中各项条款规定及要求。</w:t>
      </w:r>
    </w:p>
    <w:p w14:paraId="626C6717">
      <w:pPr>
        <w:spacing w:line="360" w:lineRule="auto"/>
        <w:ind w:firstLine="480" w:firstLineChars="20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响应文件必须按本文件的全部内容，包括所有的补充通知及附件进行编制。</w:t>
      </w:r>
    </w:p>
    <w:p w14:paraId="30AFD002">
      <w:pPr>
        <w:spacing w:line="360" w:lineRule="auto"/>
        <w:ind w:firstLine="480" w:firstLineChars="20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如因供应商只填写和提供了本文件要求的部分内容和附件，而给评审造成困难，其可能导致的结果和责任由供应商自行承担。</w:t>
      </w:r>
    </w:p>
    <w:bookmarkEnd w:id="163"/>
    <w:bookmarkEnd w:id="164"/>
    <w:bookmarkEnd w:id="165"/>
    <w:bookmarkEnd w:id="166"/>
    <w:p w14:paraId="462EA3C2">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67" w:name="_Toc243584257"/>
      <w:bookmarkStart w:id="168" w:name="_Toc29153337"/>
      <w:bookmarkStart w:id="169" w:name="_Toc74156208"/>
      <w:bookmarkStart w:id="170" w:name="_Toc24910"/>
      <w:r>
        <w:rPr>
          <w:rFonts w:hint="eastAsia" w:asciiTheme="minorEastAsia" w:hAnsiTheme="minorEastAsia" w:eastAsiaTheme="minorEastAsia" w:cstheme="minorEastAsia"/>
          <w:color w:val="auto"/>
          <w:kern w:val="0"/>
          <w:sz w:val="24"/>
          <w:szCs w:val="24"/>
          <w:highlight w:val="none"/>
        </w:rPr>
        <w:t>22. 逾期提交的</w:t>
      </w:r>
      <w:bookmarkEnd w:id="167"/>
      <w:bookmarkEnd w:id="168"/>
      <w:bookmarkEnd w:id="169"/>
      <w:bookmarkEnd w:id="170"/>
      <w:bookmarkStart w:id="171" w:name="_Hlt73302960"/>
      <w:bookmarkEnd w:id="171"/>
      <w:r>
        <w:rPr>
          <w:rFonts w:hint="eastAsia" w:asciiTheme="minorEastAsia" w:hAnsiTheme="minorEastAsia" w:eastAsiaTheme="minorEastAsia" w:cstheme="minorEastAsia"/>
          <w:color w:val="auto"/>
          <w:kern w:val="0"/>
          <w:sz w:val="24"/>
          <w:szCs w:val="24"/>
          <w:highlight w:val="none"/>
        </w:rPr>
        <w:t>响应文件</w:t>
      </w:r>
    </w:p>
    <w:p w14:paraId="05881A4B">
      <w:pPr>
        <w:spacing w:line="360" w:lineRule="auto"/>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22.1  </w:t>
      </w:r>
      <w:r>
        <w:rPr>
          <w:rFonts w:hint="eastAsia" w:asciiTheme="minorEastAsia" w:hAnsiTheme="minorEastAsia" w:cstheme="minorEastAsia"/>
          <w:color w:val="auto"/>
          <w:kern w:val="0"/>
          <w:sz w:val="24"/>
          <w:szCs w:val="24"/>
          <w:highlight w:val="none"/>
        </w:rPr>
        <w:t>采购人对供应商在前附表第16项规定的提交响应文件截止时间以后提交的响应文件不予接收。</w:t>
      </w:r>
    </w:p>
    <w:p w14:paraId="05F4DD18">
      <w:pPr>
        <w:pStyle w:val="4"/>
        <w:spacing w:line="360" w:lineRule="auto"/>
        <w:ind w:firstLine="482" w:firstLineChars="200"/>
        <w:rPr>
          <w:rFonts w:asciiTheme="minorEastAsia" w:hAnsiTheme="minorEastAsia" w:eastAsiaTheme="minorEastAsia" w:cstheme="minorEastAsia"/>
          <w:color w:val="auto"/>
          <w:kern w:val="0"/>
          <w:sz w:val="24"/>
          <w:szCs w:val="24"/>
          <w:highlight w:val="none"/>
        </w:rPr>
      </w:pPr>
      <w:bookmarkStart w:id="172" w:name="_Toc23046686"/>
      <w:bookmarkStart w:id="173" w:name="_Toc29153338"/>
      <w:bookmarkStart w:id="174" w:name="_Toc74156209"/>
      <w:bookmarkStart w:id="175" w:name="_Toc514238610"/>
      <w:bookmarkStart w:id="176" w:name="_Toc243584258"/>
      <w:bookmarkStart w:id="177" w:name="_Toc25381"/>
      <w:bookmarkStart w:id="178" w:name="_Toc23152580"/>
      <w:r>
        <w:rPr>
          <w:rFonts w:hint="eastAsia" w:asciiTheme="minorEastAsia" w:hAnsiTheme="minorEastAsia" w:eastAsiaTheme="minorEastAsia" w:cstheme="minorEastAsia"/>
          <w:color w:val="auto"/>
          <w:kern w:val="0"/>
          <w:sz w:val="24"/>
          <w:szCs w:val="24"/>
          <w:highlight w:val="none"/>
        </w:rPr>
        <w:t>23. 响应文件的补充、修改与撤回</w:t>
      </w:r>
      <w:bookmarkEnd w:id="172"/>
      <w:bookmarkEnd w:id="173"/>
      <w:bookmarkEnd w:id="174"/>
      <w:bookmarkEnd w:id="175"/>
      <w:bookmarkEnd w:id="176"/>
      <w:bookmarkEnd w:id="177"/>
      <w:bookmarkEnd w:id="178"/>
    </w:p>
    <w:p w14:paraId="25EF63B7">
      <w:pPr>
        <w:adjustRightInd w:val="0"/>
        <w:spacing w:line="360" w:lineRule="auto"/>
        <w:ind w:firstLine="480" w:firstLineChars="200"/>
        <w:rPr>
          <w:rFonts w:asciiTheme="minorEastAsia" w:hAnsiTheme="minorEastAsia" w:cstheme="minorEastAsia"/>
          <w:color w:val="auto"/>
          <w:kern w:val="0"/>
          <w:sz w:val="24"/>
          <w:szCs w:val="24"/>
          <w:highlight w:val="none"/>
        </w:rPr>
      </w:pPr>
      <w:r>
        <w:rPr>
          <w:rFonts w:hint="eastAsia" w:asciiTheme="minorEastAsia" w:hAnsiTheme="minorEastAsia" w:cstheme="minorEastAsia"/>
          <w:color w:val="auto"/>
          <w:kern w:val="0"/>
          <w:sz w:val="24"/>
          <w:szCs w:val="24"/>
          <w:highlight w:val="none"/>
        </w:rPr>
        <w:t>23.1  供应商在提交响应文件以后，在规定的提交响应文件截止时间之前，可以撤回会修改已提交的响应文件。</w:t>
      </w:r>
    </w:p>
    <w:p w14:paraId="45066977">
      <w:pPr>
        <w:pStyle w:val="35"/>
        <w:spacing w:before="0" w:after="0" w:line="360" w:lineRule="auto"/>
        <w:rPr>
          <w:rFonts w:asciiTheme="minorEastAsia" w:hAnsiTheme="minorEastAsia"/>
          <w:color w:val="auto"/>
          <w:spacing w:val="0"/>
          <w:szCs w:val="24"/>
          <w:highlight w:val="none"/>
        </w:rPr>
      </w:pPr>
      <w:r>
        <w:rPr>
          <w:rFonts w:hint="eastAsia" w:asciiTheme="minorEastAsia" w:hAnsiTheme="minorEastAsia" w:cstheme="minorEastAsia"/>
          <w:color w:val="auto"/>
          <w:spacing w:val="0"/>
          <w:szCs w:val="24"/>
          <w:highlight w:val="none"/>
        </w:rPr>
        <w:t xml:space="preserve">    23.</w:t>
      </w:r>
      <w:r>
        <w:rPr>
          <w:rFonts w:asciiTheme="minorEastAsia" w:hAnsiTheme="minorEastAsia" w:cstheme="minorEastAsia"/>
          <w:color w:val="auto"/>
          <w:spacing w:val="0"/>
          <w:szCs w:val="24"/>
          <w:highlight w:val="none"/>
        </w:rPr>
        <w:t>2</w:t>
      </w:r>
      <w:r>
        <w:rPr>
          <w:rFonts w:hint="eastAsia" w:asciiTheme="minorEastAsia" w:hAnsiTheme="minorEastAsia" w:cstheme="minorEastAsia"/>
          <w:color w:val="auto"/>
          <w:spacing w:val="0"/>
          <w:szCs w:val="24"/>
          <w:highlight w:val="none"/>
        </w:rPr>
        <w:t xml:space="preserve"> 在提交响应文件截止时间之后，磋商供应商不得补充、修改其响应文件。</w:t>
      </w:r>
    </w:p>
    <w:p w14:paraId="49930EA5">
      <w:pPr>
        <w:adjustRightInd w:val="0"/>
        <w:spacing w:line="360" w:lineRule="auto"/>
        <w:ind w:firstLine="482" w:firstLineChars="200"/>
        <w:jc w:val="center"/>
        <w:rPr>
          <w:rFonts w:asciiTheme="minorEastAsia" w:hAnsiTheme="minorEastAsia" w:cstheme="minorEastAsia"/>
          <w:b/>
          <w:bCs/>
          <w:color w:val="auto"/>
          <w:kern w:val="0"/>
          <w:sz w:val="24"/>
          <w:szCs w:val="24"/>
          <w:highlight w:val="none"/>
        </w:rPr>
      </w:pPr>
    </w:p>
    <w:p w14:paraId="6CEBC06B">
      <w:pPr>
        <w:adjustRightInd w:val="0"/>
        <w:spacing w:line="360" w:lineRule="auto"/>
        <w:ind w:firstLine="482" w:firstLineChars="200"/>
        <w:jc w:val="center"/>
        <w:rPr>
          <w:rFonts w:asciiTheme="minorEastAsia" w:hAnsiTheme="minorEastAsia" w:cstheme="minorEastAsia"/>
          <w:b/>
          <w:bCs/>
          <w:color w:val="auto"/>
          <w:kern w:val="0"/>
          <w:sz w:val="24"/>
          <w:szCs w:val="24"/>
          <w:highlight w:val="none"/>
        </w:rPr>
      </w:pPr>
    </w:p>
    <w:p w14:paraId="4EFFF877">
      <w:pPr>
        <w:adjustRightInd w:val="0"/>
        <w:spacing w:line="360" w:lineRule="auto"/>
        <w:ind w:firstLine="482" w:firstLineChars="200"/>
        <w:jc w:val="center"/>
        <w:rPr>
          <w:rFonts w:asciiTheme="minorEastAsia" w:hAnsiTheme="minorEastAsia" w:cstheme="minorEastAsia"/>
          <w:b/>
          <w:bCs/>
          <w:color w:val="auto"/>
          <w:kern w:val="0"/>
          <w:sz w:val="24"/>
          <w:szCs w:val="24"/>
          <w:highlight w:val="none"/>
        </w:rPr>
      </w:pPr>
      <w:r>
        <w:rPr>
          <w:rFonts w:hint="eastAsia" w:asciiTheme="minorEastAsia" w:hAnsiTheme="minorEastAsia" w:cstheme="minorEastAsia"/>
          <w:b/>
          <w:bCs/>
          <w:color w:val="auto"/>
          <w:kern w:val="0"/>
          <w:sz w:val="24"/>
          <w:szCs w:val="24"/>
          <w:highlight w:val="none"/>
        </w:rPr>
        <w:t>（五） 磋商程序及评审方法</w:t>
      </w:r>
    </w:p>
    <w:p w14:paraId="5B2A167A">
      <w:pPr>
        <w:spacing w:line="360" w:lineRule="auto"/>
        <w:ind w:firstLine="360" w:firstLineChars="15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采购代理机构结束解密后，磋商小组接收所有的响应文件开始评审。</w:t>
      </w:r>
    </w:p>
    <w:p w14:paraId="3B6C0919">
      <w:pPr>
        <w:spacing w:line="360" w:lineRule="auto"/>
        <w:ind w:firstLine="361" w:firstLineChars="150"/>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 xml:space="preserve">24.1 第一轮磋商 </w:t>
      </w:r>
    </w:p>
    <w:p w14:paraId="78B803CB">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磋商时间及地点:详见本须知前附表第</w:t>
      </w:r>
      <w:r>
        <w:rPr>
          <w:rStyle w:val="53"/>
          <w:rFonts w:hint="eastAsia" w:asciiTheme="minorEastAsia" w:hAnsiTheme="minorEastAsia"/>
          <w:color w:val="auto"/>
          <w:sz w:val="24"/>
          <w:szCs w:val="24"/>
          <w:highlight w:val="none"/>
        </w:rPr>
        <w:t>17</w:t>
      </w:r>
      <w:r>
        <w:rPr>
          <w:rStyle w:val="53"/>
          <w:rFonts w:asciiTheme="minorEastAsia" w:hAnsiTheme="minorEastAsia"/>
          <w:color w:val="auto"/>
          <w:sz w:val="24"/>
          <w:szCs w:val="24"/>
          <w:highlight w:val="none"/>
        </w:rPr>
        <w:t>项规定。</w:t>
      </w:r>
    </w:p>
    <w:p w14:paraId="02D36BCE">
      <w:pPr>
        <w:spacing w:line="360" w:lineRule="auto"/>
        <w:ind w:firstLine="360" w:firstLineChars="150"/>
        <w:rPr>
          <w:rFonts w:asciiTheme="minorEastAsia" w:hAnsiTheme="minorEastAsia"/>
          <w:bCs/>
          <w:color w:val="auto"/>
          <w:sz w:val="24"/>
          <w:szCs w:val="24"/>
          <w:highlight w:val="none"/>
        </w:rPr>
      </w:pPr>
      <w:r>
        <w:rPr>
          <w:rFonts w:hint="eastAsia" w:asciiTheme="minorEastAsia" w:hAnsiTheme="minorEastAsia"/>
          <w:bCs/>
          <w:color w:val="auto"/>
          <w:sz w:val="24"/>
          <w:szCs w:val="24"/>
          <w:highlight w:val="none"/>
        </w:rPr>
        <w:t>磋商小组评审响应文件</w:t>
      </w:r>
    </w:p>
    <w:p w14:paraId="190E993A">
      <w:pPr>
        <w:spacing w:line="360" w:lineRule="auto"/>
        <w:ind w:firstLine="360" w:firstLineChars="15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磋商小组对供应商资格条件和响应文件的有效性、完整性和响应程度进行审查。</w:t>
      </w:r>
      <w:r>
        <w:rPr>
          <w:rStyle w:val="53"/>
          <w:rFonts w:asciiTheme="minorEastAsia" w:hAnsiTheme="minorEastAsia"/>
          <w:color w:val="auto"/>
          <w:sz w:val="24"/>
          <w:szCs w:val="24"/>
          <w:highlight w:val="none"/>
        </w:rPr>
        <w:t>审查竞争性磋商响应文件是否实质上响应了竞争性磋商文件的要求，在评审</w:t>
      </w:r>
      <w:r>
        <w:rPr>
          <w:rStyle w:val="53"/>
          <w:rFonts w:hint="eastAsia" w:asciiTheme="minorEastAsia" w:hAnsiTheme="minorEastAsia"/>
          <w:color w:val="auto"/>
          <w:sz w:val="24"/>
          <w:szCs w:val="24"/>
          <w:highlight w:val="none"/>
        </w:rPr>
        <w:t>时</w:t>
      </w:r>
      <w:r>
        <w:rPr>
          <w:rStyle w:val="53"/>
          <w:rFonts w:asciiTheme="minorEastAsia" w:hAnsiTheme="minorEastAsia"/>
          <w:color w:val="auto"/>
          <w:sz w:val="24"/>
          <w:szCs w:val="24"/>
          <w:highlight w:val="none"/>
        </w:rPr>
        <w:t>由磋商小组组长主持，归纳各专家审核意见，形成磋商</w:t>
      </w:r>
      <w:r>
        <w:rPr>
          <w:rStyle w:val="53"/>
          <w:rFonts w:hint="eastAsia" w:asciiTheme="minorEastAsia" w:hAnsiTheme="minorEastAsia"/>
          <w:color w:val="auto"/>
          <w:sz w:val="24"/>
          <w:szCs w:val="24"/>
          <w:highlight w:val="none"/>
        </w:rPr>
        <w:t>记录。</w:t>
      </w:r>
    </w:p>
    <w:p w14:paraId="1CF34201">
      <w:pPr>
        <w:spacing w:line="360" w:lineRule="auto"/>
        <w:ind w:firstLine="361" w:firstLineChars="150"/>
        <w:rPr>
          <w:rFonts w:asciiTheme="minorEastAsia" w:hAnsiTheme="minorEastAsia"/>
          <w:color w:val="auto"/>
          <w:sz w:val="24"/>
          <w:szCs w:val="24"/>
          <w:highlight w:val="none"/>
        </w:rPr>
      </w:pPr>
      <w:r>
        <w:rPr>
          <w:rFonts w:hint="eastAsia" w:asciiTheme="minorEastAsia" w:hAnsiTheme="minorEastAsia"/>
          <w:b/>
          <w:bCs/>
          <w:color w:val="auto"/>
          <w:sz w:val="24"/>
          <w:szCs w:val="24"/>
          <w:highlight w:val="none"/>
        </w:rPr>
        <w:t>特别说明：政采云公司如对电子化磋商及评审程序有调整的，按调整后的程序操作。</w:t>
      </w:r>
    </w:p>
    <w:p w14:paraId="60B3854A">
      <w:pPr>
        <w:spacing w:line="360" w:lineRule="auto"/>
        <w:ind w:firstLine="360" w:firstLineChars="15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14:paraId="270CA634">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 xml:space="preserve">.1.1确定参加磋商的供应商名单。磋商小组将所有通过资格性审查及符合性审查的供应商确定为参加磋商的供应商。 </w:t>
      </w:r>
    </w:p>
    <w:p w14:paraId="5796FF1C">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.1.2采购过程中出现以下情形，导致电子交易平台无法正常运行，或者无法保证电子交易的公平、公正和安全时，采购组织机构可中止电子交易活动：</w:t>
      </w:r>
    </w:p>
    <w:p w14:paraId="3B2AC486">
      <w:pPr>
        <w:spacing w:line="360" w:lineRule="auto"/>
        <w:ind w:firstLine="360" w:firstLineChars="150"/>
        <w:rPr>
          <w:rFonts w:asciiTheme="minorEastAsia" w:hAnsiTheme="minorEastAsia"/>
          <w:color w:val="auto"/>
          <w:sz w:val="24"/>
          <w:szCs w:val="24"/>
          <w:highlight w:val="none"/>
        </w:rPr>
      </w:pPr>
      <w:bookmarkStart w:id="179" w:name="_Hlk95579850"/>
      <w:r>
        <w:rPr>
          <w:rFonts w:asciiTheme="minorEastAsia" w:hAnsiTheme="minorEastAsia"/>
          <w:color w:val="auto"/>
          <w:sz w:val="24"/>
          <w:szCs w:val="24"/>
          <w:highlight w:val="none"/>
        </w:rPr>
        <w:t>24</w:t>
      </w:r>
      <w:bookmarkEnd w:id="179"/>
      <w:r>
        <w:rPr>
          <w:rFonts w:hint="eastAsia" w:asciiTheme="minorEastAsia" w:hAnsiTheme="minorEastAsia"/>
          <w:color w:val="auto"/>
          <w:sz w:val="24"/>
          <w:szCs w:val="24"/>
          <w:highlight w:val="none"/>
        </w:rPr>
        <w:t xml:space="preserve">.1.3电子交易平台发生故障而无法登录访问的； </w:t>
      </w:r>
    </w:p>
    <w:p w14:paraId="181F4FCB">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.1.4电子交易平台应用或数据库出现错误，不能进行正常操作的；</w:t>
      </w:r>
    </w:p>
    <w:p w14:paraId="0B65E0FF">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.1.5电子交易平台发现严重安全漏洞，有潜在泄密危险的；</w:t>
      </w:r>
    </w:p>
    <w:p w14:paraId="12D8D723">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 xml:space="preserve">.1.6病毒发作导致不能进行正常操作的； </w:t>
      </w:r>
    </w:p>
    <w:p w14:paraId="5BAD9EE0">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.1.7其他无法保证电子交易的公平、公正和安全的情况。</w:t>
      </w:r>
    </w:p>
    <w:p w14:paraId="4D406E75">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.1.8出现前款规定情形，不影响采购公平、公正性的，采购组织机构可以待上述情形消除后继续组织电子交易活动，也可以决定某些环节以纸质形式进行；影响或可能影响采购公平、公正性的，应当重新采购。</w:t>
      </w:r>
    </w:p>
    <w:p w14:paraId="12E1267F">
      <w:pPr>
        <w:spacing w:line="360" w:lineRule="auto"/>
        <w:ind w:firstLine="360" w:firstLineChars="150"/>
        <w:rPr>
          <w:rFonts w:asciiTheme="minorEastAsia" w:hAnsiTheme="minorEastAsia"/>
          <w:color w:val="auto"/>
          <w:sz w:val="24"/>
          <w:szCs w:val="24"/>
          <w:highlight w:val="none"/>
        </w:rPr>
      </w:pPr>
      <w:r>
        <w:rPr>
          <w:rFonts w:asciiTheme="minorEastAsia" w:hAnsiTheme="minorEastAsia"/>
          <w:color w:val="auto"/>
          <w:sz w:val="24"/>
          <w:szCs w:val="24"/>
          <w:highlight w:val="none"/>
        </w:rPr>
        <w:t>24</w:t>
      </w:r>
      <w:r>
        <w:rPr>
          <w:rFonts w:hint="eastAsia" w:asciiTheme="minorEastAsia" w:hAnsiTheme="minorEastAsia"/>
          <w:color w:val="auto"/>
          <w:sz w:val="24"/>
          <w:szCs w:val="24"/>
          <w:highlight w:val="none"/>
        </w:rPr>
        <w:t>.1.9磋商小组对磋商资格条件及响应文件进行评审，并从符合竟争性磋商文件规定的相应资格条件的供应商名单中确定不少于3家的供应商参加磋商，符合财库〔2014〕214号《政府采购竞争性磋商采购方式管理暂行办法》第三条第一项（政府购买服务项目）情形的和财库〔2015〕124号《财政部关于政府采购竞争性磋商采购方式管理暂行办法有关问题的补充通知》，确定不少于2家的供应商参加磋商。资格条件不符合的供应商或未实质性响应磋商文件的响应文件按无效响应处理，磋商小组应当告知有关供应商。</w:t>
      </w:r>
    </w:p>
    <w:p w14:paraId="3FADED85">
      <w:pPr>
        <w:spacing w:line="360" w:lineRule="auto"/>
        <w:ind w:firstLine="360" w:firstLineChars="150"/>
        <w:rPr>
          <w:rFonts w:asciiTheme="minorEastAsia" w:hAnsiTheme="minorEastAsia"/>
          <w:color w:val="auto"/>
          <w:sz w:val="24"/>
          <w:szCs w:val="24"/>
          <w:highlight w:val="none"/>
        </w:rPr>
      </w:pPr>
      <w:r>
        <w:rPr>
          <w:rFonts w:hint="eastAsia" w:asciiTheme="minorEastAsia" w:hAnsiTheme="minorEastAsia"/>
          <w:color w:val="auto"/>
          <w:sz w:val="24"/>
          <w:szCs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8D00D48">
      <w:pPr>
        <w:spacing w:line="360" w:lineRule="auto"/>
        <w:ind w:firstLine="360" w:firstLineChars="150"/>
        <w:rPr>
          <w:rStyle w:val="53"/>
          <w:rFonts w:asciiTheme="minorEastAsia" w:hAnsiTheme="minorEastAsia"/>
          <w:color w:val="auto"/>
          <w:sz w:val="24"/>
          <w:szCs w:val="24"/>
          <w:highlight w:val="none"/>
        </w:rPr>
      </w:pPr>
      <w:r>
        <w:rPr>
          <w:rFonts w:hint="eastAsia" w:asciiTheme="minorEastAsia" w:hAnsiTheme="minorEastAsia"/>
          <w:color w:val="auto"/>
          <w:sz w:val="24"/>
          <w:szCs w:val="24"/>
          <w:highlight w:val="none"/>
        </w:rPr>
        <w:t>磋商小组要求供应商澄清、说明或者更正响应文件应当在政采云在线评标系统向供应商发起在线询标澄清。供应商的澄清、说明或者更正应当由法定代表人或其授权代表签字或者加盖公章。由授权代表签字的，应当附法定代表人授权书。供应商为自然人的，应当由本人签字并附身份证明。</w:t>
      </w:r>
    </w:p>
    <w:p w14:paraId="247C2DA3">
      <w:pPr>
        <w:snapToGrid w:val="0"/>
        <w:spacing w:line="360" w:lineRule="auto"/>
        <w:ind w:firstLine="360" w:firstLineChars="150"/>
        <w:textAlignment w:val="bottom"/>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磋商主要内容及程序：</w:t>
      </w:r>
    </w:p>
    <w:p w14:paraId="13DA5905">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 xml:space="preserve">1. 就本项目各类报价进行磋商； </w:t>
      </w:r>
    </w:p>
    <w:p w14:paraId="39DB1D6F">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2. 就本项目的质量要求进行磋商</w:t>
      </w:r>
      <w:r>
        <w:rPr>
          <w:rStyle w:val="53"/>
          <w:rFonts w:hint="eastAsia" w:asciiTheme="minorEastAsia" w:hAnsiTheme="minorEastAsia"/>
          <w:color w:val="auto"/>
          <w:sz w:val="24"/>
          <w:szCs w:val="24"/>
          <w:highlight w:val="none"/>
        </w:rPr>
        <w:t>及</w:t>
      </w:r>
      <w:r>
        <w:rPr>
          <w:rStyle w:val="53"/>
          <w:rFonts w:asciiTheme="minorEastAsia" w:hAnsiTheme="minorEastAsia"/>
          <w:color w:val="auto"/>
          <w:sz w:val="24"/>
          <w:szCs w:val="24"/>
          <w:highlight w:val="none"/>
        </w:rPr>
        <w:t>对其作出相关承诺</w:t>
      </w:r>
      <w:r>
        <w:rPr>
          <w:rStyle w:val="53"/>
          <w:rFonts w:hint="eastAsia" w:asciiTheme="minorEastAsia" w:hAnsiTheme="minorEastAsia"/>
          <w:color w:val="auto"/>
          <w:sz w:val="24"/>
          <w:szCs w:val="24"/>
          <w:highlight w:val="none"/>
        </w:rPr>
        <w:t>。</w:t>
      </w:r>
    </w:p>
    <w:p w14:paraId="20B1696E">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磋商评审在严格保密的情况下进行，磋商的任何一方不得透露与磋商有关的其他供应商的技术服务资料、价格和其他信息。</w:t>
      </w:r>
    </w:p>
    <w:p w14:paraId="1C1E5343">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当磋商小组一致确定磋商供应商的竞争性磋商响应文件能够详细列明采购标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14:paraId="1ACFFCD9">
      <w:pPr>
        <w:spacing w:line="360" w:lineRule="auto"/>
        <w:ind w:firstLine="361" w:firstLineChars="150"/>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 xml:space="preserve">24.2 竞争性磋商文件变动  </w:t>
      </w:r>
    </w:p>
    <w:p w14:paraId="1AE97E4C">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 xml:space="preserve">⑴ 第一轮磋商结束后，各磋商供应商退场等候，由磋商小组组长主持，根据竞争性磋商文件和磋商情况结合第一轮磋商整体情况，可以对竞争性磋商文件采购需求中已事先明确的可能实质性变动采购中的技术、要求以及协议草案条款进行统一变动，但不得变动竞争性磋商文件中的其他内容。实质性变动的内容，须经采购人代表确认。  </w:t>
      </w:r>
    </w:p>
    <w:p w14:paraId="730D5FE4">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对竞争性磋商文件作出的实质性变动是竞争性磋商文件的有效组成部分，磋商小组应当同时通知所有参加磋商的磋商供应商，并要求磋商供应商做出书面响应。</w:t>
      </w:r>
    </w:p>
    <w:p w14:paraId="120A209A">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⑵ 磋商供应商应当按照竞争性磋商文件的变动情况和磋商小组的要求提交竞争性磋商</w:t>
      </w:r>
      <w:r>
        <w:rPr>
          <w:rStyle w:val="53"/>
          <w:rFonts w:hint="eastAsia" w:asciiTheme="minorEastAsia" w:hAnsiTheme="minorEastAsia"/>
          <w:color w:val="auto"/>
          <w:sz w:val="24"/>
          <w:szCs w:val="24"/>
          <w:highlight w:val="none"/>
        </w:rPr>
        <w:t>报价</w:t>
      </w:r>
      <w:r>
        <w:rPr>
          <w:rStyle w:val="53"/>
          <w:rFonts w:asciiTheme="minorEastAsia" w:hAnsiTheme="minorEastAsia"/>
          <w:color w:val="auto"/>
          <w:sz w:val="24"/>
          <w:szCs w:val="24"/>
          <w:highlight w:val="none"/>
        </w:rPr>
        <w:t xml:space="preserve">文件，逾时不交的，视同放弃磋商。重新提交的响应文件与竞争性磋商响应文件同具法律效力。  </w:t>
      </w:r>
    </w:p>
    <w:p w14:paraId="3A983840">
      <w:pPr>
        <w:spacing w:line="360" w:lineRule="auto"/>
        <w:ind w:firstLine="361" w:firstLineChars="150"/>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24.3 第二轮磋商</w:t>
      </w:r>
      <w:r>
        <w:rPr>
          <w:rStyle w:val="53"/>
          <w:rFonts w:hint="eastAsia" w:asciiTheme="minorEastAsia" w:hAnsiTheme="minorEastAsia"/>
          <w:b/>
          <w:color w:val="auto"/>
          <w:sz w:val="24"/>
          <w:szCs w:val="24"/>
          <w:highlight w:val="none"/>
        </w:rPr>
        <w:t>（如有）</w:t>
      </w:r>
    </w:p>
    <w:p w14:paraId="503DC337">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磋商小组集中就重新提交的响应文件或磋商小组提出的磋商意见与单一响应磋商供应商分别进行磋商。本公司对磋商过程和重要磋商内容进行记录，磋商双方在记录上签字确认。</w:t>
      </w:r>
    </w:p>
    <w:p w14:paraId="17BA412A">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磋商后，磋商供应商根据磋商小组统一整理的书面磋商记录要求做出书面承诺，并由其法定代表人(负责人)或授权代表签字或者加盖公章后按时</w:t>
      </w:r>
      <w:r>
        <w:rPr>
          <w:rStyle w:val="53"/>
          <w:rFonts w:hint="eastAsia" w:asciiTheme="minorEastAsia" w:hAnsiTheme="minorEastAsia"/>
          <w:color w:val="auto"/>
          <w:sz w:val="24"/>
          <w:szCs w:val="24"/>
          <w:highlight w:val="none"/>
        </w:rPr>
        <w:t>在</w:t>
      </w:r>
      <w:r>
        <w:rPr>
          <w:rStyle w:val="53"/>
          <w:rFonts w:asciiTheme="minorEastAsia" w:hAnsiTheme="minorEastAsia"/>
          <w:color w:val="auto"/>
          <w:sz w:val="24"/>
          <w:szCs w:val="24"/>
          <w:highlight w:val="none"/>
        </w:rPr>
        <w:t>广西政府采购云平台提交。</w:t>
      </w:r>
    </w:p>
    <w:p w14:paraId="18760AF0">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当磋商小组一致确定磋商供应商的竞争性磋商响应文件能够详细列明采购标的的技术、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14:paraId="29E22933">
      <w:pPr>
        <w:spacing w:line="360" w:lineRule="auto"/>
        <w:ind w:firstLine="361" w:firstLineChars="150"/>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24.4  磋商结束后，磋商小组应当要求所有实质性响应的供应商在规定时间内提交最后报价，提交最后报价的供应商不得少于3家。磋商文件能够详细列明采购标的的技术、要求的，磋商结束后，磋商小组应当要求所有继续参加磋商的供应商在规定时间内密封提交最后报价，提交最后报价的供应商不得少于3家。最后报价是供应商响应文件的有效组成部分。符合以下情形的：（一）政府购买服务项目；（二）技术复杂或者性质特殊，不能确定详细规格或者具体要求的；（三）因艺术品采购、专利、专有技术或者服务的时间、数量事先不能确定等原因不能事先计算出价格总额的；（四）市场竞争不充分的科研项目，以及需要扶持的科技成果转化项目；（五）按照招标投标法及其实施条例必须进行招标的工程建设项目以外的工程建设项目，提交最后报价的供应商可以为2家。</w:t>
      </w:r>
    </w:p>
    <w:p w14:paraId="09FBC4AD">
      <w:pPr>
        <w:tabs>
          <w:tab w:val="left" w:pos="540"/>
        </w:tabs>
        <w:spacing w:line="320" w:lineRule="exact"/>
        <w:ind w:firstLine="484" w:firstLineChars="201"/>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24.5最终磋商结束后，磋商小组不得再与供应商进行任何形式的商谈。</w:t>
      </w:r>
    </w:p>
    <w:p w14:paraId="1BB48013">
      <w:pPr>
        <w:tabs>
          <w:tab w:val="left" w:pos="540"/>
        </w:tabs>
        <w:spacing w:line="320" w:lineRule="exact"/>
        <w:ind w:firstLine="484" w:firstLineChars="201"/>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24.6评审与比较</w:t>
      </w:r>
    </w:p>
    <w:p w14:paraId="59E21109">
      <w:pPr>
        <w:tabs>
          <w:tab w:val="left" w:pos="540"/>
        </w:tabs>
        <w:spacing w:line="276" w:lineRule="auto"/>
        <w:ind w:firstLine="482" w:firstLineChars="201"/>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24.6.1经磋商确定最终采购需求和提交最后报价的供应商后，由磋商小组采用综合评分法对提交最后报价的供应商的响应文件和最后报价进行综合评分。</w:t>
      </w:r>
    </w:p>
    <w:p w14:paraId="78F5BD97">
      <w:pPr>
        <w:tabs>
          <w:tab w:val="left" w:pos="540"/>
        </w:tabs>
        <w:spacing w:line="276" w:lineRule="auto"/>
        <w:ind w:firstLine="482" w:firstLineChars="201"/>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24.6.2评审原则。磋商小组必须公平、公正、客观，不带任何倾向性和启发性；不得向外界透露任何与评审有关的内容；任何单位和个人不得干扰、影响评审的正常进行。</w:t>
      </w:r>
    </w:p>
    <w:p w14:paraId="0FF136E5">
      <w:pPr>
        <w:spacing w:line="360" w:lineRule="auto"/>
        <w:ind w:firstLine="361" w:firstLineChars="150"/>
        <w:rPr>
          <w:rStyle w:val="53"/>
          <w:rFonts w:asciiTheme="minorEastAsia" w:hAnsiTheme="minorEastAsia"/>
          <w:b/>
          <w:color w:val="auto"/>
          <w:sz w:val="24"/>
          <w:szCs w:val="24"/>
          <w:highlight w:val="none"/>
        </w:rPr>
      </w:pPr>
      <w:r>
        <w:rPr>
          <w:rStyle w:val="53"/>
          <w:rFonts w:asciiTheme="minorEastAsia" w:hAnsiTheme="minorEastAsia"/>
          <w:b/>
          <w:color w:val="auto"/>
          <w:sz w:val="24"/>
          <w:szCs w:val="24"/>
          <w:highlight w:val="none"/>
        </w:rPr>
        <w:t>24.7最后报价及成交候选磋商供应商推荐</w:t>
      </w:r>
    </w:p>
    <w:p w14:paraId="249E8F52">
      <w:pPr>
        <w:spacing w:line="360" w:lineRule="auto"/>
        <w:ind w:firstLine="480" w:firstLineChars="20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磋商结束后，磋商小组要求所有继续参加磋商的供应商在规定时间内提交最后报价。继续参加磋商的供应商作最后报价，由其法定代表人(负责人)或授权代表签字或者加盖公章后</w:t>
      </w:r>
      <w:r>
        <w:rPr>
          <w:rStyle w:val="53"/>
          <w:rFonts w:hint="eastAsia" w:asciiTheme="minorEastAsia" w:hAnsiTheme="minorEastAsia"/>
          <w:color w:val="auto"/>
          <w:sz w:val="24"/>
          <w:szCs w:val="24"/>
          <w:highlight w:val="none"/>
        </w:rPr>
        <w:t>在</w:t>
      </w:r>
      <w:r>
        <w:rPr>
          <w:rStyle w:val="53"/>
          <w:rFonts w:asciiTheme="minorEastAsia" w:hAnsiTheme="minorEastAsia"/>
          <w:color w:val="auto"/>
          <w:sz w:val="24"/>
          <w:szCs w:val="24"/>
          <w:highlight w:val="none"/>
        </w:rPr>
        <w:t>广西政府采购云平台提交至磋商小组</w:t>
      </w:r>
      <w:r>
        <w:rPr>
          <w:rStyle w:val="53"/>
          <w:rFonts w:hint="eastAsia" w:asciiTheme="minorEastAsia" w:hAnsiTheme="minorEastAsia"/>
          <w:color w:val="auto"/>
          <w:sz w:val="24"/>
          <w:szCs w:val="24"/>
          <w:highlight w:val="none"/>
        </w:rPr>
        <w:t>，逾时不交的，视同放弃磋商</w:t>
      </w:r>
      <w:r>
        <w:rPr>
          <w:rStyle w:val="53"/>
          <w:rFonts w:asciiTheme="minorEastAsia" w:hAnsiTheme="minorEastAsia"/>
          <w:color w:val="auto"/>
          <w:sz w:val="24"/>
          <w:szCs w:val="24"/>
          <w:highlight w:val="none"/>
        </w:rPr>
        <w:t>。</w:t>
      </w:r>
    </w:p>
    <w:p w14:paraId="0ED5BD49">
      <w:pPr>
        <w:spacing w:line="360" w:lineRule="auto"/>
        <w:ind w:firstLine="480" w:firstLineChars="20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 xml:space="preserve">磋商小组根据综合评分情况，按照评审得分由高到低顺序推荐3名成交候选供应商，并编写评审报告。评审得分相同的，按照最后报价由低到高的顺序推荐。评审得分且最后报价相同的，按照技术指标优劣顺序推荐，由采购单位确定成交候选供应商。最后报价是磋商供应商竞争性磋商响应文件的有效组成部分。 </w:t>
      </w:r>
    </w:p>
    <w:p w14:paraId="5285AC8E">
      <w:pPr>
        <w:spacing w:line="360" w:lineRule="auto"/>
        <w:ind w:firstLine="480" w:firstLineChars="20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5F4BCAB">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 xml:space="preserve">24.7 磋商供应商的报价均超过了上限控制价的，采购人不能支付的，磋商活动终止。  </w:t>
      </w:r>
    </w:p>
    <w:p w14:paraId="02D6EF2E">
      <w:pPr>
        <w:spacing w:line="360" w:lineRule="auto"/>
        <w:ind w:firstLine="360" w:firstLineChars="150"/>
        <w:rPr>
          <w:rStyle w:val="53"/>
          <w:rFonts w:asciiTheme="minorEastAsia" w:hAnsiTheme="minorEastAsia"/>
          <w:color w:val="auto"/>
          <w:sz w:val="24"/>
          <w:szCs w:val="24"/>
          <w:highlight w:val="none"/>
        </w:rPr>
      </w:pPr>
      <w:r>
        <w:rPr>
          <w:rStyle w:val="53"/>
          <w:rFonts w:asciiTheme="minorEastAsia" w:hAnsiTheme="minorEastAsia"/>
          <w:color w:val="auto"/>
          <w:sz w:val="24"/>
          <w:szCs w:val="24"/>
          <w:highlight w:val="none"/>
        </w:rPr>
        <w:t>24.8 本采购项目的评审依据为竞争性磋商文件和竞争性磋商响应文件，采用的评审方法为</w:t>
      </w:r>
      <w:r>
        <w:rPr>
          <w:rStyle w:val="53"/>
          <w:rFonts w:asciiTheme="minorEastAsia" w:hAnsiTheme="minorEastAsia"/>
          <w:color w:val="auto"/>
          <w:sz w:val="24"/>
          <w:szCs w:val="24"/>
          <w:highlight w:val="none"/>
          <w:u w:val="single"/>
        </w:rPr>
        <w:t>综合评分法</w:t>
      </w:r>
      <w:r>
        <w:rPr>
          <w:rStyle w:val="53"/>
          <w:rFonts w:asciiTheme="minorEastAsia" w:hAnsiTheme="minorEastAsia"/>
          <w:color w:val="auto"/>
          <w:sz w:val="24"/>
          <w:szCs w:val="24"/>
          <w:highlight w:val="none"/>
        </w:rPr>
        <w:t>。</w:t>
      </w:r>
    </w:p>
    <w:p w14:paraId="28802FE8">
      <w:pPr>
        <w:pStyle w:val="35"/>
        <w:spacing w:before="0" w:after="0" w:line="360" w:lineRule="auto"/>
        <w:ind w:firstLine="482" w:firstLineChars="200"/>
        <w:rPr>
          <w:rFonts w:asciiTheme="minorEastAsia" w:hAnsiTheme="minorEastAsia" w:cstheme="minorEastAsia"/>
          <w:b/>
          <w:bCs w:val="0"/>
          <w:color w:val="auto"/>
          <w:spacing w:val="0"/>
          <w:kern w:val="2"/>
          <w:szCs w:val="24"/>
          <w:highlight w:val="none"/>
        </w:rPr>
      </w:pPr>
      <w:r>
        <w:rPr>
          <w:rFonts w:asciiTheme="minorEastAsia" w:hAnsiTheme="minorEastAsia" w:cstheme="minorEastAsia"/>
          <w:b/>
          <w:bCs w:val="0"/>
          <w:color w:val="auto"/>
          <w:spacing w:val="0"/>
          <w:kern w:val="2"/>
          <w:szCs w:val="24"/>
          <w:highlight w:val="none"/>
        </w:rPr>
        <w:t>25</w:t>
      </w:r>
      <w:r>
        <w:rPr>
          <w:rFonts w:hint="eastAsia" w:asciiTheme="minorEastAsia" w:hAnsiTheme="minorEastAsia" w:cstheme="minorEastAsia"/>
          <w:b/>
          <w:bCs w:val="0"/>
          <w:color w:val="auto"/>
          <w:spacing w:val="0"/>
          <w:kern w:val="2"/>
          <w:szCs w:val="24"/>
          <w:highlight w:val="none"/>
        </w:rPr>
        <w:t>. 确定成交供应商办法</w:t>
      </w:r>
    </w:p>
    <w:p w14:paraId="4E5749EA">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25</w:t>
      </w:r>
      <w:r>
        <w:rPr>
          <w:rFonts w:hint="eastAsia" w:asciiTheme="minorEastAsia" w:hAnsiTheme="minorEastAsia" w:cstheme="minorEastAsia"/>
          <w:bCs/>
          <w:color w:val="auto"/>
          <w:kern w:val="0"/>
          <w:sz w:val="24"/>
          <w:szCs w:val="24"/>
          <w:highlight w:val="none"/>
        </w:rPr>
        <w:t>.1 磋商小组应当根据综合评分情况，按照评审得分由高到低顺序推荐3名以上（含3名）成交候选供应商，并编写评标报告。评审得分相同的，按照最后报价由低到高的顺序推荐；评审得分且最后报价相同的，按照技术部分优劣顺序推荐。</w:t>
      </w:r>
    </w:p>
    <w:p w14:paraId="2AEB2C8D">
      <w:pPr>
        <w:pStyle w:val="35"/>
        <w:spacing w:before="0" w:after="0" w:line="360" w:lineRule="auto"/>
        <w:ind w:firstLine="482" w:firstLineChars="200"/>
        <w:rPr>
          <w:rFonts w:asciiTheme="minorEastAsia" w:hAnsiTheme="minorEastAsia" w:cstheme="minorEastAsia"/>
          <w:b/>
          <w:bCs w:val="0"/>
          <w:color w:val="auto"/>
          <w:spacing w:val="0"/>
          <w:kern w:val="2"/>
          <w:szCs w:val="24"/>
          <w:highlight w:val="none"/>
        </w:rPr>
      </w:pPr>
      <w:r>
        <w:rPr>
          <w:rFonts w:hint="eastAsia" w:asciiTheme="minorEastAsia" w:hAnsiTheme="minorEastAsia" w:cstheme="minorEastAsia"/>
          <w:b/>
          <w:bCs w:val="0"/>
          <w:color w:val="auto"/>
          <w:spacing w:val="0"/>
          <w:kern w:val="2"/>
          <w:szCs w:val="24"/>
          <w:highlight w:val="none"/>
        </w:rPr>
        <w:t>2</w:t>
      </w:r>
      <w:r>
        <w:rPr>
          <w:rFonts w:asciiTheme="minorEastAsia" w:hAnsiTheme="minorEastAsia" w:cstheme="minorEastAsia"/>
          <w:b/>
          <w:bCs w:val="0"/>
          <w:color w:val="auto"/>
          <w:spacing w:val="0"/>
          <w:kern w:val="2"/>
          <w:szCs w:val="24"/>
          <w:highlight w:val="none"/>
        </w:rPr>
        <w:t>6</w:t>
      </w:r>
      <w:r>
        <w:rPr>
          <w:rFonts w:hint="eastAsia" w:asciiTheme="minorEastAsia" w:hAnsiTheme="minorEastAsia" w:cstheme="minorEastAsia"/>
          <w:b/>
          <w:bCs w:val="0"/>
          <w:color w:val="auto"/>
          <w:spacing w:val="0"/>
          <w:kern w:val="2"/>
          <w:szCs w:val="24"/>
          <w:highlight w:val="none"/>
        </w:rPr>
        <w:t>.</w:t>
      </w:r>
      <w:r>
        <w:rPr>
          <w:rFonts w:asciiTheme="minorEastAsia" w:hAnsiTheme="minorEastAsia" w:cstheme="minorEastAsia"/>
          <w:b/>
          <w:bCs w:val="0"/>
          <w:color w:val="auto"/>
          <w:spacing w:val="0"/>
          <w:kern w:val="2"/>
          <w:szCs w:val="24"/>
          <w:highlight w:val="none"/>
        </w:rPr>
        <w:t xml:space="preserve"> </w:t>
      </w:r>
      <w:r>
        <w:rPr>
          <w:rFonts w:hint="eastAsia" w:asciiTheme="minorEastAsia" w:hAnsiTheme="minorEastAsia" w:cstheme="minorEastAsia"/>
          <w:b/>
          <w:bCs w:val="0"/>
          <w:color w:val="auto"/>
          <w:spacing w:val="0"/>
          <w:kern w:val="2"/>
          <w:szCs w:val="24"/>
          <w:highlight w:val="none"/>
        </w:rPr>
        <w:t>成交结果公告</w:t>
      </w:r>
    </w:p>
    <w:p w14:paraId="4153A8D2">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26.1代理机构应当自评审结束之日起2个工作日内将评审报告送交采购人，采购人在收到代理机构提交的评审报告后，2个工作日内从评审报告提出的成交候选供应商中确定成交供应商。</w:t>
      </w:r>
    </w:p>
    <w:p w14:paraId="6AED13A2">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26.2采购代理机构应当在成交供应商确定后2个工作日内，在磋商公告发布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前款规定的同样原因被取消成交资格的，采购人可以确定排名第三的成交候选人为成交人。</w:t>
      </w:r>
    </w:p>
    <w:p w14:paraId="377ED42F">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26.3磋商供应商认为成交结果使自己的权益受到损害的，可以在成交结果公告期限届满之日起七个工作日内以书面形式向本公司提出质疑。本公司将在收到磋商供应商的书面质疑后七个工作日内做出答复， 但答复的内容不得涉及商业秘密。</w:t>
      </w:r>
    </w:p>
    <w:p w14:paraId="76594439">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 xml:space="preserve">26.4质疑磋商供应商必须首先经过质疑程序，在对本公司的答复不满意或者本公司未在规定的时间内做出答复的，可以在答复期满后十五个工作日内书面向本级采购监督管理部门投诉。  </w:t>
      </w:r>
    </w:p>
    <w:p w14:paraId="3184221F">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质疑联系部门及电话为：</w:t>
      </w:r>
      <w:r>
        <w:rPr>
          <w:rFonts w:hint="eastAsia" w:asciiTheme="minorEastAsia" w:hAnsiTheme="minorEastAsia" w:cstheme="minorEastAsia"/>
          <w:bCs/>
          <w:color w:val="auto"/>
          <w:kern w:val="0"/>
          <w:sz w:val="24"/>
          <w:szCs w:val="24"/>
          <w:highlight w:val="none"/>
        </w:rPr>
        <w:t>华睿诚项目管理有限公司，电话：</w:t>
      </w:r>
      <w:r>
        <w:rPr>
          <w:rFonts w:hint="eastAsia" w:cs="宋体" w:asciiTheme="minorEastAsia" w:hAnsiTheme="minorEastAsia"/>
          <w:bCs/>
          <w:color w:val="auto"/>
          <w:kern w:val="0"/>
          <w:sz w:val="24"/>
          <w:szCs w:val="24"/>
          <w:highlight w:val="none"/>
        </w:rPr>
        <w:t>0774-5832822</w:t>
      </w:r>
    </w:p>
    <w:p w14:paraId="327FD081">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投诉联系部门及电话为：</w:t>
      </w:r>
      <w:r>
        <w:rPr>
          <w:rFonts w:hint="eastAsia" w:asciiTheme="minorEastAsia" w:hAnsiTheme="minorEastAsia" w:cstheme="minorEastAsia"/>
          <w:bCs/>
          <w:color w:val="auto"/>
          <w:kern w:val="0"/>
          <w:sz w:val="24"/>
          <w:szCs w:val="24"/>
          <w:highlight w:val="none"/>
        </w:rPr>
        <w:t>梧州市财政局政府采购监督管理科，联系电话：</w:t>
      </w:r>
      <w:r>
        <w:rPr>
          <w:rFonts w:asciiTheme="minorEastAsia" w:hAnsiTheme="minorEastAsia" w:cstheme="minorEastAsia"/>
          <w:bCs/>
          <w:color w:val="auto"/>
          <w:kern w:val="0"/>
          <w:sz w:val="24"/>
          <w:szCs w:val="24"/>
          <w:highlight w:val="none"/>
        </w:rPr>
        <w:t>077</w:t>
      </w:r>
      <w:r>
        <w:rPr>
          <w:rFonts w:hint="eastAsia" w:asciiTheme="minorEastAsia" w:hAnsiTheme="minorEastAsia" w:cstheme="minorEastAsia"/>
          <w:bCs/>
          <w:color w:val="auto"/>
          <w:kern w:val="0"/>
          <w:sz w:val="24"/>
          <w:szCs w:val="24"/>
          <w:highlight w:val="none"/>
        </w:rPr>
        <w:t>4</w:t>
      </w:r>
      <w:r>
        <w:rPr>
          <w:rFonts w:asciiTheme="minorEastAsia" w:hAnsiTheme="minorEastAsia" w:cstheme="minorEastAsia"/>
          <w:bCs/>
          <w:color w:val="auto"/>
          <w:kern w:val="0"/>
          <w:sz w:val="24"/>
          <w:szCs w:val="24"/>
          <w:highlight w:val="none"/>
        </w:rPr>
        <w:t>-</w:t>
      </w:r>
      <w:r>
        <w:rPr>
          <w:rFonts w:hint="eastAsia" w:asciiTheme="minorEastAsia" w:hAnsiTheme="minorEastAsia" w:cstheme="minorEastAsia"/>
          <w:bCs/>
          <w:color w:val="auto"/>
          <w:kern w:val="0"/>
          <w:sz w:val="24"/>
          <w:szCs w:val="24"/>
          <w:highlight w:val="none"/>
        </w:rPr>
        <w:t>3866434。</w:t>
      </w:r>
    </w:p>
    <w:p w14:paraId="0B96CEAF">
      <w:pPr>
        <w:pStyle w:val="35"/>
        <w:numPr>
          <w:ilvl w:val="0"/>
          <w:numId w:val="3"/>
        </w:numPr>
        <w:spacing w:before="0" w:after="0"/>
        <w:jc w:val="center"/>
        <w:rPr>
          <w:rFonts w:asciiTheme="minorEastAsia" w:hAnsiTheme="minorEastAsia" w:cstheme="minorEastAsia"/>
          <w:b/>
          <w:color w:val="auto"/>
          <w:spacing w:val="0"/>
          <w:szCs w:val="24"/>
          <w:highlight w:val="none"/>
        </w:rPr>
      </w:pPr>
      <w:r>
        <w:rPr>
          <w:rFonts w:hint="eastAsia" w:asciiTheme="minorEastAsia" w:hAnsiTheme="minorEastAsia" w:cstheme="minorEastAsia"/>
          <w:b/>
          <w:color w:val="auto"/>
          <w:spacing w:val="0"/>
          <w:szCs w:val="24"/>
          <w:highlight w:val="none"/>
        </w:rPr>
        <w:t xml:space="preserve"> 合同的授予</w:t>
      </w:r>
    </w:p>
    <w:p w14:paraId="042BF6D2">
      <w:pPr>
        <w:pStyle w:val="35"/>
        <w:spacing w:before="0" w:after="0"/>
        <w:jc w:val="both"/>
        <w:rPr>
          <w:rFonts w:asciiTheme="minorEastAsia" w:hAnsiTheme="minorEastAsia" w:cstheme="minorEastAsia"/>
          <w:b/>
          <w:color w:val="auto"/>
          <w:spacing w:val="0"/>
          <w:szCs w:val="24"/>
          <w:highlight w:val="none"/>
        </w:rPr>
      </w:pPr>
    </w:p>
    <w:p w14:paraId="3C7C90B2">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27.1 成交供应商自成交通知书发出之日起</w:t>
      </w:r>
      <w:r>
        <w:rPr>
          <w:rFonts w:hint="eastAsia" w:asciiTheme="minorEastAsia" w:hAnsiTheme="minorEastAsia" w:cstheme="minorEastAsia"/>
          <w:bCs/>
          <w:color w:val="auto"/>
          <w:kern w:val="0"/>
          <w:sz w:val="24"/>
          <w:szCs w:val="24"/>
          <w:highlight w:val="none"/>
        </w:rPr>
        <w:t>15个日内</w:t>
      </w:r>
      <w:r>
        <w:rPr>
          <w:rFonts w:asciiTheme="minorEastAsia" w:hAnsiTheme="minorEastAsia" w:cstheme="minorEastAsia"/>
          <w:bCs/>
          <w:color w:val="auto"/>
          <w:kern w:val="0"/>
          <w:sz w:val="24"/>
          <w:szCs w:val="24"/>
          <w:highlight w:val="none"/>
        </w:rPr>
        <w:t xml:space="preserve">与采购人签订协议。  </w:t>
      </w:r>
    </w:p>
    <w:p w14:paraId="5E9473DF">
      <w:pPr>
        <w:adjustRightInd w:val="0"/>
        <w:spacing w:line="360" w:lineRule="auto"/>
        <w:ind w:firstLine="480" w:firstLineChars="200"/>
        <w:rPr>
          <w:rFonts w:asciiTheme="minorEastAsia" w:hAnsiTheme="minorEastAsia" w:cstheme="minorEastAsia"/>
          <w:bCs/>
          <w:color w:val="auto"/>
          <w:kern w:val="0"/>
          <w:sz w:val="24"/>
          <w:szCs w:val="24"/>
          <w:highlight w:val="none"/>
        </w:rPr>
      </w:pPr>
      <w:r>
        <w:rPr>
          <w:rFonts w:asciiTheme="minorEastAsia" w:hAnsiTheme="minorEastAsia" w:cstheme="minorEastAsia"/>
          <w:bCs/>
          <w:color w:val="auto"/>
          <w:kern w:val="0"/>
          <w:sz w:val="24"/>
          <w:szCs w:val="24"/>
          <w:highlight w:val="none"/>
        </w:rPr>
        <w:t xml:space="preserve">27.2 成交供应商拒绝签订采购协议的，采购人可以根据磋商评审报告确定成交供应商之后排名第一的成交候选供应商作为成交供应商并签订采购协议，也可以重新组织开展采购活动。拒绝签订采购协议的成交供应商不得再参加对该项目重新组织开展的采购活动 。   </w:t>
      </w:r>
    </w:p>
    <w:p w14:paraId="52052F90">
      <w:pPr>
        <w:adjustRightInd w:val="0"/>
        <w:spacing w:line="360" w:lineRule="auto"/>
        <w:ind w:firstLine="480" w:firstLineChars="200"/>
        <w:rPr>
          <w:rStyle w:val="53"/>
          <w:rFonts w:asciiTheme="minorEastAsia" w:hAnsiTheme="minorEastAsia"/>
          <w:color w:val="auto"/>
          <w:sz w:val="24"/>
          <w:szCs w:val="24"/>
          <w:highlight w:val="none"/>
        </w:rPr>
      </w:pPr>
      <w:r>
        <w:rPr>
          <w:rFonts w:asciiTheme="minorEastAsia" w:hAnsiTheme="minorEastAsia" w:cstheme="minorEastAsia"/>
          <w:bCs/>
          <w:color w:val="auto"/>
          <w:kern w:val="0"/>
          <w:sz w:val="24"/>
          <w:szCs w:val="24"/>
          <w:highlight w:val="none"/>
        </w:rPr>
        <w:t xml:space="preserve">27.3 成交供应商拒绝签订采购协议的，给采购人造成其损失的，还应当赔偿损失，并作为不良行为记录在案。 </w:t>
      </w:r>
      <w:r>
        <w:rPr>
          <w:rStyle w:val="53"/>
          <w:rFonts w:asciiTheme="minorEastAsia" w:hAnsiTheme="minorEastAsia"/>
          <w:color w:val="auto"/>
          <w:sz w:val="24"/>
          <w:szCs w:val="24"/>
          <w:highlight w:val="none"/>
        </w:rPr>
        <w:t xml:space="preserve"> </w:t>
      </w:r>
    </w:p>
    <w:p w14:paraId="4B1A5A6E">
      <w:pPr>
        <w:adjustRightInd w:val="0"/>
        <w:spacing w:line="360" w:lineRule="auto"/>
        <w:ind w:firstLine="482" w:firstLineChars="200"/>
        <w:jc w:val="center"/>
        <w:rPr>
          <w:rFonts w:asciiTheme="minorEastAsia" w:hAnsiTheme="minorEastAsia" w:cstheme="minorEastAsia"/>
          <w:b/>
          <w:color w:val="auto"/>
          <w:kern w:val="0"/>
          <w:sz w:val="24"/>
          <w:szCs w:val="24"/>
          <w:highlight w:val="none"/>
        </w:rPr>
      </w:pPr>
      <w:r>
        <w:rPr>
          <w:rFonts w:hint="eastAsia" w:asciiTheme="minorEastAsia" w:hAnsiTheme="minorEastAsia" w:cstheme="minorEastAsia"/>
          <w:b/>
          <w:color w:val="auto"/>
          <w:kern w:val="0"/>
          <w:sz w:val="24"/>
          <w:szCs w:val="24"/>
          <w:highlight w:val="none"/>
        </w:rPr>
        <w:t>（八）  其他</w:t>
      </w:r>
      <w:bookmarkStart w:id="180" w:name="_Toc10858"/>
    </w:p>
    <w:p w14:paraId="711CB43A">
      <w:pPr>
        <w:adjustRightInd w:val="0"/>
        <w:spacing w:line="446" w:lineRule="exact"/>
        <w:ind w:firstLine="482" w:firstLineChars="200"/>
        <w:rPr>
          <w:rFonts w:asciiTheme="minorEastAsia" w:hAnsiTheme="minorEastAsia" w:cstheme="minorEastAsia"/>
          <w:b/>
          <w:color w:val="auto"/>
          <w:kern w:val="0"/>
          <w:sz w:val="24"/>
          <w:szCs w:val="24"/>
          <w:highlight w:val="none"/>
        </w:rPr>
      </w:pPr>
      <w:r>
        <w:rPr>
          <w:rFonts w:asciiTheme="minorEastAsia" w:hAnsiTheme="minorEastAsia" w:cstheme="minorEastAsia"/>
          <w:b/>
          <w:color w:val="auto"/>
          <w:kern w:val="0"/>
          <w:sz w:val="24"/>
          <w:szCs w:val="24"/>
          <w:highlight w:val="none"/>
        </w:rPr>
        <w:t>28</w:t>
      </w:r>
      <w:r>
        <w:rPr>
          <w:rFonts w:hint="eastAsia" w:asciiTheme="minorEastAsia" w:hAnsiTheme="minorEastAsia" w:cstheme="minorEastAsia"/>
          <w:b/>
          <w:color w:val="auto"/>
          <w:kern w:val="0"/>
          <w:sz w:val="24"/>
          <w:szCs w:val="24"/>
          <w:highlight w:val="none"/>
        </w:rPr>
        <w:t>. 履约担保</w:t>
      </w:r>
      <w:bookmarkEnd w:id="180"/>
    </w:p>
    <w:p w14:paraId="0E1712D5">
      <w:pPr>
        <w:spacing w:line="446" w:lineRule="exact"/>
        <w:ind w:firstLine="480" w:firstLineChars="200"/>
        <w:rPr>
          <w:rFonts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rPr>
        <w:t>28</w:t>
      </w:r>
      <w:r>
        <w:rPr>
          <w:rFonts w:hint="eastAsia" w:asciiTheme="minorEastAsia" w:hAnsiTheme="minorEastAsia" w:cstheme="minorEastAsia"/>
          <w:color w:val="auto"/>
          <w:sz w:val="24"/>
          <w:szCs w:val="24"/>
          <w:highlight w:val="none"/>
        </w:rPr>
        <w:t>.1 合同协议书签订前，成交人应按前附表第19项规定的金额、方式提交履约担保。</w:t>
      </w:r>
    </w:p>
    <w:p w14:paraId="68CC585D">
      <w:pPr>
        <w:spacing w:line="446" w:lineRule="exact"/>
        <w:ind w:firstLine="500"/>
        <w:rPr>
          <w:rFonts w:asciiTheme="minorEastAsia" w:hAnsiTheme="minorEastAsia" w:cstheme="minorEastAsia"/>
          <w:color w:val="auto"/>
          <w:sz w:val="24"/>
          <w:szCs w:val="24"/>
          <w:highlight w:val="none"/>
        </w:rPr>
      </w:pPr>
      <w:r>
        <w:rPr>
          <w:rFonts w:asciiTheme="minorEastAsia" w:hAnsiTheme="minorEastAsia" w:cstheme="minorEastAsia"/>
          <w:color w:val="auto"/>
          <w:sz w:val="24"/>
          <w:szCs w:val="24"/>
          <w:highlight w:val="none"/>
        </w:rPr>
        <w:t>28</w:t>
      </w:r>
      <w:r>
        <w:rPr>
          <w:rFonts w:hint="eastAsia" w:asciiTheme="minorEastAsia" w:hAnsiTheme="minorEastAsia" w:cstheme="minorEastAsia"/>
          <w:color w:val="auto"/>
          <w:sz w:val="24"/>
          <w:szCs w:val="24"/>
          <w:highlight w:val="none"/>
        </w:rPr>
        <w:t>.2履约担保返还方式：按照采购人与成交单位的合同协议书。</w:t>
      </w:r>
    </w:p>
    <w:p w14:paraId="3FA7F166">
      <w:pPr>
        <w:pStyle w:val="35"/>
        <w:spacing w:before="0" w:after="0" w:line="446" w:lineRule="exact"/>
        <w:ind w:firstLine="482" w:firstLineChars="200"/>
        <w:rPr>
          <w:rFonts w:asciiTheme="minorEastAsia" w:hAnsiTheme="minorEastAsia" w:cstheme="minorEastAsia"/>
          <w:b/>
          <w:bCs w:val="0"/>
          <w:color w:val="auto"/>
          <w:spacing w:val="0"/>
          <w:szCs w:val="24"/>
          <w:highlight w:val="none"/>
        </w:rPr>
      </w:pPr>
      <w:r>
        <w:rPr>
          <w:rFonts w:hint="eastAsia" w:asciiTheme="minorEastAsia" w:hAnsiTheme="minorEastAsia" w:cstheme="minorEastAsia"/>
          <w:b/>
          <w:bCs w:val="0"/>
          <w:color w:val="auto"/>
          <w:spacing w:val="0"/>
          <w:szCs w:val="24"/>
          <w:highlight w:val="none"/>
        </w:rPr>
        <w:t>29. 采购代理服务费</w:t>
      </w:r>
    </w:p>
    <w:p w14:paraId="671C8825">
      <w:pPr>
        <w:pStyle w:val="2"/>
        <w:spacing w:line="360" w:lineRule="auto"/>
        <w:ind w:firstLine="480" w:firstLineChars="200"/>
        <w:jc w:val="both"/>
        <w:rPr>
          <w:rFonts w:asciiTheme="minorEastAsia" w:hAnsiTheme="minorEastAsia" w:cstheme="minorEastAsia"/>
          <w:b w:val="0"/>
          <w:bCs/>
          <w:color w:val="auto"/>
          <w:sz w:val="24"/>
          <w:szCs w:val="24"/>
          <w:highlight w:val="none"/>
        </w:rPr>
      </w:pPr>
      <w:bookmarkStart w:id="181" w:name="_Toc24614"/>
      <w:bookmarkStart w:id="182" w:name="_Toc108836087"/>
      <w:r>
        <w:rPr>
          <w:rFonts w:hint="eastAsia" w:asciiTheme="minorEastAsia" w:hAnsiTheme="minorEastAsia" w:cstheme="minorEastAsia"/>
          <w:b w:val="0"/>
          <w:bCs/>
          <w:color w:val="auto"/>
          <w:sz w:val="24"/>
          <w:szCs w:val="24"/>
          <w:highlight w:val="none"/>
        </w:rPr>
        <w:t>29.1成交相关费用</w:t>
      </w:r>
      <w:bookmarkEnd w:id="181"/>
    </w:p>
    <w:p w14:paraId="1BBCAEA6">
      <w:pPr>
        <w:pStyle w:val="2"/>
        <w:spacing w:line="360" w:lineRule="auto"/>
        <w:ind w:firstLine="480" w:firstLineChars="200"/>
        <w:rPr>
          <w:rFonts w:asciiTheme="minorEastAsia" w:hAnsiTheme="minorEastAsia" w:cstheme="minorEastAsia"/>
          <w:b w:val="0"/>
          <w:bCs/>
          <w:color w:val="auto"/>
          <w:sz w:val="24"/>
          <w:szCs w:val="24"/>
          <w:highlight w:val="none"/>
        </w:rPr>
      </w:pPr>
      <w:bookmarkStart w:id="183" w:name="_Toc3979"/>
      <w:r>
        <w:rPr>
          <w:rFonts w:hint="eastAsia" w:asciiTheme="minorEastAsia" w:hAnsiTheme="minorEastAsia" w:cstheme="minorEastAsia"/>
          <w:b w:val="0"/>
          <w:bCs/>
          <w:color w:val="auto"/>
          <w:sz w:val="24"/>
          <w:szCs w:val="24"/>
          <w:highlight w:val="none"/>
        </w:rPr>
        <w:t>29.1.1成交供应商向采购代理机构一次性付清代理服务费及开标评审费。</w:t>
      </w:r>
      <w:bookmarkEnd w:id="183"/>
    </w:p>
    <w:p w14:paraId="414266AB">
      <w:pPr>
        <w:pStyle w:val="2"/>
        <w:spacing w:line="360" w:lineRule="auto"/>
        <w:ind w:firstLine="480" w:firstLineChars="200"/>
        <w:rPr>
          <w:rFonts w:asciiTheme="minorEastAsia" w:hAnsiTheme="minorEastAsia" w:cstheme="minorEastAsia"/>
          <w:b w:val="0"/>
          <w:bCs/>
          <w:color w:val="auto"/>
          <w:sz w:val="24"/>
          <w:szCs w:val="24"/>
          <w:highlight w:val="none"/>
        </w:rPr>
      </w:pPr>
      <w:bookmarkStart w:id="184" w:name="_Toc13852"/>
      <w:r>
        <w:rPr>
          <w:rFonts w:hint="eastAsia" w:asciiTheme="minorEastAsia" w:hAnsiTheme="minorEastAsia" w:cstheme="minorEastAsia"/>
          <w:b w:val="0"/>
          <w:bCs/>
          <w:color w:val="auto"/>
          <w:sz w:val="24"/>
          <w:szCs w:val="24"/>
          <w:highlight w:val="none"/>
        </w:rPr>
        <w:t>29.1.2代理服务费金额按下表收费标准收取。</w:t>
      </w:r>
      <w:bookmarkEnd w:id="184"/>
    </w:p>
    <w:tbl>
      <w:tblPr>
        <w:tblStyle w:val="28"/>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6"/>
        <w:gridCol w:w="1740"/>
        <w:gridCol w:w="1740"/>
        <w:gridCol w:w="1741"/>
      </w:tblGrid>
      <w:tr w14:paraId="38FAA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6" w:type="dxa"/>
          </w:tcPr>
          <w:p w14:paraId="64DD5B3A">
            <w:pPr>
              <w:pStyle w:val="2"/>
              <w:widowControl w:val="0"/>
              <w:spacing w:line="360" w:lineRule="auto"/>
              <w:ind w:firstLine="2650" w:firstLineChars="1100"/>
              <w:jc w:val="left"/>
              <w:outlineLvl w:val="0"/>
              <w:rPr>
                <w:b w:val="0"/>
                <w:bCs/>
                <w:color w:val="auto"/>
                <w:sz w:val="24"/>
                <w:szCs w:val="24"/>
                <w:highlight w:val="none"/>
              </w:rPr>
            </w:pPr>
            <w:bookmarkStart w:id="185" w:name="_Toc30623"/>
            <w:r>
              <w:rPr>
                <w:color w:val="auto"/>
                <w:sz w:val="24"/>
                <w:highlight w:val="none"/>
              </w:rPr>
              <mc:AlternateContent>
                <mc:Choice Requires="wps">
                  <w:drawing>
                    <wp:anchor distT="0" distB="0" distL="114300" distR="114300" simplePos="0" relativeHeight="251662336" behindDoc="0" locked="0" layoutInCell="1" allowOverlap="1">
                      <wp:simplePos x="0" y="0"/>
                      <wp:positionH relativeFrom="column">
                        <wp:posOffset>1303655</wp:posOffset>
                      </wp:positionH>
                      <wp:positionV relativeFrom="paragraph">
                        <wp:posOffset>5080</wp:posOffset>
                      </wp:positionV>
                      <wp:extent cx="1209675" cy="781050"/>
                      <wp:effectExtent l="2540" t="3810" r="6985" b="15240"/>
                      <wp:wrapNone/>
                      <wp:docPr id="5" name="直接连接符 5"/>
                      <wp:cNvGraphicFramePr/>
                      <a:graphic xmlns:a="http://schemas.openxmlformats.org/drawingml/2006/main">
                        <a:graphicData uri="http://schemas.microsoft.com/office/word/2010/wordprocessingShape">
                          <wps:wsp>
                            <wps:cNvCnPr/>
                            <wps:spPr>
                              <a:xfrm>
                                <a:off x="2204085" y="4099560"/>
                                <a:ext cx="1209675" cy="78105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02.65pt;margin-top:0.4pt;height:61.5pt;width:95.25pt;z-index:251662336;mso-width-relative:page;mso-height-relative:page;" filled="f" stroked="t" coordsize="21600,21600" o:gfxdata="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2EtqdYAAAAIAQAADwAAAAAAAAABACAAAAAiAAAAZHJzL2Rvd25yZXYueG1s&#10;UEsBAhQAFAAAAAgAh07iQJ0f3zL6AQAA0AMAAA4AAAAAAAAAAQAgAAAAJQEAAGRycy9lMm9Eb2Mu&#10;eG1sUEsFBgAAAAAGAAYAWQEAAJEFAAAAAA==&#10;">
                      <v:fill on="f" focussize="0,0"/>
                      <v:stroke weight="0.5pt" color="#000000" miterlimit="8" joinstyle="miter"/>
                      <v:imagedata o:title=""/>
                      <o:lock v:ext="edit" aspectratio="f"/>
                    </v:line>
                  </w:pict>
                </mc:Fallback>
              </mc:AlternateContent>
            </w:r>
            <w:r>
              <w:rPr>
                <w:rFonts w:hint="eastAsia"/>
                <w:b w:val="0"/>
                <w:bCs/>
                <w:color w:val="auto"/>
                <w:sz w:val="24"/>
                <w:szCs w:val="24"/>
                <w:highlight w:val="none"/>
              </w:rPr>
              <w:t>服务类型</w:t>
            </w:r>
            <w:bookmarkEnd w:id="185"/>
          </w:p>
          <w:p w14:paraId="17D69D4E">
            <w:pPr>
              <w:widowControl w:val="0"/>
              <w:ind w:firstLine="1920" w:firstLineChars="800"/>
              <w:jc w:val="both"/>
              <w:rPr>
                <w:bCs/>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-77470</wp:posOffset>
                      </wp:positionH>
                      <wp:positionV relativeFrom="paragraph">
                        <wp:posOffset>-5080</wp:posOffset>
                      </wp:positionV>
                      <wp:extent cx="2600325" cy="495300"/>
                      <wp:effectExtent l="635" t="4445" r="8890" b="14605"/>
                      <wp:wrapNone/>
                      <wp:docPr id="1" name="直接连接符 1"/>
                      <wp:cNvGraphicFramePr/>
                      <a:graphic xmlns:a="http://schemas.openxmlformats.org/drawingml/2006/main">
                        <a:graphicData uri="http://schemas.microsoft.com/office/word/2010/wordprocessingShape">
                          <wps:wsp>
                            <wps:cNvCnPr/>
                            <wps:spPr>
                              <a:xfrm>
                                <a:off x="870585" y="4451985"/>
                                <a:ext cx="2600325" cy="49530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6.1pt;margin-top:-0.4pt;height:39pt;width:204.75pt;z-index:251661312;mso-width-relative:page;mso-height-relative:page;" filled="f" stroked="t" coordsize="21600,21600" o:gfxdata="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wouctcAAAAIAQAADwAAAAAAAAABACAAAAAiAAAAZHJzL2Rvd25yZXYueG1s&#10;UEsBAhQAFAAAAAgAh07iQFlpPnr5AQAAzwMAAA4AAAAAAAAAAQAgAAAAJgEAAGRycy9lMm9Eb2Mu&#10;eG1sUEsFBgAAAAAGAAYAWQEAAJEFAAAAAA==&#10;">
                      <v:fill on="f" focussize="0,0"/>
                      <v:stroke weight="0.5pt" color="#000000" miterlimit="8" joinstyle="miter"/>
                      <v:imagedata o:title=""/>
                      <o:lock v:ext="edit" aspectratio="f"/>
                    </v:line>
                  </w:pict>
                </mc:Fallback>
              </mc:AlternateContent>
            </w:r>
            <w:r>
              <w:rPr>
                <w:rFonts w:hint="eastAsia"/>
                <w:bCs/>
                <w:color w:val="auto"/>
                <w:sz w:val="24"/>
                <w:szCs w:val="24"/>
                <w:highlight w:val="none"/>
              </w:rPr>
              <w:t>费率</w:t>
            </w:r>
          </w:p>
          <w:p w14:paraId="0416EA2C">
            <w:pPr>
              <w:pStyle w:val="2"/>
              <w:widowControl w:val="0"/>
              <w:spacing w:line="360" w:lineRule="auto"/>
              <w:jc w:val="left"/>
              <w:outlineLvl w:val="0"/>
              <w:rPr>
                <w:b w:val="0"/>
                <w:bCs/>
                <w:color w:val="auto"/>
                <w:sz w:val="24"/>
                <w:szCs w:val="24"/>
                <w:highlight w:val="none"/>
              </w:rPr>
            </w:pPr>
            <w:bookmarkStart w:id="186" w:name="_Toc22819"/>
            <w:r>
              <w:rPr>
                <w:rFonts w:hint="eastAsia" w:asciiTheme="minorEastAsia" w:hAnsiTheme="minorEastAsia" w:cstheme="minorEastAsia"/>
                <w:b w:val="0"/>
                <w:bCs/>
                <w:color w:val="auto"/>
                <w:sz w:val="24"/>
                <w:szCs w:val="24"/>
                <w:highlight w:val="none"/>
              </w:rPr>
              <w:t>成交金额(万元)</w:t>
            </w:r>
            <w:bookmarkEnd w:id="186"/>
          </w:p>
        </w:tc>
        <w:tc>
          <w:tcPr>
            <w:tcW w:w="1740" w:type="dxa"/>
          </w:tcPr>
          <w:p w14:paraId="6DBE7166">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货物招标</w:t>
            </w:r>
          </w:p>
        </w:tc>
        <w:tc>
          <w:tcPr>
            <w:tcW w:w="1740" w:type="dxa"/>
          </w:tcPr>
          <w:p w14:paraId="0758A756">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 xml:space="preserve"> 服务招标</w:t>
            </w:r>
          </w:p>
        </w:tc>
        <w:tc>
          <w:tcPr>
            <w:tcW w:w="1741" w:type="dxa"/>
          </w:tcPr>
          <w:p w14:paraId="06017F41">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工程招标</w:t>
            </w:r>
          </w:p>
        </w:tc>
      </w:tr>
      <w:tr w14:paraId="6A4E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6" w:type="dxa"/>
          </w:tcPr>
          <w:p w14:paraId="26901325">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100以下</w:t>
            </w:r>
          </w:p>
        </w:tc>
        <w:tc>
          <w:tcPr>
            <w:tcW w:w="1740" w:type="dxa"/>
          </w:tcPr>
          <w:p w14:paraId="0892A255">
            <w:pPr>
              <w:widowControl w:val="0"/>
              <w:spacing w:line="440" w:lineRule="exact"/>
              <w:jc w:val="center"/>
              <w:rPr>
                <w:bCs/>
                <w:color w:val="auto"/>
                <w:sz w:val="24"/>
                <w:szCs w:val="24"/>
                <w:highlight w:val="none"/>
              </w:rPr>
            </w:pPr>
            <w:r>
              <w:rPr>
                <w:rFonts w:hint="eastAsia" w:ascii="宋体" w:hAnsi="宋体"/>
                <w:color w:val="auto"/>
                <w:sz w:val="24"/>
                <w:highlight w:val="none"/>
              </w:rPr>
              <w:t>1.5%</w:t>
            </w:r>
          </w:p>
        </w:tc>
        <w:tc>
          <w:tcPr>
            <w:tcW w:w="1740" w:type="dxa"/>
          </w:tcPr>
          <w:p w14:paraId="0386C198">
            <w:pPr>
              <w:widowControl w:val="0"/>
              <w:spacing w:line="440" w:lineRule="exact"/>
              <w:jc w:val="center"/>
              <w:rPr>
                <w:bCs/>
                <w:color w:val="auto"/>
                <w:sz w:val="24"/>
                <w:szCs w:val="24"/>
                <w:highlight w:val="none"/>
              </w:rPr>
            </w:pPr>
            <w:r>
              <w:rPr>
                <w:rFonts w:hint="eastAsia" w:ascii="宋体" w:hAnsi="宋体"/>
                <w:color w:val="auto"/>
                <w:sz w:val="24"/>
                <w:highlight w:val="none"/>
              </w:rPr>
              <w:t>1.5%</w:t>
            </w:r>
          </w:p>
        </w:tc>
        <w:tc>
          <w:tcPr>
            <w:tcW w:w="1741" w:type="dxa"/>
          </w:tcPr>
          <w:p w14:paraId="3C91B9A3">
            <w:pPr>
              <w:widowControl w:val="0"/>
              <w:spacing w:line="440" w:lineRule="exact"/>
              <w:jc w:val="center"/>
              <w:rPr>
                <w:bCs/>
                <w:color w:val="auto"/>
                <w:sz w:val="24"/>
                <w:szCs w:val="24"/>
                <w:highlight w:val="none"/>
              </w:rPr>
            </w:pPr>
            <w:r>
              <w:rPr>
                <w:rFonts w:hint="eastAsia" w:ascii="宋体" w:hAnsi="宋体"/>
                <w:color w:val="auto"/>
                <w:sz w:val="24"/>
                <w:highlight w:val="none"/>
              </w:rPr>
              <w:t>1.0%</w:t>
            </w:r>
          </w:p>
        </w:tc>
      </w:tr>
      <w:tr w14:paraId="44E7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66" w:type="dxa"/>
          </w:tcPr>
          <w:p w14:paraId="2DFEBE4A">
            <w:pPr>
              <w:widowControl w:val="0"/>
              <w:jc w:val="both"/>
              <w:rPr>
                <w:bCs/>
                <w:color w:val="auto"/>
                <w:sz w:val="24"/>
                <w:szCs w:val="24"/>
                <w:highlight w:val="none"/>
              </w:rPr>
            </w:pPr>
            <w:r>
              <w:rPr>
                <w:rFonts w:hint="eastAsia" w:asciiTheme="minorEastAsia" w:hAnsiTheme="minorEastAsia" w:cstheme="minorEastAsia"/>
                <w:bCs/>
                <w:color w:val="auto"/>
                <w:kern w:val="0"/>
                <w:sz w:val="24"/>
                <w:szCs w:val="24"/>
                <w:highlight w:val="none"/>
              </w:rPr>
              <w:t>100-500</w:t>
            </w:r>
          </w:p>
        </w:tc>
        <w:tc>
          <w:tcPr>
            <w:tcW w:w="1740" w:type="dxa"/>
          </w:tcPr>
          <w:p w14:paraId="56895A80">
            <w:pPr>
              <w:widowControl w:val="0"/>
              <w:spacing w:line="440" w:lineRule="exact"/>
              <w:jc w:val="center"/>
              <w:rPr>
                <w:bCs/>
                <w:color w:val="auto"/>
                <w:sz w:val="24"/>
                <w:szCs w:val="24"/>
                <w:highlight w:val="none"/>
              </w:rPr>
            </w:pPr>
            <w:r>
              <w:rPr>
                <w:rFonts w:hint="eastAsia" w:ascii="宋体" w:hAnsi="宋体"/>
                <w:color w:val="auto"/>
                <w:sz w:val="24"/>
                <w:highlight w:val="none"/>
              </w:rPr>
              <w:t>1.1%</w:t>
            </w:r>
          </w:p>
        </w:tc>
        <w:tc>
          <w:tcPr>
            <w:tcW w:w="1740" w:type="dxa"/>
          </w:tcPr>
          <w:p w14:paraId="139AD3EE">
            <w:pPr>
              <w:widowControl w:val="0"/>
              <w:spacing w:line="440" w:lineRule="exact"/>
              <w:jc w:val="center"/>
              <w:rPr>
                <w:bCs/>
                <w:color w:val="auto"/>
                <w:sz w:val="24"/>
                <w:szCs w:val="24"/>
                <w:highlight w:val="none"/>
              </w:rPr>
            </w:pPr>
            <w:r>
              <w:rPr>
                <w:rFonts w:hint="eastAsia" w:ascii="宋体" w:hAnsi="宋体"/>
                <w:color w:val="auto"/>
                <w:sz w:val="24"/>
                <w:highlight w:val="none"/>
              </w:rPr>
              <w:t>0.8%</w:t>
            </w:r>
          </w:p>
        </w:tc>
        <w:tc>
          <w:tcPr>
            <w:tcW w:w="1741" w:type="dxa"/>
          </w:tcPr>
          <w:p w14:paraId="5FB1D331">
            <w:pPr>
              <w:widowControl w:val="0"/>
              <w:spacing w:line="440" w:lineRule="exact"/>
              <w:jc w:val="center"/>
              <w:rPr>
                <w:bCs/>
                <w:color w:val="auto"/>
                <w:sz w:val="24"/>
                <w:szCs w:val="24"/>
                <w:highlight w:val="none"/>
              </w:rPr>
            </w:pPr>
            <w:r>
              <w:rPr>
                <w:rFonts w:hint="eastAsia" w:ascii="宋体" w:hAnsi="宋体"/>
                <w:color w:val="auto"/>
                <w:sz w:val="24"/>
                <w:highlight w:val="none"/>
              </w:rPr>
              <w:t>0.7%</w:t>
            </w:r>
          </w:p>
        </w:tc>
      </w:tr>
    </w:tbl>
    <w:p w14:paraId="12F42D2D">
      <w:pPr>
        <w:pStyle w:val="2"/>
        <w:spacing w:line="360" w:lineRule="auto"/>
        <w:rPr>
          <w:rFonts w:asciiTheme="minorEastAsia" w:hAnsiTheme="minorEastAsia" w:cstheme="minorEastAsia"/>
          <w:b w:val="0"/>
          <w:bCs/>
          <w:color w:val="auto"/>
          <w:sz w:val="24"/>
          <w:szCs w:val="24"/>
          <w:highlight w:val="none"/>
        </w:rPr>
      </w:pPr>
      <w:bookmarkStart w:id="187" w:name="_Toc12636"/>
      <w:r>
        <w:rPr>
          <w:rFonts w:hint="eastAsia" w:asciiTheme="minorEastAsia" w:hAnsiTheme="minorEastAsia" w:cstheme="minorEastAsia"/>
          <w:b w:val="0"/>
          <w:bCs/>
          <w:color w:val="auto"/>
          <w:sz w:val="24"/>
          <w:szCs w:val="24"/>
          <w:highlight w:val="none"/>
        </w:rPr>
        <w:t>例如:某工程招标代理务成交金额为200万元，计算招标代理服务收费额如下:</w:t>
      </w:r>
      <w:bookmarkEnd w:id="187"/>
    </w:p>
    <w:p w14:paraId="6CE24EF3">
      <w:pPr>
        <w:pStyle w:val="2"/>
        <w:spacing w:line="360" w:lineRule="auto"/>
        <w:rPr>
          <w:rFonts w:asciiTheme="minorEastAsia" w:hAnsiTheme="minorEastAsia" w:cstheme="minorEastAsia"/>
          <w:b w:val="0"/>
          <w:bCs/>
          <w:color w:val="auto"/>
          <w:sz w:val="24"/>
          <w:szCs w:val="24"/>
          <w:highlight w:val="none"/>
        </w:rPr>
      </w:pPr>
      <w:bookmarkStart w:id="188" w:name="_Toc9624"/>
      <w:r>
        <w:rPr>
          <w:rFonts w:hint="eastAsia" w:asciiTheme="minorEastAsia" w:hAnsiTheme="minorEastAsia" w:cstheme="minorEastAsia"/>
          <w:b w:val="0"/>
          <w:bCs/>
          <w:color w:val="auto"/>
          <w:sz w:val="24"/>
          <w:szCs w:val="24"/>
          <w:highlight w:val="none"/>
        </w:rPr>
        <w:t>100万元x1.0%=1万元</w:t>
      </w:r>
      <w:bookmarkEnd w:id="188"/>
    </w:p>
    <w:p w14:paraId="2AFA8E04">
      <w:pPr>
        <w:pStyle w:val="2"/>
        <w:spacing w:line="360" w:lineRule="auto"/>
        <w:rPr>
          <w:rFonts w:asciiTheme="minorEastAsia" w:hAnsiTheme="minorEastAsia"/>
          <w:b w:val="0"/>
          <w:bCs/>
          <w:color w:val="auto"/>
          <w:sz w:val="48"/>
          <w:szCs w:val="48"/>
          <w:highlight w:val="none"/>
        </w:rPr>
        <w:sectPr>
          <w:pgSz w:w="11907" w:h="16840"/>
          <w:pgMar w:top="1247" w:right="1418" w:bottom="1021" w:left="1418" w:header="567" w:footer="1077" w:gutter="0"/>
          <w:cols w:space="720" w:num="1"/>
        </w:sectPr>
      </w:pPr>
      <w:bookmarkStart w:id="189" w:name="_Toc14495"/>
      <w:r>
        <w:rPr>
          <w:rFonts w:hint="eastAsia" w:asciiTheme="minorEastAsia" w:hAnsiTheme="minorEastAsia" w:cstheme="minorEastAsia"/>
          <w:b w:val="0"/>
          <w:bCs/>
          <w:color w:val="auto"/>
          <w:sz w:val="24"/>
          <w:szCs w:val="24"/>
          <w:highlight w:val="none"/>
        </w:rPr>
        <w:t>(200-100)万元x0.7%=0.7万元   合计收费=1+0.7=1.7(万元)</w:t>
      </w:r>
      <w:bookmarkEnd w:id="189"/>
    </w:p>
    <w:p w14:paraId="10958102">
      <w:pPr>
        <w:pStyle w:val="2"/>
        <w:spacing w:line="360" w:lineRule="auto"/>
        <w:jc w:val="center"/>
        <w:rPr>
          <w:rFonts w:asciiTheme="minorEastAsia" w:hAnsiTheme="minorEastAsia"/>
          <w:color w:val="auto"/>
          <w:sz w:val="48"/>
          <w:szCs w:val="48"/>
          <w:highlight w:val="none"/>
        </w:rPr>
      </w:pPr>
    </w:p>
    <w:p w14:paraId="1775885F">
      <w:pPr>
        <w:pStyle w:val="2"/>
        <w:spacing w:line="360" w:lineRule="auto"/>
        <w:jc w:val="center"/>
        <w:rPr>
          <w:rFonts w:asciiTheme="minorEastAsia" w:hAnsiTheme="minorEastAsia"/>
          <w:color w:val="auto"/>
          <w:sz w:val="48"/>
          <w:szCs w:val="48"/>
          <w:highlight w:val="none"/>
        </w:rPr>
      </w:pPr>
    </w:p>
    <w:p w14:paraId="2E8B876F">
      <w:pPr>
        <w:pStyle w:val="2"/>
        <w:spacing w:line="360" w:lineRule="auto"/>
        <w:jc w:val="center"/>
        <w:rPr>
          <w:rFonts w:asciiTheme="minorEastAsia" w:hAnsiTheme="minorEastAsia"/>
          <w:color w:val="auto"/>
          <w:sz w:val="48"/>
          <w:szCs w:val="48"/>
          <w:highlight w:val="none"/>
        </w:rPr>
      </w:pPr>
    </w:p>
    <w:p w14:paraId="516113B0">
      <w:pPr>
        <w:pStyle w:val="2"/>
        <w:spacing w:line="360" w:lineRule="auto"/>
        <w:jc w:val="center"/>
        <w:rPr>
          <w:rFonts w:asciiTheme="minorEastAsia" w:hAnsiTheme="minorEastAsia"/>
          <w:color w:val="auto"/>
          <w:sz w:val="48"/>
          <w:szCs w:val="48"/>
          <w:highlight w:val="none"/>
        </w:rPr>
      </w:pPr>
    </w:p>
    <w:p w14:paraId="68D29224">
      <w:pPr>
        <w:pStyle w:val="2"/>
        <w:spacing w:line="360" w:lineRule="auto"/>
        <w:jc w:val="center"/>
        <w:rPr>
          <w:rFonts w:asciiTheme="minorEastAsia" w:hAnsiTheme="minorEastAsia"/>
          <w:color w:val="auto"/>
          <w:sz w:val="48"/>
          <w:szCs w:val="48"/>
          <w:highlight w:val="none"/>
        </w:rPr>
      </w:pPr>
    </w:p>
    <w:p w14:paraId="1368085F">
      <w:pPr>
        <w:pStyle w:val="2"/>
        <w:spacing w:line="360" w:lineRule="auto"/>
        <w:jc w:val="center"/>
        <w:rPr>
          <w:rFonts w:asciiTheme="minorEastAsia" w:hAnsiTheme="minorEastAsia"/>
          <w:color w:val="auto"/>
          <w:sz w:val="48"/>
          <w:szCs w:val="48"/>
          <w:highlight w:val="none"/>
        </w:rPr>
      </w:pPr>
      <w:bookmarkStart w:id="190" w:name="_Toc15623"/>
      <w:r>
        <w:rPr>
          <w:rFonts w:hint="eastAsia" w:asciiTheme="minorEastAsia" w:hAnsiTheme="minorEastAsia" w:cstheme="minorEastAsia"/>
          <w:color w:val="auto"/>
          <w:sz w:val="36"/>
          <w:highlight w:val="none"/>
        </w:rPr>
        <w:t>第二章  合同条款及格式</w:t>
      </w:r>
      <w:bookmarkEnd w:id="190"/>
    </w:p>
    <w:p w14:paraId="7E2C4A9C">
      <w:pPr>
        <w:rPr>
          <w:rFonts w:asciiTheme="minorEastAsia" w:hAnsiTheme="minorEastAsia"/>
          <w:color w:val="auto"/>
          <w:sz w:val="32"/>
          <w:szCs w:val="32"/>
          <w:highlight w:val="none"/>
        </w:rPr>
        <w:sectPr>
          <w:pgSz w:w="11907" w:h="16840"/>
          <w:pgMar w:top="1247" w:right="1418" w:bottom="1021" w:left="1418" w:header="567" w:footer="1077" w:gutter="0"/>
          <w:cols w:space="720" w:num="1"/>
        </w:sectPr>
      </w:pPr>
      <w:bookmarkStart w:id="191" w:name="_Toc224980459"/>
      <w:r>
        <w:rPr>
          <w:rFonts w:hint="eastAsia" w:asciiTheme="minorEastAsia" w:hAnsiTheme="minorEastAsia"/>
          <w:color w:val="auto"/>
          <w:highlight w:val="none"/>
        </w:rPr>
        <w:t xml:space="preserve">                                                                                                  </w:t>
      </w:r>
      <w:bookmarkEnd w:id="182"/>
      <w:bookmarkEnd w:id="191"/>
    </w:p>
    <w:p w14:paraId="09226665">
      <w:pPr>
        <w:rPr>
          <w:rFonts w:ascii="宋体" w:hAnsi="宋体"/>
          <w:color w:val="auto"/>
          <w:sz w:val="30"/>
          <w:szCs w:val="30"/>
          <w:highlight w:val="none"/>
        </w:rPr>
      </w:pPr>
      <w:bookmarkStart w:id="192" w:name="_bookmark110"/>
      <w:bookmarkEnd w:id="192"/>
      <w:bookmarkStart w:id="193" w:name="_Toc351203652"/>
      <w:bookmarkStart w:id="194" w:name="_Toc29153402"/>
      <w:bookmarkStart w:id="195" w:name="_Toc271"/>
      <w:bookmarkStart w:id="196" w:name="_Toc74156275"/>
      <w:bookmarkStart w:id="197" w:name="_Toc243584335"/>
      <w:r>
        <w:rPr>
          <w:rFonts w:hint="eastAsia" w:ascii="宋体" w:hAnsi="宋体"/>
          <w:color w:val="auto"/>
          <w:sz w:val="30"/>
          <w:szCs w:val="30"/>
          <w:highlight w:val="none"/>
        </w:rPr>
        <w:t xml:space="preserve"> </w:t>
      </w:r>
    </w:p>
    <w:p w14:paraId="1C0CD4C3">
      <w:pPr>
        <w:rPr>
          <w:rFonts w:ascii="宋体" w:hAnsi="宋体"/>
          <w:color w:val="auto"/>
          <w:sz w:val="30"/>
          <w:szCs w:val="30"/>
          <w:highlight w:val="none"/>
        </w:rPr>
      </w:pPr>
    </w:p>
    <w:p w14:paraId="01B7DF63">
      <w:pPr>
        <w:rPr>
          <w:rFonts w:ascii="宋体" w:hAnsi="宋体"/>
          <w:color w:val="auto"/>
          <w:sz w:val="32"/>
          <w:szCs w:val="32"/>
          <w:highlight w:val="none"/>
          <w:u w:val="single"/>
        </w:rPr>
      </w:pPr>
      <w:r>
        <w:rPr>
          <w:rFonts w:hint="eastAsia" w:ascii="宋体" w:hAnsi="宋体"/>
          <w:color w:val="auto"/>
          <w:sz w:val="32"/>
          <w:szCs w:val="32"/>
          <w:highlight w:val="none"/>
        </w:rPr>
        <w:t>项目名称：</w:t>
      </w:r>
      <w:r>
        <w:rPr>
          <w:rFonts w:hint="eastAsia" w:ascii="宋体" w:hAnsi="宋体"/>
          <w:color w:val="auto"/>
          <w:sz w:val="32"/>
          <w:szCs w:val="32"/>
          <w:highlight w:val="none"/>
          <w:u w:val="single"/>
        </w:rPr>
        <w:t xml:space="preserve">          </w:t>
      </w:r>
    </w:p>
    <w:p w14:paraId="28D40237">
      <w:pPr>
        <w:ind w:firstLine="1798" w:firstLineChars="562"/>
        <w:rPr>
          <w:rFonts w:ascii="宋体" w:hAnsi="宋体"/>
          <w:color w:val="auto"/>
          <w:sz w:val="32"/>
          <w:szCs w:val="32"/>
          <w:highlight w:val="none"/>
        </w:rPr>
      </w:pPr>
    </w:p>
    <w:p w14:paraId="06FD318A">
      <w:pPr>
        <w:pStyle w:val="12"/>
        <w:rPr>
          <w:color w:val="auto"/>
          <w:highlight w:val="none"/>
        </w:rPr>
      </w:pPr>
    </w:p>
    <w:p w14:paraId="3337C5D2">
      <w:pPr>
        <w:ind w:firstLine="1798" w:firstLineChars="562"/>
        <w:rPr>
          <w:rFonts w:ascii="宋体" w:hAnsi="宋体"/>
          <w:color w:val="auto"/>
          <w:sz w:val="32"/>
          <w:szCs w:val="32"/>
          <w:highlight w:val="none"/>
        </w:rPr>
      </w:pPr>
      <w:r>
        <w:rPr>
          <w:rFonts w:hint="eastAsia" w:ascii="宋体" w:hAnsi="宋体"/>
          <w:color w:val="auto"/>
          <w:sz w:val="32"/>
          <w:szCs w:val="32"/>
          <w:highlight w:val="none"/>
        </w:rPr>
        <w:t xml:space="preserve"> </w:t>
      </w:r>
    </w:p>
    <w:p w14:paraId="76C9B018">
      <w:pPr>
        <w:rPr>
          <w:color w:val="auto"/>
          <w:sz w:val="32"/>
          <w:szCs w:val="32"/>
          <w:highlight w:val="none"/>
          <w:u w:val="single"/>
        </w:rPr>
      </w:pPr>
      <w:r>
        <w:rPr>
          <w:rFonts w:hint="eastAsia" w:ascii="宋体" w:hAnsi="宋体"/>
          <w:color w:val="auto"/>
          <w:sz w:val="32"/>
          <w:szCs w:val="32"/>
          <w:highlight w:val="none"/>
        </w:rPr>
        <w:t>项目编号：</w:t>
      </w:r>
      <w:r>
        <w:rPr>
          <w:rFonts w:hint="eastAsia" w:ascii="宋体" w:hAnsi="宋体"/>
          <w:color w:val="auto"/>
          <w:w w:val="95"/>
          <w:sz w:val="32"/>
          <w:szCs w:val="32"/>
          <w:highlight w:val="none"/>
          <w:u w:val="single"/>
        </w:rPr>
        <w:t xml:space="preserve"> </w:t>
      </w:r>
    </w:p>
    <w:p w14:paraId="09E90B7B">
      <w:pPr>
        <w:ind w:firstLine="600"/>
        <w:rPr>
          <w:rFonts w:ascii="宋体" w:hAnsi="宋体"/>
          <w:color w:val="auto"/>
          <w:sz w:val="32"/>
          <w:szCs w:val="32"/>
          <w:highlight w:val="none"/>
        </w:rPr>
      </w:pPr>
    </w:p>
    <w:p w14:paraId="12932149">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09F24FB5">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6DE730CA">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12B7C6FB">
      <w:pPr>
        <w:ind w:firstLine="600"/>
        <w:rPr>
          <w:rFonts w:ascii="宋体" w:hAnsi="宋体"/>
          <w:color w:val="auto"/>
          <w:sz w:val="30"/>
          <w:szCs w:val="30"/>
          <w:highlight w:val="none"/>
        </w:rPr>
      </w:pPr>
    </w:p>
    <w:p w14:paraId="00A36383">
      <w:pPr>
        <w:ind w:firstLine="600"/>
        <w:rPr>
          <w:rFonts w:ascii="宋体" w:hAnsi="宋体"/>
          <w:color w:val="auto"/>
          <w:sz w:val="30"/>
          <w:szCs w:val="30"/>
          <w:highlight w:val="none"/>
        </w:rPr>
      </w:pPr>
    </w:p>
    <w:p w14:paraId="2311CE9B">
      <w:pPr>
        <w:ind w:firstLine="600"/>
        <w:rPr>
          <w:rFonts w:ascii="宋体" w:hAnsi="宋体"/>
          <w:color w:val="auto"/>
          <w:sz w:val="30"/>
          <w:szCs w:val="30"/>
          <w:highlight w:val="none"/>
        </w:rPr>
      </w:pPr>
      <w:r>
        <w:rPr>
          <w:rFonts w:hint="eastAsia" w:ascii="宋体" w:hAnsi="宋体"/>
          <w:color w:val="auto"/>
          <w:sz w:val="30"/>
          <w:szCs w:val="30"/>
          <w:highlight w:val="none"/>
        </w:rPr>
        <w:t xml:space="preserve"> </w:t>
      </w:r>
    </w:p>
    <w:p w14:paraId="53D619BA">
      <w:pPr>
        <w:rPr>
          <w:rFonts w:hint="default" w:eastAsiaTheme="minorEastAsia"/>
          <w:color w:val="auto"/>
          <w:sz w:val="30"/>
          <w:szCs w:val="30"/>
          <w:highlight w:val="none"/>
          <w:u w:val="single"/>
          <w:lang w:val="en-US" w:eastAsia="zh-CN"/>
        </w:rPr>
      </w:pPr>
      <w:r>
        <w:rPr>
          <w:rFonts w:hint="eastAsia" w:ascii="宋体" w:hAnsi="宋体"/>
          <w:color w:val="auto"/>
          <w:sz w:val="30"/>
          <w:szCs w:val="30"/>
          <w:highlight w:val="none"/>
        </w:rPr>
        <w:t>采  购  人：</w:t>
      </w:r>
      <w:r>
        <w:rPr>
          <w:rFonts w:hint="eastAsia" w:ascii="宋体" w:hAnsi="宋体"/>
          <w:color w:val="auto"/>
          <w:sz w:val="30"/>
          <w:szCs w:val="30"/>
          <w:highlight w:val="none"/>
          <w:u w:val="single"/>
          <w:lang w:val="en-US" w:eastAsia="zh-CN"/>
        </w:rPr>
        <w:t>梧州市文化路小学</w:t>
      </w:r>
    </w:p>
    <w:p w14:paraId="1DBC40CF">
      <w:pPr>
        <w:ind w:firstLine="1798" w:firstLineChars="562"/>
        <w:rPr>
          <w:rFonts w:ascii="宋体" w:hAnsi="宋体"/>
          <w:color w:val="auto"/>
          <w:sz w:val="32"/>
          <w:szCs w:val="32"/>
          <w:highlight w:val="none"/>
        </w:rPr>
      </w:pPr>
    </w:p>
    <w:p w14:paraId="5DEF4046">
      <w:pPr>
        <w:ind w:firstLine="640"/>
        <w:rPr>
          <w:rFonts w:ascii="宋体" w:hAnsi="宋体"/>
          <w:color w:val="auto"/>
          <w:sz w:val="32"/>
          <w:szCs w:val="32"/>
          <w:highlight w:val="none"/>
        </w:rPr>
      </w:pPr>
      <w:r>
        <w:rPr>
          <w:rFonts w:hint="eastAsia" w:ascii="宋体" w:hAnsi="宋体"/>
          <w:color w:val="auto"/>
          <w:sz w:val="32"/>
          <w:szCs w:val="32"/>
          <w:highlight w:val="none"/>
        </w:rPr>
        <w:t xml:space="preserve"> </w:t>
      </w:r>
    </w:p>
    <w:p w14:paraId="321701EB">
      <w:pPr>
        <w:rPr>
          <w:rFonts w:ascii="宋体" w:hAnsi="宋体"/>
          <w:color w:val="auto"/>
          <w:sz w:val="30"/>
          <w:szCs w:val="30"/>
          <w:highlight w:val="none"/>
        </w:rPr>
      </w:pPr>
      <w:r>
        <w:rPr>
          <w:rFonts w:hint="eastAsia" w:ascii="宋体" w:hAnsi="宋体"/>
          <w:color w:val="auto"/>
          <w:sz w:val="30"/>
          <w:szCs w:val="30"/>
          <w:highlight w:val="none"/>
        </w:rPr>
        <w:t xml:space="preserve">供 应  商:  </w:t>
      </w:r>
    </w:p>
    <w:p w14:paraId="3910EA8D">
      <w:pPr>
        <w:spacing w:line="400" w:lineRule="exact"/>
        <w:ind w:firstLine="1194" w:firstLineChars="398"/>
        <w:rPr>
          <w:rFonts w:ascii="宋体" w:hAnsi="宋体"/>
          <w:color w:val="auto"/>
          <w:sz w:val="30"/>
          <w:szCs w:val="30"/>
          <w:highlight w:val="none"/>
        </w:rPr>
      </w:pPr>
      <w:r>
        <w:rPr>
          <w:rFonts w:hint="eastAsia" w:ascii="宋体" w:hAnsi="宋体"/>
          <w:color w:val="auto"/>
          <w:sz w:val="30"/>
          <w:szCs w:val="30"/>
          <w:highlight w:val="none"/>
        </w:rPr>
        <w:t xml:space="preserve"> </w:t>
      </w:r>
    </w:p>
    <w:p w14:paraId="623933A5">
      <w:pPr>
        <w:pStyle w:val="63"/>
        <w:spacing w:before="120" w:after="120"/>
        <w:jc w:val="center"/>
        <w:rPr>
          <w:rFonts w:eastAsia="华文中宋"/>
          <w:color w:val="auto"/>
          <w:szCs w:val="44"/>
          <w:highlight w:val="none"/>
        </w:rPr>
      </w:pPr>
      <w:r>
        <w:rPr>
          <w:rFonts w:hint="eastAsia" w:ascii="宋体" w:hAnsi="宋体"/>
          <w:color w:val="auto"/>
          <w:highlight w:val="none"/>
        </w:rPr>
        <w:br w:type="page"/>
      </w:r>
      <w:r>
        <w:rPr>
          <w:rStyle w:val="64"/>
          <w:rFonts w:ascii="宋体" w:hAnsi="宋体" w:cs="宋体"/>
          <w:color w:val="auto"/>
          <w:szCs w:val="44"/>
          <w:highlight w:val="none"/>
        </w:rPr>
        <w:t>目  录</w:t>
      </w:r>
    </w:p>
    <w:p w14:paraId="3C9AEADC">
      <w:pPr>
        <w:pStyle w:val="14"/>
        <w:spacing w:line="400" w:lineRule="exact"/>
        <w:rPr>
          <w:rFonts w:cs="宋体"/>
          <w:bCs/>
          <w:color w:val="auto"/>
          <w:sz w:val="28"/>
          <w:szCs w:val="28"/>
          <w:highlight w:val="none"/>
        </w:rPr>
      </w:pPr>
      <w:r>
        <w:rPr>
          <w:color w:val="auto"/>
          <w:highlight w:val="none"/>
        </w:rPr>
        <w:fldChar w:fldCharType="begin"/>
      </w:r>
      <w:r>
        <w:rPr>
          <w:color w:val="auto"/>
          <w:highlight w:val="none"/>
        </w:rPr>
        <w:instrText xml:space="preserve"> HYPERLINK \l "_Toc351203480#_Toc351203480" </w:instrText>
      </w:r>
      <w:r>
        <w:rPr>
          <w:color w:val="auto"/>
          <w:highlight w:val="none"/>
        </w:rPr>
        <w:fldChar w:fldCharType="separate"/>
      </w:r>
      <w:r>
        <w:rPr>
          <w:rStyle w:val="64"/>
          <w:rFonts w:hint="eastAsia" w:ascii="宋体" w:hAnsi="宋体" w:cs="宋体"/>
          <w:bCs/>
          <w:color w:val="auto"/>
          <w:sz w:val="28"/>
          <w:szCs w:val="28"/>
          <w:highlight w:val="none"/>
        </w:rPr>
        <w:t>第一部分  合同协议书</w:t>
      </w:r>
      <w:r>
        <w:rPr>
          <w:rStyle w:val="31"/>
          <w:rFonts w:hint="eastAsia" w:cs="宋体"/>
          <w:color w:val="auto"/>
          <w:sz w:val="28"/>
          <w:szCs w:val="28"/>
          <w:highlight w:val="none"/>
          <w:u w:val="none"/>
        </w:rPr>
        <w:t>.</w:t>
      </w:r>
      <w:r>
        <w:rPr>
          <w:rStyle w:val="31"/>
          <w:rFonts w:hint="eastAsia" w:cs="宋体"/>
          <w:color w:val="auto"/>
          <w:sz w:val="28"/>
          <w:szCs w:val="28"/>
          <w:highlight w:val="none"/>
          <w:u w:val="none"/>
        </w:rPr>
        <w:fldChar w:fldCharType="end"/>
      </w:r>
    </w:p>
    <w:p w14:paraId="6AEC00E0">
      <w:pPr>
        <w:pStyle w:val="14"/>
        <w:spacing w:line="400" w:lineRule="exact"/>
        <w:rPr>
          <w:rFonts w:cs="宋体"/>
          <w:bCs/>
          <w:color w:val="auto"/>
          <w:sz w:val="28"/>
          <w:szCs w:val="28"/>
          <w:highlight w:val="none"/>
        </w:rPr>
      </w:pPr>
      <w:r>
        <w:rPr>
          <w:color w:val="auto"/>
          <w:highlight w:val="none"/>
        </w:rPr>
        <w:fldChar w:fldCharType="begin"/>
      </w:r>
      <w:r>
        <w:rPr>
          <w:color w:val="auto"/>
          <w:highlight w:val="none"/>
        </w:rPr>
        <w:instrText xml:space="preserve"> HYPERLINK \l "_Toc351203494#_Toc351203494" </w:instrText>
      </w:r>
      <w:r>
        <w:rPr>
          <w:color w:val="auto"/>
          <w:highlight w:val="none"/>
        </w:rPr>
        <w:fldChar w:fldCharType="separate"/>
      </w:r>
      <w:r>
        <w:rPr>
          <w:rStyle w:val="64"/>
          <w:rFonts w:hint="eastAsia" w:ascii="宋体" w:hAnsi="宋体" w:cs="宋体"/>
          <w:bCs/>
          <w:color w:val="auto"/>
          <w:sz w:val="28"/>
          <w:szCs w:val="28"/>
          <w:highlight w:val="none"/>
        </w:rPr>
        <w:t>第二部分  通用合同条款</w:t>
      </w:r>
      <w:r>
        <w:rPr>
          <w:rStyle w:val="31"/>
          <w:rFonts w:hint="eastAsia" w:cs="宋体"/>
          <w:bCs/>
          <w:color w:val="auto"/>
          <w:sz w:val="28"/>
          <w:szCs w:val="28"/>
          <w:highlight w:val="none"/>
          <w:u w:val="none"/>
        </w:rPr>
        <w:t>.</w:t>
      </w:r>
      <w:r>
        <w:rPr>
          <w:rStyle w:val="31"/>
          <w:rFonts w:hint="eastAsia" w:cs="宋体"/>
          <w:bCs/>
          <w:color w:val="auto"/>
          <w:sz w:val="28"/>
          <w:szCs w:val="28"/>
          <w:highlight w:val="none"/>
          <w:u w:val="none"/>
        </w:rPr>
        <w:fldChar w:fldCharType="end"/>
      </w:r>
    </w:p>
    <w:p w14:paraId="11314E77">
      <w:pPr>
        <w:pStyle w:val="14"/>
        <w:spacing w:line="400" w:lineRule="exact"/>
        <w:ind w:firstLine="280"/>
        <w:rPr>
          <w:rStyle w:val="64"/>
          <w:rFonts w:ascii="宋体" w:hAnsi="宋体" w:cs="宋体"/>
          <w:bCs/>
          <w:color w:val="auto"/>
          <w:sz w:val="28"/>
          <w:szCs w:val="28"/>
          <w:highlight w:val="none"/>
        </w:rPr>
      </w:pPr>
      <w:r>
        <w:rPr>
          <w:rStyle w:val="64"/>
          <w:rFonts w:hint="eastAsia" w:ascii="宋体" w:hAnsi="宋体" w:cs="宋体"/>
          <w:bCs/>
          <w:color w:val="auto"/>
          <w:sz w:val="28"/>
          <w:szCs w:val="28"/>
          <w:highlight w:val="none"/>
        </w:rPr>
        <w:t>第三部分  专用合同条款</w:t>
      </w:r>
      <w:r>
        <w:rPr>
          <w:rStyle w:val="64"/>
          <w:rFonts w:hint="eastAsia" w:ascii="宋体" w:hAnsi="宋体" w:cs="宋体"/>
          <w:bCs/>
          <w:color w:val="auto"/>
          <w:highlight w:val="none"/>
        </w:rPr>
        <w:t>.</w:t>
      </w:r>
    </w:p>
    <w:p w14:paraId="1D02B319">
      <w:pPr>
        <w:pStyle w:val="14"/>
        <w:spacing w:line="400" w:lineRule="exact"/>
        <w:ind w:firstLine="280"/>
        <w:rPr>
          <w:rStyle w:val="64"/>
          <w:rFonts w:ascii="宋体" w:hAnsi="宋体" w:cs="宋体"/>
          <w:bCs/>
          <w:color w:val="auto"/>
          <w:sz w:val="28"/>
          <w:szCs w:val="28"/>
          <w:highlight w:val="none"/>
        </w:rPr>
      </w:pPr>
      <w:r>
        <w:rPr>
          <w:rStyle w:val="64"/>
          <w:rFonts w:hint="eastAsia" w:ascii="宋体" w:hAnsi="宋体" w:cs="宋体"/>
          <w:bCs/>
          <w:color w:val="auto"/>
          <w:sz w:val="28"/>
          <w:szCs w:val="28"/>
          <w:highlight w:val="none"/>
        </w:rPr>
        <w:t>第四部分  工程质量保修书</w:t>
      </w:r>
    </w:p>
    <w:p w14:paraId="49D41A46">
      <w:pPr>
        <w:pStyle w:val="14"/>
        <w:spacing w:line="400" w:lineRule="exact"/>
        <w:ind w:firstLine="280"/>
        <w:rPr>
          <w:rStyle w:val="64"/>
          <w:rFonts w:ascii="宋体" w:hAnsi="宋体" w:cs="宋体"/>
          <w:bCs/>
          <w:color w:val="auto"/>
          <w:sz w:val="28"/>
          <w:szCs w:val="28"/>
          <w:highlight w:val="none"/>
        </w:rPr>
      </w:pPr>
      <w:r>
        <w:rPr>
          <w:rStyle w:val="64"/>
          <w:rFonts w:hint="eastAsia" w:ascii="宋体" w:hAnsi="宋体" w:cs="宋体"/>
          <w:bCs/>
          <w:color w:val="auto"/>
          <w:sz w:val="28"/>
          <w:szCs w:val="28"/>
          <w:highlight w:val="none"/>
        </w:rPr>
        <w:t>第五部分  建设工程廉政责任书</w:t>
      </w:r>
    </w:p>
    <w:p w14:paraId="7EFF5B28">
      <w:pPr>
        <w:pStyle w:val="14"/>
        <w:spacing w:line="400" w:lineRule="exact"/>
        <w:ind w:firstLine="280"/>
        <w:rPr>
          <w:rStyle w:val="64"/>
          <w:rFonts w:ascii="宋体" w:hAnsi="宋体" w:cs="宋体"/>
          <w:bCs/>
          <w:color w:val="auto"/>
          <w:sz w:val="28"/>
          <w:szCs w:val="28"/>
          <w:highlight w:val="none"/>
        </w:rPr>
      </w:pPr>
      <w:r>
        <w:rPr>
          <w:rStyle w:val="64"/>
          <w:rFonts w:hint="eastAsia" w:ascii="宋体" w:hAnsi="宋体" w:cs="宋体"/>
          <w:bCs/>
          <w:color w:val="auto"/>
          <w:sz w:val="28"/>
          <w:szCs w:val="28"/>
          <w:highlight w:val="none"/>
        </w:rPr>
        <w:t>第六部分  安全管理协议</w:t>
      </w:r>
    </w:p>
    <w:p w14:paraId="52081A78">
      <w:pPr>
        <w:pStyle w:val="12"/>
        <w:rPr>
          <w:color w:val="auto"/>
          <w:highlight w:val="none"/>
        </w:rPr>
      </w:pPr>
    </w:p>
    <w:p w14:paraId="7A1159F9">
      <w:pPr>
        <w:pStyle w:val="12"/>
        <w:rPr>
          <w:color w:val="auto"/>
          <w:highlight w:val="none"/>
        </w:rPr>
      </w:pPr>
    </w:p>
    <w:p w14:paraId="2DF55012">
      <w:pPr>
        <w:pStyle w:val="2"/>
        <w:jc w:val="center"/>
        <w:rPr>
          <w:rFonts w:ascii="宋体" w:hAnsi="宋体" w:cs="宋体"/>
          <w:color w:val="auto"/>
          <w:sz w:val="32"/>
          <w:szCs w:val="32"/>
          <w:highlight w:val="none"/>
        </w:rPr>
      </w:pPr>
      <w:r>
        <w:rPr>
          <w:rFonts w:hint="eastAsia" w:ascii="宋体" w:hAnsi="宋体" w:cs="宋体"/>
          <w:color w:val="auto"/>
          <w:sz w:val="32"/>
          <w:szCs w:val="32"/>
          <w:highlight w:val="none"/>
        </w:rPr>
        <w:t xml:space="preserve"> </w:t>
      </w:r>
    </w:p>
    <w:p w14:paraId="64EBD42A">
      <w:pPr>
        <w:keepNext/>
        <w:keepLines/>
        <w:spacing w:beforeLines="50" w:line="360" w:lineRule="auto"/>
        <w:jc w:val="center"/>
        <w:rPr>
          <w:rFonts w:ascii="仿宋" w:hAnsi="仿宋" w:eastAsia="仿宋" w:cs="仿宋"/>
          <w:color w:val="auto"/>
          <w:sz w:val="28"/>
          <w:szCs w:val="28"/>
          <w:highlight w:val="none"/>
        </w:rPr>
      </w:pPr>
      <w:r>
        <w:rPr>
          <w:rFonts w:hint="eastAsia" w:ascii="宋体" w:hAnsi="宋体"/>
          <w:color w:val="auto"/>
          <w:highlight w:val="none"/>
        </w:rPr>
        <w:br w:type="page"/>
      </w:r>
      <w:bookmarkStart w:id="198" w:name="_Toc27720"/>
      <w:bookmarkStart w:id="199" w:name="_Toc3940"/>
      <w:r>
        <w:rPr>
          <w:rFonts w:hint="eastAsia" w:ascii="仿宋" w:hAnsi="仿宋" w:eastAsia="仿宋" w:cs="仿宋"/>
          <w:b/>
          <w:bCs/>
          <w:color w:val="auto"/>
          <w:sz w:val="32"/>
          <w:szCs w:val="32"/>
          <w:highlight w:val="none"/>
        </w:rPr>
        <w:t>第一部分 合同协议书</w:t>
      </w:r>
      <w:bookmarkEnd w:id="198"/>
      <w:bookmarkEnd w:id="199"/>
    </w:p>
    <w:p w14:paraId="782E1A7B">
      <w:pPr>
        <w:snapToGrid w:val="0"/>
        <w:spacing w:line="400" w:lineRule="exact"/>
        <w:jc w:val="center"/>
        <w:rPr>
          <w:rFonts w:ascii="宋体" w:cs="宋体"/>
          <w:b/>
          <w:bCs/>
          <w:color w:val="auto"/>
          <w:sz w:val="24"/>
          <w:highlight w:val="none"/>
        </w:rPr>
      </w:pPr>
    </w:p>
    <w:p w14:paraId="5045741B">
      <w:pPr>
        <w:spacing w:line="440" w:lineRule="exact"/>
        <w:rPr>
          <w:rFonts w:hint="eastAsia" w:ascii="宋体" w:hAnsi="宋体" w:cs="宋体" w:eastAsiaTheme="minorEastAsia"/>
          <w:color w:val="auto"/>
          <w:sz w:val="24"/>
          <w:szCs w:val="24"/>
          <w:highlight w:val="none"/>
          <w:u w:val="single"/>
          <w:lang w:val="en-US" w:eastAsia="zh-CN"/>
        </w:rPr>
      </w:pPr>
      <w:r>
        <w:rPr>
          <w:rFonts w:hint="eastAsia" w:ascii="宋体" w:hAnsi="宋体" w:cs="宋体"/>
          <w:color w:val="auto"/>
          <w:sz w:val="24"/>
          <w:szCs w:val="24"/>
          <w:highlight w:val="none"/>
        </w:rPr>
        <w:t>发包人（全称）：</w:t>
      </w:r>
      <w:r>
        <w:rPr>
          <w:rFonts w:hint="eastAsia" w:ascii="宋体" w:hAnsi="宋体" w:cs="宋体"/>
          <w:bCs/>
          <w:color w:val="auto"/>
          <w:sz w:val="24"/>
          <w:szCs w:val="24"/>
          <w:highlight w:val="none"/>
          <w:u w:val="single"/>
          <w:lang w:val="en-US" w:eastAsia="zh-CN"/>
        </w:rPr>
        <w:t>梧州市文化路小学</w:t>
      </w:r>
    </w:p>
    <w:p w14:paraId="60647629">
      <w:pPr>
        <w:spacing w:line="44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承包人（全称）：</w:t>
      </w:r>
      <w:r>
        <w:rPr>
          <w:rFonts w:hint="eastAsia" w:ascii="宋体" w:hAnsi="宋体" w:cs="宋体"/>
          <w:color w:val="auto"/>
          <w:sz w:val="24"/>
          <w:szCs w:val="24"/>
          <w:highlight w:val="none"/>
          <w:u w:val="single"/>
        </w:rPr>
        <w:t xml:space="preserve">                 </w:t>
      </w:r>
    </w:p>
    <w:p w14:paraId="060E641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根据《中华人民共和国民法典》、《中华人民共和国建筑法》及有关法律规定，遵循平等、自愿、公平和诚实信用的原则，双方就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施工及有关事项协商一致，共同达成如下协议：</w:t>
      </w:r>
    </w:p>
    <w:p w14:paraId="5F6D0FBE">
      <w:pPr>
        <w:spacing w:line="440" w:lineRule="exact"/>
        <w:ind w:firstLine="482" w:firstLineChars="200"/>
        <w:outlineLvl w:val="2"/>
        <w:rPr>
          <w:rFonts w:ascii="宋体" w:hAnsi="宋体" w:cs="宋体"/>
          <w:b/>
          <w:bCs/>
          <w:color w:val="auto"/>
          <w:sz w:val="24"/>
          <w:szCs w:val="24"/>
          <w:highlight w:val="none"/>
        </w:rPr>
      </w:pPr>
      <w:bookmarkStart w:id="200" w:name="_Toc51599533"/>
      <w:r>
        <w:rPr>
          <w:rFonts w:hint="eastAsia" w:ascii="宋体" w:hAnsi="宋体" w:cs="宋体"/>
          <w:b/>
          <w:bCs/>
          <w:color w:val="auto"/>
          <w:sz w:val="24"/>
          <w:szCs w:val="24"/>
          <w:highlight w:val="none"/>
        </w:rPr>
        <w:t>一、工程概况</w:t>
      </w:r>
      <w:bookmarkEnd w:id="200"/>
    </w:p>
    <w:p w14:paraId="0A00DF12">
      <w:pPr>
        <w:spacing w:line="440" w:lineRule="exact"/>
        <w:ind w:firstLine="470" w:firstLineChars="196"/>
        <w:rPr>
          <w:rFonts w:ascii="宋体" w:hAnsi="宋体" w:cs="宋体"/>
          <w:color w:val="auto"/>
          <w:sz w:val="24"/>
          <w:szCs w:val="24"/>
          <w:highlight w:val="none"/>
          <w:u w:val="single"/>
        </w:rPr>
      </w:pPr>
      <w:r>
        <w:rPr>
          <w:rFonts w:hint="eastAsia" w:ascii="宋体" w:hAnsi="宋体" w:cs="宋体"/>
          <w:color w:val="auto"/>
          <w:sz w:val="24"/>
          <w:szCs w:val="24"/>
          <w:highlight w:val="none"/>
        </w:rPr>
        <w:t>1. 工程名称：</w:t>
      </w:r>
      <w:r>
        <w:rPr>
          <w:rFonts w:hint="eastAsia" w:ascii="宋体" w:hAnsi="宋体" w:cs="宋体"/>
          <w:bCs/>
          <w:color w:val="auto"/>
          <w:sz w:val="24"/>
          <w:szCs w:val="24"/>
          <w:highlight w:val="none"/>
          <w:u w:val="single"/>
        </w:rPr>
        <w:t xml:space="preserve">               </w:t>
      </w:r>
      <w:r>
        <w:rPr>
          <w:rFonts w:hint="eastAsia" w:ascii="宋体" w:hAnsi="宋体" w:cs="宋体"/>
          <w:color w:val="auto"/>
          <w:sz w:val="24"/>
          <w:szCs w:val="24"/>
          <w:highlight w:val="none"/>
        </w:rPr>
        <w:t>。</w:t>
      </w:r>
    </w:p>
    <w:p w14:paraId="41CE465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 工程地点：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EF1EE5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资金来源：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5F38BA2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 工程内容：</w:t>
      </w:r>
      <w:r>
        <w:rPr>
          <w:rFonts w:hint="eastAsia" w:ascii="宋体" w:hAnsi="宋体" w:cs="宋体"/>
          <w:color w:val="auto"/>
          <w:sz w:val="24"/>
          <w:szCs w:val="24"/>
          <w:highlight w:val="none"/>
          <w:u w:val="single"/>
        </w:rPr>
        <w:t xml:space="preserve">详见竞争性磋商文件、招标工程量清单及工程施工图设计  </w:t>
      </w:r>
      <w:r>
        <w:rPr>
          <w:rFonts w:hint="eastAsia" w:ascii="宋体" w:hAnsi="宋体" w:cs="宋体"/>
          <w:color w:val="auto"/>
          <w:sz w:val="24"/>
          <w:szCs w:val="24"/>
          <w:highlight w:val="none"/>
        </w:rPr>
        <w:t>。</w:t>
      </w:r>
    </w:p>
    <w:p w14:paraId="7F8E3CAD">
      <w:pPr>
        <w:spacing w:line="440" w:lineRule="exact"/>
        <w:ind w:firstLine="482" w:firstLineChars="200"/>
        <w:outlineLvl w:val="2"/>
        <w:rPr>
          <w:rFonts w:ascii="宋体" w:hAnsi="宋体" w:cs="宋体"/>
          <w:b/>
          <w:bCs/>
          <w:color w:val="auto"/>
          <w:sz w:val="24"/>
          <w:szCs w:val="24"/>
          <w:highlight w:val="none"/>
        </w:rPr>
      </w:pPr>
      <w:bookmarkStart w:id="201" w:name="_Toc51599534"/>
      <w:r>
        <w:rPr>
          <w:rFonts w:hint="eastAsia" w:ascii="宋体" w:hAnsi="宋体" w:cs="宋体"/>
          <w:b/>
          <w:bCs/>
          <w:color w:val="auto"/>
          <w:sz w:val="24"/>
          <w:szCs w:val="24"/>
          <w:highlight w:val="none"/>
        </w:rPr>
        <w:t>二、合同工期</w:t>
      </w:r>
      <w:bookmarkEnd w:id="201"/>
    </w:p>
    <w:p w14:paraId="29291FE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计划开工日期：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日。（具体以发包人书面通知为准）</w:t>
      </w:r>
    </w:p>
    <w:p w14:paraId="2F6FF20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计划竣工日期：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13D4F790">
      <w:pPr>
        <w:spacing w:line="440" w:lineRule="exact"/>
        <w:ind w:firstLine="459"/>
        <w:rPr>
          <w:rFonts w:ascii="宋体" w:hAnsi="宋体" w:cs="宋体"/>
          <w:color w:val="auto"/>
          <w:sz w:val="24"/>
          <w:szCs w:val="24"/>
          <w:highlight w:val="none"/>
        </w:rPr>
      </w:pPr>
      <w:r>
        <w:rPr>
          <w:rFonts w:hint="eastAsia" w:ascii="宋体" w:hAnsi="宋体" w:cs="宋体"/>
          <w:color w:val="auto"/>
          <w:sz w:val="24"/>
          <w:szCs w:val="24"/>
          <w:highlight w:val="none"/>
        </w:rPr>
        <w:t>工期总日历天数：</w:t>
      </w:r>
      <w:r>
        <w:rPr>
          <w:rFonts w:hint="eastAsia" w:ascii="宋体" w:hAnsi="宋体" w:cs="宋体"/>
          <w:color w:val="auto"/>
          <w:sz w:val="24"/>
          <w:szCs w:val="24"/>
          <w:highlight w:val="none"/>
          <w:u w:val="single"/>
          <w:lang w:val="en-US" w:eastAsia="zh-CN"/>
        </w:rPr>
        <w:t>120</w:t>
      </w:r>
      <w:r>
        <w:rPr>
          <w:rFonts w:hint="eastAsia" w:ascii="宋体" w:hAnsi="宋体" w:cs="宋体"/>
          <w:color w:val="auto"/>
          <w:sz w:val="24"/>
          <w:szCs w:val="24"/>
          <w:highlight w:val="none"/>
        </w:rPr>
        <w:t>天。工期总日历天数与根据前述计划开竣工日期计算的工期天数不一致的，以工期总日历天数为准。</w:t>
      </w:r>
    </w:p>
    <w:p w14:paraId="242CBE29">
      <w:pPr>
        <w:spacing w:line="440" w:lineRule="exact"/>
        <w:ind w:firstLine="482" w:firstLineChars="200"/>
        <w:outlineLvl w:val="2"/>
        <w:rPr>
          <w:rFonts w:ascii="宋体" w:hAnsi="宋体" w:cs="宋体"/>
          <w:b/>
          <w:bCs/>
          <w:color w:val="auto"/>
          <w:sz w:val="24"/>
          <w:szCs w:val="24"/>
          <w:highlight w:val="none"/>
        </w:rPr>
      </w:pPr>
      <w:bookmarkStart w:id="202" w:name="_Toc51599535"/>
      <w:r>
        <w:rPr>
          <w:rFonts w:hint="eastAsia" w:ascii="宋体" w:hAnsi="宋体" w:cs="宋体"/>
          <w:b/>
          <w:bCs/>
          <w:color w:val="auto"/>
          <w:sz w:val="24"/>
          <w:szCs w:val="24"/>
          <w:highlight w:val="none"/>
        </w:rPr>
        <w:t>三、质量标准</w:t>
      </w:r>
      <w:bookmarkEnd w:id="202"/>
    </w:p>
    <w:p w14:paraId="47447D1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工程质量符合</w:t>
      </w:r>
      <w:r>
        <w:rPr>
          <w:rFonts w:hint="eastAsia" w:ascii="宋体" w:hAnsi="宋体" w:cs="宋体"/>
          <w:color w:val="auto"/>
          <w:sz w:val="24"/>
          <w:szCs w:val="24"/>
          <w:highlight w:val="none"/>
          <w:u w:val="single"/>
        </w:rPr>
        <w:t xml:space="preserve">  达到国家和行业颁发的施工及验收规程规范要求  </w:t>
      </w:r>
      <w:r>
        <w:rPr>
          <w:rFonts w:hint="eastAsia" w:ascii="宋体" w:hAnsi="宋体" w:cs="宋体"/>
          <w:color w:val="auto"/>
          <w:sz w:val="24"/>
          <w:szCs w:val="24"/>
          <w:highlight w:val="none"/>
        </w:rPr>
        <w:t>标准。</w:t>
      </w:r>
    </w:p>
    <w:p w14:paraId="04B78A4E">
      <w:pPr>
        <w:spacing w:line="440" w:lineRule="exact"/>
        <w:ind w:firstLine="482" w:firstLineChars="200"/>
        <w:outlineLvl w:val="2"/>
        <w:rPr>
          <w:rFonts w:ascii="宋体" w:hAnsi="宋体" w:cs="宋体"/>
          <w:b/>
          <w:bCs/>
          <w:color w:val="auto"/>
          <w:sz w:val="24"/>
          <w:szCs w:val="24"/>
          <w:highlight w:val="none"/>
        </w:rPr>
      </w:pPr>
      <w:bookmarkStart w:id="203" w:name="_Toc51599536"/>
      <w:r>
        <w:rPr>
          <w:rFonts w:hint="eastAsia" w:ascii="宋体" w:hAnsi="宋体" w:cs="宋体"/>
          <w:b/>
          <w:bCs/>
          <w:color w:val="auto"/>
          <w:sz w:val="24"/>
          <w:szCs w:val="24"/>
          <w:highlight w:val="none"/>
        </w:rPr>
        <w:t>四、合同中标价与合同价格形式</w:t>
      </w:r>
      <w:bookmarkEnd w:id="203"/>
    </w:p>
    <w:p w14:paraId="67C2506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 合同中标价为：人民币（大写）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b/>
          <w:bCs/>
          <w:color w:val="auto"/>
          <w:sz w:val="24"/>
          <w:szCs w:val="24"/>
          <w:highlight w:val="none"/>
          <w:u w:val="single"/>
        </w:rPr>
        <w:t xml:space="preserve"> </w:t>
      </w:r>
      <w:r>
        <w:rPr>
          <w:rFonts w:hint="eastAsia" w:ascii="宋体" w:hAnsi="宋体" w:cs="宋体"/>
          <w:color w:val="auto"/>
          <w:sz w:val="24"/>
          <w:szCs w:val="24"/>
          <w:highlight w:val="none"/>
        </w:rPr>
        <w:t>元）；</w:t>
      </w:r>
    </w:p>
    <w:p w14:paraId="08063A6F">
      <w:pPr>
        <w:numPr>
          <w:ilvl w:val="0"/>
          <w:numId w:val="4"/>
        </w:num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合同价格形式：包工包料，综合单价固定，总价</w:t>
      </w:r>
      <w:r>
        <w:rPr>
          <w:rFonts w:hint="eastAsia" w:ascii="宋体" w:hAnsi="宋体" w:cs="宋体"/>
          <w:color w:val="auto"/>
          <w:sz w:val="24"/>
          <w:szCs w:val="24"/>
          <w:highlight w:val="none"/>
          <w:lang w:val="en-US" w:eastAsia="zh-CN"/>
        </w:rPr>
        <w:t>可调。</w:t>
      </w:r>
    </w:p>
    <w:p w14:paraId="7887F166">
      <w:pPr>
        <w:spacing w:line="440" w:lineRule="exact"/>
        <w:ind w:firstLine="482" w:firstLineChars="200"/>
        <w:outlineLvl w:val="2"/>
        <w:rPr>
          <w:rFonts w:ascii="宋体" w:hAnsi="宋体" w:cs="宋体"/>
          <w:b/>
          <w:bCs/>
          <w:color w:val="auto"/>
          <w:sz w:val="24"/>
          <w:szCs w:val="24"/>
          <w:highlight w:val="none"/>
        </w:rPr>
      </w:pPr>
      <w:bookmarkStart w:id="204" w:name="_Toc351203485"/>
      <w:bookmarkStart w:id="205" w:name="_Toc51599537"/>
      <w:r>
        <w:rPr>
          <w:rFonts w:hint="eastAsia" w:ascii="宋体" w:hAnsi="宋体" w:cs="宋体"/>
          <w:b/>
          <w:bCs/>
          <w:color w:val="auto"/>
          <w:sz w:val="24"/>
          <w:szCs w:val="24"/>
          <w:highlight w:val="none"/>
        </w:rPr>
        <w:t>五、</w:t>
      </w:r>
      <w:bookmarkEnd w:id="204"/>
      <w:r>
        <w:rPr>
          <w:rFonts w:hint="eastAsia" w:ascii="宋体" w:hAnsi="宋体" w:cs="宋体"/>
          <w:b/>
          <w:bCs/>
          <w:color w:val="auto"/>
          <w:sz w:val="24"/>
          <w:szCs w:val="24"/>
          <w:highlight w:val="none"/>
        </w:rPr>
        <w:t>项目经理</w:t>
      </w:r>
      <w:bookmarkEnd w:id="205"/>
    </w:p>
    <w:p w14:paraId="50D5765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承包人项目经理：</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3A8C60FF">
      <w:pPr>
        <w:spacing w:line="440" w:lineRule="exact"/>
        <w:ind w:firstLine="482" w:firstLineChars="200"/>
        <w:outlineLvl w:val="2"/>
        <w:rPr>
          <w:rFonts w:ascii="宋体" w:hAnsi="宋体" w:cs="宋体"/>
          <w:b/>
          <w:bCs/>
          <w:color w:val="auto"/>
          <w:sz w:val="24"/>
          <w:szCs w:val="24"/>
          <w:highlight w:val="none"/>
        </w:rPr>
      </w:pPr>
      <w:bookmarkStart w:id="206" w:name="_Toc51599538"/>
      <w:r>
        <w:rPr>
          <w:rFonts w:hint="eastAsia" w:ascii="宋体" w:hAnsi="宋体" w:cs="宋体"/>
          <w:b/>
          <w:bCs/>
          <w:color w:val="auto"/>
          <w:sz w:val="24"/>
          <w:szCs w:val="24"/>
          <w:highlight w:val="none"/>
        </w:rPr>
        <w:t>六、合同文件构成</w:t>
      </w:r>
      <w:bookmarkEnd w:id="206"/>
    </w:p>
    <w:p w14:paraId="7025A64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本协议书与下列文件一起构成合同文件：</w:t>
      </w:r>
    </w:p>
    <w:p w14:paraId="44406330">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（1）成交通知书（如有）；</w:t>
      </w:r>
    </w:p>
    <w:p w14:paraId="4A6B7328">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（2）磋商函及其附录（如有）； </w:t>
      </w:r>
    </w:p>
    <w:p w14:paraId="0BAD716B">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（3）专用合同条款及其附件；</w:t>
      </w:r>
    </w:p>
    <w:p w14:paraId="670FA0A5">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（4）通用合同条款；</w:t>
      </w:r>
    </w:p>
    <w:p w14:paraId="14236E27">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（5）技术标准和要求；</w:t>
      </w:r>
    </w:p>
    <w:p w14:paraId="277C5196">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（6）已标价工程量清单或预算书； </w:t>
      </w:r>
    </w:p>
    <w:p w14:paraId="2CD6D415">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（7）图纸；</w:t>
      </w:r>
    </w:p>
    <w:p w14:paraId="3E418F4C">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（8）其他合同文件：</w:t>
      </w:r>
    </w:p>
    <w:p w14:paraId="4DC8609E">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磋商文件及附件（含所有补充通知）；</w:t>
      </w:r>
    </w:p>
    <w:p w14:paraId="1F446A30">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在合同订立及履行过程中形成的与合同有关的文件均构成合同文件组成部分。</w:t>
      </w:r>
    </w:p>
    <w:p w14:paraId="1DE6B2BC">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00B51556">
      <w:pPr>
        <w:spacing w:line="440" w:lineRule="exact"/>
        <w:ind w:firstLine="482" w:firstLineChars="200"/>
        <w:outlineLvl w:val="2"/>
        <w:rPr>
          <w:rFonts w:ascii="宋体" w:hAnsi="宋体" w:cs="宋体"/>
          <w:b/>
          <w:bCs/>
          <w:color w:val="auto"/>
          <w:sz w:val="24"/>
          <w:szCs w:val="24"/>
          <w:highlight w:val="none"/>
        </w:rPr>
      </w:pPr>
      <w:bookmarkStart w:id="207" w:name="_Toc51599539"/>
      <w:r>
        <w:rPr>
          <w:rFonts w:hint="eastAsia" w:ascii="宋体" w:hAnsi="宋体" w:cs="宋体"/>
          <w:b/>
          <w:bCs/>
          <w:color w:val="auto"/>
          <w:sz w:val="24"/>
          <w:szCs w:val="24"/>
          <w:highlight w:val="none"/>
        </w:rPr>
        <w:t>七、承诺</w:t>
      </w:r>
      <w:bookmarkEnd w:id="207"/>
    </w:p>
    <w:p w14:paraId="5138CC2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 发包人承诺按照法律规定履行项目审批手续、筹集工程建设资金并按照合同约定的期限和方式支付合同价款。</w:t>
      </w:r>
    </w:p>
    <w:p w14:paraId="79349A3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 承包人承诺按照法律规定及合同约定组织完成工程施工，确保工程质量和安全，不进行转包及违法分包，并在缺陷责任期及保修期内承担相应的工程维修责任。</w:t>
      </w:r>
    </w:p>
    <w:p w14:paraId="1E57197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 发包人和承包人通过招投标形式签订合同的，双方理解并承诺不再就同一工程另行签订与合同实质性内容相背离的协议。</w:t>
      </w:r>
    </w:p>
    <w:p w14:paraId="427B7656">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4.为施工单位提供现场施工用电，用水及解决材料堆放问题。</w:t>
      </w:r>
    </w:p>
    <w:p w14:paraId="3D03724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本协议书中词语含义与第二部分通用合同条款中赋予的含义相同。</w:t>
      </w:r>
    </w:p>
    <w:p w14:paraId="2E20987A">
      <w:pPr>
        <w:spacing w:line="440" w:lineRule="exact"/>
        <w:ind w:firstLine="482" w:firstLineChars="200"/>
        <w:outlineLvl w:val="2"/>
        <w:rPr>
          <w:rFonts w:ascii="宋体" w:hAnsi="宋体" w:cs="宋体"/>
          <w:b/>
          <w:bCs/>
          <w:color w:val="auto"/>
          <w:sz w:val="24"/>
          <w:szCs w:val="24"/>
          <w:highlight w:val="none"/>
        </w:rPr>
      </w:pPr>
      <w:bookmarkStart w:id="208" w:name="_Toc51599541"/>
      <w:r>
        <w:rPr>
          <w:rFonts w:hint="eastAsia" w:ascii="宋体" w:hAnsi="宋体" w:cs="宋体"/>
          <w:b/>
          <w:bCs/>
          <w:color w:val="auto"/>
          <w:sz w:val="24"/>
          <w:szCs w:val="24"/>
          <w:highlight w:val="none"/>
        </w:rPr>
        <w:t>九、签订时间</w:t>
      </w:r>
      <w:bookmarkEnd w:id="208"/>
    </w:p>
    <w:p w14:paraId="4BB709D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本合同于</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日签订。</w:t>
      </w:r>
    </w:p>
    <w:p w14:paraId="4033A977">
      <w:pPr>
        <w:spacing w:line="440" w:lineRule="exact"/>
        <w:ind w:firstLine="482" w:firstLineChars="200"/>
        <w:outlineLvl w:val="2"/>
        <w:rPr>
          <w:rFonts w:ascii="宋体" w:hAnsi="宋体" w:cs="宋体"/>
          <w:b/>
          <w:bCs/>
          <w:color w:val="auto"/>
          <w:sz w:val="24"/>
          <w:szCs w:val="24"/>
          <w:highlight w:val="none"/>
        </w:rPr>
      </w:pPr>
      <w:bookmarkStart w:id="209" w:name="_Toc51599542"/>
      <w:r>
        <w:rPr>
          <w:rFonts w:hint="eastAsia" w:ascii="宋体" w:hAnsi="宋体" w:cs="宋体"/>
          <w:b/>
          <w:bCs/>
          <w:color w:val="auto"/>
          <w:sz w:val="24"/>
          <w:szCs w:val="24"/>
          <w:highlight w:val="none"/>
        </w:rPr>
        <w:t>十、签订地点</w:t>
      </w:r>
      <w:bookmarkEnd w:id="209"/>
    </w:p>
    <w:p w14:paraId="21DDAF0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本合同在</w:t>
      </w:r>
      <w:r>
        <w:rPr>
          <w:rFonts w:hint="eastAsia" w:ascii="宋体" w:hAnsi="宋体" w:cs="宋体"/>
          <w:color w:val="auto"/>
          <w:sz w:val="24"/>
          <w:szCs w:val="24"/>
          <w:highlight w:val="none"/>
          <w:u w:val="single"/>
        </w:rPr>
        <w:t xml:space="preserve">  梧州市  </w:t>
      </w:r>
      <w:r>
        <w:rPr>
          <w:rFonts w:hint="eastAsia" w:ascii="宋体" w:hAnsi="宋体" w:cs="宋体"/>
          <w:color w:val="auto"/>
          <w:sz w:val="24"/>
          <w:szCs w:val="24"/>
          <w:highlight w:val="none"/>
        </w:rPr>
        <w:t>签订。</w:t>
      </w:r>
    </w:p>
    <w:p w14:paraId="11A5C6BF">
      <w:pPr>
        <w:spacing w:line="360" w:lineRule="auto"/>
        <w:ind w:firstLine="482" w:firstLineChars="200"/>
        <w:outlineLvl w:val="2"/>
        <w:rPr>
          <w:rFonts w:ascii="宋体" w:hAnsi="宋体" w:cs="宋体"/>
          <w:b/>
          <w:bCs/>
          <w:color w:val="auto"/>
          <w:sz w:val="24"/>
          <w:szCs w:val="24"/>
          <w:highlight w:val="none"/>
        </w:rPr>
      </w:pPr>
      <w:bookmarkStart w:id="210" w:name="_Toc51599543"/>
      <w:r>
        <w:rPr>
          <w:rFonts w:hint="eastAsia" w:ascii="宋体" w:hAnsi="宋体" w:cs="宋体"/>
          <w:b/>
          <w:bCs/>
          <w:color w:val="auto"/>
          <w:sz w:val="24"/>
          <w:szCs w:val="24"/>
          <w:highlight w:val="none"/>
        </w:rPr>
        <w:t>十一、补充协议</w:t>
      </w:r>
    </w:p>
    <w:p w14:paraId="30E13BD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合同未尽事宜，合同当事人另行签订补充协议，补充协议是合同的组成部分。</w:t>
      </w:r>
    </w:p>
    <w:bookmarkEnd w:id="210"/>
    <w:p w14:paraId="439D206B">
      <w:pPr>
        <w:spacing w:line="440" w:lineRule="exact"/>
        <w:ind w:firstLine="482" w:firstLineChars="200"/>
        <w:outlineLvl w:val="2"/>
        <w:rPr>
          <w:rFonts w:ascii="宋体" w:hAnsi="宋体" w:cs="宋体"/>
          <w:b/>
          <w:bCs/>
          <w:color w:val="auto"/>
          <w:sz w:val="24"/>
          <w:szCs w:val="24"/>
          <w:highlight w:val="none"/>
        </w:rPr>
      </w:pPr>
      <w:bookmarkStart w:id="211" w:name="_Toc51599544"/>
      <w:r>
        <w:rPr>
          <w:rFonts w:hint="eastAsia" w:ascii="宋体" w:hAnsi="宋体" w:cs="宋体"/>
          <w:b/>
          <w:bCs/>
          <w:color w:val="auto"/>
          <w:sz w:val="24"/>
          <w:szCs w:val="24"/>
          <w:highlight w:val="none"/>
        </w:rPr>
        <w:t>十二、合同生效</w:t>
      </w:r>
      <w:bookmarkEnd w:id="211"/>
    </w:p>
    <w:p w14:paraId="24DCD07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本合同自</w:t>
      </w:r>
      <w:r>
        <w:rPr>
          <w:rFonts w:hint="eastAsia" w:ascii="宋体" w:hAnsi="宋体" w:cs="宋体"/>
          <w:color w:val="auto"/>
          <w:sz w:val="24"/>
          <w:szCs w:val="24"/>
          <w:highlight w:val="none"/>
          <w:u w:val="single"/>
        </w:rPr>
        <w:t xml:space="preserve">  双方法定代表人或其委托代理人签字并盖公章之日  </w:t>
      </w:r>
      <w:r>
        <w:rPr>
          <w:rFonts w:hint="eastAsia" w:ascii="宋体" w:hAnsi="宋体" w:cs="宋体"/>
          <w:color w:val="auto"/>
          <w:sz w:val="24"/>
          <w:szCs w:val="24"/>
          <w:highlight w:val="none"/>
        </w:rPr>
        <w:t>生效。</w:t>
      </w:r>
    </w:p>
    <w:p w14:paraId="46E6C09E">
      <w:pPr>
        <w:spacing w:line="440" w:lineRule="exact"/>
        <w:ind w:firstLine="482" w:firstLineChars="200"/>
        <w:outlineLvl w:val="2"/>
        <w:rPr>
          <w:rFonts w:ascii="宋体" w:hAnsi="宋体" w:cs="宋体"/>
          <w:b/>
          <w:bCs/>
          <w:color w:val="auto"/>
          <w:sz w:val="24"/>
          <w:szCs w:val="24"/>
          <w:highlight w:val="none"/>
        </w:rPr>
      </w:pPr>
      <w:bookmarkStart w:id="212" w:name="_Toc51599545"/>
      <w:r>
        <w:rPr>
          <w:rFonts w:hint="eastAsia" w:ascii="宋体" w:hAnsi="宋体" w:cs="宋体"/>
          <w:b/>
          <w:bCs/>
          <w:color w:val="auto"/>
          <w:sz w:val="24"/>
          <w:szCs w:val="24"/>
          <w:highlight w:val="none"/>
        </w:rPr>
        <w:t>十三、合同份数</w:t>
      </w:r>
      <w:bookmarkEnd w:id="212"/>
    </w:p>
    <w:p w14:paraId="44F17D0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本合同一式</w:t>
      </w:r>
      <w:r>
        <w:rPr>
          <w:rFonts w:hint="eastAsia" w:ascii="宋体" w:hAnsi="宋体" w:cs="宋体"/>
          <w:color w:val="auto"/>
          <w:sz w:val="24"/>
          <w:szCs w:val="24"/>
          <w:highlight w:val="none"/>
          <w:u w:val="single"/>
        </w:rPr>
        <w:t xml:space="preserve">  捌  </w:t>
      </w:r>
      <w:r>
        <w:rPr>
          <w:rFonts w:hint="eastAsia" w:ascii="宋体" w:hAnsi="宋体" w:cs="宋体"/>
          <w:color w:val="auto"/>
          <w:sz w:val="24"/>
          <w:szCs w:val="24"/>
          <w:highlight w:val="none"/>
        </w:rPr>
        <w:t>份，均具有同等法律效力，发包人执</w:t>
      </w:r>
      <w:r>
        <w:rPr>
          <w:rFonts w:hint="eastAsia" w:ascii="宋体" w:hAnsi="宋体" w:cs="宋体"/>
          <w:color w:val="auto"/>
          <w:sz w:val="24"/>
          <w:szCs w:val="24"/>
          <w:highlight w:val="none"/>
          <w:u w:val="single"/>
        </w:rPr>
        <w:t xml:space="preserve">  肆  </w:t>
      </w:r>
      <w:r>
        <w:rPr>
          <w:rFonts w:hint="eastAsia" w:ascii="宋体" w:hAnsi="宋体" w:cs="宋体"/>
          <w:color w:val="auto"/>
          <w:sz w:val="24"/>
          <w:szCs w:val="24"/>
          <w:highlight w:val="none"/>
        </w:rPr>
        <w:t>份，承包人执</w:t>
      </w:r>
      <w:r>
        <w:rPr>
          <w:rFonts w:hint="eastAsia" w:ascii="宋体" w:hAnsi="宋体" w:cs="宋体"/>
          <w:color w:val="auto"/>
          <w:sz w:val="24"/>
          <w:szCs w:val="24"/>
          <w:highlight w:val="none"/>
          <w:u w:val="single"/>
        </w:rPr>
        <w:t xml:space="preserve">  肆  </w:t>
      </w:r>
      <w:r>
        <w:rPr>
          <w:rFonts w:hint="eastAsia" w:ascii="宋体" w:hAnsi="宋体" w:cs="宋体"/>
          <w:color w:val="auto"/>
          <w:sz w:val="24"/>
          <w:szCs w:val="24"/>
          <w:highlight w:val="none"/>
        </w:rPr>
        <w:t>份。</w:t>
      </w:r>
    </w:p>
    <w:p w14:paraId="7C1DB3C6">
      <w:pPr>
        <w:spacing w:line="440" w:lineRule="exact"/>
        <w:ind w:right="-733" w:rightChars="-349"/>
        <w:rPr>
          <w:rFonts w:ascii="宋体" w:hAnsi="宋体" w:cs="宋体"/>
          <w:color w:val="auto"/>
          <w:sz w:val="24"/>
          <w:szCs w:val="24"/>
          <w:highlight w:val="none"/>
        </w:rPr>
      </w:pPr>
    </w:p>
    <w:p w14:paraId="0E86A144">
      <w:pPr>
        <w:spacing w:line="440" w:lineRule="exact"/>
        <w:ind w:right="-733" w:rightChars="-349"/>
        <w:rPr>
          <w:rFonts w:ascii="宋体" w:hAnsi="宋体" w:cs="宋体"/>
          <w:color w:val="auto"/>
          <w:sz w:val="24"/>
          <w:szCs w:val="24"/>
          <w:highlight w:val="none"/>
        </w:rPr>
      </w:pPr>
      <w:r>
        <w:rPr>
          <w:rFonts w:hint="eastAsia" w:ascii="宋体" w:hAnsi="宋体" w:cs="宋体"/>
          <w:color w:val="auto"/>
          <w:sz w:val="24"/>
          <w:szCs w:val="24"/>
          <w:highlight w:val="none"/>
        </w:rPr>
        <w:t>发包人：</w:t>
      </w:r>
      <w:r>
        <w:rPr>
          <w:rFonts w:hint="eastAsia" w:ascii="宋体" w:hAnsi="宋体" w:cs="宋体"/>
          <w:bCs/>
          <w:color w:val="auto"/>
          <w:sz w:val="24"/>
          <w:szCs w:val="24"/>
          <w:highlight w:val="none"/>
          <w:u w:val="single"/>
          <w:lang w:val="en-US" w:eastAsia="zh-CN"/>
        </w:rPr>
        <w:t>梧州市文化路小学</w:t>
      </w:r>
      <w:r>
        <w:rPr>
          <w:rFonts w:hint="eastAsia" w:ascii="宋体" w:hAnsi="宋体" w:cs="宋体"/>
          <w:color w:val="auto"/>
          <w:sz w:val="24"/>
          <w:szCs w:val="24"/>
          <w:highlight w:val="none"/>
        </w:rPr>
        <w:t>（公章） 承包人：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（公章）</w:t>
      </w:r>
    </w:p>
    <w:p w14:paraId="58F53026">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法定代表人（签字或盖章）：                  法定代表人（签字或盖章）：</w:t>
      </w:r>
    </w:p>
    <w:p w14:paraId="6A830FB8">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1C90F27D">
      <w:pPr>
        <w:tabs>
          <w:tab w:val="left" w:pos="4410"/>
        </w:tabs>
        <w:spacing w:line="440" w:lineRule="exact"/>
        <w:ind w:right="-733" w:rightChars="-349"/>
        <w:rPr>
          <w:rFonts w:ascii="宋体" w:hAnsi="宋体" w:cs="宋体"/>
          <w:color w:val="auto"/>
          <w:sz w:val="24"/>
          <w:szCs w:val="24"/>
          <w:highlight w:val="none"/>
          <w:u w:val="single"/>
        </w:rPr>
      </w:pPr>
      <w:r>
        <w:rPr>
          <w:rFonts w:hint="eastAsia" w:ascii="宋体" w:hAnsi="宋体" w:cs="宋体"/>
          <w:color w:val="auto"/>
          <w:sz w:val="24"/>
          <w:szCs w:val="24"/>
          <w:highlight w:val="none"/>
        </w:rPr>
        <w:t>统一社会信用代码：</w:t>
      </w:r>
      <w:r>
        <w:rPr>
          <w:rFonts w:hint="eastAsia" w:ascii="宋体" w:hAnsi="宋体" w:cs="宋体"/>
          <w:bCs/>
          <w:color w:val="auto"/>
          <w:sz w:val="24"/>
          <w:szCs w:val="24"/>
          <w:highlight w:val="none"/>
          <w:u w:val="single"/>
        </w:rPr>
        <w:t xml:space="preserve">                       </w:t>
      </w:r>
      <w:r>
        <w:rPr>
          <w:rFonts w:hint="eastAsia" w:ascii="宋体" w:hAnsi="宋体" w:cs="宋体"/>
          <w:color w:val="auto"/>
          <w:sz w:val="24"/>
          <w:szCs w:val="24"/>
          <w:highlight w:val="none"/>
        </w:rPr>
        <w:t xml:space="preserve">   统一社会信用代码：</w:t>
      </w:r>
      <w:r>
        <w:rPr>
          <w:rFonts w:hint="eastAsia" w:ascii="宋体" w:hAnsi="宋体" w:cs="宋体"/>
          <w:color w:val="auto"/>
          <w:sz w:val="24"/>
          <w:szCs w:val="24"/>
          <w:highlight w:val="none"/>
          <w:u w:val="single"/>
        </w:rPr>
        <w:t xml:space="preserve">            </w:t>
      </w:r>
    </w:p>
    <w:p w14:paraId="0460E7F3">
      <w:pPr>
        <w:spacing w:line="440" w:lineRule="exact"/>
        <w:ind w:right="-512" w:rightChars="-244"/>
        <w:jc w:val="both"/>
        <w:rPr>
          <w:rFonts w:ascii="宋体" w:hAnsi="宋体" w:cs="宋体"/>
          <w:color w:val="auto"/>
          <w:sz w:val="24"/>
          <w:szCs w:val="24"/>
          <w:highlight w:val="none"/>
        </w:rPr>
      </w:pPr>
      <w:r>
        <w:rPr>
          <w:rFonts w:hint="eastAsia" w:ascii="宋体" w:hAnsi="宋体" w:cs="宋体"/>
          <w:color w:val="auto"/>
          <w:sz w:val="24"/>
          <w:szCs w:val="24"/>
          <w:highlight w:val="none"/>
        </w:rPr>
        <w:t>地  址：</w:t>
      </w:r>
      <w:r>
        <w:rPr>
          <w:rFonts w:hint="eastAsia" w:ascii="宋体" w:hAnsi="宋体" w:cs="宋体"/>
          <w:bCs/>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地  址：</w:t>
      </w:r>
      <w:r>
        <w:rPr>
          <w:rFonts w:hint="eastAsia" w:ascii="宋体" w:hAnsi="宋体" w:cs="宋体"/>
          <w:color w:val="auto"/>
          <w:sz w:val="24"/>
          <w:szCs w:val="24"/>
          <w:highlight w:val="none"/>
          <w:u w:val="single"/>
        </w:rPr>
        <w:t xml:space="preserve">       </w:t>
      </w:r>
    </w:p>
    <w:p w14:paraId="2D0FC7EF">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邮政编码：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邮政编码：</w:t>
      </w:r>
      <w:r>
        <w:rPr>
          <w:rFonts w:hint="eastAsia" w:ascii="宋体" w:hAnsi="宋体" w:cs="宋体"/>
          <w:color w:val="auto"/>
          <w:sz w:val="24"/>
          <w:szCs w:val="24"/>
          <w:highlight w:val="none"/>
          <w:u w:val="single"/>
        </w:rPr>
        <w:t xml:space="preserve">        </w:t>
      </w:r>
    </w:p>
    <w:p w14:paraId="2008B702">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  话：</w:t>
      </w:r>
      <w:r>
        <w:rPr>
          <w:rFonts w:hint="eastAsia" w:ascii="宋体" w:hAnsi="宋体" w:cs="宋体"/>
          <w:color w:val="auto"/>
          <w:sz w:val="24"/>
          <w:szCs w:val="24"/>
          <w:highlight w:val="none"/>
          <w:u w:val="single"/>
        </w:rPr>
        <w:t xml:space="preserve">        </w:t>
      </w:r>
    </w:p>
    <w:p w14:paraId="341588E7">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传  真：</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传  真：</w:t>
      </w:r>
      <w:r>
        <w:rPr>
          <w:rFonts w:hint="eastAsia" w:ascii="宋体" w:hAnsi="宋体" w:cs="宋体"/>
          <w:color w:val="auto"/>
          <w:sz w:val="24"/>
          <w:szCs w:val="24"/>
          <w:highlight w:val="none"/>
          <w:u w:val="single"/>
        </w:rPr>
        <w:t xml:space="preserve">         </w:t>
      </w:r>
    </w:p>
    <w:p w14:paraId="694D2F22">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电子信箱：</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电子信箱：</w:t>
      </w:r>
      <w:r>
        <w:rPr>
          <w:rFonts w:hint="eastAsia" w:ascii="宋体" w:hAnsi="宋体" w:cs="宋体"/>
          <w:color w:val="auto"/>
          <w:sz w:val="24"/>
          <w:szCs w:val="24"/>
          <w:highlight w:val="none"/>
          <w:u w:val="single"/>
        </w:rPr>
        <w:t xml:space="preserve">  </w:t>
      </w:r>
    </w:p>
    <w:p w14:paraId="588589C3">
      <w:pPr>
        <w:spacing w:line="440" w:lineRule="exact"/>
        <w:ind w:left="6720" w:hanging="6720" w:hangingChars="2800"/>
        <w:rPr>
          <w:rFonts w:ascii="宋体" w:hAnsi="宋体" w:cs="宋体"/>
          <w:color w:val="auto"/>
          <w:sz w:val="24"/>
          <w:szCs w:val="24"/>
          <w:highlight w:val="none"/>
        </w:rPr>
      </w:pPr>
      <w:r>
        <w:rPr>
          <w:rFonts w:hint="eastAsia" w:ascii="宋体" w:hAnsi="宋体" w:cs="宋体"/>
          <w:color w:val="auto"/>
          <w:sz w:val="24"/>
          <w:szCs w:val="24"/>
          <w:highlight w:val="none"/>
        </w:rPr>
        <w:t>开户银行：</w:t>
      </w:r>
      <w:r>
        <w:rPr>
          <w:rFonts w:hint="eastAsia" w:ascii="宋体" w:hAnsi="宋体" w:cs="宋体"/>
          <w:bCs/>
          <w:color w:val="auto"/>
          <w:sz w:val="24"/>
          <w:szCs w:val="24"/>
          <w:highlight w:val="none"/>
          <w:u w:val="single"/>
        </w:rPr>
        <w:t xml:space="preserve">                          </w:t>
      </w:r>
      <w:r>
        <w:rPr>
          <w:rFonts w:hint="eastAsia" w:ascii="宋体" w:hAnsi="宋体" w:cs="宋体"/>
          <w:color w:val="auto"/>
          <w:sz w:val="24"/>
          <w:szCs w:val="24"/>
          <w:highlight w:val="none"/>
        </w:rPr>
        <w:t xml:space="preserve">        开户银行：</w:t>
      </w:r>
      <w:r>
        <w:rPr>
          <w:rFonts w:hint="eastAsia" w:ascii="宋体" w:hAnsi="宋体" w:cs="宋体"/>
          <w:color w:val="auto"/>
          <w:sz w:val="24"/>
          <w:szCs w:val="24"/>
          <w:highlight w:val="none"/>
          <w:u w:val="single"/>
        </w:rPr>
        <w:t xml:space="preserve">  </w:t>
      </w:r>
    </w:p>
    <w:p w14:paraId="4ECE2611">
      <w:pPr>
        <w:spacing w:line="44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账  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账  号：</w:t>
      </w:r>
      <w:r>
        <w:rPr>
          <w:rFonts w:hint="eastAsia" w:ascii="宋体" w:hAnsi="宋体" w:cs="宋体"/>
          <w:color w:val="auto"/>
          <w:sz w:val="24"/>
          <w:szCs w:val="24"/>
          <w:highlight w:val="none"/>
          <w:u w:val="single"/>
        </w:rPr>
        <w:t xml:space="preserve">  </w:t>
      </w:r>
    </w:p>
    <w:p w14:paraId="4BBA2963">
      <w:pPr>
        <w:pStyle w:val="12"/>
        <w:ind w:right="63"/>
        <w:rPr>
          <w:rFonts w:ascii="宋体" w:hAnsi="宋体" w:cs="宋体"/>
          <w:color w:val="auto"/>
          <w:sz w:val="24"/>
          <w:szCs w:val="24"/>
          <w:highlight w:val="none"/>
        </w:rPr>
      </w:pPr>
      <w:bookmarkStart w:id="213" w:name="_Toc407135192"/>
      <w:bookmarkStart w:id="214" w:name="_Toc389065256"/>
      <w:bookmarkStart w:id="215" w:name="_Toc487632689"/>
      <w:bookmarkStart w:id="216" w:name="_Toc373227691"/>
      <w:bookmarkStart w:id="217" w:name="_Toc373478338"/>
    </w:p>
    <w:p w14:paraId="5FD6AB21">
      <w:pPr>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D469E94">
      <w:pPr>
        <w:spacing w:line="360" w:lineRule="auto"/>
        <w:ind w:firstLine="480" w:firstLineChars="200"/>
        <w:jc w:val="center"/>
        <w:outlineLvl w:val="2"/>
        <w:rPr>
          <w:rFonts w:ascii="宋体" w:hAnsi="宋体" w:cs="宋体"/>
          <w:color w:val="auto"/>
          <w:kern w:val="0"/>
          <w:sz w:val="28"/>
          <w:szCs w:val="28"/>
          <w:highlight w:val="none"/>
        </w:rPr>
      </w:pPr>
      <w:r>
        <w:rPr>
          <w:rFonts w:hint="eastAsia" w:ascii="宋体" w:hAnsi="宋体" w:cs="宋体"/>
          <w:color w:val="auto"/>
          <w:sz w:val="24"/>
          <w:szCs w:val="24"/>
          <w:highlight w:val="none"/>
        </w:rPr>
        <w:br w:type="page"/>
      </w:r>
      <w:bookmarkStart w:id="218" w:name="_Toc51599546"/>
      <w:r>
        <w:rPr>
          <w:rFonts w:hint="eastAsia" w:ascii="宋体" w:hAnsi="宋体" w:cs="宋体"/>
          <w:b/>
          <w:bCs/>
          <w:color w:val="auto"/>
          <w:sz w:val="28"/>
          <w:szCs w:val="28"/>
          <w:highlight w:val="none"/>
        </w:rPr>
        <w:t>第二部分 通用合同条款</w:t>
      </w:r>
      <w:bookmarkEnd w:id="213"/>
      <w:bookmarkEnd w:id="214"/>
      <w:bookmarkEnd w:id="215"/>
      <w:bookmarkEnd w:id="218"/>
    </w:p>
    <w:p w14:paraId="79902051">
      <w:pPr>
        <w:spacing w:line="360" w:lineRule="auto"/>
        <w:ind w:firstLine="562" w:firstLineChars="200"/>
        <w:jc w:val="center"/>
        <w:rPr>
          <w:rFonts w:ascii="宋体" w:hAnsi="宋体" w:cs="宋体"/>
          <w:b/>
          <w:bCs/>
          <w:color w:val="auto"/>
          <w:kern w:val="0"/>
          <w:sz w:val="28"/>
          <w:szCs w:val="28"/>
          <w:highlight w:val="none"/>
        </w:rPr>
      </w:pPr>
      <w:bookmarkStart w:id="219" w:name="_Hlk52266215"/>
      <w:r>
        <w:rPr>
          <w:rFonts w:hint="eastAsia" w:ascii="宋体" w:hAnsi="宋体" w:cs="宋体"/>
          <w:b/>
          <w:bCs/>
          <w:color w:val="auto"/>
          <w:kern w:val="0"/>
          <w:sz w:val="28"/>
          <w:szCs w:val="28"/>
          <w:highlight w:val="none"/>
        </w:rPr>
        <w:t>采用《建设工程施工合同（示范文本）》（GF-2017-0201）。</w:t>
      </w:r>
    </w:p>
    <w:bookmarkEnd w:id="219"/>
    <w:p w14:paraId="26C3D350">
      <w:pPr>
        <w:rPr>
          <w:rFonts w:ascii="宋体" w:hAnsi="宋体" w:cs="宋体"/>
          <w:color w:val="auto"/>
          <w:sz w:val="28"/>
          <w:szCs w:val="28"/>
          <w:highlight w:val="none"/>
        </w:rPr>
      </w:pPr>
    </w:p>
    <w:p w14:paraId="02374EDA">
      <w:pPr>
        <w:spacing w:line="360" w:lineRule="auto"/>
        <w:ind w:firstLine="562" w:firstLineChars="200"/>
        <w:jc w:val="center"/>
        <w:outlineLvl w:val="2"/>
        <w:rPr>
          <w:rFonts w:ascii="宋体" w:hAnsi="宋体" w:cs="宋体"/>
          <w:b/>
          <w:bCs/>
          <w:color w:val="auto"/>
          <w:sz w:val="28"/>
          <w:szCs w:val="28"/>
          <w:highlight w:val="none"/>
        </w:rPr>
      </w:pPr>
      <w:bookmarkStart w:id="220" w:name="_Toc487632690"/>
      <w:bookmarkStart w:id="221" w:name="_Toc407135193"/>
      <w:bookmarkStart w:id="222" w:name="_Toc51599547"/>
      <w:bookmarkStart w:id="223" w:name="_Toc389065257"/>
      <w:r>
        <w:rPr>
          <w:rFonts w:hint="eastAsia" w:ascii="宋体" w:hAnsi="宋体" w:cs="宋体"/>
          <w:b/>
          <w:bCs/>
          <w:color w:val="auto"/>
          <w:sz w:val="28"/>
          <w:szCs w:val="28"/>
          <w:highlight w:val="none"/>
        </w:rPr>
        <w:t>第三部分 专用合同条款</w:t>
      </w:r>
      <w:bookmarkEnd w:id="216"/>
      <w:bookmarkEnd w:id="217"/>
      <w:bookmarkEnd w:id="220"/>
      <w:bookmarkEnd w:id="221"/>
      <w:bookmarkEnd w:id="222"/>
      <w:bookmarkEnd w:id="223"/>
    </w:p>
    <w:p w14:paraId="3C50A489">
      <w:pPr>
        <w:spacing w:line="360" w:lineRule="auto"/>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（注：专用合同条款每一条均应填写完整！）</w:t>
      </w:r>
    </w:p>
    <w:p w14:paraId="45C920F2">
      <w:pPr>
        <w:keepNext/>
        <w:keepLines/>
        <w:spacing w:before="120" w:after="120" w:line="440" w:lineRule="exact"/>
        <w:outlineLvl w:val="1"/>
        <w:rPr>
          <w:rFonts w:ascii="宋体" w:hAnsi="宋体" w:cs="宋体"/>
          <w:b/>
          <w:bCs/>
          <w:color w:val="auto"/>
          <w:sz w:val="24"/>
          <w:szCs w:val="24"/>
          <w:highlight w:val="none"/>
        </w:rPr>
      </w:pPr>
      <w:bookmarkStart w:id="224" w:name="_Toc373227692"/>
      <w:bookmarkStart w:id="225" w:name="_Toc351203633"/>
      <w:bookmarkStart w:id="226" w:name="_Toc407135194"/>
      <w:bookmarkStart w:id="227" w:name="_Toc373478339"/>
      <w:bookmarkStart w:id="228" w:name="_Toc51599548"/>
      <w:bookmarkStart w:id="229" w:name="_Toc487632691"/>
      <w:bookmarkStart w:id="230" w:name="_Toc389065258"/>
      <w:r>
        <w:rPr>
          <w:rFonts w:hint="eastAsia" w:ascii="宋体" w:hAnsi="宋体" w:cs="宋体"/>
          <w:b/>
          <w:bCs/>
          <w:color w:val="auto"/>
          <w:sz w:val="24"/>
          <w:szCs w:val="24"/>
          <w:highlight w:val="none"/>
        </w:rPr>
        <w:t>1</w:t>
      </w:r>
      <w:bookmarkStart w:id="231" w:name="_Toc292559866"/>
      <w:bookmarkStart w:id="232" w:name="_Toc296346657"/>
      <w:bookmarkStart w:id="233" w:name="_Toc297048342"/>
      <w:bookmarkStart w:id="234" w:name="_Toc296890984"/>
      <w:bookmarkStart w:id="235" w:name="_Toc297120456"/>
      <w:bookmarkStart w:id="236" w:name="_Toc292559361"/>
      <w:bookmarkStart w:id="237" w:name="_Toc296347155"/>
      <w:bookmarkStart w:id="238" w:name="_Toc296503156"/>
      <w:bookmarkStart w:id="239" w:name="_Toc296944495"/>
      <w:bookmarkStart w:id="240" w:name="_Toc296891196"/>
      <w:r>
        <w:rPr>
          <w:rFonts w:hint="eastAsia" w:ascii="宋体" w:hAnsi="宋体" w:cs="宋体"/>
          <w:b/>
          <w:bCs/>
          <w:color w:val="auto"/>
          <w:sz w:val="24"/>
          <w:szCs w:val="24"/>
          <w:highlight w:val="none"/>
        </w:rPr>
        <w:t>. 一般约定</w:t>
      </w:r>
      <w:bookmarkEnd w:id="224"/>
      <w:bookmarkEnd w:id="225"/>
      <w:bookmarkEnd w:id="226"/>
      <w:bookmarkEnd w:id="227"/>
      <w:bookmarkEnd w:id="228"/>
      <w:bookmarkEnd w:id="229"/>
      <w:bookmarkEnd w:id="230"/>
    </w:p>
    <w:bookmarkEnd w:id="231"/>
    <w:bookmarkEnd w:id="232"/>
    <w:bookmarkEnd w:id="233"/>
    <w:bookmarkEnd w:id="234"/>
    <w:bookmarkEnd w:id="235"/>
    <w:bookmarkEnd w:id="236"/>
    <w:bookmarkEnd w:id="237"/>
    <w:bookmarkEnd w:id="238"/>
    <w:bookmarkEnd w:id="239"/>
    <w:bookmarkEnd w:id="240"/>
    <w:p w14:paraId="415EC8E4">
      <w:pPr>
        <w:keepNext/>
        <w:keepLines/>
        <w:spacing w:before="120" w:after="120" w:line="440" w:lineRule="exact"/>
        <w:outlineLvl w:val="2"/>
        <w:rPr>
          <w:rFonts w:ascii="宋体" w:hAnsi="宋体" w:cs="宋体"/>
          <w:b/>
          <w:bCs/>
          <w:color w:val="auto"/>
          <w:sz w:val="24"/>
          <w:szCs w:val="24"/>
          <w:highlight w:val="none"/>
        </w:rPr>
      </w:pPr>
      <w:bookmarkStart w:id="241" w:name="_Toc389065259"/>
      <w:bookmarkStart w:id="242" w:name="_Toc51599549"/>
      <w:bookmarkStart w:id="243" w:name="_Toc373227693"/>
      <w:bookmarkStart w:id="244" w:name="_Toc487632692"/>
      <w:bookmarkStart w:id="245" w:name="_Toc373478340"/>
      <w:bookmarkStart w:id="246" w:name="_Toc407135195"/>
      <w:r>
        <w:rPr>
          <w:rFonts w:hint="eastAsia" w:ascii="宋体" w:hAnsi="宋体" w:cs="宋体"/>
          <w:b/>
          <w:bCs/>
          <w:color w:val="auto"/>
          <w:sz w:val="24"/>
          <w:szCs w:val="24"/>
          <w:highlight w:val="none"/>
        </w:rPr>
        <w:t>1.1 词语定义</w:t>
      </w:r>
      <w:bookmarkEnd w:id="241"/>
      <w:bookmarkEnd w:id="242"/>
      <w:bookmarkEnd w:id="243"/>
      <w:bookmarkEnd w:id="244"/>
      <w:bookmarkEnd w:id="245"/>
      <w:bookmarkEnd w:id="246"/>
    </w:p>
    <w:p w14:paraId="5025231D">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1.1.1 合同</w:t>
      </w:r>
    </w:p>
    <w:p w14:paraId="38AB0CD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1.1.1.10 其他合同文件包括：</w:t>
      </w:r>
      <w:r>
        <w:rPr>
          <w:rFonts w:hint="eastAsia" w:ascii="宋体" w:hAnsi="宋体" w:cs="宋体"/>
          <w:color w:val="auto"/>
          <w:sz w:val="24"/>
          <w:szCs w:val="24"/>
          <w:highlight w:val="none"/>
          <w:u w:val="single"/>
        </w:rPr>
        <w:t xml:space="preserve">  合同协议书；中标通知书；</w:t>
      </w:r>
      <w:r>
        <w:rPr>
          <w:rFonts w:hint="eastAsia" w:ascii="宋体" w:hAnsi="宋体" w:cs="宋体"/>
          <w:color w:val="auto"/>
          <w:kern w:val="0"/>
          <w:sz w:val="24"/>
          <w:szCs w:val="24"/>
          <w:highlight w:val="none"/>
          <w:u w:val="single"/>
        </w:rPr>
        <w:t>投标函及其附录；</w:t>
      </w:r>
      <w:r>
        <w:rPr>
          <w:rFonts w:hint="eastAsia" w:ascii="宋体" w:hAnsi="宋体" w:cs="宋体"/>
          <w:color w:val="auto"/>
          <w:sz w:val="24"/>
          <w:szCs w:val="24"/>
          <w:highlight w:val="none"/>
          <w:u w:val="single"/>
        </w:rPr>
        <w:t xml:space="preserve">专用合同条款及其附件；通用合同条款；技术标准和要求；磋商工程量清单和图纸；磋商文件；投标文件；其他合同文件；补充协议；工程洽商；经发包人同意监理人发布的变更指示和工程签证；工程会议纪要；备忘录     </w:t>
      </w:r>
      <w:r>
        <w:rPr>
          <w:rFonts w:hint="eastAsia" w:ascii="宋体" w:hAnsi="宋体" w:cs="宋体"/>
          <w:color w:val="auto"/>
          <w:sz w:val="24"/>
          <w:szCs w:val="24"/>
          <w:highlight w:val="none"/>
        </w:rPr>
        <w:t>。</w:t>
      </w:r>
    </w:p>
    <w:p w14:paraId="463DB59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 合同当事人及其他相关方</w:t>
      </w:r>
    </w:p>
    <w:p w14:paraId="0A4F85C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1.1.2.4 监理人：</w:t>
      </w:r>
    </w:p>
    <w:p w14:paraId="2D29DA9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 ；</w:t>
      </w:r>
    </w:p>
    <w:p w14:paraId="6E7F263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1.1.2.5 设计人：</w:t>
      </w:r>
    </w:p>
    <w:p w14:paraId="1385F58F">
      <w:pPr>
        <w:spacing w:line="44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 xml:space="preserve">    名    称：</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5786B038">
      <w:pPr>
        <w:spacing w:line="440" w:lineRule="exact"/>
        <w:rPr>
          <w:rFonts w:ascii="宋体" w:hAnsi="宋体" w:cs="宋体"/>
          <w:color w:val="auto"/>
          <w:sz w:val="24"/>
          <w:szCs w:val="24"/>
          <w:highlight w:val="none"/>
        </w:rPr>
      </w:pP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1.1.3 工程和设备</w:t>
      </w:r>
    </w:p>
    <w:p w14:paraId="0A055E1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1.1.3.7 作为施工现场组成部分的其他场所包括：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40E17EA1">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1.1.3.9 永久占地包括：</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6A14C54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1.1.3.10 临时占地包括：</w:t>
      </w:r>
      <w:r>
        <w:rPr>
          <w:rFonts w:hint="eastAsia" w:ascii="宋体" w:hAnsi="宋体" w:cs="宋体"/>
          <w:color w:val="auto"/>
          <w:sz w:val="24"/>
          <w:szCs w:val="24"/>
          <w:highlight w:val="none"/>
          <w:u w:val="single"/>
        </w:rPr>
        <w:t xml:space="preserve">  需要临时占地的，由承包人办理相关申报手续，发包人予以协助，发生的费用由承包人承担    </w:t>
      </w:r>
      <w:r>
        <w:rPr>
          <w:rFonts w:hint="eastAsia" w:ascii="宋体" w:hAnsi="宋体" w:cs="宋体"/>
          <w:color w:val="auto"/>
          <w:kern w:val="0"/>
          <w:sz w:val="24"/>
          <w:szCs w:val="24"/>
          <w:highlight w:val="none"/>
        </w:rPr>
        <w:t>。</w:t>
      </w:r>
    </w:p>
    <w:p w14:paraId="255F5F50">
      <w:pPr>
        <w:keepNext/>
        <w:keepLines/>
        <w:spacing w:before="120" w:after="120" w:line="440" w:lineRule="exact"/>
        <w:outlineLvl w:val="2"/>
        <w:rPr>
          <w:rFonts w:ascii="宋体" w:hAnsi="宋体" w:cs="宋体"/>
          <w:b/>
          <w:bCs/>
          <w:color w:val="auto"/>
          <w:sz w:val="24"/>
          <w:szCs w:val="24"/>
          <w:highlight w:val="none"/>
        </w:rPr>
      </w:pPr>
      <w:bookmarkStart w:id="247" w:name="_Toc487632693"/>
      <w:bookmarkStart w:id="248" w:name="_Toc389065260"/>
      <w:bookmarkStart w:id="249" w:name="_Toc51599550"/>
      <w:bookmarkStart w:id="250" w:name="_Toc373227694"/>
      <w:bookmarkStart w:id="251" w:name="_Toc373478341"/>
      <w:bookmarkStart w:id="252" w:name="_Toc407135196"/>
      <w:r>
        <w:rPr>
          <w:rFonts w:hint="eastAsia" w:ascii="宋体" w:hAnsi="宋体" w:cs="宋体"/>
          <w:b/>
          <w:bCs/>
          <w:color w:val="auto"/>
          <w:sz w:val="24"/>
          <w:szCs w:val="24"/>
          <w:highlight w:val="none"/>
        </w:rPr>
        <w:t>1.3 法律</w:t>
      </w:r>
      <w:bookmarkEnd w:id="247"/>
      <w:bookmarkEnd w:id="248"/>
      <w:bookmarkEnd w:id="249"/>
      <w:bookmarkEnd w:id="250"/>
      <w:bookmarkEnd w:id="251"/>
      <w:bookmarkEnd w:id="252"/>
    </w:p>
    <w:p w14:paraId="0DB96C29">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适用于合同的其他规范性文件：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BE19C89">
      <w:pPr>
        <w:keepNext/>
        <w:keepLines/>
        <w:spacing w:before="120" w:after="120" w:line="440" w:lineRule="exact"/>
        <w:outlineLvl w:val="2"/>
        <w:rPr>
          <w:rFonts w:ascii="宋体" w:hAnsi="宋体" w:cs="宋体"/>
          <w:b/>
          <w:bCs/>
          <w:color w:val="auto"/>
          <w:sz w:val="24"/>
          <w:szCs w:val="24"/>
          <w:highlight w:val="none"/>
        </w:rPr>
      </w:pPr>
      <w:bookmarkStart w:id="253" w:name="_Toc373478342"/>
      <w:bookmarkStart w:id="254" w:name="_Toc373227695"/>
      <w:bookmarkStart w:id="255" w:name="_Toc407135197"/>
      <w:bookmarkStart w:id="256" w:name="_Toc487632694"/>
      <w:bookmarkStart w:id="257" w:name="_Toc51599551"/>
      <w:bookmarkStart w:id="258" w:name="_Toc389065261"/>
      <w:r>
        <w:rPr>
          <w:rFonts w:hint="eastAsia" w:ascii="宋体" w:hAnsi="宋体" w:cs="宋体"/>
          <w:b/>
          <w:bCs/>
          <w:color w:val="auto"/>
          <w:sz w:val="24"/>
          <w:szCs w:val="24"/>
          <w:highlight w:val="none"/>
        </w:rPr>
        <w:t>1.4 标准和规范</w:t>
      </w:r>
      <w:bookmarkEnd w:id="253"/>
      <w:bookmarkEnd w:id="254"/>
      <w:bookmarkEnd w:id="255"/>
      <w:bookmarkEnd w:id="256"/>
      <w:bookmarkEnd w:id="257"/>
      <w:bookmarkEnd w:id="258"/>
    </w:p>
    <w:p w14:paraId="6B4FBF91">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1.4.1 适用于工程的标准规范包括：</w:t>
      </w:r>
      <w:r>
        <w:rPr>
          <w:rFonts w:hint="eastAsia" w:ascii="宋体" w:hAnsi="宋体" w:cs="宋体"/>
          <w:color w:val="auto"/>
          <w:sz w:val="24"/>
          <w:szCs w:val="24"/>
          <w:highlight w:val="none"/>
          <w:u w:val="single"/>
        </w:rPr>
        <w:t xml:space="preserve">  现行的国家标准、行业标准、地方规范性文件    </w:t>
      </w:r>
      <w:r>
        <w:rPr>
          <w:rFonts w:hint="eastAsia" w:ascii="宋体" w:hAnsi="宋体" w:cs="宋体"/>
          <w:color w:val="auto"/>
          <w:sz w:val="24"/>
          <w:szCs w:val="24"/>
          <w:highlight w:val="none"/>
        </w:rPr>
        <w:t>。</w:t>
      </w:r>
    </w:p>
    <w:p w14:paraId="3D63498E">
      <w:pPr>
        <w:spacing w:line="440" w:lineRule="exact"/>
        <w:rPr>
          <w:rFonts w:ascii="宋体" w:hAnsi="宋体" w:cs="宋体"/>
          <w:color w:val="auto"/>
          <w:kern w:val="0"/>
          <w:sz w:val="24"/>
          <w:szCs w:val="24"/>
          <w:highlight w:val="none"/>
        </w:rPr>
      </w:pPr>
      <w:r>
        <w:rPr>
          <w:rFonts w:hint="eastAsia" w:ascii="宋体" w:hAnsi="宋体" w:cs="宋体"/>
          <w:color w:val="auto"/>
          <w:kern w:val="0"/>
          <w:sz w:val="24"/>
          <w:szCs w:val="24"/>
          <w:highlight w:val="none"/>
        </w:rPr>
        <w:t>1.4.2 发包人提供国外标准、规范的名称：</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7759B5D5">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发包人提供国外标准、规范的份数：</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无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0BA4895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发包人提供国外标准、规范的名称：</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 xml:space="preserve">无 </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515014FE">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1.4.3 发包人对工程的技术标准和功能要求的特殊要求：</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35C97A66">
      <w:pPr>
        <w:keepNext/>
        <w:keepLines/>
        <w:spacing w:before="120" w:after="120" w:line="440" w:lineRule="exact"/>
        <w:outlineLvl w:val="2"/>
        <w:rPr>
          <w:rFonts w:ascii="宋体" w:hAnsi="宋体" w:cs="宋体"/>
          <w:b/>
          <w:bCs/>
          <w:color w:val="auto"/>
          <w:sz w:val="24"/>
          <w:szCs w:val="24"/>
          <w:highlight w:val="none"/>
        </w:rPr>
      </w:pPr>
      <w:bookmarkStart w:id="259" w:name="_Toc373227696"/>
      <w:bookmarkStart w:id="260" w:name="_Toc51599552"/>
      <w:bookmarkStart w:id="261" w:name="_Toc487632695"/>
      <w:bookmarkStart w:id="262" w:name="_Toc373478343"/>
      <w:bookmarkStart w:id="263" w:name="_Toc407135198"/>
      <w:bookmarkStart w:id="264" w:name="_Toc389065262"/>
      <w:r>
        <w:rPr>
          <w:rFonts w:hint="eastAsia" w:ascii="宋体" w:hAnsi="宋体" w:cs="宋体"/>
          <w:b/>
          <w:bCs/>
          <w:color w:val="auto"/>
          <w:sz w:val="24"/>
          <w:szCs w:val="24"/>
          <w:highlight w:val="none"/>
        </w:rPr>
        <w:t>1.5 合同文件的优先顺序</w:t>
      </w:r>
      <w:bookmarkEnd w:id="259"/>
      <w:bookmarkEnd w:id="260"/>
      <w:bookmarkEnd w:id="261"/>
      <w:bookmarkEnd w:id="262"/>
      <w:bookmarkEnd w:id="263"/>
      <w:bookmarkEnd w:id="264"/>
    </w:p>
    <w:p w14:paraId="48B20EB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合同文件组成及优先顺序为：</w:t>
      </w:r>
    </w:p>
    <w:p w14:paraId="7C96BFAA">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（1）合同协议书；</w:t>
      </w:r>
    </w:p>
    <w:p w14:paraId="52BF9939">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（2）成交通知书；</w:t>
      </w:r>
    </w:p>
    <w:p w14:paraId="420A4DB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（3）磋商函及其附录；</w:t>
      </w:r>
    </w:p>
    <w:p w14:paraId="2AB76F7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（4）专用合同条款及其附件；</w:t>
      </w:r>
    </w:p>
    <w:p w14:paraId="0AF95EAB">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（5）通用合同条款；</w:t>
      </w:r>
    </w:p>
    <w:p w14:paraId="62CB608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（6）</w:t>
      </w:r>
      <w:r>
        <w:rPr>
          <w:rFonts w:hint="eastAsia" w:ascii="宋体" w:hAnsi="宋体" w:cs="宋体"/>
          <w:color w:val="auto"/>
          <w:kern w:val="0"/>
          <w:sz w:val="24"/>
          <w:szCs w:val="24"/>
          <w:highlight w:val="none"/>
          <w:u w:val="single"/>
        </w:rPr>
        <w:t xml:space="preserve">  技术标准和要求      </w:t>
      </w:r>
      <w:r>
        <w:rPr>
          <w:rFonts w:hint="eastAsia" w:ascii="宋体" w:hAnsi="宋体" w:cs="宋体"/>
          <w:color w:val="auto"/>
          <w:kern w:val="0"/>
          <w:sz w:val="24"/>
          <w:szCs w:val="24"/>
          <w:highlight w:val="none"/>
        </w:rPr>
        <w:t>；</w:t>
      </w:r>
    </w:p>
    <w:p w14:paraId="3FCEF6FD">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（7）</w:t>
      </w:r>
      <w:r>
        <w:rPr>
          <w:rFonts w:hint="eastAsia" w:ascii="宋体" w:hAnsi="宋体" w:cs="宋体"/>
          <w:color w:val="auto"/>
          <w:kern w:val="0"/>
          <w:sz w:val="24"/>
          <w:szCs w:val="24"/>
          <w:highlight w:val="none"/>
          <w:u w:val="single"/>
        </w:rPr>
        <w:t xml:space="preserve">  已标价工程量清单或预算书      </w:t>
      </w:r>
      <w:r>
        <w:rPr>
          <w:rFonts w:hint="eastAsia" w:ascii="宋体" w:hAnsi="宋体" w:cs="宋体"/>
          <w:color w:val="auto"/>
          <w:kern w:val="0"/>
          <w:sz w:val="24"/>
          <w:szCs w:val="24"/>
          <w:highlight w:val="none"/>
        </w:rPr>
        <w:t>；</w:t>
      </w:r>
    </w:p>
    <w:p w14:paraId="45C614F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（8）</w:t>
      </w:r>
      <w:r>
        <w:rPr>
          <w:rFonts w:hint="eastAsia" w:ascii="宋体" w:hAnsi="宋体" w:cs="宋体"/>
          <w:color w:val="auto"/>
          <w:kern w:val="0"/>
          <w:sz w:val="24"/>
          <w:szCs w:val="24"/>
          <w:highlight w:val="none"/>
          <w:u w:val="single"/>
        </w:rPr>
        <w:t xml:space="preserve">  图纸           </w:t>
      </w:r>
      <w:r>
        <w:rPr>
          <w:rFonts w:hint="eastAsia" w:ascii="宋体" w:hAnsi="宋体" w:cs="宋体"/>
          <w:color w:val="auto"/>
          <w:kern w:val="0"/>
          <w:sz w:val="24"/>
          <w:szCs w:val="24"/>
          <w:highlight w:val="none"/>
        </w:rPr>
        <w:t>；</w:t>
      </w:r>
    </w:p>
    <w:p w14:paraId="36EAA01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（9）</w:t>
      </w:r>
      <w:r>
        <w:rPr>
          <w:rFonts w:hint="eastAsia" w:ascii="宋体" w:hAnsi="宋体" w:cs="宋体"/>
          <w:color w:val="auto"/>
          <w:kern w:val="0"/>
          <w:sz w:val="24"/>
          <w:szCs w:val="24"/>
          <w:highlight w:val="none"/>
          <w:u w:val="single"/>
        </w:rPr>
        <w:t xml:space="preserve">  其他合同文件    </w:t>
      </w:r>
      <w:r>
        <w:rPr>
          <w:rFonts w:hint="eastAsia" w:ascii="宋体" w:hAnsi="宋体" w:cs="宋体"/>
          <w:color w:val="auto"/>
          <w:kern w:val="0"/>
          <w:sz w:val="24"/>
          <w:szCs w:val="24"/>
          <w:highlight w:val="none"/>
        </w:rPr>
        <w:t>。</w:t>
      </w:r>
    </w:p>
    <w:p w14:paraId="071A440D">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10）《建设工程工程量清单计价规范（GB5050-2013）》及其广西实施细则及《关于建筑业实施营业税改征增值税后广西壮族自治区建设工程计价依据调整的通知》（桂建标〔2016〕17号）、《建设工程工程量清单计算规范（GB5854~50862-2013）》及其广西实施细则（修订本）。</w:t>
      </w:r>
    </w:p>
    <w:p w14:paraId="45F9A66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说明：（6）、（7）、（8）、（9）填空内容分别限于技术标准和要求、图纸、已标价工程量清单或预算书、其他合同文件四者之一，其优先顺序可根据采取的不同合同方式由双方约定。</w:t>
      </w:r>
    </w:p>
    <w:p w14:paraId="569E9618">
      <w:pPr>
        <w:keepNext/>
        <w:keepLines/>
        <w:spacing w:before="120" w:after="120" w:line="440" w:lineRule="exact"/>
        <w:outlineLvl w:val="2"/>
        <w:rPr>
          <w:rFonts w:ascii="宋体" w:hAnsi="宋体" w:cs="宋体"/>
          <w:b/>
          <w:bCs/>
          <w:color w:val="auto"/>
          <w:sz w:val="24"/>
          <w:szCs w:val="24"/>
          <w:highlight w:val="none"/>
        </w:rPr>
      </w:pPr>
      <w:bookmarkStart w:id="265" w:name="_Toc487632696"/>
      <w:bookmarkStart w:id="266" w:name="_Toc389065263"/>
      <w:bookmarkStart w:id="267" w:name="_Toc407135199"/>
      <w:bookmarkStart w:id="268" w:name="_Toc373478344"/>
      <w:bookmarkStart w:id="269" w:name="_Toc51599553"/>
      <w:bookmarkStart w:id="270" w:name="_Toc373227697"/>
      <w:r>
        <w:rPr>
          <w:rFonts w:hint="eastAsia" w:ascii="宋体" w:hAnsi="宋体" w:cs="宋体"/>
          <w:b/>
          <w:bCs/>
          <w:color w:val="auto"/>
          <w:sz w:val="24"/>
          <w:szCs w:val="24"/>
          <w:highlight w:val="none"/>
        </w:rPr>
        <w:t>1.6 图纸和承包人文件</w:t>
      </w:r>
      <w:bookmarkEnd w:id="265"/>
      <w:bookmarkEnd w:id="266"/>
      <w:bookmarkEnd w:id="267"/>
      <w:bookmarkEnd w:id="268"/>
      <w:bookmarkEnd w:id="269"/>
      <w:bookmarkEnd w:id="270"/>
      <w:r>
        <w:rPr>
          <w:rFonts w:hint="eastAsia" w:ascii="宋体" w:hAnsi="宋体" w:cs="宋体"/>
          <w:b/>
          <w:bCs/>
          <w:color w:val="auto"/>
          <w:sz w:val="24"/>
          <w:szCs w:val="24"/>
          <w:highlight w:val="none"/>
        </w:rPr>
        <w:tab/>
      </w:r>
    </w:p>
    <w:p w14:paraId="7B36398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 图纸的提供</w:t>
      </w:r>
    </w:p>
    <w:p w14:paraId="4C4153E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发包人向承包人提供图纸的期限：</w:t>
      </w:r>
      <w:r>
        <w:rPr>
          <w:rFonts w:hint="eastAsia" w:ascii="宋体" w:hAnsi="宋体" w:cs="宋体"/>
          <w:color w:val="auto"/>
          <w:sz w:val="24"/>
          <w:szCs w:val="24"/>
          <w:highlight w:val="none"/>
          <w:u w:val="single"/>
        </w:rPr>
        <w:t xml:space="preserve">    签订合同后5天内       </w:t>
      </w:r>
      <w:r>
        <w:rPr>
          <w:rFonts w:hint="eastAsia" w:ascii="宋体" w:hAnsi="宋体" w:cs="宋体"/>
          <w:color w:val="auto"/>
          <w:sz w:val="24"/>
          <w:szCs w:val="24"/>
          <w:highlight w:val="none"/>
        </w:rPr>
        <w:t>；</w:t>
      </w:r>
    </w:p>
    <w:p w14:paraId="5D81C87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发包人向承包人提供图纸的数量：</w:t>
      </w:r>
      <w:r>
        <w:rPr>
          <w:rFonts w:hint="eastAsia" w:ascii="宋体" w:hAnsi="宋体" w:cs="宋体"/>
          <w:color w:val="auto"/>
          <w:sz w:val="24"/>
          <w:szCs w:val="24"/>
          <w:highlight w:val="none"/>
          <w:u w:val="single"/>
        </w:rPr>
        <w:t xml:space="preserve">  叁  </w:t>
      </w:r>
      <w:r>
        <w:rPr>
          <w:rFonts w:hint="eastAsia" w:ascii="宋体" w:hAnsi="宋体" w:cs="宋体"/>
          <w:color w:val="auto"/>
          <w:sz w:val="24"/>
          <w:szCs w:val="24"/>
          <w:highlight w:val="none"/>
        </w:rPr>
        <w:t>套（承包人需要增加图纸套数的，发包人应代为复制，复制费用由承包人承担）；</w:t>
      </w:r>
    </w:p>
    <w:p w14:paraId="192E89C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发包人向承包人提供图纸的内容：</w:t>
      </w:r>
      <w:r>
        <w:rPr>
          <w:rFonts w:hint="eastAsia" w:ascii="宋体" w:hAnsi="宋体" w:cs="宋体"/>
          <w:color w:val="auto"/>
          <w:sz w:val="24"/>
          <w:szCs w:val="24"/>
          <w:highlight w:val="none"/>
          <w:u w:val="single"/>
        </w:rPr>
        <w:t xml:space="preserve">    经政府部门相关机构审核合格后的施工图和设计单位提供的图纸。详见图纸目录    </w:t>
      </w:r>
      <w:r>
        <w:rPr>
          <w:rFonts w:hint="eastAsia" w:ascii="宋体" w:hAnsi="宋体" w:cs="宋体"/>
          <w:color w:val="auto"/>
          <w:sz w:val="24"/>
          <w:szCs w:val="24"/>
          <w:highlight w:val="none"/>
        </w:rPr>
        <w:t>。</w:t>
      </w:r>
    </w:p>
    <w:p w14:paraId="1A17AA7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1.6.4 承包人文件</w:t>
      </w:r>
    </w:p>
    <w:p w14:paraId="488D4377">
      <w:pPr>
        <w:spacing w:line="440" w:lineRule="exact"/>
        <w:ind w:firstLine="480" w:firstLineChars="200"/>
        <w:rPr>
          <w:rFonts w:ascii="宋体" w:hAnsi="宋体" w:cs="宋体"/>
          <w:color w:val="auto"/>
          <w:sz w:val="24"/>
          <w:szCs w:val="24"/>
          <w:highlight w:val="none"/>
          <w:u w:val="single"/>
        </w:rPr>
      </w:pPr>
      <w:bookmarkStart w:id="271" w:name="_Toc389065264"/>
      <w:bookmarkStart w:id="272" w:name="_Toc487632697"/>
      <w:bookmarkStart w:id="273" w:name="_Toc373478345"/>
      <w:bookmarkStart w:id="274" w:name="_Toc407135200"/>
      <w:bookmarkStart w:id="275" w:name="_Toc373227698"/>
      <w:r>
        <w:rPr>
          <w:rFonts w:hint="eastAsia" w:ascii="宋体" w:hAnsi="宋体" w:cs="宋体"/>
          <w:color w:val="auto"/>
          <w:sz w:val="24"/>
          <w:szCs w:val="24"/>
          <w:highlight w:val="none"/>
        </w:rPr>
        <w:t>需要由承包人提供的文件，包括：</w:t>
      </w:r>
      <w:r>
        <w:rPr>
          <w:rFonts w:hint="eastAsia" w:ascii="宋体" w:hAnsi="宋体" w:cs="宋体"/>
          <w:color w:val="auto"/>
          <w:sz w:val="24"/>
          <w:szCs w:val="24"/>
          <w:highlight w:val="none"/>
          <w:u w:val="single"/>
        </w:rPr>
        <w:t xml:space="preserve">因承包人原因提出的设计变更方案、质量处理整改方案 </w:t>
      </w:r>
      <w:r>
        <w:rPr>
          <w:rFonts w:hint="eastAsia" w:ascii="宋体" w:hAnsi="宋体" w:cs="宋体"/>
          <w:color w:val="auto"/>
          <w:sz w:val="24"/>
          <w:szCs w:val="24"/>
          <w:highlight w:val="none"/>
        </w:rPr>
        <w:t>；</w:t>
      </w:r>
    </w:p>
    <w:p w14:paraId="61FE5B4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承包人提供的文件的期限为：</w:t>
      </w:r>
      <w:r>
        <w:rPr>
          <w:rFonts w:hint="eastAsia" w:ascii="宋体" w:hAnsi="宋体" w:cs="宋体"/>
          <w:color w:val="auto"/>
          <w:sz w:val="24"/>
          <w:szCs w:val="24"/>
          <w:highlight w:val="none"/>
          <w:u w:val="single"/>
        </w:rPr>
        <w:t xml:space="preserve">    文件实施前3天      </w:t>
      </w:r>
      <w:r>
        <w:rPr>
          <w:rFonts w:hint="eastAsia" w:ascii="宋体" w:hAnsi="宋体" w:cs="宋体"/>
          <w:color w:val="auto"/>
          <w:sz w:val="24"/>
          <w:szCs w:val="24"/>
          <w:highlight w:val="none"/>
        </w:rPr>
        <w:t>；</w:t>
      </w:r>
    </w:p>
    <w:p w14:paraId="11B1092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承包人提供的文件的数量为：</w:t>
      </w:r>
      <w:r>
        <w:rPr>
          <w:rFonts w:hint="eastAsia" w:ascii="宋体" w:hAnsi="宋体" w:cs="宋体"/>
          <w:color w:val="auto"/>
          <w:sz w:val="24"/>
          <w:szCs w:val="24"/>
          <w:highlight w:val="none"/>
          <w:u w:val="single"/>
        </w:rPr>
        <w:t xml:space="preserve">  按发包人要求提供      </w:t>
      </w:r>
      <w:r>
        <w:rPr>
          <w:rFonts w:hint="eastAsia" w:ascii="宋体" w:hAnsi="宋体" w:cs="宋体"/>
          <w:color w:val="auto"/>
          <w:sz w:val="24"/>
          <w:szCs w:val="24"/>
          <w:highlight w:val="none"/>
        </w:rPr>
        <w:t>；</w:t>
      </w:r>
    </w:p>
    <w:p w14:paraId="1A3C387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承包人提供的文件的形式为：</w:t>
      </w:r>
      <w:r>
        <w:rPr>
          <w:rFonts w:hint="eastAsia" w:ascii="宋体" w:hAnsi="宋体" w:cs="宋体"/>
          <w:color w:val="auto"/>
          <w:sz w:val="24"/>
          <w:szCs w:val="24"/>
          <w:highlight w:val="none"/>
          <w:u w:val="single"/>
        </w:rPr>
        <w:t xml:space="preserve"> 加盖单位公章的纸质文件  </w:t>
      </w:r>
      <w:r>
        <w:rPr>
          <w:rFonts w:hint="eastAsia" w:ascii="宋体" w:hAnsi="宋体" w:cs="宋体"/>
          <w:color w:val="auto"/>
          <w:sz w:val="24"/>
          <w:szCs w:val="24"/>
          <w:highlight w:val="none"/>
        </w:rPr>
        <w:t>；</w:t>
      </w:r>
    </w:p>
    <w:p w14:paraId="0744240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发包人审批承包人文件的期限：</w:t>
      </w:r>
      <w:r>
        <w:rPr>
          <w:rFonts w:hint="eastAsia" w:ascii="宋体" w:hAnsi="宋体" w:cs="宋体"/>
          <w:color w:val="auto"/>
          <w:sz w:val="24"/>
          <w:szCs w:val="24"/>
          <w:highlight w:val="none"/>
          <w:u w:val="single"/>
        </w:rPr>
        <w:t xml:space="preserve">    收到文件后7天内   </w:t>
      </w:r>
      <w:r>
        <w:rPr>
          <w:rFonts w:hint="eastAsia" w:ascii="宋体" w:hAnsi="宋体" w:cs="宋体"/>
          <w:color w:val="auto"/>
          <w:sz w:val="24"/>
          <w:szCs w:val="24"/>
          <w:highlight w:val="none"/>
        </w:rPr>
        <w:t>。</w:t>
      </w:r>
    </w:p>
    <w:p w14:paraId="5C62EDA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1.6.5 现场图纸准备</w:t>
      </w:r>
    </w:p>
    <w:p w14:paraId="0D64DB1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关于现场图纸准备的约定：</w:t>
      </w: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sz w:val="24"/>
          <w:szCs w:val="24"/>
          <w:highlight w:val="none"/>
        </w:rPr>
        <w:t>。</w:t>
      </w:r>
    </w:p>
    <w:p w14:paraId="28D9440B">
      <w:pPr>
        <w:keepNext/>
        <w:keepLines/>
        <w:spacing w:before="120" w:after="120" w:line="440" w:lineRule="exact"/>
        <w:outlineLvl w:val="2"/>
        <w:rPr>
          <w:rFonts w:ascii="宋体" w:hAnsi="宋体" w:cs="宋体"/>
          <w:b/>
          <w:bCs/>
          <w:color w:val="auto"/>
          <w:sz w:val="24"/>
          <w:szCs w:val="24"/>
          <w:highlight w:val="none"/>
        </w:rPr>
      </w:pPr>
      <w:bookmarkStart w:id="276" w:name="_Toc51599554"/>
      <w:r>
        <w:rPr>
          <w:rFonts w:hint="eastAsia" w:ascii="宋体" w:hAnsi="宋体" w:cs="宋体"/>
          <w:b/>
          <w:bCs/>
          <w:color w:val="auto"/>
          <w:sz w:val="24"/>
          <w:szCs w:val="24"/>
          <w:highlight w:val="none"/>
        </w:rPr>
        <w:t>1.7 联络</w:t>
      </w:r>
      <w:bookmarkEnd w:id="271"/>
      <w:bookmarkEnd w:id="272"/>
      <w:bookmarkEnd w:id="273"/>
      <w:bookmarkEnd w:id="274"/>
      <w:bookmarkEnd w:id="275"/>
      <w:bookmarkEnd w:id="276"/>
    </w:p>
    <w:p w14:paraId="27F00C2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1.7.1发包人和承包人应当在</w:t>
      </w:r>
      <w:r>
        <w:rPr>
          <w:rFonts w:hint="eastAsia" w:ascii="宋体" w:hAnsi="宋体" w:cs="宋体"/>
          <w:color w:val="auto"/>
          <w:sz w:val="24"/>
          <w:szCs w:val="24"/>
          <w:highlight w:val="none"/>
          <w:u w:val="single"/>
        </w:rPr>
        <w:t xml:space="preserve">  3  </w:t>
      </w:r>
      <w:r>
        <w:rPr>
          <w:rFonts w:hint="eastAsia" w:ascii="宋体" w:hAnsi="宋体" w:cs="宋体"/>
          <w:color w:val="auto"/>
          <w:kern w:val="0"/>
          <w:sz w:val="24"/>
          <w:szCs w:val="24"/>
          <w:highlight w:val="none"/>
        </w:rPr>
        <w:t>天内将与合同有关的通知、批准、证明、证书、指示、指令、要求、请求、同意、意见、确定和决定等书面函件送达对方当事人。</w:t>
      </w:r>
    </w:p>
    <w:p w14:paraId="2E7FAF64">
      <w:pPr>
        <w:spacing w:line="440" w:lineRule="exact"/>
        <w:ind w:firstLine="480" w:firstLineChars="200"/>
        <w:rPr>
          <w:rFonts w:ascii="宋体" w:hAnsi="宋体" w:cs="宋体"/>
          <w:color w:val="auto"/>
          <w:kern w:val="0"/>
          <w:sz w:val="24"/>
          <w:szCs w:val="24"/>
          <w:highlight w:val="none"/>
        </w:rPr>
      </w:pPr>
      <w:bookmarkStart w:id="277" w:name="_Toc407135201"/>
      <w:bookmarkStart w:id="278" w:name="_Toc389065265"/>
      <w:bookmarkStart w:id="279" w:name="_Toc487632698"/>
      <w:bookmarkStart w:id="280" w:name="_Toc373227699"/>
      <w:bookmarkStart w:id="281" w:name="_Toc373478346"/>
      <w:r>
        <w:rPr>
          <w:rFonts w:hint="eastAsia" w:ascii="宋体" w:hAnsi="宋体" w:cs="宋体"/>
          <w:color w:val="auto"/>
          <w:kern w:val="0"/>
          <w:sz w:val="24"/>
          <w:szCs w:val="24"/>
          <w:highlight w:val="none"/>
        </w:rPr>
        <w:t>1.7.2 发包人接收文件的地点：</w:t>
      </w:r>
      <w:r>
        <w:rPr>
          <w:rFonts w:hint="eastAsia" w:ascii="宋体" w:hAnsi="宋体" w:cs="宋体"/>
          <w:color w:val="auto"/>
          <w:sz w:val="24"/>
          <w:szCs w:val="24"/>
          <w:highlight w:val="none"/>
          <w:u w:val="single"/>
        </w:rPr>
        <w:t xml:space="preserve">       发包人办公室      </w:t>
      </w:r>
      <w:r>
        <w:rPr>
          <w:rFonts w:hint="eastAsia" w:ascii="宋体" w:hAnsi="宋体" w:cs="宋体"/>
          <w:color w:val="auto"/>
          <w:kern w:val="0"/>
          <w:sz w:val="24"/>
          <w:szCs w:val="24"/>
          <w:highlight w:val="none"/>
        </w:rPr>
        <w:t>；</w:t>
      </w:r>
    </w:p>
    <w:p w14:paraId="38CCBD9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发包人指定的接收人为：</w:t>
      </w:r>
      <w:r>
        <w:rPr>
          <w:rFonts w:hint="eastAsia" w:ascii="宋体" w:hAnsi="宋体" w:cs="宋体"/>
          <w:color w:val="auto"/>
          <w:sz w:val="24"/>
          <w:szCs w:val="24"/>
          <w:highlight w:val="none"/>
          <w:u w:val="single"/>
        </w:rPr>
        <w:t xml:space="preserve">      工地代表（可委托）       </w:t>
      </w:r>
      <w:r>
        <w:rPr>
          <w:rFonts w:hint="eastAsia" w:ascii="宋体" w:hAnsi="宋体" w:cs="宋体"/>
          <w:color w:val="auto"/>
          <w:kern w:val="0"/>
          <w:sz w:val="24"/>
          <w:szCs w:val="24"/>
          <w:highlight w:val="none"/>
        </w:rPr>
        <w:t>。</w:t>
      </w:r>
    </w:p>
    <w:p w14:paraId="2455F45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承包人接收文件的地点：</w:t>
      </w:r>
      <w:r>
        <w:rPr>
          <w:rFonts w:hint="eastAsia" w:ascii="宋体" w:hAnsi="宋体" w:cs="宋体"/>
          <w:color w:val="auto"/>
          <w:sz w:val="24"/>
          <w:szCs w:val="24"/>
          <w:highlight w:val="none"/>
          <w:u w:val="single"/>
        </w:rPr>
        <w:t xml:space="preserve">      承包人项目部办公室       </w:t>
      </w:r>
      <w:r>
        <w:rPr>
          <w:rFonts w:hint="eastAsia" w:ascii="宋体" w:hAnsi="宋体" w:cs="宋体"/>
          <w:color w:val="auto"/>
          <w:kern w:val="0"/>
          <w:sz w:val="24"/>
          <w:szCs w:val="24"/>
          <w:highlight w:val="none"/>
        </w:rPr>
        <w:t>；</w:t>
      </w:r>
    </w:p>
    <w:p w14:paraId="0DC8F56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承包人指定的接收人为：</w:t>
      </w:r>
      <w:r>
        <w:rPr>
          <w:rFonts w:hint="eastAsia" w:ascii="宋体" w:hAnsi="宋体" w:cs="宋体"/>
          <w:color w:val="auto"/>
          <w:sz w:val="24"/>
          <w:szCs w:val="24"/>
          <w:highlight w:val="none"/>
          <w:u w:val="single"/>
        </w:rPr>
        <w:t xml:space="preserve">        项目经理               </w:t>
      </w:r>
      <w:r>
        <w:rPr>
          <w:rFonts w:hint="eastAsia" w:ascii="宋体" w:hAnsi="宋体" w:cs="宋体"/>
          <w:color w:val="auto"/>
          <w:kern w:val="0"/>
          <w:sz w:val="24"/>
          <w:szCs w:val="24"/>
          <w:highlight w:val="none"/>
        </w:rPr>
        <w:t>。</w:t>
      </w:r>
    </w:p>
    <w:p w14:paraId="4E99AD8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监理人接收文件的地点：</w:t>
      </w:r>
      <w:r>
        <w:rPr>
          <w:rFonts w:hint="eastAsia" w:ascii="宋体" w:hAnsi="宋体" w:cs="宋体"/>
          <w:color w:val="auto"/>
          <w:sz w:val="24"/>
          <w:szCs w:val="24"/>
          <w:highlight w:val="none"/>
          <w:u w:val="single"/>
        </w:rPr>
        <w:t xml:space="preserve">       项目监理部              </w:t>
      </w:r>
      <w:r>
        <w:rPr>
          <w:rFonts w:hint="eastAsia" w:ascii="宋体" w:hAnsi="宋体" w:cs="宋体"/>
          <w:color w:val="auto"/>
          <w:kern w:val="0"/>
          <w:sz w:val="24"/>
          <w:szCs w:val="24"/>
          <w:highlight w:val="none"/>
        </w:rPr>
        <w:t>；</w:t>
      </w:r>
    </w:p>
    <w:p w14:paraId="6AB5AEB1">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监理人指定的接收人为：</w:t>
      </w:r>
      <w:r>
        <w:rPr>
          <w:rFonts w:hint="eastAsia" w:ascii="宋体" w:hAnsi="宋体" w:cs="宋体"/>
          <w:color w:val="auto"/>
          <w:sz w:val="24"/>
          <w:szCs w:val="24"/>
          <w:highlight w:val="none"/>
          <w:u w:val="single"/>
        </w:rPr>
        <w:t xml:space="preserve">       总监理工程师（可委托）  </w:t>
      </w:r>
      <w:r>
        <w:rPr>
          <w:rFonts w:hint="eastAsia" w:ascii="宋体" w:hAnsi="宋体" w:cs="宋体"/>
          <w:color w:val="auto"/>
          <w:kern w:val="0"/>
          <w:sz w:val="24"/>
          <w:szCs w:val="24"/>
          <w:highlight w:val="none"/>
        </w:rPr>
        <w:t>。</w:t>
      </w:r>
    </w:p>
    <w:p w14:paraId="519E6DB3">
      <w:pPr>
        <w:keepNext/>
        <w:keepLines/>
        <w:spacing w:before="120" w:after="120" w:line="440" w:lineRule="exact"/>
        <w:outlineLvl w:val="2"/>
        <w:rPr>
          <w:rFonts w:ascii="宋体" w:hAnsi="宋体" w:cs="宋体"/>
          <w:b/>
          <w:bCs/>
          <w:color w:val="auto"/>
          <w:sz w:val="24"/>
          <w:szCs w:val="24"/>
          <w:highlight w:val="none"/>
        </w:rPr>
      </w:pPr>
      <w:bookmarkStart w:id="282" w:name="_Toc51599555"/>
      <w:r>
        <w:rPr>
          <w:rFonts w:hint="eastAsia" w:ascii="宋体" w:hAnsi="宋体" w:cs="宋体"/>
          <w:b/>
          <w:bCs/>
          <w:color w:val="auto"/>
          <w:sz w:val="24"/>
          <w:szCs w:val="24"/>
          <w:highlight w:val="none"/>
        </w:rPr>
        <w:t>1.10 交通运输</w:t>
      </w:r>
      <w:bookmarkEnd w:id="277"/>
      <w:bookmarkEnd w:id="278"/>
      <w:bookmarkEnd w:id="279"/>
      <w:bookmarkEnd w:id="280"/>
      <w:bookmarkEnd w:id="281"/>
      <w:bookmarkEnd w:id="282"/>
    </w:p>
    <w:p w14:paraId="2E9ACC4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bookmarkStart w:id="283" w:name="_Toc303539100"/>
      <w:bookmarkStart w:id="284" w:name="_Toc304295521"/>
      <w:bookmarkStart w:id="285" w:name="_Toc312677986"/>
      <w:bookmarkStart w:id="286" w:name="_Toc318581155"/>
      <w:bookmarkStart w:id="287" w:name="_Toc300934943"/>
      <w:r>
        <w:rPr>
          <w:rFonts w:hint="eastAsia" w:ascii="宋体" w:hAnsi="宋体" w:cs="宋体"/>
          <w:color w:val="auto"/>
          <w:sz w:val="24"/>
          <w:szCs w:val="24"/>
          <w:highlight w:val="none"/>
        </w:rPr>
        <w:t>.10.1 出入现场的权利</w:t>
      </w:r>
    </w:p>
    <w:p w14:paraId="1A972C10">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关于出入现场的权利的约定：</w:t>
      </w:r>
      <w:r>
        <w:rPr>
          <w:rFonts w:hint="eastAsia" w:ascii="宋体" w:hAnsi="宋体" w:cs="宋体"/>
          <w:color w:val="auto"/>
          <w:sz w:val="24"/>
          <w:szCs w:val="24"/>
          <w:highlight w:val="none"/>
          <w:u w:val="single"/>
        </w:rPr>
        <w:t xml:space="preserve">  按现有出入现场的道路现状交付承包人，由承包人自行解决取得出入现场的道路通行的权利 ，发包人应协助办理有关手续  </w:t>
      </w:r>
      <w:r>
        <w:rPr>
          <w:rFonts w:hint="eastAsia" w:ascii="宋体" w:hAnsi="宋体" w:cs="宋体"/>
          <w:color w:val="auto"/>
          <w:sz w:val="24"/>
          <w:szCs w:val="24"/>
          <w:highlight w:val="none"/>
        </w:rPr>
        <w:t>。</w:t>
      </w:r>
    </w:p>
    <w:bookmarkEnd w:id="283"/>
    <w:bookmarkEnd w:id="284"/>
    <w:bookmarkEnd w:id="285"/>
    <w:bookmarkEnd w:id="286"/>
    <w:bookmarkEnd w:id="287"/>
    <w:p w14:paraId="242A188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bookmarkStart w:id="288" w:name="_Toc304295522"/>
      <w:bookmarkStart w:id="289" w:name="_Toc303539101"/>
      <w:bookmarkStart w:id="290" w:name="_Toc318581156"/>
      <w:bookmarkStart w:id="291" w:name="_Toc312677987"/>
      <w:bookmarkStart w:id="292" w:name="_Toc300934944"/>
      <w:r>
        <w:rPr>
          <w:rFonts w:hint="eastAsia" w:ascii="宋体" w:hAnsi="宋体" w:cs="宋体"/>
          <w:color w:val="auto"/>
          <w:sz w:val="24"/>
          <w:szCs w:val="24"/>
          <w:highlight w:val="none"/>
        </w:rPr>
        <w:t>.10.3 场内交通</w:t>
      </w:r>
    </w:p>
    <w:p w14:paraId="58DDC52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关于场外交通和场内交通的边界的约定：</w:t>
      </w:r>
      <w:r>
        <w:rPr>
          <w:rFonts w:hint="eastAsia" w:ascii="宋体" w:hAnsi="宋体" w:cs="宋体"/>
          <w:color w:val="auto"/>
          <w:sz w:val="24"/>
          <w:szCs w:val="24"/>
          <w:highlight w:val="none"/>
          <w:u w:val="single"/>
        </w:rPr>
        <w:t xml:space="preserve"> 由承包方按照规划红线进行封闭围挡，施工现场封闭围挡范围以内为场内交通；范围以外为场外交通   </w:t>
      </w:r>
      <w:r>
        <w:rPr>
          <w:rFonts w:hint="eastAsia" w:ascii="宋体" w:hAnsi="宋体" w:cs="宋体"/>
          <w:color w:val="auto"/>
          <w:sz w:val="24"/>
          <w:szCs w:val="24"/>
          <w:highlight w:val="none"/>
        </w:rPr>
        <w:t>。</w:t>
      </w:r>
    </w:p>
    <w:p w14:paraId="3B14078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关于发包人向承包人免费提供满足工程施工需要的场内道路和交通设施的约定：</w:t>
      </w:r>
      <w:r>
        <w:rPr>
          <w:rFonts w:hint="eastAsia" w:ascii="宋体" w:hAnsi="宋体" w:cs="宋体"/>
          <w:color w:val="auto"/>
          <w:sz w:val="24"/>
          <w:szCs w:val="24"/>
          <w:highlight w:val="none"/>
          <w:u w:val="single"/>
        </w:rPr>
        <w:t xml:space="preserve">发包人按照施工现场现状提供施工需要的场内道路和交通设施，承包人负责修建、维修、养护和管理施工所需的其他场内临时道路和交通设施，并承担相应的费用 </w:t>
      </w:r>
      <w:r>
        <w:rPr>
          <w:rFonts w:hint="eastAsia" w:ascii="宋体" w:hAnsi="宋体" w:cs="宋体"/>
          <w:color w:val="auto"/>
          <w:sz w:val="24"/>
          <w:szCs w:val="24"/>
          <w:highlight w:val="none"/>
        </w:rPr>
        <w:t>。</w:t>
      </w:r>
      <w:bookmarkEnd w:id="288"/>
      <w:bookmarkEnd w:id="289"/>
      <w:bookmarkEnd w:id="290"/>
      <w:bookmarkEnd w:id="291"/>
      <w:bookmarkEnd w:id="292"/>
      <w:bookmarkStart w:id="293" w:name="_Toc318581157"/>
    </w:p>
    <w:p w14:paraId="41CB858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1.10.4 超大件和超重件的运输</w:t>
      </w:r>
    </w:p>
    <w:p w14:paraId="73F61F43">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运输超大件或超重件所需的道路和桥梁临时加固改造费用和其他有关费用由</w:t>
      </w:r>
      <w:r>
        <w:rPr>
          <w:rFonts w:hint="eastAsia" w:ascii="宋体" w:hAnsi="宋体" w:cs="宋体"/>
          <w:color w:val="auto"/>
          <w:sz w:val="24"/>
          <w:szCs w:val="24"/>
          <w:highlight w:val="none"/>
          <w:u w:val="single"/>
        </w:rPr>
        <w:t xml:space="preserve">  承包方  </w:t>
      </w:r>
      <w:r>
        <w:rPr>
          <w:rFonts w:hint="eastAsia" w:ascii="宋体" w:hAnsi="宋体" w:cs="宋体"/>
          <w:color w:val="auto"/>
          <w:sz w:val="24"/>
          <w:szCs w:val="24"/>
          <w:highlight w:val="none"/>
        </w:rPr>
        <w:t>承担。</w:t>
      </w:r>
    </w:p>
    <w:bookmarkEnd w:id="293"/>
    <w:p w14:paraId="37513A8E">
      <w:pPr>
        <w:keepNext/>
        <w:keepLines/>
        <w:spacing w:before="120" w:after="120" w:line="440" w:lineRule="exact"/>
        <w:outlineLvl w:val="2"/>
        <w:rPr>
          <w:rFonts w:ascii="宋体" w:hAnsi="宋体" w:cs="宋体"/>
          <w:b/>
          <w:bCs/>
          <w:color w:val="auto"/>
          <w:sz w:val="24"/>
          <w:szCs w:val="24"/>
          <w:highlight w:val="none"/>
        </w:rPr>
      </w:pPr>
      <w:bookmarkStart w:id="294" w:name="_Toc389065266"/>
      <w:bookmarkStart w:id="295" w:name="_Toc373478347"/>
      <w:bookmarkStart w:id="296" w:name="_Toc407135202"/>
      <w:bookmarkStart w:id="297" w:name="_Toc51599556"/>
      <w:bookmarkStart w:id="298" w:name="_Toc487632699"/>
      <w:bookmarkStart w:id="299" w:name="_Toc373227700"/>
      <w:r>
        <w:rPr>
          <w:rFonts w:hint="eastAsia" w:ascii="宋体" w:hAnsi="宋体" w:cs="宋体"/>
          <w:b/>
          <w:bCs/>
          <w:color w:val="auto"/>
          <w:sz w:val="24"/>
          <w:szCs w:val="24"/>
          <w:highlight w:val="none"/>
        </w:rPr>
        <w:t>1.11 知识产权</w:t>
      </w:r>
      <w:bookmarkEnd w:id="294"/>
      <w:bookmarkEnd w:id="295"/>
      <w:bookmarkEnd w:id="296"/>
      <w:bookmarkEnd w:id="297"/>
      <w:bookmarkEnd w:id="298"/>
      <w:bookmarkEnd w:id="299"/>
    </w:p>
    <w:p w14:paraId="54C320D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1.11.1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szCs w:val="24"/>
          <w:highlight w:val="none"/>
          <w:u w:val="single"/>
        </w:rPr>
        <w:t xml:space="preserve">   归发包人  </w:t>
      </w:r>
      <w:r>
        <w:rPr>
          <w:rFonts w:hint="eastAsia" w:ascii="宋体" w:hAnsi="宋体" w:cs="宋体"/>
          <w:color w:val="auto"/>
          <w:sz w:val="24"/>
          <w:szCs w:val="24"/>
          <w:highlight w:val="none"/>
        </w:rPr>
        <w:t>。</w:t>
      </w:r>
    </w:p>
    <w:p w14:paraId="457BACE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关于发包人提供的上述文件的使用限制的要求：</w:t>
      </w:r>
      <w:r>
        <w:rPr>
          <w:rFonts w:hint="eastAsia" w:ascii="宋体" w:hAnsi="宋体" w:cs="宋体"/>
          <w:color w:val="auto"/>
          <w:sz w:val="24"/>
          <w:szCs w:val="24"/>
          <w:highlight w:val="none"/>
          <w:u w:val="single"/>
        </w:rPr>
        <w:t xml:space="preserve">   未经发包人书面同意，承包人不得为了合同以外的目的而复制、使用上述文件或将之提供给任何第三方    </w:t>
      </w:r>
      <w:r>
        <w:rPr>
          <w:rFonts w:hint="eastAsia" w:ascii="宋体" w:hAnsi="宋体" w:cs="宋体"/>
          <w:color w:val="auto"/>
          <w:sz w:val="24"/>
          <w:szCs w:val="24"/>
          <w:highlight w:val="none"/>
        </w:rPr>
        <w:t>。</w:t>
      </w:r>
    </w:p>
    <w:p w14:paraId="4B851A6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1.11.2 关于承包人为实施工程所编制文件的著作权的归属：</w:t>
      </w: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sz w:val="24"/>
          <w:szCs w:val="24"/>
          <w:highlight w:val="none"/>
        </w:rPr>
        <w:t>。</w:t>
      </w:r>
    </w:p>
    <w:p w14:paraId="14A19203">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1.11.3关于承包人提供的上述文件的使用限制的要求：</w:t>
      </w:r>
      <w:r>
        <w:rPr>
          <w:rFonts w:hint="eastAsia" w:ascii="宋体" w:hAnsi="宋体" w:cs="宋体"/>
          <w:color w:val="auto"/>
          <w:sz w:val="24"/>
          <w:szCs w:val="24"/>
          <w:highlight w:val="none"/>
          <w:u w:val="single"/>
        </w:rPr>
        <w:t xml:space="preserve"> 未经发包人书面同意，承包人不得为了合同以外的目的而复制、使用上述文件或将之提供给任何第三方   </w:t>
      </w:r>
      <w:r>
        <w:rPr>
          <w:rFonts w:hint="eastAsia" w:ascii="宋体" w:hAnsi="宋体" w:cs="宋体"/>
          <w:color w:val="auto"/>
          <w:sz w:val="24"/>
          <w:szCs w:val="24"/>
          <w:highlight w:val="none"/>
        </w:rPr>
        <w:t>。</w:t>
      </w:r>
    </w:p>
    <w:p w14:paraId="5334B052">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1.11.4 承包人在施工过程中所采用的专利、专有技术、技术秘密的使用费的承担方式：</w:t>
      </w:r>
    </w:p>
    <w:p w14:paraId="20B49D72">
      <w:pPr>
        <w:spacing w:line="440" w:lineRule="exact"/>
        <w:rPr>
          <w:rFonts w:ascii="宋体" w:hAnsi="宋体" w:cs="宋体"/>
          <w:color w:val="auto"/>
          <w:kern w:val="0"/>
          <w:sz w:val="24"/>
          <w:szCs w:val="24"/>
          <w:highlight w:val="none"/>
        </w:rPr>
      </w:pP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kern w:val="0"/>
          <w:sz w:val="24"/>
          <w:szCs w:val="24"/>
          <w:highlight w:val="none"/>
        </w:rPr>
        <w:t>。</w:t>
      </w:r>
    </w:p>
    <w:p w14:paraId="034B016A">
      <w:pPr>
        <w:keepNext/>
        <w:keepLines/>
        <w:spacing w:before="120" w:after="120" w:line="440" w:lineRule="exact"/>
        <w:outlineLvl w:val="2"/>
        <w:rPr>
          <w:rFonts w:ascii="宋体" w:hAnsi="宋体" w:cs="宋体"/>
          <w:b/>
          <w:bCs/>
          <w:color w:val="auto"/>
          <w:sz w:val="24"/>
          <w:szCs w:val="24"/>
          <w:highlight w:val="none"/>
        </w:rPr>
      </w:pPr>
      <w:bookmarkStart w:id="300" w:name="_Toc487632700"/>
      <w:bookmarkStart w:id="301" w:name="_Toc373478348"/>
      <w:bookmarkStart w:id="302" w:name="_Toc373227701"/>
      <w:bookmarkStart w:id="303" w:name="_Toc389065267"/>
      <w:bookmarkStart w:id="304" w:name="_Toc51599557"/>
      <w:bookmarkStart w:id="305" w:name="_Toc407135203"/>
      <w:r>
        <w:rPr>
          <w:rFonts w:hint="eastAsia" w:ascii="宋体" w:hAnsi="宋体" w:cs="宋体"/>
          <w:b/>
          <w:bCs/>
          <w:color w:val="auto"/>
          <w:sz w:val="24"/>
          <w:szCs w:val="24"/>
          <w:highlight w:val="none"/>
        </w:rPr>
        <w:t>1.13工程量清单错误的修正</w:t>
      </w:r>
      <w:bookmarkEnd w:id="300"/>
      <w:bookmarkEnd w:id="301"/>
      <w:bookmarkEnd w:id="302"/>
      <w:bookmarkEnd w:id="303"/>
      <w:bookmarkEnd w:id="304"/>
      <w:bookmarkEnd w:id="305"/>
    </w:p>
    <w:p w14:paraId="2C5F439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出现工程量清单工程量偏差时，是否调整合同价格：</w:t>
      </w:r>
      <w:r>
        <w:rPr>
          <w:rFonts w:hint="eastAsia" w:ascii="宋体" w:hAnsi="宋体" w:cs="宋体"/>
          <w:color w:val="auto"/>
          <w:sz w:val="24"/>
          <w:szCs w:val="24"/>
          <w:highlight w:val="none"/>
          <w:u w:val="single"/>
        </w:rPr>
        <w:t xml:space="preserve">  除设计变更可调整合同价（但总结算价不能超该项目的上限控制价）以外，其余情况下不得调整合同价    </w:t>
      </w:r>
      <w:r>
        <w:rPr>
          <w:rFonts w:hint="eastAsia" w:ascii="宋体" w:hAnsi="宋体" w:cs="宋体"/>
          <w:color w:val="auto"/>
          <w:kern w:val="0"/>
          <w:sz w:val="24"/>
          <w:szCs w:val="24"/>
          <w:highlight w:val="none"/>
        </w:rPr>
        <w:t>。</w:t>
      </w:r>
    </w:p>
    <w:p w14:paraId="3365D5A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允许调整合同价格的工程量偏差范围及其调整办法：</w:t>
      </w:r>
      <w:r>
        <w:rPr>
          <w:rFonts w:hint="eastAsia" w:ascii="宋体" w:hAnsi="宋体" w:cs="宋体"/>
          <w:color w:val="auto"/>
          <w:sz w:val="24"/>
          <w:szCs w:val="24"/>
          <w:highlight w:val="none"/>
          <w:u w:val="single"/>
        </w:rPr>
        <w:t xml:space="preserve"> 按10.4.1 变更估价原则</w:t>
      </w:r>
      <w:r>
        <w:rPr>
          <w:rFonts w:hint="eastAsia" w:ascii="宋体" w:hAnsi="宋体" w:cs="宋体"/>
          <w:color w:val="auto"/>
          <w:kern w:val="0"/>
          <w:sz w:val="24"/>
          <w:szCs w:val="24"/>
          <w:highlight w:val="none"/>
        </w:rPr>
        <w:t>。</w:t>
      </w:r>
    </w:p>
    <w:p w14:paraId="5143A577">
      <w:pPr>
        <w:keepNext/>
        <w:keepLines/>
        <w:spacing w:before="120" w:after="120" w:line="440" w:lineRule="exact"/>
        <w:outlineLvl w:val="1"/>
        <w:rPr>
          <w:rFonts w:ascii="宋体" w:hAnsi="宋体" w:cs="宋体"/>
          <w:b/>
          <w:bCs/>
          <w:color w:val="auto"/>
          <w:sz w:val="24"/>
          <w:szCs w:val="24"/>
          <w:highlight w:val="none"/>
        </w:rPr>
      </w:pPr>
      <w:bookmarkStart w:id="306" w:name="_Toc51599558"/>
      <w:bookmarkStart w:id="307" w:name="_Toc373478349"/>
      <w:bookmarkStart w:id="308" w:name="_Toc487632701"/>
      <w:bookmarkStart w:id="309" w:name="_Toc389065268"/>
      <w:bookmarkStart w:id="310" w:name="_Toc351203634"/>
      <w:bookmarkStart w:id="311" w:name="_Toc407135204"/>
      <w:bookmarkStart w:id="312" w:name="_Toc373227702"/>
      <w:r>
        <w:rPr>
          <w:rFonts w:hint="eastAsia" w:ascii="宋体" w:hAnsi="宋体" w:cs="宋体"/>
          <w:b/>
          <w:bCs/>
          <w:color w:val="auto"/>
          <w:sz w:val="24"/>
          <w:szCs w:val="24"/>
          <w:highlight w:val="none"/>
        </w:rPr>
        <w:t>2</w:t>
      </w:r>
      <w:bookmarkStart w:id="313" w:name="_Toc296346658"/>
      <w:bookmarkStart w:id="314" w:name="_Toc292559867"/>
      <w:bookmarkStart w:id="315" w:name="_Toc297120457"/>
      <w:bookmarkStart w:id="316" w:name="_Toc297048343"/>
      <w:bookmarkStart w:id="317" w:name="_Toc292559362"/>
      <w:bookmarkStart w:id="318" w:name="_Toc296944496"/>
      <w:bookmarkStart w:id="319" w:name="_Toc296347156"/>
      <w:bookmarkStart w:id="320" w:name="_Toc296503157"/>
      <w:bookmarkStart w:id="321" w:name="_Toc296890985"/>
      <w:bookmarkStart w:id="322" w:name="_Toc296891197"/>
      <w:r>
        <w:rPr>
          <w:rFonts w:hint="eastAsia" w:ascii="宋体" w:hAnsi="宋体" w:cs="宋体"/>
          <w:b/>
          <w:bCs/>
          <w:color w:val="auto"/>
          <w:sz w:val="24"/>
          <w:szCs w:val="24"/>
          <w:highlight w:val="none"/>
        </w:rPr>
        <w:t>. 发包人</w:t>
      </w:r>
      <w:bookmarkEnd w:id="306"/>
      <w:bookmarkEnd w:id="307"/>
      <w:bookmarkEnd w:id="308"/>
      <w:bookmarkEnd w:id="309"/>
      <w:bookmarkEnd w:id="310"/>
      <w:bookmarkEnd w:id="311"/>
      <w:bookmarkEnd w:id="312"/>
    </w:p>
    <w:bookmarkEnd w:id="313"/>
    <w:bookmarkEnd w:id="314"/>
    <w:bookmarkEnd w:id="315"/>
    <w:bookmarkEnd w:id="316"/>
    <w:bookmarkEnd w:id="317"/>
    <w:bookmarkEnd w:id="318"/>
    <w:bookmarkEnd w:id="319"/>
    <w:bookmarkEnd w:id="320"/>
    <w:bookmarkEnd w:id="321"/>
    <w:bookmarkEnd w:id="322"/>
    <w:p w14:paraId="4CF3E21E">
      <w:pPr>
        <w:keepNext/>
        <w:keepLines/>
        <w:spacing w:before="120" w:after="120" w:line="440" w:lineRule="exact"/>
        <w:outlineLvl w:val="2"/>
        <w:rPr>
          <w:rFonts w:ascii="宋体" w:hAnsi="宋体" w:cs="宋体"/>
          <w:b/>
          <w:bCs/>
          <w:color w:val="auto"/>
          <w:sz w:val="24"/>
          <w:szCs w:val="24"/>
          <w:highlight w:val="none"/>
        </w:rPr>
      </w:pPr>
      <w:bookmarkStart w:id="323" w:name="_Toc373227703"/>
      <w:bookmarkStart w:id="324" w:name="_Toc487632702"/>
      <w:bookmarkStart w:id="325" w:name="_Toc373478350"/>
      <w:bookmarkStart w:id="326" w:name="_Toc407135205"/>
      <w:bookmarkStart w:id="327" w:name="_Toc51599559"/>
      <w:bookmarkStart w:id="328" w:name="_Toc389065269"/>
      <w:r>
        <w:rPr>
          <w:rFonts w:hint="eastAsia" w:ascii="宋体" w:hAnsi="宋体" w:cs="宋体"/>
          <w:b/>
          <w:bCs/>
          <w:color w:val="auto"/>
          <w:sz w:val="24"/>
          <w:szCs w:val="24"/>
          <w:highlight w:val="none"/>
        </w:rPr>
        <w:t>2.2 发包人代表</w:t>
      </w:r>
      <w:bookmarkEnd w:id="323"/>
      <w:bookmarkEnd w:id="324"/>
      <w:bookmarkEnd w:id="325"/>
      <w:bookmarkEnd w:id="326"/>
      <w:bookmarkEnd w:id="327"/>
      <w:bookmarkEnd w:id="328"/>
    </w:p>
    <w:p w14:paraId="6B97855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发包人代表：</w:t>
      </w:r>
    </w:p>
    <w:p w14:paraId="2735A51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77F88BE4">
      <w:pPr>
        <w:spacing w:line="440" w:lineRule="exact"/>
        <w:ind w:firstLine="480" w:firstLineChars="200"/>
        <w:rPr>
          <w:rFonts w:ascii="宋体" w:hAnsi="宋体" w:cs="宋体"/>
          <w:color w:val="auto"/>
          <w:sz w:val="24"/>
          <w:szCs w:val="24"/>
          <w:highlight w:val="none"/>
          <w:u w:val="single"/>
        </w:rPr>
      </w:pPr>
      <w:bookmarkStart w:id="329" w:name="_Toc373227704"/>
      <w:bookmarkStart w:id="330" w:name="_Toc487632703"/>
      <w:bookmarkStart w:id="331" w:name="_Toc389065270"/>
      <w:bookmarkStart w:id="332" w:name="_Toc407135206"/>
      <w:bookmarkStart w:id="333" w:name="_Toc373478351"/>
      <w:r>
        <w:rPr>
          <w:rFonts w:hint="eastAsia" w:ascii="宋体" w:hAnsi="宋体" w:cs="宋体"/>
          <w:color w:val="auto"/>
          <w:sz w:val="24"/>
          <w:szCs w:val="24"/>
          <w:highlight w:val="none"/>
        </w:rPr>
        <w:t>发包人对发包人代表的授权范围如下：</w:t>
      </w:r>
      <w:r>
        <w:rPr>
          <w:rFonts w:hint="eastAsia" w:ascii="宋体" w:hAnsi="宋体" w:cs="宋体"/>
          <w:color w:val="auto"/>
          <w:sz w:val="24"/>
          <w:szCs w:val="24"/>
          <w:highlight w:val="none"/>
          <w:u w:val="single"/>
        </w:rPr>
        <w:t>除以下事项以外，发包人代表有权处理合同履行过程中与发包人有关的事宜：</w:t>
      </w:r>
    </w:p>
    <w:p w14:paraId="49A83ED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（1）发布暂停施工命令</w:t>
      </w:r>
    </w:p>
    <w:p w14:paraId="5E236C8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（2）同意组织竣工验收</w:t>
      </w:r>
    </w:p>
    <w:p w14:paraId="1233284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（3）签认竣工付款证书</w:t>
      </w:r>
    </w:p>
    <w:p w14:paraId="1CA990B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（4）签发工程接收证书</w:t>
      </w:r>
    </w:p>
    <w:p w14:paraId="427E988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（5）签发缺陷责任终止证书</w:t>
      </w:r>
    </w:p>
    <w:p w14:paraId="34C263A6">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（6）签发最终结清证书。</w:t>
      </w:r>
    </w:p>
    <w:bookmarkEnd w:id="329"/>
    <w:bookmarkEnd w:id="330"/>
    <w:bookmarkEnd w:id="331"/>
    <w:bookmarkEnd w:id="332"/>
    <w:bookmarkEnd w:id="333"/>
    <w:p w14:paraId="40BFCBD0">
      <w:pPr>
        <w:keepNext/>
        <w:keepLines/>
        <w:spacing w:before="120" w:after="120" w:line="440" w:lineRule="exact"/>
        <w:outlineLvl w:val="2"/>
        <w:rPr>
          <w:rFonts w:ascii="宋体" w:hAnsi="宋体" w:cs="宋体"/>
          <w:b/>
          <w:bCs/>
          <w:color w:val="auto"/>
          <w:sz w:val="24"/>
          <w:szCs w:val="24"/>
          <w:highlight w:val="none"/>
        </w:rPr>
      </w:pPr>
      <w:bookmarkStart w:id="334" w:name="_Toc373227705"/>
      <w:bookmarkStart w:id="335" w:name="_Toc373478352"/>
      <w:bookmarkStart w:id="336" w:name="_Toc51599561"/>
      <w:bookmarkStart w:id="337" w:name="_Toc487632704"/>
      <w:bookmarkStart w:id="338" w:name="_Toc407135207"/>
      <w:bookmarkStart w:id="339" w:name="_Toc389065271"/>
      <w:r>
        <w:rPr>
          <w:rFonts w:hint="eastAsia" w:ascii="宋体" w:hAnsi="宋体" w:cs="宋体"/>
          <w:b/>
          <w:bCs/>
          <w:color w:val="auto"/>
          <w:sz w:val="24"/>
          <w:szCs w:val="24"/>
          <w:highlight w:val="none"/>
        </w:rPr>
        <w:t>2.4资金来源证明及支付担保</w:t>
      </w:r>
      <w:bookmarkEnd w:id="334"/>
      <w:bookmarkEnd w:id="335"/>
      <w:bookmarkEnd w:id="336"/>
      <w:bookmarkEnd w:id="337"/>
      <w:bookmarkEnd w:id="338"/>
      <w:bookmarkEnd w:id="339"/>
    </w:p>
    <w:p w14:paraId="10DD317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发包人提供资金来源证明的期限要求：</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7554CF4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发包人是否提供支付担保：</w:t>
      </w:r>
      <w:r>
        <w:rPr>
          <w:rFonts w:hint="eastAsia" w:ascii="宋体" w:hAnsi="宋体" w:cs="宋体"/>
          <w:color w:val="auto"/>
          <w:sz w:val="24"/>
          <w:szCs w:val="24"/>
          <w:highlight w:val="none"/>
          <w:u w:val="single"/>
        </w:rPr>
        <w:t xml:space="preserve">     否          </w:t>
      </w:r>
      <w:r>
        <w:rPr>
          <w:rFonts w:hint="eastAsia" w:ascii="宋体" w:hAnsi="宋体" w:cs="宋体"/>
          <w:color w:val="auto"/>
          <w:sz w:val="24"/>
          <w:szCs w:val="24"/>
          <w:highlight w:val="none"/>
        </w:rPr>
        <w:t>。</w:t>
      </w:r>
    </w:p>
    <w:p w14:paraId="467D20E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发包人提供支付担保的形式：</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752E8B5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发包人提供的支付担保格式见合同附件2。</w:t>
      </w:r>
    </w:p>
    <w:p w14:paraId="062E2306">
      <w:pPr>
        <w:keepNext/>
        <w:keepLines/>
        <w:spacing w:before="120" w:after="120" w:line="440" w:lineRule="exact"/>
        <w:outlineLvl w:val="1"/>
        <w:rPr>
          <w:rFonts w:ascii="宋体" w:hAnsi="宋体" w:cs="宋体"/>
          <w:b/>
          <w:bCs/>
          <w:color w:val="auto"/>
          <w:sz w:val="24"/>
          <w:szCs w:val="24"/>
          <w:highlight w:val="none"/>
        </w:rPr>
      </w:pPr>
      <w:bookmarkStart w:id="340" w:name="_Toc407135208"/>
      <w:bookmarkStart w:id="341" w:name="_Toc487632705"/>
      <w:bookmarkStart w:id="342" w:name="_Toc373227706"/>
      <w:bookmarkStart w:id="343" w:name="_Toc351203635"/>
      <w:bookmarkStart w:id="344" w:name="_Toc373478353"/>
      <w:bookmarkStart w:id="345" w:name="_Toc389065272"/>
      <w:bookmarkStart w:id="346" w:name="_Toc51599562"/>
      <w:r>
        <w:rPr>
          <w:rFonts w:hint="eastAsia" w:ascii="宋体" w:hAnsi="宋体" w:cs="宋体"/>
          <w:b/>
          <w:bCs/>
          <w:color w:val="auto"/>
          <w:sz w:val="24"/>
          <w:szCs w:val="24"/>
          <w:highlight w:val="none"/>
        </w:rPr>
        <w:t>3</w:t>
      </w:r>
      <w:bookmarkStart w:id="347" w:name="_Toc296944497"/>
      <w:bookmarkStart w:id="348" w:name="_Toc297120458"/>
      <w:bookmarkStart w:id="349" w:name="_Toc296890986"/>
      <w:bookmarkStart w:id="350" w:name="_Toc296347157"/>
      <w:bookmarkStart w:id="351" w:name="_Toc297048344"/>
      <w:bookmarkStart w:id="352" w:name="_Toc296346659"/>
      <w:bookmarkStart w:id="353" w:name="_Toc292559363"/>
      <w:bookmarkStart w:id="354" w:name="_Toc296503158"/>
      <w:bookmarkStart w:id="355" w:name="_Toc292559868"/>
      <w:bookmarkStart w:id="356" w:name="_Toc296891198"/>
      <w:r>
        <w:rPr>
          <w:rFonts w:hint="eastAsia" w:ascii="宋体" w:hAnsi="宋体" w:cs="宋体"/>
          <w:b/>
          <w:bCs/>
          <w:color w:val="auto"/>
          <w:sz w:val="24"/>
          <w:szCs w:val="24"/>
          <w:highlight w:val="none"/>
        </w:rPr>
        <w:t>. 承包人</w:t>
      </w:r>
      <w:bookmarkEnd w:id="340"/>
      <w:bookmarkEnd w:id="341"/>
      <w:bookmarkEnd w:id="342"/>
      <w:bookmarkEnd w:id="343"/>
      <w:bookmarkEnd w:id="344"/>
      <w:bookmarkEnd w:id="345"/>
      <w:bookmarkEnd w:id="346"/>
    </w:p>
    <w:bookmarkEnd w:id="347"/>
    <w:bookmarkEnd w:id="348"/>
    <w:bookmarkEnd w:id="349"/>
    <w:bookmarkEnd w:id="350"/>
    <w:bookmarkEnd w:id="351"/>
    <w:bookmarkEnd w:id="352"/>
    <w:bookmarkEnd w:id="353"/>
    <w:bookmarkEnd w:id="354"/>
    <w:bookmarkEnd w:id="355"/>
    <w:bookmarkEnd w:id="356"/>
    <w:p w14:paraId="06B63406">
      <w:pPr>
        <w:keepNext/>
        <w:keepLines/>
        <w:spacing w:before="120" w:after="120" w:line="440" w:lineRule="exact"/>
        <w:outlineLvl w:val="2"/>
        <w:rPr>
          <w:rFonts w:ascii="宋体" w:hAnsi="宋体" w:cs="宋体"/>
          <w:b/>
          <w:bCs/>
          <w:color w:val="auto"/>
          <w:sz w:val="24"/>
          <w:szCs w:val="24"/>
          <w:highlight w:val="none"/>
        </w:rPr>
      </w:pPr>
      <w:bookmarkStart w:id="357" w:name="_Toc407135209"/>
      <w:bookmarkStart w:id="358" w:name="_Toc51599563"/>
      <w:bookmarkStart w:id="359" w:name="_Toc373478354"/>
      <w:bookmarkStart w:id="360" w:name="_Toc487632706"/>
      <w:bookmarkStart w:id="361" w:name="_Toc373227707"/>
      <w:bookmarkStart w:id="362" w:name="_Toc389065273"/>
      <w:r>
        <w:rPr>
          <w:rFonts w:hint="eastAsia" w:ascii="宋体" w:hAnsi="宋体" w:cs="宋体"/>
          <w:b/>
          <w:bCs/>
          <w:color w:val="auto"/>
          <w:sz w:val="24"/>
          <w:szCs w:val="24"/>
          <w:highlight w:val="none"/>
        </w:rPr>
        <w:t>3.1 承包人的一般义务</w:t>
      </w:r>
      <w:bookmarkEnd w:id="357"/>
      <w:bookmarkEnd w:id="358"/>
      <w:bookmarkEnd w:id="359"/>
      <w:bookmarkEnd w:id="360"/>
      <w:bookmarkEnd w:id="361"/>
      <w:bookmarkEnd w:id="362"/>
    </w:p>
    <w:p w14:paraId="5863A72D">
      <w:pPr>
        <w:spacing w:line="440" w:lineRule="exact"/>
        <w:ind w:firstLine="480" w:firstLineChars="200"/>
        <w:rPr>
          <w:rFonts w:ascii="宋体" w:hAnsi="宋体" w:cs="宋体"/>
          <w:color w:val="auto"/>
          <w:sz w:val="24"/>
          <w:szCs w:val="24"/>
          <w:highlight w:val="none"/>
          <w:u w:val="single"/>
        </w:rPr>
      </w:pPr>
      <w:bookmarkStart w:id="363" w:name="_Toc373227708"/>
      <w:bookmarkStart w:id="364" w:name="_Toc407135210"/>
      <w:bookmarkStart w:id="365" w:name="_Toc373478355"/>
      <w:bookmarkStart w:id="366" w:name="_Toc487632707"/>
      <w:bookmarkStart w:id="367" w:name="_Toc389065274"/>
      <w:r>
        <w:rPr>
          <w:rFonts w:hint="eastAsia" w:ascii="宋体" w:hAnsi="宋体" w:cs="宋体"/>
          <w:color w:val="auto"/>
          <w:sz w:val="24"/>
          <w:szCs w:val="24"/>
          <w:highlight w:val="none"/>
          <w:u w:val="single"/>
        </w:rPr>
        <w:t xml:space="preserve">按照现行的建设工程文件归档规范，符合竣工验收要求的竣工图、施工管理资料、施工技术资料、检验（测）资料、评定（价）资料及国家、地方规定的其他资料  </w:t>
      </w:r>
      <w:r>
        <w:rPr>
          <w:rFonts w:hint="eastAsia" w:ascii="宋体" w:hAnsi="宋体" w:cs="宋体"/>
          <w:color w:val="auto"/>
          <w:sz w:val="24"/>
          <w:szCs w:val="24"/>
          <w:highlight w:val="none"/>
        </w:rPr>
        <w:t>。</w:t>
      </w:r>
    </w:p>
    <w:p w14:paraId="1E009DF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承包人需要提交的竣工资料套数：</w:t>
      </w:r>
      <w:r>
        <w:rPr>
          <w:rFonts w:hint="eastAsia" w:ascii="宋体" w:hAnsi="宋体" w:cs="宋体"/>
          <w:color w:val="auto"/>
          <w:sz w:val="24"/>
          <w:szCs w:val="24"/>
          <w:highlight w:val="none"/>
          <w:u w:val="single"/>
        </w:rPr>
        <w:t xml:space="preserve">     5套       </w:t>
      </w:r>
      <w:r>
        <w:rPr>
          <w:rFonts w:hint="eastAsia" w:ascii="宋体" w:hAnsi="宋体" w:cs="宋体"/>
          <w:color w:val="auto"/>
          <w:sz w:val="24"/>
          <w:szCs w:val="24"/>
          <w:highlight w:val="none"/>
        </w:rPr>
        <w:t>。</w:t>
      </w:r>
    </w:p>
    <w:p w14:paraId="5B30C62C">
      <w:pPr>
        <w:spacing w:line="440" w:lineRule="exact"/>
        <w:ind w:left="424" w:leftChars="202"/>
        <w:rPr>
          <w:rFonts w:ascii="宋体" w:hAnsi="宋体" w:cs="宋体"/>
          <w:color w:val="auto"/>
          <w:sz w:val="24"/>
          <w:szCs w:val="24"/>
          <w:highlight w:val="none"/>
        </w:rPr>
      </w:pPr>
      <w:r>
        <w:rPr>
          <w:rFonts w:hint="eastAsia" w:ascii="宋体" w:hAnsi="宋体" w:cs="宋体"/>
          <w:color w:val="auto"/>
          <w:sz w:val="24"/>
          <w:szCs w:val="24"/>
          <w:highlight w:val="none"/>
        </w:rPr>
        <w:t>承包人提交的竣工资料的费用承担：</w:t>
      </w:r>
      <w:r>
        <w:rPr>
          <w:rFonts w:hint="eastAsia" w:ascii="宋体" w:hAnsi="宋体" w:cs="宋体"/>
          <w:color w:val="auto"/>
          <w:sz w:val="24"/>
          <w:szCs w:val="24"/>
          <w:highlight w:val="none"/>
          <w:u w:val="single"/>
        </w:rPr>
        <w:t xml:space="preserve">   承包人承担  </w:t>
      </w:r>
      <w:r>
        <w:rPr>
          <w:rFonts w:hint="eastAsia" w:ascii="宋体" w:hAnsi="宋体" w:cs="宋体"/>
          <w:color w:val="auto"/>
          <w:sz w:val="24"/>
          <w:szCs w:val="24"/>
          <w:highlight w:val="none"/>
        </w:rPr>
        <w:t>。</w:t>
      </w:r>
    </w:p>
    <w:p w14:paraId="4026E61E">
      <w:pPr>
        <w:spacing w:line="440" w:lineRule="exact"/>
        <w:ind w:left="424" w:leftChars="202"/>
        <w:rPr>
          <w:rFonts w:ascii="宋体" w:hAnsi="宋体" w:cs="宋体"/>
          <w:color w:val="auto"/>
          <w:sz w:val="24"/>
          <w:szCs w:val="24"/>
          <w:highlight w:val="none"/>
        </w:rPr>
      </w:pPr>
      <w:r>
        <w:rPr>
          <w:rFonts w:hint="eastAsia" w:ascii="宋体" w:hAnsi="宋体" w:cs="宋体"/>
          <w:color w:val="auto"/>
          <w:sz w:val="24"/>
          <w:szCs w:val="24"/>
          <w:highlight w:val="none"/>
        </w:rPr>
        <w:t>承包人提交的竣工资料移交时间：</w:t>
      </w:r>
      <w:r>
        <w:rPr>
          <w:rFonts w:hint="eastAsia" w:ascii="宋体" w:hAnsi="宋体" w:cs="宋体"/>
          <w:color w:val="auto"/>
          <w:sz w:val="24"/>
          <w:szCs w:val="24"/>
          <w:highlight w:val="none"/>
          <w:u w:val="single"/>
        </w:rPr>
        <w:t xml:space="preserve">   工程竣工验收合格后7日内  </w:t>
      </w:r>
      <w:r>
        <w:rPr>
          <w:rFonts w:hint="eastAsia" w:ascii="宋体" w:hAnsi="宋体" w:cs="宋体"/>
          <w:color w:val="auto"/>
          <w:sz w:val="24"/>
          <w:szCs w:val="24"/>
          <w:highlight w:val="none"/>
        </w:rPr>
        <w:t>。</w:t>
      </w:r>
    </w:p>
    <w:p w14:paraId="1687594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承包人提交的竣工资料形式要求：</w:t>
      </w:r>
      <w:r>
        <w:rPr>
          <w:rFonts w:hint="eastAsia" w:ascii="宋体" w:hAnsi="宋体" w:cs="宋体"/>
          <w:color w:val="auto"/>
          <w:sz w:val="24"/>
          <w:szCs w:val="24"/>
          <w:highlight w:val="none"/>
          <w:u w:val="single"/>
        </w:rPr>
        <w:t xml:space="preserve">   纸质4套，电子扫描件文档1套  </w:t>
      </w:r>
      <w:r>
        <w:rPr>
          <w:rFonts w:hint="eastAsia" w:ascii="宋体" w:hAnsi="宋体" w:cs="宋体"/>
          <w:color w:val="auto"/>
          <w:sz w:val="24"/>
          <w:szCs w:val="24"/>
          <w:highlight w:val="none"/>
        </w:rPr>
        <w:t>。</w:t>
      </w:r>
    </w:p>
    <w:p w14:paraId="3AB512C9">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（10）承包人应履行的其他义务：</w:t>
      </w:r>
      <w:r>
        <w:rPr>
          <w:rFonts w:hint="eastAsia" w:ascii="宋体" w:hAnsi="宋体" w:cs="宋体"/>
          <w:color w:val="auto"/>
          <w:kern w:val="0"/>
          <w:sz w:val="24"/>
          <w:szCs w:val="24"/>
          <w:highlight w:val="none"/>
          <w:u w:val="single"/>
        </w:rPr>
        <w:t xml:space="preserve">   严格执行建筑节能相关法律法规，在施工过程中节约资源，杜绝浪费     </w:t>
      </w:r>
      <w:r>
        <w:rPr>
          <w:rFonts w:hint="eastAsia" w:ascii="宋体" w:hAnsi="宋体" w:cs="宋体"/>
          <w:color w:val="auto"/>
          <w:kern w:val="0"/>
          <w:sz w:val="24"/>
          <w:szCs w:val="24"/>
          <w:highlight w:val="none"/>
        </w:rPr>
        <w:t>。</w:t>
      </w:r>
    </w:p>
    <w:p w14:paraId="4034BA09">
      <w:pPr>
        <w:keepNext/>
        <w:keepLines/>
        <w:spacing w:before="120" w:after="120" w:line="440" w:lineRule="exact"/>
        <w:outlineLvl w:val="2"/>
        <w:rPr>
          <w:rFonts w:ascii="宋体" w:hAnsi="宋体" w:cs="宋体"/>
          <w:b/>
          <w:bCs/>
          <w:color w:val="auto"/>
          <w:sz w:val="24"/>
          <w:szCs w:val="24"/>
          <w:highlight w:val="none"/>
        </w:rPr>
      </w:pPr>
      <w:bookmarkStart w:id="368" w:name="_Toc51599564"/>
      <w:r>
        <w:rPr>
          <w:rFonts w:hint="eastAsia" w:ascii="宋体" w:hAnsi="宋体" w:cs="宋体"/>
          <w:b/>
          <w:bCs/>
          <w:color w:val="auto"/>
          <w:sz w:val="24"/>
          <w:szCs w:val="24"/>
          <w:highlight w:val="none"/>
        </w:rPr>
        <w:t>3.2 项目经理</w:t>
      </w:r>
      <w:bookmarkEnd w:id="363"/>
      <w:bookmarkEnd w:id="364"/>
      <w:bookmarkEnd w:id="365"/>
      <w:bookmarkEnd w:id="366"/>
      <w:bookmarkEnd w:id="367"/>
      <w:bookmarkEnd w:id="368"/>
    </w:p>
    <w:p w14:paraId="1FB7778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 xml:space="preserve">3.2.1 </w:t>
      </w:r>
      <w:r>
        <w:rPr>
          <w:rFonts w:hint="eastAsia" w:ascii="宋体" w:hAnsi="宋体" w:cs="宋体"/>
          <w:color w:val="auto"/>
          <w:sz w:val="24"/>
          <w:szCs w:val="24"/>
          <w:highlight w:val="none"/>
        </w:rPr>
        <w:t>项目经理：</w:t>
      </w:r>
    </w:p>
    <w:p w14:paraId="53EF0DA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姓    名：</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F5FC0B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身份证号：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FF147F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建造师执业资格等级：</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4EE8F06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建造师注册证书号：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02A14B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安全生产考核合格证书号：</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6F3A77AC">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 xml:space="preserve">承包人对项目经理的授权范围如下：  </w:t>
      </w:r>
      <w:r>
        <w:rPr>
          <w:rFonts w:hint="eastAsia" w:ascii="宋体" w:hAnsi="宋体" w:cs="宋体"/>
          <w:color w:val="auto"/>
          <w:sz w:val="24"/>
          <w:szCs w:val="24"/>
          <w:highlight w:val="none"/>
          <w:u w:val="single"/>
        </w:rPr>
        <w:t>项目经理经承包人授权后代表承包人负责履行合同，但是下列事项必须经承包人同意，并加盖承包人单位公章方为有效：</w:t>
      </w:r>
    </w:p>
    <w:p w14:paraId="34900016">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1）与本工程相关的任何补充协议的签订；</w:t>
      </w:r>
    </w:p>
    <w:p w14:paraId="69147097">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2）与本工程相关的任何分包合同、采购合同、聘任合同的签订：</w:t>
      </w:r>
    </w:p>
    <w:p w14:paraId="1E7A3BC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3）同意涉及合同价款变化超过1万元或合同工期变化超过3天的变更指示；</w:t>
      </w:r>
    </w:p>
    <w:p w14:paraId="6C07F55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4）进度款支付申请；</w:t>
      </w:r>
    </w:p>
    <w:p w14:paraId="579C008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5）竣工验收申请；</w:t>
      </w:r>
    </w:p>
    <w:p w14:paraId="3F4A34A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6）最终结清申请单 </w:t>
      </w:r>
      <w:r>
        <w:rPr>
          <w:rFonts w:hint="eastAsia" w:ascii="宋体" w:hAnsi="宋体" w:cs="宋体"/>
          <w:color w:val="auto"/>
          <w:sz w:val="24"/>
          <w:szCs w:val="24"/>
          <w:highlight w:val="none"/>
        </w:rPr>
        <w:t>。</w:t>
      </w:r>
    </w:p>
    <w:p w14:paraId="5CBB797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关于项目经理每月在施工现场的时间要求：</w:t>
      </w:r>
      <w:r>
        <w:rPr>
          <w:rFonts w:hint="eastAsia" w:ascii="宋体" w:hAnsi="宋体" w:cs="宋体"/>
          <w:color w:val="auto"/>
          <w:sz w:val="24"/>
          <w:szCs w:val="24"/>
          <w:highlight w:val="none"/>
          <w:u w:val="single"/>
        </w:rPr>
        <w:t xml:space="preserve"> 80%/月  </w:t>
      </w:r>
      <w:r>
        <w:rPr>
          <w:rFonts w:hint="eastAsia" w:ascii="宋体" w:hAnsi="宋体" w:cs="宋体"/>
          <w:color w:val="auto"/>
          <w:sz w:val="24"/>
          <w:szCs w:val="24"/>
          <w:highlight w:val="none"/>
        </w:rPr>
        <w:t>。</w:t>
      </w:r>
    </w:p>
    <w:p w14:paraId="6841CEB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承包人未提交劳动合同，以及没有为项目经理缴纳社会保险证明的违约责任：</w:t>
      </w:r>
      <w:r>
        <w:rPr>
          <w:rFonts w:hint="eastAsia" w:ascii="宋体" w:hAnsi="宋体" w:cs="宋体"/>
          <w:color w:val="auto"/>
          <w:sz w:val="24"/>
          <w:szCs w:val="24"/>
          <w:highlight w:val="none"/>
          <w:u w:val="single"/>
        </w:rPr>
        <w:t xml:space="preserve"> 监理人限期承包人在收到提交要求后3日内补交，并承担违约金1000元；3日内不能补交的，发包人有权要求承包人更换项目经理，并承担违约金10000元。由此增加的费用和（或）延误的工期由承包人承担   </w:t>
      </w:r>
      <w:r>
        <w:rPr>
          <w:rFonts w:hint="eastAsia" w:ascii="宋体" w:hAnsi="宋体" w:cs="宋体"/>
          <w:color w:val="auto"/>
          <w:sz w:val="24"/>
          <w:szCs w:val="24"/>
          <w:highlight w:val="none"/>
        </w:rPr>
        <w:t>。</w:t>
      </w:r>
    </w:p>
    <w:p w14:paraId="29F905E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项目经理未经批准，擅自离开施工现场的违约责任：</w:t>
      </w:r>
      <w:r>
        <w:rPr>
          <w:rFonts w:hint="eastAsia" w:ascii="宋体" w:hAnsi="宋体" w:cs="宋体"/>
          <w:color w:val="auto"/>
          <w:sz w:val="24"/>
          <w:szCs w:val="24"/>
          <w:highlight w:val="none"/>
          <w:u w:val="single"/>
        </w:rPr>
        <w:t xml:space="preserve">项目经理每月在岗带班时间不得少于当月施工时间的80%。未经发包人同意或正当理由，项目经理每月在岗带班时间少于当月施工时间80%的，少在岗带班一天，发包人有权处违约金1000元/日（人民币）  </w:t>
      </w:r>
      <w:r>
        <w:rPr>
          <w:rFonts w:hint="eastAsia" w:ascii="宋体" w:hAnsi="宋体" w:cs="宋体"/>
          <w:color w:val="auto"/>
          <w:sz w:val="24"/>
          <w:szCs w:val="24"/>
          <w:highlight w:val="none"/>
        </w:rPr>
        <w:t>。</w:t>
      </w:r>
    </w:p>
    <w:p w14:paraId="632A7EB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3.2.3 承包人擅自更换项目经理的违约责任：</w:t>
      </w:r>
      <w:r>
        <w:rPr>
          <w:rFonts w:hint="eastAsia" w:ascii="宋体" w:hAnsi="宋体" w:cs="宋体"/>
          <w:color w:val="auto"/>
          <w:sz w:val="24"/>
          <w:szCs w:val="24"/>
          <w:highlight w:val="none"/>
          <w:u w:val="single"/>
        </w:rPr>
        <w:t>承包人项目经理必须与承包人投标时所承诺的人员一致，并在  （开工日期）  前到任。在监理人向承包人颁发    （竣工证明材料名称）    前，项目经理不得同时兼任其他任何项目的项目经理</w:t>
      </w:r>
      <w:r>
        <w:rPr>
          <w:rFonts w:hint="eastAsia" w:ascii="宋体" w:hAnsi="宋体" w:cs="宋体"/>
          <w:color w:val="auto"/>
          <w:kern w:val="0"/>
          <w:sz w:val="24"/>
          <w:szCs w:val="24"/>
          <w:highlight w:val="none"/>
          <w:u w:val="single"/>
        </w:rPr>
        <w:t>（符合桂建管</w:t>
      </w:r>
      <w:r>
        <w:rPr>
          <w:rFonts w:hint="eastAsia" w:ascii="宋体" w:hAnsi="宋体" w:cs="宋体"/>
          <w:color w:val="auto"/>
          <w:sz w:val="24"/>
          <w:szCs w:val="24"/>
          <w:highlight w:val="none"/>
          <w:u w:val="single"/>
        </w:rPr>
        <w:t>﹝2013﹞</w:t>
      </w:r>
      <w:r>
        <w:rPr>
          <w:rFonts w:hint="eastAsia" w:ascii="宋体" w:hAnsi="宋体" w:cs="宋体"/>
          <w:color w:val="auto"/>
          <w:kern w:val="0"/>
          <w:sz w:val="24"/>
          <w:szCs w:val="24"/>
          <w:highlight w:val="none"/>
          <w:u w:val="single"/>
        </w:rPr>
        <w:t>17号和</w:t>
      </w:r>
      <w:r>
        <w:rPr>
          <w:rFonts w:hint="eastAsia" w:ascii="宋体" w:hAnsi="宋体" w:cs="宋体"/>
          <w:color w:val="auto"/>
          <w:sz w:val="24"/>
          <w:szCs w:val="24"/>
          <w:highlight w:val="none"/>
          <w:u w:val="single"/>
        </w:rPr>
        <w:t>桂建管﹝2014﹞25号</w:t>
      </w:r>
      <w:r>
        <w:rPr>
          <w:rFonts w:hint="eastAsia" w:ascii="宋体" w:hAnsi="宋体" w:cs="宋体"/>
          <w:color w:val="auto"/>
          <w:kern w:val="0"/>
          <w:sz w:val="24"/>
          <w:szCs w:val="24"/>
          <w:highlight w:val="none"/>
          <w:u w:val="single"/>
        </w:rPr>
        <w:t>文除外）</w:t>
      </w:r>
      <w:r>
        <w:rPr>
          <w:rFonts w:hint="eastAsia" w:ascii="宋体" w:hAnsi="宋体" w:cs="宋体"/>
          <w:color w:val="auto"/>
          <w:sz w:val="24"/>
          <w:szCs w:val="24"/>
          <w:highlight w:val="none"/>
          <w:u w:val="single"/>
        </w:rPr>
        <w:t>。未经发包人书面同意，承包人擅自更换项目经理的视为违约，违约金处 3000元/人•次（人民币）</w:t>
      </w:r>
      <w:r>
        <w:rPr>
          <w:rFonts w:hint="eastAsia" w:ascii="宋体" w:hAnsi="宋体" w:cs="宋体"/>
          <w:color w:val="auto"/>
          <w:sz w:val="24"/>
          <w:szCs w:val="24"/>
          <w:highlight w:val="none"/>
        </w:rPr>
        <w:t>。</w:t>
      </w:r>
    </w:p>
    <w:p w14:paraId="6454733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3.2.4 承包人无正当理由拒绝更换项目经理的违约责任：</w:t>
      </w:r>
      <w:r>
        <w:rPr>
          <w:rFonts w:hint="eastAsia" w:ascii="宋体" w:hAnsi="宋体" w:cs="宋体"/>
          <w:color w:val="auto"/>
          <w:sz w:val="24"/>
          <w:szCs w:val="24"/>
          <w:highlight w:val="none"/>
          <w:u w:val="single"/>
        </w:rPr>
        <w:t>因承包人项目经理不称职，发包人要求调换而未及时调换的，视为承包人违约，必须向发包人交纳处罚金 5000元/人•次（人民币）</w:t>
      </w:r>
      <w:r>
        <w:rPr>
          <w:rFonts w:hint="eastAsia" w:ascii="宋体" w:hAnsi="宋体" w:cs="宋体"/>
          <w:color w:val="auto"/>
          <w:sz w:val="24"/>
          <w:szCs w:val="24"/>
          <w:highlight w:val="none"/>
        </w:rPr>
        <w:t>。</w:t>
      </w:r>
    </w:p>
    <w:p w14:paraId="783F60D1">
      <w:pPr>
        <w:keepNext/>
        <w:keepLines/>
        <w:spacing w:before="120" w:after="120" w:line="440" w:lineRule="exact"/>
        <w:outlineLvl w:val="2"/>
        <w:rPr>
          <w:rFonts w:ascii="宋体" w:hAnsi="宋体" w:cs="宋体"/>
          <w:b/>
          <w:bCs/>
          <w:color w:val="auto"/>
          <w:sz w:val="24"/>
          <w:szCs w:val="24"/>
          <w:highlight w:val="none"/>
        </w:rPr>
      </w:pPr>
      <w:bookmarkStart w:id="369" w:name="_Toc389065275"/>
      <w:bookmarkStart w:id="370" w:name="_Toc407135211"/>
      <w:bookmarkStart w:id="371" w:name="_Toc373478356"/>
      <w:bookmarkStart w:id="372" w:name="_Toc487632708"/>
      <w:bookmarkStart w:id="373" w:name="_Toc51599565"/>
      <w:bookmarkStart w:id="374" w:name="_Toc373227709"/>
      <w:r>
        <w:rPr>
          <w:rFonts w:hint="eastAsia" w:ascii="宋体" w:hAnsi="宋体" w:cs="宋体"/>
          <w:b/>
          <w:bCs/>
          <w:color w:val="auto"/>
          <w:sz w:val="24"/>
          <w:szCs w:val="24"/>
          <w:highlight w:val="none"/>
        </w:rPr>
        <w:t>3.3 承包人人员</w:t>
      </w:r>
      <w:bookmarkEnd w:id="369"/>
      <w:bookmarkEnd w:id="370"/>
      <w:bookmarkEnd w:id="371"/>
      <w:bookmarkEnd w:id="372"/>
      <w:bookmarkEnd w:id="373"/>
      <w:bookmarkEnd w:id="374"/>
    </w:p>
    <w:p w14:paraId="5DE0303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3.3.1 承包人提交项目管理机构及施工现场管理人员安排报告（格式见合同附件3）的期限：</w:t>
      </w:r>
      <w:r>
        <w:rPr>
          <w:rFonts w:hint="eastAsia" w:ascii="宋体" w:hAnsi="宋体" w:cs="宋体"/>
          <w:color w:val="auto"/>
          <w:sz w:val="24"/>
          <w:szCs w:val="24"/>
          <w:highlight w:val="none"/>
          <w:u w:val="single"/>
        </w:rPr>
        <w:t xml:space="preserve">接到开工通知后7天内    </w:t>
      </w:r>
      <w:r>
        <w:rPr>
          <w:rFonts w:hint="eastAsia" w:ascii="宋体" w:hAnsi="宋体" w:cs="宋体"/>
          <w:color w:val="auto"/>
          <w:sz w:val="24"/>
          <w:szCs w:val="24"/>
          <w:highlight w:val="none"/>
        </w:rPr>
        <w:t>。</w:t>
      </w:r>
    </w:p>
    <w:p w14:paraId="13A80A3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3.3.3 承包人无正当理由拒绝撤换主要施工管理人员的违约责任：</w:t>
      </w:r>
      <w:r>
        <w:rPr>
          <w:rFonts w:hint="eastAsia" w:ascii="宋体" w:hAnsi="宋体" w:cs="宋体"/>
          <w:color w:val="auto"/>
          <w:sz w:val="24"/>
          <w:szCs w:val="24"/>
          <w:highlight w:val="none"/>
          <w:u w:val="single"/>
        </w:rPr>
        <w:t>因承包人主要施工管理人员不称职，发包人要求调换而无正当理由拒绝撤换或未及时调换的，视为承包人违约，必须向发包人交纳处罚金，处罚标准：技术负责人 1000  元/人•次（人民币）；专业工程师500元/人•次（人民币）</w:t>
      </w:r>
      <w:r>
        <w:rPr>
          <w:rFonts w:hint="eastAsia" w:ascii="宋体" w:hAnsi="宋体" w:cs="宋体"/>
          <w:color w:val="auto"/>
          <w:sz w:val="24"/>
          <w:szCs w:val="24"/>
          <w:highlight w:val="none"/>
        </w:rPr>
        <w:t>。</w:t>
      </w:r>
    </w:p>
    <w:p w14:paraId="15D90A7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3.3.4 承包人主要施工管理人员离开施工现场的批准要求：</w:t>
      </w:r>
      <w:r>
        <w:rPr>
          <w:rFonts w:hint="eastAsia" w:ascii="宋体" w:hAnsi="宋体" w:cs="宋体"/>
          <w:color w:val="auto"/>
          <w:sz w:val="24"/>
          <w:szCs w:val="24"/>
          <w:highlight w:val="none"/>
          <w:u w:val="single"/>
        </w:rPr>
        <w:t xml:space="preserve">  按通用合同条款执行  </w:t>
      </w:r>
      <w:r>
        <w:rPr>
          <w:rFonts w:hint="eastAsia" w:ascii="宋体" w:hAnsi="宋体" w:cs="宋体"/>
          <w:color w:val="auto"/>
          <w:sz w:val="24"/>
          <w:szCs w:val="24"/>
          <w:highlight w:val="none"/>
        </w:rPr>
        <w:t>。</w:t>
      </w:r>
    </w:p>
    <w:p w14:paraId="7037C7D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3.3.5 承包人擅自更换主要施工管理人员的违约责任：</w:t>
      </w:r>
      <w:r>
        <w:rPr>
          <w:rFonts w:hint="eastAsia" w:ascii="宋体" w:hAnsi="宋体" w:cs="宋体"/>
          <w:color w:val="auto"/>
          <w:sz w:val="24"/>
          <w:szCs w:val="24"/>
          <w:highlight w:val="none"/>
          <w:u w:val="single"/>
        </w:rPr>
        <w:t>项目技术负责人、专职安全员及其承诺的其它在场管理人员未经发包人书面同意不准擅自更换，擅自更换项目技术负责人处 1000 元/人•次（人民币）违约金；擅自更换专职安全员处500元/人•次（人民币）违约金；擅自更换其它在场管理人员处500元/人•次（人民币）违约金</w:t>
      </w:r>
      <w:r>
        <w:rPr>
          <w:rFonts w:hint="eastAsia" w:ascii="宋体" w:hAnsi="宋体" w:cs="宋体"/>
          <w:color w:val="auto"/>
          <w:sz w:val="24"/>
          <w:szCs w:val="24"/>
          <w:highlight w:val="none"/>
        </w:rPr>
        <w:t>。</w:t>
      </w:r>
    </w:p>
    <w:p w14:paraId="6EB38E9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承包人主要施工管理人员擅自离开施工现场的违约责任：</w:t>
      </w:r>
      <w:r>
        <w:rPr>
          <w:rFonts w:hint="eastAsia" w:ascii="宋体" w:hAnsi="宋体" w:cs="宋体"/>
          <w:color w:val="auto"/>
          <w:sz w:val="24"/>
          <w:szCs w:val="24"/>
          <w:highlight w:val="none"/>
          <w:u w:val="single"/>
        </w:rPr>
        <w:t>未经发包人同意，项目技术负责人擅自离岗的，视为承包人违约，发包人有权处违约金  3000  元/人•次（人民币）；未经发包人同意，专职安全员擅自离岗的，视为承包人违约，发包人有权处违约金1000元/人•次（人民币）；其它在场管理人员擅自离岗的，视为承包人违约，发包人有权处违约金1000元/人•次（人民币）</w:t>
      </w:r>
      <w:r>
        <w:rPr>
          <w:rFonts w:hint="eastAsia" w:ascii="宋体" w:hAnsi="宋体" w:cs="宋体"/>
          <w:color w:val="auto"/>
          <w:sz w:val="24"/>
          <w:szCs w:val="24"/>
          <w:highlight w:val="none"/>
        </w:rPr>
        <w:t>。</w:t>
      </w:r>
    </w:p>
    <w:p w14:paraId="34F1EB09">
      <w:pPr>
        <w:keepNext/>
        <w:keepLines/>
        <w:spacing w:before="120" w:after="120" w:line="440" w:lineRule="exact"/>
        <w:outlineLvl w:val="2"/>
        <w:rPr>
          <w:rFonts w:ascii="宋体" w:hAnsi="宋体" w:cs="宋体"/>
          <w:b/>
          <w:bCs/>
          <w:color w:val="auto"/>
          <w:sz w:val="24"/>
          <w:szCs w:val="24"/>
          <w:highlight w:val="none"/>
        </w:rPr>
      </w:pPr>
      <w:bookmarkStart w:id="375" w:name="_Toc373227710"/>
      <w:bookmarkStart w:id="376" w:name="_Toc487632709"/>
      <w:bookmarkStart w:id="377" w:name="_Toc51599566"/>
      <w:bookmarkStart w:id="378" w:name="_Toc389065276"/>
      <w:bookmarkStart w:id="379" w:name="_Toc407135212"/>
      <w:bookmarkStart w:id="380" w:name="_Toc373478357"/>
      <w:r>
        <w:rPr>
          <w:rFonts w:hint="eastAsia" w:ascii="宋体" w:hAnsi="宋体" w:cs="宋体"/>
          <w:b/>
          <w:bCs/>
          <w:color w:val="auto"/>
          <w:sz w:val="24"/>
          <w:szCs w:val="24"/>
          <w:highlight w:val="none"/>
        </w:rPr>
        <w:t>3</w:t>
      </w:r>
      <w:bookmarkStart w:id="381" w:name="_Toc296347158"/>
      <w:bookmarkStart w:id="382" w:name="_Toc292559364"/>
      <w:bookmarkStart w:id="383" w:name="_Toc300934945"/>
      <w:bookmarkStart w:id="384" w:name="_Toc303539102"/>
      <w:bookmarkStart w:id="385" w:name="_Toc297048345"/>
      <w:bookmarkStart w:id="386" w:name="_Toc296944498"/>
      <w:bookmarkStart w:id="387" w:name="_Toc296503159"/>
      <w:bookmarkStart w:id="388" w:name="_Toc296346660"/>
      <w:bookmarkStart w:id="389" w:name="_Toc297120459"/>
      <w:bookmarkStart w:id="390" w:name="_Toc296890987"/>
      <w:bookmarkStart w:id="391" w:name="_Toc297216151"/>
      <w:bookmarkStart w:id="392" w:name="_Toc297123492"/>
      <w:bookmarkStart w:id="393" w:name="_Toc312677988"/>
      <w:bookmarkStart w:id="394" w:name="_Toc292559869"/>
      <w:bookmarkStart w:id="395" w:name="_Toc296891199"/>
      <w:bookmarkStart w:id="396" w:name="_Toc304295523"/>
      <w:r>
        <w:rPr>
          <w:rFonts w:hint="eastAsia" w:ascii="宋体" w:hAnsi="宋体" w:cs="宋体"/>
          <w:b/>
          <w:bCs/>
          <w:color w:val="auto"/>
          <w:sz w:val="24"/>
          <w:szCs w:val="24"/>
          <w:highlight w:val="none"/>
        </w:rPr>
        <w:t>.5 分包</w:t>
      </w:r>
      <w:bookmarkEnd w:id="375"/>
      <w:bookmarkEnd w:id="376"/>
      <w:bookmarkEnd w:id="377"/>
      <w:bookmarkEnd w:id="378"/>
      <w:bookmarkEnd w:id="379"/>
      <w:bookmarkEnd w:id="380"/>
    </w:p>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14:paraId="1C0CC87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bookmarkStart w:id="397" w:name="_Toc300934946"/>
      <w:bookmarkStart w:id="398" w:name="_Toc297123493"/>
      <w:bookmarkStart w:id="399" w:name="_Toc304295524"/>
      <w:bookmarkStart w:id="400" w:name="_Toc296503160"/>
      <w:bookmarkStart w:id="401" w:name="_Toc312677989"/>
      <w:bookmarkStart w:id="402" w:name="_Toc296346661"/>
      <w:bookmarkStart w:id="403" w:name="_Toc296891200"/>
      <w:bookmarkStart w:id="404" w:name="_Toc296890988"/>
      <w:bookmarkStart w:id="405" w:name="_Toc303539103"/>
      <w:bookmarkStart w:id="406" w:name="_Toc292559365"/>
      <w:bookmarkStart w:id="407" w:name="_Toc296347159"/>
      <w:bookmarkStart w:id="408" w:name="_Toc297048346"/>
      <w:bookmarkStart w:id="409" w:name="_Toc318581158"/>
      <w:bookmarkStart w:id="410" w:name="_Toc292559870"/>
      <w:bookmarkStart w:id="411" w:name="_Toc296944499"/>
      <w:bookmarkStart w:id="412" w:name="_Toc297120460"/>
      <w:bookmarkStart w:id="413" w:name="_Toc297216152"/>
      <w:r>
        <w:rPr>
          <w:rFonts w:hint="eastAsia" w:ascii="宋体" w:hAnsi="宋体" w:cs="宋体"/>
          <w:color w:val="auto"/>
          <w:sz w:val="24"/>
          <w:szCs w:val="24"/>
          <w:highlight w:val="none"/>
        </w:rPr>
        <w:t>.5.1 分包的一般约定</w:t>
      </w:r>
    </w:p>
    <w:p w14:paraId="02703B2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禁止分包的工程包括：</w:t>
      </w:r>
      <w:r>
        <w:rPr>
          <w:rFonts w:hint="eastAsia" w:ascii="宋体" w:hAnsi="宋体" w:cs="宋体"/>
          <w:color w:val="auto"/>
          <w:sz w:val="24"/>
          <w:szCs w:val="24"/>
          <w:highlight w:val="none"/>
          <w:u w:val="single"/>
        </w:rPr>
        <w:t xml:space="preserve">   本工程不允许分包、转包     </w:t>
      </w:r>
      <w:r>
        <w:rPr>
          <w:rFonts w:hint="eastAsia" w:ascii="宋体" w:hAnsi="宋体" w:cs="宋体"/>
          <w:color w:val="auto"/>
          <w:sz w:val="24"/>
          <w:szCs w:val="24"/>
          <w:highlight w:val="none"/>
        </w:rPr>
        <w:t>。</w:t>
      </w:r>
    </w:p>
    <w:p w14:paraId="04A4552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主体结构、关键性工作的范围：</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5911C91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bookmarkStart w:id="414" w:name="_Toc312677990"/>
      <w:bookmarkStart w:id="415" w:name="_Toc318581159"/>
      <w:r>
        <w:rPr>
          <w:rFonts w:hint="eastAsia" w:ascii="宋体" w:hAnsi="宋体" w:cs="宋体"/>
          <w:color w:val="auto"/>
          <w:sz w:val="24"/>
          <w:szCs w:val="24"/>
          <w:highlight w:val="none"/>
        </w:rPr>
        <w:t>.5.2 分包的确定</w:t>
      </w:r>
    </w:p>
    <w:p w14:paraId="5D0029F3">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允许分包的专业工程包括：</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48BE564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其他关于分包的约定：</w:t>
      </w:r>
    </w:p>
    <w:p w14:paraId="40E150E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4。</w:t>
      </w:r>
    </w:p>
    <w:p w14:paraId="329E520D">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（2）在相关分包合同签订并报送有关建设行政主管部门备案后7天内，承包人应当将一份副本提交给监理人，承包人应保障分包工作不得再次分包。</w:t>
      </w:r>
    </w:p>
    <w:p w14:paraId="79C9BAB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（3）未经承包人和监理人审批同意的分包工程和分包人，承包人有权拒绝验收分包工程和支付相应款项，由此引起的发包人费用增加和(或)延误的工期由发包人承担。</w:t>
      </w:r>
    </w:p>
    <w:p w14:paraId="50FD255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（4）承包人有以下情况之一者，发包人有权解除合同：</w:t>
      </w:r>
    </w:p>
    <w:p w14:paraId="533BB37F">
      <w:pPr>
        <w:spacing w:line="440" w:lineRule="exact"/>
        <w:ind w:firstLine="504" w:firstLineChars="210"/>
        <w:rPr>
          <w:rFonts w:hint="eastAsia" w:ascii="宋体" w:hAnsi="宋体" w:cs="宋体"/>
          <w:color w:val="auto"/>
          <w:sz w:val="24"/>
          <w:szCs w:val="24"/>
          <w:highlight w:val="none"/>
        </w:rPr>
      </w:pPr>
      <w:r>
        <w:rPr>
          <w:rFonts w:hint="eastAsia" w:ascii="宋体" w:hAnsi="宋体" w:cs="宋体"/>
          <w:color w:val="auto"/>
          <w:sz w:val="24"/>
          <w:szCs w:val="24"/>
          <w:highlight w:val="none"/>
        </w:rPr>
        <w:t>①个人承包工程，包括本人单位及外单位人员承包，发包人不承认其个人拥有任何资质等级及营业许可资格。</w:t>
      </w:r>
    </w:p>
    <w:p w14:paraId="498D4A6A">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②几个人联合承包工程，就地组织暗分包队伍，不具备完成本工程的技术、机械能力，被发包人判定为没有能力履行的承包人。</w:t>
      </w:r>
    </w:p>
    <w:p w14:paraId="0D797DE2">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③就地转包全部的工程，以谋取高额转让费、管理费的承包人。</w:t>
      </w:r>
    </w:p>
    <w:p w14:paraId="23A16D57">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④承包人有部分分包现象（其中包括冒充承包人下属单位的挂勾单位，凭口头协议参与施工的分包人及其他暗分包个体户），一经发现核实，发包人将采取驱逐该暗分包人措施。</w:t>
      </w:r>
    </w:p>
    <w:p w14:paraId="5463C7B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3.5.4 分包合同价款</w:t>
      </w:r>
    </w:p>
    <w:bookmarkEnd w:id="414"/>
    <w:bookmarkEnd w:id="415"/>
    <w:p w14:paraId="533FEB94">
      <w:pPr>
        <w:spacing w:line="440" w:lineRule="exact"/>
        <w:ind w:firstLine="480" w:firstLineChars="200"/>
        <w:rPr>
          <w:rFonts w:ascii="宋体" w:hAnsi="宋体" w:cs="宋体"/>
          <w:color w:val="auto"/>
          <w:sz w:val="24"/>
          <w:szCs w:val="24"/>
          <w:highlight w:val="none"/>
        </w:rPr>
      </w:pPr>
      <w:bookmarkStart w:id="416" w:name="_Toc373227711"/>
      <w:bookmarkStart w:id="417" w:name="_Toc373478358"/>
      <w:bookmarkStart w:id="418" w:name="_Toc389065277"/>
      <w:r>
        <w:rPr>
          <w:rFonts w:hint="eastAsia" w:ascii="宋体" w:hAnsi="宋体" w:cs="宋体"/>
          <w:color w:val="auto"/>
          <w:sz w:val="24"/>
          <w:szCs w:val="24"/>
          <w:highlight w:val="none"/>
        </w:rPr>
        <w:t>关于分包合同价款支付的约定：</w:t>
      </w:r>
      <w:r>
        <w:rPr>
          <w:rFonts w:hint="eastAsia" w:ascii="宋体" w:hAnsi="宋体" w:cs="宋体"/>
          <w:color w:val="auto"/>
          <w:sz w:val="24"/>
          <w:szCs w:val="24"/>
          <w:highlight w:val="none"/>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C0A8FE9">
      <w:pPr>
        <w:keepNext/>
        <w:keepLines/>
        <w:spacing w:before="120" w:after="120" w:line="440" w:lineRule="exact"/>
        <w:outlineLvl w:val="2"/>
        <w:rPr>
          <w:rFonts w:ascii="宋体" w:hAnsi="宋体" w:cs="宋体"/>
          <w:b/>
          <w:bCs/>
          <w:color w:val="auto"/>
          <w:sz w:val="24"/>
          <w:szCs w:val="24"/>
          <w:highlight w:val="none"/>
        </w:rPr>
      </w:pPr>
      <w:bookmarkStart w:id="419" w:name="_Toc407135213"/>
      <w:bookmarkStart w:id="420" w:name="_Toc51599567"/>
      <w:bookmarkStart w:id="421" w:name="_Toc487632710"/>
      <w:r>
        <w:rPr>
          <w:rFonts w:hint="eastAsia" w:ascii="宋体" w:hAnsi="宋体" w:cs="宋体"/>
          <w:b/>
          <w:bCs/>
          <w:color w:val="auto"/>
          <w:sz w:val="24"/>
          <w:szCs w:val="24"/>
          <w:highlight w:val="none"/>
        </w:rPr>
        <w:t>3.6 工程照管与成品、半成品保护</w:t>
      </w:r>
      <w:bookmarkEnd w:id="416"/>
      <w:bookmarkEnd w:id="417"/>
      <w:bookmarkEnd w:id="418"/>
      <w:bookmarkEnd w:id="419"/>
      <w:bookmarkEnd w:id="420"/>
      <w:bookmarkEnd w:id="421"/>
    </w:p>
    <w:p w14:paraId="6EFF4D69">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承包人负责照管工程及工程相关的材料、工程设备的起始时间：</w:t>
      </w:r>
      <w:r>
        <w:rPr>
          <w:rFonts w:hint="eastAsia" w:ascii="宋体" w:hAnsi="宋体" w:cs="宋体"/>
          <w:color w:val="auto"/>
          <w:kern w:val="0"/>
          <w:sz w:val="24"/>
          <w:szCs w:val="24"/>
          <w:highlight w:val="none"/>
          <w:u w:val="single"/>
        </w:rPr>
        <w:t xml:space="preserve">  从合同签订之日起至竣工验收合格并移交使用方接管之日止，期间所发生的半成品、成品损坏一切责任由承包人负责修复至设计要求    </w:t>
      </w:r>
      <w:r>
        <w:rPr>
          <w:rFonts w:hint="eastAsia" w:ascii="宋体" w:hAnsi="宋体" w:cs="宋体"/>
          <w:color w:val="auto"/>
          <w:kern w:val="0"/>
          <w:sz w:val="24"/>
          <w:szCs w:val="24"/>
          <w:highlight w:val="none"/>
        </w:rPr>
        <w:t>。</w:t>
      </w:r>
    </w:p>
    <w:p w14:paraId="67053442">
      <w:pPr>
        <w:keepNext/>
        <w:keepLines/>
        <w:spacing w:before="120" w:after="120" w:line="440" w:lineRule="exact"/>
        <w:outlineLvl w:val="2"/>
        <w:rPr>
          <w:rFonts w:ascii="宋体" w:hAnsi="宋体" w:cs="宋体"/>
          <w:b/>
          <w:bCs/>
          <w:color w:val="auto"/>
          <w:sz w:val="24"/>
          <w:szCs w:val="24"/>
          <w:highlight w:val="none"/>
        </w:rPr>
      </w:pPr>
      <w:bookmarkStart w:id="422" w:name="_Toc389065278"/>
      <w:bookmarkStart w:id="423" w:name="_Toc373227712"/>
      <w:bookmarkStart w:id="424" w:name="_Toc373478359"/>
      <w:bookmarkStart w:id="425" w:name="_Toc51599568"/>
      <w:bookmarkStart w:id="426" w:name="_Toc487632711"/>
      <w:bookmarkStart w:id="427" w:name="_Toc407135214"/>
      <w:r>
        <w:rPr>
          <w:rFonts w:hint="eastAsia" w:ascii="宋体" w:hAnsi="宋体" w:cs="宋体"/>
          <w:b/>
          <w:bCs/>
          <w:color w:val="auto"/>
          <w:sz w:val="24"/>
          <w:szCs w:val="24"/>
          <w:highlight w:val="none"/>
        </w:rPr>
        <w:t>3.7 履约</w:t>
      </w:r>
      <w:bookmarkEnd w:id="422"/>
      <w:bookmarkEnd w:id="423"/>
      <w:bookmarkEnd w:id="424"/>
      <w:r>
        <w:rPr>
          <w:rFonts w:hint="eastAsia" w:ascii="宋体" w:hAnsi="宋体" w:cs="宋体"/>
          <w:b/>
          <w:bCs/>
          <w:color w:val="auto"/>
          <w:sz w:val="24"/>
          <w:szCs w:val="24"/>
          <w:highlight w:val="none"/>
        </w:rPr>
        <w:t>保证金</w:t>
      </w:r>
      <w:bookmarkEnd w:id="425"/>
      <w:bookmarkEnd w:id="426"/>
      <w:bookmarkEnd w:id="427"/>
    </w:p>
    <w:p w14:paraId="3AC7F80F">
      <w:pPr>
        <w:spacing w:line="440" w:lineRule="exact"/>
        <w:ind w:firstLine="480" w:firstLineChars="200"/>
        <w:rPr>
          <w:rFonts w:ascii="宋体" w:hAnsi="宋体" w:cs="宋体"/>
          <w:color w:val="auto"/>
          <w:sz w:val="24"/>
          <w:szCs w:val="24"/>
          <w:highlight w:val="none"/>
          <w:u w:val="single"/>
        </w:rPr>
      </w:pPr>
      <w:bookmarkStart w:id="428" w:name="_Toc373478360"/>
      <w:bookmarkStart w:id="429" w:name="_Toc351203636"/>
      <w:bookmarkStart w:id="430" w:name="_Toc389065279"/>
      <w:bookmarkStart w:id="431" w:name="_Toc373227713"/>
      <w:r>
        <w:rPr>
          <w:rFonts w:hint="eastAsia" w:ascii="宋体" w:hAnsi="宋体" w:cs="宋体"/>
          <w:color w:val="auto"/>
          <w:sz w:val="24"/>
          <w:szCs w:val="24"/>
          <w:highlight w:val="none"/>
        </w:rPr>
        <w:t>承包人提供履约担保的形式、金额及期限的：</w:t>
      </w:r>
      <w:r>
        <w:rPr>
          <w:rFonts w:hint="eastAsia" w:ascii="宋体" w:hAnsi="宋体" w:cs="宋体"/>
          <w:color w:val="auto"/>
          <w:sz w:val="24"/>
          <w:szCs w:val="24"/>
          <w:highlight w:val="none"/>
          <w:u w:val="single"/>
          <w:lang w:val="en-US" w:eastAsia="zh-CN"/>
        </w:rPr>
        <w:t>无</w:t>
      </w:r>
      <w:r>
        <w:rPr>
          <w:rFonts w:hint="eastAsia" w:ascii="宋体" w:hAnsi="宋体" w:cs="宋体"/>
          <w:color w:val="auto"/>
          <w:sz w:val="24"/>
          <w:szCs w:val="24"/>
          <w:highlight w:val="none"/>
          <w:u w:val="single"/>
        </w:rPr>
        <w:t>。</w:t>
      </w:r>
    </w:p>
    <w:p w14:paraId="0E7BB9D8">
      <w:pPr>
        <w:keepNext/>
        <w:keepLines/>
        <w:spacing w:before="120" w:after="120" w:line="440" w:lineRule="exact"/>
        <w:outlineLvl w:val="1"/>
        <w:rPr>
          <w:rFonts w:ascii="宋体" w:hAnsi="宋体" w:cs="宋体"/>
          <w:b/>
          <w:bCs/>
          <w:color w:val="auto"/>
          <w:sz w:val="24"/>
          <w:szCs w:val="24"/>
          <w:highlight w:val="none"/>
        </w:rPr>
      </w:pPr>
      <w:bookmarkStart w:id="432" w:name="_Toc51599569"/>
      <w:bookmarkStart w:id="433" w:name="_Toc487632712"/>
      <w:bookmarkStart w:id="434" w:name="_Toc407135215"/>
      <w:r>
        <w:rPr>
          <w:rFonts w:hint="eastAsia" w:ascii="宋体" w:hAnsi="宋体" w:cs="宋体"/>
          <w:b/>
          <w:bCs/>
          <w:color w:val="auto"/>
          <w:sz w:val="24"/>
          <w:szCs w:val="24"/>
          <w:highlight w:val="none"/>
        </w:rPr>
        <w:t>4</w:t>
      </w:r>
      <w:bookmarkStart w:id="435" w:name="_Toc296891202"/>
      <w:bookmarkStart w:id="436" w:name="_Toc296347161"/>
      <w:bookmarkStart w:id="437" w:name="_Toc267251413"/>
      <w:bookmarkStart w:id="438" w:name="_Toc296890990"/>
      <w:bookmarkStart w:id="439" w:name="_Toc296346663"/>
      <w:bookmarkStart w:id="440" w:name="_Toc296944501"/>
      <w:bookmarkStart w:id="441" w:name="_Toc297048348"/>
      <w:bookmarkStart w:id="442" w:name="_Toc297120462"/>
      <w:bookmarkStart w:id="443" w:name="_Toc292559871"/>
      <w:bookmarkStart w:id="444" w:name="_Toc292559366"/>
      <w:bookmarkStart w:id="445" w:name="_Toc296503162"/>
      <w:r>
        <w:rPr>
          <w:rFonts w:hint="eastAsia" w:ascii="宋体" w:hAnsi="宋体" w:cs="宋体"/>
          <w:b/>
          <w:bCs/>
          <w:color w:val="auto"/>
          <w:sz w:val="24"/>
          <w:szCs w:val="24"/>
          <w:highlight w:val="none"/>
        </w:rPr>
        <w:t>. 监</w:t>
      </w:r>
      <w:bookmarkEnd w:id="435"/>
      <w:bookmarkEnd w:id="436"/>
      <w:bookmarkEnd w:id="437"/>
      <w:bookmarkEnd w:id="438"/>
      <w:bookmarkEnd w:id="439"/>
      <w:bookmarkEnd w:id="440"/>
      <w:bookmarkEnd w:id="441"/>
      <w:bookmarkEnd w:id="442"/>
      <w:bookmarkEnd w:id="443"/>
      <w:bookmarkEnd w:id="444"/>
      <w:bookmarkEnd w:id="445"/>
      <w:r>
        <w:rPr>
          <w:rFonts w:hint="eastAsia" w:ascii="宋体" w:hAnsi="宋体" w:cs="宋体"/>
          <w:b/>
          <w:bCs/>
          <w:color w:val="auto"/>
          <w:sz w:val="24"/>
          <w:szCs w:val="24"/>
          <w:highlight w:val="none"/>
        </w:rPr>
        <w:t>理人</w:t>
      </w:r>
      <w:bookmarkEnd w:id="428"/>
      <w:bookmarkEnd w:id="429"/>
      <w:bookmarkEnd w:id="430"/>
      <w:bookmarkEnd w:id="431"/>
      <w:bookmarkEnd w:id="432"/>
      <w:bookmarkEnd w:id="433"/>
      <w:bookmarkEnd w:id="434"/>
    </w:p>
    <w:p w14:paraId="791220FD">
      <w:pPr>
        <w:keepNext/>
        <w:keepLines/>
        <w:spacing w:before="120" w:after="120" w:line="440" w:lineRule="exact"/>
        <w:outlineLvl w:val="2"/>
        <w:rPr>
          <w:rFonts w:ascii="宋体" w:hAnsi="宋体" w:cs="宋体"/>
          <w:b/>
          <w:bCs/>
          <w:color w:val="auto"/>
          <w:sz w:val="24"/>
          <w:szCs w:val="24"/>
          <w:highlight w:val="none"/>
        </w:rPr>
      </w:pPr>
      <w:bookmarkStart w:id="446" w:name="_Toc373478361"/>
      <w:bookmarkStart w:id="447" w:name="_Toc389065280"/>
      <w:bookmarkStart w:id="448" w:name="_Toc407135216"/>
      <w:bookmarkStart w:id="449" w:name="_Toc373227714"/>
      <w:bookmarkStart w:id="450" w:name="_Toc51599570"/>
      <w:bookmarkStart w:id="451" w:name="_Toc487632713"/>
      <w:r>
        <w:rPr>
          <w:rFonts w:hint="eastAsia" w:ascii="宋体" w:hAnsi="宋体" w:cs="宋体"/>
          <w:b/>
          <w:bCs/>
          <w:color w:val="auto"/>
          <w:sz w:val="24"/>
          <w:szCs w:val="24"/>
          <w:highlight w:val="none"/>
        </w:rPr>
        <w:t>4.1 监理人的一般规定</w:t>
      </w:r>
      <w:bookmarkEnd w:id="446"/>
      <w:bookmarkEnd w:id="447"/>
      <w:bookmarkEnd w:id="448"/>
      <w:bookmarkEnd w:id="449"/>
      <w:bookmarkEnd w:id="450"/>
      <w:bookmarkEnd w:id="451"/>
    </w:p>
    <w:p w14:paraId="56AF225C">
      <w:pPr>
        <w:spacing w:line="440" w:lineRule="exact"/>
        <w:ind w:firstLine="480" w:firstLineChars="200"/>
        <w:rPr>
          <w:rFonts w:ascii="宋体" w:hAnsi="宋体" w:cs="宋体"/>
          <w:color w:val="auto"/>
          <w:sz w:val="24"/>
          <w:szCs w:val="24"/>
          <w:highlight w:val="none"/>
        </w:rPr>
      </w:pPr>
      <w:bookmarkStart w:id="452" w:name="_Toc487632714"/>
      <w:bookmarkStart w:id="453" w:name="_Toc407135217"/>
      <w:bookmarkStart w:id="454" w:name="_Toc389065281"/>
      <w:bookmarkStart w:id="455" w:name="_Toc373478362"/>
      <w:bookmarkStart w:id="456" w:name="_Toc373227715"/>
      <w:r>
        <w:rPr>
          <w:rFonts w:hint="eastAsia" w:ascii="宋体" w:hAnsi="宋体" w:cs="宋体"/>
          <w:color w:val="auto"/>
          <w:sz w:val="24"/>
          <w:szCs w:val="24"/>
          <w:highlight w:val="none"/>
        </w:rPr>
        <w:t>关于监理人的监理内容：</w:t>
      </w:r>
      <w:r>
        <w:rPr>
          <w:rFonts w:hint="eastAsia" w:ascii="宋体" w:hAnsi="宋体" w:cs="宋体"/>
          <w:color w:val="auto"/>
          <w:sz w:val="24"/>
          <w:szCs w:val="24"/>
          <w:highlight w:val="none"/>
          <w:u w:val="single"/>
        </w:rPr>
        <w:t xml:space="preserve">图纸或工程量清单范围内的全部内容（包括设计变更）  </w:t>
      </w:r>
      <w:r>
        <w:rPr>
          <w:rFonts w:hint="eastAsia" w:ascii="宋体" w:hAnsi="宋体" w:cs="宋体"/>
          <w:color w:val="auto"/>
          <w:sz w:val="24"/>
          <w:szCs w:val="24"/>
          <w:highlight w:val="none"/>
        </w:rPr>
        <w:t>。</w:t>
      </w:r>
    </w:p>
    <w:p w14:paraId="6829475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关于监理人的监理权限：</w:t>
      </w:r>
      <w:r>
        <w:rPr>
          <w:rFonts w:hint="eastAsia" w:ascii="宋体" w:hAnsi="宋体" w:cs="宋体"/>
          <w:color w:val="auto"/>
          <w:sz w:val="24"/>
          <w:szCs w:val="24"/>
          <w:highlight w:val="none"/>
          <w:u w:val="single"/>
        </w:rPr>
        <w:t xml:space="preserve">  按监理合同约定    </w:t>
      </w:r>
      <w:r>
        <w:rPr>
          <w:rFonts w:hint="eastAsia" w:ascii="宋体" w:hAnsi="宋体" w:cs="宋体"/>
          <w:color w:val="auto"/>
          <w:sz w:val="24"/>
          <w:szCs w:val="24"/>
          <w:highlight w:val="none"/>
        </w:rPr>
        <w:t xml:space="preserve">。 </w:t>
      </w:r>
    </w:p>
    <w:p w14:paraId="6D6174C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关于监理人在施工现场的办公场所、生活场所的提供和费用承担的约定：</w:t>
      </w:r>
      <w:r>
        <w:rPr>
          <w:rFonts w:hint="eastAsia" w:ascii="宋体" w:hAnsi="宋体" w:cs="宋体"/>
          <w:color w:val="auto"/>
          <w:sz w:val="24"/>
          <w:szCs w:val="24"/>
          <w:highlight w:val="none"/>
          <w:u w:val="single"/>
        </w:rPr>
        <w:t xml:space="preserve">由承包人承担，承包人投标报价时综合考虑此项费用  </w:t>
      </w:r>
      <w:r>
        <w:rPr>
          <w:rFonts w:hint="eastAsia" w:ascii="宋体" w:hAnsi="宋体" w:cs="宋体"/>
          <w:color w:val="auto"/>
          <w:sz w:val="24"/>
          <w:szCs w:val="24"/>
          <w:highlight w:val="none"/>
        </w:rPr>
        <w:t>。</w:t>
      </w:r>
    </w:p>
    <w:p w14:paraId="628CA51F">
      <w:pPr>
        <w:keepNext/>
        <w:keepLines/>
        <w:spacing w:before="120" w:after="120" w:line="440" w:lineRule="exact"/>
        <w:outlineLvl w:val="2"/>
        <w:rPr>
          <w:rFonts w:ascii="宋体" w:hAnsi="宋体" w:cs="宋体"/>
          <w:b/>
          <w:bCs/>
          <w:color w:val="auto"/>
          <w:sz w:val="24"/>
          <w:szCs w:val="24"/>
          <w:highlight w:val="none"/>
        </w:rPr>
      </w:pPr>
      <w:bookmarkStart w:id="457" w:name="_Toc51599571"/>
      <w:r>
        <w:rPr>
          <w:rFonts w:hint="eastAsia" w:ascii="宋体" w:hAnsi="宋体" w:cs="宋体"/>
          <w:b/>
          <w:bCs/>
          <w:color w:val="auto"/>
          <w:sz w:val="24"/>
          <w:szCs w:val="24"/>
          <w:highlight w:val="none"/>
        </w:rPr>
        <w:t>4.2 监理人员</w:t>
      </w:r>
      <w:bookmarkEnd w:id="452"/>
      <w:bookmarkEnd w:id="453"/>
      <w:bookmarkEnd w:id="454"/>
      <w:bookmarkEnd w:id="455"/>
      <w:bookmarkEnd w:id="456"/>
      <w:bookmarkEnd w:id="457"/>
    </w:p>
    <w:p w14:paraId="45A3BAB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关于监理人的其他约定：</w:t>
      </w:r>
      <w:r>
        <w:rPr>
          <w:rFonts w:hint="eastAsia" w:ascii="宋体" w:hAnsi="宋体" w:cs="宋体"/>
          <w:color w:val="auto"/>
          <w:sz w:val="24"/>
          <w:szCs w:val="24"/>
          <w:highlight w:val="none"/>
          <w:u w:val="single"/>
        </w:rPr>
        <w:t>协助发包人做好施工现场的协调工作</w:t>
      </w:r>
      <w:r>
        <w:rPr>
          <w:rFonts w:hint="eastAsia" w:ascii="宋体" w:hAnsi="宋体" w:cs="宋体"/>
          <w:color w:val="auto"/>
          <w:sz w:val="24"/>
          <w:szCs w:val="24"/>
          <w:highlight w:val="none"/>
        </w:rPr>
        <w:t>。</w:t>
      </w:r>
    </w:p>
    <w:p w14:paraId="2964B533">
      <w:pPr>
        <w:keepNext/>
        <w:keepLines/>
        <w:spacing w:before="120" w:after="120" w:line="440" w:lineRule="exact"/>
        <w:outlineLvl w:val="2"/>
        <w:rPr>
          <w:rFonts w:ascii="宋体" w:hAnsi="宋体" w:cs="宋体"/>
          <w:b/>
          <w:bCs/>
          <w:color w:val="auto"/>
          <w:sz w:val="24"/>
          <w:szCs w:val="24"/>
          <w:highlight w:val="none"/>
        </w:rPr>
      </w:pPr>
      <w:bookmarkStart w:id="458" w:name="_Toc487632715"/>
      <w:bookmarkStart w:id="459" w:name="_Toc389065282"/>
      <w:bookmarkStart w:id="460" w:name="_Toc373227716"/>
      <w:bookmarkStart w:id="461" w:name="_Toc373478363"/>
      <w:bookmarkStart w:id="462" w:name="_Toc407135218"/>
      <w:bookmarkStart w:id="463" w:name="_Toc51599572"/>
      <w:r>
        <w:rPr>
          <w:rFonts w:hint="eastAsia" w:ascii="宋体" w:hAnsi="宋体" w:cs="宋体"/>
          <w:b/>
          <w:bCs/>
          <w:color w:val="auto"/>
          <w:sz w:val="24"/>
          <w:szCs w:val="24"/>
          <w:highlight w:val="none"/>
        </w:rPr>
        <w:t>4.4 商定或确定</w:t>
      </w:r>
      <w:bookmarkEnd w:id="458"/>
      <w:bookmarkEnd w:id="459"/>
      <w:bookmarkEnd w:id="460"/>
      <w:bookmarkEnd w:id="461"/>
      <w:bookmarkEnd w:id="462"/>
      <w:bookmarkEnd w:id="463"/>
    </w:p>
    <w:p w14:paraId="665F4F45">
      <w:pPr>
        <w:spacing w:line="440" w:lineRule="exact"/>
        <w:ind w:firstLine="480" w:firstLineChars="200"/>
        <w:rPr>
          <w:rFonts w:ascii="宋体" w:hAnsi="宋体" w:cs="宋体"/>
          <w:color w:val="auto"/>
          <w:sz w:val="24"/>
          <w:szCs w:val="24"/>
          <w:highlight w:val="none"/>
        </w:rPr>
      </w:pPr>
      <w:bookmarkStart w:id="464" w:name="_Toc267251418"/>
      <w:r>
        <w:rPr>
          <w:rFonts w:hint="eastAsia" w:ascii="宋体" w:hAnsi="宋体" w:cs="宋体"/>
          <w:color w:val="auto"/>
          <w:sz w:val="24"/>
          <w:szCs w:val="24"/>
          <w:highlight w:val="none"/>
        </w:rPr>
        <w:t>在发包人和承包人不能通过协商达成一致意见时，发包人授权监理人对以下事项进行确定：</w:t>
      </w:r>
    </w:p>
    <w:p w14:paraId="67BC111C">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5A23B2C">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E0FD69A">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0759AEE">
      <w:pPr>
        <w:keepNext/>
        <w:keepLines/>
        <w:spacing w:before="120" w:after="120" w:line="440" w:lineRule="exact"/>
        <w:outlineLvl w:val="1"/>
        <w:rPr>
          <w:rFonts w:ascii="宋体" w:hAnsi="宋体" w:cs="宋体"/>
          <w:b/>
          <w:bCs/>
          <w:color w:val="auto"/>
          <w:sz w:val="24"/>
          <w:szCs w:val="24"/>
          <w:highlight w:val="none"/>
        </w:rPr>
      </w:pPr>
      <w:bookmarkStart w:id="465" w:name="_Toc407135219"/>
      <w:bookmarkStart w:id="466" w:name="_Toc487632716"/>
      <w:bookmarkStart w:id="467" w:name="_Toc51599573"/>
      <w:bookmarkStart w:id="468" w:name="_Toc351203637"/>
      <w:bookmarkStart w:id="469" w:name="_Toc389065283"/>
      <w:bookmarkStart w:id="470" w:name="_Toc373478364"/>
      <w:bookmarkStart w:id="471" w:name="_Toc373227717"/>
      <w:r>
        <w:rPr>
          <w:rFonts w:hint="eastAsia" w:ascii="宋体" w:hAnsi="宋体" w:cs="宋体"/>
          <w:b/>
          <w:bCs/>
          <w:color w:val="auto"/>
          <w:sz w:val="24"/>
          <w:szCs w:val="24"/>
          <w:highlight w:val="none"/>
        </w:rPr>
        <w:t>5</w:t>
      </w:r>
      <w:bookmarkEnd w:id="464"/>
      <w:bookmarkStart w:id="472" w:name="_Toc296347162"/>
      <w:bookmarkStart w:id="473" w:name="_Toc297048349"/>
      <w:bookmarkStart w:id="474" w:name="_Toc296503163"/>
      <w:bookmarkStart w:id="475" w:name="_Toc296891203"/>
      <w:bookmarkStart w:id="476" w:name="_Toc292559367"/>
      <w:bookmarkStart w:id="477" w:name="_Toc296890991"/>
      <w:bookmarkStart w:id="478" w:name="_Toc296346664"/>
      <w:bookmarkStart w:id="479" w:name="_Toc297120463"/>
      <w:bookmarkStart w:id="480" w:name="_Toc296944502"/>
      <w:bookmarkStart w:id="481" w:name="_Toc292559872"/>
      <w:r>
        <w:rPr>
          <w:rFonts w:hint="eastAsia" w:ascii="宋体" w:hAnsi="宋体" w:cs="宋体"/>
          <w:b/>
          <w:bCs/>
          <w:color w:val="auto"/>
          <w:sz w:val="24"/>
          <w:szCs w:val="24"/>
          <w:highlight w:val="none"/>
        </w:rPr>
        <w:t>. 工程质量</w:t>
      </w:r>
      <w:bookmarkEnd w:id="465"/>
      <w:bookmarkEnd w:id="466"/>
      <w:bookmarkEnd w:id="467"/>
      <w:bookmarkEnd w:id="468"/>
      <w:bookmarkEnd w:id="469"/>
      <w:bookmarkEnd w:id="470"/>
      <w:bookmarkEnd w:id="471"/>
    </w:p>
    <w:p w14:paraId="19FAD361">
      <w:pPr>
        <w:keepNext/>
        <w:keepLines/>
        <w:spacing w:before="120" w:after="120" w:line="440" w:lineRule="exact"/>
        <w:outlineLvl w:val="2"/>
        <w:rPr>
          <w:rFonts w:ascii="宋体" w:hAnsi="宋体" w:cs="宋体"/>
          <w:b/>
          <w:bCs/>
          <w:color w:val="auto"/>
          <w:sz w:val="24"/>
          <w:szCs w:val="24"/>
          <w:highlight w:val="none"/>
        </w:rPr>
      </w:pPr>
      <w:bookmarkStart w:id="482" w:name="_Toc487632717"/>
      <w:bookmarkStart w:id="483" w:name="_Toc389065284"/>
      <w:bookmarkStart w:id="484" w:name="_Toc373227718"/>
      <w:bookmarkStart w:id="485" w:name="_Toc407135220"/>
      <w:bookmarkStart w:id="486" w:name="_Toc51599574"/>
      <w:bookmarkStart w:id="487" w:name="_Toc373478365"/>
      <w:r>
        <w:rPr>
          <w:rFonts w:hint="eastAsia" w:ascii="宋体" w:hAnsi="宋体" w:cs="宋体"/>
          <w:b/>
          <w:bCs/>
          <w:color w:val="auto"/>
          <w:sz w:val="24"/>
          <w:szCs w:val="24"/>
          <w:highlight w:val="none"/>
        </w:rPr>
        <w:t>5.1 质量要求</w:t>
      </w:r>
      <w:bookmarkEnd w:id="482"/>
      <w:bookmarkEnd w:id="483"/>
      <w:bookmarkEnd w:id="484"/>
      <w:bookmarkEnd w:id="485"/>
      <w:bookmarkEnd w:id="486"/>
      <w:bookmarkEnd w:id="487"/>
    </w:p>
    <w:p w14:paraId="29068255">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5</w:t>
      </w:r>
      <w:bookmarkStart w:id="488" w:name="_Toc303539106"/>
      <w:bookmarkStart w:id="489" w:name="_Toc300934949"/>
      <w:bookmarkStart w:id="490" w:name="_Toc312677997"/>
      <w:bookmarkStart w:id="491" w:name="_Toc297123496"/>
      <w:bookmarkStart w:id="492" w:name="_Toc318581164"/>
      <w:bookmarkStart w:id="493" w:name="_Toc304295527"/>
      <w:bookmarkStart w:id="494" w:name="_Toc297216155"/>
      <w:r>
        <w:rPr>
          <w:rFonts w:hint="eastAsia" w:ascii="宋体" w:hAnsi="宋体" w:cs="宋体"/>
          <w:color w:val="auto"/>
          <w:sz w:val="24"/>
          <w:szCs w:val="24"/>
          <w:highlight w:val="none"/>
        </w:rPr>
        <w:t>.1.1 特殊质量标准和要求：</w:t>
      </w:r>
      <w:r>
        <w:rPr>
          <w:rFonts w:hint="eastAsia" w:ascii="宋体" w:hAnsi="宋体" w:cs="宋体"/>
          <w:color w:val="auto"/>
          <w:sz w:val="24"/>
          <w:szCs w:val="24"/>
          <w:highlight w:val="none"/>
          <w:u w:val="single"/>
        </w:rPr>
        <w:t xml:space="preserve">  符合验收标准的合格要求             </w:t>
      </w:r>
      <w:r>
        <w:rPr>
          <w:rFonts w:hint="eastAsia" w:ascii="宋体" w:hAnsi="宋体" w:cs="宋体"/>
          <w:color w:val="auto"/>
          <w:sz w:val="24"/>
          <w:szCs w:val="24"/>
          <w:highlight w:val="none"/>
        </w:rPr>
        <w:t>。</w:t>
      </w:r>
    </w:p>
    <w:p w14:paraId="69811E9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关于工程奖项的约定：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59F9993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5.3 隐蔽工程检查</w:t>
      </w:r>
    </w:p>
    <w:p w14:paraId="551EAE17">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5.3.2承包人提前通知监理人隐蔽工程检查的期限的约定：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04EEFD6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监理人不能按时进行检查时，应提前</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小时提交书面延期要求。</w:t>
      </w:r>
    </w:p>
    <w:p w14:paraId="431F3AD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48    </w:t>
      </w:r>
      <w:r>
        <w:rPr>
          <w:rFonts w:hint="eastAsia" w:ascii="宋体" w:hAnsi="宋体" w:cs="宋体"/>
          <w:color w:val="auto"/>
          <w:sz w:val="24"/>
          <w:szCs w:val="24"/>
          <w:highlight w:val="none"/>
        </w:rPr>
        <w:t>小时。</w:t>
      </w:r>
    </w:p>
    <w:p w14:paraId="67D951F2">
      <w:pPr>
        <w:keepNext/>
        <w:keepLines/>
        <w:spacing w:before="120" w:after="120" w:line="440" w:lineRule="exact"/>
        <w:outlineLvl w:val="1"/>
        <w:rPr>
          <w:rFonts w:ascii="宋体" w:hAnsi="宋体" w:cs="宋体"/>
          <w:b/>
          <w:bCs/>
          <w:color w:val="auto"/>
          <w:sz w:val="24"/>
          <w:szCs w:val="24"/>
          <w:highlight w:val="none"/>
        </w:rPr>
      </w:pPr>
      <w:bookmarkStart w:id="495" w:name="_Toc51599575"/>
      <w:bookmarkStart w:id="496" w:name="_Toc389065285"/>
      <w:bookmarkStart w:id="497" w:name="_Toc373478366"/>
      <w:bookmarkStart w:id="498" w:name="_Toc373227719"/>
      <w:bookmarkStart w:id="499" w:name="_Toc487632718"/>
      <w:bookmarkStart w:id="500" w:name="_Toc407135221"/>
      <w:bookmarkStart w:id="501" w:name="_Toc351203638"/>
      <w:r>
        <w:rPr>
          <w:rFonts w:hint="eastAsia" w:ascii="宋体" w:hAnsi="宋体" w:cs="宋体"/>
          <w:b/>
          <w:bCs/>
          <w:color w:val="auto"/>
          <w:sz w:val="24"/>
          <w:szCs w:val="24"/>
          <w:highlight w:val="none"/>
        </w:rPr>
        <w:t>6. 安全文明施工与环境保护</w:t>
      </w:r>
      <w:bookmarkEnd w:id="495"/>
      <w:bookmarkEnd w:id="496"/>
      <w:bookmarkEnd w:id="497"/>
      <w:bookmarkEnd w:id="498"/>
      <w:bookmarkEnd w:id="499"/>
      <w:bookmarkEnd w:id="500"/>
      <w:bookmarkEnd w:id="501"/>
    </w:p>
    <w:p w14:paraId="4A8BD001">
      <w:pPr>
        <w:keepNext/>
        <w:keepLines/>
        <w:spacing w:before="120" w:after="120" w:line="440" w:lineRule="exact"/>
        <w:outlineLvl w:val="2"/>
        <w:rPr>
          <w:rFonts w:ascii="宋体" w:hAnsi="宋体" w:cs="宋体"/>
          <w:b/>
          <w:bCs/>
          <w:color w:val="auto"/>
          <w:sz w:val="24"/>
          <w:szCs w:val="24"/>
          <w:highlight w:val="none"/>
        </w:rPr>
      </w:pPr>
      <w:bookmarkStart w:id="502" w:name="_Toc407135222"/>
      <w:bookmarkStart w:id="503" w:name="_Toc373478367"/>
      <w:bookmarkStart w:id="504" w:name="_Toc373227720"/>
      <w:bookmarkStart w:id="505" w:name="_Toc51599576"/>
      <w:bookmarkStart w:id="506" w:name="_Toc389065286"/>
      <w:bookmarkStart w:id="507" w:name="_Toc487632719"/>
      <w:r>
        <w:rPr>
          <w:rFonts w:hint="eastAsia" w:ascii="宋体" w:hAnsi="宋体" w:cs="宋体"/>
          <w:b/>
          <w:bCs/>
          <w:color w:val="auto"/>
          <w:sz w:val="24"/>
          <w:szCs w:val="24"/>
          <w:highlight w:val="none"/>
        </w:rPr>
        <w:t>6.1 安全文明施工</w:t>
      </w:r>
      <w:bookmarkEnd w:id="502"/>
      <w:bookmarkEnd w:id="503"/>
      <w:bookmarkEnd w:id="504"/>
      <w:bookmarkEnd w:id="505"/>
      <w:bookmarkEnd w:id="506"/>
      <w:bookmarkEnd w:id="507"/>
    </w:p>
    <w:p w14:paraId="10CB269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6.1.1 项目安全生产的达标目标及相应事项的约定：</w:t>
      </w:r>
      <w:r>
        <w:rPr>
          <w:rFonts w:hint="eastAsia" w:ascii="宋体" w:hAnsi="宋体" w:cs="宋体"/>
          <w:color w:val="auto"/>
          <w:sz w:val="24"/>
          <w:szCs w:val="24"/>
          <w:highlight w:val="none"/>
          <w:u w:val="single"/>
        </w:rPr>
        <w:t>符合安全文明施工工地标准，配备消防设备（符合消防安全规定），防止火灾发生，费用由承包人承担。承包人承担一切由于自身安全措施不力而造成的安全事故责任及因此而发生的费用</w:t>
      </w:r>
      <w:r>
        <w:rPr>
          <w:rFonts w:hint="eastAsia" w:ascii="宋体" w:hAnsi="宋体" w:cs="宋体"/>
          <w:color w:val="auto"/>
          <w:sz w:val="24"/>
          <w:szCs w:val="24"/>
          <w:highlight w:val="none"/>
        </w:rPr>
        <w:t>。</w:t>
      </w:r>
    </w:p>
    <w:p w14:paraId="64EA61D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关于安全文明施工奖项的约定：</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392EDB60">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6.1.4 关于治安保卫的特别约定：</w:t>
      </w:r>
      <w:r>
        <w:rPr>
          <w:rFonts w:hint="eastAsia" w:ascii="宋体" w:hAnsi="宋体" w:cs="宋体"/>
          <w:color w:val="auto"/>
          <w:sz w:val="24"/>
          <w:szCs w:val="24"/>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6B16A7A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关于编制施工场地治安管理计划的约定：</w:t>
      </w:r>
      <w:r>
        <w:rPr>
          <w:rFonts w:hint="eastAsia" w:ascii="宋体" w:hAnsi="宋体" w:cs="宋体"/>
          <w:color w:val="auto"/>
          <w:sz w:val="24"/>
          <w:szCs w:val="24"/>
          <w:highlight w:val="none"/>
          <w:u w:val="single"/>
        </w:rPr>
        <w:t xml:space="preserve">   由承包人负责编制和办理报批手续    </w:t>
      </w:r>
      <w:r>
        <w:rPr>
          <w:rFonts w:hint="eastAsia" w:ascii="宋体" w:hAnsi="宋体" w:cs="宋体"/>
          <w:color w:val="auto"/>
          <w:sz w:val="24"/>
          <w:szCs w:val="24"/>
          <w:highlight w:val="none"/>
        </w:rPr>
        <w:t>。</w:t>
      </w:r>
    </w:p>
    <w:p w14:paraId="5991161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6.1.5 文明施工</w:t>
      </w:r>
    </w:p>
    <w:p w14:paraId="5C095E85">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合同当事人对文明施工的要求：</w:t>
      </w:r>
      <w:r>
        <w:rPr>
          <w:rFonts w:hint="eastAsia" w:ascii="宋体" w:hAnsi="宋体" w:cs="宋体"/>
          <w:color w:val="auto"/>
          <w:sz w:val="24"/>
          <w:szCs w:val="24"/>
          <w:highlight w:val="none"/>
          <w:u w:val="single"/>
        </w:rPr>
        <w:t>1、承包人在施工过程中，应遵守有关环境保护的法律，履行合同约定的环境保护义务，并对违反法律和合同约定义务所造成的环境破坏、人身伤害和财产损失负责。</w:t>
      </w:r>
    </w:p>
    <w:p w14:paraId="0176E945">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2、承包人应编制施工环保措施计划，报送监理人审批，其中所编制施工环保措施的实施标准不得低于承包人投标文件中相应措施的计划标准。</w:t>
      </w:r>
    </w:p>
    <w:p w14:paraId="0389075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3、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19D452C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4、承包人应加强对噪声、粉尘、废气、废水和废油的控制，努力降低噪声，控制粉尘和废气浓度，做好废水和废油的治理和排放。因承包人原因造成的处罚由承包人负责   </w:t>
      </w:r>
      <w:r>
        <w:rPr>
          <w:rFonts w:hint="eastAsia" w:ascii="宋体" w:hAnsi="宋体" w:cs="宋体"/>
          <w:color w:val="auto"/>
          <w:sz w:val="24"/>
          <w:szCs w:val="24"/>
          <w:highlight w:val="none"/>
        </w:rPr>
        <w:t>。</w:t>
      </w:r>
    </w:p>
    <w:p w14:paraId="070373E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6.1.6 关于安全文明施工费支付比例和支付期限的约定：</w:t>
      </w:r>
    </w:p>
    <w:p w14:paraId="5FEA75F3">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（1）本合同价款已包含安全文明施工费。</w:t>
      </w:r>
    </w:p>
    <w:p w14:paraId="1F878DE9">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（2）使用要求：专款专用。具体按</w:t>
      </w:r>
      <w:r>
        <w:rPr>
          <w:rFonts w:hint="eastAsia" w:ascii="宋体" w:hAnsi="宋体" w:cs="宋体"/>
          <w:color w:val="auto"/>
          <w:kern w:val="0"/>
          <w:sz w:val="24"/>
          <w:szCs w:val="24"/>
          <w:highlight w:val="none"/>
          <w:u w:val="single"/>
        </w:rPr>
        <w:t>《广西壮族自治区建设工程安全文明施工费使用管理细则》（桂建质〔2015〕16号）</w:t>
      </w:r>
      <w:r>
        <w:rPr>
          <w:rFonts w:hint="eastAsia" w:ascii="宋体" w:hAnsi="宋体" w:cs="宋体"/>
          <w:color w:val="auto"/>
          <w:kern w:val="0"/>
          <w:sz w:val="24"/>
          <w:szCs w:val="24"/>
          <w:highlight w:val="none"/>
        </w:rPr>
        <w:t>和</w:t>
      </w:r>
      <w:r>
        <w:rPr>
          <w:rFonts w:hint="eastAsia" w:ascii="宋体" w:hAnsi="宋体" w:cs="宋体"/>
          <w:color w:val="auto"/>
          <w:kern w:val="0"/>
          <w:sz w:val="24"/>
          <w:szCs w:val="24"/>
          <w:highlight w:val="none"/>
          <w:u w:val="single"/>
        </w:rPr>
        <w:t xml:space="preserve">    梧州   </w:t>
      </w:r>
      <w:r>
        <w:rPr>
          <w:rFonts w:hint="eastAsia" w:ascii="宋体" w:hAnsi="宋体" w:cs="宋体"/>
          <w:color w:val="auto"/>
          <w:kern w:val="0"/>
          <w:sz w:val="24"/>
          <w:szCs w:val="24"/>
          <w:highlight w:val="none"/>
        </w:rPr>
        <w:t>市相关规定执行。</w:t>
      </w:r>
    </w:p>
    <w:p w14:paraId="721051DD">
      <w:pPr>
        <w:keepNext/>
        <w:keepLines/>
        <w:spacing w:before="120" w:after="120" w:line="440" w:lineRule="exact"/>
        <w:outlineLvl w:val="2"/>
        <w:rPr>
          <w:rFonts w:ascii="宋体" w:hAnsi="宋体" w:cs="宋体"/>
          <w:b/>
          <w:bCs/>
          <w:color w:val="auto"/>
          <w:sz w:val="24"/>
          <w:szCs w:val="24"/>
          <w:highlight w:val="none"/>
        </w:rPr>
      </w:pPr>
      <w:bookmarkStart w:id="508" w:name="_Toc407135223"/>
      <w:bookmarkStart w:id="509" w:name="_Toc373478368"/>
      <w:bookmarkStart w:id="510" w:name="_Toc51599577"/>
      <w:bookmarkStart w:id="511" w:name="_Toc487632720"/>
      <w:bookmarkStart w:id="512" w:name="_Toc373227721"/>
      <w:bookmarkStart w:id="513" w:name="_Toc389065287"/>
      <w:r>
        <w:rPr>
          <w:rFonts w:hint="eastAsia" w:ascii="宋体" w:hAnsi="宋体" w:cs="宋体"/>
          <w:b/>
          <w:bCs/>
          <w:color w:val="auto"/>
          <w:sz w:val="24"/>
          <w:szCs w:val="24"/>
          <w:highlight w:val="none"/>
        </w:rPr>
        <w:t>6.3 环境保护</w:t>
      </w:r>
      <w:bookmarkEnd w:id="508"/>
      <w:bookmarkEnd w:id="509"/>
      <w:bookmarkEnd w:id="510"/>
      <w:bookmarkEnd w:id="511"/>
      <w:bookmarkEnd w:id="512"/>
      <w:bookmarkEnd w:id="513"/>
    </w:p>
    <w:p w14:paraId="5BBCEE2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因施工需要，经发包人批准，由承包人办理有关施工场地交通、环卫和施工噪音管理等手续，费用由承包人负责。</w:t>
      </w:r>
    </w:p>
    <w:p w14:paraId="4056368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经过城市道路的施工车辆，必须按交警、城管、运输等部门相关规定执行。由于施工车辆造成的道路、环境等污染，其责任和费用均由承包人承担。</w:t>
      </w:r>
    </w:p>
    <w:bookmarkEnd w:id="488"/>
    <w:bookmarkEnd w:id="489"/>
    <w:bookmarkEnd w:id="490"/>
    <w:bookmarkEnd w:id="491"/>
    <w:bookmarkEnd w:id="492"/>
    <w:bookmarkEnd w:id="493"/>
    <w:bookmarkEnd w:id="494"/>
    <w:p w14:paraId="7D084D12">
      <w:pPr>
        <w:keepNext/>
        <w:keepLines/>
        <w:spacing w:before="120" w:after="120" w:line="440" w:lineRule="exact"/>
        <w:outlineLvl w:val="1"/>
        <w:rPr>
          <w:rFonts w:ascii="宋体" w:hAnsi="宋体" w:cs="宋体"/>
          <w:b/>
          <w:bCs/>
          <w:color w:val="auto"/>
          <w:sz w:val="24"/>
          <w:szCs w:val="24"/>
          <w:highlight w:val="none"/>
        </w:rPr>
      </w:pPr>
      <w:bookmarkStart w:id="514" w:name="_Toc51599578"/>
      <w:bookmarkStart w:id="515" w:name="_Toc373478369"/>
      <w:bookmarkStart w:id="516" w:name="_Toc407135224"/>
      <w:bookmarkStart w:id="517" w:name="_Toc373227722"/>
      <w:bookmarkStart w:id="518" w:name="_Toc351203639"/>
      <w:bookmarkStart w:id="519" w:name="_Toc487632721"/>
      <w:bookmarkStart w:id="520" w:name="_Toc389065288"/>
      <w:r>
        <w:rPr>
          <w:rFonts w:hint="eastAsia" w:ascii="宋体" w:hAnsi="宋体" w:cs="宋体"/>
          <w:b/>
          <w:bCs/>
          <w:color w:val="auto"/>
          <w:sz w:val="24"/>
          <w:szCs w:val="24"/>
          <w:highlight w:val="none"/>
        </w:rPr>
        <w:t>7. 工期和进度</w:t>
      </w:r>
      <w:bookmarkEnd w:id="514"/>
      <w:bookmarkEnd w:id="515"/>
      <w:bookmarkEnd w:id="516"/>
      <w:bookmarkEnd w:id="517"/>
      <w:bookmarkEnd w:id="518"/>
      <w:bookmarkEnd w:id="519"/>
      <w:bookmarkEnd w:id="520"/>
    </w:p>
    <w:p w14:paraId="2A604599">
      <w:pPr>
        <w:keepNext/>
        <w:keepLines/>
        <w:spacing w:before="120" w:after="120" w:line="440" w:lineRule="exact"/>
        <w:outlineLvl w:val="2"/>
        <w:rPr>
          <w:rFonts w:ascii="宋体" w:hAnsi="宋体" w:cs="宋体"/>
          <w:b/>
          <w:bCs/>
          <w:color w:val="auto"/>
          <w:sz w:val="24"/>
          <w:szCs w:val="24"/>
          <w:highlight w:val="none"/>
        </w:rPr>
      </w:pPr>
      <w:bookmarkStart w:id="521" w:name="_Toc487632722"/>
      <w:bookmarkStart w:id="522" w:name="_Toc373227723"/>
      <w:bookmarkStart w:id="523" w:name="_Toc373478370"/>
      <w:bookmarkStart w:id="524" w:name="_Toc51599579"/>
      <w:bookmarkStart w:id="525" w:name="_Toc389065289"/>
      <w:bookmarkStart w:id="526" w:name="_Toc407135225"/>
      <w:r>
        <w:rPr>
          <w:rFonts w:hint="eastAsia" w:ascii="宋体" w:hAnsi="宋体" w:cs="宋体"/>
          <w:b/>
          <w:bCs/>
          <w:color w:val="auto"/>
          <w:sz w:val="24"/>
          <w:szCs w:val="24"/>
          <w:highlight w:val="none"/>
        </w:rPr>
        <w:t>7.1 施工组织设计</w:t>
      </w:r>
      <w:bookmarkEnd w:id="521"/>
      <w:bookmarkEnd w:id="522"/>
      <w:bookmarkEnd w:id="523"/>
      <w:bookmarkEnd w:id="524"/>
      <w:bookmarkEnd w:id="525"/>
      <w:bookmarkEnd w:id="526"/>
    </w:p>
    <w:p w14:paraId="1A0969A0">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7.1.1 合</w:t>
      </w:r>
      <w:r>
        <w:rPr>
          <w:rFonts w:hint="eastAsia" w:ascii="宋体" w:hAnsi="宋体" w:cs="宋体"/>
          <w:color w:val="auto"/>
          <w:kern w:val="0"/>
          <w:sz w:val="24"/>
          <w:szCs w:val="24"/>
          <w:highlight w:val="none"/>
        </w:rPr>
        <w:t>同当事人约定的施工组织设计应包括的其他内容：</w:t>
      </w:r>
      <w:r>
        <w:rPr>
          <w:rFonts w:hint="eastAsia" w:ascii="宋体" w:hAnsi="宋体" w:cs="宋体"/>
          <w:color w:val="auto"/>
          <w:sz w:val="24"/>
          <w:szCs w:val="24"/>
          <w:highlight w:val="none"/>
          <w:u w:val="single"/>
        </w:rPr>
        <w:t xml:space="preserve">  按照工程特点和行业有关规定编制  </w:t>
      </w:r>
      <w:r>
        <w:rPr>
          <w:rFonts w:hint="eastAsia" w:ascii="宋体" w:hAnsi="宋体" w:cs="宋体"/>
          <w:color w:val="auto"/>
          <w:sz w:val="24"/>
          <w:szCs w:val="24"/>
          <w:highlight w:val="none"/>
        </w:rPr>
        <w:t>。</w:t>
      </w:r>
    </w:p>
    <w:p w14:paraId="22780D18">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 xml:space="preserve">7.1.2 </w:t>
      </w:r>
      <w:r>
        <w:rPr>
          <w:rFonts w:hint="eastAsia" w:ascii="宋体" w:hAnsi="宋体" w:cs="宋体"/>
          <w:color w:val="auto"/>
          <w:kern w:val="0"/>
          <w:sz w:val="24"/>
          <w:szCs w:val="24"/>
          <w:highlight w:val="none"/>
        </w:rPr>
        <w:t>施工组织设计的提交和修改</w:t>
      </w:r>
    </w:p>
    <w:p w14:paraId="59531937">
      <w:pPr>
        <w:autoSpaceDE w:val="0"/>
        <w:autoSpaceDN w:val="0"/>
        <w:adjustRightInd w:val="0"/>
        <w:spacing w:line="440" w:lineRule="exact"/>
        <w:ind w:firstLine="480" w:firstLineChars="200"/>
        <w:rPr>
          <w:rFonts w:ascii="宋体" w:hAnsi="宋体" w:cs="宋体"/>
          <w:color w:val="auto"/>
          <w:sz w:val="24"/>
          <w:szCs w:val="24"/>
          <w:highlight w:val="none"/>
          <w:u w:val="single"/>
        </w:rPr>
      </w:pPr>
      <w:bookmarkStart w:id="527" w:name="_Toc487632723"/>
      <w:bookmarkStart w:id="528" w:name="_Toc389065290"/>
      <w:bookmarkStart w:id="529" w:name="_Toc373227724"/>
      <w:bookmarkStart w:id="530" w:name="_Toc407135226"/>
      <w:bookmarkStart w:id="531" w:name="_Toc373478371"/>
      <w:r>
        <w:rPr>
          <w:rFonts w:hint="eastAsia" w:ascii="宋体" w:hAnsi="宋体" w:cs="宋体"/>
          <w:color w:val="auto"/>
          <w:kern w:val="0"/>
          <w:sz w:val="24"/>
          <w:szCs w:val="24"/>
          <w:highlight w:val="none"/>
        </w:rPr>
        <w:t>承包人提交详细施工组织设计的期限的约定：</w:t>
      </w:r>
      <w:r>
        <w:rPr>
          <w:rFonts w:hint="eastAsia" w:ascii="宋体" w:hAnsi="宋体" w:cs="宋体"/>
          <w:color w:val="auto"/>
          <w:sz w:val="24"/>
          <w:szCs w:val="24"/>
          <w:highlight w:val="none"/>
          <w:u w:val="single"/>
        </w:rPr>
        <w:t xml:space="preserve">承包人应在投标文件施工组织设计的基础上，编制工程详细施工组织设计，要求后者的各项实施标准不得降低前者对应项目所计划的标准。承包人应在合同签订后14天内，但最迟不得晚于开工通知载明的开工日期前7天，向监理人提交详细的的施工组织设计，并由监理人报送发包人  </w:t>
      </w:r>
      <w:r>
        <w:rPr>
          <w:rFonts w:hint="eastAsia" w:ascii="宋体" w:hAnsi="宋体" w:cs="宋体"/>
          <w:color w:val="auto"/>
          <w:sz w:val="24"/>
          <w:szCs w:val="24"/>
          <w:highlight w:val="none"/>
        </w:rPr>
        <w:t>。</w:t>
      </w:r>
    </w:p>
    <w:p w14:paraId="10787F3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发包人和监理人在收到详细的施工组织设计后确认或提出修改意见的期限：</w:t>
      </w:r>
      <w:r>
        <w:rPr>
          <w:rFonts w:hint="eastAsia" w:ascii="宋体" w:hAnsi="宋体" w:cs="宋体"/>
          <w:color w:val="auto"/>
          <w:sz w:val="24"/>
          <w:szCs w:val="24"/>
          <w:highlight w:val="none"/>
          <w:u w:val="single"/>
        </w:rPr>
        <w:t xml:space="preserve">收到后7天内 </w:t>
      </w:r>
      <w:r>
        <w:rPr>
          <w:rFonts w:hint="eastAsia" w:ascii="宋体" w:hAnsi="宋体" w:cs="宋体"/>
          <w:color w:val="auto"/>
          <w:sz w:val="24"/>
          <w:szCs w:val="24"/>
          <w:highlight w:val="none"/>
        </w:rPr>
        <w:t>。</w:t>
      </w:r>
    </w:p>
    <w:p w14:paraId="45D16CA3">
      <w:pPr>
        <w:keepNext/>
        <w:keepLines/>
        <w:spacing w:before="120" w:after="120" w:line="440" w:lineRule="exact"/>
        <w:outlineLvl w:val="2"/>
        <w:rPr>
          <w:rFonts w:ascii="宋体" w:hAnsi="宋体" w:cs="宋体"/>
          <w:b/>
          <w:bCs/>
          <w:color w:val="auto"/>
          <w:sz w:val="24"/>
          <w:szCs w:val="24"/>
          <w:highlight w:val="none"/>
        </w:rPr>
      </w:pPr>
      <w:bookmarkStart w:id="532" w:name="_Toc51599580"/>
      <w:r>
        <w:rPr>
          <w:rFonts w:hint="eastAsia" w:ascii="宋体" w:hAnsi="宋体" w:cs="宋体"/>
          <w:b/>
          <w:bCs/>
          <w:color w:val="auto"/>
          <w:sz w:val="24"/>
          <w:szCs w:val="24"/>
          <w:highlight w:val="none"/>
        </w:rPr>
        <w:t>7</w:t>
      </w:r>
      <w:bookmarkStart w:id="533" w:name="_Toc297216173"/>
      <w:bookmarkStart w:id="534" w:name="_Toc304295541"/>
      <w:bookmarkStart w:id="535" w:name="_Toc297123514"/>
      <w:bookmarkStart w:id="536" w:name="_Toc312678005"/>
      <w:bookmarkStart w:id="537" w:name="_Toc300934966"/>
      <w:bookmarkStart w:id="538" w:name="_Toc303539123"/>
      <w:bookmarkStart w:id="539" w:name="_Toc312677479"/>
      <w:r>
        <w:rPr>
          <w:rFonts w:hint="eastAsia" w:ascii="宋体" w:hAnsi="宋体" w:cs="宋体"/>
          <w:b/>
          <w:bCs/>
          <w:color w:val="auto"/>
          <w:sz w:val="24"/>
          <w:szCs w:val="24"/>
          <w:highlight w:val="none"/>
        </w:rPr>
        <w:t>.2 施工进度计划</w:t>
      </w:r>
      <w:bookmarkEnd w:id="527"/>
      <w:bookmarkEnd w:id="528"/>
      <w:bookmarkEnd w:id="529"/>
      <w:bookmarkEnd w:id="530"/>
      <w:bookmarkEnd w:id="531"/>
      <w:bookmarkEnd w:id="532"/>
    </w:p>
    <w:p w14:paraId="0090837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7.2.2 施工进度计划的修订</w:t>
      </w:r>
    </w:p>
    <w:p w14:paraId="5D2BEE0C">
      <w:pPr>
        <w:spacing w:line="440" w:lineRule="exact"/>
        <w:ind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发包人和监理人在收到修订的施工进度计划后确认或提出修改意见的期限：</w:t>
      </w:r>
      <w:r>
        <w:rPr>
          <w:rFonts w:hint="eastAsia" w:ascii="宋体" w:hAnsi="宋体" w:cs="宋体"/>
          <w:color w:val="auto"/>
          <w:sz w:val="24"/>
          <w:szCs w:val="24"/>
          <w:highlight w:val="none"/>
          <w:u w:val="single"/>
        </w:rPr>
        <w:t xml:space="preserve"> 收到后7天内 </w:t>
      </w:r>
      <w:r>
        <w:rPr>
          <w:rFonts w:hint="eastAsia" w:ascii="宋体" w:hAnsi="宋体" w:cs="宋体"/>
          <w:color w:val="auto"/>
          <w:sz w:val="24"/>
          <w:szCs w:val="24"/>
          <w:highlight w:val="none"/>
        </w:rPr>
        <w:t>。</w:t>
      </w:r>
    </w:p>
    <w:p w14:paraId="16A20EF4">
      <w:pPr>
        <w:keepNext/>
        <w:keepLines/>
        <w:spacing w:before="120" w:after="120" w:line="440" w:lineRule="exact"/>
        <w:outlineLvl w:val="2"/>
        <w:rPr>
          <w:rFonts w:ascii="宋体" w:hAnsi="宋体" w:cs="宋体"/>
          <w:b/>
          <w:bCs/>
          <w:color w:val="auto"/>
          <w:sz w:val="24"/>
          <w:szCs w:val="24"/>
          <w:highlight w:val="none"/>
        </w:rPr>
      </w:pPr>
      <w:bookmarkStart w:id="540" w:name="_Toc51599581"/>
      <w:bookmarkStart w:id="541" w:name="_Toc373227725"/>
      <w:bookmarkStart w:id="542" w:name="_Toc487632724"/>
      <w:bookmarkStart w:id="543" w:name="_Toc407135227"/>
      <w:bookmarkStart w:id="544" w:name="_Toc373478372"/>
      <w:bookmarkStart w:id="545" w:name="_Toc389065291"/>
      <w:r>
        <w:rPr>
          <w:rFonts w:hint="eastAsia" w:ascii="宋体" w:hAnsi="宋体" w:cs="宋体"/>
          <w:b/>
          <w:bCs/>
          <w:color w:val="auto"/>
          <w:sz w:val="24"/>
          <w:szCs w:val="24"/>
          <w:highlight w:val="none"/>
        </w:rPr>
        <w:t>7.3 开工</w:t>
      </w:r>
      <w:bookmarkEnd w:id="540"/>
      <w:bookmarkEnd w:id="541"/>
      <w:bookmarkEnd w:id="542"/>
      <w:bookmarkEnd w:id="543"/>
      <w:bookmarkEnd w:id="544"/>
      <w:bookmarkEnd w:id="545"/>
    </w:p>
    <w:p w14:paraId="771D511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7.3.1 开工准备</w:t>
      </w:r>
    </w:p>
    <w:p w14:paraId="10F1B54F">
      <w:pPr>
        <w:spacing w:line="440" w:lineRule="exact"/>
        <w:ind w:firstLine="426"/>
        <w:rPr>
          <w:rFonts w:ascii="宋体" w:hAnsi="宋体" w:cs="宋体"/>
          <w:color w:val="auto"/>
          <w:sz w:val="24"/>
          <w:szCs w:val="24"/>
          <w:highlight w:val="none"/>
          <w:u w:val="single"/>
        </w:rPr>
      </w:pPr>
      <w:r>
        <w:rPr>
          <w:rFonts w:hint="eastAsia" w:ascii="宋体" w:hAnsi="宋体" w:cs="宋体"/>
          <w:color w:val="auto"/>
          <w:sz w:val="24"/>
          <w:szCs w:val="24"/>
          <w:highlight w:val="none"/>
        </w:rPr>
        <w:t>关于承包人提交</w:t>
      </w:r>
      <w:r>
        <w:rPr>
          <w:rFonts w:hint="eastAsia" w:ascii="宋体" w:hAnsi="宋体" w:cs="宋体"/>
          <w:color w:val="auto"/>
          <w:kern w:val="0"/>
          <w:sz w:val="24"/>
          <w:szCs w:val="24"/>
          <w:highlight w:val="none"/>
        </w:rPr>
        <w:t>工程开工报审表的期限：</w:t>
      </w:r>
      <w:r>
        <w:rPr>
          <w:rFonts w:hint="eastAsia" w:ascii="宋体" w:hAnsi="宋体" w:cs="宋体"/>
          <w:color w:val="auto"/>
          <w:sz w:val="24"/>
          <w:szCs w:val="24"/>
          <w:highlight w:val="none"/>
          <w:u w:val="single"/>
        </w:rPr>
        <w:t xml:space="preserve">  开工前3天</w:t>
      </w:r>
      <w:r>
        <w:rPr>
          <w:rFonts w:hint="eastAsia" w:ascii="宋体" w:hAnsi="宋体" w:cs="宋体"/>
          <w:color w:val="auto"/>
          <w:sz w:val="24"/>
          <w:szCs w:val="24"/>
          <w:highlight w:val="none"/>
        </w:rPr>
        <w:t>。</w:t>
      </w:r>
    </w:p>
    <w:p w14:paraId="4A3ADA4A">
      <w:pPr>
        <w:spacing w:line="440" w:lineRule="exact"/>
        <w:ind w:firstLine="426"/>
        <w:rPr>
          <w:rFonts w:ascii="宋体" w:hAnsi="宋体" w:cs="宋体"/>
          <w:color w:val="auto"/>
          <w:sz w:val="24"/>
          <w:szCs w:val="24"/>
          <w:highlight w:val="none"/>
          <w:u w:val="single"/>
        </w:rPr>
      </w:pPr>
      <w:r>
        <w:rPr>
          <w:rFonts w:hint="eastAsia" w:ascii="宋体" w:hAnsi="宋体" w:cs="宋体"/>
          <w:color w:val="auto"/>
          <w:sz w:val="24"/>
          <w:szCs w:val="24"/>
          <w:highlight w:val="none"/>
        </w:rPr>
        <w:t>关于发包人应完成的其他开工准备工作及期限：</w:t>
      </w:r>
      <w:r>
        <w:rPr>
          <w:rFonts w:hint="eastAsia" w:ascii="宋体" w:hAnsi="宋体" w:cs="宋体"/>
          <w:color w:val="auto"/>
          <w:sz w:val="24"/>
          <w:szCs w:val="24"/>
          <w:highlight w:val="none"/>
          <w:u w:val="single"/>
        </w:rPr>
        <w:t>开工前7天</w:t>
      </w:r>
      <w:r>
        <w:rPr>
          <w:rFonts w:hint="eastAsia" w:ascii="宋体" w:hAnsi="宋体" w:cs="宋体"/>
          <w:color w:val="auto"/>
          <w:sz w:val="24"/>
          <w:szCs w:val="24"/>
          <w:highlight w:val="none"/>
        </w:rPr>
        <w:t>。</w:t>
      </w:r>
    </w:p>
    <w:p w14:paraId="1436C06D">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关于承包人应完成的其他开工准备工作及期限：</w:t>
      </w:r>
      <w:r>
        <w:rPr>
          <w:rFonts w:hint="eastAsia" w:ascii="宋体" w:hAnsi="宋体" w:cs="宋体"/>
          <w:color w:val="auto"/>
          <w:sz w:val="24"/>
          <w:szCs w:val="24"/>
          <w:highlight w:val="none"/>
          <w:u w:val="single"/>
        </w:rPr>
        <w:t xml:space="preserve">  开工前7天</w:t>
      </w:r>
      <w:r>
        <w:rPr>
          <w:rFonts w:hint="eastAsia" w:ascii="宋体" w:hAnsi="宋体" w:cs="宋体"/>
          <w:color w:val="auto"/>
          <w:sz w:val="24"/>
          <w:szCs w:val="24"/>
          <w:highlight w:val="none"/>
        </w:rPr>
        <w:t>。</w:t>
      </w:r>
    </w:p>
    <w:p w14:paraId="649F14D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7.3.2 开工通知</w:t>
      </w:r>
    </w:p>
    <w:p w14:paraId="679BEDB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因发包人原因造成监理人未能在计划开工日期之日起</w:t>
      </w:r>
      <w:r>
        <w:rPr>
          <w:rFonts w:hint="eastAsia" w:ascii="宋体" w:hAnsi="宋体" w:cs="宋体"/>
          <w:color w:val="auto"/>
          <w:sz w:val="24"/>
          <w:szCs w:val="24"/>
          <w:highlight w:val="none"/>
          <w:u w:val="single"/>
        </w:rPr>
        <w:t xml:space="preserve"> 5 </w:t>
      </w:r>
      <w:r>
        <w:rPr>
          <w:rFonts w:hint="eastAsia" w:ascii="宋体" w:hAnsi="宋体" w:cs="宋体"/>
          <w:color w:val="auto"/>
          <w:sz w:val="24"/>
          <w:szCs w:val="24"/>
          <w:highlight w:val="none"/>
        </w:rPr>
        <w:t>天内发出开工通知的，承包人有权提出价格调整要求，或者解除合同。</w:t>
      </w:r>
    </w:p>
    <w:bookmarkEnd w:id="533"/>
    <w:bookmarkEnd w:id="534"/>
    <w:bookmarkEnd w:id="535"/>
    <w:bookmarkEnd w:id="536"/>
    <w:bookmarkEnd w:id="537"/>
    <w:bookmarkEnd w:id="538"/>
    <w:bookmarkEnd w:id="539"/>
    <w:p w14:paraId="28BA3C09">
      <w:pPr>
        <w:keepNext/>
        <w:keepLines/>
        <w:spacing w:before="120" w:after="120" w:line="440" w:lineRule="exact"/>
        <w:outlineLvl w:val="2"/>
        <w:rPr>
          <w:rFonts w:ascii="宋体" w:hAnsi="宋体" w:cs="宋体"/>
          <w:b/>
          <w:bCs/>
          <w:color w:val="auto"/>
          <w:sz w:val="24"/>
          <w:szCs w:val="24"/>
          <w:highlight w:val="none"/>
        </w:rPr>
      </w:pPr>
      <w:bookmarkStart w:id="546" w:name="_Toc373227726"/>
      <w:bookmarkStart w:id="547" w:name="_Toc51599582"/>
      <w:bookmarkStart w:id="548" w:name="_Toc373478373"/>
      <w:bookmarkStart w:id="549" w:name="_Toc407135228"/>
      <w:bookmarkStart w:id="550" w:name="_Toc487632725"/>
      <w:bookmarkStart w:id="551" w:name="_Toc389065292"/>
      <w:r>
        <w:rPr>
          <w:rFonts w:hint="eastAsia" w:ascii="宋体" w:hAnsi="宋体" w:cs="宋体"/>
          <w:b/>
          <w:bCs/>
          <w:color w:val="auto"/>
          <w:sz w:val="24"/>
          <w:szCs w:val="24"/>
          <w:highlight w:val="none"/>
        </w:rPr>
        <w:t>7.4 测量放线</w:t>
      </w:r>
      <w:bookmarkEnd w:id="546"/>
      <w:bookmarkEnd w:id="547"/>
      <w:bookmarkEnd w:id="548"/>
      <w:bookmarkEnd w:id="549"/>
      <w:bookmarkEnd w:id="550"/>
      <w:bookmarkEnd w:id="551"/>
    </w:p>
    <w:p w14:paraId="28508F9F">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7.4.1发包人通过监理人向承包人提供测量基准点、基准线和水准点及其书面资料的期限：</w:t>
      </w:r>
      <w:r>
        <w:rPr>
          <w:rFonts w:hint="eastAsia" w:ascii="宋体" w:hAnsi="宋体" w:cs="宋体"/>
          <w:color w:val="auto"/>
          <w:sz w:val="24"/>
          <w:szCs w:val="24"/>
          <w:highlight w:val="none"/>
          <w:u w:val="single"/>
        </w:rPr>
        <w:t xml:space="preserve">  开工通知载明的开工日期前7天  </w:t>
      </w:r>
      <w:r>
        <w:rPr>
          <w:rFonts w:hint="eastAsia" w:ascii="宋体" w:hAnsi="宋体" w:cs="宋体"/>
          <w:color w:val="auto"/>
          <w:sz w:val="24"/>
          <w:szCs w:val="24"/>
          <w:highlight w:val="none"/>
        </w:rPr>
        <w:t>。</w:t>
      </w:r>
    </w:p>
    <w:p w14:paraId="2A6FB969">
      <w:pPr>
        <w:keepNext/>
        <w:keepLines/>
        <w:spacing w:before="120" w:after="120" w:line="440" w:lineRule="exact"/>
        <w:outlineLvl w:val="2"/>
        <w:rPr>
          <w:rFonts w:ascii="宋体" w:hAnsi="宋体" w:cs="宋体"/>
          <w:b/>
          <w:bCs/>
          <w:color w:val="auto"/>
          <w:sz w:val="24"/>
          <w:szCs w:val="24"/>
          <w:highlight w:val="none"/>
        </w:rPr>
      </w:pPr>
      <w:bookmarkStart w:id="552" w:name="_Toc51599583"/>
      <w:bookmarkStart w:id="553" w:name="_Toc389065293"/>
      <w:bookmarkStart w:id="554" w:name="_Toc373478374"/>
      <w:bookmarkStart w:id="555" w:name="_Toc373227727"/>
      <w:bookmarkStart w:id="556" w:name="_Toc407135229"/>
      <w:bookmarkStart w:id="557" w:name="_Toc487632726"/>
      <w:r>
        <w:rPr>
          <w:rFonts w:hint="eastAsia" w:ascii="宋体" w:hAnsi="宋体" w:cs="宋体"/>
          <w:b/>
          <w:bCs/>
          <w:color w:val="auto"/>
          <w:sz w:val="24"/>
          <w:szCs w:val="24"/>
          <w:highlight w:val="none"/>
        </w:rPr>
        <w:t>7</w:t>
      </w:r>
      <w:bookmarkStart w:id="558" w:name="_Toc300934968"/>
      <w:bookmarkStart w:id="559" w:name="_Toc297216175"/>
      <w:bookmarkStart w:id="560" w:name="_Toc303539125"/>
      <w:bookmarkStart w:id="561" w:name="_Toc304295546"/>
      <w:bookmarkStart w:id="562" w:name="_Toc297123516"/>
      <w:bookmarkStart w:id="563" w:name="_Toc312677484"/>
      <w:bookmarkStart w:id="564" w:name="_Toc312678010"/>
      <w:r>
        <w:rPr>
          <w:rFonts w:hint="eastAsia" w:ascii="宋体" w:hAnsi="宋体" w:cs="宋体"/>
          <w:b/>
          <w:bCs/>
          <w:color w:val="auto"/>
          <w:sz w:val="24"/>
          <w:szCs w:val="24"/>
          <w:highlight w:val="none"/>
        </w:rPr>
        <w:t>.5 工期延误</w:t>
      </w:r>
      <w:bookmarkEnd w:id="552"/>
      <w:bookmarkEnd w:id="553"/>
      <w:bookmarkEnd w:id="554"/>
      <w:bookmarkEnd w:id="555"/>
      <w:bookmarkEnd w:id="556"/>
      <w:bookmarkEnd w:id="557"/>
    </w:p>
    <w:bookmarkEnd w:id="558"/>
    <w:bookmarkEnd w:id="559"/>
    <w:bookmarkEnd w:id="560"/>
    <w:bookmarkEnd w:id="561"/>
    <w:bookmarkEnd w:id="562"/>
    <w:bookmarkEnd w:id="563"/>
    <w:bookmarkEnd w:id="564"/>
    <w:p w14:paraId="25CBDE6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7.5.1 因发包人原因导致工期延误</w:t>
      </w:r>
    </w:p>
    <w:p w14:paraId="53BBD7D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（7）因发包人原因导致工期延误的其他情形：</w:t>
      </w:r>
      <w:r>
        <w:rPr>
          <w:rFonts w:hint="eastAsia" w:ascii="宋体" w:hAnsi="宋体" w:cs="宋体"/>
          <w:color w:val="auto"/>
          <w:sz w:val="24"/>
          <w:szCs w:val="24"/>
          <w:highlight w:val="none"/>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如：雨水天无法进行施工)</w:t>
      </w:r>
      <w:r>
        <w:rPr>
          <w:rFonts w:hint="eastAsia" w:ascii="宋体" w:hAnsi="宋体" w:cs="宋体"/>
          <w:color w:val="auto"/>
          <w:sz w:val="24"/>
          <w:szCs w:val="24"/>
          <w:highlight w:val="none"/>
        </w:rPr>
        <w:t xml:space="preserve"> 。</w:t>
      </w:r>
    </w:p>
    <w:p w14:paraId="50F2828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w:t>
      </w:r>
      <w:bookmarkStart w:id="565" w:name="_Toc312677486"/>
      <w:bookmarkStart w:id="566" w:name="_Toc318581169"/>
      <w:bookmarkStart w:id="567" w:name="_Toc312678012"/>
      <w:bookmarkStart w:id="568" w:name="_Toc297123518"/>
      <w:bookmarkStart w:id="569" w:name="_Toc304295548"/>
      <w:bookmarkStart w:id="570" w:name="_Toc300934970"/>
      <w:bookmarkStart w:id="571" w:name="_Toc303539127"/>
      <w:bookmarkStart w:id="572" w:name="_Toc297216177"/>
      <w:r>
        <w:rPr>
          <w:rFonts w:hint="eastAsia" w:ascii="宋体" w:hAnsi="宋体" w:cs="宋体"/>
          <w:color w:val="auto"/>
          <w:sz w:val="24"/>
          <w:szCs w:val="24"/>
          <w:highlight w:val="none"/>
        </w:rPr>
        <w:t>.5.2 因承包人原因导致工期延误</w:t>
      </w:r>
    </w:p>
    <w:bookmarkEnd w:id="565"/>
    <w:bookmarkEnd w:id="566"/>
    <w:bookmarkEnd w:id="567"/>
    <w:p w14:paraId="15E61ED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双方约定经监理工程师确认，工期相应顺延的情况：</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5FA5E26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因</w:t>
      </w:r>
      <w:bookmarkStart w:id="573" w:name="_Toc318581170"/>
      <w:bookmarkStart w:id="574" w:name="_Toc312678013"/>
      <w:bookmarkStart w:id="575" w:name="_Toc312677487"/>
      <w:r>
        <w:rPr>
          <w:rFonts w:hint="eastAsia" w:ascii="宋体" w:hAnsi="宋体" w:cs="宋体"/>
          <w:color w:val="auto"/>
          <w:sz w:val="24"/>
          <w:szCs w:val="24"/>
          <w:highlight w:val="none"/>
        </w:rPr>
        <w:t>承包人原因造成工期延误，逾期竣工违约金的计算方法为：</w:t>
      </w:r>
      <w:r>
        <w:rPr>
          <w:rFonts w:hint="eastAsia" w:ascii="宋体" w:hAnsi="宋体" w:cs="宋体"/>
          <w:color w:val="auto"/>
          <w:sz w:val="24"/>
          <w:szCs w:val="24"/>
          <w:highlight w:val="none"/>
          <w:u w:val="single"/>
        </w:rPr>
        <w:t xml:space="preserve">非上述原因，承包人不能按合同约定的时间竣工，承包人应承担违约责任。应向发包人支付误期赔偿费（监理人可向承包人发出整改通知，承包人未能按合同约定，已造成工期延误，向承包人索赔每天5000元的违约金，若因此给发包人造成实际损失的，承包人还应对此承担赔偿责任，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p>
    <w:bookmarkEnd w:id="568"/>
    <w:bookmarkEnd w:id="569"/>
    <w:bookmarkEnd w:id="570"/>
    <w:bookmarkEnd w:id="571"/>
    <w:bookmarkEnd w:id="572"/>
    <w:bookmarkEnd w:id="573"/>
    <w:bookmarkEnd w:id="574"/>
    <w:bookmarkEnd w:id="575"/>
    <w:p w14:paraId="4C7EF59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因承包人原因造成工期延误，逾</w:t>
      </w:r>
      <w:bookmarkStart w:id="576" w:name="_Toc318581171"/>
      <w:bookmarkStart w:id="577" w:name="_Toc312678014"/>
      <w:r>
        <w:rPr>
          <w:rFonts w:hint="eastAsia" w:ascii="宋体" w:hAnsi="宋体" w:cs="宋体"/>
          <w:color w:val="auto"/>
          <w:sz w:val="24"/>
          <w:szCs w:val="24"/>
          <w:highlight w:val="none"/>
        </w:rPr>
        <w:t>期竣工违约金的上限：</w:t>
      </w:r>
      <w:r>
        <w:rPr>
          <w:rFonts w:hint="eastAsia" w:ascii="宋体" w:hAnsi="宋体" w:cs="宋体"/>
          <w:color w:val="auto"/>
          <w:sz w:val="24"/>
          <w:szCs w:val="24"/>
          <w:highlight w:val="none"/>
          <w:u w:val="single"/>
        </w:rPr>
        <w:t>逾期竣工的单位工程结算造价扣除建安劳保费、发包人材料价款、暂估专业工程、暂列金额后的10%</w:t>
      </w:r>
      <w:r>
        <w:rPr>
          <w:rFonts w:hint="eastAsia" w:ascii="宋体" w:hAnsi="宋体" w:cs="宋体"/>
          <w:color w:val="auto"/>
          <w:sz w:val="24"/>
          <w:szCs w:val="24"/>
          <w:highlight w:val="none"/>
        </w:rPr>
        <w:t>。</w:t>
      </w:r>
    </w:p>
    <w:bookmarkEnd w:id="576"/>
    <w:bookmarkEnd w:id="577"/>
    <w:p w14:paraId="0465E482">
      <w:pPr>
        <w:keepNext/>
        <w:keepLines/>
        <w:spacing w:before="120" w:after="120" w:line="440" w:lineRule="exact"/>
        <w:outlineLvl w:val="2"/>
        <w:rPr>
          <w:rFonts w:ascii="宋体" w:hAnsi="宋体" w:cs="宋体"/>
          <w:b/>
          <w:bCs/>
          <w:color w:val="auto"/>
          <w:sz w:val="24"/>
          <w:szCs w:val="24"/>
          <w:highlight w:val="none"/>
        </w:rPr>
      </w:pPr>
      <w:bookmarkStart w:id="578" w:name="_Toc407135230"/>
      <w:bookmarkStart w:id="579" w:name="_Toc51599584"/>
      <w:bookmarkStart w:id="580" w:name="_Toc373478375"/>
      <w:bookmarkStart w:id="581" w:name="_Toc487632727"/>
      <w:bookmarkStart w:id="582" w:name="_Toc373227728"/>
      <w:bookmarkStart w:id="583" w:name="_Toc389065294"/>
      <w:r>
        <w:rPr>
          <w:rFonts w:hint="eastAsia" w:ascii="宋体" w:hAnsi="宋体" w:cs="宋体"/>
          <w:b/>
          <w:bCs/>
          <w:color w:val="auto"/>
          <w:sz w:val="24"/>
          <w:szCs w:val="24"/>
          <w:highlight w:val="none"/>
        </w:rPr>
        <w:t>7</w:t>
      </w:r>
      <w:bookmarkStart w:id="584" w:name="_Toc303539128"/>
      <w:bookmarkStart w:id="585" w:name="_Toc297216178"/>
      <w:bookmarkStart w:id="586" w:name="_Toc304295549"/>
      <w:bookmarkStart w:id="587" w:name="_Toc312678015"/>
      <w:bookmarkStart w:id="588" w:name="_Toc297123519"/>
      <w:bookmarkStart w:id="589" w:name="_Toc300934971"/>
      <w:r>
        <w:rPr>
          <w:rFonts w:hint="eastAsia" w:ascii="宋体" w:hAnsi="宋体" w:cs="宋体"/>
          <w:b/>
          <w:bCs/>
          <w:color w:val="auto"/>
          <w:sz w:val="24"/>
          <w:szCs w:val="24"/>
          <w:highlight w:val="none"/>
        </w:rPr>
        <w:t>.6 不</w:t>
      </w:r>
      <w:bookmarkEnd w:id="584"/>
      <w:bookmarkEnd w:id="585"/>
      <w:bookmarkEnd w:id="586"/>
      <w:bookmarkEnd w:id="587"/>
      <w:bookmarkEnd w:id="588"/>
      <w:bookmarkEnd w:id="589"/>
      <w:r>
        <w:rPr>
          <w:rFonts w:hint="eastAsia" w:ascii="宋体" w:hAnsi="宋体" w:cs="宋体"/>
          <w:b/>
          <w:bCs/>
          <w:color w:val="auto"/>
          <w:sz w:val="24"/>
          <w:szCs w:val="24"/>
          <w:highlight w:val="none"/>
        </w:rPr>
        <w:t>利物质条件</w:t>
      </w:r>
      <w:bookmarkEnd w:id="578"/>
      <w:bookmarkEnd w:id="579"/>
      <w:bookmarkEnd w:id="580"/>
      <w:bookmarkEnd w:id="581"/>
      <w:bookmarkEnd w:id="582"/>
      <w:bookmarkEnd w:id="583"/>
    </w:p>
    <w:p w14:paraId="2319E37B">
      <w:pPr>
        <w:spacing w:line="440" w:lineRule="exact"/>
        <w:ind w:firstLine="480" w:firstLineChars="200"/>
        <w:rPr>
          <w:rFonts w:ascii="宋体" w:hAnsi="宋体" w:cs="宋体"/>
          <w:color w:val="auto"/>
          <w:sz w:val="24"/>
          <w:szCs w:val="24"/>
          <w:highlight w:val="none"/>
          <w:u w:val="single"/>
        </w:rPr>
      </w:pPr>
      <w:bookmarkStart w:id="590" w:name="_Toc318581172"/>
      <w:bookmarkStart w:id="591" w:name="_Toc300934972"/>
      <w:bookmarkStart w:id="592" w:name="_Toc312678016"/>
      <w:bookmarkStart w:id="593" w:name="_Toc297123520"/>
      <w:bookmarkStart w:id="594" w:name="_Toc304295550"/>
      <w:bookmarkStart w:id="595" w:name="_Toc297216179"/>
      <w:bookmarkStart w:id="596" w:name="_Toc303539129"/>
      <w:r>
        <w:rPr>
          <w:rFonts w:hint="eastAsia" w:ascii="宋体" w:hAnsi="宋体" w:cs="宋体"/>
          <w:color w:val="auto"/>
          <w:sz w:val="24"/>
          <w:szCs w:val="24"/>
          <w:highlight w:val="none"/>
        </w:rPr>
        <w:t>不利物质条件的其他情形和有关约定：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590"/>
    <w:bookmarkEnd w:id="591"/>
    <w:bookmarkEnd w:id="592"/>
    <w:bookmarkEnd w:id="593"/>
    <w:bookmarkEnd w:id="594"/>
    <w:bookmarkEnd w:id="595"/>
    <w:bookmarkEnd w:id="596"/>
    <w:p w14:paraId="379F7C41">
      <w:pPr>
        <w:keepNext/>
        <w:keepLines/>
        <w:spacing w:before="120" w:after="120" w:line="440" w:lineRule="exact"/>
        <w:outlineLvl w:val="2"/>
        <w:rPr>
          <w:rFonts w:ascii="宋体" w:hAnsi="宋体" w:cs="宋体"/>
          <w:b/>
          <w:bCs/>
          <w:color w:val="auto"/>
          <w:sz w:val="24"/>
          <w:szCs w:val="24"/>
          <w:highlight w:val="none"/>
        </w:rPr>
      </w:pPr>
      <w:bookmarkStart w:id="597" w:name="_Toc51599585"/>
      <w:bookmarkStart w:id="598" w:name="_Toc373478376"/>
      <w:bookmarkStart w:id="599" w:name="_Toc407135231"/>
      <w:bookmarkStart w:id="600" w:name="_Toc389065295"/>
      <w:bookmarkStart w:id="601" w:name="_Toc487632728"/>
      <w:bookmarkStart w:id="602" w:name="_Toc373227729"/>
      <w:r>
        <w:rPr>
          <w:rFonts w:hint="eastAsia" w:ascii="宋体" w:hAnsi="宋体" w:cs="宋体"/>
          <w:b/>
          <w:bCs/>
          <w:color w:val="auto"/>
          <w:sz w:val="24"/>
          <w:szCs w:val="24"/>
          <w:highlight w:val="none"/>
        </w:rPr>
        <w:t>7</w:t>
      </w:r>
      <w:bookmarkStart w:id="603" w:name="_Toc300934973"/>
      <w:bookmarkStart w:id="604" w:name="_Toc312678017"/>
      <w:bookmarkStart w:id="605" w:name="_Toc297123521"/>
      <w:bookmarkStart w:id="606" w:name="_Toc304295551"/>
      <w:bookmarkStart w:id="607" w:name="_Toc303539130"/>
      <w:bookmarkStart w:id="608" w:name="_Toc297216180"/>
      <w:r>
        <w:rPr>
          <w:rFonts w:hint="eastAsia" w:ascii="宋体" w:hAnsi="宋体" w:cs="宋体"/>
          <w:b/>
          <w:bCs/>
          <w:color w:val="auto"/>
          <w:sz w:val="24"/>
          <w:szCs w:val="24"/>
          <w:highlight w:val="none"/>
        </w:rPr>
        <w:t>.7 异常恶劣的气候条件</w:t>
      </w:r>
      <w:bookmarkEnd w:id="597"/>
      <w:bookmarkEnd w:id="598"/>
      <w:bookmarkEnd w:id="599"/>
      <w:bookmarkEnd w:id="600"/>
      <w:bookmarkEnd w:id="601"/>
      <w:bookmarkEnd w:id="602"/>
    </w:p>
    <w:bookmarkEnd w:id="603"/>
    <w:bookmarkEnd w:id="604"/>
    <w:bookmarkEnd w:id="605"/>
    <w:bookmarkEnd w:id="606"/>
    <w:bookmarkEnd w:id="607"/>
    <w:bookmarkEnd w:id="608"/>
    <w:p w14:paraId="5C4391D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发包人和承包人同意以下情形视为异常恶劣的气候条件：</w:t>
      </w:r>
    </w:p>
    <w:p w14:paraId="5CC22FF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八级以上台风 （以气象部门鉴定为准）     </w:t>
      </w:r>
      <w:r>
        <w:rPr>
          <w:rFonts w:hint="eastAsia" w:ascii="宋体" w:hAnsi="宋体" w:cs="宋体"/>
          <w:color w:val="auto"/>
          <w:sz w:val="24"/>
          <w:szCs w:val="24"/>
          <w:highlight w:val="none"/>
        </w:rPr>
        <w:t>；</w:t>
      </w:r>
    </w:p>
    <w:p w14:paraId="4074E42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u w:val="single"/>
        </w:rPr>
        <w:t xml:space="preserve">   六级以上地震 （以相关部门鉴定为准）     </w:t>
      </w:r>
      <w:r>
        <w:rPr>
          <w:rFonts w:hint="eastAsia" w:ascii="宋体" w:hAnsi="宋体" w:cs="宋体"/>
          <w:color w:val="auto"/>
          <w:sz w:val="24"/>
          <w:szCs w:val="24"/>
          <w:highlight w:val="none"/>
        </w:rPr>
        <w:t>；</w:t>
      </w:r>
    </w:p>
    <w:p w14:paraId="0C97969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u w:val="single"/>
        </w:rPr>
        <w:t xml:space="preserve">        暴雨及以上级别                     </w:t>
      </w:r>
      <w:r>
        <w:rPr>
          <w:rFonts w:hint="eastAsia" w:ascii="宋体" w:hAnsi="宋体" w:cs="宋体"/>
          <w:color w:val="auto"/>
          <w:sz w:val="24"/>
          <w:szCs w:val="24"/>
          <w:highlight w:val="none"/>
        </w:rPr>
        <w:t>。</w:t>
      </w:r>
    </w:p>
    <w:p w14:paraId="118E6A48">
      <w:pPr>
        <w:keepNext/>
        <w:keepLines/>
        <w:spacing w:before="120" w:after="120" w:line="440" w:lineRule="exact"/>
        <w:outlineLvl w:val="2"/>
        <w:rPr>
          <w:rFonts w:ascii="宋体" w:hAnsi="宋体" w:cs="宋体"/>
          <w:b/>
          <w:bCs/>
          <w:color w:val="auto"/>
          <w:sz w:val="24"/>
          <w:szCs w:val="24"/>
          <w:highlight w:val="none"/>
        </w:rPr>
      </w:pPr>
      <w:bookmarkStart w:id="609" w:name="_Toc389065296"/>
      <w:bookmarkStart w:id="610" w:name="_Toc407135232"/>
      <w:bookmarkStart w:id="611" w:name="_Toc487632729"/>
      <w:bookmarkStart w:id="612" w:name="_Toc373478377"/>
      <w:bookmarkStart w:id="613" w:name="_Toc51599586"/>
      <w:bookmarkStart w:id="614" w:name="_Toc373227730"/>
      <w:r>
        <w:rPr>
          <w:rFonts w:hint="eastAsia" w:ascii="宋体" w:hAnsi="宋体" w:cs="宋体"/>
          <w:b/>
          <w:bCs/>
          <w:color w:val="auto"/>
          <w:sz w:val="24"/>
          <w:szCs w:val="24"/>
          <w:highlight w:val="none"/>
        </w:rPr>
        <w:t>7.9 提前竣工</w:t>
      </w:r>
      <w:bookmarkEnd w:id="609"/>
      <w:bookmarkEnd w:id="610"/>
      <w:bookmarkEnd w:id="611"/>
      <w:bookmarkEnd w:id="612"/>
      <w:bookmarkEnd w:id="613"/>
      <w:bookmarkEnd w:id="614"/>
    </w:p>
    <w:p w14:paraId="41E55B4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7.9.2提前竣工（赶工）增加费的计算方法：</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2565CA72">
      <w:pPr>
        <w:keepNext/>
        <w:keepLines/>
        <w:spacing w:before="120" w:after="120" w:line="440" w:lineRule="exact"/>
        <w:outlineLvl w:val="1"/>
        <w:rPr>
          <w:rFonts w:ascii="宋体" w:hAnsi="宋体" w:cs="宋体"/>
          <w:b/>
          <w:bCs/>
          <w:color w:val="auto"/>
          <w:sz w:val="24"/>
          <w:szCs w:val="24"/>
          <w:highlight w:val="none"/>
        </w:rPr>
      </w:pPr>
      <w:bookmarkStart w:id="615" w:name="_Toc407135233"/>
      <w:bookmarkStart w:id="616" w:name="_Toc373227731"/>
      <w:bookmarkStart w:id="617" w:name="_Toc351203640"/>
      <w:bookmarkStart w:id="618" w:name="_Toc389065297"/>
      <w:bookmarkStart w:id="619" w:name="_Toc373478378"/>
      <w:bookmarkStart w:id="620" w:name="_Toc51599587"/>
      <w:bookmarkStart w:id="621" w:name="_Toc487632730"/>
      <w:r>
        <w:rPr>
          <w:rFonts w:hint="eastAsia" w:ascii="宋体" w:hAnsi="宋体" w:cs="宋体"/>
          <w:b/>
          <w:bCs/>
          <w:color w:val="auto"/>
          <w:sz w:val="24"/>
          <w:szCs w:val="24"/>
          <w:highlight w:val="none"/>
        </w:rPr>
        <w:t>8. 材料与设备</w:t>
      </w:r>
      <w:bookmarkEnd w:id="615"/>
      <w:bookmarkEnd w:id="616"/>
      <w:bookmarkEnd w:id="617"/>
      <w:bookmarkEnd w:id="618"/>
      <w:bookmarkEnd w:id="619"/>
      <w:bookmarkEnd w:id="620"/>
      <w:bookmarkEnd w:id="621"/>
    </w:p>
    <w:bookmarkEnd w:id="472"/>
    <w:bookmarkEnd w:id="473"/>
    <w:bookmarkEnd w:id="474"/>
    <w:bookmarkEnd w:id="475"/>
    <w:bookmarkEnd w:id="476"/>
    <w:bookmarkEnd w:id="477"/>
    <w:bookmarkEnd w:id="478"/>
    <w:bookmarkEnd w:id="479"/>
    <w:bookmarkEnd w:id="480"/>
    <w:bookmarkEnd w:id="481"/>
    <w:p w14:paraId="3DC1870C">
      <w:pPr>
        <w:keepNext/>
        <w:keepLines/>
        <w:spacing w:before="120" w:after="120" w:line="440" w:lineRule="exact"/>
        <w:outlineLvl w:val="2"/>
        <w:rPr>
          <w:rFonts w:ascii="宋体" w:hAnsi="宋体" w:cs="宋体"/>
          <w:b/>
          <w:bCs/>
          <w:color w:val="auto"/>
          <w:sz w:val="24"/>
          <w:szCs w:val="24"/>
          <w:highlight w:val="none"/>
        </w:rPr>
      </w:pPr>
      <w:bookmarkStart w:id="622" w:name="_Toc487632731"/>
      <w:bookmarkStart w:id="623" w:name="_Toc389065298"/>
      <w:bookmarkStart w:id="624" w:name="_Toc373227732"/>
      <w:bookmarkStart w:id="625" w:name="_Toc373478379"/>
      <w:bookmarkStart w:id="626" w:name="_Toc51599588"/>
      <w:bookmarkStart w:id="627" w:name="_Toc407135234"/>
      <w:r>
        <w:rPr>
          <w:rFonts w:hint="eastAsia" w:ascii="宋体" w:hAnsi="宋体" w:cs="宋体"/>
          <w:b/>
          <w:bCs/>
          <w:color w:val="auto"/>
          <w:sz w:val="24"/>
          <w:szCs w:val="24"/>
          <w:highlight w:val="none"/>
        </w:rPr>
        <w:t>8.2 承包人采购材料与工程设备</w:t>
      </w:r>
      <w:bookmarkEnd w:id="622"/>
      <w:bookmarkEnd w:id="623"/>
      <w:bookmarkEnd w:id="624"/>
      <w:bookmarkEnd w:id="625"/>
      <w:bookmarkEnd w:id="626"/>
      <w:bookmarkEnd w:id="627"/>
    </w:p>
    <w:p w14:paraId="76B02114">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除已标价工程量清单《发包人提供主要材料和工程设备一览表》（表-21）中明确的材料、工程设备外，由承包人负责材料和工程设备的采购、运输和保管。《</w:t>
      </w:r>
      <w:r>
        <w:rPr>
          <w:rFonts w:hint="eastAsia" w:ascii="宋体" w:hAnsi="宋体" w:cs="宋体"/>
          <w:color w:val="auto"/>
          <w:sz w:val="24"/>
          <w:szCs w:val="24"/>
          <w:highlight w:val="none"/>
        </w:rPr>
        <w:t>承包人提供主要材料和工程设备一览表》</w:t>
      </w:r>
      <w:r>
        <w:rPr>
          <w:rFonts w:hint="eastAsia" w:ascii="宋体" w:hAnsi="宋体" w:cs="宋体"/>
          <w:color w:val="auto"/>
          <w:kern w:val="0"/>
          <w:sz w:val="24"/>
          <w:szCs w:val="24"/>
          <w:highlight w:val="none"/>
        </w:rPr>
        <w:t>（表-22）见已标价工程量清单。</w:t>
      </w:r>
    </w:p>
    <w:p w14:paraId="03AE0516">
      <w:pPr>
        <w:autoSpaceDE w:val="0"/>
        <w:autoSpaceDN w:val="0"/>
        <w:adjustRightInd w:val="0"/>
        <w:spacing w:line="440" w:lineRule="exact"/>
        <w:ind w:firstLine="480" w:firstLineChars="200"/>
        <w:rPr>
          <w:rFonts w:ascii="宋体" w:hAnsi="宋体" w:cs="宋体"/>
          <w:color w:val="auto"/>
          <w:sz w:val="24"/>
          <w:szCs w:val="24"/>
          <w:highlight w:val="none"/>
        </w:rPr>
      </w:pPr>
      <w:bookmarkStart w:id="628" w:name="_Toc373227733"/>
      <w:bookmarkStart w:id="629" w:name="_Toc389065299"/>
      <w:bookmarkStart w:id="630" w:name="_Toc373478380"/>
      <w:r>
        <w:rPr>
          <w:rFonts w:hint="eastAsia" w:ascii="宋体" w:hAnsi="宋体" w:cs="宋体"/>
          <w:color w:val="auto"/>
          <w:sz w:val="24"/>
          <w:szCs w:val="24"/>
          <w:highlight w:val="none"/>
        </w:rPr>
        <w:t>对发包人在磋商时有“参照或相当于**品牌、级别”约定的材料或设备，承包人采购时必须按类似于或优于所约定品牌、等级进行采购，施工期间该部分材料或设备如未超过磋商约定的风险幅度的，结算时按投标单价支付，不得调整。</w:t>
      </w:r>
    </w:p>
    <w:p w14:paraId="15D7FBB7">
      <w:pPr>
        <w:keepNext/>
        <w:keepLines/>
        <w:spacing w:before="120" w:after="120" w:line="440" w:lineRule="exact"/>
        <w:outlineLvl w:val="2"/>
        <w:rPr>
          <w:rFonts w:ascii="宋体" w:hAnsi="宋体" w:cs="宋体"/>
          <w:b/>
          <w:bCs/>
          <w:color w:val="auto"/>
          <w:sz w:val="24"/>
          <w:szCs w:val="24"/>
          <w:highlight w:val="none"/>
        </w:rPr>
      </w:pPr>
      <w:bookmarkStart w:id="631" w:name="_Toc407135235"/>
      <w:bookmarkStart w:id="632" w:name="_Toc51599589"/>
      <w:bookmarkStart w:id="633" w:name="_Toc487632732"/>
      <w:r>
        <w:rPr>
          <w:rFonts w:hint="eastAsia" w:ascii="宋体" w:hAnsi="宋体" w:cs="宋体"/>
          <w:b/>
          <w:bCs/>
          <w:color w:val="auto"/>
          <w:sz w:val="24"/>
          <w:szCs w:val="24"/>
          <w:highlight w:val="none"/>
        </w:rPr>
        <w:t>8</w:t>
      </w:r>
      <w:bookmarkStart w:id="634" w:name="_Toc297123527"/>
      <w:bookmarkStart w:id="635" w:name="_Toc312678019"/>
      <w:bookmarkStart w:id="636" w:name="_Toc300934979"/>
      <w:bookmarkStart w:id="637" w:name="_Toc296891207"/>
      <w:bookmarkStart w:id="638" w:name="_Toc296503167"/>
      <w:bookmarkStart w:id="639" w:name="_Toc292559372"/>
      <w:bookmarkStart w:id="640" w:name="_Toc297048353"/>
      <w:bookmarkStart w:id="641" w:name="_Toc304295556"/>
      <w:bookmarkStart w:id="642" w:name="_Toc297216186"/>
      <w:bookmarkStart w:id="643" w:name="_Toc296944506"/>
      <w:bookmarkStart w:id="644" w:name="_Toc297120467"/>
      <w:bookmarkStart w:id="645" w:name="_Toc292559877"/>
      <w:bookmarkStart w:id="646" w:name="_Toc303539136"/>
      <w:bookmarkStart w:id="647" w:name="_Toc296890995"/>
      <w:bookmarkStart w:id="648" w:name="_Toc296346668"/>
      <w:bookmarkStart w:id="649" w:name="_Toc312677493"/>
      <w:bookmarkStart w:id="650" w:name="_Toc296347166"/>
      <w:bookmarkStart w:id="651" w:name="_Toc280868654"/>
      <w:bookmarkStart w:id="652" w:name="_Toc280868655"/>
      <w:bookmarkStart w:id="653" w:name="_Toc280868656"/>
      <w:bookmarkStart w:id="654" w:name="_Toc267251424"/>
      <w:r>
        <w:rPr>
          <w:rFonts w:hint="eastAsia" w:ascii="宋体" w:hAnsi="宋体" w:cs="宋体"/>
          <w:b/>
          <w:bCs/>
          <w:color w:val="auto"/>
          <w:sz w:val="24"/>
          <w:szCs w:val="24"/>
          <w:highlight w:val="none"/>
        </w:rPr>
        <w:t>.4 材料与工程设备的保管与使用</w:t>
      </w:r>
      <w:bookmarkEnd w:id="628"/>
      <w:bookmarkEnd w:id="629"/>
      <w:bookmarkEnd w:id="630"/>
      <w:bookmarkEnd w:id="631"/>
      <w:bookmarkEnd w:id="632"/>
      <w:bookmarkEnd w:id="633"/>
    </w:p>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14:paraId="34EA5DD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8</w:t>
      </w:r>
      <w:bookmarkStart w:id="655" w:name="_Toc292559878"/>
      <w:bookmarkStart w:id="656" w:name="_Toc292559373"/>
      <w:bookmarkStart w:id="657" w:name="_Toc297216187"/>
      <w:bookmarkStart w:id="658" w:name="_Toc296346669"/>
      <w:bookmarkStart w:id="659" w:name="_Toc296503168"/>
      <w:bookmarkStart w:id="660" w:name="_Toc312677494"/>
      <w:bookmarkStart w:id="661" w:name="_Toc296944507"/>
      <w:bookmarkStart w:id="662" w:name="_Toc296890996"/>
      <w:bookmarkStart w:id="663" w:name="_Toc312678020"/>
      <w:bookmarkStart w:id="664" w:name="_Toc296347167"/>
      <w:bookmarkStart w:id="665" w:name="_Toc297123528"/>
      <w:bookmarkStart w:id="666" w:name="_Toc303539137"/>
      <w:bookmarkStart w:id="667" w:name="_Toc296891208"/>
      <w:bookmarkStart w:id="668" w:name="_Toc318581173"/>
      <w:bookmarkStart w:id="669" w:name="_Toc304295557"/>
      <w:bookmarkStart w:id="670" w:name="_Toc297048354"/>
      <w:bookmarkStart w:id="671" w:name="_Toc300934980"/>
      <w:bookmarkStart w:id="672" w:name="_Toc297120468"/>
      <w:r>
        <w:rPr>
          <w:rFonts w:hint="eastAsia" w:ascii="宋体" w:hAnsi="宋体" w:cs="宋体"/>
          <w:color w:val="auto"/>
          <w:sz w:val="24"/>
          <w:szCs w:val="24"/>
          <w:highlight w:val="none"/>
        </w:rPr>
        <w:t>.4.1发包人供应的材料设备的保管费用的承担：</w:t>
      </w:r>
      <w:r>
        <w:rPr>
          <w:rFonts w:hint="eastAsia" w:ascii="宋体" w:hAnsi="宋体" w:cs="宋体"/>
          <w:color w:val="auto"/>
          <w:sz w:val="24"/>
          <w:szCs w:val="24"/>
          <w:highlight w:val="none"/>
          <w:u w:val="single"/>
        </w:rPr>
        <w:t xml:space="preserve">  由承包人承担  </w:t>
      </w:r>
      <w:r>
        <w:rPr>
          <w:rFonts w:hint="eastAsia" w:ascii="宋体" w:hAnsi="宋体" w:cs="宋体"/>
          <w:color w:val="auto"/>
          <w:sz w:val="24"/>
          <w:szCs w:val="24"/>
          <w:highlight w:val="none"/>
        </w:rPr>
        <w:t>。</w:t>
      </w:r>
    </w:p>
    <w:bookmarkEnd w:id="655"/>
    <w:bookmarkEnd w:id="656"/>
    <w:p w14:paraId="662EF0D6">
      <w:pPr>
        <w:keepNext/>
        <w:keepLines/>
        <w:spacing w:before="120" w:after="120" w:line="440" w:lineRule="exact"/>
        <w:outlineLvl w:val="2"/>
        <w:rPr>
          <w:rFonts w:ascii="宋体" w:hAnsi="宋体" w:cs="宋体"/>
          <w:b/>
          <w:bCs/>
          <w:color w:val="auto"/>
          <w:sz w:val="24"/>
          <w:szCs w:val="24"/>
          <w:highlight w:val="none"/>
        </w:rPr>
      </w:pPr>
      <w:bookmarkStart w:id="673" w:name="_Toc51599590"/>
      <w:bookmarkStart w:id="674" w:name="_Toc407135236"/>
      <w:bookmarkStart w:id="675" w:name="_Toc373227734"/>
      <w:bookmarkStart w:id="676" w:name="_Toc373478381"/>
      <w:bookmarkStart w:id="677" w:name="_Toc389065300"/>
      <w:bookmarkStart w:id="678" w:name="_Toc487632733"/>
      <w:r>
        <w:rPr>
          <w:rFonts w:hint="eastAsia" w:ascii="宋体" w:hAnsi="宋体" w:cs="宋体"/>
          <w:b/>
          <w:bCs/>
          <w:color w:val="auto"/>
          <w:sz w:val="24"/>
          <w:szCs w:val="24"/>
          <w:highlight w:val="none"/>
        </w:rPr>
        <w:t>8.6 样品</w:t>
      </w:r>
      <w:bookmarkEnd w:id="673"/>
      <w:bookmarkEnd w:id="674"/>
      <w:bookmarkEnd w:id="675"/>
      <w:bookmarkEnd w:id="676"/>
      <w:bookmarkEnd w:id="677"/>
      <w:bookmarkEnd w:id="678"/>
    </w:p>
    <w:p w14:paraId="0EEA9E3E">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8.6.1 样品的报送与封存</w:t>
      </w:r>
    </w:p>
    <w:p w14:paraId="7E2B503D">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需要承包人报送样品的材料或工程设备，样品的种类、名称、规格、数量要求：</w:t>
      </w:r>
      <w:r>
        <w:rPr>
          <w:rFonts w:hint="eastAsia" w:ascii="宋体" w:hAnsi="宋体" w:cs="宋体"/>
          <w:color w:val="auto"/>
          <w:sz w:val="24"/>
          <w:szCs w:val="24"/>
          <w:highlight w:val="none"/>
          <w:u w:val="single"/>
        </w:rPr>
        <w:t>主要材料涉及品种、款式、颜色等方面内容的，承包人应提交准备合格的材料样品送发包人选定。</w:t>
      </w:r>
    </w:p>
    <w:p w14:paraId="18C6B5BA">
      <w:pPr>
        <w:keepNext/>
        <w:keepLines/>
        <w:spacing w:before="120" w:after="120" w:line="440" w:lineRule="exact"/>
        <w:outlineLvl w:val="2"/>
        <w:rPr>
          <w:rFonts w:ascii="宋体" w:hAnsi="宋体" w:cs="宋体"/>
          <w:b/>
          <w:bCs/>
          <w:color w:val="auto"/>
          <w:sz w:val="24"/>
          <w:szCs w:val="24"/>
          <w:highlight w:val="none"/>
        </w:rPr>
      </w:pPr>
      <w:bookmarkStart w:id="679" w:name="_Toc487632734"/>
      <w:bookmarkStart w:id="680" w:name="_Toc373478382"/>
      <w:bookmarkStart w:id="681" w:name="_Toc407135237"/>
      <w:bookmarkStart w:id="682" w:name="_Toc51599591"/>
      <w:bookmarkStart w:id="683" w:name="_Toc389065301"/>
      <w:bookmarkStart w:id="684" w:name="_Toc373227735"/>
      <w:r>
        <w:rPr>
          <w:rFonts w:hint="eastAsia" w:ascii="宋体" w:hAnsi="宋体" w:cs="宋体"/>
          <w:b/>
          <w:bCs/>
          <w:color w:val="auto"/>
          <w:sz w:val="24"/>
          <w:szCs w:val="24"/>
          <w:highlight w:val="none"/>
        </w:rPr>
        <w:t>8.8 施工设备和临时设施</w:t>
      </w:r>
      <w:bookmarkEnd w:id="679"/>
      <w:bookmarkEnd w:id="680"/>
      <w:bookmarkEnd w:id="681"/>
      <w:bookmarkEnd w:id="682"/>
      <w:bookmarkEnd w:id="683"/>
      <w:bookmarkEnd w:id="684"/>
    </w:p>
    <w:p w14:paraId="267810F5">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7110E3A0">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②承包人负责合同实施期间其合同段内临时交通道路（含场内外连接公共交通道路）和交通设施的修建、维修、养护和交通管理工作，并承担一切费用。</w:t>
      </w:r>
    </w:p>
    <w:p w14:paraId="7F21B30E">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5A9D1656">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8.8.2 发包人提供的施工设备和临时设施</w:t>
      </w:r>
    </w:p>
    <w:p w14:paraId="1A546626">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发包人提供的施工设备和临时设施：</w:t>
      </w:r>
      <w:r>
        <w:rPr>
          <w:rFonts w:hint="eastAsia" w:ascii="宋体" w:hAnsi="宋体" w:cs="宋体"/>
          <w:color w:val="auto"/>
          <w:sz w:val="24"/>
          <w:szCs w:val="24"/>
          <w:highlight w:val="none"/>
          <w:u w:val="single"/>
        </w:rPr>
        <w:t>发包人不提供任何施工设备和临时设施，临时设施的修建及施工所需的水、电管线的铺设等均由承包人自行解决，发包人予以协助</w:t>
      </w:r>
      <w:r>
        <w:rPr>
          <w:rFonts w:hint="eastAsia" w:ascii="宋体" w:hAnsi="宋体" w:cs="宋体"/>
          <w:color w:val="auto"/>
          <w:sz w:val="24"/>
          <w:szCs w:val="24"/>
          <w:highlight w:val="none"/>
        </w:rPr>
        <w:t>。</w:t>
      </w:r>
    </w:p>
    <w:p w14:paraId="641532E5">
      <w:pPr>
        <w:autoSpaceDE w:val="0"/>
        <w:autoSpaceDN w:val="0"/>
        <w:adjustRightInd w:val="0"/>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发包人提供的施工设备和临时设施的运行、维护、拆除、清运费用的承担人：</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14:paraId="1F98E7E6">
      <w:pPr>
        <w:keepNext/>
        <w:keepLines/>
        <w:spacing w:before="120" w:after="120" w:line="440" w:lineRule="exact"/>
        <w:outlineLvl w:val="1"/>
        <w:rPr>
          <w:rFonts w:ascii="宋体" w:hAnsi="宋体" w:cs="宋体"/>
          <w:b/>
          <w:bCs/>
          <w:color w:val="auto"/>
          <w:sz w:val="24"/>
          <w:szCs w:val="24"/>
          <w:highlight w:val="none"/>
        </w:rPr>
      </w:pPr>
      <w:bookmarkStart w:id="685" w:name="_Toc373478383"/>
      <w:bookmarkStart w:id="686" w:name="_Toc351203641"/>
      <w:bookmarkStart w:id="687" w:name="_Toc389065302"/>
      <w:bookmarkStart w:id="688" w:name="_Toc487632735"/>
      <w:bookmarkStart w:id="689" w:name="_Toc407135238"/>
      <w:bookmarkStart w:id="690" w:name="_Toc373227736"/>
      <w:bookmarkStart w:id="691" w:name="_Toc51599592"/>
      <w:r>
        <w:rPr>
          <w:rFonts w:hint="eastAsia" w:ascii="宋体" w:hAnsi="宋体" w:cs="宋体"/>
          <w:b/>
          <w:bCs/>
          <w:color w:val="auto"/>
          <w:sz w:val="24"/>
          <w:szCs w:val="24"/>
          <w:highlight w:val="none"/>
        </w:rPr>
        <w:t>9</w:t>
      </w:r>
      <w:bookmarkEnd w:id="652"/>
      <w:bookmarkEnd w:id="653"/>
      <w:bookmarkEnd w:id="654"/>
      <w:bookmarkStart w:id="692" w:name="_Toc297123533"/>
      <w:bookmarkStart w:id="693" w:name="_Toc312678021"/>
      <w:bookmarkStart w:id="694" w:name="_Toc304295559"/>
      <w:bookmarkStart w:id="695" w:name="_Toc300934982"/>
      <w:bookmarkStart w:id="696" w:name="_Toc312677495"/>
      <w:bookmarkStart w:id="697" w:name="_Toc303539139"/>
      <w:bookmarkStart w:id="698" w:name="_Toc297216192"/>
      <w:bookmarkStart w:id="699" w:name="_Toc296944512"/>
      <w:bookmarkStart w:id="700" w:name="_Toc296347172"/>
      <w:bookmarkStart w:id="701" w:name="_Toc296503173"/>
      <w:bookmarkStart w:id="702" w:name="_Toc297120473"/>
      <w:bookmarkStart w:id="703" w:name="_Toc267251428"/>
      <w:bookmarkStart w:id="704" w:name="_Toc267251427"/>
      <w:bookmarkStart w:id="705" w:name="_Toc297048359"/>
      <w:bookmarkStart w:id="706" w:name="_Toc292559378"/>
      <w:bookmarkStart w:id="707" w:name="_Toc296891001"/>
      <w:bookmarkStart w:id="708" w:name="_Toc296891213"/>
      <w:bookmarkStart w:id="709" w:name="_Toc296346674"/>
      <w:bookmarkStart w:id="710" w:name="_Toc292559883"/>
      <w:r>
        <w:rPr>
          <w:rFonts w:hint="eastAsia" w:ascii="宋体" w:hAnsi="宋体" w:cs="宋体"/>
          <w:b/>
          <w:bCs/>
          <w:color w:val="auto"/>
          <w:sz w:val="24"/>
          <w:szCs w:val="24"/>
          <w:highlight w:val="none"/>
        </w:rPr>
        <w:t>. 试验与检验</w:t>
      </w:r>
      <w:bookmarkEnd w:id="685"/>
      <w:bookmarkEnd w:id="686"/>
      <w:bookmarkEnd w:id="687"/>
      <w:bookmarkEnd w:id="688"/>
      <w:bookmarkEnd w:id="689"/>
      <w:bookmarkEnd w:id="690"/>
      <w:bookmarkEnd w:id="691"/>
    </w:p>
    <w:bookmarkEnd w:id="692"/>
    <w:bookmarkEnd w:id="693"/>
    <w:bookmarkEnd w:id="694"/>
    <w:bookmarkEnd w:id="695"/>
    <w:bookmarkEnd w:id="696"/>
    <w:bookmarkEnd w:id="697"/>
    <w:bookmarkEnd w:id="698"/>
    <w:p w14:paraId="1DA9B2C6">
      <w:pPr>
        <w:keepNext/>
        <w:keepLines/>
        <w:spacing w:before="120" w:after="120" w:line="440" w:lineRule="exact"/>
        <w:outlineLvl w:val="2"/>
        <w:rPr>
          <w:rFonts w:ascii="宋体" w:hAnsi="宋体" w:cs="宋体"/>
          <w:b/>
          <w:bCs/>
          <w:color w:val="auto"/>
          <w:sz w:val="24"/>
          <w:szCs w:val="24"/>
          <w:highlight w:val="none"/>
        </w:rPr>
      </w:pPr>
      <w:bookmarkStart w:id="711" w:name="_Toc487632736"/>
      <w:bookmarkStart w:id="712" w:name="_Toc373227737"/>
      <w:bookmarkStart w:id="713" w:name="_Toc373478384"/>
      <w:bookmarkStart w:id="714" w:name="_Toc407135239"/>
      <w:bookmarkStart w:id="715" w:name="_Toc389065303"/>
      <w:bookmarkStart w:id="716" w:name="_Toc51599593"/>
      <w:r>
        <w:rPr>
          <w:rFonts w:hint="eastAsia" w:ascii="宋体" w:hAnsi="宋体" w:cs="宋体"/>
          <w:b/>
          <w:bCs/>
          <w:color w:val="auto"/>
          <w:sz w:val="24"/>
          <w:szCs w:val="24"/>
          <w:highlight w:val="none"/>
        </w:rPr>
        <w:t>9</w:t>
      </w:r>
      <w:bookmarkStart w:id="717" w:name="_Toc297216193"/>
      <w:bookmarkStart w:id="718" w:name="_Toc303539140"/>
      <w:bookmarkStart w:id="719" w:name="_Toc304295560"/>
      <w:bookmarkStart w:id="720" w:name="_Toc312677496"/>
      <w:bookmarkStart w:id="721" w:name="_Toc300934983"/>
      <w:bookmarkStart w:id="722" w:name="_Toc312678022"/>
      <w:bookmarkStart w:id="723" w:name="_Toc297123534"/>
      <w:r>
        <w:rPr>
          <w:rFonts w:hint="eastAsia" w:ascii="宋体" w:hAnsi="宋体" w:cs="宋体"/>
          <w:b/>
          <w:bCs/>
          <w:color w:val="auto"/>
          <w:sz w:val="24"/>
          <w:szCs w:val="24"/>
          <w:highlight w:val="none"/>
        </w:rPr>
        <w:t>.1 试验设备与试验人员</w:t>
      </w:r>
      <w:bookmarkEnd w:id="711"/>
      <w:bookmarkEnd w:id="712"/>
      <w:bookmarkEnd w:id="713"/>
      <w:bookmarkEnd w:id="714"/>
      <w:bookmarkEnd w:id="715"/>
      <w:bookmarkEnd w:id="716"/>
    </w:p>
    <w:bookmarkEnd w:id="717"/>
    <w:bookmarkEnd w:id="718"/>
    <w:bookmarkEnd w:id="719"/>
    <w:bookmarkEnd w:id="720"/>
    <w:bookmarkEnd w:id="721"/>
    <w:bookmarkEnd w:id="722"/>
    <w:bookmarkEnd w:id="723"/>
    <w:p w14:paraId="2AED448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w:t>
      </w:r>
      <w:bookmarkStart w:id="724" w:name="_Toc300934984"/>
      <w:bookmarkStart w:id="725" w:name="_Toc312678023"/>
      <w:bookmarkStart w:id="726" w:name="_Toc312677497"/>
      <w:bookmarkStart w:id="727" w:name="_Toc297123535"/>
      <w:bookmarkStart w:id="728" w:name="_Toc304295561"/>
      <w:bookmarkStart w:id="729" w:name="_Toc303539141"/>
      <w:bookmarkStart w:id="730" w:name="_Toc297216194"/>
      <w:bookmarkStart w:id="731" w:name="_Toc318581174"/>
      <w:r>
        <w:rPr>
          <w:rFonts w:hint="eastAsia" w:ascii="宋体" w:hAnsi="宋体" w:cs="宋体"/>
          <w:color w:val="auto"/>
          <w:sz w:val="24"/>
          <w:szCs w:val="24"/>
          <w:highlight w:val="none"/>
        </w:rPr>
        <w:t>.1.2 试验设备</w:t>
      </w:r>
    </w:p>
    <w:bookmarkEnd w:id="724"/>
    <w:bookmarkEnd w:id="725"/>
    <w:bookmarkEnd w:id="726"/>
    <w:bookmarkEnd w:id="727"/>
    <w:bookmarkEnd w:id="728"/>
    <w:bookmarkEnd w:id="729"/>
    <w:bookmarkEnd w:id="730"/>
    <w:p w14:paraId="1F447906">
      <w:pPr>
        <w:spacing w:line="440" w:lineRule="exact"/>
        <w:ind w:firstLine="480" w:firstLineChars="200"/>
        <w:rPr>
          <w:rFonts w:ascii="宋体" w:hAnsi="宋体" w:cs="宋体"/>
          <w:color w:val="auto"/>
          <w:sz w:val="24"/>
          <w:szCs w:val="24"/>
          <w:highlight w:val="none"/>
          <w:u w:val="single"/>
        </w:rPr>
      </w:pPr>
      <w:bookmarkStart w:id="732" w:name="_Toc487632737"/>
      <w:bookmarkStart w:id="733" w:name="_Toc373227738"/>
      <w:bookmarkStart w:id="734" w:name="_Toc389065304"/>
      <w:bookmarkStart w:id="735" w:name="_Toc373478385"/>
      <w:bookmarkStart w:id="736" w:name="_Toc407135240"/>
      <w:bookmarkStart w:id="737" w:name="_Toc303539142"/>
      <w:bookmarkStart w:id="738" w:name="_Toc297216195"/>
      <w:bookmarkStart w:id="739" w:name="_Toc297123536"/>
      <w:bookmarkStart w:id="740" w:name="_Toc304295562"/>
      <w:bookmarkStart w:id="741" w:name="_Toc312678024"/>
      <w:bookmarkStart w:id="742" w:name="_Toc312677498"/>
      <w:bookmarkStart w:id="743" w:name="_Toc300934985"/>
      <w:r>
        <w:rPr>
          <w:rFonts w:hint="eastAsia" w:ascii="宋体" w:hAnsi="宋体" w:cs="宋体"/>
          <w:color w:val="auto"/>
          <w:sz w:val="24"/>
          <w:szCs w:val="24"/>
          <w:highlight w:val="none"/>
        </w:rPr>
        <w:t>施工现场需要配置的试验场所：</w:t>
      </w:r>
      <w:r>
        <w:rPr>
          <w:rFonts w:hint="eastAsia" w:ascii="宋体" w:hAnsi="宋体" w:cs="宋体"/>
          <w:color w:val="auto"/>
          <w:sz w:val="24"/>
          <w:szCs w:val="24"/>
          <w:highlight w:val="none"/>
          <w:u w:val="single"/>
        </w:rPr>
        <w:t xml:space="preserve">   按有关规定和监理人要求执行      </w:t>
      </w:r>
      <w:r>
        <w:rPr>
          <w:rFonts w:hint="eastAsia" w:ascii="宋体" w:hAnsi="宋体" w:cs="宋体"/>
          <w:color w:val="auto"/>
          <w:sz w:val="24"/>
          <w:szCs w:val="24"/>
          <w:highlight w:val="none"/>
        </w:rPr>
        <w:t>。</w:t>
      </w:r>
    </w:p>
    <w:p w14:paraId="66F20C6E">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施工现场需要配备的试验设备：</w:t>
      </w:r>
      <w:r>
        <w:rPr>
          <w:rFonts w:hint="eastAsia" w:ascii="宋体" w:hAnsi="宋体" w:cs="宋体"/>
          <w:color w:val="auto"/>
          <w:sz w:val="24"/>
          <w:szCs w:val="24"/>
          <w:highlight w:val="none"/>
          <w:u w:val="single"/>
        </w:rPr>
        <w:t xml:space="preserve">   按有关规定和监理人要求执行      </w:t>
      </w:r>
      <w:r>
        <w:rPr>
          <w:rFonts w:hint="eastAsia" w:ascii="宋体" w:hAnsi="宋体" w:cs="宋体"/>
          <w:color w:val="auto"/>
          <w:sz w:val="24"/>
          <w:szCs w:val="24"/>
          <w:highlight w:val="none"/>
        </w:rPr>
        <w:t>。</w:t>
      </w:r>
    </w:p>
    <w:p w14:paraId="34DB9BF5">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施工现场需要具备的其他试验条件：</w:t>
      </w:r>
      <w:r>
        <w:rPr>
          <w:rFonts w:hint="eastAsia" w:ascii="宋体" w:hAnsi="宋体" w:cs="宋体"/>
          <w:color w:val="auto"/>
          <w:sz w:val="24"/>
          <w:szCs w:val="24"/>
          <w:highlight w:val="none"/>
          <w:u w:val="single"/>
        </w:rPr>
        <w:t xml:space="preserve">   按有关规定和监理人要求执行      </w:t>
      </w:r>
      <w:r>
        <w:rPr>
          <w:rFonts w:hint="eastAsia" w:ascii="宋体" w:hAnsi="宋体" w:cs="宋体"/>
          <w:color w:val="auto"/>
          <w:sz w:val="24"/>
          <w:szCs w:val="24"/>
          <w:highlight w:val="none"/>
        </w:rPr>
        <w:t>。</w:t>
      </w:r>
    </w:p>
    <w:p w14:paraId="0D93D64F">
      <w:pPr>
        <w:keepNext/>
        <w:keepLines/>
        <w:spacing w:before="120" w:after="120" w:line="440" w:lineRule="exact"/>
        <w:outlineLvl w:val="2"/>
        <w:rPr>
          <w:rFonts w:ascii="宋体" w:hAnsi="宋体" w:cs="宋体"/>
          <w:b/>
          <w:bCs/>
          <w:color w:val="auto"/>
          <w:sz w:val="24"/>
          <w:szCs w:val="24"/>
          <w:highlight w:val="none"/>
        </w:rPr>
      </w:pPr>
      <w:bookmarkStart w:id="744" w:name="_Toc51599594"/>
      <w:r>
        <w:rPr>
          <w:rFonts w:hint="eastAsia" w:ascii="宋体" w:hAnsi="宋体" w:cs="宋体"/>
          <w:b/>
          <w:bCs/>
          <w:color w:val="auto"/>
          <w:sz w:val="24"/>
          <w:szCs w:val="24"/>
          <w:highlight w:val="none"/>
        </w:rPr>
        <w:t>9.4 现场工艺试验</w:t>
      </w:r>
      <w:bookmarkEnd w:id="732"/>
      <w:bookmarkEnd w:id="733"/>
      <w:bookmarkEnd w:id="734"/>
      <w:bookmarkEnd w:id="735"/>
      <w:bookmarkEnd w:id="736"/>
      <w:bookmarkEnd w:id="744"/>
      <w:r>
        <w:rPr>
          <w:rFonts w:hint="eastAsia" w:ascii="宋体" w:hAnsi="宋体" w:cs="宋体"/>
          <w:b/>
          <w:bCs/>
          <w:color w:val="auto"/>
          <w:sz w:val="24"/>
          <w:szCs w:val="24"/>
          <w:highlight w:val="none"/>
        </w:rPr>
        <w:t xml:space="preserve"> </w:t>
      </w:r>
    </w:p>
    <w:p w14:paraId="3698BD3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现场工艺试验的有关约定：</w:t>
      </w:r>
      <w:r>
        <w:rPr>
          <w:rFonts w:hint="eastAsia" w:ascii="宋体" w:hAnsi="宋体" w:cs="宋体"/>
          <w:color w:val="auto"/>
          <w:sz w:val="24"/>
          <w:szCs w:val="24"/>
          <w:highlight w:val="none"/>
          <w:u w:val="single"/>
        </w:rPr>
        <w:t xml:space="preserve">   按规范要求执行      </w:t>
      </w:r>
      <w:r>
        <w:rPr>
          <w:rFonts w:hint="eastAsia" w:ascii="宋体" w:hAnsi="宋体" w:cs="宋体"/>
          <w:color w:val="auto"/>
          <w:sz w:val="24"/>
          <w:szCs w:val="24"/>
          <w:highlight w:val="none"/>
        </w:rPr>
        <w:t>。</w:t>
      </w:r>
    </w:p>
    <w:p w14:paraId="414D50B0">
      <w:pPr>
        <w:keepNext/>
        <w:keepLines/>
        <w:spacing w:before="120" w:after="120" w:line="440" w:lineRule="exact"/>
        <w:outlineLvl w:val="2"/>
        <w:rPr>
          <w:rFonts w:ascii="宋体" w:hAnsi="宋体" w:cs="宋体"/>
          <w:b/>
          <w:bCs/>
          <w:color w:val="auto"/>
          <w:sz w:val="24"/>
          <w:szCs w:val="24"/>
          <w:highlight w:val="none"/>
        </w:rPr>
      </w:pPr>
      <w:bookmarkStart w:id="745" w:name="_Toc407135241"/>
      <w:bookmarkStart w:id="746" w:name="_Toc487632738"/>
      <w:bookmarkStart w:id="747" w:name="_Toc51599595"/>
      <w:r>
        <w:rPr>
          <w:rFonts w:hint="eastAsia" w:ascii="宋体" w:hAnsi="宋体" w:cs="宋体"/>
          <w:b/>
          <w:bCs/>
          <w:color w:val="auto"/>
          <w:sz w:val="24"/>
          <w:szCs w:val="24"/>
          <w:highlight w:val="none"/>
        </w:rPr>
        <w:t>9.5 检验费用</w:t>
      </w:r>
      <w:bookmarkEnd w:id="745"/>
      <w:bookmarkEnd w:id="746"/>
      <w:bookmarkEnd w:id="747"/>
    </w:p>
    <w:p w14:paraId="07A20DE6">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根据《建设工程质量检测管理办法》（建设部令第141号）以及《广西壮族自治区建设工程质量检测管理规定》（桂建管〔2013〕11号）规定，工程质量检测业务由发包人委托有相应资质的检测机构检测。费用含在合同价款内。</w:t>
      </w:r>
    </w:p>
    <w:bookmarkEnd w:id="731"/>
    <w:bookmarkEnd w:id="737"/>
    <w:bookmarkEnd w:id="738"/>
    <w:bookmarkEnd w:id="739"/>
    <w:bookmarkEnd w:id="740"/>
    <w:bookmarkEnd w:id="741"/>
    <w:bookmarkEnd w:id="742"/>
    <w:bookmarkEnd w:id="743"/>
    <w:p w14:paraId="652755A6">
      <w:pPr>
        <w:keepNext/>
        <w:keepLines/>
        <w:spacing w:before="120" w:after="120" w:line="440" w:lineRule="exact"/>
        <w:outlineLvl w:val="1"/>
        <w:rPr>
          <w:rFonts w:ascii="宋体" w:hAnsi="宋体" w:cs="宋体"/>
          <w:b/>
          <w:bCs/>
          <w:color w:val="auto"/>
          <w:sz w:val="24"/>
          <w:szCs w:val="24"/>
          <w:highlight w:val="none"/>
        </w:rPr>
      </w:pPr>
      <w:bookmarkStart w:id="748" w:name="_Toc407135242"/>
      <w:bookmarkStart w:id="749" w:name="_Toc51599596"/>
      <w:bookmarkStart w:id="750" w:name="_Toc373227739"/>
      <w:bookmarkStart w:id="751" w:name="_Toc389065305"/>
      <w:bookmarkStart w:id="752" w:name="_Toc351203642"/>
      <w:bookmarkStart w:id="753" w:name="_Toc487632739"/>
      <w:bookmarkStart w:id="754" w:name="_Toc373478386"/>
      <w:r>
        <w:rPr>
          <w:rFonts w:hint="eastAsia" w:ascii="宋体" w:hAnsi="宋体" w:cs="宋体"/>
          <w:b/>
          <w:bCs/>
          <w:color w:val="auto"/>
          <w:sz w:val="24"/>
          <w:szCs w:val="24"/>
          <w:highlight w:val="none"/>
        </w:rPr>
        <w:t>1</w:t>
      </w:r>
      <w:bookmarkEnd w:id="699"/>
      <w:bookmarkEnd w:id="700"/>
      <w:bookmarkEnd w:id="701"/>
      <w:bookmarkEnd w:id="702"/>
      <w:bookmarkEnd w:id="703"/>
      <w:bookmarkEnd w:id="704"/>
      <w:bookmarkEnd w:id="705"/>
      <w:bookmarkEnd w:id="706"/>
      <w:bookmarkEnd w:id="707"/>
      <w:bookmarkEnd w:id="708"/>
      <w:bookmarkEnd w:id="709"/>
      <w:bookmarkEnd w:id="710"/>
      <w:bookmarkStart w:id="755" w:name="_Toc296347192"/>
      <w:bookmarkStart w:id="756" w:name="_Toc297120493"/>
      <w:bookmarkStart w:id="757" w:name="_Toc296891021"/>
      <w:bookmarkStart w:id="758" w:name="_Toc297048379"/>
      <w:bookmarkStart w:id="759" w:name="_Toc296891233"/>
      <w:bookmarkStart w:id="760" w:name="_Toc297123540"/>
      <w:bookmarkStart w:id="761" w:name="_Toc300934989"/>
      <w:bookmarkStart w:id="762" w:name="_Toc303539146"/>
      <w:bookmarkStart w:id="763" w:name="_Toc297216199"/>
      <w:bookmarkStart w:id="764" w:name="_Toc292559398"/>
      <w:bookmarkStart w:id="765" w:name="_Toc304295566"/>
      <w:bookmarkStart w:id="766" w:name="_Toc292559903"/>
      <w:bookmarkStart w:id="767" w:name="_Toc296503193"/>
      <w:bookmarkStart w:id="768" w:name="_Toc296944532"/>
      <w:bookmarkStart w:id="769" w:name="_Toc296346694"/>
      <w:bookmarkStart w:id="770" w:name="_Toc312677499"/>
      <w:bookmarkStart w:id="771" w:name="_Toc312678025"/>
      <w:bookmarkStart w:id="772" w:name="_Toc267251437"/>
      <w:bookmarkStart w:id="773" w:name="_Toc267251435"/>
      <w:bookmarkStart w:id="774" w:name="_Toc267251441"/>
      <w:bookmarkStart w:id="775" w:name="_Toc267251439"/>
      <w:bookmarkStart w:id="776" w:name="_Toc267251440"/>
      <w:bookmarkStart w:id="777" w:name="_Toc267251433"/>
      <w:bookmarkStart w:id="778" w:name="_Toc267251442"/>
      <w:r>
        <w:rPr>
          <w:rFonts w:hint="eastAsia" w:ascii="宋体" w:hAnsi="宋体" w:cs="宋体"/>
          <w:b/>
          <w:bCs/>
          <w:color w:val="auto"/>
          <w:sz w:val="24"/>
          <w:szCs w:val="24"/>
          <w:highlight w:val="none"/>
        </w:rPr>
        <w:t>0. 变更</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bookmarkEnd w:id="770"/>
    <w:bookmarkEnd w:id="771"/>
    <w:p w14:paraId="14090FA2">
      <w:pPr>
        <w:keepNext/>
        <w:keepLines/>
        <w:spacing w:before="120" w:after="120" w:line="440" w:lineRule="exact"/>
        <w:outlineLvl w:val="2"/>
        <w:rPr>
          <w:rFonts w:ascii="宋体" w:hAnsi="宋体" w:cs="宋体"/>
          <w:b/>
          <w:bCs/>
          <w:color w:val="auto"/>
          <w:sz w:val="24"/>
          <w:szCs w:val="24"/>
          <w:highlight w:val="none"/>
        </w:rPr>
      </w:pPr>
      <w:bookmarkStart w:id="779" w:name="_Toc51599597"/>
      <w:bookmarkStart w:id="780" w:name="_Toc407135243"/>
      <w:bookmarkStart w:id="781" w:name="_Toc373478387"/>
      <w:bookmarkStart w:id="782" w:name="_Toc373227740"/>
      <w:bookmarkStart w:id="783" w:name="_Toc487632740"/>
      <w:bookmarkStart w:id="784" w:name="_Toc389065306"/>
      <w:r>
        <w:rPr>
          <w:rFonts w:hint="eastAsia" w:ascii="宋体" w:hAnsi="宋体" w:cs="宋体"/>
          <w:b/>
          <w:bCs/>
          <w:color w:val="auto"/>
          <w:sz w:val="24"/>
          <w:szCs w:val="24"/>
          <w:highlight w:val="none"/>
        </w:rPr>
        <w:t>1</w:t>
      </w:r>
      <w:bookmarkStart w:id="785" w:name="_Toc296944533"/>
      <w:bookmarkStart w:id="786" w:name="_Toc296347193"/>
      <w:bookmarkStart w:id="787" w:name="_Toc292559904"/>
      <w:bookmarkStart w:id="788" w:name="_Toc292559399"/>
      <w:bookmarkStart w:id="789" w:name="_Toc297048380"/>
      <w:bookmarkStart w:id="790" w:name="_Toc296891022"/>
      <w:bookmarkStart w:id="791" w:name="_Toc304295567"/>
      <w:bookmarkStart w:id="792" w:name="_Toc296346695"/>
      <w:bookmarkStart w:id="793" w:name="_Toc312677500"/>
      <w:bookmarkStart w:id="794" w:name="_Toc303539147"/>
      <w:bookmarkStart w:id="795" w:name="_Toc297120494"/>
      <w:bookmarkStart w:id="796" w:name="_Toc296891234"/>
      <w:bookmarkStart w:id="797" w:name="_Toc297123541"/>
      <w:bookmarkStart w:id="798" w:name="_Toc296503194"/>
      <w:bookmarkStart w:id="799" w:name="_Toc300934990"/>
      <w:bookmarkStart w:id="800" w:name="_Toc297216200"/>
      <w:bookmarkStart w:id="801" w:name="_Toc312678026"/>
      <w:r>
        <w:rPr>
          <w:rFonts w:hint="eastAsia" w:ascii="宋体" w:hAnsi="宋体" w:cs="宋体"/>
          <w:b/>
          <w:bCs/>
          <w:color w:val="auto"/>
          <w:sz w:val="24"/>
          <w:szCs w:val="24"/>
          <w:highlight w:val="none"/>
        </w:rPr>
        <w:t>0.1 变更的范围</w:t>
      </w:r>
      <w:bookmarkEnd w:id="779"/>
      <w:bookmarkEnd w:id="780"/>
      <w:bookmarkEnd w:id="781"/>
      <w:bookmarkEnd w:id="782"/>
      <w:bookmarkEnd w:id="783"/>
      <w:bookmarkEnd w:id="784"/>
    </w:p>
    <w:p w14:paraId="236828EB">
      <w:pPr>
        <w:spacing w:line="440" w:lineRule="exact"/>
        <w:ind w:firstLine="426"/>
        <w:rPr>
          <w:rFonts w:ascii="宋体" w:hAnsi="宋体" w:cs="宋体"/>
          <w:color w:val="auto"/>
          <w:sz w:val="24"/>
          <w:szCs w:val="24"/>
          <w:highlight w:val="none"/>
        </w:rPr>
      </w:pPr>
      <w:r>
        <w:rPr>
          <w:rFonts w:hint="eastAsia" w:ascii="宋体" w:hAnsi="宋体" w:cs="宋体"/>
          <w:color w:val="auto"/>
          <w:sz w:val="24"/>
          <w:szCs w:val="24"/>
          <w:highlight w:val="none"/>
        </w:rPr>
        <w:t>关于变更的范围的约定：</w:t>
      </w:r>
      <w:r>
        <w:rPr>
          <w:rFonts w:hint="eastAsia" w:ascii="宋体" w:hAnsi="宋体" w:cs="宋体"/>
          <w:color w:val="auto"/>
          <w:sz w:val="24"/>
          <w:szCs w:val="24"/>
          <w:highlight w:val="none"/>
          <w:u w:val="single"/>
        </w:rPr>
        <w:t xml:space="preserve">  按通用合同条款执行 ，本项目无增加工程 </w:t>
      </w:r>
      <w:r>
        <w:rPr>
          <w:rFonts w:hint="eastAsia" w:ascii="宋体" w:hAnsi="宋体" w:cs="宋体"/>
          <w:color w:val="auto"/>
          <w:sz w:val="24"/>
          <w:szCs w:val="24"/>
          <w:highlight w:val="none"/>
        </w:rPr>
        <w:t>。</w:t>
      </w:r>
    </w:p>
    <w:p w14:paraId="2409F401">
      <w:pPr>
        <w:keepNext/>
        <w:keepLines/>
        <w:spacing w:before="120" w:after="120" w:line="440" w:lineRule="exact"/>
        <w:outlineLvl w:val="2"/>
        <w:rPr>
          <w:rFonts w:ascii="宋体" w:hAnsi="宋体" w:cs="宋体"/>
          <w:b/>
          <w:bCs/>
          <w:color w:val="auto"/>
          <w:sz w:val="24"/>
          <w:szCs w:val="24"/>
          <w:highlight w:val="none"/>
        </w:rPr>
      </w:pPr>
      <w:bookmarkStart w:id="802" w:name="_Toc407135244"/>
      <w:bookmarkStart w:id="803" w:name="_Toc373478388"/>
      <w:bookmarkStart w:id="804" w:name="_Toc373227741"/>
      <w:bookmarkStart w:id="805" w:name="_Toc51599598"/>
      <w:bookmarkStart w:id="806" w:name="_Toc487632741"/>
      <w:bookmarkStart w:id="807" w:name="_Toc389065307"/>
      <w:r>
        <w:rPr>
          <w:rFonts w:hint="eastAsia" w:ascii="宋体" w:hAnsi="宋体" w:cs="宋体"/>
          <w:b/>
          <w:bCs/>
          <w:color w:val="auto"/>
          <w:sz w:val="24"/>
          <w:szCs w:val="24"/>
          <w:highlight w:val="none"/>
        </w:rPr>
        <w:t>10.3 变更程序</w:t>
      </w:r>
      <w:bookmarkEnd w:id="802"/>
      <w:bookmarkEnd w:id="803"/>
      <w:bookmarkEnd w:id="804"/>
      <w:bookmarkEnd w:id="805"/>
      <w:bookmarkEnd w:id="806"/>
      <w:bookmarkEnd w:id="807"/>
    </w:p>
    <w:p w14:paraId="273F4B72">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10.3.1国有投资项目：</w:t>
      </w:r>
    </w:p>
    <w:p w14:paraId="2CA3CC64">
      <w:pPr>
        <w:spacing w:line="440" w:lineRule="exact"/>
        <w:ind w:firstLine="504" w:firstLineChars="210"/>
        <w:rPr>
          <w:rFonts w:ascii="宋体" w:hAnsi="宋体" w:cs="宋体"/>
          <w:bCs/>
          <w:color w:val="auto"/>
          <w:sz w:val="24"/>
          <w:szCs w:val="24"/>
          <w:highlight w:val="none"/>
        </w:rPr>
      </w:pPr>
      <w:r>
        <w:rPr>
          <w:rFonts w:hint="eastAsia" w:ascii="宋体" w:hAnsi="宋体" w:cs="宋体"/>
          <w:bCs/>
          <w:color w:val="auto"/>
          <w:sz w:val="24"/>
          <w:szCs w:val="24"/>
          <w:highlight w:val="none"/>
        </w:rPr>
        <w:t>⑴变更的增加工程审核和审批要求：按梧州市人民政府《关于进一步规范市本级政府投资项目资金管理有关事项的通知》（梧政发【2018】28号）及有关文件办理。如实施过程中，设计变更增加工程在未经相关管理部门审批就实施，造成日后结算财政不予以确认的一切责任，由承包人负责。按各市政府或相关部门的规定办理。属不可抗力（自然灾害、突发事件等）造成变更的，按特事特办原则予以办理。</w:t>
      </w:r>
    </w:p>
    <w:p w14:paraId="2AB518F9">
      <w:pPr>
        <w:spacing w:line="440" w:lineRule="exact"/>
        <w:ind w:firstLine="504" w:firstLineChars="210"/>
        <w:rPr>
          <w:rFonts w:ascii="宋体" w:hAnsi="宋体" w:cs="宋体"/>
          <w:bCs/>
          <w:color w:val="auto"/>
          <w:sz w:val="24"/>
          <w:szCs w:val="24"/>
          <w:highlight w:val="none"/>
        </w:rPr>
      </w:pPr>
      <w:r>
        <w:rPr>
          <w:rFonts w:hint="eastAsia" w:ascii="宋体" w:hAnsi="宋体" w:cs="宋体"/>
          <w:bCs/>
          <w:color w:val="auto"/>
          <w:sz w:val="24"/>
          <w:szCs w:val="24"/>
          <w:highlight w:val="none"/>
        </w:rPr>
        <w:t>⑵建设单位在实施项目过程中，若发生单价变动，由建设单位、监理单位、施工单位及其他相关单位共同商定并签字确认。</w:t>
      </w:r>
    </w:p>
    <w:p w14:paraId="08DE57E1">
      <w:pPr>
        <w:spacing w:line="440" w:lineRule="exact"/>
        <w:ind w:firstLine="504" w:firstLineChars="210"/>
        <w:rPr>
          <w:rFonts w:ascii="宋体" w:hAnsi="宋体" w:cs="宋体"/>
          <w:bCs/>
          <w:color w:val="auto"/>
          <w:sz w:val="24"/>
          <w:szCs w:val="24"/>
          <w:highlight w:val="none"/>
        </w:rPr>
      </w:pPr>
      <w:r>
        <w:rPr>
          <w:rFonts w:hint="eastAsia" w:ascii="宋体" w:hAnsi="宋体" w:cs="宋体"/>
          <w:bCs/>
          <w:color w:val="auto"/>
          <w:sz w:val="24"/>
          <w:szCs w:val="24"/>
          <w:highlight w:val="none"/>
        </w:rPr>
        <w:t>⑶ 当合同规定的合同价款调整情况发生后，承包人未在规定时间内通知发包人，或者未在规定时间内提出调整报告，发包人可以根据有关资料，决定是否调整和调整的金额，并书面通知承包人。</w:t>
      </w:r>
    </w:p>
    <w:p w14:paraId="77748CD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10.3.2 非国有投资项目： </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8DFB17E">
      <w:pPr>
        <w:keepNext/>
        <w:keepLines/>
        <w:spacing w:before="120" w:after="120" w:line="440" w:lineRule="exact"/>
        <w:outlineLvl w:val="2"/>
        <w:rPr>
          <w:rFonts w:ascii="宋体" w:hAnsi="宋体" w:cs="宋体"/>
          <w:b/>
          <w:bCs/>
          <w:color w:val="auto"/>
          <w:sz w:val="24"/>
          <w:szCs w:val="24"/>
          <w:highlight w:val="none"/>
        </w:rPr>
      </w:pPr>
      <w:bookmarkStart w:id="808" w:name="_Toc487632742"/>
      <w:bookmarkStart w:id="809" w:name="_Toc373227742"/>
      <w:bookmarkStart w:id="810" w:name="_Toc389065308"/>
      <w:bookmarkStart w:id="811" w:name="_Toc373478389"/>
      <w:bookmarkStart w:id="812" w:name="_Toc51599599"/>
      <w:bookmarkStart w:id="813" w:name="_Toc407135245"/>
      <w:r>
        <w:rPr>
          <w:rFonts w:hint="eastAsia" w:ascii="宋体" w:hAnsi="宋体" w:cs="宋体"/>
          <w:b/>
          <w:bCs/>
          <w:color w:val="auto"/>
          <w:sz w:val="24"/>
          <w:szCs w:val="24"/>
          <w:highlight w:val="none"/>
        </w:rPr>
        <w:t>10.4 变更估价</w:t>
      </w:r>
      <w:bookmarkEnd w:id="808"/>
      <w:bookmarkEnd w:id="809"/>
      <w:bookmarkEnd w:id="810"/>
      <w:bookmarkEnd w:id="811"/>
      <w:bookmarkEnd w:id="812"/>
      <w:bookmarkEnd w:id="813"/>
    </w:p>
    <w:p w14:paraId="12EA89B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10.4.1 变更估价原则</w:t>
      </w:r>
    </w:p>
    <w:p w14:paraId="5ACA0EF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关于变更估价的约定: </w:t>
      </w:r>
      <w:bookmarkStart w:id="814" w:name="_Toc251051742"/>
      <w:r>
        <w:rPr>
          <w:rFonts w:hint="eastAsia" w:ascii="宋体" w:hAnsi="宋体" w:cs="宋体"/>
          <w:color w:val="auto"/>
          <w:sz w:val="24"/>
          <w:szCs w:val="24"/>
          <w:highlight w:val="none"/>
          <w:u w:val="single"/>
        </w:rPr>
        <w:t>本项目无增加工程。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 15 %）计算，其中材料价格按施工期间的《梧州市建设工程造价信息》相应价格信息进行计算；《梧州市建设工程造价信息》没有相应价格信息的按市场价计算；无定额可套的，根据市场价格协商确定综合价格；对于政府及国有资金投资的项目，新增项目的单价必须经  梧州市财政局 审定</w:t>
      </w:r>
      <w:bookmarkEnd w:id="814"/>
      <w:r>
        <w:rPr>
          <w:rFonts w:hint="eastAsia" w:ascii="宋体" w:hAnsi="宋体" w:cs="宋体"/>
          <w:color w:val="auto"/>
          <w:sz w:val="24"/>
          <w:szCs w:val="24"/>
          <w:highlight w:val="none"/>
        </w:rPr>
        <w:t>。</w:t>
      </w:r>
    </w:p>
    <w:p w14:paraId="38D9C203">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工程变更导致实际完成的变更工程量与已标价清单或预算书中列明的该项目工程量有偏差时，其综合单价的确定按专用条款“1.13工程量清单错误的修正”执行。</w:t>
      </w:r>
    </w:p>
    <w:p w14:paraId="2DA8F16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u w:val="single"/>
        </w:rPr>
        <w:t>变更的增加工程审核和审批要求：按梧州市人民政府《关于进一步规范市本级政府投资项目资金管理有关事项的通知》（梧政发【2018】28号）及有关文件办理。如实施过程中，设计变更增加工程在未经相关管理部门审批就实施，造成日后结算财政不予以确认的一切责任，由承包人负责。</w:t>
      </w:r>
    </w:p>
    <w:p w14:paraId="29EB01C6">
      <w:pPr>
        <w:keepNext/>
        <w:keepLines/>
        <w:spacing w:before="120" w:after="120" w:line="440" w:lineRule="exact"/>
        <w:outlineLvl w:val="2"/>
        <w:rPr>
          <w:rFonts w:ascii="宋体" w:hAnsi="宋体" w:cs="宋体"/>
          <w:b/>
          <w:bCs/>
          <w:color w:val="auto"/>
          <w:sz w:val="24"/>
          <w:szCs w:val="24"/>
          <w:highlight w:val="none"/>
        </w:rPr>
      </w:pPr>
      <w:bookmarkStart w:id="815" w:name="_Toc51599600"/>
      <w:bookmarkStart w:id="816" w:name="_Toc407135246"/>
      <w:bookmarkStart w:id="817" w:name="_Toc373478390"/>
      <w:bookmarkStart w:id="818" w:name="_Toc373227743"/>
      <w:bookmarkStart w:id="819" w:name="_Toc487632743"/>
      <w:bookmarkStart w:id="820" w:name="_Toc389065309"/>
      <w:r>
        <w:rPr>
          <w:rFonts w:hint="eastAsia" w:ascii="宋体" w:hAnsi="宋体" w:cs="宋体"/>
          <w:b/>
          <w:bCs/>
          <w:color w:val="auto"/>
          <w:sz w:val="24"/>
          <w:szCs w:val="24"/>
          <w:highlight w:val="none"/>
        </w:rPr>
        <w:t>1</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Start w:id="821" w:name="_Toc303539150"/>
      <w:bookmarkStart w:id="822" w:name="_Toc292559907"/>
      <w:bookmarkStart w:id="823" w:name="_Toc297048383"/>
      <w:bookmarkStart w:id="824" w:name="_Toc296944536"/>
      <w:bookmarkStart w:id="825" w:name="_Toc297120497"/>
      <w:bookmarkStart w:id="826" w:name="_Toc297216203"/>
      <w:bookmarkStart w:id="827" w:name="_Toc296503197"/>
      <w:bookmarkStart w:id="828" w:name="_Toc292559402"/>
      <w:bookmarkStart w:id="829" w:name="_Toc296891025"/>
      <w:bookmarkStart w:id="830" w:name="_Toc296347196"/>
      <w:bookmarkStart w:id="831" w:name="_Toc300934993"/>
      <w:bookmarkStart w:id="832" w:name="_Toc296346698"/>
      <w:bookmarkStart w:id="833" w:name="_Toc297123544"/>
      <w:bookmarkStart w:id="834" w:name="_Toc296891237"/>
      <w:bookmarkStart w:id="835" w:name="_Toc312678029"/>
      <w:bookmarkStart w:id="836" w:name="_Toc304295570"/>
      <w:bookmarkStart w:id="837" w:name="_Toc312677503"/>
      <w:r>
        <w:rPr>
          <w:rFonts w:hint="eastAsia" w:ascii="宋体" w:hAnsi="宋体" w:cs="宋体"/>
          <w:b/>
          <w:bCs/>
          <w:color w:val="auto"/>
          <w:sz w:val="24"/>
          <w:szCs w:val="24"/>
          <w:highlight w:val="none"/>
        </w:rPr>
        <w:t>0.5 承</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Start w:id="838" w:name="_Toc296346704"/>
      <w:bookmarkStart w:id="839" w:name="_Toc296891031"/>
      <w:bookmarkStart w:id="840" w:name="_Toc292559408"/>
      <w:bookmarkStart w:id="841" w:name="_Toc303539151"/>
      <w:bookmarkStart w:id="842" w:name="_Toc297216204"/>
      <w:bookmarkStart w:id="843" w:name="_Toc297120503"/>
      <w:bookmarkStart w:id="844" w:name="_Toc297048389"/>
      <w:bookmarkStart w:id="845" w:name="_Toc292559913"/>
      <w:bookmarkStart w:id="846" w:name="_Toc296503203"/>
      <w:bookmarkStart w:id="847" w:name="_Toc296944542"/>
      <w:bookmarkStart w:id="848" w:name="_Toc297123545"/>
      <w:bookmarkStart w:id="849" w:name="_Toc300934994"/>
      <w:bookmarkStart w:id="850" w:name="_Toc296891243"/>
      <w:bookmarkStart w:id="851" w:name="_Toc296347202"/>
      <w:r>
        <w:rPr>
          <w:rFonts w:hint="eastAsia" w:ascii="宋体" w:hAnsi="宋体" w:cs="宋体"/>
          <w:b/>
          <w:bCs/>
          <w:color w:val="auto"/>
          <w:sz w:val="24"/>
          <w:szCs w:val="24"/>
          <w:highlight w:val="none"/>
        </w:rPr>
        <w:t>包人的合理化建议</w:t>
      </w:r>
      <w:bookmarkEnd w:id="815"/>
      <w:bookmarkEnd w:id="816"/>
      <w:bookmarkEnd w:id="817"/>
      <w:bookmarkEnd w:id="818"/>
      <w:bookmarkEnd w:id="819"/>
      <w:bookmarkEnd w:id="820"/>
    </w:p>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14:paraId="7B4CE6DF">
      <w:pPr>
        <w:spacing w:line="440" w:lineRule="exact"/>
        <w:ind w:firstLine="480" w:firstLineChars="200"/>
        <w:rPr>
          <w:rFonts w:ascii="宋体" w:hAnsi="宋体" w:cs="宋体"/>
          <w:color w:val="auto"/>
          <w:sz w:val="24"/>
          <w:szCs w:val="24"/>
          <w:highlight w:val="none"/>
        </w:rPr>
      </w:pPr>
      <w:bookmarkStart w:id="852" w:name="_Toc373478391"/>
      <w:bookmarkStart w:id="853" w:name="_Toc407135247"/>
      <w:bookmarkStart w:id="854" w:name="_Toc389065310"/>
      <w:bookmarkStart w:id="855" w:name="_Toc373227744"/>
      <w:bookmarkStart w:id="856" w:name="_Toc487632744"/>
      <w:r>
        <w:rPr>
          <w:rFonts w:hint="eastAsia" w:ascii="宋体" w:hAnsi="宋体" w:cs="宋体"/>
          <w:color w:val="auto"/>
          <w:sz w:val="24"/>
          <w:szCs w:val="24"/>
          <w:highlight w:val="none"/>
        </w:rPr>
        <w:t>监理人审查承包人合理化建议的期限：</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7B08D7C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发包人审批承包人合理化建议的期限：</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581FA4A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承</w:t>
      </w:r>
      <w:bookmarkStart w:id="857" w:name="_Toc312677504"/>
      <w:bookmarkStart w:id="858" w:name="_Toc300934995"/>
      <w:bookmarkStart w:id="859" w:name="_Toc296944543"/>
      <w:bookmarkStart w:id="860" w:name="_Toc303539152"/>
      <w:bookmarkStart w:id="861" w:name="_Toc304295571"/>
      <w:bookmarkStart w:id="862" w:name="_Toc296891032"/>
      <w:bookmarkStart w:id="863" w:name="_Toc297048390"/>
      <w:bookmarkStart w:id="864" w:name="_Toc318581175"/>
      <w:bookmarkStart w:id="865" w:name="_Toc297120504"/>
      <w:bookmarkStart w:id="866" w:name="_Toc296503204"/>
      <w:bookmarkStart w:id="867" w:name="_Toc297123546"/>
      <w:bookmarkStart w:id="868" w:name="_Toc312678030"/>
      <w:bookmarkStart w:id="869" w:name="_Toc296891244"/>
      <w:bookmarkStart w:id="870" w:name="_Toc296346705"/>
      <w:bookmarkStart w:id="871" w:name="_Toc297216205"/>
      <w:bookmarkStart w:id="872" w:name="_Toc296347203"/>
      <w:bookmarkStart w:id="873" w:name="_Toc292559914"/>
      <w:bookmarkStart w:id="874" w:name="_Toc292559409"/>
      <w:r>
        <w:rPr>
          <w:rFonts w:hint="eastAsia" w:ascii="宋体" w:hAnsi="宋体" w:cs="宋体"/>
          <w:color w:val="auto"/>
          <w:sz w:val="24"/>
          <w:szCs w:val="24"/>
          <w:highlight w:val="none"/>
        </w:rPr>
        <w:t>包人提出的合理化建议降低了合同价格或者提高了工程经济效益的奖励的方法和金额为：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p w14:paraId="762DC340">
      <w:pPr>
        <w:keepNext/>
        <w:keepLines/>
        <w:spacing w:before="120" w:after="120" w:line="440" w:lineRule="exact"/>
        <w:outlineLvl w:val="2"/>
        <w:rPr>
          <w:rFonts w:ascii="宋体" w:hAnsi="宋体" w:cs="宋体"/>
          <w:b/>
          <w:bCs/>
          <w:color w:val="auto"/>
          <w:sz w:val="24"/>
          <w:szCs w:val="24"/>
          <w:highlight w:val="none"/>
        </w:rPr>
      </w:pPr>
      <w:bookmarkStart w:id="875" w:name="_Toc51599602"/>
      <w:bookmarkStart w:id="876" w:name="_Toc373227745"/>
      <w:bookmarkStart w:id="877" w:name="_Toc373478392"/>
      <w:bookmarkStart w:id="878" w:name="_Toc487632745"/>
      <w:bookmarkStart w:id="879" w:name="_Toc389065311"/>
      <w:bookmarkStart w:id="880" w:name="_Toc407135248"/>
      <w:r>
        <w:rPr>
          <w:rFonts w:hint="eastAsia" w:ascii="宋体" w:hAnsi="宋体" w:cs="宋体"/>
          <w:b/>
          <w:bCs/>
          <w:color w:val="auto"/>
          <w:sz w:val="24"/>
          <w:szCs w:val="24"/>
          <w:highlight w:val="none"/>
        </w:rPr>
        <w:t>10.8 暂列金额</w:t>
      </w:r>
      <w:bookmarkEnd w:id="875"/>
      <w:bookmarkEnd w:id="876"/>
      <w:bookmarkEnd w:id="877"/>
      <w:bookmarkEnd w:id="878"/>
      <w:bookmarkEnd w:id="879"/>
      <w:bookmarkEnd w:id="880"/>
    </w:p>
    <w:p w14:paraId="61C5296B">
      <w:pPr>
        <w:autoSpaceDE w:val="0"/>
        <w:autoSpaceDN w:val="0"/>
        <w:adjustRightInd w:val="0"/>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合同当事人关于暂列金额使用的约定：</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w:t>
      </w:r>
    </w:p>
    <w:p w14:paraId="134BB32A">
      <w:pPr>
        <w:keepNext/>
        <w:keepLines/>
        <w:spacing w:before="120" w:after="120" w:line="440" w:lineRule="exact"/>
        <w:outlineLvl w:val="1"/>
        <w:rPr>
          <w:rFonts w:ascii="宋体" w:hAnsi="宋体" w:cs="宋体"/>
          <w:b/>
          <w:bCs/>
          <w:color w:val="auto"/>
          <w:sz w:val="24"/>
          <w:szCs w:val="24"/>
          <w:highlight w:val="none"/>
        </w:rPr>
      </w:pPr>
      <w:bookmarkStart w:id="881" w:name="_Toc373227746"/>
      <w:bookmarkStart w:id="882" w:name="_Toc351203643"/>
      <w:bookmarkStart w:id="883" w:name="_Toc487632746"/>
      <w:bookmarkStart w:id="884" w:name="_Toc51599603"/>
      <w:bookmarkStart w:id="885" w:name="_Toc389065312"/>
      <w:bookmarkStart w:id="886" w:name="_Toc373478393"/>
      <w:bookmarkStart w:id="887" w:name="_Toc407135249"/>
      <w:r>
        <w:rPr>
          <w:rFonts w:hint="eastAsia" w:ascii="宋体" w:hAnsi="宋体" w:cs="宋体"/>
          <w:b/>
          <w:bCs/>
          <w:color w:val="auto"/>
          <w:sz w:val="24"/>
          <w:szCs w:val="24"/>
          <w:highlight w:val="none"/>
        </w:rPr>
        <w:t>11. 价格调整</w:t>
      </w:r>
      <w:bookmarkEnd w:id="881"/>
      <w:bookmarkEnd w:id="882"/>
      <w:bookmarkEnd w:id="883"/>
      <w:bookmarkEnd w:id="884"/>
      <w:bookmarkEnd w:id="885"/>
      <w:bookmarkEnd w:id="886"/>
      <w:bookmarkEnd w:id="887"/>
    </w:p>
    <w:p w14:paraId="75B0EA3D">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①法律变化引起的调整；</w:t>
      </w:r>
    </w:p>
    <w:p w14:paraId="51C56712">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②工程变更、项目特征不符、工程量清单缺项、工程量偏差引起的调整；</w:t>
      </w:r>
    </w:p>
    <w:p w14:paraId="5E547836">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③计日工引起的调整。</w:t>
      </w:r>
    </w:p>
    <w:p w14:paraId="1F0BC8B4">
      <w:pPr>
        <w:keepNext/>
        <w:keepLines/>
        <w:spacing w:before="120" w:after="120" w:line="440" w:lineRule="exact"/>
        <w:outlineLvl w:val="2"/>
        <w:rPr>
          <w:rFonts w:ascii="宋体" w:hAnsi="宋体" w:cs="宋体"/>
          <w:b/>
          <w:bCs/>
          <w:color w:val="auto"/>
          <w:sz w:val="24"/>
          <w:szCs w:val="24"/>
          <w:highlight w:val="none"/>
        </w:rPr>
      </w:pPr>
      <w:bookmarkStart w:id="888" w:name="_Toc373478394"/>
      <w:bookmarkStart w:id="889" w:name="_Toc487632747"/>
      <w:bookmarkStart w:id="890" w:name="_Toc51599604"/>
      <w:bookmarkStart w:id="891" w:name="_Toc389065313"/>
      <w:bookmarkStart w:id="892" w:name="_Toc407135250"/>
      <w:bookmarkStart w:id="893" w:name="_Toc373227747"/>
      <w:bookmarkStart w:id="894" w:name="_Toc296891241"/>
      <w:bookmarkStart w:id="895" w:name="_Toc292559911"/>
      <w:bookmarkStart w:id="896" w:name="_Toc296891029"/>
      <w:bookmarkStart w:id="897" w:name="_Toc297120501"/>
      <w:bookmarkStart w:id="898" w:name="_Toc296503201"/>
      <w:bookmarkStart w:id="899" w:name="_Toc312678039"/>
      <w:bookmarkStart w:id="900" w:name="_Toc296347200"/>
      <w:bookmarkStart w:id="901" w:name="_Toc297048387"/>
      <w:bookmarkStart w:id="902" w:name="_Toc304295577"/>
      <w:bookmarkStart w:id="903" w:name="_Toc303539157"/>
      <w:bookmarkStart w:id="904" w:name="_Toc296944540"/>
      <w:bookmarkStart w:id="905" w:name="_Toc297216209"/>
      <w:bookmarkStart w:id="906" w:name="_Toc292559406"/>
      <w:bookmarkStart w:id="907" w:name="_Toc296346702"/>
      <w:bookmarkStart w:id="908" w:name="_Toc297123550"/>
      <w:bookmarkStart w:id="909" w:name="_Toc300935000"/>
      <w:r>
        <w:rPr>
          <w:rFonts w:hint="eastAsia" w:ascii="宋体" w:hAnsi="宋体" w:cs="宋体"/>
          <w:b/>
          <w:bCs/>
          <w:color w:val="auto"/>
          <w:sz w:val="24"/>
          <w:szCs w:val="24"/>
          <w:highlight w:val="none"/>
        </w:rPr>
        <w:t>11.1 市场价格波动引起的调整</w:t>
      </w:r>
      <w:bookmarkEnd w:id="888"/>
      <w:bookmarkEnd w:id="889"/>
      <w:bookmarkEnd w:id="890"/>
      <w:bookmarkEnd w:id="891"/>
      <w:bookmarkEnd w:id="892"/>
      <w:bookmarkEnd w:id="893"/>
    </w:p>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14:paraId="4218F58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市场价格波动是否调整合同价格的约定：</w:t>
      </w:r>
      <w:r>
        <w:rPr>
          <w:rFonts w:hint="eastAsia" w:ascii="宋体" w:hAnsi="宋体" w:cs="宋体"/>
          <w:color w:val="auto"/>
          <w:sz w:val="24"/>
          <w:szCs w:val="24"/>
          <w:highlight w:val="none"/>
          <w:u w:val="single"/>
        </w:rPr>
        <w:t xml:space="preserve">   不作调整     </w:t>
      </w:r>
      <w:r>
        <w:rPr>
          <w:rFonts w:hint="eastAsia" w:ascii="宋体" w:hAnsi="宋体" w:cs="宋体"/>
          <w:color w:val="auto"/>
          <w:sz w:val="24"/>
          <w:szCs w:val="24"/>
          <w:highlight w:val="none"/>
        </w:rPr>
        <w:t>。</w:t>
      </w:r>
    </w:p>
    <w:p w14:paraId="6282548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因市场价格波动调整合同价格，采用以下第</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种方式对合同价格进行调整：</w:t>
      </w:r>
    </w:p>
    <w:p w14:paraId="5AA2A76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第1种方式：采用价格指数进行价格调整。</w:t>
      </w:r>
    </w:p>
    <w:p w14:paraId="1638B47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关于各可调因子、定值和变值权重，以及基本价格指数及其来源的约定：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p w14:paraId="5B4E3B3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第2种方式：采用造价信息进行价格调整。</w:t>
      </w:r>
    </w:p>
    <w:p w14:paraId="10B0809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（1）允许调整的主要材料和设备、基期价格、风险系数、投标报价：详见《承包人提供主要材料和设备一览表》。</w:t>
      </w:r>
    </w:p>
    <w:p w14:paraId="0BA7B2B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（2）主要材料和设备确认价：</w:t>
      </w:r>
    </w:p>
    <w:p w14:paraId="3A0725D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按施工期间《</w:t>
      </w:r>
      <w:r>
        <w:rPr>
          <w:rFonts w:hint="eastAsia" w:ascii="宋体" w:hAnsi="宋体" w:cs="宋体"/>
          <w:color w:val="auto"/>
          <w:sz w:val="24"/>
          <w:szCs w:val="24"/>
          <w:highlight w:val="none"/>
          <w:u w:val="single"/>
        </w:rPr>
        <w:t xml:space="preserve"> 梧州 </w:t>
      </w:r>
      <w:r>
        <w:rPr>
          <w:rFonts w:hint="eastAsia" w:ascii="宋体" w:hAnsi="宋体" w:cs="宋体"/>
          <w:color w:val="auto"/>
          <w:sz w:val="24"/>
          <w:szCs w:val="24"/>
          <w:highlight w:val="none"/>
        </w:rPr>
        <w:t>市建设工程造价信息》加权平均计算，信息价没有的按通用条款规定确定。</w:t>
      </w:r>
    </w:p>
    <w:p w14:paraId="0ABD5C5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（3）价差计算方法：</w:t>
      </w:r>
    </w:p>
    <w:p w14:paraId="4F58948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其超过部分据实调整。</w:t>
      </w:r>
    </w:p>
    <w:p w14:paraId="7258EDD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②承包人在《承包人提供主要材料和设备一览表》中载明的材料和设备投标报价高于基准价格的：专用合同条款合同履行期间材料和设备单价跌幅以基准价格为基础超过约定的风险范围时，材料和设备单价涨幅以投标报价为基础超过约定的风险范围时，其超过部分据实调整。</w:t>
      </w:r>
    </w:p>
    <w:p w14:paraId="323C688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③承包人在《承包人提供主要材料和设备一览表》中载明的材料和设备单价等于基准单价的：合同履行期间材料和设备单价涨跌幅以基准单价为基础超过约定的风险范围时，其超过部分据实调整。</w:t>
      </w:r>
    </w:p>
    <w:p w14:paraId="7145C55F">
      <w:pPr>
        <w:spacing w:line="440" w:lineRule="exact"/>
        <w:ind w:firstLine="645"/>
        <w:rPr>
          <w:rFonts w:ascii="宋体" w:hAnsi="宋体" w:cs="宋体"/>
          <w:color w:val="auto"/>
          <w:sz w:val="24"/>
          <w:szCs w:val="24"/>
          <w:highlight w:val="none"/>
        </w:rPr>
      </w:pPr>
      <w:r>
        <w:rPr>
          <w:rFonts w:hint="eastAsia" w:ascii="宋体" w:hAnsi="宋体" w:cs="宋体"/>
          <w:color w:val="auto"/>
          <w:sz w:val="24"/>
          <w:szCs w:val="24"/>
          <w:highlight w:val="none"/>
        </w:rPr>
        <w:t>第3种方式：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 xml:space="preserve"> 。</w:t>
      </w:r>
    </w:p>
    <w:bookmarkEnd w:id="772"/>
    <w:bookmarkEnd w:id="773"/>
    <w:bookmarkEnd w:id="774"/>
    <w:bookmarkEnd w:id="775"/>
    <w:bookmarkEnd w:id="776"/>
    <w:bookmarkEnd w:id="777"/>
    <w:p w14:paraId="0A91AC56">
      <w:pPr>
        <w:keepNext/>
        <w:keepLines/>
        <w:spacing w:before="120" w:after="120" w:line="440" w:lineRule="exact"/>
        <w:outlineLvl w:val="1"/>
        <w:rPr>
          <w:rFonts w:ascii="宋体" w:hAnsi="宋体" w:cs="宋体"/>
          <w:b/>
          <w:bCs/>
          <w:color w:val="auto"/>
          <w:sz w:val="24"/>
          <w:szCs w:val="24"/>
          <w:highlight w:val="none"/>
        </w:rPr>
      </w:pPr>
      <w:bookmarkStart w:id="910" w:name="_Toc296347204"/>
      <w:bookmarkStart w:id="911" w:name="_Toc292559915"/>
      <w:bookmarkStart w:id="912" w:name="_Toc297120505"/>
      <w:bookmarkStart w:id="913" w:name="_Toc296503205"/>
      <w:bookmarkStart w:id="914" w:name="_Toc292559410"/>
      <w:bookmarkStart w:id="915" w:name="_Toc296346706"/>
      <w:bookmarkStart w:id="916" w:name="_Toc296944544"/>
      <w:bookmarkStart w:id="917" w:name="_Toc297048391"/>
      <w:bookmarkStart w:id="918" w:name="_Toc296891245"/>
      <w:bookmarkStart w:id="919" w:name="_Toc296891033"/>
      <w:bookmarkStart w:id="920" w:name="_Toc373227748"/>
      <w:bookmarkStart w:id="921" w:name="_Toc51599605"/>
      <w:bookmarkStart w:id="922" w:name="_Toc407135251"/>
      <w:bookmarkStart w:id="923" w:name="_Toc373478395"/>
      <w:bookmarkStart w:id="924" w:name="_Toc351203644"/>
      <w:bookmarkStart w:id="925" w:name="_Toc487632748"/>
      <w:bookmarkStart w:id="926" w:name="_Toc303539159"/>
      <w:bookmarkStart w:id="927" w:name="_Toc297216211"/>
      <w:bookmarkStart w:id="928" w:name="_Toc312678040"/>
      <w:bookmarkStart w:id="929" w:name="_Toc297123552"/>
      <w:bookmarkStart w:id="930" w:name="_Toc300935002"/>
      <w:bookmarkStart w:id="931" w:name="_Toc304295579"/>
      <w:r>
        <w:rPr>
          <w:rFonts w:hint="eastAsia" w:ascii="宋体" w:hAnsi="宋体" w:cs="宋体"/>
          <w:b/>
          <w:bCs/>
          <w:color w:val="auto"/>
          <w:sz w:val="24"/>
          <w:szCs w:val="24"/>
          <w:highlight w:val="none"/>
        </w:rPr>
        <w:t xml:space="preserve">12. </w:t>
      </w:r>
      <w:bookmarkEnd w:id="910"/>
      <w:bookmarkEnd w:id="911"/>
      <w:bookmarkEnd w:id="912"/>
      <w:bookmarkEnd w:id="913"/>
      <w:bookmarkEnd w:id="914"/>
      <w:bookmarkEnd w:id="915"/>
      <w:bookmarkEnd w:id="916"/>
      <w:bookmarkEnd w:id="917"/>
      <w:bookmarkEnd w:id="918"/>
      <w:bookmarkEnd w:id="919"/>
      <w:r>
        <w:rPr>
          <w:rFonts w:hint="eastAsia" w:ascii="宋体" w:hAnsi="宋体" w:cs="宋体"/>
          <w:b/>
          <w:bCs/>
          <w:color w:val="auto"/>
          <w:sz w:val="24"/>
          <w:szCs w:val="24"/>
          <w:highlight w:val="none"/>
        </w:rPr>
        <w:t>合同价格、计量与支付</w:t>
      </w:r>
      <w:bookmarkEnd w:id="920"/>
      <w:bookmarkEnd w:id="921"/>
      <w:bookmarkEnd w:id="922"/>
      <w:bookmarkEnd w:id="923"/>
      <w:bookmarkEnd w:id="924"/>
      <w:bookmarkEnd w:id="925"/>
    </w:p>
    <w:bookmarkEnd w:id="926"/>
    <w:bookmarkEnd w:id="927"/>
    <w:bookmarkEnd w:id="928"/>
    <w:bookmarkEnd w:id="929"/>
    <w:bookmarkEnd w:id="930"/>
    <w:bookmarkEnd w:id="931"/>
    <w:p w14:paraId="186E7AFE">
      <w:pPr>
        <w:keepNext/>
        <w:keepLines/>
        <w:spacing w:before="120" w:after="120" w:line="440" w:lineRule="exact"/>
        <w:outlineLvl w:val="2"/>
        <w:rPr>
          <w:rFonts w:ascii="宋体" w:hAnsi="宋体" w:cs="宋体"/>
          <w:b/>
          <w:bCs/>
          <w:color w:val="auto"/>
          <w:sz w:val="24"/>
          <w:szCs w:val="24"/>
          <w:highlight w:val="none"/>
        </w:rPr>
      </w:pPr>
      <w:bookmarkStart w:id="932" w:name="_Toc292559916"/>
      <w:bookmarkStart w:id="933" w:name="_Toc267251461"/>
      <w:bookmarkStart w:id="934" w:name="_Toc292559411"/>
      <w:bookmarkStart w:id="935" w:name="_Toc296891034"/>
      <w:bookmarkStart w:id="936" w:name="_Toc296503206"/>
      <w:bookmarkStart w:id="937" w:name="_Toc296346707"/>
      <w:bookmarkStart w:id="938" w:name="_Toc297120506"/>
      <w:bookmarkStart w:id="939" w:name="_Toc296944545"/>
      <w:bookmarkStart w:id="940" w:name="_Toc296347205"/>
      <w:bookmarkStart w:id="941" w:name="_Toc297048392"/>
      <w:bookmarkStart w:id="942" w:name="_Toc296891246"/>
      <w:bookmarkStart w:id="943" w:name="_Toc51599606"/>
      <w:bookmarkStart w:id="944" w:name="_Toc487632749"/>
      <w:bookmarkStart w:id="945" w:name="_Toc407135252"/>
      <w:bookmarkStart w:id="946" w:name="_Toc389065314"/>
      <w:bookmarkStart w:id="947" w:name="_Toc373227749"/>
      <w:bookmarkStart w:id="948" w:name="_Toc373478396"/>
      <w:bookmarkStart w:id="949" w:name="_Toc297216212"/>
      <w:bookmarkStart w:id="950" w:name="_Toc303539160"/>
      <w:bookmarkStart w:id="951" w:name="_Toc297123553"/>
      <w:bookmarkStart w:id="952" w:name="_Toc304295580"/>
      <w:bookmarkStart w:id="953" w:name="_Toc300935003"/>
      <w:bookmarkStart w:id="954" w:name="_Toc312678041"/>
      <w:r>
        <w:rPr>
          <w:rFonts w:hint="eastAsia" w:ascii="宋体" w:hAnsi="宋体" w:cs="宋体"/>
          <w:b/>
          <w:bCs/>
          <w:color w:val="auto"/>
          <w:sz w:val="24"/>
          <w:szCs w:val="24"/>
          <w:highlight w:val="none"/>
        </w:rPr>
        <w:t>12.1 合</w:t>
      </w:r>
      <w:bookmarkEnd w:id="932"/>
      <w:bookmarkEnd w:id="933"/>
      <w:bookmarkEnd w:id="934"/>
      <w:r>
        <w:rPr>
          <w:rFonts w:hint="eastAsia" w:ascii="宋体" w:hAnsi="宋体" w:cs="宋体"/>
          <w:b/>
          <w:bCs/>
          <w:color w:val="auto"/>
          <w:sz w:val="24"/>
          <w:szCs w:val="24"/>
          <w:highlight w:val="none"/>
        </w:rPr>
        <w:t>同价</w:t>
      </w:r>
      <w:bookmarkEnd w:id="935"/>
      <w:bookmarkEnd w:id="936"/>
      <w:bookmarkEnd w:id="937"/>
      <w:bookmarkEnd w:id="938"/>
      <w:bookmarkEnd w:id="939"/>
      <w:bookmarkEnd w:id="940"/>
      <w:bookmarkEnd w:id="941"/>
      <w:bookmarkEnd w:id="942"/>
      <w:r>
        <w:rPr>
          <w:rFonts w:hint="eastAsia" w:ascii="宋体" w:hAnsi="宋体" w:cs="宋体"/>
          <w:b/>
          <w:bCs/>
          <w:color w:val="auto"/>
          <w:sz w:val="24"/>
          <w:szCs w:val="24"/>
          <w:highlight w:val="none"/>
        </w:rPr>
        <w:t>格形式</w:t>
      </w:r>
      <w:bookmarkEnd w:id="943"/>
      <w:bookmarkEnd w:id="944"/>
      <w:bookmarkEnd w:id="945"/>
      <w:bookmarkEnd w:id="946"/>
      <w:bookmarkEnd w:id="947"/>
      <w:bookmarkEnd w:id="948"/>
    </w:p>
    <w:bookmarkEnd w:id="949"/>
    <w:bookmarkEnd w:id="950"/>
    <w:bookmarkEnd w:id="951"/>
    <w:bookmarkEnd w:id="952"/>
    <w:bookmarkEnd w:id="953"/>
    <w:bookmarkEnd w:id="954"/>
    <w:p w14:paraId="7527A40B">
      <w:pPr>
        <w:numPr>
          <w:ilvl w:val="0"/>
          <w:numId w:val="4"/>
        </w:numPr>
        <w:spacing w:line="440" w:lineRule="exact"/>
        <w:ind w:firstLine="480" w:firstLineChars="200"/>
        <w:rPr>
          <w:rFonts w:ascii="宋体" w:hAnsi="宋体" w:cs="宋体"/>
          <w:color w:val="auto"/>
          <w:sz w:val="24"/>
          <w:szCs w:val="24"/>
          <w:highlight w:val="none"/>
        </w:rPr>
      </w:pPr>
      <w:bookmarkStart w:id="955" w:name="_Toc373478397"/>
      <w:bookmarkStart w:id="956" w:name="_Toc389065315"/>
      <w:bookmarkStart w:id="957" w:name="_Toc373227750"/>
      <w:bookmarkStart w:id="958" w:name="_Toc297216213"/>
      <w:bookmarkStart w:id="959" w:name="_Toc312678042"/>
      <w:bookmarkStart w:id="960" w:name="_Toc300935004"/>
      <w:bookmarkStart w:id="961" w:name="_Toc304295581"/>
      <w:bookmarkStart w:id="962" w:name="_Toc297123554"/>
      <w:bookmarkStart w:id="963" w:name="_Toc303539161"/>
      <w:bookmarkStart w:id="964" w:name="_Toc296944546"/>
      <w:bookmarkStart w:id="965" w:name="_Toc297048393"/>
      <w:bookmarkStart w:id="966" w:name="_Toc296346708"/>
      <w:bookmarkStart w:id="967" w:name="_Toc296347206"/>
      <w:bookmarkStart w:id="968" w:name="_Toc292559412"/>
      <w:bookmarkStart w:id="969" w:name="_Toc296891035"/>
      <w:bookmarkStart w:id="970" w:name="_Toc296503207"/>
      <w:bookmarkStart w:id="971" w:name="_Toc297120507"/>
      <w:bookmarkStart w:id="972" w:name="_Toc296891247"/>
      <w:bookmarkStart w:id="973" w:name="_Toc292559917"/>
      <w:r>
        <w:rPr>
          <w:rFonts w:hint="eastAsia" w:ascii="宋体" w:hAnsi="宋体" w:cs="宋体"/>
          <w:color w:val="auto"/>
          <w:sz w:val="24"/>
          <w:szCs w:val="24"/>
          <w:highlight w:val="none"/>
        </w:rPr>
        <w:t>本工程采用</w:t>
      </w:r>
      <w:r>
        <w:rPr>
          <w:rFonts w:hint="eastAsia" w:ascii="宋体" w:hAnsi="宋体" w:cs="宋体"/>
          <w:color w:val="auto"/>
          <w:sz w:val="24"/>
          <w:szCs w:val="24"/>
          <w:highlight w:val="none"/>
          <w:u w:val="single"/>
        </w:rPr>
        <w:t xml:space="preserve"> 包工包料，综合单价固定，总价</w:t>
      </w:r>
      <w:r>
        <w:rPr>
          <w:rFonts w:hint="eastAsia" w:ascii="宋体" w:hAnsi="宋体" w:cs="宋体"/>
          <w:color w:val="auto"/>
          <w:sz w:val="24"/>
          <w:szCs w:val="24"/>
          <w:highlight w:val="none"/>
          <w:u w:val="single"/>
          <w:lang w:val="en-US" w:eastAsia="zh-CN"/>
        </w:rPr>
        <w:t>可调</w:t>
      </w:r>
      <w:r>
        <w:rPr>
          <w:rFonts w:hint="eastAsia" w:ascii="宋体" w:hAnsi="宋体" w:cs="宋体"/>
          <w:color w:val="auto"/>
          <w:sz w:val="24"/>
          <w:szCs w:val="24"/>
          <w:highlight w:val="none"/>
          <w:u w:val="single"/>
        </w:rPr>
        <w:t>。</w:t>
      </w:r>
    </w:p>
    <w:p w14:paraId="5FF23252">
      <w:pPr>
        <w:keepNext/>
        <w:keepLines/>
        <w:spacing w:before="120" w:after="120" w:line="440" w:lineRule="exact"/>
        <w:outlineLvl w:val="2"/>
        <w:rPr>
          <w:rFonts w:ascii="宋体" w:hAnsi="宋体" w:cs="宋体"/>
          <w:b/>
          <w:bCs/>
          <w:color w:val="auto"/>
          <w:sz w:val="24"/>
          <w:szCs w:val="24"/>
          <w:highlight w:val="none"/>
        </w:rPr>
      </w:pPr>
      <w:bookmarkStart w:id="974" w:name="_Toc407135253"/>
      <w:bookmarkStart w:id="975" w:name="_Toc487632750"/>
      <w:bookmarkStart w:id="976" w:name="_Toc51599607"/>
      <w:r>
        <w:rPr>
          <w:rFonts w:hint="eastAsia" w:ascii="宋体" w:hAnsi="宋体" w:cs="宋体"/>
          <w:b/>
          <w:bCs/>
          <w:color w:val="auto"/>
          <w:sz w:val="24"/>
          <w:szCs w:val="24"/>
          <w:highlight w:val="none"/>
        </w:rPr>
        <w:t>12.2 预付款</w:t>
      </w:r>
      <w:bookmarkEnd w:id="955"/>
      <w:bookmarkEnd w:id="956"/>
      <w:bookmarkEnd w:id="957"/>
      <w:bookmarkEnd w:id="974"/>
      <w:bookmarkEnd w:id="975"/>
      <w:bookmarkEnd w:id="976"/>
    </w:p>
    <w:bookmarkEnd w:id="958"/>
    <w:bookmarkEnd w:id="959"/>
    <w:bookmarkEnd w:id="960"/>
    <w:bookmarkEnd w:id="961"/>
    <w:bookmarkEnd w:id="962"/>
    <w:bookmarkEnd w:id="963"/>
    <w:p w14:paraId="73C9F84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12.2.1 预付款的支付</w:t>
      </w:r>
    </w:p>
    <w:p w14:paraId="62D016B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预付款支付比例或金额：</w:t>
      </w:r>
      <w:r>
        <w:rPr>
          <w:rFonts w:hint="eastAsia" w:ascii="宋体" w:hAnsi="宋体" w:cs="宋体"/>
          <w:color w:val="auto"/>
          <w:sz w:val="24"/>
          <w:szCs w:val="24"/>
          <w:highlight w:val="none"/>
          <w:u w:val="single"/>
        </w:rPr>
        <w:t xml:space="preserve">  本项目无预付款 </w:t>
      </w:r>
      <w:r>
        <w:rPr>
          <w:rFonts w:hint="eastAsia" w:ascii="宋体" w:hAnsi="宋体" w:cs="宋体"/>
          <w:color w:val="auto"/>
          <w:sz w:val="24"/>
          <w:szCs w:val="24"/>
          <w:highlight w:val="none"/>
        </w:rPr>
        <w:t>。</w:t>
      </w:r>
    </w:p>
    <w:p w14:paraId="4C0C066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预付款支付期限：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2324E1E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预付款扣回的方式：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A5D689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12.2.2 预付款担保</w:t>
      </w:r>
    </w:p>
    <w:p w14:paraId="60D31FB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承包人提交预付款担保的期限：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2C595B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预付款担保的形式为：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D37E64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预付款担保格式见合同附件7。</w:t>
      </w:r>
    </w:p>
    <w:bookmarkEnd w:id="964"/>
    <w:bookmarkEnd w:id="965"/>
    <w:bookmarkEnd w:id="966"/>
    <w:bookmarkEnd w:id="967"/>
    <w:bookmarkEnd w:id="968"/>
    <w:bookmarkEnd w:id="969"/>
    <w:bookmarkEnd w:id="970"/>
    <w:bookmarkEnd w:id="971"/>
    <w:bookmarkEnd w:id="972"/>
    <w:bookmarkEnd w:id="973"/>
    <w:p w14:paraId="7DB0EFEF">
      <w:pPr>
        <w:keepNext/>
        <w:keepLines/>
        <w:spacing w:before="120" w:after="120" w:line="440" w:lineRule="exact"/>
        <w:outlineLvl w:val="2"/>
        <w:rPr>
          <w:rFonts w:ascii="宋体" w:hAnsi="宋体" w:cs="宋体"/>
          <w:b/>
          <w:bCs/>
          <w:color w:val="auto"/>
          <w:sz w:val="24"/>
          <w:szCs w:val="24"/>
          <w:highlight w:val="none"/>
        </w:rPr>
      </w:pPr>
      <w:bookmarkStart w:id="977" w:name="_Toc487632751"/>
      <w:bookmarkStart w:id="978" w:name="_Toc373227751"/>
      <w:bookmarkStart w:id="979" w:name="_Toc373478398"/>
      <w:bookmarkStart w:id="980" w:name="_Toc407135254"/>
      <w:bookmarkStart w:id="981" w:name="_Toc389065316"/>
      <w:bookmarkStart w:id="982" w:name="_Toc51599608"/>
      <w:r>
        <w:rPr>
          <w:rFonts w:hint="eastAsia" w:ascii="宋体" w:hAnsi="宋体" w:cs="宋体"/>
          <w:b/>
          <w:bCs/>
          <w:color w:val="auto"/>
          <w:sz w:val="24"/>
          <w:szCs w:val="24"/>
          <w:highlight w:val="none"/>
        </w:rPr>
        <w:t>12.3 计量</w:t>
      </w:r>
      <w:bookmarkEnd w:id="977"/>
      <w:bookmarkEnd w:id="978"/>
      <w:bookmarkEnd w:id="979"/>
      <w:bookmarkEnd w:id="980"/>
      <w:bookmarkEnd w:id="981"/>
      <w:bookmarkEnd w:id="982"/>
    </w:p>
    <w:p w14:paraId="0A233C6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12.3.1 计量原则</w:t>
      </w:r>
    </w:p>
    <w:p w14:paraId="753CE31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工程量计算规则：</w:t>
      </w:r>
      <w:r>
        <w:rPr>
          <w:rFonts w:hint="eastAsia" w:ascii="宋体" w:hAnsi="宋体" w:cs="宋体"/>
          <w:color w:val="auto"/>
          <w:sz w:val="24"/>
          <w:szCs w:val="24"/>
          <w:highlight w:val="none"/>
          <w:u w:val="single"/>
        </w:rPr>
        <w:t>工程的计量均以《建设工程工程量清单计价规范》（GB50500－2013）和及其广西壮族自治区实施细则、《建设工程工程量清单计算规范》（GB50854~50862－2013）及其广西实施细则、本工程补充项目清单为准。</w:t>
      </w:r>
    </w:p>
    <w:p w14:paraId="6F9FD18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12.3.2 计量周期</w:t>
      </w:r>
    </w:p>
    <w:p w14:paraId="39FFECB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关于计量周期的约定：</w:t>
      </w:r>
      <w:r>
        <w:rPr>
          <w:rFonts w:hint="eastAsia" w:ascii="宋体" w:hAnsi="宋体" w:cs="宋体"/>
          <w:color w:val="auto"/>
          <w:sz w:val="24"/>
          <w:szCs w:val="24"/>
          <w:highlight w:val="none"/>
          <w:u w:val="single"/>
        </w:rPr>
        <w:t>每月25日前</w:t>
      </w:r>
      <w:r>
        <w:rPr>
          <w:rFonts w:hint="eastAsia" w:ascii="宋体" w:hAnsi="宋体" w:cs="宋体"/>
          <w:color w:val="auto"/>
          <w:sz w:val="24"/>
          <w:szCs w:val="24"/>
          <w:highlight w:val="none"/>
        </w:rPr>
        <w:t>。</w:t>
      </w:r>
    </w:p>
    <w:p w14:paraId="567FE54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12.3.3 单价合同的计量</w:t>
      </w:r>
    </w:p>
    <w:p w14:paraId="27761E80">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关于单价合同计量的约定：</w:t>
      </w:r>
    </w:p>
    <w:p w14:paraId="01F0450D">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(1) 工程量清单所列的工程量，不能作为承包人按合同履行其责任依据，实际施工中发生的工程量增加或减少并不影响承包人履行合同的责任，工程结算以完成的实际工程量为准。</w:t>
      </w:r>
    </w:p>
    <w:p w14:paraId="0AE1F111">
      <w:pPr>
        <w:spacing w:line="440" w:lineRule="exact"/>
        <w:ind w:firstLine="504" w:firstLineChars="210"/>
        <w:rPr>
          <w:rFonts w:ascii="宋体" w:hAnsi="宋体" w:cs="宋体"/>
          <w:color w:val="auto"/>
          <w:sz w:val="24"/>
          <w:szCs w:val="24"/>
          <w:highlight w:val="none"/>
        </w:rPr>
      </w:pPr>
      <w:r>
        <w:rPr>
          <w:rFonts w:hint="eastAsia" w:ascii="宋体" w:hAnsi="宋体" w:cs="宋体"/>
          <w:color w:val="auto"/>
          <w:sz w:val="24"/>
          <w:szCs w:val="24"/>
          <w:highlight w:val="none"/>
        </w:rPr>
        <w:t>(2) 除另有规定外，工程师应按照合同通过计量来核实确定已完成的工程量和价款，承包人应得到该价款扣除保留金后的金额。当工程师要对已完工的工程量进行计量时，应适时地通知承包人参加。</w:t>
      </w:r>
    </w:p>
    <w:p w14:paraId="5ABFF92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12.3.4 总价合同的计量</w:t>
      </w:r>
    </w:p>
    <w:p w14:paraId="70E6FA2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关于总价合同计量的约定：除工程变更外，原图纸范围内的工程量不得按实计量。进度款按支付分解表支付，按通用条款第</w:t>
      </w:r>
      <w:r>
        <w:rPr>
          <w:rFonts w:hint="eastAsia" w:ascii="宋体" w:hAnsi="宋体" w:cs="宋体"/>
          <w:color w:val="auto"/>
          <w:kern w:val="0"/>
          <w:sz w:val="24"/>
          <w:szCs w:val="24"/>
          <w:highlight w:val="none"/>
        </w:rPr>
        <w:t>12.3.4</w:t>
      </w:r>
      <w:r>
        <w:rPr>
          <w:rFonts w:hint="eastAsia" w:ascii="宋体" w:hAnsi="宋体" w:cs="宋体"/>
          <w:color w:val="auto"/>
          <w:sz w:val="24"/>
          <w:szCs w:val="24"/>
          <w:highlight w:val="none"/>
        </w:rPr>
        <w:t>项</w:t>
      </w:r>
      <w:r>
        <w:rPr>
          <w:rFonts w:hint="eastAsia" w:ascii="宋体" w:hAnsi="宋体" w:cs="宋体"/>
          <w:color w:val="auto"/>
          <w:kern w:val="0"/>
          <w:sz w:val="24"/>
          <w:szCs w:val="24"/>
          <w:highlight w:val="none"/>
        </w:rPr>
        <w:t>〔总价合同的计量〕</w:t>
      </w:r>
      <w:r>
        <w:rPr>
          <w:rFonts w:hint="eastAsia" w:ascii="宋体" w:hAnsi="宋体" w:cs="宋体"/>
          <w:color w:val="auto"/>
          <w:sz w:val="24"/>
          <w:szCs w:val="24"/>
          <w:highlight w:val="none"/>
        </w:rPr>
        <w:t>约定进行计量，但</w:t>
      </w:r>
      <w:r>
        <w:rPr>
          <w:rFonts w:hint="eastAsia" w:ascii="宋体" w:hAnsi="宋体" w:cs="宋体"/>
          <w:color w:val="auto"/>
          <w:kern w:val="0"/>
          <w:sz w:val="24"/>
          <w:szCs w:val="24"/>
          <w:highlight w:val="none"/>
        </w:rPr>
        <w:t>合同价款按照支付分解表进行支付。</w:t>
      </w:r>
    </w:p>
    <w:p w14:paraId="6D1A968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12.3.6 其他价格形式合同的计量</w:t>
      </w:r>
    </w:p>
    <w:p w14:paraId="6D69440B">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其他价格形式的计量方式和程序：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CCF7464">
      <w:pPr>
        <w:keepNext/>
        <w:keepLines/>
        <w:spacing w:before="120" w:after="120" w:line="440" w:lineRule="exact"/>
        <w:outlineLvl w:val="2"/>
        <w:rPr>
          <w:rFonts w:ascii="宋体" w:hAnsi="宋体" w:cs="宋体"/>
          <w:b/>
          <w:bCs/>
          <w:color w:val="auto"/>
          <w:sz w:val="24"/>
          <w:szCs w:val="24"/>
          <w:highlight w:val="none"/>
        </w:rPr>
      </w:pPr>
      <w:bookmarkStart w:id="983" w:name="_Toc51599609"/>
      <w:bookmarkStart w:id="984" w:name="_Toc407135255"/>
      <w:bookmarkStart w:id="985" w:name="_Toc389065317"/>
      <w:bookmarkStart w:id="986" w:name="_Toc373478399"/>
      <w:bookmarkStart w:id="987" w:name="_Toc487632752"/>
      <w:bookmarkStart w:id="988" w:name="_Toc373227752"/>
      <w:r>
        <w:rPr>
          <w:rFonts w:hint="eastAsia" w:ascii="宋体" w:hAnsi="宋体" w:cs="宋体"/>
          <w:b/>
          <w:bCs/>
          <w:color w:val="auto"/>
          <w:sz w:val="24"/>
          <w:szCs w:val="24"/>
          <w:highlight w:val="none"/>
        </w:rPr>
        <w:t>12.4 工程进度款支付</w:t>
      </w:r>
      <w:bookmarkEnd w:id="983"/>
      <w:bookmarkEnd w:id="984"/>
      <w:bookmarkEnd w:id="985"/>
      <w:bookmarkEnd w:id="986"/>
      <w:bookmarkEnd w:id="987"/>
      <w:bookmarkEnd w:id="988"/>
    </w:p>
    <w:p w14:paraId="78FEA0C3">
      <w:pPr>
        <w:spacing w:line="440" w:lineRule="exact"/>
        <w:ind w:firstLine="480" w:firstLineChars="200"/>
        <w:rPr>
          <w:rFonts w:ascii="宋体" w:hAnsi="宋体" w:cs="宋体"/>
          <w:color w:val="auto"/>
          <w:sz w:val="24"/>
          <w:szCs w:val="24"/>
          <w:highlight w:val="none"/>
        </w:rPr>
      </w:pPr>
      <w:bookmarkStart w:id="989" w:name="_Toc296503211"/>
      <w:bookmarkStart w:id="990" w:name="_Toc296346712"/>
      <w:bookmarkStart w:id="991" w:name="_Toc297048397"/>
      <w:bookmarkStart w:id="992" w:name="_Toc297120511"/>
      <w:bookmarkStart w:id="993" w:name="_Toc296891251"/>
      <w:bookmarkStart w:id="994" w:name="_Toc297123556"/>
      <w:bookmarkStart w:id="995" w:name="_Toc292559921"/>
      <w:bookmarkStart w:id="996" w:name="_Toc303539163"/>
      <w:bookmarkStart w:id="997" w:name="_Toc296347210"/>
      <w:bookmarkStart w:id="998" w:name="_Toc297216215"/>
      <w:bookmarkStart w:id="999" w:name="_Toc296891039"/>
      <w:bookmarkStart w:id="1000" w:name="_Toc296944550"/>
      <w:bookmarkStart w:id="1001" w:name="_Toc292559416"/>
      <w:bookmarkStart w:id="1002" w:name="_Toc300935006"/>
      <w:r>
        <w:rPr>
          <w:rFonts w:hint="eastAsia" w:ascii="宋体" w:hAnsi="宋体" w:cs="宋体"/>
          <w:color w:val="auto"/>
          <w:sz w:val="24"/>
          <w:szCs w:val="24"/>
          <w:highlight w:val="none"/>
        </w:rPr>
        <w:t>12.4.1 付款周期</w:t>
      </w:r>
    </w:p>
    <w:bookmarkEnd w:id="77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14:paraId="129FEDE7">
      <w:pPr>
        <w:spacing w:line="440" w:lineRule="exact"/>
        <w:ind w:firstLine="960" w:firstLineChars="400"/>
        <w:rPr>
          <w:rFonts w:hint="default" w:ascii="宋体" w:hAnsi="宋体" w:cs="宋体" w:eastAsiaTheme="minorEastAsia"/>
          <w:color w:val="auto"/>
          <w:sz w:val="24"/>
          <w:szCs w:val="24"/>
          <w:highlight w:val="none"/>
          <w:lang w:val="en-US" w:eastAsia="zh-CN"/>
        </w:rPr>
      </w:pPr>
      <w:r>
        <w:rPr>
          <w:rFonts w:hint="eastAsia" w:ascii="宋体" w:hAnsi="宋体" w:cs="宋体"/>
          <w:color w:val="auto"/>
          <w:sz w:val="24"/>
          <w:szCs w:val="24"/>
          <w:highlight w:val="none"/>
          <w:lang w:val="en-US" w:eastAsia="zh-CN"/>
        </w:rPr>
        <w:t>支付方式：本项目工程按月申请当月完成工程量80%，竣工验收后支付至合同价90%，由施工单位按工程相关要求做好竣工资料并经采购人有关部门验收合格确认及结算审核后支付至结算价100%，施工单位收款后保修期内继续履行保修义务。</w:t>
      </w:r>
    </w:p>
    <w:p w14:paraId="327EAF63">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12.4.2 进度付款申请单的编制</w:t>
      </w:r>
    </w:p>
    <w:p w14:paraId="5F3A4FD4">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关于进度付款申请单编制的约定：</w:t>
      </w:r>
      <w:r>
        <w:rPr>
          <w:rFonts w:hint="eastAsia" w:ascii="宋体" w:hAnsi="宋体" w:cs="宋体"/>
          <w:color w:val="auto"/>
          <w:sz w:val="24"/>
          <w:szCs w:val="24"/>
          <w:highlight w:val="none"/>
          <w:u w:val="single"/>
        </w:rPr>
        <w:t xml:space="preserve">    按通用条款执行        </w:t>
      </w:r>
      <w:r>
        <w:rPr>
          <w:rFonts w:hint="eastAsia" w:ascii="宋体" w:hAnsi="宋体" w:cs="宋体"/>
          <w:color w:val="auto"/>
          <w:sz w:val="24"/>
          <w:szCs w:val="24"/>
          <w:highlight w:val="none"/>
        </w:rPr>
        <w:t>。</w:t>
      </w:r>
    </w:p>
    <w:p w14:paraId="1FC9C6B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12.4.3 进度付款申请单的提交</w:t>
      </w:r>
    </w:p>
    <w:p w14:paraId="29E70807">
      <w:pPr>
        <w:spacing w:line="440" w:lineRule="exact"/>
        <w:ind w:firstLine="480" w:firstLineChars="200"/>
        <w:rPr>
          <w:rFonts w:ascii="宋体" w:hAnsi="宋体" w:cs="宋体"/>
          <w:b/>
          <w:bCs/>
          <w:color w:val="auto"/>
          <w:sz w:val="24"/>
          <w:szCs w:val="24"/>
          <w:highlight w:val="none"/>
          <w:u w:val="single"/>
        </w:rPr>
      </w:pPr>
      <w:r>
        <w:rPr>
          <w:rFonts w:hint="eastAsia" w:ascii="宋体" w:hAnsi="宋体" w:cs="宋体"/>
          <w:color w:val="auto"/>
          <w:sz w:val="24"/>
          <w:szCs w:val="24"/>
          <w:highlight w:val="none"/>
        </w:rPr>
        <w:t>（1）单价合同进度付款申请单提交的约定：</w:t>
      </w:r>
      <w:r>
        <w:rPr>
          <w:rFonts w:hint="eastAsia" w:ascii="宋体" w:hAnsi="宋体" w:cs="宋体"/>
          <w:color w:val="auto"/>
          <w:sz w:val="24"/>
          <w:szCs w:val="24"/>
          <w:highlight w:val="none"/>
          <w:u w:val="single"/>
        </w:rPr>
        <w:t xml:space="preserve">按通用条款执行  </w:t>
      </w:r>
      <w:r>
        <w:rPr>
          <w:rFonts w:hint="eastAsia" w:ascii="宋体" w:hAnsi="宋体" w:cs="宋体"/>
          <w:color w:val="auto"/>
          <w:sz w:val="24"/>
          <w:szCs w:val="24"/>
          <w:highlight w:val="none"/>
        </w:rPr>
        <w:t>。</w:t>
      </w:r>
    </w:p>
    <w:p w14:paraId="7BFAC8E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（2）总价合同进度付款申请单提交的约定：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E82BD0A">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（3）其他价格形式合同进度付款申请单提交的约定：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7AC3F3B">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12.4.4 进度款审核和支付</w:t>
      </w:r>
    </w:p>
    <w:p w14:paraId="6A3F3D73">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（1）监理人审查并报送发包人的期限：</w:t>
      </w:r>
      <w:r>
        <w:rPr>
          <w:rFonts w:hint="eastAsia" w:ascii="宋体" w:hAnsi="宋体" w:cs="宋体"/>
          <w:color w:val="auto"/>
          <w:sz w:val="24"/>
          <w:szCs w:val="24"/>
          <w:highlight w:val="none"/>
          <w:u w:val="single"/>
        </w:rPr>
        <w:t xml:space="preserve">  收到申请单后7天内</w:t>
      </w:r>
      <w:r>
        <w:rPr>
          <w:rFonts w:hint="eastAsia" w:ascii="宋体" w:hAnsi="宋体" w:cs="宋体"/>
          <w:color w:val="auto"/>
          <w:sz w:val="24"/>
          <w:szCs w:val="24"/>
          <w:highlight w:val="none"/>
        </w:rPr>
        <w:t>。</w:t>
      </w:r>
    </w:p>
    <w:p w14:paraId="429CDB61">
      <w:pPr>
        <w:spacing w:line="440" w:lineRule="exact"/>
        <w:ind w:firstLine="480" w:firstLineChars="200"/>
        <w:rPr>
          <w:rFonts w:ascii="宋体" w:cs="宋体"/>
          <w:color w:val="auto"/>
          <w:highlight w:val="none"/>
          <w:u w:val="single"/>
        </w:rPr>
      </w:pPr>
      <w:r>
        <w:rPr>
          <w:rFonts w:hint="eastAsia" w:ascii="宋体" w:hAnsi="宋体" w:cs="宋体"/>
          <w:color w:val="auto"/>
          <w:sz w:val="24"/>
          <w:szCs w:val="24"/>
          <w:highlight w:val="none"/>
        </w:rPr>
        <w:t>发包人完成审批并签发进度款申请证书的期限：收到监理人的审核单后10天内审批完毕呈政府职能部门审定。收到政府部门的审定意见书后10天内签发进度款申请证书</w:t>
      </w:r>
      <w:r>
        <w:rPr>
          <w:rFonts w:hint="eastAsia" w:ascii="宋体" w:hAnsi="宋体" w:cs="宋体"/>
          <w:color w:val="auto"/>
          <w:highlight w:val="none"/>
        </w:rPr>
        <w:t>。</w:t>
      </w:r>
    </w:p>
    <w:p w14:paraId="4D3BFF5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（2）发包人支付进度款的期限：</w:t>
      </w:r>
      <w:r>
        <w:rPr>
          <w:rFonts w:hint="eastAsia" w:ascii="宋体" w:hAnsi="宋体" w:cs="宋体"/>
          <w:color w:val="auto"/>
          <w:sz w:val="24"/>
          <w:szCs w:val="24"/>
          <w:highlight w:val="none"/>
          <w:u w:val="single"/>
        </w:rPr>
        <w:t xml:space="preserve">承包人提交发票后7天内   </w:t>
      </w:r>
      <w:r>
        <w:rPr>
          <w:rFonts w:hint="eastAsia" w:ascii="宋体" w:hAnsi="宋体" w:cs="宋体"/>
          <w:color w:val="auto"/>
          <w:sz w:val="24"/>
          <w:szCs w:val="24"/>
          <w:highlight w:val="none"/>
        </w:rPr>
        <w:t>。</w:t>
      </w:r>
    </w:p>
    <w:p w14:paraId="05CE98AA">
      <w:pPr>
        <w:spacing w:line="440" w:lineRule="exact"/>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发包人逾期支付进度款的违约金的计算方式：</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224C20A0">
      <w:pPr>
        <w:spacing w:line="440" w:lineRule="exact"/>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进度款支付方式：</w:t>
      </w:r>
      <w:r>
        <w:rPr>
          <w:rFonts w:hint="eastAsia" w:ascii="宋体" w:hAnsi="宋体" w:cs="宋体"/>
          <w:color w:val="auto"/>
          <w:sz w:val="24"/>
          <w:szCs w:val="24"/>
          <w:highlight w:val="none"/>
          <w:u w:val="single"/>
        </w:rPr>
        <w:t>银行转账</w:t>
      </w:r>
      <w:r>
        <w:rPr>
          <w:rFonts w:hint="eastAsia" w:ascii="宋体" w:hAnsi="宋体" w:cs="宋体"/>
          <w:color w:val="auto"/>
          <w:sz w:val="24"/>
          <w:szCs w:val="24"/>
          <w:highlight w:val="none"/>
        </w:rPr>
        <w:t>。</w:t>
      </w:r>
    </w:p>
    <w:p w14:paraId="3DB283EE">
      <w:pPr>
        <w:spacing w:line="440" w:lineRule="exact"/>
        <w:ind w:firstLine="600" w:firstLineChars="250"/>
        <w:rPr>
          <w:rFonts w:ascii="宋体" w:hAnsi="宋体" w:cs="宋体"/>
          <w:color w:val="auto"/>
          <w:sz w:val="24"/>
          <w:szCs w:val="24"/>
          <w:highlight w:val="none"/>
        </w:rPr>
      </w:pPr>
      <w:r>
        <w:rPr>
          <w:rFonts w:hint="eastAsia" w:ascii="宋体" w:hAnsi="宋体" w:cs="宋体"/>
          <w:color w:val="auto"/>
          <w:sz w:val="24"/>
          <w:szCs w:val="24"/>
          <w:highlight w:val="none"/>
        </w:rPr>
        <w:t>12.4.6 支付分解表的编制</w:t>
      </w:r>
    </w:p>
    <w:p w14:paraId="165B573E">
      <w:pPr>
        <w:spacing w:line="440" w:lineRule="exact"/>
        <w:ind w:firstLine="600" w:firstLineChars="250"/>
        <w:rPr>
          <w:rFonts w:ascii="宋体" w:hAnsi="宋体" w:cs="宋体"/>
          <w:color w:val="auto"/>
          <w:sz w:val="24"/>
          <w:szCs w:val="24"/>
          <w:highlight w:val="none"/>
          <w:u w:val="single"/>
        </w:rPr>
      </w:pPr>
      <w:r>
        <w:rPr>
          <w:rFonts w:hint="eastAsia" w:ascii="宋体" w:hAnsi="宋体" w:cs="宋体"/>
          <w:color w:val="auto"/>
          <w:sz w:val="24"/>
          <w:szCs w:val="24"/>
          <w:highlight w:val="none"/>
        </w:rPr>
        <w:t>2. 总价合同支付分解表的编制与审批：</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68E4E21">
      <w:pPr>
        <w:spacing w:line="440" w:lineRule="exact"/>
        <w:ind w:firstLine="600" w:firstLineChars="250"/>
        <w:rPr>
          <w:rFonts w:ascii="宋体" w:hAnsi="宋体" w:cs="宋体"/>
          <w:color w:val="auto"/>
          <w:sz w:val="24"/>
          <w:szCs w:val="24"/>
          <w:highlight w:val="none"/>
          <w:u w:val="single"/>
        </w:rPr>
      </w:pPr>
      <w:r>
        <w:rPr>
          <w:rFonts w:hint="eastAsia" w:ascii="宋体" w:hAnsi="宋体" w:cs="宋体"/>
          <w:color w:val="auto"/>
          <w:sz w:val="24"/>
          <w:szCs w:val="24"/>
          <w:highlight w:val="none"/>
        </w:rPr>
        <w:t>3. 单价合同的总价项目支付分解表的编制与审批：总价项目不采用支付分解表的方式计算，而按《建设工程工程量清单计价规范（GB50500-2013）广西壮族自治区实施细则》的规定执行。</w:t>
      </w:r>
    </w:p>
    <w:p w14:paraId="265BD387">
      <w:pPr>
        <w:keepNext/>
        <w:keepLines/>
        <w:spacing w:before="120" w:after="120" w:line="440" w:lineRule="exact"/>
        <w:outlineLvl w:val="1"/>
        <w:rPr>
          <w:rFonts w:ascii="宋体" w:hAnsi="宋体" w:cs="宋体"/>
          <w:b/>
          <w:bCs/>
          <w:color w:val="auto"/>
          <w:sz w:val="24"/>
          <w:szCs w:val="24"/>
          <w:highlight w:val="none"/>
        </w:rPr>
      </w:pPr>
      <w:bookmarkStart w:id="1003" w:name="_Toc51599610"/>
      <w:r>
        <w:rPr>
          <w:rFonts w:hint="eastAsia" w:ascii="宋体" w:hAnsi="宋体" w:cs="宋体"/>
          <w:b/>
          <w:bCs/>
          <w:color w:val="auto"/>
          <w:sz w:val="24"/>
          <w:szCs w:val="24"/>
          <w:highlight w:val="none"/>
        </w:rPr>
        <w:t>13. 验收和工程试车</w:t>
      </w:r>
      <w:bookmarkEnd w:id="1003"/>
    </w:p>
    <w:p w14:paraId="7A76A9CB">
      <w:pPr>
        <w:keepNext/>
        <w:keepLines/>
        <w:spacing w:before="120" w:after="120" w:line="440" w:lineRule="exact"/>
        <w:outlineLvl w:val="2"/>
        <w:rPr>
          <w:rFonts w:ascii="宋体" w:hAnsi="宋体" w:cs="宋体"/>
          <w:b/>
          <w:bCs/>
          <w:color w:val="auto"/>
          <w:sz w:val="24"/>
          <w:szCs w:val="24"/>
          <w:highlight w:val="none"/>
        </w:rPr>
      </w:pPr>
      <w:bookmarkStart w:id="1004" w:name="_Toc51599611"/>
      <w:bookmarkStart w:id="1005" w:name="_Toc487632754"/>
      <w:bookmarkStart w:id="1006" w:name="_Toc373227754"/>
      <w:bookmarkStart w:id="1007" w:name="_Toc407135257"/>
      <w:bookmarkStart w:id="1008" w:name="_Toc373478401"/>
      <w:bookmarkStart w:id="1009" w:name="_Toc389065319"/>
      <w:r>
        <w:rPr>
          <w:rFonts w:hint="eastAsia" w:ascii="宋体" w:hAnsi="宋体" w:cs="宋体"/>
          <w:b/>
          <w:bCs/>
          <w:color w:val="auto"/>
          <w:sz w:val="24"/>
          <w:szCs w:val="24"/>
          <w:highlight w:val="none"/>
        </w:rPr>
        <w:t>13.1 分部分项工程验收</w:t>
      </w:r>
      <w:bookmarkEnd w:id="1004"/>
      <w:bookmarkEnd w:id="1005"/>
      <w:bookmarkEnd w:id="1006"/>
      <w:bookmarkEnd w:id="1007"/>
      <w:bookmarkEnd w:id="1008"/>
      <w:bookmarkEnd w:id="1009"/>
    </w:p>
    <w:p w14:paraId="67CF331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13.1.2监理人不能按时进行验收时，应提前</w:t>
      </w:r>
      <w:r>
        <w:rPr>
          <w:rFonts w:hint="eastAsia" w:ascii="宋体" w:hAnsi="宋体" w:cs="宋体"/>
          <w:color w:val="auto"/>
          <w:sz w:val="24"/>
          <w:szCs w:val="24"/>
          <w:highlight w:val="none"/>
          <w:u w:val="single"/>
        </w:rPr>
        <w:t xml:space="preserve">  48   </w:t>
      </w:r>
      <w:r>
        <w:rPr>
          <w:rFonts w:hint="eastAsia" w:ascii="宋体" w:hAnsi="宋体" w:cs="宋体"/>
          <w:color w:val="auto"/>
          <w:sz w:val="24"/>
          <w:szCs w:val="24"/>
          <w:highlight w:val="none"/>
        </w:rPr>
        <w:t>小时提交书面延期要求。</w:t>
      </w:r>
    </w:p>
    <w:p w14:paraId="5274F3C2">
      <w:pPr>
        <w:spacing w:line="440" w:lineRule="exact"/>
        <w:ind w:firstLine="480" w:firstLineChars="200"/>
        <w:rPr>
          <w:rFonts w:ascii="宋体" w:hAnsi="宋体" w:cs="宋体"/>
          <w:b/>
          <w:bCs/>
          <w:color w:val="auto"/>
          <w:sz w:val="24"/>
          <w:szCs w:val="24"/>
          <w:highlight w:val="none"/>
        </w:rPr>
      </w:pPr>
      <w:r>
        <w:rPr>
          <w:rFonts w:hint="eastAsia" w:ascii="宋体" w:hAnsi="宋体" w:cs="宋体"/>
          <w:color w:val="auto"/>
          <w:sz w:val="24"/>
          <w:szCs w:val="24"/>
          <w:highlight w:val="none"/>
        </w:rPr>
        <w:t>关于延期最长不得超过：</w:t>
      </w:r>
      <w:r>
        <w:rPr>
          <w:rFonts w:hint="eastAsia" w:ascii="宋体" w:hAnsi="宋体" w:cs="宋体"/>
          <w:color w:val="auto"/>
          <w:sz w:val="24"/>
          <w:szCs w:val="24"/>
          <w:highlight w:val="none"/>
          <w:u w:val="single"/>
        </w:rPr>
        <w:t xml:space="preserve">   48   </w:t>
      </w:r>
      <w:r>
        <w:rPr>
          <w:rFonts w:hint="eastAsia" w:ascii="宋体" w:hAnsi="宋体" w:cs="宋体"/>
          <w:color w:val="auto"/>
          <w:sz w:val="24"/>
          <w:szCs w:val="24"/>
          <w:highlight w:val="none"/>
        </w:rPr>
        <w:t>小时。</w:t>
      </w:r>
    </w:p>
    <w:p w14:paraId="69069684">
      <w:pPr>
        <w:keepNext/>
        <w:keepLines/>
        <w:spacing w:before="120" w:after="120" w:line="440" w:lineRule="exact"/>
        <w:outlineLvl w:val="2"/>
        <w:rPr>
          <w:rFonts w:ascii="宋体" w:hAnsi="宋体" w:cs="宋体"/>
          <w:b/>
          <w:bCs/>
          <w:color w:val="auto"/>
          <w:sz w:val="24"/>
          <w:szCs w:val="24"/>
          <w:highlight w:val="none"/>
        </w:rPr>
      </w:pPr>
      <w:bookmarkStart w:id="1010" w:name="_Toc487632755"/>
      <w:bookmarkStart w:id="1011" w:name="_Toc373227755"/>
      <w:bookmarkStart w:id="1012" w:name="_Toc389065320"/>
      <w:bookmarkStart w:id="1013" w:name="_Toc373478402"/>
      <w:bookmarkStart w:id="1014" w:name="_Toc407135258"/>
      <w:bookmarkStart w:id="1015" w:name="_Toc51599612"/>
      <w:bookmarkStart w:id="1016" w:name="_Toc296346724"/>
      <w:bookmarkStart w:id="1017" w:name="_Toc303539173"/>
      <w:bookmarkStart w:id="1018" w:name="_Toc296891051"/>
      <w:bookmarkStart w:id="1019" w:name="_Toc296944562"/>
      <w:bookmarkStart w:id="1020" w:name="_Toc312678056"/>
      <w:bookmarkStart w:id="1021" w:name="_Toc297123565"/>
      <w:bookmarkStart w:id="1022" w:name="_Toc297120523"/>
      <w:bookmarkStart w:id="1023" w:name="_Toc297216224"/>
      <w:bookmarkStart w:id="1024" w:name="_Toc297048409"/>
      <w:bookmarkStart w:id="1025" w:name="_Toc296503223"/>
      <w:bookmarkStart w:id="1026" w:name="_Toc292559933"/>
      <w:bookmarkStart w:id="1027" w:name="_Toc300935016"/>
      <w:bookmarkStart w:id="1028" w:name="_Toc296891263"/>
      <w:bookmarkStart w:id="1029" w:name="_Toc292559428"/>
      <w:bookmarkStart w:id="1030" w:name="_Toc304295596"/>
      <w:bookmarkStart w:id="1031" w:name="_Toc296347222"/>
      <w:bookmarkStart w:id="1032" w:name="_Toc267251476"/>
      <w:bookmarkStart w:id="1033" w:name="_Toc267251471"/>
      <w:bookmarkStart w:id="1034" w:name="_Toc267251474"/>
      <w:bookmarkStart w:id="1035" w:name="_Toc267251473"/>
      <w:bookmarkStart w:id="1036" w:name="_Toc267251472"/>
      <w:bookmarkStart w:id="1037" w:name="_Toc267251475"/>
      <w:bookmarkStart w:id="1038" w:name="_Toc267251470"/>
      <w:r>
        <w:rPr>
          <w:rFonts w:hint="eastAsia" w:ascii="宋体" w:hAnsi="宋体" w:cs="宋体"/>
          <w:b/>
          <w:bCs/>
          <w:color w:val="auto"/>
          <w:sz w:val="24"/>
          <w:szCs w:val="24"/>
          <w:highlight w:val="none"/>
        </w:rPr>
        <w:t>13.2 竣工验收</w:t>
      </w:r>
      <w:bookmarkEnd w:id="1010"/>
      <w:bookmarkEnd w:id="1011"/>
      <w:bookmarkEnd w:id="1012"/>
      <w:bookmarkEnd w:id="1013"/>
      <w:bookmarkEnd w:id="1014"/>
      <w:bookmarkEnd w:id="1015"/>
    </w:p>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14:paraId="79C453D3">
      <w:pPr>
        <w:spacing w:line="440" w:lineRule="exact"/>
        <w:ind w:firstLine="480" w:firstLineChars="200"/>
        <w:rPr>
          <w:rFonts w:ascii="宋体" w:hAnsi="宋体" w:cs="宋体"/>
          <w:color w:val="auto"/>
          <w:sz w:val="24"/>
          <w:szCs w:val="24"/>
          <w:highlight w:val="none"/>
        </w:rPr>
      </w:pPr>
      <w:bookmarkStart w:id="1039" w:name="_Toc280868704"/>
      <w:bookmarkStart w:id="1040" w:name="_Toc280868705"/>
      <w:bookmarkStart w:id="1041" w:name="_Toc280868706"/>
      <w:bookmarkStart w:id="1042" w:name="_Toc280868707"/>
      <w:bookmarkStart w:id="1043" w:name="_Toc280868708"/>
      <w:bookmarkStart w:id="1044" w:name="_Toc280868709"/>
      <w:r>
        <w:rPr>
          <w:rFonts w:hint="eastAsia" w:ascii="宋体" w:hAnsi="宋体" w:cs="宋体"/>
          <w:color w:val="auto"/>
          <w:sz w:val="24"/>
          <w:szCs w:val="24"/>
          <w:highlight w:val="none"/>
        </w:rPr>
        <w:t>13.2.1竣工验收条件</w:t>
      </w:r>
    </w:p>
    <w:p w14:paraId="6C7C2FD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（3）承包人负责整理和提交的竣工验收资料应当符合工程所在地建设行政主管部门和(或)城市建设档案管理机构有关施工资料的要求，具体内容包括：</w:t>
      </w:r>
      <w:r>
        <w:rPr>
          <w:rFonts w:hint="eastAsia" w:ascii="宋体" w:hAnsi="宋体" w:cs="宋体"/>
          <w:color w:val="auto"/>
          <w:sz w:val="24"/>
          <w:szCs w:val="24"/>
          <w:highlight w:val="none"/>
          <w:u w:val="single"/>
        </w:rPr>
        <w:t xml:space="preserve">    按规定      </w:t>
      </w:r>
      <w:r>
        <w:rPr>
          <w:rFonts w:hint="eastAsia" w:ascii="宋体" w:hAnsi="宋体" w:cs="宋体"/>
          <w:color w:val="auto"/>
          <w:sz w:val="24"/>
          <w:szCs w:val="24"/>
          <w:highlight w:val="none"/>
        </w:rPr>
        <w:t>。</w:t>
      </w:r>
    </w:p>
    <w:p w14:paraId="55F79AD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竣工验收资料的份数：</w:t>
      </w:r>
      <w:r>
        <w:rPr>
          <w:rFonts w:hint="eastAsia" w:ascii="宋体" w:hAnsi="宋体" w:cs="宋体"/>
          <w:color w:val="auto"/>
          <w:sz w:val="24"/>
          <w:szCs w:val="24"/>
          <w:highlight w:val="none"/>
          <w:u w:val="single"/>
        </w:rPr>
        <w:t xml:space="preserve">    伍份     </w:t>
      </w:r>
      <w:r>
        <w:rPr>
          <w:rFonts w:hint="eastAsia" w:ascii="宋体" w:hAnsi="宋体" w:cs="宋体"/>
          <w:color w:val="auto"/>
          <w:sz w:val="24"/>
          <w:szCs w:val="24"/>
          <w:highlight w:val="none"/>
        </w:rPr>
        <w:t>。</w:t>
      </w:r>
    </w:p>
    <w:p w14:paraId="40D8C4A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承包人提供竣工图的约定：</w:t>
      </w:r>
      <w:r>
        <w:rPr>
          <w:rFonts w:hint="eastAsia" w:ascii="宋体" w:hAnsi="宋体" w:cs="宋体"/>
          <w:color w:val="auto"/>
          <w:sz w:val="24"/>
          <w:szCs w:val="24"/>
          <w:highlight w:val="none"/>
          <w:u w:val="single"/>
        </w:rPr>
        <w:t>竣工验收正式通过后5天，提供竣工图的数量4套。</w:t>
      </w:r>
    </w:p>
    <w:p w14:paraId="4191D0E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13.2.2竣工验收程序</w:t>
      </w:r>
    </w:p>
    <w:bookmarkEnd w:id="1039"/>
    <w:p w14:paraId="413137CF">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关于竣工验收程序的约定：</w:t>
      </w:r>
      <w:r>
        <w:rPr>
          <w:rFonts w:hint="eastAsia" w:ascii="宋体" w:hAnsi="宋体" w:cs="宋体"/>
          <w:color w:val="auto"/>
          <w:sz w:val="24"/>
          <w:szCs w:val="24"/>
          <w:highlight w:val="none"/>
          <w:u w:val="single"/>
        </w:rPr>
        <w:t xml:space="preserve">   承包人准备的竣工验收资料齐全，并编制了竣工图（附电子文档）后向监理人提出预验收申请，预验收合格监理人签署同意验收后发包人在30天内组织有关部门竣工验收  </w:t>
      </w:r>
      <w:r>
        <w:rPr>
          <w:rFonts w:hint="eastAsia" w:ascii="宋体" w:hAnsi="宋体" w:cs="宋体"/>
          <w:color w:val="auto"/>
          <w:sz w:val="24"/>
          <w:szCs w:val="24"/>
          <w:highlight w:val="none"/>
        </w:rPr>
        <w:t>。</w:t>
      </w:r>
    </w:p>
    <w:p w14:paraId="0F28D4BA">
      <w:pPr>
        <w:spacing w:line="440" w:lineRule="exact"/>
        <w:rPr>
          <w:rFonts w:ascii="宋体" w:hAnsi="宋体" w:cs="宋体"/>
          <w:color w:val="auto"/>
          <w:sz w:val="24"/>
          <w:szCs w:val="24"/>
          <w:highlight w:val="none"/>
        </w:rPr>
      </w:pPr>
      <w:r>
        <w:rPr>
          <w:rFonts w:hint="eastAsia" w:ascii="宋体" w:hAnsi="宋体" w:cs="宋体"/>
          <w:color w:val="auto"/>
          <w:kern w:val="0"/>
          <w:sz w:val="24"/>
          <w:szCs w:val="24"/>
          <w:highlight w:val="none"/>
        </w:rPr>
        <w:t>发包人不按照本项约定组织竣工验收、颁发工程接收证书的违约金的计算方法：</w:t>
      </w:r>
      <w:r>
        <w:rPr>
          <w:rFonts w:hint="eastAsia" w:ascii="宋体" w:hAnsi="宋体" w:cs="宋体"/>
          <w:color w:val="auto"/>
          <w:sz w:val="24"/>
          <w:szCs w:val="24"/>
          <w:highlight w:val="none"/>
          <w:u w:val="single"/>
        </w:rPr>
        <w:t xml:space="preserve">按通用条款执行 </w:t>
      </w:r>
      <w:r>
        <w:rPr>
          <w:rFonts w:hint="eastAsia" w:ascii="宋体" w:hAnsi="宋体" w:cs="宋体"/>
          <w:color w:val="auto"/>
          <w:sz w:val="24"/>
          <w:szCs w:val="24"/>
          <w:highlight w:val="none"/>
        </w:rPr>
        <w:t>。</w:t>
      </w:r>
    </w:p>
    <w:bookmarkEnd w:id="1040"/>
    <w:p w14:paraId="79D9FE7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13.2.5移交、接收全部与部分工程</w:t>
      </w:r>
    </w:p>
    <w:bookmarkEnd w:id="1041"/>
    <w:p w14:paraId="410694E2">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承包人向发包人移交工程的期限：</w:t>
      </w:r>
      <w:r>
        <w:rPr>
          <w:rFonts w:hint="eastAsia" w:ascii="宋体" w:hAnsi="宋体" w:cs="宋体"/>
          <w:color w:val="auto"/>
          <w:sz w:val="24"/>
          <w:szCs w:val="24"/>
          <w:highlight w:val="none"/>
          <w:u w:val="single"/>
        </w:rPr>
        <w:t xml:space="preserve">      竣工验收合格后10天内（指全部工程）     </w:t>
      </w:r>
      <w:r>
        <w:rPr>
          <w:rFonts w:hint="eastAsia" w:ascii="宋体" w:hAnsi="宋体" w:cs="宋体"/>
          <w:color w:val="auto"/>
          <w:sz w:val="24"/>
          <w:szCs w:val="24"/>
          <w:highlight w:val="none"/>
        </w:rPr>
        <w:t>。</w:t>
      </w:r>
    </w:p>
    <w:p w14:paraId="7D77412E">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发包人未按本合同约定接收全部或部分工程的，违约金的计算方法为：</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bookmarkEnd w:id="1042"/>
    <w:p w14:paraId="7EDC686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承包人未按时移交工程的，违约金的计算方法为：</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D1D120A">
      <w:pPr>
        <w:keepNext/>
        <w:keepLines/>
        <w:spacing w:before="120" w:after="120" w:line="440" w:lineRule="exact"/>
        <w:outlineLvl w:val="2"/>
        <w:rPr>
          <w:rFonts w:ascii="宋体" w:hAnsi="宋体" w:cs="宋体"/>
          <w:b/>
          <w:bCs/>
          <w:color w:val="auto"/>
          <w:sz w:val="24"/>
          <w:szCs w:val="24"/>
          <w:highlight w:val="none"/>
        </w:rPr>
      </w:pPr>
      <w:bookmarkStart w:id="1045" w:name="_Toc51599613"/>
      <w:bookmarkStart w:id="1046" w:name="_Toc407135259"/>
      <w:bookmarkStart w:id="1047" w:name="_Toc373478403"/>
      <w:bookmarkStart w:id="1048" w:name="_Toc389065321"/>
      <w:bookmarkStart w:id="1049" w:name="_Toc487632756"/>
      <w:bookmarkStart w:id="1050" w:name="_Toc373227756"/>
      <w:r>
        <w:rPr>
          <w:rFonts w:hint="eastAsia" w:ascii="宋体" w:hAnsi="宋体" w:cs="宋体"/>
          <w:b/>
          <w:bCs/>
          <w:color w:val="auto"/>
          <w:sz w:val="24"/>
          <w:szCs w:val="24"/>
          <w:highlight w:val="none"/>
        </w:rPr>
        <w:t>13.3 工程试车</w:t>
      </w:r>
      <w:bookmarkEnd w:id="1045"/>
      <w:bookmarkEnd w:id="1046"/>
      <w:bookmarkEnd w:id="1047"/>
      <w:bookmarkEnd w:id="1048"/>
      <w:bookmarkEnd w:id="1049"/>
      <w:bookmarkEnd w:id="1050"/>
    </w:p>
    <w:bookmarkEnd w:id="1043"/>
    <w:p w14:paraId="3F3DBFD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13.3.1 试车程序</w:t>
      </w:r>
    </w:p>
    <w:p w14:paraId="50EBF370">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工程试车内容：</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696CC90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（1）单机无负荷试车费用由</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承担；</w:t>
      </w:r>
    </w:p>
    <w:p w14:paraId="5DCDCC9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（2）无负荷联动试车费用由</w:t>
      </w:r>
      <w:r>
        <w:rPr>
          <w:rFonts w:hint="eastAsia" w:ascii="宋体" w:hAnsi="宋体" w:cs="宋体"/>
          <w:color w:val="auto"/>
          <w:sz w:val="24"/>
          <w:szCs w:val="24"/>
          <w:highlight w:val="none"/>
          <w:u w:val="single"/>
        </w:rPr>
        <w:t xml:space="preserve">        /          </w:t>
      </w:r>
      <w:r>
        <w:rPr>
          <w:rFonts w:hint="eastAsia" w:ascii="宋体" w:hAnsi="宋体" w:cs="宋体"/>
          <w:color w:val="auto"/>
          <w:kern w:val="0"/>
          <w:sz w:val="24"/>
          <w:szCs w:val="24"/>
          <w:highlight w:val="none"/>
        </w:rPr>
        <w:t>承担。</w:t>
      </w:r>
    </w:p>
    <w:p w14:paraId="138CF7B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13.3.3 投料试车</w:t>
      </w:r>
    </w:p>
    <w:p w14:paraId="2B0442EC">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关于投料试车相关事项的约定：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A9701C4">
      <w:pPr>
        <w:keepNext/>
        <w:keepLines/>
        <w:spacing w:before="120" w:after="120" w:line="440" w:lineRule="exact"/>
        <w:outlineLvl w:val="2"/>
        <w:rPr>
          <w:rFonts w:ascii="宋体" w:hAnsi="宋体" w:cs="宋体"/>
          <w:b/>
          <w:bCs/>
          <w:color w:val="auto"/>
          <w:sz w:val="24"/>
          <w:szCs w:val="24"/>
          <w:highlight w:val="none"/>
        </w:rPr>
      </w:pPr>
      <w:bookmarkStart w:id="1051" w:name="_Toc373478404"/>
      <w:bookmarkStart w:id="1052" w:name="_Toc487632757"/>
      <w:bookmarkStart w:id="1053" w:name="_Toc389065322"/>
      <w:bookmarkStart w:id="1054" w:name="_Toc373227757"/>
      <w:bookmarkStart w:id="1055" w:name="_Toc51599614"/>
      <w:bookmarkStart w:id="1056" w:name="_Toc407135260"/>
      <w:r>
        <w:rPr>
          <w:rFonts w:hint="eastAsia" w:ascii="宋体" w:hAnsi="宋体" w:cs="宋体"/>
          <w:b/>
          <w:bCs/>
          <w:color w:val="auto"/>
          <w:sz w:val="24"/>
          <w:szCs w:val="24"/>
          <w:highlight w:val="none"/>
        </w:rPr>
        <w:t>13.6 竣工退场</w:t>
      </w:r>
      <w:bookmarkEnd w:id="1051"/>
      <w:bookmarkEnd w:id="1052"/>
      <w:bookmarkEnd w:id="1053"/>
      <w:bookmarkEnd w:id="1054"/>
      <w:bookmarkEnd w:id="1055"/>
      <w:bookmarkEnd w:id="1056"/>
    </w:p>
    <w:p w14:paraId="75E25E08">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13.6.1 竣工退场</w:t>
      </w:r>
    </w:p>
    <w:p w14:paraId="1ED476E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承包人完成竣工退场的期限：</w:t>
      </w:r>
      <w:r>
        <w:rPr>
          <w:rFonts w:hint="eastAsia" w:ascii="宋体" w:hAnsi="宋体" w:cs="宋体"/>
          <w:color w:val="auto"/>
          <w:sz w:val="24"/>
          <w:szCs w:val="24"/>
          <w:highlight w:val="none"/>
          <w:u w:val="single"/>
        </w:rPr>
        <w:t xml:space="preserve"> 竣工验收合格后30天内（但必须保留足够的后续管理人员进行保修期内管理）   </w:t>
      </w:r>
      <w:r>
        <w:rPr>
          <w:rFonts w:hint="eastAsia" w:ascii="宋体" w:hAnsi="宋体" w:cs="宋体"/>
          <w:color w:val="auto"/>
          <w:kern w:val="0"/>
          <w:sz w:val="24"/>
          <w:szCs w:val="24"/>
          <w:highlight w:val="none"/>
        </w:rPr>
        <w:t>。</w:t>
      </w:r>
    </w:p>
    <w:p w14:paraId="2E305D5F">
      <w:pPr>
        <w:keepNext/>
        <w:keepLines/>
        <w:spacing w:before="120" w:after="120" w:line="440" w:lineRule="exact"/>
        <w:outlineLvl w:val="1"/>
        <w:rPr>
          <w:rFonts w:ascii="宋体" w:hAnsi="宋体" w:cs="宋体"/>
          <w:b/>
          <w:bCs/>
          <w:color w:val="auto"/>
          <w:sz w:val="24"/>
          <w:szCs w:val="24"/>
          <w:highlight w:val="none"/>
        </w:rPr>
      </w:pPr>
      <w:bookmarkStart w:id="1057" w:name="_Toc373478405"/>
      <w:bookmarkStart w:id="1058" w:name="_Toc373227758"/>
      <w:bookmarkStart w:id="1059" w:name="_Toc389065323"/>
      <w:bookmarkStart w:id="1060" w:name="_Toc407135261"/>
      <w:bookmarkStart w:id="1061" w:name="_Toc487632758"/>
      <w:bookmarkStart w:id="1062" w:name="_Toc51599615"/>
      <w:bookmarkStart w:id="1063" w:name="_Toc351203646"/>
      <w:r>
        <w:rPr>
          <w:rFonts w:hint="eastAsia" w:ascii="宋体" w:hAnsi="宋体" w:cs="宋体"/>
          <w:b/>
          <w:bCs/>
          <w:color w:val="auto"/>
          <w:sz w:val="24"/>
          <w:szCs w:val="24"/>
          <w:highlight w:val="none"/>
        </w:rPr>
        <w:t>14. 竣工结算</w:t>
      </w:r>
      <w:bookmarkEnd w:id="1057"/>
      <w:bookmarkEnd w:id="1058"/>
      <w:bookmarkEnd w:id="1059"/>
      <w:bookmarkEnd w:id="1060"/>
      <w:bookmarkEnd w:id="1061"/>
      <w:bookmarkEnd w:id="1062"/>
      <w:bookmarkEnd w:id="1063"/>
    </w:p>
    <w:p w14:paraId="42F4381C">
      <w:pPr>
        <w:keepNext/>
        <w:keepLines/>
        <w:spacing w:before="120" w:after="120" w:line="440" w:lineRule="exact"/>
        <w:outlineLvl w:val="2"/>
        <w:rPr>
          <w:rFonts w:ascii="宋体" w:hAnsi="宋体" w:cs="宋体"/>
          <w:b/>
          <w:bCs/>
          <w:color w:val="auto"/>
          <w:sz w:val="24"/>
          <w:szCs w:val="24"/>
          <w:highlight w:val="none"/>
        </w:rPr>
      </w:pPr>
      <w:bookmarkStart w:id="1064" w:name="_Toc373227759"/>
      <w:bookmarkStart w:id="1065" w:name="_Toc51599616"/>
      <w:bookmarkStart w:id="1066" w:name="_Toc389065324"/>
      <w:bookmarkStart w:id="1067" w:name="_Toc487632759"/>
      <w:bookmarkStart w:id="1068" w:name="_Toc373478406"/>
      <w:bookmarkStart w:id="1069" w:name="_Toc407135262"/>
      <w:r>
        <w:rPr>
          <w:rFonts w:hint="eastAsia" w:ascii="宋体" w:hAnsi="宋体" w:cs="宋体"/>
          <w:b/>
          <w:bCs/>
          <w:color w:val="auto"/>
          <w:sz w:val="24"/>
          <w:szCs w:val="24"/>
          <w:highlight w:val="none"/>
        </w:rPr>
        <w:t>14.1 竣工付款申请</w:t>
      </w:r>
      <w:bookmarkEnd w:id="1064"/>
      <w:bookmarkEnd w:id="1065"/>
      <w:bookmarkEnd w:id="1066"/>
      <w:bookmarkEnd w:id="1067"/>
      <w:bookmarkEnd w:id="1068"/>
      <w:bookmarkEnd w:id="1069"/>
    </w:p>
    <w:p w14:paraId="453CCDCC">
      <w:pPr>
        <w:spacing w:line="440" w:lineRule="exact"/>
        <w:ind w:firstLine="480" w:firstLineChars="200"/>
        <w:rPr>
          <w:rFonts w:ascii="宋体" w:hAnsi="宋体" w:cs="宋体"/>
          <w:color w:val="auto"/>
          <w:sz w:val="24"/>
          <w:szCs w:val="24"/>
          <w:highlight w:val="none"/>
        </w:rPr>
      </w:pPr>
      <w:bookmarkStart w:id="1070" w:name="_Toc373478407"/>
      <w:bookmarkStart w:id="1071" w:name="_Toc407135263"/>
      <w:bookmarkStart w:id="1072" w:name="_Toc389065325"/>
      <w:bookmarkStart w:id="1073" w:name="_Toc487632760"/>
      <w:bookmarkStart w:id="1074" w:name="_Toc373227760"/>
      <w:r>
        <w:rPr>
          <w:rFonts w:hint="eastAsia" w:ascii="宋体" w:hAnsi="宋体" w:cs="宋体"/>
          <w:color w:val="auto"/>
          <w:sz w:val="24"/>
          <w:szCs w:val="24"/>
          <w:highlight w:val="none"/>
        </w:rPr>
        <w:t>承包人提交竣工付款申请单的期限：</w:t>
      </w:r>
      <w:r>
        <w:rPr>
          <w:rFonts w:hint="eastAsia" w:ascii="宋体" w:hAnsi="宋体" w:cs="宋体"/>
          <w:color w:val="auto"/>
          <w:sz w:val="24"/>
          <w:szCs w:val="24"/>
          <w:highlight w:val="none"/>
          <w:u w:val="single"/>
        </w:rPr>
        <w:t xml:space="preserve">  承包人应在工程竣工验收合格后20天内向发包人和监理人提交竣工结算申请单，并提交完整的结算资料。竣工结算申请单及结算资料提交份数一式五份，其中纸质4份，电子文档1份  </w:t>
      </w:r>
      <w:r>
        <w:rPr>
          <w:rFonts w:hint="eastAsia" w:ascii="宋体" w:hAnsi="宋体" w:cs="宋体"/>
          <w:color w:val="auto"/>
          <w:sz w:val="24"/>
          <w:szCs w:val="24"/>
          <w:highlight w:val="none"/>
        </w:rPr>
        <w:t>。</w:t>
      </w:r>
    </w:p>
    <w:p w14:paraId="61B68FC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竣工付款申请单应包括的内容：</w:t>
      </w:r>
      <w:r>
        <w:rPr>
          <w:rFonts w:hint="eastAsia" w:ascii="宋体" w:hAnsi="宋体" w:cs="宋体"/>
          <w:color w:val="auto"/>
          <w:sz w:val="24"/>
          <w:szCs w:val="24"/>
          <w:highlight w:val="none"/>
          <w:u w:val="single"/>
        </w:rPr>
        <w:t xml:space="preserve">  结算书、签证资料、竣工图、会议纪要、施工组织设计、多项施工方案、磋商文件、投标文件、施工合同、施工日记等，并应符合有关部门的要求  </w:t>
      </w:r>
      <w:r>
        <w:rPr>
          <w:rFonts w:hint="eastAsia" w:ascii="宋体" w:hAnsi="宋体" w:cs="宋体"/>
          <w:color w:val="auto"/>
          <w:sz w:val="24"/>
          <w:szCs w:val="24"/>
          <w:highlight w:val="none"/>
        </w:rPr>
        <w:t>。</w:t>
      </w:r>
    </w:p>
    <w:p w14:paraId="1517C5FE">
      <w:pPr>
        <w:keepNext/>
        <w:keepLines/>
        <w:spacing w:before="120" w:after="120" w:line="440" w:lineRule="exact"/>
        <w:outlineLvl w:val="2"/>
        <w:rPr>
          <w:rFonts w:ascii="宋体" w:hAnsi="宋体" w:cs="宋体"/>
          <w:b/>
          <w:bCs/>
          <w:color w:val="auto"/>
          <w:sz w:val="24"/>
          <w:szCs w:val="24"/>
          <w:highlight w:val="none"/>
        </w:rPr>
      </w:pPr>
      <w:bookmarkStart w:id="1075" w:name="_Toc51599617"/>
      <w:r>
        <w:rPr>
          <w:rFonts w:hint="eastAsia" w:ascii="宋体" w:hAnsi="宋体" w:cs="宋体"/>
          <w:b/>
          <w:bCs/>
          <w:color w:val="auto"/>
          <w:sz w:val="24"/>
          <w:szCs w:val="24"/>
          <w:highlight w:val="none"/>
        </w:rPr>
        <w:t>14.2 竣工结算审核</w:t>
      </w:r>
      <w:bookmarkEnd w:id="1070"/>
      <w:bookmarkEnd w:id="1071"/>
      <w:bookmarkEnd w:id="1072"/>
      <w:bookmarkEnd w:id="1073"/>
      <w:bookmarkEnd w:id="1074"/>
      <w:bookmarkEnd w:id="1075"/>
    </w:p>
    <w:p w14:paraId="2122B9F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发包人审批竣工付款申请单的期限：</w:t>
      </w:r>
    </w:p>
    <w:tbl>
      <w:tblPr>
        <w:tblStyle w:val="2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0658E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1606413">
            <w:pPr>
              <w:spacing w:line="360" w:lineRule="auto"/>
              <w:rPr>
                <w:rFonts w:ascii="宋体" w:hAnsi="宋体" w:cs="宋体"/>
                <w:color w:val="auto"/>
                <w:sz w:val="24"/>
                <w:szCs w:val="24"/>
                <w:highlight w:val="none"/>
              </w:rPr>
            </w:pPr>
          </w:p>
        </w:tc>
        <w:tc>
          <w:tcPr>
            <w:tcW w:w="2466" w:type="dxa"/>
            <w:vAlign w:val="center"/>
          </w:tcPr>
          <w:p w14:paraId="42F27A9C">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工程竣工结算报告金额</w:t>
            </w:r>
          </w:p>
        </w:tc>
        <w:tc>
          <w:tcPr>
            <w:tcW w:w="5967" w:type="dxa"/>
            <w:vAlign w:val="center"/>
          </w:tcPr>
          <w:p w14:paraId="49FFF2E1">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发包人审查时间</w:t>
            </w:r>
          </w:p>
        </w:tc>
      </w:tr>
      <w:tr w14:paraId="2E9D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541E9BB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2466" w:type="dxa"/>
            <w:vAlign w:val="center"/>
          </w:tcPr>
          <w:p w14:paraId="6F26458E">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500万元以下</w:t>
            </w:r>
          </w:p>
        </w:tc>
        <w:tc>
          <w:tcPr>
            <w:tcW w:w="5967" w:type="dxa"/>
            <w:vAlign w:val="center"/>
          </w:tcPr>
          <w:p w14:paraId="71CE5987">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从接到竣工结算报告和完整的竣工结算资料之日起20天</w:t>
            </w:r>
          </w:p>
        </w:tc>
      </w:tr>
      <w:tr w14:paraId="5D53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8019E58">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2466" w:type="dxa"/>
            <w:vAlign w:val="center"/>
          </w:tcPr>
          <w:p w14:paraId="56D690BD">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500万元-2000万元</w:t>
            </w:r>
          </w:p>
        </w:tc>
        <w:tc>
          <w:tcPr>
            <w:tcW w:w="5967" w:type="dxa"/>
            <w:vAlign w:val="center"/>
          </w:tcPr>
          <w:p w14:paraId="32A73A7A">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从接到竣工结算报告和完整的竣工结算资料之日起30天</w:t>
            </w:r>
          </w:p>
        </w:tc>
      </w:tr>
      <w:tr w14:paraId="2B404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3DEB0E1">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2466" w:type="dxa"/>
            <w:vAlign w:val="center"/>
          </w:tcPr>
          <w:p w14:paraId="7C1C74C6">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2000万元-5000万元</w:t>
            </w:r>
          </w:p>
        </w:tc>
        <w:tc>
          <w:tcPr>
            <w:tcW w:w="5967" w:type="dxa"/>
            <w:vAlign w:val="center"/>
          </w:tcPr>
          <w:p w14:paraId="430C4215">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从接到竣工结算报告和完整的竣工结算资料之日起45天</w:t>
            </w:r>
          </w:p>
        </w:tc>
      </w:tr>
      <w:tr w14:paraId="56CF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09655D64">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2466" w:type="dxa"/>
            <w:vAlign w:val="center"/>
          </w:tcPr>
          <w:p w14:paraId="6E8C1B90">
            <w:pPr>
              <w:spacing w:line="360" w:lineRule="auto"/>
              <w:ind w:firstLine="31" w:firstLineChars="13"/>
              <w:jc w:val="center"/>
              <w:rPr>
                <w:rFonts w:ascii="宋体" w:hAnsi="宋体" w:cs="宋体"/>
                <w:color w:val="auto"/>
                <w:sz w:val="24"/>
                <w:szCs w:val="24"/>
                <w:highlight w:val="none"/>
              </w:rPr>
            </w:pPr>
            <w:r>
              <w:rPr>
                <w:rFonts w:hint="eastAsia" w:ascii="宋体" w:hAnsi="宋体" w:cs="宋体"/>
                <w:color w:val="auto"/>
                <w:sz w:val="24"/>
                <w:szCs w:val="24"/>
                <w:highlight w:val="none"/>
              </w:rPr>
              <w:t>5000万元以上</w:t>
            </w:r>
          </w:p>
        </w:tc>
        <w:tc>
          <w:tcPr>
            <w:tcW w:w="5967" w:type="dxa"/>
            <w:vAlign w:val="center"/>
          </w:tcPr>
          <w:p w14:paraId="136BF0AC">
            <w:pPr>
              <w:spacing w:line="360" w:lineRule="auto"/>
              <w:ind w:firstLine="504" w:firstLineChars="210"/>
              <w:jc w:val="center"/>
              <w:rPr>
                <w:rFonts w:ascii="宋体" w:hAnsi="宋体" w:cs="宋体"/>
                <w:color w:val="auto"/>
                <w:sz w:val="24"/>
                <w:szCs w:val="24"/>
                <w:highlight w:val="none"/>
              </w:rPr>
            </w:pPr>
            <w:r>
              <w:rPr>
                <w:rFonts w:hint="eastAsia" w:ascii="宋体" w:hAnsi="宋体" w:cs="宋体"/>
                <w:color w:val="auto"/>
                <w:sz w:val="24"/>
                <w:szCs w:val="24"/>
                <w:highlight w:val="none"/>
              </w:rPr>
              <w:t>从接到竣工结算报告和完整的竣工结算资料之日起60天</w:t>
            </w:r>
          </w:p>
        </w:tc>
      </w:tr>
    </w:tbl>
    <w:p w14:paraId="22A848EB">
      <w:pPr>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因承包人提供的结算资料不完整而需要补充或承包人不按时对账耽误时间时，审查时间应相应顺延。</w:t>
      </w:r>
    </w:p>
    <w:p w14:paraId="44C31712">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结算审核约定：</w:t>
      </w:r>
    </w:p>
    <w:p w14:paraId="35E64E8E">
      <w:pPr>
        <w:spacing w:line="440" w:lineRule="exact"/>
        <w:ind w:firstLine="470" w:firstLineChars="196"/>
        <w:rPr>
          <w:rFonts w:ascii="宋体" w:hAnsi="宋体" w:cs="宋体"/>
          <w:color w:val="auto"/>
          <w:sz w:val="24"/>
          <w:szCs w:val="24"/>
          <w:highlight w:val="none"/>
          <w:u w:val="single"/>
        </w:rPr>
      </w:pPr>
      <w:r>
        <w:rPr>
          <w:rFonts w:hint="eastAsia" w:ascii="宋体" w:hAnsi="宋体" w:cs="宋体"/>
          <w:color w:val="auto"/>
          <w:sz w:val="24"/>
          <w:szCs w:val="24"/>
          <w:highlight w:val="none"/>
        </w:rPr>
        <w:t>非国有投资项目：</w:t>
      </w:r>
      <w:r>
        <w:rPr>
          <w:rFonts w:hint="eastAsia" w:ascii="宋体" w:hAnsi="宋体" w:cs="宋体"/>
          <w:color w:val="auto"/>
          <w:sz w:val="24"/>
          <w:szCs w:val="24"/>
          <w:highlight w:val="none"/>
          <w:u w:val="single"/>
        </w:rPr>
        <w:t>1、工程竣工验收报告经发包人认可后20天内，承包人向发包人递交竣工验收合格资料及完整的结算资料和报告，双方按照协议书约定的合同价款及专用条款约定的合同价调整内容，进行工程竣工结算。2、发包人收到承包人递交的竣工结算报告及结算资料之日起   天内进行审核，给予确认或者提出初审意见。发包人逾期不予审定结算的视为发包人已同意上述竣工结算报告及结算资料，并以此作为最终结算的依据。发包人初审竣工结算完毕之日起  天内，按审定后的结算价款，通知经办银行向承包人申请工程竣工结算价款。承包人应根据发包人的需要随时将竣工工程交付发包人。</w:t>
      </w:r>
    </w:p>
    <w:p w14:paraId="5135B115">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国有投资项目：</w:t>
      </w:r>
      <w:r>
        <w:rPr>
          <w:rFonts w:hint="eastAsia" w:ascii="宋体" w:hAnsi="宋体" w:cs="宋体"/>
          <w:color w:val="auto"/>
          <w:sz w:val="24"/>
          <w:szCs w:val="24"/>
          <w:highlight w:val="none"/>
          <w:u w:val="single"/>
        </w:rPr>
        <w:t xml:space="preserve">（双方结合各地政府或有关部门出台的管理规定进行约定） </w:t>
      </w:r>
      <w:r>
        <w:rPr>
          <w:rFonts w:hint="eastAsia" w:ascii="宋体" w:hAnsi="宋体" w:cs="宋体"/>
          <w:color w:val="auto"/>
          <w:sz w:val="24"/>
          <w:szCs w:val="24"/>
          <w:highlight w:val="none"/>
        </w:rPr>
        <w:t xml:space="preserve">             </w:t>
      </w:r>
    </w:p>
    <w:p w14:paraId="2FB51CC6">
      <w:pPr>
        <w:spacing w:line="440" w:lineRule="exact"/>
        <w:ind w:firstLine="470" w:firstLineChars="196"/>
        <w:rPr>
          <w:rFonts w:ascii="宋体" w:hAnsi="宋体" w:cs="宋体"/>
          <w:color w:val="auto"/>
          <w:sz w:val="24"/>
          <w:szCs w:val="24"/>
          <w:highlight w:val="none"/>
        </w:rPr>
      </w:pPr>
      <w:bookmarkStart w:id="1076" w:name="_Toc389065326"/>
      <w:bookmarkStart w:id="1077" w:name="_Toc487632761"/>
      <w:bookmarkStart w:id="1078" w:name="_Toc373227761"/>
      <w:bookmarkStart w:id="1079" w:name="_Toc373478408"/>
      <w:bookmarkStart w:id="1080" w:name="_Toc407135264"/>
      <w:r>
        <w:rPr>
          <w:rFonts w:hint="eastAsia" w:ascii="宋体" w:hAnsi="宋体" w:cs="宋体"/>
          <w:color w:val="auto"/>
          <w:sz w:val="24"/>
          <w:szCs w:val="24"/>
          <w:highlight w:val="none"/>
        </w:rPr>
        <w:t>发包人完成竣工付款的期限：梧州市财政评审审定出具审计结论及收到财政结算确认通知之日  。</w:t>
      </w:r>
    </w:p>
    <w:p w14:paraId="36538CA8">
      <w:pPr>
        <w:spacing w:line="440" w:lineRule="exact"/>
        <w:ind w:firstLine="470" w:firstLineChars="196"/>
        <w:rPr>
          <w:rFonts w:ascii="宋体" w:hAnsi="宋体" w:cs="宋体"/>
          <w:color w:val="auto"/>
          <w:sz w:val="24"/>
          <w:szCs w:val="24"/>
          <w:highlight w:val="none"/>
        </w:rPr>
      </w:pPr>
      <w:r>
        <w:rPr>
          <w:rFonts w:hint="eastAsia" w:ascii="宋体" w:hAnsi="宋体" w:cs="宋体"/>
          <w:color w:val="auto"/>
          <w:sz w:val="24"/>
          <w:szCs w:val="24"/>
          <w:highlight w:val="none"/>
        </w:rPr>
        <w:t>关于竣工付款证书异议部分复核的方式和程序：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375D01A9">
      <w:pPr>
        <w:keepNext/>
        <w:keepLines/>
        <w:spacing w:before="120" w:after="120" w:line="440" w:lineRule="exact"/>
        <w:outlineLvl w:val="2"/>
        <w:rPr>
          <w:rFonts w:ascii="宋体" w:hAnsi="宋体" w:cs="宋体"/>
          <w:b/>
          <w:bCs/>
          <w:color w:val="auto"/>
          <w:sz w:val="24"/>
          <w:szCs w:val="24"/>
          <w:highlight w:val="none"/>
        </w:rPr>
      </w:pPr>
      <w:bookmarkStart w:id="1081" w:name="_Toc51599618"/>
      <w:r>
        <w:rPr>
          <w:rFonts w:hint="eastAsia" w:ascii="宋体" w:hAnsi="宋体" w:cs="宋体"/>
          <w:b/>
          <w:bCs/>
          <w:color w:val="auto"/>
          <w:sz w:val="24"/>
          <w:szCs w:val="24"/>
          <w:highlight w:val="none"/>
        </w:rPr>
        <w:t>14.4 最终结清</w:t>
      </w:r>
      <w:bookmarkEnd w:id="1076"/>
      <w:bookmarkEnd w:id="1077"/>
      <w:bookmarkEnd w:id="1078"/>
      <w:bookmarkEnd w:id="1079"/>
      <w:bookmarkEnd w:id="1080"/>
      <w:bookmarkEnd w:id="1081"/>
    </w:p>
    <w:p w14:paraId="6C4CC702">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14.4.1 最终结清申请单</w:t>
      </w:r>
    </w:p>
    <w:p w14:paraId="0A200D3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承包人提交最终结清申请单的份数：</w:t>
      </w:r>
      <w:r>
        <w:rPr>
          <w:rFonts w:hint="eastAsia" w:ascii="宋体" w:hAnsi="宋体" w:cs="宋体"/>
          <w:color w:val="auto"/>
          <w:sz w:val="24"/>
          <w:szCs w:val="24"/>
          <w:highlight w:val="none"/>
          <w:u w:val="single"/>
        </w:rPr>
        <w:t xml:space="preserve">  一式肆份  </w:t>
      </w:r>
      <w:r>
        <w:rPr>
          <w:rFonts w:hint="eastAsia" w:ascii="宋体" w:hAnsi="宋体" w:cs="宋体"/>
          <w:color w:val="auto"/>
          <w:sz w:val="24"/>
          <w:szCs w:val="24"/>
          <w:highlight w:val="none"/>
        </w:rPr>
        <w:t>。</w:t>
      </w:r>
    </w:p>
    <w:p w14:paraId="6C12FBC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kern w:val="0"/>
          <w:sz w:val="24"/>
          <w:szCs w:val="24"/>
          <w:highlight w:val="none"/>
        </w:rPr>
        <w:t>承包人提交最终结算申请单的期限：</w:t>
      </w:r>
      <w:r>
        <w:rPr>
          <w:rFonts w:hint="eastAsia" w:ascii="宋体" w:hAnsi="宋体" w:cs="宋体"/>
          <w:color w:val="auto"/>
          <w:sz w:val="24"/>
          <w:szCs w:val="24"/>
          <w:highlight w:val="none"/>
          <w:u w:val="single"/>
        </w:rPr>
        <w:t xml:space="preserve">审计确认结算价款且保修期满并签发终止保修书后  </w:t>
      </w:r>
      <w:r>
        <w:rPr>
          <w:rFonts w:hint="eastAsia" w:ascii="宋体" w:hAnsi="宋体" w:cs="宋体"/>
          <w:color w:val="auto"/>
          <w:sz w:val="24"/>
          <w:szCs w:val="24"/>
          <w:highlight w:val="none"/>
        </w:rPr>
        <w:t xml:space="preserve">。 </w:t>
      </w:r>
    </w:p>
    <w:p w14:paraId="34F3131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14.4.2 最终结清证书和支付</w:t>
      </w:r>
    </w:p>
    <w:p w14:paraId="61B02339">
      <w:pPr>
        <w:spacing w:line="440" w:lineRule="exact"/>
        <w:ind w:firstLine="420" w:firstLineChars="200"/>
        <w:rPr>
          <w:rFonts w:ascii="宋体" w:hAnsi="宋体" w:cs="宋体"/>
          <w:color w:val="auto"/>
          <w:kern w:val="0"/>
          <w:sz w:val="24"/>
          <w:szCs w:val="24"/>
          <w:highlight w:val="none"/>
        </w:rPr>
      </w:pPr>
      <w:r>
        <w:rPr>
          <w:rFonts w:hint="eastAsia" w:ascii="宋体" w:hAnsi="宋体" w:cs="宋体"/>
          <w:color w:val="auto"/>
          <w:highlight w:val="none"/>
        </w:rPr>
        <w:t>（</w:t>
      </w:r>
      <w:r>
        <w:rPr>
          <w:rFonts w:hint="eastAsia" w:ascii="宋体" w:hAnsi="宋体" w:cs="宋体"/>
          <w:color w:val="auto"/>
          <w:kern w:val="0"/>
          <w:sz w:val="24"/>
          <w:szCs w:val="24"/>
          <w:highlight w:val="none"/>
        </w:rPr>
        <w:t>1）发包人完成最终结清申请单的审批并颁发最终结清证书的期限：应在收到承包人提交的最终结清申请单并经相关单位（如市财政局、城管局）及部门确认后14天内。</w:t>
      </w:r>
    </w:p>
    <w:p w14:paraId="1CDB0DA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（2）发包人完成支付的期限：发包人只支付梧州市万秀区财政局确认支付的结算金额。付款时间为梧州市</w:t>
      </w:r>
      <w:r>
        <w:rPr>
          <w:rFonts w:hint="eastAsia" w:ascii="宋体" w:hAnsi="宋体" w:cs="宋体"/>
          <w:color w:val="auto"/>
          <w:kern w:val="0"/>
          <w:sz w:val="24"/>
          <w:szCs w:val="24"/>
          <w:highlight w:val="none"/>
          <w:lang w:val="en-US" w:eastAsia="zh-CN"/>
        </w:rPr>
        <w:t>万秀区</w:t>
      </w:r>
      <w:r>
        <w:rPr>
          <w:rFonts w:hint="eastAsia" w:ascii="宋体" w:hAnsi="宋体" w:cs="宋体"/>
          <w:color w:val="auto"/>
          <w:kern w:val="0"/>
          <w:sz w:val="24"/>
          <w:szCs w:val="24"/>
          <w:highlight w:val="none"/>
        </w:rPr>
        <w:t>财政局审批并拨付资金到位后7天内（具体以梧州市</w:t>
      </w:r>
      <w:r>
        <w:rPr>
          <w:rFonts w:hint="eastAsia" w:ascii="宋体" w:hAnsi="宋体" w:cs="宋体"/>
          <w:color w:val="auto"/>
          <w:kern w:val="0"/>
          <w:sz w:val="24"/>
          <w:szCs w:val="24"/>
          <w:highlight w:val="none"/>
          <w:lang w:val="en-US" w:eastAsia="zh-CN"/>
        </w:rPr>
        <w:t>万秀区</w:t>
      </w:r>
      <w:r>
        <w:rPr>
          <w:rFonts w:hint="eastAsia" w:ascii="宋体" w:hAnsi="宋体" w:cs="宋体"/>
          <w:color w:val="auto"/>
          <w:kern w:val="0"/>
          <w:sz w:val="24"/>
          <w:szCs w:val="24"/>
          <w:highlight w:val="none"/>
        </w:rPr>
        <w:t>财政局拨付时间为准）。</w:t>
      </w:r>
    </w:p>
    <w:bookmarkEnd w:id="1032"/>
    <w:bookmarkEnd w:id="1033"/>
    <w:bookmarkEnd w:id="1034"/>
    <w:bookmarkEnd w:id="1035"/>
    <w:bookmarkEnd w:id="1036"/>
    <w:bookmarkEnd w:id="1037"/>
    <w:bookmarkEnd w:id="1038"/>
    <w:bookmarkEnd w:id="1044"/>
    <w:p w14:paraId="4580D332">
      <w:pPr>
        <w:keepNext/>
        <w:keepLines/>
        <w:spacing w:before="120" w:after="120" w:line="440" w:lineRule="exact"/>
        <w:outlineLvl w:val="1"/>
        <w:rPr>
          <w:rFonts w:ascii="宋体" w:hAnsi="宋体" w:cs="宋体"/>
          <w:b/>
          <w:bCs/>
          <w:color w:val="auto"/>
          <w:sz w:val="24"/>
          <w:szCs w:val="24"/>
          <w:highlight w:val="none"/>
        </w:rPr>
      </w:pPr>
      <w:bookmarkStart w:id="1082" w:name="_Toc373227762"/>
      <w:bookmarkStart w:id="1083" w:name="_Toc51599619"/>
      <w:bookmarkStart w:id="1084" w:name="_Toc373478409"/>
      <w:bookmarkStart w:id="1085" w:name="_Toc407135265"/>
      <w:bookmarkStart w:id="1086" w:name="_Toc487632762"/>
      <w:bookmarkStart w:id="1087" w:name="_Toc389065327"/>
      <w:bookmarkStart w:id="1088" w:name="_Toc351203647"/>
      <w:bookmarkStart w:id="1089" w:name="_Toc267251483"/>
      <w:bookmarkStart w:id="1090" w:name="_Toc267251482"/>
      <w:bookmarkStart w:id="1091" w:name="_Toc267251484"/>
      <w:bookmarkStart w:id="1092" w:name="_Toc267251485"/>
      <w:bookmarkStart w:id="1093" w:name="_Toc267251489"/>
      <w:bookmarkStart w:id="1094" w:name="_Toc267251490"/>
      <w:bookmarkStart w:id="1095" w:name="_Toc267251486"/>
      <w:bookmarkStart w:id="1096" w:name="_Toc267251488"/>
      <w:bookmarkStart w:id="1097" w:name="_Toc267251491"/>
      <w:bookmarkStart w:id="1098" w:name="_Toc267251502"/>
      <w:bookmarkStart w:id="1099" w:name="_Toc267251497"/>
      <w:bookmarkStart w:id="1100" w:name="_Toc267251494"/>
      <w:bookmarkStart w:id="1101" w:name="_Toc267251492"/>
      <w:bookmarkStart w:id="1102" w:name="_Toc267251498"/>
      <w:bookmarkStart w:id="1103" w:name="_Toc267251501"/>
      <w:bookmarkStart w:id="1104" w:name="_Toc267251496"/>
      <w:bookmarkStart w:id="1105" w:name="_Toc267251499"/>
      <w:bookmarkStart w:id="1106" w:name="_Toc267251503"/>
      <w:bookmarkStart w:id="1107" w:name="_Toc267251495"/>
      <w:bookmarkStart w:id="1108" w:name="_Toc267251493"/>
      <w:bookmarkStart w:id="1109" w:name="_Toc267251506"/>
      <w:bookmarkStart w:id="1110" w:name="_Toc267251504"/>
      <w:bookmarkStart w:id="1111" w:name="_Toc267251507"/>
      <w:bookmarkStart w:id="1112" w:name="_Toc267251508"/>
      <w:bookmarkStart w:id="1113" w:name="_Toc267251514"/>
      <w:bookmarkStart w:id="1114" w:name="_Toc267251515"/>
      <w:bookmarkStart w:id="1115" w:name="_Toc267251513"/>
      <w:bookmarkStart w:id="1116" w:name="_Toc267251509"/>
      <w:bookmarkStart w:id="1117" w:name="_Toc267251511"/>
      <w:bookmarkStart w:id="1118" w:name="_Toc267251510"/>
      <w:r>
        <w:rPr>
          <w:rFonts w:hint="eastAsia" w:ascii="宋体" w:hAnsi="宋体" w:cs="宋体"/>
          <w:b/>
          <w:bCs/>
          <w:color w:val="auto"/>
          <w:sz w:val="24"/>
          <w:szCs w:val="24"/>
          <w:highlight w:val="none"/>
        </w:rPr>
        <w:t>15. 缺陷责任期与保修</w:t>
      </w:r>
      <w:bookmarkEnd w:id="1082"/>
      <w:bookmarkEnd w:id="1083"/>
      <w:bookmarkEnd w:id="1084"/>
      <w:bookmarkEnd w:id="1085"/>
      <w:bookmarkEnd w:id="1086"/>
      <w:bookmarkEnd w:id="1087"/>
      <w:bookmarkEnd w:id="1088"/>
    </w:p>
    <w:p w14:paraId="4B770E0F">
      <w:pPr>
        <w:keepNext/>
        <w:keepLines/>
        <w:spacing w:before="120" w:after="120" w:line="440" w:lineRule="exact"/>
        <w:outlineLvl w:val="2"/>
        <w:rPr>
          <w:rFonts w:ascii="宋体" w:hAnsi="宋体" w:cs="宋体"/>
          <w:b/>
          <w:bCs/>
          <w:color w:val="auto"/>
          <w:sz w:val="24"/>
          <w:szCs w:val="24"/>
          <w:highlight w:val="none"/>
        </w:rPr>
      </w:pPr>
      <w:bookmarkStart w:id="1119" w:name="_Toc51599620"/>
      <w:bookmarkStart w:id="1120" w:name="_Toc407135266"/>
      <w:bookmarkStart w:id="1121" w:name="_Toc389065328"/>
      <w:bookmarkStart w:id="1122" w:name="_Toc487632763"/>
      <w:bookmarkStart w:id="1123" w:name="_Toc373478410"/>
      <w:bookmarkStart w:id="1124" w:name="_Toc373227763"/>
      <w:r>
        <w:rPr>
          <w:rFonts w:hint="eastAsia" w:ascii="宋体" w:hAnsi="宋体" w:cs="宋体"/>
          <w:b/>
          <w:bCs/>
          <w:color w:val="auto"/>
          <w:sz w:val="24"/>
          <w:szCs w:val="24"/>
          <w:highlight w:val="none"/>
        </w:rPr>
        <w:t>15.2 缺陷责任期</w:t>
      </w:r>
      <w:bookmarkEnd w:id="1089"/>
      <w:bookmarkEnd w:id="1119"/>
      <w:bookmarkEnd w:id="1120"/>
      <w:bookmarkEnd w:id="1121"/>
      <w:bookmarkEnd w:id="1122"/>
      <w:bookmarkEnd w:id="1123"/>
      <w:bookmarkEnd w:id="1124"/>
    </w:p>
    <w:p w14:paraId="6335FB07">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缺陷责任期的具体期限：</w:t>
      </w:r>
      <w:r>
        <w:rPr>
          <w:rFonts w:hint="eastAsia" w:ascii="宋体" w:hAnsi="宋体" w:cs="宋体"/>
          <w:color w:val="auto"/>
          <w:sz w:val="24"/>
          <w:szCs w:val="24"/>
          <w:highlight w:val="none"/>
          <w:u w:val="single"/>
        </w:rPr>
        <w:t xml:space="preserve"> 12个月</w:t>
      </w:r>
      <w:r>
        <w:rPr>
          <w:rFonts w:hint="eastAsia" w:ascii="宋体" w:hAnsi="宋体" w:cs="宋体"/>
          <w:color w:val="auto"/>
          <w:sz w:val="24"/>
          <w:szCs w:val="24"/>
          <w:highlight w:val="none"/>
        </w:rPr>
        <w:t>。</w:t>
      </w:r>
    </w:p>
    <w:p w14:paraId="06CD4E60">
      <w:pPr>
        <w:keepNext/>
        <w:keepLines/>
        <w:spacing w:before="120" w:after="120" w:line="440" w:lineRule="exact"/>
        <w:outlineLvl w:val="2"/>
        <w:rPr>
          <w:rFonts w:ascii="宋体" w:hAnsi="宋体" w:cs="宋体"/>
          <w:b/>
          <w:bCs/>
          <w:color w:val="auto"/>
          <w:sz w:val="24"/>
          <w:szCs w:val="24"/>
          <w:highlight w:val="none"/>
        </w:rPr>
      </w:pPr>
      <w:bookmarkStart w:id="1125" w:name="_Toc373227764"/>
      <w:bookmarkStart w:id="1126" w:name="_Toc389065329"/>
      <w:bookmarkStart w:id="1127" w:name="_Toc51599621"/>
      <w:bookmarkStart w:id="1128" w:name="_Toc373478411"/>
      <w:bookmarkStart w:id="1129" w:name="_Toc487632764"/>
      <w:bookmarkStart w:id="1130" w:name="_Toc407135267"/>
      <w:r>
        <w:rPr>
          <w:rFonts w:hint="eastAsia" w:ascii="宋体" w:hAnsi="宋体" w:cs="宋体"/>
          <w:b/>
          <w:bCs/>
          <w:color w:val="auto"/>
          <w:sz w:val="24"/>
          <w:szCs w:val="24"/>
          <w:highlight w:val="none"/>
        </w:rPr>
        <w:t>15.3 质量保证金</w:t>
      </w:r>
      <w:bookmarkEnd w:id="1125"/>
      <w:bookmarkEnd w:id="1126"/>
      <w:bookmarkEnd w:id="1127"/>
      <w:bookmarkEnd w:id="1128"/>
      <w:bookmarkEnd w:id="1129"/>
      <w:bookmarkEnd w:id="1130"/>
    </w:p>
    <w:p w14:paraId="317C506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关于是否扣留质量保证金的约定：</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否</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60FB4DF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15.3.1 承包人提供质量保证金的方式</w:t>
      </w:r>
    </w:p>
    <w:p w14:paraId="4F718A5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质量保证金采用以下第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种方式：</w:t>
      </w:r>
    </w:p>
    <w:p w14:paraId="2A54523C">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（1）质量保证金保函，保证金额为：</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79EA4320">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宋体" w:hAnsi="宋体" w:cs="宋体"/>
          <w:color w:val="auto"/>
          <w:sz w:val="24"/>
          <w:szCs w:val="24"/>
          <w:highlight w:val="none"/>
        </w:rPr>
        <w:t>发包人按工程价款结算总额的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%（不得超过3%）预留工程质量保修金，待缺陷责任期满后返还，是否付息及利息计算方式为：</w:t>
      </w:r>
      <w:r>
        <w:rPr>
          <w:rFonts w:hint="eastAsia" w:ascii="宋体" w:hAnsi="宋体" w:cs="宋体"/>
          <w:color w:val="auto"/>
          <w:sz w:val="24"/>
          <w:szCs w:val="24"/>
          <w:highlight w:val="none"/>
          <w:u w:val="single"/>
        </w:rPr>
        <w:t xml:space="preserve">      无          </w:t>
      </w:r>
      <w:r>
        <w:rPr>
          <w:rFonts w:hint="eastAsia" w:ascii="宋体" w:hAnsi="宋体" w:cs="宋体"/>
          <w:color w:val="auto"/>
          <w:kern w:val="0"/>
          <w:sz w:val="24"/>
          <w:szCs w:val="24"/>
          <w:highlight w:val="none"/>
        </w:rPr>
        <w:t>；</w:t>
      </w:r>
    </w:p>
    <w:p w14:paraId="707EB14B">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（3）其他方式：</w:t>
      </w:r>
      <w:r>
        <w:rPr>
          <w:rFonts w:hint="eastAsia" w:ascii="宋体" w:hAnsi="宋体" w:cs="宋体"/>
          <w:color w:val="auto"/>
          <w:sz w:val="24"/>
          <w:szCs w:val="24"/>
          <w:highlight w:val="none"/>
          <w:u w:val="single"/>
        </w:rPr>
        <w:t xml:space="preserve">                    无                           </w:t>
      </w:r>
      <w:r>
        <w:rPr>
          <w:rFonts w:hint="eastAsia" w:ascii="宋体" w:hAnsi="宋体" w:cs="宋体"/>
          <w:color w:val="auto"/>
          <w:sz w:val="24"/>
          <w:szCs w:val="24"/>
          <w:highlight w:val="none"/>
        </w:rPr>
        <w:t>。</w:t>
      </w:r>
    </w:p>
    <w:p w14:paraId="7727760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15.3.2 质量保证金的扣留</w:t>
      </w:r>
    </w:p>
    <w:p w14:paraId="4D9CF339">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质量保证金的扣留采取以下第</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2</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种方式：</w:t>
      </w:r>
    </w:p>
    <w:p w14:paraId="621B7797">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（1）在支付工程进度款时逐次扣留，在此情形下，质量保证金的计算基数不包括预付款的支付、扣回以及价格调整的金额；</w:t>
      </w:r>
    </w:p>
    <w:p w14:paraId="5FFBB4A2">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（2）工程竣工结算时一次性扣留质量保证金；</w:t>
      </w:r>
    </w:p>
    <w:p w14:paraId="40EB59A9">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（3）其他扣留方式:</w:t>
      </w:r>
      <w:r>
        <w:rPr>
          <w:rFonts w:hint="eastAsia" w:ascii="宋体" w:hAnsi="宋体" w:cs="宋体"/>
          <w:color w:val="auto"/>
          <w:kern w:val="0"/>
          <w:sz w:val="24"/>
          <w:szCs w:val="24"/>
          <w:highlight w:val="none"/>
          <w:u w:val="single"/>
        </w:rPr>
        <w:t xml:space="preserve">     无                                </w:t>
      </w:r>
      <w:r>
        <w:rPr>
          <w:rFonts w:hint="eastAsia" w:ascii="宋体" w:hAnsi="宋体" w:cs="宋体"/>
          <w:color w:val="auto"/>
          <w:kern w:val="0"/>
          <w:sz w:val="24"/>
          <w:szCs w:val="24"/>
          <w:highlight w:val="none"/>
        </w:rPr>
        <w:t>。</w:t>
      </w:r>
    </w:p>
    <w:p w14:paraId="2EF37137">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sz w:val="24"/>
          <w:szCs w:val="24"/>
          <w:highlight w:val="none"/>
        </w:rPr>
        <w:t>关于质量保证金的补充约定：</w:t>
      </w:r>
      <w:r>
        <w:rPr>
          <w:rFonts w:hint="eastAsia" w:ascii="宋体" w:hAnsi="宋体" w:cs="宋体"/>
          <w:color w:val="auto"/>
          <w:kern w:val="0"/>
          <w:sz w:val="24"/>
          <w:szCs w:val="24"/>
          <w:highlight w:val="none"/>
          <w:u w:val="single"/>
        </w:rPr>
        <w:t xml:space="preserve">     无                     </w:t>
      </w:r>
      <w:r>
        <w:rPr>
          <w:rFonts w:hint="eastAsia" w:ascii="宋体" w:hAnsi="宋体" w:cs="宋体"/>
          <w:color w:val="auto"/>
          <w:kern w:val="0"/>
          <w:sz w:val="24"/>
          <w:szCs w:val="24"/>
          <w:highlight w:val="none"/>
        </w:rPr>
        <w:t>。</w:t>
      </w:r>
    </w:p>
    <w:bookmarkEnd w:id="1090"/>
    <w:bookmarkEnd w:id="1091"/>
    <w:p w14:paraId="7F4AD283">
      <w:pPr>
        <w:keepNext/>
        <w:keepLines/>
        <w:spacing w:before="120" w:after="120" w:line="440" w:lineRule="exact"/>
        <w:outlineLvl w:val="2"/>
        <w:rPr>
          <w:rFonts w:ascii="宋体" w:hAnsi="宋体" w:cs="宋体"/>
          <w:b/>
          <w:bCs/>
          <w:color w:val="auto"/>
          <w:sz w:val="24"/>
          <w:szCs w:val="24"/>
          <w:highlight w:val="none"/>
        </w:rPr>
      </w:pPr>
      <w:bookmarkStart w:id="1131" w:name="_Toc389065330"/>
      <w:bookmarkStart w:id="1132" w:name="_Toc487632765"/>
      <w:bookmarkStart w:id="1133" w:name="_Toc407135268"/>
      <w:bookmarkStart w:id="1134" w:name="_Toc51599622"/>
      <w:bookmarkStart w:id="1135" w:name="_Toc373478412"/>
      <w:bookmarkStart w:id="1136" w:name="_Toc373227765"/>
      <w:r>
        <w:rPr>
          <w:rFonts w:hint="eastAsia" w:ascii="宋体" w:hAnsi="宋体" w:cs="宋体"/>
          <w:b/>
          <w:bCs/>
          <w:color w:val="auto"/>
          <w:sz w:val="24"/>
          <w:szCs w:val="24"/>
          <w:highlight w:val="none"/>
        </w:rPr>
        <w:t>15.4 保修</w:t>
      </w:r>
      <w:bookmarkEnd w:id="1131"/>
      <w:bookmarkEnd w:id="1132"/>
      <w:bookmarkEnd w:id="1133"/>
      <w:bookmarkEnd w:id="1134"/>
      <w:bookmarkEnd w:id="1135"/>
      <w:bookmarkEnd w:id="1136"/>
    </w:p>
    <w:bookmarkEnd w:id="1092"/>
    <w:p w14:paraId="02E1DB80">
      <w:pPr>
        <w:spacing w:line="440" w:lineRule="exact"/>
        <w:ind w:firstLine="468" w:firstLineChars="195"/>
        <w:rPr>
          <w:rFonts w:ascii="宋体" w:hAnsi="宋体" w:cs="宋体"/>
          <w:color w:val="auto"/>
          <w:sz w:val="24"/>
          <w:szCs w:val="24"/>
          <w:highlight w:val="none"/>
        </w:rPr>
      </w:pPr>
      <w:r>
        <w:rPr>
          <w:rFonts w:hint="eastAsia" w:ascii="宋体" w:hAnsi="宋体" w:cs="宋体"/>
          <w:color w:val="auto"/>
          <w:sz w:val="24"/>
          <w:szCs w:val="24"/>
          <w:highlight w:val="none"/>
        </w:rPr>
        <w:t>15.4.1 保修责任</w:t>
      </w:r>
    </w:p>
    <w:bookmarkEnd w:id="1093"/>
    <w:bookmarkEnd w:id="1094"/>
    <w:bookmarkEnd w:id="1095"/>
    <w:bookmarkEnd w:id="1096"/>
    <w:p w14:paraId="6B974DF5">
      <w:pPr>
        <w:spacing w:line="440" w:lineRule="exact"/>
        <w:ind w:firstLine="468" w:firstLineChars="195"/>
        <w:rPr>
          <w:rFonts w:ascii="宋体" w:hAnsi="宋体" w:cs="宋体"/>
          <w:color w:val="auto"/>
          <w:kern w:val="0"/>
          <w:sz w:val="24"/>
          <w:szCs w:val="24"/>
          <w:highlight w:val="none"/>
        </w:rPr>
      </w:pPr>
      <w:bookmarkStart w:id="1137" w:name="_Toc373227766"/>
      <w:bookmarkStart w:id="1138" w:name="_Toc407135269"/>
      <w:bookmarkStart w:id="1139" w:name="_Toc487632766"/>
      <w:bookmarkStart w:id="1140" w:name="_Toc351203648"/>
      <w:bookmarkStart w:id="1141" w:name="_Toc373478413"/>
      <w:bookmarkStart w:id="1142" w:name="_Toc389065331"/>
      <w:bookmarkStart w:id="1143" w:name="_Toc280868717"/>
      <w:bookmarkStart w:id="1144" w:name="_Toc280868718"/>
      <w:r>
        <w:rPr>
          <w:rFonts w:hint="eastAsia" w:ascii="宋体" w:hAnsi="宋体" w:cs="宋体"/>
          <w:color w:val="auto"/>
          <w:sz w:val="24"/>
          <w:szCs w:val="24"/>
          <w:highlight w:val="none"/>
        </w:rPr>
        <w:t>工程保修期为：</w:t>
      </w:r>
      <w:r>
        <w:rPr>
          <w:rFonts w:hint="eastAsia" w:ascii="宋体" w:hAnsi="宋体" w:cs="宋体"/>
          <w:color w:val="auto"/>
          <w:kern w:val="0"/>
          <w:sz w:val="24"/>
          <w:szCs w:val="24"/>
          <w:highlight w:val="none"/>
          <w:u w:val="single"/>
        </w:rPr>
        <w:t xml:space="preserve">   执行《建设工程质量管理条例》规定     </w:t>
      </w:r>
      <w:r>
        <w:rPr>
          <w:rFonts w:hint="eastAsia" w:ascii="宋体" w:hAnsi="宋体" w:cs="宋体"/>
          <w:color w:val="auto"/>
          <w:kern w:val="0"/>
          <w:sz w:val="24"/>
          <w:szCs w:val="24"/>
          <w:highlight w:val="none"/>
        </w:rPr>
        <w:t>。</w:t>
      </w:r>
    </w:p>
    <w:p w14:paraId="403A4337">
      <w:pPr>
        <w:spacing w:line="440" w:lineRule="exact"/>
        <w:ind w:firstLine="468" w:firstLineChars="195"/>
        <w:rPr>
          <w:rFonts w:ascii="宋体" w:hAnsi="宋体" w:cs="宋体"/>
          <w:color w:val="auto"/>
          <w:kern w:val="0"/>
          <w:sz w:val="24"/>
          <w:szCs w:val="24"/>
          <w:highlight w:val="none"/>
          <w:u w:val="single"/>
        </w:rPr>
      </w:pPr>
      <w:r>
        <w:rPr>
          <w:rFonts w:hint="eastAsia" w:ascii="宋体" w:hAnsi="宋体" w:cs="宋体"/>
          <w:color w:val="auto"/>
          <w:sz w:val="24"/>
          <w:szCs w:val="24"/>
          <w:highlight w:val="none"/>
        </w:rPr>
        <w:t>工程保修书具体内容见合同附件8。</w:t>
      </w:r>
    </w:p>
    <w:p w14:paraId="0CBE810F">
      <w:pPr>
        <w:spacing w:line="440" w:lineRule="exact"/>
        <w:ind w:firstLine="468" w:firstLineChars="195"/>
        <w:rPr>
          <w:rFonts w:ascii="宋体" w:hAnsi="宋体" w:cs="宋体"/>
          <w:color w:val="auto"/>
          <w:sz w:val="24"/>
          <w:szCs w:val="24"/>
          <w:highlight w:val="none"/>
        </w:rPr>
      </w:pPr>
      <w:r>
        <w:rPr>
          <w:rFonts w:hint="eastAsia" w:ascii="宋体" w:hAnsi="宋体" w:cs="宋体"/>
          <w:color w:val="auto"/>
          <w:sz w:val="24"/>
          <w:szCs w:val="24"/>
          <w:highlight w:val="none"/>
        </w:rPr>
        <w:t>15.4.3 修复通知</w:t>
      </w:r>
    </w:p>
    <w:p w14:paraId="12EBD127">
      <w:pPr>
        <w:spacing w:line="440" w:lineRule="exact"/>
        <w:ind w:firstLine="468" w:firstLineChars="195"/>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承包人收到保修通知并到达工程现场的合理时间：</w:t>
      </w:r>
      <w:r>
        <w:rPr>
          <w:rFonts w:hint="eastAsia" w:ascii="宋体" w:hAnsi="宋体" w:cs="宋体"/>
          <w:color w:val="auto"/>
          <w:kern w:val="0"/>
          <w:sz w:val="24"/>
          <w:szCs w:val="24"/>
          <w:highlight w:val="none"/>
          <w:u w:val="single"/>
        </w:rPr>
        <w:t xml:space="preserve">   3天内  </w:t>
      </w:r>
      <w:r>
        <w:rPr>
          <w:rFonts w:hint="eastAsia" w:ascii="宋体" w:hAnsi="宋体" w:cs="宋体"/>
          <w:color w:val="auto"/>
          <w:kern w:val="0"/>
          <w:sz w:val="24"/>
          <w:szCs w:val="24"/>
          <w:highlight w:val="none"/>
        </w:rPr>
        <w:t>。</w:t>
      </w:r>
    </w:p>
    <w:p w14:paraId="405D3771">
      <w:pPr>
        <w:keepNext/>
        <w:keepLines/>
        <w:spacing w:before="120" w:after="120" w:line="440" w:lineRule="exact"/>
        <w:outlineLvl w:val="1"/>
        <w:rPr>
          <w:rFonts w:ascii="宋体" w:hAnsi="宋体" w:cs="宋体"/>
          <w:b/>
          <w:bCs/>
          <w:color w:val="auto"/>
          <w:sz w:val="24"/>
          <w:szCs w:val="24"/>
          <w:highlight w:val="none"/>
        </w:rPr>
      </w:pPr>
      <w:bookmarkStart w:id="1145" w:name="_Toc51599623"/>
      <w:r>
        <w:rPr>
          <w:rFonts w:hint="eastAsia" w:ascii="宋体" w:hAnsi="宋体" w:cs="宋体"/>
          <w:b/>
          <w:bCs/>
          <w:color w:val="auto"/>
          <w:sz w:val="24"/>
          <w:szCs w:val="24"/>
          <w:highlight w:val="none"/>
        </w:rPr>
        <w:t>16. 违约</w:t>
      </w:r>
      <w:bookmarkEnd w:id="1137"/>
      <w:bookmarkEnd w:id="1138"/>
      <w:bookmarkEnd w:id="1139"/>
      <w:bookmarkEnd w:id="1140"/>
      <w:bookmarkEnd w:id="1141"/>
      <w:bookmarkEnd w:id="1142"/>
      <w:bookmarkEnd w:id="1145"/>
    </w:p>
    <w:p w14:paraId="73ABB2F7">
      <w:pPr>
        <w:keepNext/>
        <w:keepLines/>
        <w:spacing w:before="120" w:after="120" w:line="440" w:lineRule="exact"/>
        <w:outlineLvl w:val="2"/>
        <w:rPr>
          <w:rFonts w:ascii="宋体" w:hAnsi="宋体" w:cs="宋体"/>
          <w:b/>
          <w:bCs/>
          <w:color w:val="auto"/>
          <w:sz w:val="24"/>
          <w:szCs w:val="24"/>
          <w:highlight w:val="none"/>
        </w:rPr>
      </w:pPr>
      <w:bookmarkStart w:id="1146" w:name="_Toc487632767"/>
      <w:bookmarkStart w:id="1147" w:name="_Toc373227767"/>
      <w:bookmarkStart w:id="1148" w:name="_Toc407135270"/>
      <w:bookmarkStart w:id="1149" w:name="_Toc51599624"/>
      <w:bookmarkStart w:id="1150" w:name="_Toc389065332"/>
      <w:bookmarkStart w:id="1151" w:name="_Toc373478414"/>
      <w:r>
        <w:rPr>
          <w:rFonts w:hint="eastAsia" w:ascii="宋体" w:hAnsi="宋体" w:cs="宋体"/>
          <w:b/>
          <w:bCs/>
          <w:color w:val="auto"/>
          <w:sz w:val="24"/>
          <w:szCs w:val="24"/>
          <w:highlight w:val="none"/>
        </w:rPr>
        <w:t>16.1 发包人违约</w:t>
      </w:r>
      <w:bookmarkEnd w:id="1146"/>
      <w:bookmarkEnd w:id="1147"/>
      <w:bookmarkEnd w:id="1148"/>
      <w:bookmarkEnd w:id="1149"/>
      <w:bookmarkEnd w:id="1150"/>
      <w:bookmarkEnd w:id="1151"/>
    </w:p>
    <w:p w14:paraId="3E6C1665">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16.1.1发包人违约的情形</w:t>
      </w:r>
    </w:p>
    <w:p w14:paraId="673BB604">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发包人违约的其他情形：</w:t>
      </w:r>
      <w:r>
        <w:rPr>
          <w:rFonts w:hint="eastAsia" w:ascii="宋体" w:hAnsi="宋体" w:cs="宋体"/>
          <w:color w:val="auto"/>
          <w:kern w:val="0"/>
          <w:sz w:val="24"/>
          <w:szCs w:val="24"/>
          <w:highlight w:val="none"/>
          <w:u w:val="single"/>
        </w:rPr>
        <w:t xml:space="preserve">    </w:t>
      </w:r>
      <w:r>
        <w:rPr>
          <w:rFonts w:hint="eastAsia" w:ascii="宋体" w:hAnsi="宋体" w:cs="宋体"/>
          <w:color w:val="auto"/>
          <w:sz w:val="24"/>
          <w:szCs w:val="24"/>
          <w:highlight w:val="none"/>
          <w:u w:val="single"/>
        </w:rPr>
        <w:t>按通用条款执行</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w:t>
      </w:r>
    </w:p>
    <w:p w14:paraId="021509A6">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16.1.2 发包人违约的责任</w:t>
      </w:r>
    </w:p>
    <w:p w14:paraId="19B16CD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发包人违约责任的承担方式和计算方法：</w:t>
      </w:r>
    </w:p>
    <w:p w14:paraId="798A0A6A">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（1）因发包人原因未能在计划开工日期前7天内下达开工通知的违约责任：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35C1B8B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（2）因发包人原因未能按合同约定支付合同价款的违约责任：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5D72573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（3）发包人违反第10.1款〔变更的范围〕第（2）项约定，自行实施被取消的工作或转由他人实施的违约责任：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2D9E6635">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42F06A66">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（5）因发包人违反合同约定造成暂停施工的违约责任：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423485C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（6）发包人无正当理由没有在约定期限内发出复工指示，导致承包人无法复工的违约责任：</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1DF2D11F">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（7）其他：</w:t>
      </w:r>
      <w:r>
        <w:rPr>
          <w:rFonts w:hint="eastAsia" w:ascii="宋体" w:hAnsi="宋体" w:cs="宋体"/>
          <w:color w:val="auto"/>
          <w:kern w:val="0"/>
          <w:sz w:val="24"/>
          <w:szCs w:val="24"/>
          <w:highlight w:val="none"/>
          <w:u w:val="single"/>
        </w:rPr>
        <w:t xml:space="preserve">          /            </w:t>
      </w:r>
      <w:r>
        <w:rPr>
          <w:rFonts w:hint="eastAsia" w:ascii="宋体" w:hAnsi="宋体" w:cs="宋体"/>
          <w:color w:val="auto"/>
          <w:kern w:val="0"/>
          <w:sz w:val="24"/>
          <w:szCs w:val="24"/>
          <w:highlight w:val="none"/>
        </w:rPr>
        <w:t>。</w:t>
      </w:r>
    </w:p>
    <w:p w14:paraId="059238E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16.1.3 因发包人违约解除合同</w:t>
      </w:r>
    </w:p>
    <w:p w14:paraId="664A31D0">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承包人按16.1.1项〔发包人违约的情形〕约定暂停施工满</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天后发包人仍不纠正其违约行为并致使合同目的不能实现的，承包人有权解除合同。</w:t>
      </w:r>
    </w:p>
    <w:p w14:paraId="503A7BE3">
      <w:pPr>
        <w:keepNext/>
        <w:keepLines/>
        <w:spacing w:before="120" w:after="120" w:line="440" w:lineRule="exact"/>
        <w:outlineLvl w:val="2"/>
        <w:rPr>
          <w:rFonts w:ascii="宋体" w:hAnsi="宋体" w:cs="宋体"/>
          <w:b/>
          <w:bCs/>
          <w:color w:val="auto"/>
          <w:sz w:val="24"/>
          <w:szCs w:val="24"/>
          <w:highlight w:val="none"/>
        </w:rPr>
      </w:pPr>
      <w:bookmarkStart w:id="1152" w:name="_Toc487632768"/>
      <w:bookmarkStart w:id="1153" w:name="_Toc51599625"/>
      <w:bookmarkStart w:id="1154" w:name="_Toc389065333"/>
      <w:bookmarkStart w:id="1155" w:name="_Toc373478415"/>
      <w:bookmarkStart w:id="1156" w:name="_Toc373227768"/>
      <w:bookmarkStart w:id="1157" w:name="_Toc407135271"/>
      <w:r>
        <w:rPr>
          <w:rFonts w:hint="eastAsia" w:ascii="宋体" w:hAnsi="宋体" w:cs="宋体"/>
          <w:b/>
          <w:bCs/>
          <w:color w:val="auto"/>
          <w:sz w:val="24"/>
          <w:szCs w:val="24"/>
          <w:highlight w:val="none"/>
        </w:rPr>
        <w:t>16.2 承包人违约</w:t>
      </w:r>
      <w:bookmarkEnd w:id="1152"/>
      <w:bookmarkEnd w:id="1153"/>
      <w:bookmarkEnd w:id="1154"/>
      <w:bookmarkEnd w:id="1155"/>
      <w:bookmarkEnd w:id="1156"/>
      <w:bookmarkEnd w:id="1157"/>
    </w:p>
    <w:p w14:paraId="6C583D60">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16.2.1 承包人违约的情形</w:t>
      </w:r>
    </w:p>
    <w:p w14:paraId="660B20D4">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kern w:val="0"/>
          <w:sz w:val="24"/>
          <w:szCs w:val="24"/>
          <w:highlight w:val="none"/>
        </w:rPr>
        <w:t>承包人违约的其他情形：</w:t>
      </w:r>
      <w:r>
        <w:rPr>
          <w:rFonts w:hint="eastAsia" w:ascii="宋体" w:hAnsi="宋体" w:cs="宋体"/>
          <w:color w:val="auto"/>
          <w:kern w:val="0"/>
          <w:sz w:val="24"/>
          <w:szCs w:val="24"/>
          <w:highlight w:val="none"/>
          <w:u w:val="single"/>
        </w:rPr>
        <w:t xml:space="preserve">   非承包人原因发生的工程事故，承包人不积极采取措施，导致经济损失扩大  </w:t>
      </w:r>
      <w:r>
        <w:rPr>
          <w:rFonts w:hint="eastAsia" w:ascii="宋体" w:hAnsi="宋体" w:cs="宋体"/>
          <w:color w:val="auto"/>
          <w:kern w:val="0"/>
          <w:sz w:val="24"/>
          <w:szCs w:val="24"/>
          <w:highlight w:val="none"/>
        </w:rPr>
        <w:t>。</w:t>
      </w:r>
    </w:p>
    <w:p w14:paraId="1948BAB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16.2.2承包人违约的责任</w:t>
      </w:r>
    </w:p>
    <w:p w14:paraId="3F424D86">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承包人违约责任的承担方式和计算方法：</w:t>
      </w:r>
    </w:p>
    <w:p w14:paraId="2664C2F2">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承包人未按本合同通用条款第16.2.1（2）、（3）条内容完成的，承包人无条件返工处理，修复至工程质量要求并承担相关费用，并在发包人规定的时间内完成返工，否则发包人有权扣罚该分项工程2%的工程款作为处罚。</w:t>
      </w:r>
    </w:p>
    <w:p w14:paraId="127F15A9">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（2）承包人有本合同通用条款第16.2.1（6）条情形的，或经监理人检验认为修复质量不合格而承包人拒绝再进行修补的，发包人将扣除承包人全部质量保修金。</w:t>
      </w:r>
    </w:p>
    <w:p w14:paraId="1BCDD06E">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承包人有本专用合同条款3.2、3.3条违约责任的，发包人有权扣除承包人的违约金。监理人预先下发含有罚款意向的指令，如承包人不及时采取措施纠正，则在指令下达后十五天下发罚款通知书（不再陈述罚款理由）。承包人在合同期内，完成合同规定的全部工程，且质量合格，在本工程施工竣工验收后十五天内可申请返还全部或部分罚款，返还金额由监理人审核，发包人批准。罚款金额返还时不包括银行利息。</w:t>
      </w:r>
    </w:p>
    <w:p w14:paraId="4405F772">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16.2.3 因承包人违约解除合同</w:t>
      </w:r>
    </w:p>
    <w:p w14:paraId="384D5FA8">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关于承包人违约解除合同的特别约定：</w:t>
      </w:r>
      <w:r>
        <w:rPr>
          <w:rFonts w:hint="eastAsia" w:ascii="宋体" w:hAnsi="宋体" w:cs="宋体"/>
          <w:color w:val="auto"/>
          <w:kern w:val="0"/>
          <w:sz w:val="24"/>
          <w:szCs w:val="24"/>
          <w:highlight w:val="none"/>
          <w:u w:val="single"/>
        </w:rPr>
        <w:t>承包人有违反以下情况之一的，发包人有权解除合同</w:t>
      </w:r>
      <w:r>
        <w:rPr>
          <w:rFonts w:hint="eastAsia" w:ascii="宋体" w:hAnsi="宋体" w:cs="宋体"/>
          <w:color w:val="auto"/>
          <w:kern w:val="0"/>
          <w:sz w:val="24"/>
          <w:szCs w:val="24"/>
          <w:highlight w:val="none"/>
        </w:rPr>
        <w:t>。</w:t>
      </w:r>
    </w:p>
    <w:p w14:paraId="0A43726C">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(1)承包人无正当理由不按开工通知的要求及时进场组织施工和不按签订协议书时商定的进度计划有效地开展施工准备，造成工期延误的；</w:t>
      </w:r>
    </w:p>
    <w:p w14:paraId="11CCCDE6">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(2)承包人违反本合同通用条款第3.5条规定私自将合同或合同的任何部分或任何权利转让给其他人，或私自将工程或工程的一部分分包出去的；</w:t>
      </w:r>
    </w:p>
    <w:p w14:paraId="12CCE6A7">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(3)未经监理人批准，承包人私自将已按投标文件承诺进入工地的工程设备、施工设备、临时工程或材料撤离工地的；</w:t>
      </w:r>
    </w:p>
    <w:p w14:paraId="51039C03">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(4)由于承包人原因拒绝按合同进度计划及时完成合同规定的工程，而又未采取有效措施赶上进度，造成工期严重延误的；</w:t>
      </w:r>
    </w:p>
    <w:p w14:paraId="5C2BCE56">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(5)承包人否认合同有效或拒绝履行合同规定的承包人义务，或由于法律、财务等原因导致承包人无法继续履行或实质上已停止履行合同的义务的；</w:t>
      </w:r>
    </w:p>
    <w:p w14:paraId="44C775B1">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(6)合同签订之日起十五日内，承包人无法按合同规定及投标文件的承诺进场经监理工程师认可的全部人员和机械的。</w:t>
      </w:r>
    </w:p>
    <w:p w14:paraId="099EB589">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cs="宋体"/>
          <w:color w:val="auto"/>
          <w:kern w:val="0"/>
          <w:sz w:val="24"/>
          <w:szCs w:val="24"/>
          <w:highlight w:val="none"/>
          <w:u w:val="single"/>
        </w:rPr>
        <w:t xml:space="preserve">      费用另行约定，由发包人承担        </w:t>
      </w:r>
      <w:r>
        <w:rPr>
          <w:rFonts w:hint="eastAsia" w:ascii="宋体" w:hAnsi="宋体" w:cs="宋体"/>
          <w:color w:val="auto"/>
          <w:kern w:val="0"/>
          <w:sz w:val="24"/>
          <w:szCs w:val="24"/>
          <w:highlight w:val="none"/>
        </w:rPr>
        <w:t>。</w:t>
      </w:r>
    </w:p>
    <w:p w14:paraId="1219802F">
      <w:pPr>
        <w:keepNext/>
        <w:keepLines/>
        <w:spacing w:before="120" w:after="120" w:line="440" w:lineRule="exact"/>
        <w:outlineLvl w:val="1"/>
        <w:rPr>
          <w:rFonts w:ascii="宋体" w:hAnsi="宋体" w:cs="宋体"/>
          <w:b/>
          <w:bCs/>
          <w:color w:val="auto"/>
          <w:sz w:val="24"/>
          <w:szCs w:val="24"/>
          <w:highlight w:val="none"/>
        </w:rPr>
      </w:pPr>
      <w:bookmarkStart w:id="1158" w:name="_Toc351203649"/>
      <w:bookmarkStart w:id="1159" w:name="_Toc373478416"/>
      <w:bookmarkStart w:id="1160" w:name="_Toc373227769"/>
      <w:bookmarkStart w:id="1161" w:name="_Toc389065334"/>
      <w:bookmarkStart w:id="1162" w:name="_Toc51599626"/>
      <w:bookmarkStart w:id="1163" w:name="_Toc487632769"/>
      <w:bookmarkStart w:id="1164" w:name="_Toc407135272"/>
      <w:r>
        <w:rPr>
          <w:rFonts w:hint="eastAsia" w:ascii="宋体" w:hAnsi="宋体" w:cs="宋体"/>
          <w:b/>
          <w:bCs/>
          <w:color w:val="auto"/>
          <w:sz w:val="24"/>
          <w:szCs w:val="24"/>
          <w:highlight w:val="none"/>
        </w:rPr>
        <w:t>17. 不可抗力</w:t>
      </w:r>
      <w:bookmarkEnd w:id="1158"/>
      <w:bookmarkEnd w:id="1159"/>
      <w:bookmarkEnd w:id="1160"/>
      <w:bookmarkEnd w:id="1161"/>
      <w:bookmarkEnd w:id="1162"/>
      <w:bookmarkEnd w:id="1163"/>
      <w:bookmarkEnd w:id="1164"/>
      <w:r>
        <w:rPr>
          <w:rFonts w:hint="eastAsia" w:ascii="宋体" w:hAnsi="宋体" w:cs="宋体"/>
          <w:b/>
          <w:bCs/>
          <w:color w:val="auto"/>
          <w:sz w:val="24"/>
          <w:szCs w:val="24"/>
          <w:highlight w:val="none"/>
        </w:rPr>
        <w:t xml:space="preserve"> </w:t>
      </w:r>
      <w:bookmarkEnd w:id="1143"/>
    </w:p>
    <w:p w14:paraId="22911E9D">
      <w:pPr>
        <w:keepNext/>
        <w:keepLines/>
        <w:spacing w:before="120" w:after="120" w:line="440" w:lineRule="exact"/>
        <w:outlineLvl w:val="2"/>
        <w:rPr>
          <w:rFonts w:ascii="宋体" w:hAnsi="宋体" w:cs="宋体"/>
          <w:b/>
          <w:bCs/>
          <w:color w:val="auto"/>
          <w:sz w:val="24"/>
          <w:szCs w:val="24"/>
          <w:highlight w:val="none"/>
        </w:rPr>
      </w:pPr>
      <w:bookmarkStart w:id="1165" w:name="_Toc373478417"/>
      <w:bookmarkStart w:id="1166" w:name="_Toc373227770"/>
      <w:bookmarkStart w:id="1167" w:name="_Toc389065335"/>
      <w:bookmarkStart w:id="1168" w:name="_Toc407135273"/>
      <w:bookmarkStart w:id="1169" w:name="_Toc51599627"/>
      <w:bookmarkStart w:id="1170" w:name="_Toc487632770"/>
      <w:r>
        <w:rPr>
          <w:rFonts w:hint="eastAsia" w:ascii="宋体" w:hAnsi="宋体" w:cs="宋体"/>
          <w:b/>
          <w:bCs/>
          <w:color w:val="auto"/>
          <w:sz w:val="24"/>
          <w:szCs w:val="24"/>
          <w:highlight w:val="none"/>
        </w:rPr>
        <w:t>17.1 不可抗力的确认</w:t>
      </w:r>
      <w:bookmarkEnd w:id="1165"/>
      <w:bookmarkEnd w:id="1166"/>
      <w:bookmarkEnd w:id="1167"/>
      <w:bookmarkEnd w:id="1168"/>
      <w:bookmarkEnd w:id="1169"/>
      <w:bookmarkEnd w:id="1170"/>
    </w:p>
    <w:p w14:paraId="088D1C84">
      <w:pPr>
        <w:spacing w:line="440" w:lineRule="exact"/>
        <w:ind w:firstLine="480" w:firstLineChars="200"/>
        <w:rPr>
          <w:rFonts w:ascii="宋体" w:hAnsi="宋体" w:cs="宋体"/>
          <w:color w:val="auto"/>
          <w:kern w:val="0"/>
          <w:sz w:val="24"/>
          <w:szCs w:val="24"/>
          <w:highlight w:val="none"/>
          <w:u w:val="single"/>
        </w:rPr>
      </w:pPr>
      <w:r>
        <w:rPr>
          <w:rFonts w:hint="eastAsia" w:ascii="宋体" w:hAnsi="宋体" w:cs="宋体"/>
          <w:color w:val="auto"/>
          <w:sz w:val="24"/>
          <w:szCs w:val="24"/>
          <w:highlight w:val="none"/>
        </w:rPr>
        <w:t>除通用合同条款约定的不可抗力事件之外，视为不可抗力的其他情形：</w:t>
      </w:r>
      <w:r>
        <w:rPr>
          <w:rFonts w:hint="eastAsia" w:ascii="宋体" w:hAnsi="宋体" w:cs="宋体"/>
          <w:color w:val="auto"/>
          <w:kern w:val="0"/>
          <w:sz w:val="24"/>
          <w:szCs w:val="24"/>
          <w:highlight w:val="none"/>
          <w:u w:val="single"/>
        </w:rPr>
        <w:t xml:space="preserve">   无        </w:t>
      </w:r>
      <w:r>
        <w:rPr>
          <w:rFonts w:hint="eastAsia" w:ascii="宋体" w:hAnsi="宋体" w:cs="宋体"/>
          <w:color w:val="auto"/>
          <w:kern w:val="0"/>
          <w:sz w:val="24"/>
          <w:szCs w:val="24"/>
          <w:highlight w:val="none"/>
        </w:rPr>
        <w:t>。</w:t>
      </w:r>
    </w:p>
    <w:p w14:paraId="7A3CB7AA">
      <w:pPr>
        <w:keepNext/>
        <w:keepLines/>
        <w:spacing w:before="120" w:after="120" w:line="440" w:lineRule="exact"/>
        <w:outlineLvl w:val="2"/>
        <w:rPr>
          <w:rFonts w:ascii="宋体" w:hAnsi="宋体" w:cs="宋体"/>
          <w:b/>
          <w:bCs/>
          <w:color w:val="auto"/>
          <w:sz w:val="24"/>
          <w:szCs w:val="24"/>
          <w:highlight w:val="none"/>
        </w:rPr>
      </w:pPr>
      <w:bookmarkStart w:id="1171" w:name="_Toc389065336"/>
      <w:bookmarkStart w:id="1172" w:name="_Toc373227771"/>
      <w:bookmarkStart w:id="1173" w:name="_Toc487632771"/>
      <w:bookmarkStart w:id="1174" w:name="_Toc51599628"/>
      <w:bookmarkStart w:id="1175" w:name="_Toc373478418"/>
      <w:bookmarkStart w:id="1176" w:name="_Toc407135274"/>
      <w:r>
        <w:rPr>
          <w:rFonts w:hint="eastAsia" w:ascii="宋体" w:hAnsi="宋体" w:cs="宋体"/>
          <w:b/>
          <w:bCs/>
          <w:color w:val="auto"/>
          <w:sz w:val="24"/>
          <w:szCs w:val="24"/>
          <w:highlight w:val="none"/>
        </w:rPr>
        <w:t>17.4 因不可抗力解除合同</w:t>
      </w:r>
      <w:bookmarkEnd w:id="1171"/>
      <w:bookmarkEnd w:id="1172"/>
      <w:bookmarkEnd w:id="1173"/>
      <w:bookmarkEnd w:id="1174"/>
      <w:bookmarkEnd w:id="1175"/>
      <w:bookmarkEnd w:id="1176"/>
    </w:p>
    <w:p w14:paraId="27F64E3C">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合同解除后，发包人应在商定或确定发包人应支付款项后</w:t>
      </w:r>
      <w:r>
        <w:rPr>
          <w:rFonts w:hint="eastAsia" w:ascii="宋体" w:hAnsi="宋体" w:cs="宋体"/>
          <w:color w:val="auto"/>
          <w:sz w:val="24"/>
          <w:szCs w:val="24"/>
          <w:highlight w:val="none"/>
          <w:u w:val="single"/>
        </w:rPr>
        <w:t xml:space="preserve">  15  </w:t>
      </w:r>
      <w:r>
        <w:rPr>
          <w:rFonts w:hint="eastAsia" w:ascii="宋体" w:hAnsi="宋体" w:cs="宋体"/>
          <w:color w:val="auto"/>
          <w:sz w:val="24"/>
          <w:szCs w:val="24"/>
          <w:highlight w:val="none"/>
        </w:rPr>
        <w:t>天内完成款项的支付。</w:t>
      </w:r>
    </w:p>
    <w:p w14:paraId="6B47FAD8">
      <w:pPr>
        <w:keepNext/>
        <w:keepLines/>
        <w:spacing w:before="120" w:after="120" w:line="440" w:lineRule="exact"/>
        <w:outlineLvl w:val="1"/>
        <w:rPr>
          <w:rFonts w:ascii="宋体" w:hAnsi="宋体" w:cs="宋体"/>
          <w:b/>
          <w:bCs/>
          <w:color w:val="auto"/>
          <w:sz w:val="24"/>
          <w:szCs w:val="24"/>
          <w:highlight w:val="none"/>
        </w:rPr>
      </w:pPr>
      <w:bookmarkStart w:id="1177" w:name="_Toc351203650"/>
      <w:bookmarkStart w:id="1178" w:name="_Toc487632772"/>
      <w:bookmarkStart w:id="1179" w:name="_Toc51599629"/>
      <w:bookmarkStart w:id="1180" w:name="_Toc407135275"/>
      <w:bookmarkStart w:id="1181" w:name="_Toc373227772"/>
      <w:bookmarkStart w:id="1182" w:name="_Toc373478419"/>
      <w:bookmarkStart w:id="1183" w:name="_Toc389065337"/>
      <w:r>
        <w:rPr>
          <w:rFonts w:hint="eastAsia" w:ascii="宋体" w:hAnsi="宋体" w:cs="宋体"/>
          <w:b/>
          <w:bCs/>
          <w:color w:val="auto"/>
          <w:sz w:val="24"/>
          <w:szCs w:val="24"/>
          <w:highlight w:val="none"/>
        </w:rPr>
        <w:t>18. 保险</w:t>
      </w:r>
      <w:bookmarkEnd w:id="1177"/>
      <w:bookmarkEnd w:id="1178"/>
      <w:bookmarkEnd w:id="1179"/>
      <w:bookmarkEnd w:id="1180"/>
      <w:bookmarkEnd w:id="1181"/>
      <w:bookmarkEnd w:id="1182"/>
      <w:bookmarkEnd w:id="1183"/>
    </w:p>
    <w:bookmarkEnd w:id="1144"/>
    <w:p w14:paraId="3AD0B187">
      <w:pPr>
        <w:keepNext/>
        <w:keepLines/>
        <w:spacing w:before="120" w:after="120" w:line="440" w:lineRule="exact"/>
        <w:outlineLvl w:val="2"/>
        <w:rPr>
          <w:rFonts w:ascii="宋体" w:hAnsi="宋体" w:cs="宋体"/>
          <w:b/>
          <w:bCs/>
          <w:color w:val="auto"/>
          <w:sz w:val="24"/>
          <w:szCs w:val="24"/>
          <w:highlight w:val="none"/>
        </w:rPr>
      </w:pPr>
      <w:bookmarkStart w:id="1184" w:name="_Toc389065338"/>
      <w:bookmarkStart w:id="1185" w:name="_Toc487632773"/>
      <w:bookmarkStart w:id="1186" w:name="_Toc407135276"/>
      <w:bookmarkStart w:id="1187" w:name="_Toc373227773"/>
      <w:bookmarkStart w:id="1188" w:name="_Toc51599630"/>
      <w:bookmarkStart w:id="1189" w:name="_Toc373478420"/>
      <w:r>
        <w:rPr>
          <w:rFonts w:hint="eastAsia" w:ascii="宋体" w:hAnsi="宋体" w:cs="宋体"/>
          <w:b/>
          <w:bCs/>
          <w:color w:val="auto"/>
          <w:sz w:val="24"/>
          <w:szCs w:val="24"/>
          <w:highlight w:val="none"/>
        </w:rPr>
        <w:t>18.1 工程保险</w:t>
      </w:r>
      <w:bookmarkEnd w:id="1184"/>
      <w:bookmarkEnd w:id="1185"/>
      <w:bookmarkEnd w:id="1186"/>
      <w:bookmarkEnd w:id="1187"/>
      <w:bookmarkEnd w:id="1188"/>
      <w:bookmarkEnd w:id="1189"/>
    </w:p>
    <w:p w14:paraId="01CA7C6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关于工程保险的特别约定：</w:t>
      </w:r>
      <w:r>
        <w:rPr>
          <w:rFonts w:hint="eastAsia" w:ascii="宋体" w:hAnsi="宋体" w:cs="宋体"/>
          <w:color w:val="auto"/>
          <w:kern w:val="0"/>
          <w:sz w:val="24"/>
          <w:szCs w:val="24"/>
          <w:highlight w:val="none"/>
          <w:u w:val="single"/>
        </w:rPr>
        <w:t xml:space="preserve">    由承包人负责并承担费用    </w:t>
      </w:r>
      <w:r>
        <w:rPr>
          <w:rFonts w:hint="eastAsia" w:ascii="宋体" w:hAnsi="宋体" w:cs="宋体"/>
          <w:color w:val="auto"/>
          <w:kern w:val="0"/>
          <w:sz w:val="24"/>
          <w:szCs w:val="24"/>
          <w:highlight w:val="none"/>
        </w:rPr>
        <w:t>。</w:t>
      </w:r>
    </w:p>
    <w:p w14:paraId="610F2841">
      <w:pPr>
        <w:keepNext/>
        <w:keepLines/>
        <w:spacing w:before="120" w:after="120" w:line="440" w:lineRule="exact"/>
        <w:outlineLvl w:val="2"/>
        <w:rPr>
          <w:rFonts w:ascii="宋体" w:hAnsi="宋体" w:cs="宋体"/>
          <w:b/>
          <w:bCs/>
          <w:color w:val="auto"/>
          <w:sz w:val="24"/>
          <w:szCs w:val="24"/>
          <w:highlight w:val="none"/>
        </w:rPr>
      </w:pPr>
      <w:bookmarkStart w:id="1190" w:name="_Toc373478421"/>
      <w:bookmarkStart w:id="1191" w:name="_Toc373227774"/>
      <w:bookmarkStart w:id="1192" w:name="_Toc51599631"/>
      <w:bookmarkStart w:id="1193" w:name="_Toc487632774"/>
      <w:bookmarkStart w:id="1194" w:name="_Toc389065339"/>
      <w:bookmarkStart w:id="1195" w:name="_Toc407135277"/>
      <w:r>
        <w:rPr>
          <w:rFonts w:hint="eastAsia" w:ascii="宋体" w:hAnsi="宋体" w:cs="宋体"/>
          <w:b/>
          <w:bCs/>
          <w:color w:val="auto"/>
          <w:sz w:val="24"/>
          <w:szCs w:val="24"/>
          <w:highlight w:val="none"/>
        </w:rPr>
        <w:t>18.3 其他保险</w:t>
      </w:r>
      <w:bookmarkEnd w:id="1190"/>
      <w:bookmarkEnd w:id="1191"/>
      <w:bookmarkEnd w:id="1192"/>
      <w:bookmarkEnd w:id="1193"/>
      <w:bookmarkEnd w:id="1194"/>
      <w:bookmarkEnd w:id="1195"/>
    </w:p>
    <w:p w14:paraId="2F82DA58">
      <w:pPr>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关于其他保险的约定：</w:t>
      </w:r>
      <w:r>
        <w:rPr>
          <w:rFonts w:hint="eastAsia" w:ascii="宋体" w:hAnsi="宋体" w:cs="宋体"/>
          <w:color w:val="auto"/>
          <w:sz w:val="24"/>
          <w:szCs w:val="24"/>
          <w:highlight w:val="none"/>
          <w:u w:val="single"/>
        </w:rPr>
        <w:t xml:space="preserve">       由承包人考虑并承担费用         </w:t>
      </w:r>
      <w:r>
        <w:rPr>
          <w:rFonts w:hint="eastAsia" w:ascii="宋体" w:hAnsi="宋体" w:cs="宋体"/>
          <w:color w:val="auto"/>
          <w:sz w:val="24"/>
          <w:szCs w:val="24"/>
          <w:highlight w:val="none"/>
        </w:rPr>
        <w:t>。</w:t>
      </w:r>
    </w:p>
    <w:p w14:paraId="5E72D8A8">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承包人是否应为其施工设备等办理财产保险：</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1B68E13D">
      <w:pPr>
        <w:keepNext/>
        <w:keepLines/>
        <w:spacing w:before="120" w:after="120" w:line="440" w:lineRule="exact"/>
        <w:outlineLvl w:val="2"/>
        <w:rPr>
          <w:rFonts w:ascii="宋体" w:hAnsi="宋体" w:cs="宋体"/>
          <w:b/>
          <w:bCs/>
          <w:color w:val="auto"/>
          <w:sz w:val="24"/>
          <w:szCs w:val="24"/>
          <w:highlight w:val="none"/>
        </w:rPr>
      </w:pPr>
      <w:bookmarkStart w:id="1196" w:name="_Toc373478422"/>
      <w:bookmarkStart w:id="1197" w:name="_Toc389065340"/>
      <w:bookmarkStart w:id="1198" w:name="_Toc373227775"/>
      <w:bookmarkStart w:id="1199" w:name="_Toc407135278"/>
      <w:bookmarkStart w:id="1200" w:name="_Toc487632775"/>
      <w:bookmarkStart w:id="1201" w:name="_Toc51599632"/>
      <w:r>
        <w:rPr>
          <w:rFonts w:hint="eastAsia" w:ascii="宋体" w:hAnsi="宋体" w:cs="宋体"/>
          <w:b/>
          <w:bCs/>
          <w:color w:val="auto"/>
          <w:sz w:val="24"/>
          <w:szCs w:val="24"/>
          <w:highlight w:val="none"/>
        </w:rPr>
        <w:t>18.7 通知义务</w:t>
      </w:r>
      <w:bookmarkEnd w:id="1196"/>
      <w:bookmarkEnd w:id="1197"/>
      <w:bookmarkEnd w:id="1198"/>
      <w:bookmarkEnd w:id="1199"/>
      <w:bookmarkEnd w:id="1200"/>
      <w:bookmarkEnd w:id="1201"/>
    </w:p>
    <w:p w14:paraId="7EA87CE7">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kern w:val="0"/>
          <w:sz w:val="24"/>
          <w:szCs w:val="24"/>
          <w:highlight w:val="none"/>
        </w:rPr>
        <w:t>关于变更保险合同时的通知义务的约定：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bookmarkEnd w:id="1097"/>
    <w:bookmarkEnd w:id="1098"/>
    <w:bookmarkEnd w:id="1099"/>
    <w:bookmarkEnd w:id="1100"/>
    <w:bookmarkEnd w:id="1101"/>
    <w:bookmarkEnd w:id="1102"/>
    <w:bookmarkEnd w:id="1103"/>
    <w:bookmarkEnd w:id="1104"/>
    <w:bookmarkEnd w:id="1105"/>
    <w:bookmarkEnd w:id="1106"/>
    <w:bookmarkEnd w:id="1107"/>
    <w:bookmarkEnd w:id="1108"/>
    <w:p w14:paraId="1F24B7D9">
      <w:pPr>
        <w:keepNext/>
        <w:keepLines/>
        <w:spacing w:before="120" w:after="120" w:line="440" w:lineRule="exact"/>
        <w:outlineLvl w:val="1"/>
        <w:rPr>
          <w:rFonts w:ascii="宋体" w:hAnsi="宋体" w:cs="宋体"/>
          <w:b/>
          <w:bCs/>
          <w:color w:val="auto"/>
          <w:sz w:val="24"/>
          <w:szCs w:val="24"/>
          <w:highlight w:val="none"/>
        </w:rPr>
      </w:pPr>
      <w:bookmarkStart w:id="1202" w:name="_Toc373478423"/>
      <w:bookmarkStart w:id="1203" w:name="_Toc373227776"/>
      <w:bookmarkStart w:id="1204" w:name="_Toc407135279"/>
      <w:bookmarkStart w:id="1205" w:name="_Toc389065341"/>
      <w:bookmarkStart w:id="1206" w:name="_Toc51599633"/>
      <w:bookmarkStart w:id="1207" w:name="_Toc351203651"/>
      <w:bookmarkStart w:id="1208" w:name="_Toc487632776"/>
      <w:r>
        <w:rPr>
          <w:rFonts w:hint="eastAsia" w:ascii="宋体" w:hAnsi="宋体" w:cs="宋体"/>
          <w:b/>
          <w:bCs/>
          <w:color w:val="auto"/>
          <w:sz w:val="24"/>
          <w:szCs w:val="24"/>
          <w:highlight w:val="none"/>
        </w:rPr>
        <w:t>20. 争议解决</w:t>
      </w:r>
      <w:bookmarkEnd w:id="1202"/>
      <w:bookmarkEnd w:id="1203"/>
      <w:bookmarkEnd w:id="1204"/>
      <w:bookmarkEnd w:id="1205"/>
      <w:bookmarkEnd w:id="1206"/>
      <w:bookmarkEnd w:id="1207"/>
      <w:bookmarkEnd w:id="1208"/>
    </w:p>
    <w:bookmarkEnd w:id="1109"/>
    <w:bookmarkEnd w:id="1110"/>
    <w:p w14:paraId="736F525D">
      <w:pPr>
        <w:keepNext/>
        <w:keepLines/>
        <w:spacing w:before="120" w:after="120" w:line="440" w:lineRule="exact"/>
        <w:outlineLvl w:val="2"/>
        <w:rPr>
          <w:rFonts w:ascii="宋体" w:hAnsi="宋体" w:cs="宋体"/>
          <w:b/>
          <w:bCs/>
          <w:color w:val="auto"/>
          <w:sz w:val="24"/>
          <w:szCs w:val="24"/>
          <w:highlight w:val="none"/>
        </w:rPr>
      </w:pPr>
      <w:bookmarkStart w:id="1209" w:name="_Toc373478424"/>
      <w:bookmarkStart w:id="1210" w:name="_Toc51599634"/>
      <w:bookmarkStart w:id="1211" w:name="_Toc389065342"/>
      <w:bookmarkStart w:id="1212" w:name="_Toc487632777"/>
      <w:bookmarkStart w:id="1213" w:name="_Toc373227777"/>
      <w:bookmarkStart w:id="1214" w:name="_Toc407135280"/>
      <w:r>
        <w:rPr>
          <w:rFonts w:hint="eastAsia" w:ascii="宋体" w:hAnsi="宋体" w:cs="宋体"/>
          <w:b/>
          <w:bCs/>
          <w:color w:val="auto"/>
          <w:sz w:val="24"/>
          <w:szCs w:val="24"/>
          <w:highlight w:val="none"/>
        </w:rPr>
        <w:t>20.3 争</w:t>
      </w:r>
      <w:bookmarkEnd w:id="1111"/>
      <w:r>
        <w:rPr>
          <w:rFonts w:hint="eastAsia" w:ascii="宋体" w:hAnsi="宋体" w:cs="宋体"/>
          <w:b/>
          <w:bCs/>
          <w:color w:val="auto"/>
          <w:sz w:val="24"/>
          <w:szCs w:val="24"/>
          <w:highlight w:val="none"/>
        </w:rPr>
        <w:t>议评审</w:t>
      </w:r>
      <w:bookmarkEnd w:id="1209"/>
      <w:bookmarkEnd w:id="1210"/>
      <w:bookmarkEnd w:id="1211"/>
      <w:bookmarkEnd w:id="1212"/>
      <w:bookmarkEnd w:id="1213"/>
      <w:bookmarkEnd w:id="1214"/>
    </w:p>
    <w:p w14:paraId="00643F84">
      <w:pPr>
        <w:spacing w:line="440" w:lineRule="exact"/>
        <w:ind w:left="149" w:leftChars="71" w:firstLine="360" w:firstLineChars="150"/>
        <w:rPr>
          <w:rFonts w:ascii="宋体" w:hAnsi="宋体" w:cs="宋体"/>
          <w:color w:val="auto"/>
          <w:sz w:val="24"/>
          <w:szCs w:val="24"/>
          <w:highlight w:val="none"/>
          <w:u w:val="single"/>
        </w:rPr>
      </w:pPr>
      <w:r>
        <w:rPr>
          <w:rFonts w:hint="eastAsia" w:ascii="宋体" w:hAnsi="宋体" w:cs="宋体"/>
          <w:color w:val="auto"/>
          <w:sz w:val="24"/>
          <w:szCs w:val="24"/>
          <w:highlight w:val="none"/>
        </w:rPr>
        <w:t>合同当事人是否同意将工程争议提交争议评审小组决定：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395CB469">
      <w:pPr>
        <w:spacing w:line="440" w:lineRule="exact"/>
        <w:ind w:left="149" w:leftChars="71" w:firstLine="360" w:firstLineChars="150"/>
        <w:rPr>
          <w:rFonts w:ascii="宋体" w:hAnsi="宋体" w:cs="宋体"/>
          <w:color w:val="auto"/>
          <w:sz w:val="24"/>
          <w:szCs w:val="24"/>
          <w:highlight w:val="none"/>
        </w:rPr>
      </w:pPr>
      <w:r>
        <w:rPr>
          <w:rFonts w:hint="eastAsia" w:ascii="宋体" w:hAnsi="宋体" w:cs="宋体"/>
          <w:color w:val="auto"/>
          <w:sz w:val="24"/>
          <w:szCs w:val="24"/>
          <w:highlight w:val="none"/>
        </w:rPr>
        <w:t>20.3.1 争议评审小组的确定</w:t>
      </w:r>
    </w:p>
    <w:p w14:paraId="27B05D29">
      <w:pPr>
        <w:spacing w:line="440" w:lineRule="exact"/>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争议评审小组成员的确定：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619CBE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选定争议评审员的期限：</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45E5AAEE">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争议评审小组成员的报酬承担方式：</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7E08B7DA">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其他事项的约定：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0706E5B8">
      <w:pPr>
        <w:autoSpaceDE w:val="0"/>
        <w:autoSpaceDN w:val="0"/>
        <w:adjustRightInd w:val="0"/>
        <w:spacing w:line="44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20.3.2 争议评审小组的决定</w:t>
      </w:r>
    </w:p>
    <w:p w14:paraId="2FFA0864">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合同当事人关于本项的约定：</w:t>
      </w:r>
      <w:r>
        <w:rPr>
          <w:rFonts w:hint="eastAsia" w:ascii="宋体" w:hAnsi="宋体" w:cs="宋体"/>
          <w:color w:val="auto"/>
          <w:sz w:val="24"/>
          <w:szCs w:val="24"/>
          <w:highlight w:val="none"/>
          <w:u w:val="single"/>
        </w:rPr>
        <w:t xml:space="preserve">                /           </w:t>
      </w:r>
      <w:r>
        <w:rPr>
          <w:rFonts w:hint="eastAsia" w:ascii="宋体" w:hAnsi="宋体" w:cs="宋体"/>
          <w:color w:val="auto"/>
          <w:sz w:val="24"/>
          <w:szCs w:val="24"/>
          <w:highlight w:val="none"/>
        </w:rPr>
        <w:t>。</w:t>
      </w:r>
    </w:p>
    <w:p w14:paraId="570704E6">
      <w:pPr>
        <w:keepNext/>
        <w:keepLines/>
        <w:spacing w:before="120" w:after="120" w:line="440" w:lineRule="exact"/>
        <w:outlineLvl w:val="2"/>
        <w:rPr>
          <w:rFonts w:ascii="宋体" w:hAnsi="宋体" w:cs="宋体"/>
          <w:b/>
          <w:bCs/>
          <w:color w:val="auto"/>
          <w:sz w:val="24"/>
          <w:szCs w:val="24"/>
          <w:highlight w:val="none"/>
        </w:rPr>
      </w:pPr>
      <w:bookmarkStart w:id="1215" w:name="_Toc407135281"/>
      <w:bookmarkStart w:id="1216" w:name="_Toc373227778"/>
      <w:bookmarkStart w:id="1217" w:name="_Toc373478425"/>
      <w:bookmarkStart w:id="1218" w:name="_Toc51599635"/>
      <w:bookmarkStart w:id="1219" w:name="_Toc389065343"/>
      <w:bookmarkStart w:id="1220" w:name="_Toc487632778"/>
      <w:r>
        <w:rPr>
          <w:rFonts w:hint="eastAsia" w:ascii="宋体" w:hAnsi="宋体" w:cs="宋体"/>
          <w:b/>
          <w:bCs/>
          <w:color w:val="auto"/>
          <w:sz w:val="24"/>
          <w:szCs w:val="24"/>
          <w:highlight w:val="none"/>
        </w:rPr>
        <w:t>20.4 仲裁或诉讼</w:t>
      </w:r>
      <w:bookmarkEnd w:id="1112"/>
      <w:bookmarkEnd w:id="1215"/>
      <w:bookmarkEnd w:id="1216"/>
      <w:bookmarkEnd w:id="1217"/>
      <w:bookmarkEnd w:id="1218"/>
      <w:bookmarkEnd w:id="1219"/>
      <w:bookmarkEnd w:id="1220"/>
    </w:p>
    <w:p w14:paraId="1E5418A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因合同及合同有关事项发生的争议，按下列第</w:t>
      </w:r>
      <w:r>
        <w:rPr>
          <w:rFonts w:hint="eastAsia" w:ascii="宋体" w:hAnsi="宋体" w:cs="宋体"/>
          <w:color w:val="auto"/>
          <w:sz w:val="24"/>
          <w:szCs w:val="24"/>
          <w:highlight w:val="none"/>
          <w:u w:val="single"/>
        </w:rPr>
        <w:t xml:space="preserve">  2   </w:t>
      </w:r>
      <w:r>
        <w:rPr>
          <w:rFonts w:hint="eastAsia" w:ascii="宋体" w:hAnsi="宋体" w:cs="宋体"/>
          <w:color w:val="auto"/>
          <w:sz w:val="24"/>
          <w:szCs w:val="24"/>
          <w:highlight w:val="none"/>
        </w:rPr>
        <w:t>种方式解决：</w:t>
      </w:r>
    </w:p>
    <w:p w14:paraId="498DD08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（1）提请</w:t>
      </w:r>
      <w:r>
        <w:rPr>
          <w:rFonts w:hint="eastAsia" w:ascii="宋体" w:hAnsi="宋体" w:cs="宋体"/>
          <w:color w:val="auto"/>
          <w:sz w:val="24"/>
          <w:szCs w:val="24"/>
          <w:highlight w:val="none"/>
          <w:u w:val="single"/>
        </w:rPr>
        <w:t xml:space="preserve">  梧州市   </w:t>
      </w:r>
      <w:r>
        <w:rPr>
          <w:rFonts w:hint="eastAsia" w:ascii="宋体" w:hAnsi="宋体" w:cs="宋体"/>
          <w:color w:val="auto"/>
          <w:sz w:val="24"/>
          <w:szCs w:val="24"/>
          <w:highlight w:val="none"/>
        </w:rPr>
        <w:t>仲裁委员会按照该会仲裁规则进行仲裁，仲裁裁决是终局的，对合同双方均有约束力。</w:t>
      </w:r>
    </w:p>
    <w:p w14:paraId="685C256F">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（2）向</w:t>
      </w:r>
      <w:r>
        <w:rPr>
          <w:rFonts w:hint="eastAsia" w:ascii="宋体" w:hAnsi="宋体" w:cs="宋体"/>
          <w:color w:val="auto"/>
          <w:sz w:val="24"/>
          <w:szCs w:val="24"/>
          <w:highlight w:val="none"/>
          <w:u w:val="single"/>
        </w:rPr>
        <w:t xml:space="preserve">    工程所在地  </w:t>
      </w:r>
      <w:r>
        <w:rPr>
          <w:rFonts w:hint="eastAsia" w:ascii="宋体" w:hAnsi="宋体" w:cs="宋体"/>
          <w:color w:val="auto"/>
          <w:sz w:val="24"/>
          <w:szCs w:val="24"/>
          <w:highlight w:val="none"/>
        </w:rPr>
        <w:t>人民法院起诉。</w:t>
      </w:r>
      <w:bookmarkEnd w:id="1113"/>
      <w:bookmarkEnd w:id="1114"/>
      <w:bookmarkEnd w:id="1115"/>
      <w:bookmarkEnd w:id="1116"/>
      <w:bookmarkEnd w:id="1117"/>
      <w:bookmarkEnd w:id="1118"/>
    </w:p>
    <w:p w14:paraId="3B5ED4D1">
      <w:pPr>
        <w:keepNext/>
        <w:keepLines/>
        <w:spacing w:before="120" w:after="120" w:line="440" w:lineRule="exact"/>
        <w:outlineLvl w:val="1"/>
        <w:rPr>
          <w:rFonts w:ascii="宋体" w:hAnsi="宋体" w:cs="宋体"/>
          <w:b/>
          <w:bCs/>
          <w:color w:val="auto"/>
          <w:sz w:val="24"/>
          <w:szCs w:val="24"/>
          <w:highlight w:val="none"/>
        </w:rPr>
      </w:pPr>
      <w:bookmarkStart w:id="1221" w:name="_Toc407135282"/>
      <w:bookmarkStart w:id="1222" w:name="_Toc487632779"/>
      <w:bookmarkStart w:id="1223" w:name="_Toc373478426"/>
      <w:bookmarkStart w:id="1224" w:name="_Toc373227779"/>
      <w:bookmarkStart w:id="1225" w:name="_Toc51599636"/>
      <w:bookmarkStart w:id="1226" w:name="_Toc389065344"/>
      <w:r>
        <w:rPr>
          <w:rFonts w:hint="eastAsia" w:ascii="宋体" w:hAnsi="宋体" w:cs="宋体"/>
          <w:b/>
          <w:bCs/>
          <w:color w:val="auto"/>
          <w:sz w:val="24"/>
          <w:szCs w:val="24"/>
          <w:highlight w:val="none"/>
        </w:rPr>
        <w:t>21. 补充条款</w:t>
      </w:r>
      <w:bookmarkEnd w:id="1221"/>
      <w:bookmarkEnd w:id="1222"/>
      <w:bookmarkEnd w:id="1223"/>
      <w:bookmarkEnd w:id="1224"/>
      <w:bookmarkEnd w:id="1225"/>
      <w:bookmarkEnd w:id="1226"/>
    </w:p>
    <w:p w14:paraId="3CA0FB11">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21.1 凡进入本工程工作的妇女应持有计生证、否则不准安排工作，禁止使用童工。</w:t>
      </w:r>
    </w:p>
    <w:p w14:paraId="46C3793D">
      <w:pPr>
        <w:spacing w:line="44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21.2承包人需对施工现场人员购买社会保险及工程保险。</w:t>
      </w:r>
    </w:p>
    <w:p w14:paraId="1A184A84">
      <w:pPr>
        <w:tabs>
          <w:tab w:val="left" w:pos="5000"/>
        </w:tabs>
        <w:spacing w:line="560" w:lineRule="exact"/>
        <w:jc w:val="center"/>
        <w:rPr>
          <w:rFonts w:ascii="宋体" w:cs="宋体"/>
          <w:b/>
          <w:color w:val="auto"/>
          <w:sz w:val="36"/>
          <w:szCs w:val="36"/>
          <w:highlight w:val="none"/>
        </w:rPr>
      </w:pPr>
      <w:r>
        <w:rPr>
          <w:rFonts w:hint="eastAsia" w:ascii="宋体" w:hAnsi="宋体" w:cs="宋体"/>
          <w:b/>
          <w:color w:val="auto"/>
          <w:sz w:val="36"/>
          <w:szCs w:val="36"/>
          <w:highlight w:val="none"/>
        </w:rPr>
        <w:t>第四部分</w:t>
      </w:r>
      <w:r>
        <w:rPr>
          <w:rFonts w:hint="eastAsia" w:ascii="仿宋" w:hAnsi="仿宋" w:eastAsia="仿宋" w:cs="仿宋"/>
          <w:b/>
          <w:bCs/>
          <w:color w:val="auto"/>
          <w:sz w:val="32"/>
          <w:szCs w:val="32"/>
          <w:highlight w:val="none"/>
        </w:rPr>
        <w:t xml:space="preserve"> </w:t>
      </w:r>
      <w:r>
        <w:rPr>
          <w:rFonts w:hint="eastAsia" w:ascii="宋体" w:hAnsi="宋体" w:cs="宋体"/>
          <w:b/>
          <w:color w:val="auto"/>
          <w:sz w:val="36"/>
          <w:szCs w:val="36"/>
          <w:highlight w:val="none"/>
        </w:rPr>
        <w:t>工程质量保修书</w:t>
      </w:r>
    </w:p>
    <w:p w14:paraId="147A80AA">
      <w:pPr>
        <w:tabs>
          <w:tab w:val="left" w:pos="5000"/>
        </w:tabs>
        <w:spacing w:line="560" w:lineRule="exact"/>
        <w:jc w:val="center"/>
        <w:rPr>
          <w:rFonts w:ascii="宋体" w:cs="宋体"/>
          <w:b/>
          <w:color w:val="auto"/>
          <w:sz w:val="36"/>
          <w:szCs w:val="36"/>
          <w:highlight w:val="none"/>
        </w:rPr>
      </w:pPr>
    </w:p>
    <w:p w14:paraId="2074BA1D">
      <w:pPr>
        <w:spacing w:line="440" w:lineRule="exact"/>
        <w:ind w:firstLine="480" w:firstLineChars="200"/>
        <w:rPr>
          <w:rFonts w:hint="eastAsia" w:ascii="宋体" w:cs="宋体" w:eastAsiaTheme="minorEastAsia"/>
          <w:color w:val="auto"/>
          <w:sz w:val="24"/>
          <w:szCs w:val="24"/>
          <w:highlight w:val="none"/>
          <w:lang w:val="en-US" w:eastAsia="zh-CN"/>
        </w:rPr>
      </w:pPr>
      <w:r>
        <w:rPr>
          <w:rFonts w:hint="eastAsia" w:ascii="宋体" w:hAnsi="宋体" w:cs="宋体"/>
          <w:color w:val="auto"/>
          <w:sz w:val="24"/>
          <w:szCs w:val="24"/>
          <w:highlight w:val="none"/>
        </w:rPr>
        <w:t>发包人（全称）：</w:t>
      </w:r>
      <w:r>
        <w:rPr>
          <w:rFonts w:hint="eastAsia" w:ascii="宋体" w:hAnsi="宋体" w:cs="宋体"/>
          <w:b/>
          <w:bCs/>
          <w:color w:val="auto"/>
          <w:sz w:val="24"/>
          <w:szCs w:val="24"/>
          <w:highlight w:val="none"/>
          <w:u w:val="single"/>
          <w:lang w:val="en-US" w:eastAsia="zh-CN"/>
        </w:rPr>
        <w:t>梧州市文化路小学</w:t>
      </w:r>
    </w:p>
    <w:p w14:paraId="2060C052">
      <w:pPr>
        <w:snapToGrid w:val="0"/>
        <w:spacing w:line="360" w:lineRule="auto"/>
        <w:ind w:firstLine="240" w:firstLineChars="100"/>
        <w:rPr>
          <w:rFonts w:ascii="宋体" w:hAnsi="宋体" w:cs="仿宋"/>
          <w:b/>
          <w:bCs/>
          <w:color w:val="auto"/>
          <w:kern w:val="0"/>
          <w:sz w:val="24"/>
          <w:szCs w:val="24"/>
          <w:highlight w:val="none"/>
          <w:u w:val="single"/>
        </w:rPr>
      </w:pPr>
      <w:r>
        <w:rPr>
          <w:rFonts w:hint="eastAsia" w:ascii="宋体" w:hAnsi="宋体" w:cs="宋体"/>
          <w:color w:val="auto"/>
          <w:sz w:val="24"/>
          <w:szCs w:val="24"/>
          <w:highlight w:val="none"/>
        </w:rPr>
        <w:t>　承包人（全称）：</w:t>
      </w:r>
      <w:r>
        <w:rPr>
          <w:rFonts w:hint="eastAsia" w:ascii="宋体" w:hAnsi="宋体"/>
          <w:color w:val="auto"/>
          <w:sz w:val="24"/>
          <w:szCs w:val="24"/>
          <w:highlight w:val="none"/>
          <w:u w:val="single"/>
        </w:rPr>
        <w:t xml:space="preserve">               </w:t>
      </w:r>
    </w:p>
    <w:p w14:paraId="77F8EF9D">
      <w:pPr>
        <w:spacing w:line="360" w:lineRule="auto"/>
        <w:rPr>
          <w:rFonts w:ascii="宋体" w:cs="宋体"/>
          <w:color w:val="auto"/>
          <w:sz w:val="24"/>
          <w:szCs w:val="24"/>
          <w:highlight w:val="none"/>
        </w:rPr>
      </w:pPr>
      <w:r>
        <w:rPr>
          <w:rFonts w:hint="eastAsia" w:ascii="宋体" w:hAnsi="宋体" w:cs="宋体"/>
          <w:color w:val="auto"/>
          <w:sz w:val="24"/>
          <w:szCs w:val="24"/>
          <w:highlight w:val="none"/>
        </w:rPr>
        <w:t>　　发包人和承包人根据《中华人民共和国建筑法》和《建设工程质量管理条例》，经协商一致就</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rPr>
        <w:t>（工程全称）签订工程质量保修书。</w:t>
      </w:r>
    </w:p>
    <w:p w14:paraId="2487346C">
      <w:pPr>
        <w:spacing w:line="360" w:lineRule="auto"/>
        <w:rPr>
          <w:rFonts w:ascii="宋体" w:cs="宋体"/>
          <w:color w:val="auto"/>
          <w:sz w:val="24"/>
          <w:szCs w:val="24"/>
          <w:highlight w:val="none"/>
        </w:rPr>
      </w:pPr>
      <w:r>
        <w:rPr>
          <w:rFonts w:hint="eastAsia" w:ascii="宋体" w:hAnsi="宋体" w:cs="宋体"/>
          <w:color w:val="auto"/>
          <w:sz w:val="24"/>
          <w:szCs w:val="24"/>
          <w:highlight w:val="none"/>
        </w:rPr>
        <w:t>　　一、工程质量保修范围和内容</w:t>
      </w:r>
    </w:p>
    <w:p w14:paraId="3465B322">
      <w:pPr>
        <w:spacing w:line="360" w:lineRule="auto"/>
        <w:rPr>
          <w:rFonts w:ascii="宋体" w:cs="宋体"/>
          <w:color w:val="auto"/>
          <w:sz w:val="24"/>
          <w:szCs w:val="24"/>
          <w:highlight w:val="none"/>
        </w:rPr>
      </w:pPr>
      <w:r>
        <w:rPr>
          <w:rFonts w:hint="eastAsia" w:ascii="宋体" w:hAnsi="宋体" w:cs="宋体"/>
          <w:color w:val="auto"/>
          <w:sz w:val="24"/>
          <w:szCs w:val="24"/>
          <w:highlight w:val="none"/>
        </w:rPr>
        <w:t>　　承包人在质量保修期内，按照有关法律规定和合同约定，承担工程质量保修责任。</w:t>
      </w:r>
    </w:p>
    <w:p w14:paraId="2BA0CE41">
      <w:pPr>
        <w:spacing w:line="360" w:lineRule="auto"/>
        <w:rPr>
          <w:rFonts w:ascii="宋体" w:cs="宋体"/>
          <w:color w:val="auto"/>
          <w:sz w:val="24"/>
          <w:szCs w:val="24"/>
          <w:highlight w:val="none"/>
        </w:rPr>
      </w:pPr>
      <w:r>
        <w:rPr>
          <w:rFonts w:hint="eastAsia" w:ascii="宋体" w:hAnsi="宋体" w:cs="宋体"/>
          <w:color w:val="auto"/>
          <w:sz w:val="24"/>
          <w:szCs w:val="24"/>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发包人提供的施工图纸包含的全部内容</w:t>
      </w:r>
      <w:r>
        <w:rPr>
          <w:rFonts w:hint="eastAsia" w:ascii="宋体" w:hAnsi="宋体" w:cs="宋体"/>
          <w:color w:val="auto"/>
          <w:sz w:val="24"/>
          <w:szCs w:val="24"/>
          <w:highlight w:val="none"/>
        </w:rPr>
        <w:t>。</w:t>
      </w:r>
    </w:p>
    <w:p w14:paraId="61065C91">
      <w:pPr>
        <w:spacing w:line="360" w:lineRule="auto"/>
        <w:rPr>
          <w:rFonts w:ascii="宋体" w:cs="宋体"/>
          <w:color w:val="auto"/>
          <w:sz w:val="24"/>
          <w:szCs w:val="24"/>
          <w:highlight w:val="none"/>
        </w:rPr>
      </w:pPr>
      <w:r>
        <w:rPr>
          <w:rFonts w:hint="eastAsia" w:ascii="宋体" w:hAnsi="宋体" w:cs="宋体"/>
          <w:b/>
          <w:color w:val="auto"/>
          <w:sz w:val="24"/>
          <w:szCs w:val="24"/>
          <w:highlight w:val="none"/>
        </w:rPr>
        <w:t>　　</w:t>
      </w:r>
      <w:r>
        <w:rPr>
          <w:rFonts w:hint="eastAsia" w:ascii="宋体" w:hAnsi="宋体" w:cs="宋体"/>
          <w:color w:val="auto"/>
          <w:sz w:val="24"/>
          <w:szCs w:val="24"/>
          <w:highlight w:val="none"/>
        </w:rPr>
        <w:t>二、质量保修期</w:t>
      </w:r>
    </w:p>
    <w:p w14:paraId="50D06E96">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根据《建设工程质量管理条例》及有关规定，工程的质量保修期如下：</w:t>
      </w:r>
    </w:p>
    <w:p w14:paraId="15626E16">
      <w:pPr>
        <w:spacing w:line="360" w:lineRule="auto"/>
        <w:ind w:firstLine="480" w:firstLineChars="200"/>
        <w:rPr>
          <w:rFonts w:asci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．地基基础工程和主体结构工程为设计文件规定的工程合理使用年限；</w:t>
      </w:r>
    </w:p>
    <w:p w14:paraId="25545360">
      <w:pPr>
        <w:spacing w:line="360" w:lineRule="auto"/>
        <w:ind w:firstLine="480" w:firstLineChars="200"/>
        <w:rPr>
          <w:rFonts w:asci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．给排水设施、道路等维修工程为</w:t>
      </w:r>
      <w:r>
        <w:rPr>
          <w:rFonts w:ascii="宋体" w:hAnsi="宋体" w:cs="宋体"/>
          <w:color w:val="auto"/>
          <w:sz w:val="24"/>
          <w:szCs w:val="24"/>
          <w:highlight w:val="none"/>
        </w:rPr>
        <w:t xml:space="preserve"> 12</w:t>
      </w:r>
      <w:r>
        <w:rPr>
          <w:rFonts w:hint="eastAsia" w:ascii="宋体" w:hAnsi="宋体" w:cs="宋体"/>
          <w:color w:val="auto"/>
          <w:sz w:val="24"/>
          <w:szCs w:val="24"/>
          <w:highlight w:val="none"/>
        </w:rPr>
        <w:t>个月；</w:t>
      </w:r>
    </w:p>
    <w:p w14:paraId="3D3B6835">
      <w:pPr>
        <w:spacing w:line="360" w:lineRule="auto"/>
        <w:ind w:left="420" w:leftChars="200" w:firstLine="120" w:firstLineChars="50"/>
        <w:rPr>
          <w:rFonts w:ascii="宋体" w:cs="宋体"/>
          <w:color w:val="auto"/>
          <w:sz w:val="24"/>
          <w:szCs w:val="24"/>
          <w:highlight w:val="none"/>
        </w:rPr>
      </w:pPr>
      <w:r>
        <w:rPr>
          <w:rFonts w:hint="eastAsia" w:ascii="宋体" w:hAnsi="宋体" w:cs="宋体"/>
          <w:color w:val="auto"/>
          <w:sz w:val="24"/>
          <w:szCs w:val="24"/>
          <w:highlight w:val="none"/>
        </w:rPr>
        <w:t>其他项目保修期限约定如下：</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一年</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2FFAB22">
      <w:pPr>
        <w:spacing w:line="360" w:lineRule="auto"/>
        <w:ind w:firstLine="480"/>
        <w:rPr>
          <w:rFonts w:ascii="宋体" w:cs="宋体"/>
          <w:color w:val="auto"/>
          <w:sz w:val="24"/>
          <w:szCs w:val="24"/>
          <w:highlight w:val="none"/>
        </w:rPr>
      </w:pPr>
      <w:r>
        <w:rPr>
          <w:rFonts w:hint="eastAsia" w:ascii="宋体" w:hAnsi="宋体" w:cs="宋体"/>
          <w:color w:val="auto"/>
          <w:sz w:val="24"/>
          <w:szCs w:val="24"/>
          <w:highlight w:val="none"/>
        </w:rPr>
        <w:t>质量保修期自工程竣工验收合格之日起计算。</w:t>
      </w:r>
    </w:p>
    <w:p w14:paraId="6EAD94BB">
      <w:pPr>
        <w:pStyle w:val="12"/>
        <w:numPr>
          <w:ilvl w:val="0"/>
          <w:numId w:val="4"/>
        </w:numPr>
        <w:spacing w:after="60" w:line="360" w:lineRule="atLeast"/>
        <w:ind w:right="63" w:rightChars="30" w:firstLine="480"/>
        <w:textAlignment w:val="baseline"/>
        <w:rPr>
          <w:rFonts w:ascii="宋体" w:hAnsi="宋体" w:cs="宋体" w:eastAsiaTheme="minorEastAsia"/>
          <w:color w:val="auto"/>
          <w:kern w:val="2"/>
          <w:sz w:val="24"/>
          <w:szCs w:val="24"/>
          <w:highlight w:val="none"/>
        </w:rPr>
      </w:pPr>
      <w:r>
        <w:rPr>
          <w:rFonts w:hint="eastAsia" w:ascii="宋体" w:hAnsi="宋体" w:cs="宋体" w:eastAsiaTheme="minorEastAsia"/>
          <w:color w:val="auto"/>
          <w:kern w:val="2"/>
          <w:sz w:val="24"/>
          <w:szCs w:val="24"/>
          <w:highlight w:val="none"/>
        </w:rPr>
        <w:t>防撞护舷的质保期，以出厂证明的质保期限为准，但不少于1年。其质保期以工程验收合格之日起计算。</w:t>
      </w:r>
    </w:p>
    <w:p w14:paraId="6BA475CE">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三、缺陷责任期</w:t>
      </w:r>
    </w:p>
    <w:p w14:paraId="1B6A9A31">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工程缺陷责任期为</w:t>
      </w:r>
      <w:r>
        <w:rPr>
          <w:rFonts w:ascii="宋体" w:hAnsi="宋体" w:cs="宋体"/>
          <w:color w:val="auto"/>
          <w:sz w:val="24"/>
          <w:szCs w:val="24"/>
          <w:highlight w:val="none"/>
          <w:u w:val="single"/>
        </w:rPr>
        <w:t xml:space="preserve">  12  </w:t>
      </w:r>
      <w:r>
        <w:rPr>
          <w:rFonts w:hint="eastAsia" w:ascii="宋体" w:hAnsi="宋体" w:cs="宋体"/>
          <w:color w:val="auto"/>
          <w:sz w:val="24"/>
          <w:szCs w:val="24"/>
          <w:highlight w:val="none"/>
        </w:rPr>
        <w:t>个月，缺陷责任期自工程实际竣工之日起计算。单位工程先于全部工程进行验收，单位工程缺陷责任期自单位工程验收合格之日起计算。</w:t>
      </w:r>
    </w:p>
    <w:p w14:paraId="4AB6111D">
      <w:pPr>
        <w:spacing w:line="36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缺陷责任期终止后，发包人应退还剩余的质量保证金。</w:t>
      </w:r>
    </w:p>
    <w:p w14:paraId="40F59055">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四、质量保修责任</w:t>
      </w:r>
    </w:p>
    <w:p w14:paraId="1267F616">
      <w:pPr>
        <w:spacing w:line="360" w:lineRule="auto"/>
        <w:ind w:left="105" w:leftChars="50" w:firstLine="491" w:firstLineChars="205"/>
        <w:rPr>
          <w:rFonts w:asci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．属于保修范围、内容的项目，承包人应当在接到保修通知之日起</w:t>
      </w:r>
      <w:r>
        <w:rPr>
          <w:rFonts w:ascii="宋体" w:hAnsi="宋体" w:cs="宋体"/>
          <w:color w:val="auto"/>
          <w:sz w:val="24"/>
          <w:szCs w:val="24"/>
          <w:highlight w:val="none"/>
        </w:rPr>
        <w:t>7</w:t>
      </w:r>
      <w:r>
        <w:rPr>
          <w:rFonts w:hint="eastAsia" w:ascii="宋体" w:hAnsi="宋体" w:cs="宋体"/>
          <w:color w:val="auto"/>
          <w:sz w:val="24"/>
          <w:szCs w:val="24"/>
          <w:highlight w:val="none"/>
        </w:rPr>
        <w:t>天内派人保修。承包人不在约定期限内派人保修的，发包人可以委托他人修理。</w:t>
      </w:r>
    </w:p>
    <w:p w14:paraId="200D4973">
      <w:pPr>
        <w:spacing w:line="360" w:lineRule="auto"/>
        <w:ind w:left="105" w:leftChars="50" w:firstLine="491" w:firstLineChars="205"/>
        <w:rPr>
          <w:rFonts w:asci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．发生紧急事故需抢修的，承包人在接到事故通知后，应当立即到达事故现场抢修。</w:t>
      </w:r>
    </w:p>
    <w:p w14:paraId="5F8EE7F4">
      <w:pPr>
        <w:spacing w:line="360" w:lineRule="auto"/>
        <w:ind w:left="105" w:leftChars="50" w:firstLine="491" w:firstLineChars="205"/>
        <w:rPr>
          <w:rFonts w:asci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FC96599">
      <w:pPr>
        <w:spacing w:line="360" w:lineRule="auto"/>
        <w:ind w:left="420" w:leftChars="200" w:firstLine="120" w:firstLineChars="50"/>
        <w:rPr>
          <w:rFonts w:asci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．质量保修完成后，由发包人组织验收。</w:t>
      </w:r>
    </w:p>
    <w:p w14:paraId="4651C0CD">
      <w:pPr>
        <w:spacing w:line="360" w:lineRule="auto"/>
        <w:rPr>
          <w:rFonts w:ascii="宋体" w:cs="宋体"/>
          <w:color w:val="auto"/>
          <w:sz w:val="24"/>
          <w:szCs w:val="24"/>
          <w:highlight w:val="none"/>
        </w:rPr>
      </w:pPr>
      <w:r>
        <w:rPr>
          <w:rFonts w:hint="eastAsia" w:ascii="宋体" w:hAnsi="宋体" w:cs="宋体"/>
          <w:color w:val="auto"/>
          <w:sz w:val="24"/>
          <w:szCs w:val="24"/>
          <w:highlight w:val="none"/>
        </w:rPr>
        <w:t>　　五、保修费用</w:t>
      </w:r>
    </w:p>
    <w:p w14:paraId="623C02D0">
      <w:pPr>
        <w:spacing w:line="360" w:lineRule="auto"/>
        <w:rPr>
          <w:rFonts w:ascii="宋体" w:cs="宋体"/>
          <w:color w:val="auto"/>
          <w:sz w:val="24"/>
          <w:szCs w:val="24"/>
          <w:highlight w:val="none"/>
        </w:rPr>
      </w:pPr>
      <w:r>
        <w:rPr>
          <w:rFonts w:hint="eastAsia" w:ascii="宋体" w:hAnsi="宋体" w:cs="宋体"/>
          <w:color w:val="auto"/>
          <w:sz w:val="24"/>
          <w:szCs w:val="24"/>
          <w:highlight w:val="none"/>
        </w:rPr>
        <w:t>　　保修费用由造成质量缺陷的责任方承担。</w:t>
      </w:r>
    </w:p>
    <w:p w14:paraId="20DE8A76">
      <w:pPr>
        <w:spacing w:line="360" w:lineRule="auto"/>
        <w:ind w:firstLine="480" w:firstLineChars="200"/>
        <w:rPr>
          <w:rFonts w:ascii="宋体" w:cs="宋体"/>
          <w:color w:val="auto"/>
          <w:sz w:val="24"/>
          <w:szCs w:val="24"/>
          <w:highlight w:val="none"/>
        </w:rPr>
      </w:pPr>
      <w:r>
        <w:rPr>
          <w:rFonts w:hint="eastAsia" w:ascii="宋体" w:hAnsi="宋体" w:cs="宋体"/>
          <w:bCs/>
          <w:color w:val="auto"/>
          <w:sz w:val="24"/>
          <w:szCs w:val="24"/>
          <w:highlight w:val="none"/>
        </w:rPr>
        <w:t>六、双方约定</w:t>
      </w:r>
      <w:r>
        <w:rPr>
          <w:rFonts w:hint="eastAsia" w:ascii="宋体" w:hAnsi="宋体" w:cs="宋体"/>
          <w:color w:val="auto"/>
          <w:sz w:val="24"/>
          <w:szCs w:val="24"/>
          <w:highlight w:val="none"/>
        </w:rPr>
        <w:t>的其他工程质量保修事项：</w:t>
      </w:r>
      <w:r>
        <w:rPr>
          <w:rFonts w:hint="eastAsia" w:ascii="宋体" w:hAnsi="宋体" w:cs="宋体"/>
          <w:color w:val="auto"/>
          <w:sz w:val="24"/>
          <w:szCs w:val="24"/>
          <w:highlight w:val="none"/>
          <w:u w:val="single"/>
        </w:rPr>
        <w:t>质量缺陷责任期内，如工程出现质量问题（或质量原因引发安全责任的），致使发包人或第三方受损的，承包人无条件承担整改和赔偿责任。否则发包人可以从承包人的保证金中支付赔偿金额，保证金不足以抵担责任的，发包人可通过其他方式或法律途径向承包人索赔</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6DCCD454">
      <w:pPr>
        <w:spacing w:line="360" w:lineRule="auto"/>
        <w:ind w:firstLine="456" w:firstLineChars="190"/>
        <w:rPr>
          <w:rFonts w:ascii="宋体" w:cs="宋体"/>
          <w:color w:val="auto"/>
          <w:sz w:val="24"/>
          <w:szCs w:val="24"/>
          <w:highlight w:val="none"/>
        </w:rPr>
      </w:pPr>
      <w:r>
        <w:rPr>
          <w:rFonts w:hint="eastAsia" w:ascii="宋体" w:hAnsi="宋体" w:cs="宋体"/>
          <w:color w:val="auto"/>
          <w:sz w:val="24"/>
          <w:szCs w:val="24"/>
          <w:highlight w:val="none"/>
        </w:rPr>
        <w:t>工程质量保修书由发包人、承包人在工程竣工验收前共同签署，作为施工合同附件，其有效期限至保修期满。</w:t>
      </w:r>
    </w:p>
    <w:p w14:paraId="071867B2">
      <w:pPr>
        <w:spacing w:line="360" w:lineRule="auto"/>
        <w:ind w:left="5760" w:hanging="5760" w:hangingChars="2400"/>
        <w:rPr>
          <w:rFonts w:ascii="宋体" w:hAnsi="宋体" w:cs="宋体"/>
          <w:color w:val="auto"/>
          <w:sz w:val="24"/>
          <w:szCs w:val="24"/>
          <w:highlight w:val="none"/>
        </w:rPr>
      </w:pPr>
    </w:p>
    <w:p w14:paraId="3E17DEA9">
      <w:pPr>
        <w:spacing w:line="360" w:lineRule="auto"/>
        <w:ind w:left="5760" w:hanging="5760" w:hangingChars="2400"/>
        <w:rPr>
          <w:rFonts w:ascii="宋体" w:cs="宋体"/>
          <w:color w:val="auto"/>
          <w:spacing w:val="-20"/>
          <w:sz w:val="24"/>
          <w:szCs w:val="24"/>
          <w:highlight w:val="none"/>
          <w:u w:val="single"/>
        </w:rPr>
      </w:pPr>
      <w:r>
        <w:rPr>
          <w:rFonts w:hint="eastAsia" w:ascii="宋体" w:hAnsi="宋体" w:cs="宋体"/>
          <w:color w:val="auto"/>
          <w:sz w:val="24"/>
          <w:szCs w:val="24"/>
          <w:highlight w:val="none"/>
        </w:rPr>
        <w:t>发包人：</w:t>
      </w:r>
      <w:r>
        <w:rPr>
          <w:rFonts w:hint="eastAsia" w:ascii="宋体" w:hAnsi="宋体" w:cs="宋体"/>
          <w:color w:val="auto"/>
          <w:sz w:val="24"/>
          <w:szCs w:val="24"/>
          <w:highlight w:val="none"/>
          <w:lang w:val="en-US" w:eastAsia="zh-CN"/>
        </w:rPr>
        <w:t>梧州市文化路小学</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公章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承包人： </w:t>
      </w:r>
      <w:r>
        <w:rPr>
          <w:rFonts w:ascii="宋体" w:hAnsi="宋体" w:cs="宋体"/>
          <w:color w:val="auto"/>
          <w:sz w:val="24"/>
          <w:szCs w:val="24"/>
          <w:highlight w:val="none"/>
        </w:rPr>
        <w:t>(</w:t>
      </w:r>
      <w:r>
        <w:rPr>
          <w:rFonts w:hint="eastAsia" w:ascii="宋体" w:hAnsi="宋体" w:cs="宋体"/>
          <w:color w:val="auto"/>
          <w:sz w:val="24"/>
          <w:szCs w:val="24"/>
          <w:highlight w:val="none"/>
        </w:rPr>
        <w:t>公章</w:t>
      </w:r>
      <w:r>
        <w:rPr>
          <w:rFonts w:ascii="宋体" w:hAnsi="宋体" w:cs="宋体"/>
          <w:color w:val="auto"/>
          <w:sz w:val="24"/>
          <w:szCs w:val="24"/>
          <w:highlight w:val="none"/>
        </w:rPr>
        <w:t>)</w:t>
      </w:r>
    </w:p>
    <w:p w14:paraId="3073D488">
      <w:pPr>
        <w:spacing w:line="360" w:lineRule="auto"/>
        <w:rPr>
          <w:rFonts w:ascii="宋体" w:cs="宋体"/>
          <w:color w:val="auto"/>
          <w:sz w:val="24"/>
          <w:szCs w:val="24"/>
          <w:highlight w:val="none"/>
        </w:rPr>
      </w:pPr>
      <w:r>
        <w:rPr>
          <w:rFonts w:hint="eastAsia" w:ascii="宋体" w:hAnsi="宋体" w:cs="宋体"/>
          <w:color w:val="auto"/>
          <w:sz w:val="24"/>
          <w:szCs w:val="24"/>
          <w:highlight w:val="none"/>
        </w:rPr>
        <w:t>法定代表人（签字或盖章）：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法定代表人（签字或盖章）：</w:t>
      </w:r>
    </w:p>
    <w:p w14:paraId="68E0E202">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p>
    <w:p w14:paraId="3E5365B4">
      <w:pPr>
        <w:spacing w:line="360" w:lineRule="auto"/>
        <w:rPr>
          <w:rFonts w:ascii="宋体" w:cs="宋体"/>
          <w:color w:val="auto"/>
          <w:sz w:val="24"/>
          <w:szCs w:val="24"/>
          <w:highlight w:val="none"/>
        </w:rPr>
      </w:pP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p>
    <w:p w14:paraId="66A78D03">
      <w:pPr>
        <w:spacing w:line="360" w:lineRule="auto"/>
        <w:rPr>
          <w:rFonts w:ascii="宋体" w:cs="宋体"/>
          <w:color w:val="auto"/>
          <w:sz w:val="24"/>
          <w:szCs w:val="24"/>
          <w:highlight w:val="none"/>
        </w:rPr>
      </w:pPr>
    </w:p>
    <w:p w14:paraId="0A247810">
      <w:pPr>
        <w:tabs>
          <w:tab w:val="left" w:pos="5000"/>
        </w:tabs>
        <w:spacing w:line="560" w:lineRule="exact"/>
        <w:jc w:val="center"/>
        <w:rPr>
          <w:rFonts w:ascii="宋体" w:hAnsi="宋体" w:cs="宋体"/>
          <w:b/>
          <w:color w:val="auto"/>
          <w:sz w:val="36"/>
          <w:szCs w:val="36"/>
          <w:highlight w:val="none"/>
        </w:rPr>
      </w:pPr>
      <w:r>
        <w:rPr>
          <w:rFonts w:ascii="宋体" w:cs="宋体"/>
          <w:b/>
          <w:color w:val="auto"/>
          <w:sz w:val="24"/>
          <w:szCs w:val="24"/>
          <w:highlight w:val="none"/>
        </w:rPr>
        <w:br w:type="page"/>
      </w:r>
      <w:r>
        <w:rPr>
          <w:rFonts w:hint="eastAsia" w:ascii="宋体" w:hAnsi="宋体" w:cs="宋体"/>
          <w:b/>
          <w:color w:val="auto"/>
          <w:sz w:val="36"/>
          <w:szCs w:val="36"/>
          <w:highlight w:val="none"/>
        </w:rPr>
        <w:t>第五部分 建设工程廉政责任书</w:t>
      </w:r>
    </w:p>
    <w:p w14:paraId="6F6437D3">
      <w:pPr>
        <w:spacing w:line="360" w:lineRule="auto"/>
        <w:ind w:firstLine="470" w:firstLineChars="196"/>
        <w:rPr>
          <w:rFonts w:ascii="宋体" w:cs="宋体"/>
          <w:color w:val="auto"/>
          <w:kern w:val="0"/>
          <w:sz w:val="24"/>
          <w:highlight w:val="none"/>
        </w:rPr>
      </w:pPr>
    </w:p>
    <w:p w14:paraId="3D044F46">
      <w:pPr>
        <w:spacing w:line="460" w:lineRule="exact"/>
        <w:ind w:firstLine="470" w:firstLineChars="196"/>
        <w:rPr>
          <w:rFonts w:ascii="宋体" w:cs="宋体"/>
          <w:color w:val="auto"/>
          <w:kern w:val="0"/>
          <w:sz w:val="24"/>
          <w:highlight w:val="none"/>
        </w:rPr>
      </w:pPr>
      <w:r>
        <w:rPr>
          <w:rFonts w:hint="eastAsia" w:ascii="宋体" w:hAnsi="宋体" w:cs="宋体"/>
          <w:color w:val="auto"/>
          <w:kern w:val="0"/>
          <w:sz w:val="24"/>
          <w:highlight w:val="none"/>
        </w:rPr>
        <w:t>发包人：</w:t>
      </w:r>
      <w:r>
        <w:rPr>
          <w:rFonts w:ascii="宋体" w:hAnsi="宋体" w:cs="宋体"/>
          <w:color w:val="auto"/>
          <w:kern w:val="0"/>
          <w:sz w:val="24"/>
          <w:highlight w:val="none"/>
          <w:u w:val="single"/>
        </w:rPr>
        <w:t xml:space="preserve"> </w:t>
      </w:r>
      <w:r>
        <w:rPr>
          <w:rFonts w:hint="eastAsia" w:ascii="宋体" w:hAnsi="宋体" w:cs="宋体"/>
          <w:b/>
          <w:bCs/>
          <w:color w:val="auto"/>
          <w:kern w:val="0"/>
          <w:sz w:val="24"/>
          <w:highlight w:val="none"/>
          <w:u w:val="single"/>
          <w:lang w:val="en-US" w:eastAsia="zh-CN"/>
        </w:rPr>
        <w:t>梧州市文化路小学</w:t>
      </w:r>
      <w:r>
        <w:rPr>
          <w:rFonts w:ascii="宋体" w:hAnsi="宋体" w:cs="宋体"/>
          <w:b/>
          <w:bCs/>
          <w:color w:val="auto"/>
          <w:kern w:val="0"/>
          <w:sz w:val="24"/>
          <w:highlight w:val="none"/>
          <w:u w:val="single"/>
        </w:rPr>
        <w:t xml:space="preserve"> </w:t>
      </w:r>
      <w:r>
        <w:rPr>
          <w:rFonts w:ascii="宋体" w:hAnsi="宋体" w:cs="宋体"/>
          <w:color w:val="auto"/>
          <w:kern w:val="0"/>
          <w:sz w:val="24"/>
          <w:highlight w:val="none"/>
        </w:rPr>
        <w:t xml:space="preserve">        </w:t>
      </w:r>
    </w:p>
    <w:p w14:paraId="6F579FE5">
      <w:pPr>
        <w:spacing w:line="460" w:lineRule="exact"/>
        <w:ind w:firstLine="480" w:firstLineChars="200"/>
        <w:rPr>
          <w:rFonts w:ascii="宋体" w:cs="宋体"/>
          <w:color w:val="auto"/>
          <w:sz w:val="24"/>
          <w:highlight w:val="none"/>
          <w:u w:val="single"/>
        </w:rPr>
      </w:pPr>
      <w:r>
        <w:rPr>
          <w:rFonts w:hint="eastAsia" w:ascii="宋体" w:hAnsi="宋体" w:cs="宋体"/>
          <w:color w:val="auto"/>
          <w:sz w:val="24"/>
          <w:highlight w:val="none"/>
        </w:rPr>
        <w:t>承包人：</w:t>
      </w:r>
      <w:r>
        <w:rPr>
          <w:rFonts w:hint="eastAsia" w:ascii="宋体" w:hAnsi="宋体" w:cs="宋体"/>
          <w:b/>
          <w:bCs/>
          <w:color w:val="auto"/>
          <w:sz w:val="24"/>
          <w:szCs w:val="24"/>
          <w:highlight w:val="none"/>
          <w:u w:val="single"/>
        </w:rPr>
        <w:t xml:space="preserve">         </w:t>
      </w:r>
      <w:r>
        <w:rPr>
          <w:rFonts w:ascii="宋体" w:hAnsi="宋体" w:cs="宋体"/>
          <w:b/>
          <w:bCs/>
          <w:color w:val="auto"/>
          <w:sz w:val="24"/>
          <w:highlight w:val="none"/>
          <w:u w:val="single"/>
        </w:rPr>
        <w:t xml:space="preserve"> </w:t>
      </w:r>
      <w:r>
        <w:rPr>
          <w:rFonts w:ascii="宋体" w:hAnsi="宋体" w:cs="宋体"/>
          <w:color w:val="auto"/>
          <w:sz w:val="24"/>
          <w:highlight w:val="none"/>
          <w:u w:val="single"/>
        </w:rPr>
        <w:t xml:space="preserve"> </w:t>
      </w:r>
    </w:p>
    <w:p w14:paraId="7BD80C9A">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6973FA0">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一、双方的责任</w:t>
      </w:r>
    </w:p>
    <w:p w14:paraId="61FDF98A">
      <w:pPr>
        <w:spacing w:line="460" w:lineRule="exact"/>
        <w:ind w:firstLine="480" w:firstLineChars="200"/>
        <w:rPr>
          <w:rFonts w:ascii="宋体" w:cs="宋体"/>
          <w:color w:val="auto"/>
          <w:sz w:val="24"/>
          <w:highlight w:val="none"/>
        </w:rPr>
      </w:pPr>
      <w:r>
        <w:rPr>
          <w:rFonts w:ascii="宋体" w:hAnsi="宋体" w:cs="宋体"/>
          <w:color w:val="auto"/>
          <w:sz w:val="24"/>
          <w:highlight w:val="none"/>
        </w:rPr>
        <w:t>1.1</w:t>
      </w:r>
      <w:r>
        <w:rPr>
          <w:rFonts w:hint="eastAsia" w:ascii="宋体" w:hAnsi="宋体" w:cs="宋体"/>
          <w:color w:val="auto"/>
          <w:sz w:val="24"/>
          <w:highlight w:val="none"/>
        </w:rPr>
        <w:t>应严格遵守国家关于建设工程的有关法律、法规，相关政策，以及廉政建设的各项规定。</w:t>
      </w:r>
    </w:p>
    <w:p w14:paraId="324B13B0">
      <w:pPr>
        <w:spacing w:line="460" w:lineRule="exact"/>
        <w:ind w:firstLine="480" w:firstLineChars="200"/>
        <w:rPr>
          <w:rFonts w:ascii="宋体" w:cs="宋体"/>
          <w:color w:val="auto"/>
          <w:sz w:val="24"/>
          <w:highlight w:val="none"/>
        </w:rPr>
      </w:pPr>
      <w:r>
        <w:rPr>
          <w:rFonts w:ascii="宋体" w:hAnsi="宋体" w:cs="宋体"/>
          <w:color w:val="auto"/>
          <w:sz w:val="24"/>
          <w:highlight w:val="none"/>
        </w:rPr>
        <w:t>1.2</w:t>
      </w:r>
      <w:r>
        <w:rPr>
          <w:rFonts w:hint="eastAsia" w:ascii="宋体" w:hAnsi="宋体" w:cs="宋体"/>
          <w:color w:val="auto"/>
          <w:sz w:val="24"/>
          <w:highlight w:val="none"/>
        </w:rPr>
        <w:t>严格执行建设工程合同文件，自觉按合同办事。</w:t>
      </w:r>
    </w:p>
    <w:p w14:paraId="68514B53">
      <w:pPr>
        <w:spacing w:line="460" w:lineRule="exact"/>
        <w:ind w:firstLine="480" w:firstLineChars="200"/>
        <w:rPr>
          <w:rFonts w:ascii="宋体" w:cs="宋体"/>
          <w:color w:val="auto"/>
          <w:sz w:val="24"/>
          <w:highlight w:val="none"/>
        </w:rPr>
      </w:pPr>
      <w:r>
        <w:rPr>
          <w:rFonts w:ascii="宋体" w:hAnsi="宋体" w:cs="宋体"/>
          <w:color w:val="auto"/>
          <w:sz w:val="24"/>
          <w:highlight w:val="none"/>
        </w:rPr>
        <w:t>1.3</w:t>
      </w:r>
      <w:r>
        <w:rPr>
          <w:rFonts w:hint="eastAsia" w:ascii="宋体" w:hAnsi="宋体" w:cs="宋体"/>
          <w:color w:val="auto"/>
          <w:sz w:val="24"/>
          <w:highlight w:val="none"/>
        </w:rPr>
        <w:t>各项活动必须坚持公开、公平、公正、诚信、透明的原则</w:t>
      </w:r>
      <w:r>
        <w:rPr>
          <w:rFonts w:ascii="宋体" w:hAnsi="宋体" w:cs="宋体"/>
          <w:color w:val="auto"/>
          <w:sz w:val="24"/>
          <w:highlight w:val="none"/>
        </w:rPr>
        <w:t>(</w:t>
      </w:r>
      <w:r>
        <w:rPr>
          <w:rFonts w:hint="eastAsia" w:ascii="宋体" w:hAnsi="宋体" w:cs="宋体"/>
          <w:color w:val="auto"/>
          <w:sz w:val="24"/>
          <w:highlight w:val="none"/>
        </w:rPr>
        <w:t>除法律法规另有规定者外</w:t>
      </w:r>
      <w:r>
        <w:rPr>
          <w:rFonts w:ascii="宋体" w:hAnsi="宋体" w:cs="宋体"/>
          <w:color w:val="auto"/>
          <w:sz w:val="24"/>
          <w:highlight w:val="none"/>
        </w:rPr>
        <w:t>)</w:t>
      </w:r>
      <w:r>
        <w:rPr>
          <w:rFonts w:hint="eastAsia" w:ascii="宋体" w:hAnsi="宋体" w:cs="宋体"/>
          <w:color w:val="auto"/>
          <w:sz w:val="24"/>
          <w:highlight w:val="none"/>
        </w:rPr>
        <w:t>，不得为获取不正当的利益，损害国家、集体和对方利益，不得违反建设工程管理的规章制度。</w:t>
      </w:r>
    </w:p>
    <w:p w14:paraId="1229A07F">
      <w:pPr>
        <w:spacing w:line="460" w:lineRule="exact"/>
        <w:ind w:firstLine="480" w:firstLineChars="200"/>
        <w:rPr>
          <w:rFonts w:ascii="宋体" w:cs="宋体"/>
          <w:color w:val="auto"/>
          <w:sz w:val="24"/>
          <w:highlight w:val="none"/>
        </w:rPr>
      </w:pPr>
      <w:r>
        <w:rPr>
          <w:rFonts w:ascii="宋体" w:hAnsi="宋体" w:cs="宋体"/>
          <w:color w:val="auto"/>
          <w:sz w:val="24"/>
          <w:highlight w:val="none"/>
        </w:rPr>
        <w:t>1.4</w:t>
      </w:r>
      <w:r>
        <w:rPr>
          <w:rFonts w:hint="eastAsia" w:ascii="宋体" w:hAnsi="宋体" w:cs="宋体"/>
          <w:color w:val="auto"/>
          <w:sz w:val="24"/>
          <w:highlight w:val="none"/>
        </w:rPr>
        <w:t>发现对方在业务活动中有违规、违纪、违法行为的，应及时提醒对方，情节严重的，应向其上级主管部门或纪检监察、司法等有关机关举报。</w:t>
      </w:r>
    </w:p>
    <w:p w14:paraId="0548C321">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二、发包人责任</w:t>
      </w:r>
    </w:p>
    <w:p w14:paraId="4728D8A1">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发包人的领导和从事该建设工程项目的工作人员，在工程建设的事前、事中、事后应遵守以下规定：</w:t>
      </w:r>
    </w:p>
    <w:p w14:paraId="33B6C87A">
      <w:pPr>
        <w:spacing w:line="460" w:lineRule="exact"/>
        <w:ind w:firstLine="480" w:firstLineChars="200"/>
        <w:rPr>
          <w:rFonts w:ascii="宋体" w:cs="宋体"/>
          <w:color w:val="auto"/>
          <w:sz w:val="24"/>
          <w:highlight w:val="none"/>
        </w:rPr>
      </w:pPr>
      <w:r>
        <w:rPr>
          <w:rFonts w:ascii="宋体" w:hAnsi="宋体" w:cs="宋体"/>
          <w:color w:val="auto"/>
          <w:sz w:val="24"/>
          <w:highlight w:val="none"/>
        </w:rPr>
        <w:t>2.1</w:t>
      </w:r>
      <w:r>
        <w:rPr>
          <w:rFonts w:hint="eastAsia" w:ascii="宋体" w:hAnsi="宋体" w:cs="宋体"/>
          <w:color w:val="auto"/>
          <w:sz w:val="24"/>
          <w:highlight w:val="none"/>
        </w:rPr>
        <w:t>不得向承包人和相关单位索要或接受回扣、礼金、有价证券、贵重物品和好处费、感谢费等。</w:t>
      </w:r>
    </w:p>
    <w:p w14:paraId="270A56BD">
      <w:pPr>
        <w:spacing w:line="460" w:lineRule="exact"/>
        <w:ind w:firstLine="480" w:firstLineChars="200"/>
        <w:rPr>
          <w:rFonts w:ascii="宋体" w:cs="宋体"/>
          <w:color w:val="auto"/>
          <w:sz w:val="24"/>
          <w:highlight w:val="none"/>
        </w:rPr>
      </w:pPr>
      <w:r>
        <w:rPr>
          <w:rFonts w:ascii="宋体" w:hAnsi="宋体" w:cs="宋体"/>
          <w:color w:val="auto"/>
          <w:sz w:val="24"/>
          <w:highlight w:val="none"/>
        </w:rPr>
        <w:t>2.2</w:t>
      </w:r>
      <w:r>
        <w:rPr>
          <w:rFonts w:hint="eastAsia" w:ascii="宋体" w:hAnsi="宋体" w:cs="宋体"/>
          <w:color w:val="auto"/>
          <w:sz w:val="24"/>
          <w:highlight w:val="none"/>
        </w:rPr>
        <w:t>不得在承包人和相关单位报销任何应由发包人或个人支付的费用。</w:t>
      </w:r>
    </w:p>
    <w:p w14:paraId="5AC42697">
      <w:pPr>
        <w:spacing w:line="460" w:lineRule="exact"/>
        <w:ind w:firstLine="480" w:firstLineChars="200"/>
        <w:rPr>
          <w:rFonts w:asci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不得要求、暗示或接受承包人和相关单位为个人装修住房、婚丧嫁娶、配偶子女的工作安排以及出国</w:t>
      </w:r>
      <w:r>
        <w:rPr>
          <w:rFonts w:ascii="宋体" w:hAnsi="宋体" w:cs="宋体"/>
          <w:color w:val="auto"/>
          <w:sz w:val="24"/>
          <w:highlight w:val="none"/>
        </w:rPr>
        <w:t>(</w:t>
      </w:r>
      <w:r>
        <w:rPr>
          <w:rFonts w:hint="eastAsia" w:ascii="宋体" w:hAnsi="宋体" w:cs="宋体"/>
          <w:color w:val="auto"/>
          <w:sz w:val="24"/>
          <w:highlight w:val="none"/>
        </w:rPr>
        <w:t>境</w:t>
      </w:r>
      <w:r>
        <w:rPr>
          <w:rFonts w:ascii="宋体" w:hAnsi="宋体" w:cs="宋体"/>
          <w:color w:val="auto"/>
          <w:sz w:val="24"/>
          <w:highlight w:val="none"/>
        </w:rPr>
        <w:t>)</w:t>
      </w:r>
      <w:r>
        <w:rPr>
          <w:rFonts w:hint="eastAsia" w:ascii="宋体" w:hAnsi="宋体" w:cs="宋体"/>
          <w:color w:val="auto"/>
          <w:sz w:val="24"/>
          <w:highlight w:val="none"/>
        </w:rPr>
        <w:t>、旅游等提供方便。</w:t>
      </w:r>
    </w:p>
    <w:p w14:paraId="3861E938">
      <w:pPr>
        <w:spacing w:line="460" w:lineRule="exact"/>
        <w:ind w:firstLine="480" w:firstLineChars="200"/>
        <w:rPr>
          <w:rFonts w:ascii="宋体" w:cs="宋体"/>
          <w:color w:val="auto"/>
          <w:sz w:val="24"/>
          <w:highlight w:val="none"/>
        </w:rPr>
      </w:pPr>
      <w:r>
        <w:rPr>
          <w:rFonts w:ascii="宋体" w:hAnsi="宋体" w:cs="宋体"/>
          <w:color w:val="auto"/>
          <w:sz w:val="24"/>
          <w:highlight w:val="none"/>
        </w:rPr>
        <w:t>2.4</w:t>
      </w:r>
      <w:r>
        <w:rPr>
          <w:rFonts w:hint="eastAsia" w:ascii="宋体" w:hAnsi="宋体" w:cs="宋体"/>
          <w:color w:val="auto"/>
          <w:sz w:val="24"/>
          <w:highlight w:val="none"/>
        </w:rPr>
        <w:t>不得参加有可能影响公正执行公务的承包人和相关单位的宴请、健身、娱乐等活动。</w:t>
      </w:r>
    </w:p>
    <w:p w14:paraId="3ABBDDE5">
      <w:pPr>
        <w:spacing w:line="460" w:lineRule="exact"/>
        <w:ind w:firstLine="480" w:firstLineChars="200"/>
        <w:rPr>
          <w:rFonts w:ascii="宋体" w:cs="宋体"/>
          <w:color w:val="auto"/>
          <w:sz w:val="24"/>
          <w:highlight w:val="none"/>
        </w:rPr>
      </w:pPr>
      <w:r>
        <w:rPr>
          <w:rFonts w:ascii="宋体" w:hAnsi="宋体" w:cs="宋体"/>
          <w:color w:val="auto"/>
          <w:sz w:val="24"/>
          <w:highlight w:val="none"/>
        </w:rPr>
        <w:t>2.5</w:t>
      </w:r>
      <w:r>
        <w:rPr>
          <w:rFonts w:hint="eastAsia" w:ascii="宋体" w:hAnsi="宋体" w:cs="宋体"/>
          <w:color w:val="auto"/>
          <w:sz w:val="24"/>
          <w:highlight w:val="none"/>
        </w:rPr>
        <w:t>不得向承包人和相关单位介绍或为配偶、子女、亲属参与同发包人工程建设管理合同有关的业务活动；不得以任何理由要求承包人和相关单位使用某种产品、材料和设备。</w:t>
      </w:r>
    </w:p>
    <w:p w14:paraId="37A021BE">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三、承包人责任</w:t>
      </w:r>
    </w:p>
    <w:p w14:paraId="24800BF7">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58D7CAD3">
      <w:pPr>
        <w:spacing w:line="460" w:lineRule="exact"/>
        <w:ind w:firstLine="480" w:firstLineChars="200"/>
        <w:rPr>
          <w:rFonts w:ascii="宋体" w:cs="宋体"/>
          <w:color w:val="auto"/>
          <w:sz w:val="24"/>
          <w:highlight w:val="none"/>
        </w:rPr>
      </w:pPr>
      <w:r>
        <w:rPr>
          <w:rFonts w:ascii="宋体" w:hAnsi="宋体" w:cs="宋体"/>
          <w:color w:val="auto"/>
          <w:sz w:val="24"/>
          <w:highlight w:val="none"/>
        </w:rPr>
        <w:t>3.1</w:t>
      </w:r>
      <w:r>
        <w:rPr>
          <w:rFonts w:hint="eastAsia" w:ascii="宋体" w:hAnsi="宋体" w:cs="宋体"/>
          <w:color w:val="auto"/>
          <w:sz w:val="24"/>
          <w:highlight w:val="none"/>
        </w:rPr>
        <w:t>不得以任何理由向发包人及其工作人员索要、接受或赠送礼金、有价证券、贵重物品及回扣、好处费、感谢费等。</w:t>
      </w:r>
    </w:p>
    <w:p w14:paraId="58E1D549">
      <w:pPr>
        <w:spacing w:line="460" w:lineRule="exact"/>
        <w:ind w:firstLine="480" w:firstLineChars="200"/>
        <w:rPr>
          <w:rFonts w:ascii="宋体" w:cs="宋体"/>
          <w:color w:val="auto"/>
          <w:sz w:val="24"/>
          <w:highlight w:val="none"/>
        </w:rPr>
      </w:pPr>
      <w:r>
        <w:rPr>
          <w:rFonts w:ascii="宋体" w:hAnsi="宋体" w:cs="宋体"/>
          <w:color w:val="auto"/>
          <w:sz w:val="24"/>
          <w:highlight w:val="none"/>
        </w:rPr>
        <w:t>3.2</w:t>
      </w:r>
      <w:r>
        <w:rPr>
          <w:rFonts w:hint="eastAsia" w:ascii="宋体" w:hAnsi="宋体" w:cs="宋体"/>
          <w:color w:val="auto"/>
          <w:sz w:val="24"/>
          <w:highlight w:val="none"/>
        </w:rPr>
        <w:t>不得以任何理由为发包人和相关单位报销应由对方或个人支付的费用。</w:t>
      </w:r>
    </w:p>
    <w:p w14:paraId="145BBBA6">
      <w:pPr>
        <w:spacing w:line="460" w:lineRule="exact"/>
        <w:ind w:firstLine="480" w:firstLineChars="200"/>
        <w:rPr>
          <w:rFonts w:ascii="宋体" w:cs="宋体"/>
          <w:color w:val="auto"/>
          <w:sz w:val="24"/>
          <w:highlight w:val="none"/>
        </w:rPr>
      </w:pPr>
      <w:r>
        <w:rPr>
          <w:rFonts w:ascii="宋体" w:hAnsi="宋体" w:cs="宋体"/>
          <w:color w:val="auto"/>
          <w:sz w:val="24"/>
          <w:highlight w:val="none"/>
        </w:rPr>
        <w:t>3.3</w:t>
      </w:r>
      <w:r>
        <w:rPr>
          <w:rFonts w:hint="eastAsia" w:ascii="宋体" w:hAnsi="宋体" w:cs="宋体"/>
          <w:color w:val="auto"/>
          <w:sz w:val="24"/>
          <w:highlight w:val="none"/>
        </w:rPr>
        <w:t>不得接受或暗示为发包人、相关单位或个人装修住房、婚丧嫁娶、配偶子女的工作安排以及出国</w:t>
      </w:r>
      <w:r>
        <w:rPr>
          <w:rFonts w:ascii="宋体" w:hAnsi="宋体" w:cs="宋体"/>
          <w:color w:val="auto"/>
          <w:sz w:val="24"/>
          <w:highlight w:val="none"/>
        </w:rPr>
        <w:t>(</w:t>
      </w:r>
      <w:r>
        <w:rPr>
          <w:rFonts w:hint="eastAsia" w:ascii="宋体" w:hAnsi="宋体" w:cs="宋体"/>
          <w:color w:val="auto"/>
          <w:sz w:val="24"/>
          <w:highlight w:val="none"/>
        </w:rPr>
        <w:t>境</w:t>
      </w:r>
      <w:r>
        <w:rPr>
          <w:rFonts w:ascii="宋体" w:hAnsi="宋体" w:cs="宋体"/>
          <w:color w:val="auto"/>
          <w:sz w:val="24"/>
          <w:highlight w:val="none"/>
        </w:rPr>
        <w:t>)</w:t>
      </w:r>
      <w:r>
        <w:rPr>
          <w:rFonts w:hint="eastAsia" w:ascii="宋体" w:hAnsi="宋体" w:cs="宋体"/>
          <w:color w:val="auto"/>
          <w:sz w:val="24"/>
          <w:highlight w:val="none"/>
        </w:rPr>
        <w:t>、旅游等提供方便。</w:t>
      </w:r>
    </w:p>
    <w:p w14:paraId="0BAA2BD5">
      <w:pPr>
        <w:spacing w:line="460" w:lineRule="exact"/>
        <w:ind w:firstLine="480" w:firstLineChars="200"/>
        <w:rPr>
          <w:rFonts w:ascii="宋体" w:cs="宋体"/>
          <w:color w:val="auto"/>
          <w:sz w:val="24"/>
          <w:highlight w:val="none"/>
        </w:rPr>
      </w:pPr>
      <w:r>
        <w:rPr>
          <w:rFonts w:ascii="宋体" w:hAnsi="宋体" w:cs="宋体"/>
          <w:color w:val="auto"/>
          <w:sz w:val="24"/>
          <w:highlight w:val="none"/>
        </w:rPr>
        <w:t>3.4</w:t>
      </w:r>
      <w:r>
        <w:rPr>
          <w:rFonts w:hint="eastAsia" w:ascii="宋体" w:hAnsi="宋体" w:cs="宋体"/>
          <w:color w:val="auto"/>
          <w:sz w:val="24"/>
          <w:highlight w:val="none"/>
        </w:rPr>
        <w:t>不得以任何理由为发包人、相关单位或个人组织有可能影响公正执行公务的宴请、健身、娱乐等活动。</w:t>
      </w:r>
    </w:p>
    <w:p w14:paraId="6057E9D3">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四、违约责任</w:t>
      </w:r>
    </w:p>
    <w:p w14:paraId="478A4212">
      <w:pPr>
        <w:spacing w:line="460" w:lineRule="exact"/>
        <w:ind w:firstLine="480" w:firstLineChars="200"/>
        <w:rPr>
          <w:rFonts w:ascii="宋体" w:cs="宋体"/>
          <w:color w:val="auto"/>
          <w:sz w:val="24"/>
          <w:highlight w:val="none"/>
        </w:rPr>
      </w:pPr>
      <w:r>
        <w:rPr>
          <w:rFonts w:ascii="宋体" w:hAnsi="宋体" w:cs="宋体"/>
          <w:color w:val="auto"/>
          <w:sz w:val="24"/>
          <w:highlight w:val="none"/>
        </w:rPr>
        <w:t>4.1</w:t>
      </w:r>
      <w:r>
        <w:rPr>
          <w:rFonts w:hint="eastAsia" w:ascii="宋体" w:hAnsi="宋体" w:cs="宋体"/>
          <w:color w:val="auto"/>
          <w:sz w:val="24"/>
          <w:highlight w:val="none"/>
        </w:rPr>
        <w:t>发包人工作人员有违反本责任书第一、二条责任行为的，依据有关法律、法规给予处理；涉嫌犯罪的，移交司法机关追究刑事责任；给承包人单位造成经济损失的，应予以赔偿。</w:t>
      </w:r>
    </w:p>
    <w:p w14:paraId="35D81DC3">
      <w:pPr>
        <w:spacing w:line="460" w:lineRule="exact"/>
        <w:ind w:firstLine="480" w:firstLineChars="200"/>
        <w:rPr>
          <w:rFonts w:ascii="宋体" w:cs="宋体"/>
          <w:color w:val="auto"/>
          <w:sz w:val="24"/>
          <w:highlight w:val="none"/>
        </w:rPr>
      </w:pPr>
      <w:r>
        <w:rPr>
          <w:rFonts w:ascii="宋体" w:hAnsi="宋体" w:cs="宋体"/>
          <w:color w:val="auto"/>
          <w:sz w:val="24"/>
          <w:highlight w:val="none"/>
        </w:rPr>
        <w:t>4.2</w:t>
      </w:r>
      <w:r>
        <w:rPr>
          <w:rFonts w:hint="eastAsia" w:ascii="宋体" w:hAnsi="宋体" w:cs="宋体"/>
          <w:color w:val="auto"/>
          <w:sz w:val="24"/>
          <w:highlight w:val="none"/>
        </w:rPr>
        <w:t>承包人工作人员有违反本责任书第一、三条责任行为的，依据有关法律法规处理；涉嫌犯罪的，移交司法机关追究刑事责任；给发包人单位造成经济损失的，应予以赔偿。</w:t>
      </w:r>
    </w:p>
    <w:p w14:paraId="3A8A68A2">
      <w:pPr>
        <w:spacing w:line="460" w:lineRule="exact"/>
        <w:ind w:firstLine="480" w:firstLineChars="200"/>
        <w:rPr>
          <w:rFonts w:ascii="宋体" w:cs="宋体"/>
          <w:color w:val="auto"/>
          <w:sz w:val="24"/>
          <w:highlight w:val="none"/>
        </w:rPr>
      </w:pPr>
      <w:r>
        <w:rPr>
          <w:rFonts w:ascii="宋体" w:hAnsi="宋体" w:cs="宋体"/>
          <w:color w:val="auto"/>
          <w:sz w:val="24"/>
          <w:highlight w:val="none"/>
        </w:rPr>
        <w:t>4.3</w:t>
      </w:r>
      <w:r>
        <w:rPr>
          <w:rFonts w:hint="eastAsia" w:ascii="宋体" w:hAnsi="宋体" w:cs="宋体"/>
          <w:color w:val="auto"/>
          <w:sz w:val="24"/>
          <w:highlight w:val="none"/>
        </w:rPr>
        <w:t>本责任书作为建设工程合同的组成部分，与建设工程合同具有同等法律效力。经双方签署后立即生效。</w:t>
      </w:r>
    </w:p>
    <w:p w14:paraId="5B9A59E5">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五、责任书有效期</w:t>
      </w:r>
    </w:p>
    <w:p w14:paraId="4EF562CB">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本责任书的有效期为双方签署之日起至该工程项目竣工验收合格时止。</w:t>
      </w:r>
    </w:p>
    <w:p w14:paraId="7EC9CAFB">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六、责任书份数</w:t>
      </w:r>
    </w:p>
    <w:p w14:paraId="5C4612A3">
      <w:pPr>
        <w:spacing w:line="460" w:lineRule="exact"/>
        <w:ind w:firstLine="480" w:firstLineChars="200"/>
        <w:rPr>
          <w:rFonts w:ascii="宋体" w:cs="宋体"/>
          <w:color w:val="auto"/>
          <w:sz w:val="24"/>
          <w:highlight w:val="none"/>
        </w:rPr>
      </w:pPr>
      <w:r>
        <w:rPr>
          <w:rFonts w:hint="eastAsia" w:ascii="宋体" w:hAnsi="宋体" w:cs="宋体"/>
          <w:color w:val="auto"/>
          <w:sz w:val="24"/>
          <w:highlight w:val="none"/>
        </w:rPr>
        <w:t>本责任书一式</w:t>
      </w:r>
      <w:r>
        <w:rPr>
          <w:rFonts w:hint="eastAsia" w:ascii="宋体" w:hAnsi="宋体" w:cs="宋体"/>
          <w:color w:val="auto"/>
          <w:sz w:val="24"/>
          <w:highlight w:val="none"/>
          <w:u w:val="single"/>
        </w:rPr>
        <w:t>捌</w:t>
      </w:r>
      <w:r>
        <w:rPr>
          <w:rFonts w:hint="eastAsia" w:ascii="宋体" w:hAnsi="宋体" w:cs="宋体"/>
          <w:color w:val="auto"/>
          <w:sz w:val="24"/>
          <w:highlight w:val="none"/>
        </w:rPr>
        <w:t>份，发包人执</w:t>
      </w:r>
      <w:r>
        <w:rPr>
          <w:rFonts w:hint="eastAsia" w:ascii="宋体" w:hAnsi="宋体" w:cs="宋体"/>
          <w:color w:val="auto"/>
          <w:sz w:val="24"/>
          <w:highlight w:val="none"/>
          <w:u w:val="single"/>
        </w:rPr>
        <w:t>肆</w:t>
      </w:r>
      <w:r>
        <w:rPr>
          <w:rFonts w:hint="eastAsia" w:ascii="宋体" w:hAnsi="宋体" w:cs="宋体"/>
          <w:color w:val="auto"/>
          <w:sz w:val="24"/>
          <w:highlight w:val="none"/>
        </w:rPr>
        <w:t>份，承包人执</w:t>
      </w:r>
      <w:r>
        <w:rPr>
          <w:rFonts w:hint="eastAsia" w:ascii="宋体" w:hAnsi="宋体" w:cs="宋体"/>
          <w:color w:val="auto"/>
          <w:sz w:val="24"/>
          <w:highlight w:val="none"/>
          <w:u w:val="single"/>
        </w:rPr>
        <w:t>肆</w:t>
      </w:r>
      <w:r>
        <w:rPr>
          <w:rFonts w:hint="eastAsia" w:ascii="宋体" w:hAnsi="宋体" w:cs="宋体"/>
          <w:color w:val="auto"/>
          <w:sz w:val="24"/>
          <w:highlight w:val="none"/>
        </w:rPr>
        <w:t>份，具有同等效力。</w:t>
      </w:r>
    </w:p>
    <w:p w14:paraId="2A64D942">
      <w:pPr>
        <w:spacing w:line="460" w:lineRule="exact"/>
        <w:rPr>
          <w:rFonts w:ascii="宋体" w:cs="宋体"/>
          <w:color w:val="auto"/>
          <w:sz w:val="24"/>
          <w:highlight w:val="none"/>
        </w:rPr>
      </w:pPr>
    </w:p>
    <w:p w14:paraId="34A56188">
      <w:pPr>
        <w:spacing w:line="360" w:lineRule="auto"/>
        <w:ind w:left="5760" w:hanging="5760" w:hangingChars="2400"/>
        <w:rPr>
          <w:rFonts w:ascii="宋体" w:cs="宋体"/>
          <w:color w:val="auto"/>
          <w:spacing w:val="-20"/>
          <w:sz w:val="24"/>
          <w:highlight w:val="none"/>
          <w:u w:val="single"/>
        </w:rPr>
      </w:pPr>
      <w:bookmarkStart w:id="1227" w:name="_Toc260302383"/>
      <w:bookmarkStart w:id="1228" w:name="_Toc216519114"/>
      <w:r>
        <w:rPr>
          <w:rFonts w:hint="eastAsia" w:ascii="宋体" w:hAnsi="宋体" w:cs="宋体"/>
          <w:color w:val="auto"/>
          <w:sz w:val="24"/>
          <w:highlight w:val="none"/>
        </w:rPr>
        <w:t>发包人：</w:t>
      </w:r>
      <w:r>
        <w:rPr>
          <w:rFonts w:hint="eastAsia" w:ascii="宋体" w:hAnsi="宋体" w:cs="宋体"/>
          <w:color w:val="auto"/>
          <w:sz w:val="24"/>
          <w:highlight w:val="none"/>
          <w:lang w:val="en-US" w:eastAsia="zh-CN"/>
        </w:rPr>
        <w:t>梧州市文化路小学</w:t>
      </w:r>
      <w:r>
        <w:rPr>
          <w:rFonts w:ascii="宋体" w:hAnsi="宋体" w:cs="宋体"/>
          <w:color w:val="auto"/>
          <w:sz w:val="24"/>
          <w:highlight w:val="none"/>
        </w:rPr>
        <w:t xml:space="preserve"> (</w:t>
      </w:r>
      <w:r>
        <w:rPr>
          <w:rFonts w:hint="eastAsia" w:ascii="宋体" w:hAnsi="宋体" w:cs="宋体"/>
          <w:color w:val="auto"/>
          <w:sz w:val="24"/>
          <w:highlight w:val="none"/>
        </w:rPr>
        <w:t>公章</w:t>
      </w:r>
      <w:r>
        <w:rPr>
          <w:rFonts w:ascii="宋体" w:hAnsi="宋体" w:cs="宋体"/>
          <w:color w:val="auto"/>
          <w:sz w:val="24"/>
          <w:highlight w:val="none"/>
        </w:rPr>
        <w:t xml:space="preserve">) </w:t>
      </w:r>
      <w:r>
        <w:rPr>
          <w:rFonts w:hint="eastAsia" w:ascii="宋体" w:hAnsi="宋体" w:cs="宋体"/>
          <w:color w:val="auto"/>
          <w:sz w:val="24"/>
          <w:highlight w:val="none"/>
        </w:rPr>
        <w:t xml:space="preserve"> 承包人：</w:t>
      </w:r>
      <w:r>
        <w:rPr>
          <w:rFonts w:hint="eastAsia" w:ascii="宋体" w:hAnsi="宋体" w:cs="宋体"/>
          <w:color w:val="auto"/>
          <w:sz w:val="24"/>
          <w:szCs w:val="24"/>
          <w:highlight w:val="none"/>
        </w:rPr>
        <w:t xml:space="preserve"> </w:t>
      </w:r>
      <w:r>
        <w:rPr>
          <w:rFonts w:ascii="宋体" w:hAnsi="宋体" w:cs="宋体"/>
          <w:color w:val="auto"/>
          <w:sz w:val="24"/>
          <w:highlight w:val="none"/>
        </w:rPr>
        <w:t>(</w:t>
      </w:r>
      <w:r>
        <w:rPr>
          <w:rFonts w:hint="eastAsia" w:ascii="宋体" w:hAnsi="宋体" w:cs="宋体"/>
          <w:color w:val="auto"/>
          <w:sz w:val="24"/>
          <w:highlight w:val="none"/>
        </w:rPr>
        <w:t>公章</w:t>
      </w:r>
      <w:r>
        <w:rPr>
          <w:rFonts w:ascii="宋体" w:hAnsi="宋体" w:cs="宋体"/>
          <w:color w:val="auto"/>
          <w:sz w:val="24"/>
          <w:highlight w:val="none"/>
        </w:rPr>
        <w:t>)</w:t>
      </w:r>
    </w:p>
    <w:p w14:paraId="1F90A1EB">
      <w:pPr>
        <w:spacing w:line="360" w:lineRule="auto"/>
        <w:rPr>
          <w:rFonts w:ascii="宋体" w:cs="宋体"/>
          <w:color w:val="auto"/>
          <w:sz w:val="24"/>
          <w:szCs w:val="24"/>
          <w:highlight w:val="none"/>
        </w:rPr>
      </w:pPr>
      <w:r>
        <w:rPr>
          <w:rFonts w:hint="eastAsia" w:ascii="宋体" w:hAnsi="宋体" w:cs="宋体"/>
          <w:color w:val="auto"/>
          <w:sz w:val="24"/>
          <w:szCs w:val="24"/>
          <w:highlight w:val="none"/>
        </w:rPr>
        <w:t>法定代表人（签字或盖章）：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法定代表人（签字或盖章）：</w:t>
      </w:r>
    </w:p>
    <w:p w14:paraId="36E2CF07">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p>
    <w:p w14:paraId="2B91441C">
      <w:pPr>
        <w:spacing w:line="360" w:lineRule="auto"/>
        <w:rPr>
          <w:rFonts w:ascii="宋体" w:cs="宋体"/>
          <w:color w:val="auto"/>
          <w:sz w:val="24"/>
          <w:szCs w:val="24"/>
          <w:highlight w:val="none"/>
        </w:rPr>
      </w:pP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p>
    <w:p w14:paraId="45559BBF">
      <w:pPr>
        <w:spacing w:line="360" w:lineRule="auto"/>
        <w:jc w:val="center"/>
        <w:rPr>
          <w:rFonts w:ascii="宋体" w:hAnsi="宋体" w:cs="宋体"/>
          <w:b/>
          <w:bCs/>
          <w:color w:val="auto"/>
          <w:kern w:val="0"/>
          <w:sz w:val="32"/>
          <w:szCs w:val="32"/>
          <w:highlight w:val="none"/>
        </w:rPr>
      </w:pPr>
    </w:p>
    <w:p w14:paraId="21F4D89B">
      <w:pPr>
        <w:spacing w:line="360" w:lineRule="auto"/>
        <w:jc w:val="center"/>
        <w:rPr>
          <w:rFonts w:ascii="宋体" w:hAnsi="宋体" w:cs="宋体"/>
          <w:b/>
          <w:bCs/>
          <w:color w:val="auto"/>
          <w:kern w:val="0"/>
          <w:sz w:val="32"/>
          <w:szCs w:val="32"/>
          <w:highlight w:val="none"/>
        </w:rPr>
      </w:pPr>
    </w:p>
    <w:p w14:paraId="4227F089">
      <w:pPr>
        <w:spacing w:line="360" w:lineRule="auto"/>
        <w:jc w:val="center"/>
        <w:rPr>
          <w:rFonts w:ascii="宋体" w:cs="宋体"/>
          <w:b/>
          <w:bCs/>
          <w:color w:val="auto"/>
          <w:kern w:val="0"/>
          <w:sz w:val="32"/>
          <w:szCs w:val="32"/>
          <w:highlight w:val="none"/>
        </w:rPr>
      </w:pPr>
      <w:r>
        <w:rPr>
          <w:rFonts w:hint="eastAsia" w:ascii="宋体" w:hAnsi="宋体" w:cs="宋体"/>
          <w:b/>
          <w:bCs/>
          <w:color w:val="auto"/>
          <w:kern w:val="0"/>
          <w:sz w:val="32"/>
          <w:szCs w:val="32"/>
          <w:highlight w:val="none"/>
        </w:rPr>
        <w:t>第六部分</w:t>
      </w:r>
      <w:r>
        <w:rPr>
          <w:rFonts w:hint="eastAsia" w:ascii="仿宋" w:hAnsi="仿宋" w:eastAsia="仿宋" w:cs="仿宋"/>
          <w:b/>
          <w:bCs/>
          <w:color w:val="auto"/>
          <w:sz w:val="32"/>
          <w:szCs w:val="32"/>
          <w:highlight w:val="none"/>
        </w:rPr>
        <w:t xml:space="preserve">  </w:t>
      </w:r>
      <w:r>
        <w:rPr>
          <w:rFonts w:hint="eastAsia" w:ascii="宋体" w:hAnsi="宋体" w:cs="宋体"/>
          <w:b/>
          <w:bCs/>
          <w:color w:val="auto"/>
          <w:kern w:val="0"/>
          <w:sz w:val="32"/>
          <w:szCs w:val="32"/>
          <w:highlight w:val="none"/>
        </w:rPr>
        <w:t>安全管理协议</w:t>
      </w:r>
    </w:p>
    <w:p w14:paraId="58D22755">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为在</w:t>
      </w:r>
      <w:r>
        <w:rPr>
          <w:rFonts w:hint="eastAsia" w:ascii="宋体" w:hAnsi="宋体" w:cs="宋体"/>
          <w:b/>
          <w:bCs/>
          <w:color w:val="auto"/>
          <w:sz w:val="24"/>
          <w:szCs w:val="24"/>
          <w:highlight w:val="none"/>
          <w:u w:val="single"/>
        </w:rPr>
        <w:t xml:space="preserve"> </w:t>
      </w:r>
      <w:r>
        <w:rPr>
          <w:rFonts w:hint="eastAsia" w:ascii="宋体" w:hAnsi="宋体" w:cs="宋体"/>
          <w:b/>
          <w:color w:val="auto"/>
          <w:sz w:val="24"/>
          <w:szCs w:val="24"/>
          <w:highlight w:val="none"/>
          <w:u w:val="single"/>
        </w:rPr>
        <w:t xml:space="preserve">   （项目编号：</w:t>
      </w:r>
      <w:r>
        <w:rPr>
          <w:rFonts w:hint="eastAsia" w:ascii="宋体" w:hAnsi="宋体" w:cs="宋体"/>
          <w:b/>
          <w:bCs/>
          <w:color w:val="auto"/>
          <w:sz w:val="24"/>
          <w:szCs w:val="24"/>
          <w:highlight w:val="none"/>
          <w:u w:val="single"/>
        </w:rPr>
        <w:t xml:space="preserve">   ） </w:t>
      </w:r>
      <w:r>
        <w:rPr>
          <w:rFonts w:hint="eastAsia" w:ascii="宋体" w:hAnsi="宋体" w:cs="宋体"/>
          <w:color w:val="auto"/>
          <w:sz w:val="24"/>
          <w:szCs w:val="24"/>
          <w:highlight w:val="none"/>
        </w:rPr>
        <w:t>项目的实施过程中，切实加强施工安全管理，明确双方安全责任，创造安全、高效的施工环境，本项目发包人</w:t>
      </w:r>
      <w:r>
        <w:rPr>
          <w:rFonts w:hint="eastAsia" w:ascii="宋体" w:hAnsi="宋体" w:cs="宋体"/>
          <w:b/>
          <w:bCs/>
          <w:color w:val="auto"/>
          <w:sz w:val="24"/>
          <w:szCs w:val="24"/>
          <w:highlight w:val="none"/>
          <w:u w:val="single"/>
          <w:lang w:val="en-US" w:eastAsia="zh-CN"/>
        </w:rPr>
        <w:t>梧州市文化路小学</w:t>
      </w:r>
      <w:r>
        <w:rPr>
          <w:rFonts w:hint="eastAsia" w:ascii="宋体" w:hAnsi="宋体" w:cs="宋体"/>
          <w:color w:val="auto"/>
          <w:sz w:val="24"/>
          <w:szCs w:val="24"/>
          <w:highlight w:val="none"/>
        </w:rPr>
        <w:t>（以下简称“发包人”）与承包人</w:t>
      </w:r>
      <w:r>
        <w:rPr>
          <w:rFonts w:hint="eastAsia" w:ascii="宋体" w:hAnsi="宋体" w:cs="宋体"/>
          <w:b/>
          <w:color w:val="auto"/>
          <w:sz w:val="24"/>
          <w:szCs w:val="24"/>
          <w:highlight w:val="none"/>
          <w:u w:val="single"/>
        </w:rPr>
        <w:t xml:space="preserve">         </w:t>
      </w:r>
      <w:r>
        <w:rPr>
          <w:rFonts w:hint="eastAsia" w:ascii="宋体" w:hAnsi="宋体" w:cs="宋体"/>
          <w:color w:val="auto"/>
          <w:sz w:val="24"/>
          <w:szCs w:val="24"/>
          <w:highlight w:val="none"/>
        </w:rPr>
        <w:t>（以下简称“承包人”）经协商达成如下安全协议并共同遵守。</w:t>
      </w:r>
    </w:p>
    <w:p w14:paraId="216305E2">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一、发包人安全职责</w:t>
      </w:r>
    </w:p>
    <w:p w14:paraId="5475D8C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1、审批承包人在开工前制定的工程施工安全措施方案，并备案。</w:t>
      </w:r>
    </w:p>
    <w:p w14:paraId="414BC1E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2、有权对承包人施工现场进行安全生产检查，监督承包人及时处理发现的各种安全隐患。</w:t>
      </w:r>
    </w:p>
    <w:p w14:paraId="152F8DC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3、不得要求承包人违反安全管理规定施工。</w:t>
      </w:r>
    </w:p>
    <w:p w14:paraId="53A2EC2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4、发包人的前述审批、监管、备案等行为不构成责任主体行为，施工中发生的安全事故其责任均由承包人承担，发包人无需承担任何责任。</w:t>
      </w:r>
    </w:p>
    <w:p w14:paraId="064A1D2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二、承包人安全管理目标</w:t>
      </w:r>
    </w:p>
    <w:p w14:paraId="4936B4C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承包人承诺在实施本协议过程中，实现以下安全目标：</w:t>
      </w:r>
    </w:p>
    <w:p w14:paraId="356D6937">
      <w:pPr>
        <w:spacing w:line="360" w:lineRule="auto"/>
        <w:ind w:firstLine="420" w:firstLineChars="175"/>
        <w:rPr>
          <w:rFonts w:ascii="宋体" w:hAnsi="宋体" w:cs="宋体"/>
          <w:color w:val="auto"/>
          <w:sz w:val="24"/>
          <w:szCs w:val="24"/>
          <w:highlight w:val="none"/>
        </w:rPr>
      </w:pPr>
      <w:bookmarkStart w:id="1229" w:name="_Toc456277867"/>
      <w:r>
        <w:rPr>
          <w:rFonts w:hint="eastAsia" w:ascii="宋体" w:hAnsi="宋体" w:cs="宋体"/>
          <w:color w:val="auto"/>
          <w:sz w:val="24"/>
          <w:szCs w:val="24"/>
          <w:highlight w:val="none"/>
        </w:rPr>
        <w:t>1、不发生重伤及以上人员伤亡事故；</w:t>
      </w:r>
    </w:p>
    <w:p w14:paraId="12638F6B">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2、不发生火灾、爆炸事故；</w:t>
      </w:r>
    </w:p>
    <w:p w14:paraId="720FAC25">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3、不发生严重特种设备事故；</w:t>
      </w:r>
    </w:p>
    <w:p w14:paraId="36D5A52D">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4、不发生负全责或主要责任的交通严重事故；</w:t>
      </w:r>
    </w:p>
    <w:p w14:paraId="6C78E8F5">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5、不发生与安全生产相关的行政处罚事件；</w:t>
      </w:r>
    </w:p>
    <w:p w14:paraId="675CAB97">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6、不发生集体食物中毒事件（同时5人及以上的食物中毒）；</w:t>
      </w:r>
    </w:p>
    <w:p w14:paraId="0560BD9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7、不发生治安保卫事件（构成刑事拘留及以上的事件、盗窃直接损失超过1万元人民币的事件）；</w:t>
      </w:r>
    </w:p>
    <w:p w14:paraId="6EA70DA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8、不发生因人为失误造成的重大设施、设备等财产损失（直接损失一次超过10万元人民币）；</w:t>
      </w:r>
    </w:p>
    <w:p w14:paraId="57DED3B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9、各类安全整改要求文件按期关闭率达到100%；</w:t>
      </w:r>
    </w:p>
    <w:p w14:paraId="6C55F3A5">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10、项目负责人、专职安全管理人员、特种作业人员、特种设备操作人员持证上岗率达100%；</w:t>
      </w:r>
    </w:p>
    <w:p w14:paraId="00DAF5EF">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11、安全管理人员到岗率100％；</w:t>
      </w:r>
    </w:p>
    <w:p w14:paraId="6874CBB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12、一般作业人员安全教育培训合格率达到100%。</w:t>
      </w:r>
      <w:bookmarkEnd w:id="1229"/>
    </w:p>
    <w:p w14:paraId="26DF2C0E">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三、承包人安全责任</w:t>
      </w:r>
    </w:p>
    <w:p w14:paraId="5FFB369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1、承包人所提供的承包工程所要求的相关资质证明材料必须真实、有效。</w:t>
      </w:r>
    </w:p>
    <w:p w14:paraId="019663D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2、在现场施工中，必须严格遵守国家、地方、行业的有关安全的法律法规，认真执行工程承包合同中有关安全的要求。遵守发包人制定的有关安全生产规章制度和操作规程。</w:t>
      </w:r>
    </w:p>
    <w:p w14:paraId="76364A04">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承包人负责到有关安全生产管理部门办理工程安监手续，并应建立健全安全责任制度，制定有关的安全管理规定，设置专职或兼职的施工现场安全管理人员，加强施工现场的安全管理，确保本方施工人员在施工过程中严格遵守相关的安全生产规章制度和操作规程。</w:t>
      </w:r>
    </w:p>
    <w:p w14:paraId="4C6217A0">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4、承包人应确保所派施工人员业务水平、身体素质及精神状态等满足施工要求，严禁使用未成年和不适应现场安全施工要求的老、弱、病、残人员进行施工。</w:t>
      </w:r>
    </w:p>
    <w:p w14:paraId="46AB21C8">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5、开工前必须自上而下进行安全技术交底，承包人全体施工人员均应掌握工程特点及施工安全措施；开工前应组织施工人员学习并掌握有关安全生产规程、规定。</w:t>
      </w:r>
    </w:p>
    <w:p w14:paraId="5EF021F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复杂的和危险性较大的作业，如有可能发生火灾、爆炸、触电、高空坠落、中毒、窒息、机械伤害、交叉作业和烧烫伤等容易造成人员伤害和设备事故的作业，承包人应制订并采取有效的专项施工安全技术方案，组织制定并实施生产安全事故应急预案。发包人有权要求承包人将前述安全技术方案、事故应急预案报项目监理人或发包人审批后贯彻落实。</w:t>
      </w:r>
    </w:p>
    <w:p w14:paraId="07C581F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7、施工现场必须设置符合相关规范的安全标志、警示牌。</w:t>
      </w:r>
    </w:p>
    <w:p w14:paraId="4D1563F8">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8、承包人应保证安全生产所需资金的投入，所有施工设备、工器具、施工临时用电及施工场所安全防护设施等均应定期检查，并有记录，保证其经常处于完好状态，不合格的严禁使用。</w:t>
      </w:r>
    </w:p>
    <w:p w14:paraId="6B7D6C3F">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9、承包人施工人员必须接受安全技术教育，熟知和遵守本工种的各项安全技术操作规程，定期进行安全技术考核，合格者方准上岗操作。特种作业（操作）人员，必须持证上岗。施工人员应按规定佩戴劳动防护用品。</w:t>
      </w:r>
    </w:p>
    <w:p w14:paraId="7563984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10、承包人施工人员必须在规定的施工范围内作业，不得超出施工范围，不得擅自操作施工范围外的设施设备，若确需操作的，需征得发包人值班负责人同意，由值班人员操作或在值班人员的监督下操作。</w:t>
      </w:r>
    </w:p>
    <w:p w14:paraId="48332D67">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11、存在交叉作业的项目，项目负责人应共同确定安全管理人员。安全管理人员必须随时了解、掌握作业动态及安全状况，统一协调、指挥，各作业人员必须严格执行安全管理人员的指令，做到令行禁止。交叉作业前应拟订详细的作业方案、交叉作业计划及安全注意事项，并告知每一位作业人员，使之清楚自己在作业过程中可能对其他作业项目所产生的影响或其他作业项目施工时可能对自己造成的影响。交叉作业前要采取必要的安全防范措施，排除作业过程中可能出现的安全隐患。作业人员必须对交叉作业项目安全措施进行检查、确认，了解作业过程中所处的安全状态，发现安全隐患要及时联系协调、解决。</w:t>
      </w:r>
    </w:p>
    <w:p w14:paraId="7395D64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12、承包人及其施工人员必须接受发包人及监理的监督、管理和指导，积极配合地方或国家有关生产安全管理部门的安全检查。对发包人、监理或有关安全管理部门提出的意见必须及时整改。发生人身事故或危及生产运行的不安全情况，必须立即报告发包人，并采取有效的防护措施、启动事故应急预案，防止事故的进一步扩大，减少损失。</w:t>
      </w:r>
    </w:p>
    <w:p w14:paraId="1212C91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13、施工中的安全由承包人自行负责，施工中发生安全事故造成的人身伤亡、财产损失及相关法律责任等均由承包人承担。</w:t>
      </w:r>
    </w:p>
    <w:p w14:paraId="779FAA99">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14、对发包人人员违章指挥或者可能危及生命、财产安全的指挥，承包人有权拒绝。</w:t>
      </w:r>
    </w:p>
    <w:p w14:paraId="589E40E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15、承包人施工人员有变动的，必须对新进场施工人员及时进行安全教育。</w:t>
      </w:r>
    </w:p>
    <w:p w14:paraId="10513BEB">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16、对本工程的安全管理负全部责任，包括但不限于承包人自行施工的工程、自行分包的工程及发包人另行发包但在承包人管理范围内的工程。</w:t>
      </w:r>
    </w:p>
    <w:p w14:paraId="4A44FBE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四、安全考核</w:t>
      </w:r>
    </w:p>
    <w:p w14:paraId="4E342163">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1、在施工过程中承包人不按工程安全管理措施方案实施，或发生安全事故，由市建设行政主管部门依照《生产安全事故报告和调查处理条例》有关规定进行处置。</w:t>
      </w:r>
    </w:p>
    <w:p w14:paraId="7D0EA42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2、发包人对承包人实行安全考核。当发生安全生产责任事故、发现违章现象时，在支付工程进度款或结算时按规定扣收。</w:t>
      </w:r>
    </w:p>
    <w:p w14:paraId="000DD18C">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3、施工过程中，发包人每发现承包人施工人员一次一般违章行为，扣违约金500元，一次严重违章行为，扣违约金1000～5000元；一次恶性违章行为，扣违约金6000元，屡教不改的发包人有权加倍扣收安全违约金。违章行为考核办法详见附表3违章行为50例。</w:t>
      </w:r>
    </w:p>
    <w:p w14:paraId="664B44FD">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4、在施工过程中发生轻伤事故的，每一起扣收2万元安全违约金；发生重伤事故的，每一起扣收20万元安全违约金；发生死亡及以上事故的，扣收50万元安全违约金。发生事故隐瞒不报的，加倍扣收。</w:t>
      </w:r>
    </w:p>
    <w:p w14:paraId="1951042E">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5、由于承包人原因造成发包人停水、停电、设备事故、人身受伤或影响员工正常生活，承包人承担相应的赔偿责任。</w:t>
      </w:r>
    </w:p>
    <w:p w14:paraId="47C9A236">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6、承包人违反发包人有关安全生产规章制度，并且不听从发包人建议，拒绝执行整改的，发包人可要求停工整改，因此而造成工期延误的承包人承担逾期责任。</w:t>
      </w:r>
    </w:p>
    <w:p w14:paraId="411B8067">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7、发包人对施工现场的安全监督检查意见（包括施工人员违章、安全隐患情况等），以书面形式通知承包人，并双方签字确认，作为安全考核依据。</w:t>
      </w:r>
    </w:p>
    <w:p w14:paraId="0F0F3AF3">
      <w:pPr>
        <w:spacing w:line="400" w:lineRule="exact"/>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8、发包人对承包人的安全检查考核项目见附表1安全管理检查考核表、附表2安全文明施工检查表、附表3违章行为50例。</w:t>
      </w:r>
    </w:p>
    <w:p w14:paraId="2F9AD445">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五、协议生效</w:t>
      </w:r>
    </w:p>
    <w:p w14:paraId="494C0394">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1、本协议一式捌份，发包人执肆份、承包人执肆份。本协议自双方盖章之日起生效。。</w:t>
      </w:r>
    </w:p>
    <w:p w14:paraId="7EE7A962">
      <w:pPr>
        <w:spacing w:line="360" w:lineRule="auto"/>
        <w:ind w:firstLine="420" w:firstLineChars="175"/>
        <w:rPr>
          <w:rFonts w:ascii="宋体" w:hAnsi="宋体" w:cs="宋体"/>
          <w:color w:val="auto"/>
          <w:sz w:val="24"/>
          <w:szCs w:val="24"/>
          <w:highlight w:val="none"/>
        </w:rPr>
      </w:pPr>
      <w:r>
        <w:rPr>
          <w:rFonts w:hint="eastAsia" w:ascii="宋体" w:hAnsi="宋体" w:cs="宋体"/>
          <w:color w:val="auto"/>
          <w:sz w:val="24"/>
          <w:szCs w:val="24"/>
          <w:highlight w:val="none"/>
        </w:rPr>
        <w:t>2、本协议有效期：自本协议签订之日起至工程竣工验收合格并交付发包人为止。</w:t>
      </w:r>
    </w:p>
    <w:bookmarkEnd w:id="1227"/>
    <w:bookmarkEnd w:id="1228"/>
    <w:p w14:paraId="4AF6614A">
      <w:pPr>
        <w:spacing w:line="360" w:lineRule="auto"/>
        <w:ind w:firstLine="480" w:firstLineChars="200"/>
        <w:rPr>
          <w:rFonts w:ascii="宋体" w:hAnsi="宋体" w:cs="宋体"/>
          <w:color w:val="auto"/>
          <w:sz w:val="24"/>
          <w:szCs w:val="24"/>
          <w:highlight w:val="none"/>
        </w:rPr>
      </w:pPr>
    </w:p>
    <w:p w14:paraId="2CA26E91">
      <w:pPr>
        <w:spacing w:line="360" w:lineRule="auto"/>
        <w:ind w:firstLine="480" w:firstLineChars="200"/>
        <w:rPr>
          <w:rFonts w:ascii="宋体" w:hAnsi="宋体" w:cs="宋体"/>
          <w:color w:val="auto"/>
          <w:sz w:val="24"/>
          <w:szCs w:val="24"/>
          <w:highlight w:val="none"/>
        </w:rPr>
      </w:pPr>
    </w:p>
    <w:p w14:paraId="4108CC04">
      <w:pPr>
        <w:spacing w:line="360" w:lineRule="auto"/>
        <w:ind w:left="5760" w:hanging="5760" w:hangingChars="2400"/>
        <w:rPr>
          <w:rFonts w:ascii="宋体" w:hAnsi="宋体" w:cs="宋体"/>
          <w:color w:val="auto"/>
          <w:spacing w:val="-20"/>
          <w:sz w:val="24"/>
          <w:szCs w:val="24"/>
          <w:highlight w:val="none"/>
          <w:u w:val="single"/>
        </w:rPr>
      </w:pPr>
      <w:r>
        <w:rPr>
          <w:rFonts w:hint="eastAsia" w:ascii="宋体" w:hAnsi="宋体" w:cs="宋体"/>
          <w:color w:val="auto"/>
          <w:sz w:val="24"/>
          <w:szCs w:val="24"/>
          <w:highlight w:val="none"/>
        </w:rPr>
        <w:t>发包人：</w:t>
      </w:r>
      <w:r>
        <w:rPr>
          <w:rFonts w:hint="eastAsia" w:ascii="宋体" w:hAnsi="宋体" w:cs="宋体"/>
          <w:color w:val="auto"/>
          <w:sz w:val="24"/>
          <w:szCs w:val="24"/>
          <w:highlight w:val="none"/>
          <w:lang w:val="en-US" w:eastAsia="zh-CN"/>
        </w:rPr>
        <w:t>梧州市文化路小学</w:t>
      </w:r>
      <w:r>
        <w:rPr>
          <w:rFonts w:hint="eastAsia" w:ascii="宋体" w:hAnsi="宋体" w:cs="宋体"/>
          <w:color w:val="auto"/>
          <w:sz w:val="24"/>
          <w:szCs w:val="24"/>
          <w:highlight w:val="none"/>
        </w:rPr>
        <w:t xml:space="preserve"> (公章)  承包人： (公章)</w:t>
      </w:r>
    </w:p>
    <w:p w14:paraId="2124A905">
      <w:pPr>
        <w:spacing w:line="360" w:lineRule="auto"/>
        <w:rPr>
          <w:rFonts w:ascii="宋体" w:cs="宋体"/>
          <w:color w:val="auto"/>
          <w:sz w:val="24"/>
          <w:szCs w:val="24"/>
          <w:highlight w:val="none"/>
        </w:rPr>
      </w:pPr>
      <w:r>
        <w:rPr>
          <w:rFonts w:hint="eastAsia" w:ascii="宋体" w:hAnsi="宋体" w:cs="宋体"/>
          <w:color w:val="auto"/>
          <w:sz w:val="24"/>
          <w:szCs w:val="24"/>
          <w:highlight w:val="none"/>
        </w:rPr>
        <w:t>法定代表人（签字或盖章）：</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法定代表人（签字或盖章）：</w:t>
      </w:r>
    </w:p>
    <w:p w14:paraId="3F0DF232">
      <w:pPr>
        <w:spacing w:line="360" w:lineRule="auto"/>
        <w:rPr>
          <w:rFonts w:asci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rPr>
        <w:t xml:space="preserve">            </w:t>
      </w:r>
    </w:p>
    <w:p w14:paraId="5F72A081">
      <w:pPr>
        <w:spacing w:line="360" w:lineRule="auto"/>
        <w:rPr>
          <w:rFonts w:ascii="宋体" w:cs="宋体"/>
          <w:color w:val="auto"/>
          <w:sz w:val="24"/>
          <w:szCs w:val="24"/>
          <w:highlight w:val="none"/>
        </w:rPr>
      </w:pPr>
      <w:r>
        <w:rPr>
          <w:rFonts w:hint="eastAsia" w:ascii="宋体" w:hAnsi="宋体" w:cs="宋体"/>
          <w:color w:val="auto"/>
          <w:sz w:val="24"/>
          <w:szCs w:val="24"/>
          <w:highlight w:val="none"/>
        </w:rPr>
        <w:t>日期：</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w:t>
      </w:r>
      <w:r>
        <w:rPr>
          <w:rFonts w:hint="eastAsia" w:ascii="宋体" w:hAnsi="宋体" w:cs="宋体"/>
          <w:color w:val="auto"/>
          <w:sz w:val="24"/>
          <w:szCs w:val="24"/>
          <w:highlight w:val="none"/>
        </w:rPr>
        <w:t>日期：</w:t>
      </w:r>
      <w:r>
        <w:rPr>
          <w:rFonts w:hint="eastAsia" w:ascii="宋体" w:hAnsi="宋体" w:cs="宋体"/>
          <w:color w:val="auto"/>
          <w:sz w:val="24"/>
          <w:szCs w:val="24"/>
          <w:highlight w:val="none"/>
          <w:u w:val="single"/>
        </w:rPr>
        <w:t xml:space="preserve">    </w:t>
      </w:r>
      <w:r>
        <w:rPr>
          <w:rFonts w:ascii="宋体" w:hAnsi="宋体" w:cs="宋体"/>
          <w:color w:val="auto"/>
          <w:sz w:val="24"/>
          <w:szCs w:val="24"/>
          <w:highlight w:val="none"/>
          <w:u w:val="single"/>
        </w:rPr>
        <w:t xml:space="preserve"> </w:t>
      </w:r>
      <w:r>
        <w:rPr>
          <w:rFonts w:hint="eastAsia" w:ascii="宋体" w:hAnsi="宋体" w:cs="宋体"/>
          <w:color w:val="auto"/>
          <w:kern w:val="0"/>
          <w:sz w:val="24"/>
          <w:szCs w:val="24"/>
          <w:highlight w:val="none"/>
        </w:rPr>
        <w:t>年</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u w:val="single"/>
        </w:rPr>
        <w:t xml:space="preserve">  </w:t>
      </w:r>
      <w:r>
        <w:rPr>
          <w:rFonts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w:t>
      </w:r>
      <w:r>
        <w:rPr>
          <w:rFonts w:ascii="宋体" w:hAnsi="宋体" w:cs="宋体"/>
          <w:color w:val="auto"/>
          <w:kern w:val="0"/>
          <w:sz w:val="24"/>
          <w:szCs w:val="24"/>
          <w:highlight w:val="none"/>
        </w:rPr>
        <w:t xml:space="preserve"> </w:t>
      </w:r>
    </w:p>
    <w:p w14:paraId="52AFB97C">
      <w:pPr>
        <w:spacing w:line="360" w:lineRule="exact"/>
        <w:rPr>
          <w:rFonts w:ascii="宋体" w:hAnsi="宋体"/>
          <w:color w:val="auto"/>
          <w:szCs w:val="21"/>
          <w:highlight w:val="none"/>
        </w:rPr>
      </w:pPr>
    </w:p>
    <w:p w14:paraId="675548DF">
      <w:pPr>
        <w:spacing w:line="360" w:lineRule="exact"/>
        <w:rPr>
          <w:rFonts w:ascii="宋体" w:hAnsi="宋体"/>
          <w:color w:val="auto"/>
          <w:szCs w:val="21"/>
          <w:highlight w:val="none"/>
        </w:rPr>
      </w:pPr>
    </w:p>
    <w:bookmarkEnd w:id="193"/>
    <w:p w14:paraId="380584BA">
      <w:pPr>
        <w:spacing w:line="360" w:lineRule="exact"/>
        <w:rPr>
          <w:rFonts w:ascii="宋体" w:hAnsi="宋体"/>
          <w:color w:val="auto"/>
          <w:szCs w:val="21"/>
          <w:highlight w:val="none"/>
        </w:rPr>
      </w:pPr>
    </w:p>
    <w:p w14:paraId="7E8A4EA7">
      <w:pPr>
        <w:spacing w:line="360" w:lineRule="exact"/>
        <w:rPr>
          <w:rFonts w:ascii="宋体" w:hAnsi="宋体"/>
          <w:color w:val="auto"/>
          <w:szCs w:val="21"/>
          <w:highlight w:val="none"/>
        </w:rPr>
        <w:sectPr>
          <w:headerReference r:id="rId8" w:type="first"/>
          <w:footerReference r:id="rId10" w:type="first"/>
          <w:headerReference r:id="rId7" w:type="default"/>
          <w:footerReference r:id="rId9" w:type="default"/>
          <w:pgSz w:w="11906" w:h="16838"/>
          <w:pgMar w:top="1418" w:right="1555" w:bottom="1418" w:left="1531" w:header="851" w:footer="992" w:gutter="0"/>
          <w:cols w:space="720" w:num="1"/>
          <w:titlePg/>
          <w:docGrid w:type="lines" w:linePitch="312" w:charSpace="0"/>
        </w:sectPr>
      </w:pPr>
    </w:p>
    <w:p w14:paraId="7E1AE48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72CD6CC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附件</w:t>
      </w:r>
    </w:p>
    <w:p w14:paraId="6CAD1F4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附件 1：承包人用于本工程施工的机械设备表</w:t>
      </w:r>
    </w:p>
    <w:p w14:paraId="243DC78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附件 2：承包人主要施工管理人员表</w:t>
      </w:r>
    </w:p>
    <w:p w14:paraId="4A13AED2">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0D28E19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2B8FDEAD">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58B3359C">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124093FA">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5F1FF8D">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AA3E79C">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533452D5">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07517BA7">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62571512">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24EDE4B3">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A3B331E">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B8DB895">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580C9E06">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19BE8D8">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02CB887">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21DC4D54">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3A6B5415">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7BF83351">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02132270">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6AC12460">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53908797">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4457E255">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3EA6C2C9">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31473E91">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3B165DED">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p>
    <w:p w14:paraId="239FD657">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附件 1：</w:t>
      </w:r>
    </w:p>
    <w:p w14:paraId="0F97D9D0">
      <w:pPr>
        <w:adjustRightInd w:val="0"/>
        <w:snapToGrid w:val="0"/>
        <w:spacing w:line="460" w:lineRule="exact"/>
        <w:jc w:val="center"/>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承包人用于本工程施工的机械设备表</w:t>
      </w:r>
    </w:p>
    <w:p w14:paraId="2337832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bl>
      <w:tblPr>
        <w:tblStyle w:val="54"/>
        <w:tblW w:w="865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8"/>
        <w:gridCol w:w="1248"/>
        <w:gridCol w:w="748"/>
        <w:gridCol w:w="930"/>
        <w:gridCol w:w="773"/>
        <w:gridCol w:w="897"/>
        <w:gridCol w:w="1303"/>
        <w:gridCol w:w="898"/>
        <w:gridCol w:w="823"/>
      </w:tblGrid>
      <w:tr w14:paraId="0A78C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1" w:hRule="atLeast"/>
        </w:trPr>
        <w:tc>
          <w:tcPr>
            <w:tcW w:w="1038" w:type="dxa"/>
            <w:tcBorders>
              <w:top w:val="single" w:color="000000" w:sz="10" w:space="0"/>
              <w:left w:val="single" w:color="000000" w:sz="10" w:space="0"/>
            </w:tcBorders>
          </w:tcPr>
          <w:p w14:paraId="0C4205A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序号</w:t>
            </w:r>
          </w:p>
        </w:tc>
        <w:tc>
          <w:tcPr>
            <w:tcW w:w="1248" w:type="dxa"/>
            <w:tcBorders>
              <w:top w:val="single" w:color="000000" w:sz="10" w:space="0"/>
            </w:tcBorders>
          </w:tcPr>
          <w:p w14:paraId="5E9ECAD9">
            <w:pPr>
              <w:adjustRightInd w:val="0"/>
              <w:snapToGrid w:val="0"/>
              <w:spacing w:line="460" w:lineRule="exact"/>
              <w:ind w:right="29"/>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机械或设备名 称</w:t>
            </w:r>
          </w:p>
        </w:tc>
        <w:tc>
          <w:tcPr>
            <w:tcW w:w="748" w:type="dxa"/>
            <w:tcBorders>
              <w:top w:val="single" w:color="000000" w:sz="10" w:space="0"/>
            </w:tcBorders>
          </w:tcPr>
          <w:p w14:paraId="40D9CFE8">
            <w:pPr>
              <w:adjustRightInd w:val="0"/>
              <w:snapToGrid w:val="0"/>
              <w:spacing w:line="460" w:lineRule="exact"/>
              <w:ind w:right="27"/>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规 格 型 号</w:t>
            </w:r>
          </w:p>
        </w:tc>
        <w:tc>
          <w:tcPr>
            <w:tcW w:w="930" w:type="dxa"/>
            <w:tcBorders>
              <w:top w:val="single" w:color="000000" w:sz="10" w:space="0"/>
            </w:tcBorders>
          </w:tcPr>
          <w:p w14:paraId="0861789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数量</w:t>
            </w:r>
          </w:p>
        </w:tc>
        <w:tc>
          <w:tcPr>
            <w:tcW w:w="773" w:type="dxa"/>
            <w:tcBorders>
              <w:top w:val="single" w:color="000000" w:sz="10" w:space="0"/>
            </w:tcBorders>
          </w:tcPr>
          <w:p w14:paraId="424B5D7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产地</w:t>
            </w:r>
          </w:p>
        </w:tc>
        <w:tc>
          <w:tcPr>
            <w:tcW w:w="897" w:type="dxa"/>
            <w:tcBorders>
              <w:top w:val="single" w:color="000000" w:sz="10" w:space="0"/>
            </w:tcBorders>
          </w:tcPr>
          <w:p w14:paraId="5461678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制造年份</w:t>
            </w:r>
          </w:p>
        </w:tc>
        <w:tc>
          <w:tcPr>
            <w:tcW w:w="1303" w:type="dxa"/>
            <w:tcBorders>
              <w:top w:val="single" w:color="000000" w:sz="10" w:space="0"/>
            </w:tcBorders>
          </w:tcPr>
          <w:p w14:paraId="260903E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额定功率(kW)</w:t>
            </w:r>
          </w:p>
        </w:tc>
        <w:tc>
          <w:tcPr>
            <w:tcW w:w="898" w:type="dxa"/>
            <w:tcBorders>
              <w:top w:val="single" w:color="000000" w:sz="10" w:space="0"/>
            </w:tcBorders>
          </w:tcPr>
          <w:p w14:paraId="51A0DF7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生产能力</w:t>
            </w:r>
          </w:p>
        </w:tc>
        <w:tc>
          <w:tcPr>
            <w:tcW w:w="823" w:type="dxa"/>
            <w:tcBorders>
              <w:top w:val="single" w:color="000000" w:sz="10" w:space="0"/>
              <w:right w:val="single" w:color="000000" w:sz="10" w:space="0"/>
            </w:tcBorders>
          </w:tcPr>
          <w:p w14:paraId="00C8192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备注</w:t>
            </w:r>
          </w:p>
        </w:tc>
      </w:tr>
      <w:tr w14:paraId="475C29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038" w:type="dxa"/>
            <w:tcBorders>
              <w:left w:val="single" w:color="000000" w:sz="10" w:space="0"/>
            </w:tcBorders>
          </w:tcPr>
          <w:p w14:paraId="66E4B0B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3AC0BB3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006CCC2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74CC5D8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5E06C0B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09CB474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1B4CB28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31F624F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1922A6C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5003E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0362CD9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10D6150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437ABBB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435B28F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32169FC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33F7C37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2487544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4ACC3E3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33EA693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54691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038" w:type="dxa"/>
            <w:tcBorders>
              <w:left w:val="single" w:color="000000" w:sz="10" w:space="0"/>
            </w:tcBorders>
          </w:tcPr>
          <w:p w14:paraId="2571BE5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4A033F8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510FBA5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06EB47E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57B741F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39BB56D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88A6F2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12B6D66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A6F43C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930B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038" w:type="dxa"/>
            <w:tcBorders>
              <w:left w:val="single" w:color="000000" w:sz="10" w:space="0"/>
            </w:tcBorders>
          </w:tcPr>
          <w:p w14:paraId="01A9E76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26DDE18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5E330EB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544ADFF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3ECFFEA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3F4BDAF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4833E48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45EA179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0C080C9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1D5E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3E2FBA9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2578354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3810E83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2D3B17F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0482D1B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2FDC630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614159C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1D6DCB8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3BEA2DA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27F39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2005D5A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5A3B95F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1DF647D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1E99EF2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5F16224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158B24C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68B65C5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67D6B88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2C1130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9E84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6EFAEA6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5DB2EA6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65BE619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2D1A985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4675EC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3573429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3E6B20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56FF891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1E7D91E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EE3D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14547CF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6833DE5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12593B7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67D1F97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358E5DE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25AB8B7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2400F5F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3EB407F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47A910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2E1DA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5F98A7A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2576C91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7E61AF8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56A1898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53E8B62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5081DF4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0AA9F6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2AC4A4F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A75718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90AC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2093928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17E9C3E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4BEFFE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111A17F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614966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48B591B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2E9B472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067DA71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309E8F4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94E4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53BFC3C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3E066F3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4AB4ED7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225BC1A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575D386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19D6884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7119077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662B9F5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1EB521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997B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3DA36EF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24941EC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7366FA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05E651A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7E5BA27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46A1E25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3BE1F8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79509B2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063D5DE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6091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004DB27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1A1DF04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A1E690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48B28FA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3635C74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65423A7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E736BC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17AD48D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6AC622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6002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4A52A49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5A3D3AD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59ABBCB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6A31EAE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4163744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2589F8C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07C034E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54E406B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284F01A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3A6A8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038" w:type="dxa"/>
            <w:tcBorders>
              <w:left w:val="single" w:color="000000" w:sz="10" w:space="0"/>
            </w:tcBorders>
          </w:tcPr>
          <w:p w14:paraId="7480D62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6153BCC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2E7CFAA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3667A3A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564383E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0A3D06B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235CAD8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7B917BC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3A10E5B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9216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2FE44F9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5B9877A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637451B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2BD415C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0264E20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70E896B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78041B5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55C9712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5926798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0444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038" w:type="dxa"/>
            <w:tcBorders>
              <w:left w:val="single" w:color="000000" w:sz="10" w:space="0"/>
            </w:tcBorders>
          </w:tcPr>
          <w:p w14:paraId="26B73CE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Pr>
          <w:p w14:paraId="6162A79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Pr>
          <w:p w14:paraId="3454070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Pr>
          <w:p w14:paraId="57554BB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Pr>
          <w:p w14:paraId="6956975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Pr>
          <w:p w14:paraId="6B67413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Pr>
          <w:p w14:paraId="4838197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Pr>
          <w:p w14:paraId="6A26CD1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right w:val="single" w:color="000000" w:sz="10" w:space="0"/>
            </w:tcBorders>
          </w:tcPr>
          <w:p w14:paraId="7633F23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CC36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038" w:type="dxa"/>
            <w:tcBorders>
              <w:left w:val="single" w:color="000000" w:sz="10" w:space="0"/>
              <w:bottom w:val="single" w:color="000000" w:sz="10" w:space="0"/>
            </w:tcBorders>
          </w:tcPr>
          <w:p w14:paraId="26414A5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248" w:type="dxa"/>
            <w:tcBorders>
              <w:bottom w:val="single" w:color="000000" w:sz="10" w:space="0"/>
            </w:tcBorders>
          </w:tcPr>
          <w:p w14:paraId="2A35D71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48" w:type="dxa"/>
            <w:tcBorders>
              <w:bottom w:val="single" w:color="000000" w:sz="10" w:space="0"/>
            </w:tcBorders>
          </w:tcPr>
          <w:p w14:paraId="7ED2DE1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30" w:type="dxa"/>
            <w:tcBorders>
              <w:bottom w:val="single" w:color="000000" w:sz="10" w:space="0"/>
            </w:tcBorders>
          </w:tcPr>
          <w:p w14:paraId="1E2AF92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773" w:type="dxa"/>
            <w:tcBorders>
              <w:bottom w:val="single" w:color="000000" w:sz="10" w:space="0"/>
            </w:tcBorders>
          </w:tcPr>
          <w:p w14:paraId="6E5F73F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7" w:type="dxa"/>
            <w:tcBorders>
              <w:bottom w:val="single" w:color="000000" w:sz="10" w:space="0"/>
            </w:tcBorders>
          </w:tcPr>
          <w:p w14:paraId="4F5C7B1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303" w:type="dxa"/>
            <w:tcBorders>
              <w:bottom w:val="single" w:color="000000" w:sz="10" w:space="0"/>
            </w:tcBorders>
          </w:tcPr>
          <w:p w14:paraId="6DB60FE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98" w:type="dxa"/>
            <w:tcBorders>
              <w:bottom w:val="single" w:color="000000" w:sz="10" w:space="0"/>
            </w:tcBorders>
          </w:tcPr>
          <w:p w14:paraId="2306CB1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823" w:type="dxa"/>
            <w:tcBorders>
              <w:bottom w:val="single" w:color="000000" w:sz="10" w:space="0"/>
              <w:right w:val="single" w:color="000000" w:sz="10" w:space="0"/>
            </w:tcBorders>
          </w:tcPr>
          <w:p w14:paraId="28FFE02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bl>
    <w:p w14:paraId="20E5744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1D8C82BD">
      <w:pPr>
        <w:adjustRightInd w:val="0"/>
        <w:snapToGrid w:val="0"/>
        <w:spacing w:line="460" w:lineRule="exact"/>
        <w:textAlignment w:val="baseline"/>
        <w:rPr>
          <w:rFonts w:cs="仿宋" w:asciiTheme="minorEastAsia" w:hAnsiTheme="minorEastAsia"/>
          <w:snapToGrid w:val="0"/>
          <w:color w:val="auto"/>
          <w:kern w:val="0"/>
          <w:sz w:val="24"/>
          <w:szCs w:val="24"/>
          <w:highlight w:val="none"/>
        </w:rPr>
        <w:sectPr>
          <w:headerReference r:id="rId11" w:type="default"/>
          <w:footerReference r:id="rId12" w:type="default"/>
          <w:pgSz w:w="11907" w:h="16841"/>
          <w:pgMar w:top="1440" w:right="1800" w:bottom="1440" w:left="1800" w:header="0" w:footer="850" w:gutter="0"/>
          <w:cols w:space="720" w:num="1"/>
        </w:sectPr>
      </w:pPr>
    </w:p>
    <w:p w14:paraId="4CD1EC2C">
      <w:pPr>
        <w:adjustRightInd w:val="0"/>
        <w:snapToGrid w:val="0"/>
        <w:spacing w:line="460" w:lineRule="exact"/>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附件2：</w:t>
      </w:r>
    </w:p>
    <w:p w14:paraId="34EA96DF">
      <w:pPr>
        <w:adjustRightInd w:val="0"/>
        <w:snapToGrid w:val="0"/>
        <w:spacing w:line="460" w:lineRule="exact"/>
        <w:jc w:val="center"/>
        <w:textAlignment w:val="baseline"/>
        <w:rPr>
          <w:rFonts w:cs="仿宋" w:asciiTheme="minorEastAsia" w:hAnsiTheme="minorEastAsia"/>
          <w:snapToGrid w:val="0"/>
          <w:color w:val="auto"/>
          <w:kern w:val="0"/>
          <w:sz w:val="28"/>
          <w:szCs w:val="28"/>
          <w:highlight w:val="none"/>
        </w:rPr>
      </w:pPr>
      <w:r>
        <w:rPr>
          <w:rFonts w:hint="eastAsia" w:cs="仿宋" w:asciiTheme="minorEastAsia" w:hAnsiTheme="minorEastAsia"/>
          <w:snapToGrid w:val="0"/>
          <w:color w:val="auto"/>
          <w:kern w:val="0"/>
          <w:sz w:val="28"/>
          <w:szCs w:val="28"/>
          <w:highlight w:val="none"/>
        </w:rPr>
        <w:t>承包人主要施工管理人员表</w:t>
      </w:r>
    </w:p>
    <w:p w14:paraId="45C2110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bl>
      <w:tblPr>
        <w:tblStyle w:val="54"/>
        <w:tblW w:w="8251"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3"/>
        <w:gridCol w:w="1189"/>
        <w:gridCol w:w="949"/>
        <w:gridCol w:w="951"/>
        <w:gridCol w:w="3579"/>
      </w:tblGrid>
      <w:tr w14:paraId="0B3AF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583" w:type="dxa"/>
            <w:tcBorders>
              <w:top w:val="single" w:color="000000" w:sz="10" w:space="0"/>
              <w:left w:val="single" w:color="000000" w:sz="10" w:space="0"/>
            </w:tcBorders>
          </w:tcPr>
          <w:p w14:paraId="255E3BF1">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名    称</w:t>
            </w:r>
          </w:p>
        </w:tc>
        <w:tc>
          <w:tcPr>
            <w:tcW w:w="1189" w:type="dxa"/>
            <w:tcBorders>
              <w:top w:val="single" w:color="000000" w:sz="10" w:space="0"/>
            </w:tcBorders>
          </w:tcPr>
          <w:p w14:paraId="16FBB80A">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姓名</w:t>
            </w:r>
          </w:p>
        </w:tc>
        <w:tc>
          <w:tcPr>
            <w:tcW w:w="949" w:type="dxa"/>
            <w:tcBorders>
              <w:top w:val="single" w:color="000000" w:sz="10" w:space="0"/>
            </w:tcBorders>
          </w:tcPr>
          <w:p w14:paraId="789C2076">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职务</w:t>
            </w:r>
          </w:p>
        </w:tc>
        <w:tc>
          <w:tcPr>
            <w:tcW w:w="951" w:type="dxa"/>
            <w:tcBorders>
              <w:top w:val="single" w:color="000000" w:sz="10" w:space="0"/>
            </w:tcBorders>
          </w:tcPr>
          <w:p w14:paraId="7E53E5F6">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职称</w:t>
            </w:r>
          </w:p>
        </w:tc>
        <w:tc>
          <w:tcPr>
            <w:tcW w:w="3579" w:type="dxa"/>
            <w:tcBorders>
              <w:top w:val="single" w:color="000000" w:sz="10" w:space="0"/>
              <w:right w:val="single" w:color="000000" w:sz="10" w:space="0"/>
            </w:tcBorders>
          </w:tcPr>
          <w:p w14:paraId="509BD133">
            <w:pPr>
              <w:adjustRightInd w:val="0"/>
              <w:snapToGrid w:val="0"/>
              <w:spacing w:line="460" w:lineRule="exact"/>
              <w:jc w:val="center"/>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证书编号</w:t>
            </w:r>
          </w:p>
        </w:tc>
      </w:tr>
      <w:tr w14:paraId="24C1E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8251" w:type="dxa"/>
            <w:gridSpan w:val="5"/>
            <w:tcBorders>
              <w:left w:val="single" w:color="000000" w:sz="10" w:space="0"/>
              <w:right w:val="single" w:color="000000" w:sz="10" w:space="0"/>
            </w:tcBorders>
          </w:tcPr>
          <w:p w14:paraId="25BC5B7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一、总部人员</w:t>
            </w:r>
          </w:p>
        </w:tc>
      </w:tr>
      <w:tr w14:paraId="1E5E7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tcBorders>
              <w:left w:val="single" w:color="000000" w:sz="10" w:space="0"/>
            </w:tcBorders>
          </w:tcPr>
          <w:p w14:paraId="53EF27D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项目主管</w:t>
            </w:r>
          </w:p>
        </w:tc>
        <w:tc>
          <w:tcPr>
            <w:tcW w:w="1189" w:type="dxa"/>
          </w:tcPr>
          <w:p w14:paraId="34BC372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31698CC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296884D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31B3C78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85B7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restart"/>
            <w:tcBorders>
              <w:left w:val="single" w:color="000000" w:sz="10" w:space="0"/>
              <w:bottom w:val="nil"/>
            </w:tcBorders>
          </w:tcPr>
          <w:p w14:paraId="2FBBA3D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2662B4F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其他人员</w:t>
            </w:r>
          </w:p>
        </w:tc>
        <w:tc>
          <w:tcPr>
            <w:tcW w:w="1189" w:type="dxa"/>
          </w:tcPr>
          <w:p w14:paraId="0D0CE4B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57C02C8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20F041D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135C9AB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329BD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vMerge w:val="continue"/>
            <w:tcBorders>
              <w:top w:val="nil"/>
              <w:left w:val="single" w:color="000000" w:sz="10" w:space="0"/>
              <w:bottom w:val="nil"/>
            </w:tcBorders>
          </w:tcPr>
          <w:p w14:paraId="4CA4BAE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0AC5A98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2D7FAB9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5C05278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526B979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D187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1583" w:type="dxa"/>
            <w:vMerge w:val="continue"/>
            <w:tcBorders>
              <w:top w:val="nil"/>
              <w:left w:val="single" w:color="000000" w:sz="10" w:space="0"/>
            </w:tcBorders>
          </w:tcPr>
          <w:p w14:paraId="0BF5B6C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61400EE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34F3F0B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527D5BD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3F851B6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860E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8251" w:type="dxa"/>
            <w:gridSpan w:val="5"/>
            <w:tcBorders>
              <w:left w:val="single" w:color="000000" w:sz="10" w:space="0"/>
              <w:right w:val="single" w:color="000000" w:sz="10" w:space="0"/>
            </w:tcBorders>
          </w:tcPr>
          <w:p w14:paraId="72C1F99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二、现场人员</w:t>
            </w:r>
          </w:p>
        </w:tc>
      </w:tr>
      <w:tr w14:paraId="27600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583" w:type="dxa"/>
            <w:tcBorders>
              <w:left w:val="single" w:color="000000" w:sz="10" w:space="0"/>
            </w:tcBorders>
          </w:tcPr>
          <w:p w14:paraId="4DCDAE3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项目经理</w:t>
            </w:r>
          </w:p>
        </w:tc>
        <w:tc>
          <w:tcPr>
            <w:tcW w:w="1189" w:type="dxa"/>
          </w:tcPr>
          <w:p w14:paraId="0E7EB2D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13F7E9C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7DFA6ED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41ED093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357A2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tcBorders>
              <w:left w:val="single" w:color="000000" w:sz="10" w:space="0"/>
            </w:tcBorders>
          </w:tcPr>
          <w:p w14:paraId="7AE336A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技术负责人</w:t>
            </w:r>
          </w:p>
        </w:tc>
        <w:tc>
          <w:tcPr>
            <w:tcW w:w="1189" w:type="dxa"/>
          </w:tcPr>
          <w:p w14:paraId="7EFDBF1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5DA123E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31E4B87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DAAB5A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68D0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tcBorders>
              <w:left w:val="single" w:color="000000" w:sz="10" w:space="0"/>
            </w:tcBorders>
          </w:tcPr>
          <w:p w14:paraId="2BA3AB3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质量管理</w:t>
            </w:r>
          </w:p>
        </w:tc>
        <w:tc>
          <w:tcPr>
            <w:tcW w:w="1189" w:type="dxa"/>
          </w:tcPr>
          <w:p w14:paraId="04FD8F9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78BDC76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462AD0A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647ED9A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3F6B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tcBorders>
              <w:left w:val="single" w:color="000000" w:sz="10" w:space="0"/>
            </w:tcBorders>
          </w:tcPr>
          <w:p w14:paraId="3EFA38B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施工管理</w:t>
            </w:r>
          </w:p>
        </w:tc>
        <w:tc>
          <w:tcPr>
            <w:tcW w:w="1189" w:type="dxa"/>
          </w:tcPr>
          <w:p w14:paraId="525DE4D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669837D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2532919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773204F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20964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tcBorders>
              <w:left w:val="single" w:color="000000" w:sz="10" w:space="0"/>
            </w:tcBorders>
          </w:tcPr>
          <w:p w14:paraId="15F24E3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安全管理</w:t>
            </w:r>
          </w:p>
        </w:tc>
        <w:tc>
          <w:tcPr>
            <w:tcW w:w="1189" w:type="dxa"/>
          </w:tcPr>
          <w:p w14:paraId="7B1266F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66CD04B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2C234AE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3BA1F03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629E2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restart"/>
            <w:tcBorders>
              <w:left w:val="single" w:color="000000" w:sz="10" w:space="0"/>
            </w:tcBorders>
          </w:tcPr>
          <w:p w14:paraId="3EC5E8B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3335592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64094CE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4414FBE1">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7CA888A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r>
              <w:rPr>
                <w:rFonts w:hint="eastAsia" w:cs="仿宋" w:asciiTheme="minorEastAsia" w:hAnsiTheme="minorEastAsia"/>
                <w:snapToGrid w:val="0"/>
                <w:color w:val="auto"/>
                <w:kern w:val="0"/>
                <w:sz w:val="24"/>
                <w:szCs w:val="24"/>
                <w:highlight w:val="none"/>
              </w:rPr>
              <w:t>其他人员</w:t>
            </w:r>
          </w:p>
        </w:tc>
        <w:tc>
          <w:tcPr>
            <w:tcW w:w="1189" w:type="dxa"/>
          </w:tcPr>
          <w:p w14:paraId="3F1D9E4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7900620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0583301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7246F3C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00C0A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583" w:type="dxa"/>
            <w:vMerge w:val="continue"/>
            <w:tcBorders>
              <w:left w:val="single" w:color="000000" w:sz="10" w:space="0"/>
            </w:tcBorders>
          </w:tcPr>
          <w:p w14:paraId="4B02ED0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16ED9DF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33487F0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569178D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3BB083F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2337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5BD300B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0A427C9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3ED8175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7097815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771307F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4FE5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583" w:type="dxa"/>
            <w:vMerge w:val="continue"/>
            <w:tcBorders>
              <w:left w:val="single" w:color="000000" w:sz="10" w:space="0"/>
            </w:tcBorders>
          </w:tcPr>
          <w:p w14:paraId="7877DF1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5BD87FC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727CC68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3229EE9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14105D0">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4806E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05B9F47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64D13188">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4CA4D34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647BAEE3">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05A195BF">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101B5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583" w:type="dxa"/>
            <w:vMerge w:val="continue"/>
            <w:tcBorders>
              <w:left w:val="single" w:color="000000" w:sz="10" w:space="0"/>
            </w:tcBorders>
          </w:tcPr>
          <w:p w14:paraId="5AAD035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1FDBA29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7A000FE2">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70DA2EF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1895A60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07EEC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142BDF7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2EF0B46A">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40C6510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1AAB311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211772E6">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7A72C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1583" w:type="dxa"/>
            <w:vMerge w:val="continue"/>
            <w:tcBorders>
              <w:left w:val="single" w:color="000000" w:sz="10" w:space="0"/>
            </w:tcBorders>
          </w:tcPr>
          <w:p w14:paraId="4046724B">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Pr>
          <w:p w14:paraId="2F692587">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Pr>
          <w:p w14:paraId="20C05B3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Pr>
          <w:p w14:paraId="499E6FFD">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right w:val="single" w:color="000000" w:sz="10" w:space="0"/>
            </w:tcBorders>
          </w:tcPr>
          <w:p w14:paraId="13DEF38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r w14:paraId="56877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583" w:type="dxa"/>
            <w:vMerge w:val="continue"/>
            <w:tcBorders>
              <w:left w:val="single" w:color="000000" w:sz="10" w:space="0"/>
              <w:bottom w:val="single" w:color="000000" w:sz="10" w:space="0"/>
            </w:tcBorders>
          </w:tcPr>
          <w:p w14:paraId="091ACA0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1189" w:type="dxa"/>
            <w:tcBorders>
              <w:bottom w:val="single" w:color="000000" w:sz="10" w:space="0"/>
            </w:tcBorders>
          </w:tcPr>
          <w:p w14:paraId="746A2E95">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49" w:type="dxa"/>
            <w:tcBorders>
              <w:bottom w:val="single" w:color="000000" w:sz="10" w:space="0"/>
            </w:tcBorders>
          </w:tcPr>
          <w:p w14:paraId="4C9F3CF4">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951" w:type="dxa"/>
            <w:tcBorders>
              <w:bottom w:val="single" w:color="000000" w:sz="10" w:space="0"/>
            </w:tcBorders>
          </w:tcPr>
          <w:p w14:paraId="049ABC49">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c>
          <w:tcPr>
            <w:tcW w:w="3579" w:type="dxa"/>
            <w:tcBorders>
              <w:bottom w:val="single" w:color="000000" w:sz="10" w:space="0"/>
              <w:right w:val="single" w:color="000000" w:sz="10" w:space="0"/>
            </w:tcBorders>
          </w:tcPr>
          <w:p w14:paraId="1C64906E">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tc>
      </w:tr>
    </w:tbl>
    <w:p w14:paraId="357F72CC">
      <w:pPr>
        <w:adjustRightInd w:val="0"/>
        <w:snapToGrid w:val="0"/>
        <w:spacing w:line="460" w:lineRule="exact"/>
        <w:textAlignment w:val="baseline"/>
        <w:rPr>
          <w:rFonts w:cs="仿宋" w:asciiTheme="minorEastAsia" w:hAnsiTheme="minorEastAsia"/>
          <w:snapToGrid w:val="0"/>
          <w:color w:val="auto"/>
          <w:kern w:val="0"/>
          <w:sz w:val="24"/>
          <w:szCs w:val="24"/>
          <w:highlight w:val="none"/>
        </w:rPr>
      </w:pPr>
    </w:p>
    <w:p w14:paraId="65EB182A">
      <w:pPr>
        <w:adjustRightInd w:val="0"/>
        <w:snapToGrid w:val="0"/>
        <w:spacing w:line="460" w:lineRule="exact"/>
        <w:textAlignment w:val="baseline"/>
        <w:rPr>
          <w:rFonts w:cs="仿宋" w:asciiTheme="minorEastAsia" w:hAnsiTheme="minorEastAsia"/>
          <w:snapToGrid w:val="0"/>
          <w:color w:val="auto"/>
          <w:kern w:val="0"/>
          <w:sz w:val="24"/>
          <w:szCs w:val="24"/>
          <w:highlight w:val="none"/>
        </w:rPr>
        <w:sectPr>
          <w:headerReference r:id="rId13" w:type="default"/>
          <w:footerReference r:id="rId14" w:type="default"/>
          <w:pgSz w:w="11907" w:h="16841"/>
          <w:pgMar w:top="1440" w:right="1800" w:bottom="1440" w:left="1800" w:header="0" w:footer="850" w:gutter="0"/>
          <w:cols w:space="720" w:num="1"/>
        </w:sectPr>
      </w:pPr>
    </w:p>
    <w:p w14:paraId="0F2D8610">
      <w:pPr>
        <w:pStyle w:val="35"/>
        <w:spacing w:before="0" w:after="0"/>
        <w:rPr>
          <w:rFonts w:asciiTheme="minorEastAsia" w:hAnsiTheme="minorEastAsia" w:cstheme="minorEastAsia"/>
          <w:color w:val="auto"/>
          <w:spacing w:val="0"/>
          <w:sz w:val="36"/>
          <w:highlight w:val="none"/>
        </w:rPr>
      </w:pPr>
    </w:p>
    <w:p w14:paraId="3BA6D11B">
      <w:pPr>
        <w:pStyle w:val="2"/>
        <w:spacing w:line="360" w:lineRule="auto"/>
        <w:ind w:firstLine="2530" w:firstLineChars="700"/>
        <w:rPr>
          <w:rFonts w:asciiTheme="minorEastAsia" w:hAnsiTheme="minorEastAsia" w:cstheme="minorEastAsia"/>
          <w:color w:val="auto"/>
          <w:sz w:val="36"/>
          <w:highlight w:val="none"/>
        </w:rPr>
      </w:pPr>
      <w:bookmarkStart w:id="1230" w:name="_Toc4423"/>
      <w:r>
        <w:rPr>
          <w:rFonts w:hint="eastAsia" w:asciiTheme="minorEastAsia" w:hAnsiTheme="minorEastAsia" w:cstheme="minorEastAsia"/>
          <w:color w:val="auto"/>
          <w:sz w:val="36"/>
          <w:highlight w:val="none"/>
        </w:rPr>
        <w:t xml:space="preserve">第三章  </w:t>
      </w:r>
      <w:bookmarkEnd w:id="194"/>
      <w:bookmarkEnd w:id="195"/>
      <w:bookmarkEnd w:id="196"/>
      <w:bookmarkEnd w:id="197"/>
      <w:r>
        <w:rPr>
          <w:rFonts w:hint="eastAsia" w:asciiTheme="minorEastAsia" w:hAnsiTheme="minorEastAsia" w:cstheme="minorEastAsia"/>
          <w:color w:val="auto"/>
          <w:sz w:val="36"/>
          <w:highlight w:val="none"/>
        </w:rPr>
        <w:t>工程技术标准和要求</w:t>
      </w:r>
      <w:bookmarkEnd w:id="1230"/>
    </w:p>
    <w:p w14:paraId="301BE185">
      <w:pPr>
        <w:rPr>
          <w:rFonts w:asciiTheme="minorEastAsia" w:hAnsiTheme="minorEastAsia" w:cstheme="minorEastAsia"/>
          <w:color w:val="auto"/>
          <w:kern w:val="0"/>
          <w:highlight w:val="none"/>
        </w:rPr>
      </w:pPr>
      <w:bookmarkStart w:id="1231" w:name="_Toc31246"/>
      <w:bookmarkStart w:id="1232" w:name="_Toc29153403"/>
      <w:bookmarkStart w:id="1233" w:name="_Toc243584336"/>
    </w:p>
    <w:bookmarkEnd w:id="1231"/>
    <w:bookmarkEnd w:id="1232"/>
    <w:bookmarkEnd w:id="1233"/>
    <w:p w14:paraId="7878EA29">
      <w:pPr>
        <w:spacing w:line="391" w:lineRule="auto"/>
        <w:ind w:firstLine="480" w:firstLineChars="200"/>
        <w:rPr>
          <w:rFonts w:asciiTheme="minorEastAsia" w:hAnsiTheme="minorEastAsia" w:cstheme="minorEastAsia"/>
          <w:color w:val="auto"/>
          <w:sz w:val="24"/>
          <w:szCs w:val="24"/>
          <w:highlight w:val="none"/>
        </w:rPr>
      </w:pPr>
      <w:bookmarkStart w:id="1234" w:name="_Toc29153404"/>
      <w:bookmarkStart w:id="1235" w:name="_Toc243584337"/>
      <w:bookmarkStart w:id="1236" w:name="_Toc74156277"/>
      <w:r>
        <w:rPr>
          <w:rFonts w:hint="eastAsia" w:asciiTheme="minorEastAsia" w:hAnsiTheme="minorEastAsia" w:cstheme="minorEastAsia"/>
          <w:color w:val="auto"/>
          <w:sz w:val="24"/>
          <w:szCs w:val="24"/>
          <w:highlight w:val="none"/>
        </w:rPr>
        <w:t>本工程执行国家现行的有关的工程建设标准、技术规范及强制性标准条文、以及施工图纸载明的其他有关规范标准。</w:t>
      </w:r>
    </w:p>
    <w:p w14:paraId="752640CB">
      <w:pPr>
        <w:pStyle w:val="35"/>
        <w:spacing w:before="0" w:after="0"/>
        <w:rPr>
          <w:rFonts w:asciiTheme="minorEastAsia" w:hAnsiTheme="minorEastAsia" w:cstheme="minorEastAsia"/>
          <w:color w:val="auto"/>
          <w:spacing w:val="0"/>
          <w:szCs w:val="24"/>
          <w:highlight w:val="none"/>
        </w:rPr>
      </w:pPr>
    </w:p>
    <w:p w14:paraId="7440335F">
      <w:pPr>
        <w:pStyle w:val="35"/>
        <w:spacing w:before="0" w:after="0"/>
        <w:rPr>
          <w:rFonts w:asciiTheme="minorEastAsia" w:hAnsiTheme="minorEastAsia" w:cstheme="minorEastAsia"/>
          <w:color w:val="auto"/>
          <w:spacing w:val="0"/>
          <w:szCs w:val="24"/>
          <w:highlight w:val="none"/>
        </w:rPr>
      </w:pPr>
    </w:p>
    <w:p w14:paraId="1A76F841">
      <w:pPr>
        <w:pStyle w:val="35"/>
        <w:spacing w:before="0" w:after="0"/>
        <w:rPr>
          <w:rFonts w:asciiTheme="minorEastAsia" w:hAnsiTheme="minorEastAsia" w:cstheme="minorEastAsia"/>
          <w:color w:val="auto"/>
          <w:spacing w:val="0"/>
          <w:szCs w:val="24"/>
          <w:highlight w:val="none"/>
        </w:rPr>
      </w:pPr>
    </w:p>
    <w:p w14:paraId="555B931F">
      <w:pPr>
        <w:pStyle w:val="35"/>
        <w:spacing w:before="0" w:after="0"/>
        <w:rPr>
          <w:rFonts w:asciiTheme="minorEastAsia" w:hAnsiTheme="minorEastAsia" w:cstheme="minorEastAsia"/>
          <w:color w:val="auto"/>
          <w:spacing w:val="0"/>
          <w:szCs w:val="24"/>
          <w:highlight w:val="none"/>
        </w:rPr>
      </w:pPr>
    </w:p>
    <w:p w14:paraId="56CDDFB5">
      <w:pPr>
        <w:pStyle w:val="35"/>
        <w:spacing w:before="0" w:after="0"/>
        <w:rPr>
          <w:rFonts w:asciiTheme="minorEastAsia" w:hAnsiTheme="minorEastAsia" w:cstheme="minorEastAsia"/>
          <w:color w:val="auto"/>
          <w:spacing w:val="0"/>
          <w:szCs w:val="24"/>
          <w:highlight w:val="none"/>
        </w:rPr>
      </w:pPr>
    </w:p>
    <w:p w14:paraId="2363E9AE">
      <w:pPr>
        <w:pStyle w:val="35"/>
        <w:spacing w:before="0" w:after="0"/>
        <w:jc w:val="center"/>
        <w:rPr>
          <w:rFonts w:asciiTheme="minorEastAsia" w:hAnsiTheme="minorEastAsia" w:cstheme="minorEastAsia"/>
          <w:color w:val="auto"/>
          <w:spacing w:val="0"/>
          <w:szCs w:val="24"/>
          <w:highlight w:val="none"/>
        </w:rPr>
      </w:pPr>
    </w:p>
    <w:p w14:paraId="1751944F">
      <w:pPr>
        <w:pStyle w:val="2"/>
        <w:spacing w:line="360" w:lineRule="auto"/>
        <w:jc w:val="center"/>
        <w:rPr>
          <w:rFonts w:asciiTheme="minorEastAsia" w:hAnsiTheme="minorEastAsia" w:cstheme="minorEastAsia"/>
          <w:color w:val="auto"/>
          <w:sz w:val="36"/>
          <w:highlight w:val="none"/>
        </w:rPr>
      </w:pPr>
      <w:bookmarkStart w:id="1237" w:name="_Toc28504"/>
      <w:bookmarkStart w:id="1238" w:name="_Toc25169"/>
      <w:r>
        <w:rPr>
          <w:rFonts w:hint="eastAsia" w:asciiTheme="minorEastAsia" w:hAnsiTheme="minorEastAsia" w:cstheme="minorEastAsia"/>
          <w:color w:val="auto"/>
          <w:sz w:val="36"/>
          <w:highlight w:val="none"/>
        </w:rPr>
        <w:t>第四章 图纸</w:t>
      </w:r>
      <w:bookmarkEnd w:id="1237"/>
      <w:bookmarkEnd w:id="1238"/>
    </w:p>
    <w:p w14:paraId="670472E8">
      <w:pPr>
        <w:pStyle w:val="2"/>
        <w:spacing w:line="360" w:lineRule="auto"/>
        <w:ind w:left="2700" w:firstLine="640" w:firstLineChars="200"/>
        <w:rPr>
          <w:rFonts w:asciiTheme="minorEastAsia" w:hAnsiTheme="minorEastAsia" w:cstheme="minorEastAsia"/>
          <w:b w:val="0"/>
          <w:bCs/>
          <w:color w:val="auto"/>
          <w:sz w:val="32"/>
          <w:szCs w:val="21"/>
          <w:highlight w:val="none"/>
        </w:rPr>
      </w:pPr>
      <w:bookmarkStart w:id="1239" w:name="_Toc6657"/>
      <w:bookmarkStart w:id="1240" w:name="_Toc28479"/>
      <w:bookmarkStart w:id="1241" w:name="_Toc97108110"/>
      <w:r>
        <w:rPr>
          <w:rFonts w:hint="eastAsia" w:asciiTheme="minorEastAsia" w:hAnsiTheme="minorEastAsia" w:cstheme="minorEastAsia"/>
          <w:b w:val="0"/>
          <w:bCs/>
          <w:color w:val="auto"/>
          <w:sz w:val="32"/>
          <w:szCs w:val="21"/>
          <w:highlight w:val="none"/>
        </w:rPr>
        <w:t>（另册）</w:t>
      </w:r>
      <w:bookmarkEnd w:id="1239"/>
      <w:bookmarkEnd w:id="1240"/>
      <w:bookmarkEnd w:id="1241"/>
    </w:p>
    <w:p w14:paraId="74C39A56">
      <w:pPr>
        <w:rPr>
          <w:rFonts w:asciiTheme="minorEastAsia" w:hAnsiTheme="minorEastAsia"/>
          <w:color w:val="auto"/>
          <w:highlight w:val="none"/>
        </w:rPr>
      </w:pPr>
    </w:p>
    <w:p w14:paraId="11E3ADA9">
      <w:pPr>
        <w:rPr>
          <w:rFonts w:asciiTheme="minorEastAsia" w:hAnsiTheme="minorEastAsia" w:cstheme="minorEastAsia"/>
          <w:color w:val="auto"/>
          <w:sz w:val="36"/>
          <w:highlight w:val="none"/>
        </w:rPr>
      </w:pPr>
      <w:bookmarkStart w:id="1242" w:name="_Toc243584338"/>
      <w:bookmarkStart w:id="1243" w:name="_Toc16411"/>
    </w:p>
    <w:p w14:paraId="05091DD1">
      <w:pPr>
        <w:rPr>
          <w:rFonts w:asciiTheme="minorEastAsia" w:hAnsiTheme="minorEastAsia" w:cstheme="minorEastAsia"/>
          <w:color w:val="auto"/>
          <w:sz w:val="36"/>
          <w:highlight w:val="none"/>
        </w:rPr>
      </w:pPr>
    </w:p>
    <w:bookmarkEnd w:id="1242"/>
    <w:bookmarkEnd w:id="1243"/>
    <w:p w14:paraId="32665F90">
      <w:pPr>
        <w:rPr>
          <w:rFonts w:asciiTheme="minorEastAsia" w:hAnsiTheme="minorEastAsia" w:cstheme="minorEastAsia"/>
          <w:color w:val="auto"/>
          <w:sz w:val="28"/>
          <w:highlight w:val="none"/>
        </w:rPr>
      </w:pPr>
    </w:p>
    <w:p w14:paraId="3F3567BE">
      <w:pPr>
        <w:rPr>
          <w:rFonts w:asciiTheme="minorEastAsia" w:hAnsiTheme="minorEastAsia" w:cstheme="minorEastAsia"/>
          <w:color w:val="auto"/>
          <w:sz w:val="28"/>
          <w:highlight w:val="none"/>
        </w:rPr>
      </w:pPr>
    </w:p>
    <w:p w14:paraId="3D942D1F">
      <w:pPr>
        <w:pStyle w:val="35"/>
        <w:spacing w:before="0" w:after="0"/>
        <w:rPr>
          <w:rFonts w:asciiTheme="minorEastAsia" w:hAnsiTheme="minorEastAsia" w:cstheme="minorEastAsia"/>
          <w:color w:val="auto"/>
          <w:spacing w:val="0"/>
          <w:sz w:val="28"/>
          <w:highlight w:val="none"/>
        </w:rPr>
      </w:pPr>
    </w:p>
    <w:p w14:paraId="2A480A14">
      <w:pPr>
        <w:pStyle w:val="2"/>
        <w:spacing w:line="360" w:lineRule="auto"/>
        <w:ind w:firstLine="2891" w:firstLineChars="800"/>
        <w:rPr>
          <w:rFonts w:asciiTheme="minorEastAsia" w:hAnsiTheme="minorEastAsia" w:cstheme="minorEastAsia"/>
          <w:color w:val="auto"/>
          <w:sz w:val="36"/>
          <w:highlight w:val="none"/>
        </w:rPr>
      </w:pPr>
      <w:bookmarkStart w:id="1244" w:name="_Toc19454"/>
      <w:r>
        <w:rPr>
          <w:rFonts w:hint="eastAsia" w:asciiTheme="minorEastAsia" w:hAnsiTheme="minorEastAsia" w:cstheme="minorEastAsia"/>
          <w:color w:val="auto"/>
          <w:sz w:val="36"/>
          <w:highlight w:val="none"/>
        </w:rPr>
        <w:t>第五章 工程量清单</w:t>
      </w:r>
      <w:bookmarkEnd w:id="1244"/>
    </w:p>
    <w:p w14:paraId="08F94AA8">
      <w:pPr>
        <w:jc w:val="center"/>
        <w:rPr>
          <w:rFonts w:asciiTheme="minorEastAsia" w:hAnsiTheme="minorEastAsia" w:cstheme="minorEastAsia"/>
          <w:color w:val="auto"/>
          <w:sz w:val="24"/>
          <w:szCs w:val="24"/>
          <w:highlight w:val="none"/>
        </w:rPr>
        <w:sectPr>
          <w:headerReference r:id="rId15" w:type="default"/>
          <w:footerReference r:id="rId16" w:type="default"/>
          <w:pgSz w:w="11910" w:h="16840"/>
          <w:pgMar w:top="1060" w:right="1134" w:bottom="1180" w:left="1134" w:header="870" w:footer="999" w:gutter="0"/>
          <w:cols w:space="720" w:num="1"/>
        </w:sectPr>
      </w:pPr>
      <w:bookmarkStart w:id="1245" w:name="_Toc1133"/>
      <w:r>
        <w:rPr>
          <w:rFonts w:hint="eastAsia" w:asciiTheme="minorEastAsia" w:hAnsiTheme="minorEastAsia" w:cstheme="minorEastAsia"/>
          <w:bCs/>
          <w:color w:val="auto"/>
          <w:sz w:val="32"/>
          <w:szCs w:val="21"/>
          <w:highlight w:val="none"/>
        </w:rPr>
        <w:t>（另册）</w:t>
      </w:r>
      <w:bookmarkEnd w:id="1245"/>
    </w:p>
    <w:bookmarkEnd w:id="1234"/>
    <w:bookmarkEnd w:id="1235"/>
    <w:bookmarkEnd w:id="1236"/>
    <w:p w14:paraId="0961E1A7">
      <w:pPr>
        <w:pStyle w:val="2"/>
        <w:spacing w:line="360" w:lineRule="auto"/>
        <w:jc w:val="center"/>
        <w:rPr>
          <w:rFonts w:asciiTheme="minorEastAsia" w:hAnsiTheme="minorEastAsia" w:cstheme="minorEastAsia"/>
          <w:color w:val="auto"/>
          <w:highlight w:val="none"/>
        </w:rPr>
      </w:pPr>
      <w:bookmarkStart w:id="1246" w:name="_Toc1956"/>
      <w:bookmarkStart w:id="1247" w:name="_Toc255977432"/>
      <w:bookmarkStart w:id="1248" w:name="_Toc247301828"/>
      <w:bookmarkStart w:id="1249" w:name="_Toc247292435"/>
      <w:bookmarkStart w:id="1250" w:name="_Toc24601"/>
      <w:bookmarkStart w:id="1251" w:name="_Toc74156286"/>
      <w:r>
        <w:rPr>
          <w:rFonts w:hint="eastAsia" w:asciiTheme="minorEastAsia" w:hAnsiTheme="minorEastAsia" w:cstheme="minorEastAsia"/>
          <w:color w:val="auto"/>
          <w:sz w:val="36"/>
          <w:highlight w:val="none"/>
        </w:rPr>
        <w:t>第六章  响应文件</w:t>
      </w:r>
      <w:bookmarkEnd w:id="1246"/>
      <w:bookmarkEnd w:id="1247"/>
      <w:bookmarkEnd w:id="1248"/>
      <w:bookmarkEnd w:id="1249"/>
      <w:r>
        <w:rPr>
          <w:rFonts w:hint="eastAsia" w:asciiTheme="minorEastAsia" w:hAnsiTheme="minorEastAsia" w:cstheme="minorEastAsia"/>
          <w:color w:val="auto"/>
          <w:sz w:val="36"/>
          <w:highlight w:val="none"/>
        </w:rPr>
        <w:t>格式</w:t>
      </w:r>
      <w:bookmarkEnd w:id="1250"/>
      <w:bookmarkStart w:id="1252" w:name="_Toc24704"/>
      <w:bookmarkStart w:id="1253" w:name="_Toc18079"/>
      <w:bookmarkStart w:id="1254" w:name="_Toc193089296"/>
      <w:bookmarkStart w:id="1255" w:name="_Toc243630952"/>
      <w:bookmarkStart w:id="1256" w:name="_Toc247292436"/>
      <w:bookmarkStart w:id="1257" w:name="_Toc247301829"/>
      <w:bookmarkStart w:id="1258" w:name="_Toc243584342"/>
      <w:bookmarkStart w:id="1259" w:name="_Toc255977433"/>
    </w:p>
    <w:p w14:paraId="764E3F77">
      <w:pPr>
        <w:pStyle w:val="3"/>
        <w:spacing w:line="360" w:lineRule="auto"/>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一、资格审查</w:t>
      </w:r>
    </w:p>
    <w:p w14:paraId="36D98184">
      <w:pPr>
        <w:pStyle w:val="3"/>
        <w:spacing w:line="360" w:lineRule="auto"/>
        <w:jc w:val="center"/>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封面格式</w:t>
      </w:r>
      <w:bookmarkEnd w:id="1252"/>
      <w:bookmarkEnd w:id="1253"/>
      <w:bookmarkEnd w:id="1254"/>
      <w:bookmarkEnd w:id="1255"/>
      <w:bookmarkEnd w:id="1256"/>
      <w:bookmarkEnd w:id="1257"/>
      <w:bookmarkEnd w:id="1258"/>
      <w:bookmarkEnd w:id="1259"/>
    </w:p>
    <w:tbl>
      <w:tblPr>
        <w:tblStyle w:val="27"/>
        <w:tblW w:w="9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204"/>
      </w:tblGrid>
      <w:tr w14:paraId="338B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85" w:hRule="atLeast"/>
        </w:trPr>
        <w:tc>
          <w:tcPr>
            <w:tcW w:w="9204" w:type="dxa"/>
          </w:tcPr>
          <w:p w14:paraId="6C8C6437">
            <w:pPr>
              <w:adjustRightInd w:val="0"/>
              <w:spacing w:line="360" w:lineRule="auto"/>
              <w:jc w:val="center"/>
              <w:rPr>
                <w:rFonts w:asciiTheme="minorEastAsia" w:hAnsiTheme="minorEastAsia" w:cstheme="minorEastAsia"/>
                <w:b/>
                <w:color w:val="auto"/>
                <w:kern w:val="0"/>
                <w:sz w:val="44"/>
                <w:highlight w:val="none"/>
              </w:rPr>
            </w:pPr>
          </w:p>
          <w:p w14:paraId="1A80CBE5">
            <w:pPr>
              <w:adjustRightInd w:val="0"/>
              <w:spacing w:line="360" w:lineRule="auto"/>
              <w:jc w:val="center"/>
              <w:rPr>
                <w:rFonts w:asciiTheme="minorEastAsia" w:hAnsiTheme="minorEastAsia" w:cstheme="minorEastAsia"/>
                <w:b/>
                <w:color w:val="auto"/>
                <w:kern w:val="0"/>
                <w:sz w:val="44"/>
                <w:highlight w:val="none"/>
              </w:rPr>
            </w:pPr>
          </w:p>
          <w:p w14:paraId="26670467">
            <w:pPr>
              <w:adjustRightInd w:val="0"/>
              <w:spacing w:line="360" w:lineRule="auto"/>
              <w:jc w:val="center"/>
              <w:outlineLvl w:val="0"/>
              <w:rPr>
                <w:rFonts w:asciiTheme="minorEastAsia" w:hAnsiTheme="minorEastAsia" w:cstheme="minorEastAsia"/>
                <w:b/>
                <w:color w:val="auto"/>
                <w:kern w:val="0"/>
                <w:sz w:val="36"/>
                <w:highlight w:val="none"/>
              </w:rPr>
            </w:pPr>
            <w:r>
              <w:rPr>
                <w:rFonts w:hint="eastAsia" w:asciiTheme="minorEastAsia" w:hAnsiTheme="minorEastAsia" w:cstheme="minorEastAsia"/>
                <w:b/>
                <w:color w:val="auto"/>
                <w:kern w:val="0"/>
                <w:sz w:val="36"/>
                <w:highlight w:val="none"/>
                <w:u w:val="single"/>
              </w:rPr>
              <w:t xml:space="preserve">                         </w:t>
            </w:r>
            <w:bookmarkStart w:id="1260" w:name="_Toc243584343"/>
            <w:bookmarkStart w:id="1261" w:name="_Toc17909"/>
            <w:bookmarkStart w:id="1262" w:name="_Toc97108113"/>
            <w:bookmarkStart w:id="1263" w:name="_Toc32316"/>
            <w:r>
              <w:rPr>
                <w:rFonts w:hint="eastAsia" w:asciiTheme="minorEastAsia" w:hAnsiTheme="minorEastAsia" w:cstheme="minorEastAsia"/>
                <w:b/>
                <w:color w:val="auto"/>
                <w:kern w:val="0"/>
                <w:sz w:val="36"/>
                <w:highlight w:val="none"/>
              </w:rPr>
              <w:t>工程</w:t>
            </w:r>
            <w:bookmarkEnd w:id="1260"/>
            <w:bookmarkEnd w:id="1261"/>
            <w:bookmarkEnd w:id="1262"/>
            <w:bookmarkEnd w:id="1263"/>
          </w:p>
          <w:p w14:paraId="79F957DB">
            <w:pPr>
              <w:adjustRightInd w:val="0"/>
              <w:spacing w:line="360" w:lineRule="auto"/>
              <w:jc w:val="center"/>
              <w:rPr>
                <w:rFonts w:asciiTheme="minorEastAsia" w:hAnsiTheme="minorEastAsia" w:cstheme="minorEastAsia"/>
                <w:b/>
                <w:color w:val="auto"/>
                <w:kern w:val="0"/>
                <w:sz w:val="36"/>
                <w:highlight w:val="none"/>
              </w:rPr>
            </w:pPr>
          </w:p>
          <w:p w14:paraId="08C2D921">
            <w:pPr>
              <w:adjustRightInd w:val="0"/>
              <w:spacing w:line="360" w:lineRule="auto"/>
              <w:jc w:val="center"/>
              <w:rPr>
                <w:rFonts w:asciiTheme="minorEastAsia" w:hAnsiTheme="minorEastAsia" w:cstheme="minorEastAsia"/>
                <w:b/>
                <w:color w:val="auto"/>
                <w:kern w:val="0"/>
                <w:sz w:val="24"/>
                <w:highlight w:val="none"/>
              </w:rPr>
            </w:pPr>
          </w:p>
          <w:p w14:paraId="62636378">
            <w:pPr>
              <w:adjustRightInd w:val="0"/>
              <w:spacing w:line="360" w:lineRule="auto"/>
              <w:jc w:val="center"/>
              <w:rPr>
                <w:rFonts w:asciiTheme="minorEastAsia" w:hAnsiTheme="minorEastAsia" w:cstheme="minorEastAsia"/>
                <w:color w:val="auto"/>
                <w:kern w:val="0"/>
                <w:sz w:val="24"/>
                <w:highlight w:val="none"/>
              </w:rPr>
            </w:pPr>
          </w:p>
          <w:p w14:paraId="4D1D313C">
            <w:pPr>
              <w:adjustRightInd w:val="0"/>
              <w:spacing w:line="360" w:lineRule="auto"/>
              <w:jc w:val="center"/>
              <w:rPr>
                <w:rFonts w:asciiTheme="minorEastAsia" w:hAnsiTheme="minorEastAsia" w:cstheme="minorEastAsia"/>
                <w:color w:val="auto"/>
                <w:kern w:val="0"/>
                <w:sz w:val="24"/>
                <w:highlight w:val="none"/>
              </w:rPr>
            </w:pPr>
          </w:p>
          <w:p w14:paraId="35A20A9D">
            <w:pPr>
              <w:adjustRightInd w:val="0"/>
              <w:spacing w:line="360" w:lineRule="auto"/>
              <w:jc w:val="center"/>
              <w:outlineLvl w:val="0"/>
              <w:rPr>
                <w:rFonts w:asciiTheme="minorEastAsia" w:hAnsiTheme="minorEastAsia" w:cstheme="minorEastAsia"/>
                <w:b/>
                <w:color w:val="auto"/>
                <w:kern w:val="0"/>
                <w:sz w:val="72"/>
                <w:highlight w:val="none"/>
              </w:rPr>
            </w:pPr>
            <w:bookmarkStart w:id="1264" w:name="_Toc243584345"/>
            <w:bookmarkStart w:id="1265" w:name="_Toc11271"/>
            <w:bookmarkStart w:id="1266" w:name="_Toc97108114"/>
            <w:bookmarkStart w:id="1267" w:name="_Toc2634"/>
            <w:r>
              <w:rPr>
                <w:rFonts w:hint="eastAsia" w:asciiTheme="minorEastAsia" w:hAnsiTheme="minorEastAsia" w:cstheme="minorEastAsia"/>
                <w:b/>
                <w:color w:val="auto"/>
                <w:kern w:val="0"/>
                <w:sz w:val="72"/>
                <w:highlight w:val="none"/>
              </w:rPr>
              <w:t>响 应 文 件</w:t>
            </w:r>
            <w:bookmarkEnd w:id="1264"/>
            <w:bookmarkEnd w:id="1265"/>
            <w:bookmarkEnd w:id="1266"/>
            <w:bookmarkEnd w:id="1267"/>
          </w:p>
          <w:p w14:paraId="7F771660">
            <w:pPr>
              <w:adjustRightInd w:val="0"/>
              <w:spacing w:line="360" w:lineRule="auto"/>
              <w:rPr>
                <w:rFonts w:asciiTheme="minorEastAsia" w:hAnsiTheme="minorEastAsia" w:cstheme="minorEastAsia"/>
                <w:color w:val="auto"/>
                <w:kern w:val="0"/>
                <w:sz w:val="24"/>
                <w:highlight w:val="none"/>
              </w:rPr>
            </w:pPr>
          </w:p>
          <w:p w14:paraId="225CAC74">
            <w:pPr>
              <w:adjustRightInd w:val="0"/>
              <w:spacing w:line="360" w:lineRule="auto"/>
              <w:rPr>
                <w:rFonts w:asciiTheme="minorEastAsia" w:hAnsiTheme="minorEastAsia" w:cstheme="minorEastAsia"/>
                <w:color w:val="auto"/>
                <w:kern w:val="0"/>
                <w:sz w:val="24"/>
                <w:highlight w:val="none"/>
              </w:rPr>
            </w:pPr>
          </w:p>
          <w:p w14:paraId="1A6E3166">
            <w:pPr>
              <w:adjustRightInd w:val="0"/>
              <w:spacing w:line="360" w:lineRule="auto"/>
              <w:jc w:val="center"/>
              <w:rPr>
                <w:rFonts w:asciiTheme="minorEastAsia" w:hAnsiTheme="minorEastAsia" w:cstheme="minorEastAsia"/>
                <w:color w:val="auto"/>
                <w:kern w:val="0"/>
                <w:sz w:val="24"/>
                <w:highlight w:val="none"/>
              </w:rPr>
            </w:pPr>
          </w:p>
          <w:p w14:paraId="122407A4">
            <w:pPr>
              <w:adjustRightInd w:val="0"/>
              <w:spacing w:line="360" w:lineRule="auto"/>
              <w:ind w:firstLine="560" w:firstLineChars="200"/>
              <w:rPr>
                <w:rFonts w:asciiTheme="minorEastAsia" w:hAnsiTheme="minorEastAsia" w:cstheme="minorEastAsia"/>
                <w:color w:val="auto"/>
                <w:kern w:val="0"/>
                <w:sz w:val="28"/>
                <w:highlight w:val="none"/>
              </w:rPr>
            </w:pPr>
            <w:bookmarkStart w:id="1268" w:name="_Toc243584346"/>
          </w:p>
          <w:p w14:paraId="0E54DB14">
            <w:pPr>
              <w:adjustRightInd w:val="0"/>
              <w:spacing w:line="360" w:lineRule="auto"/>
              <w:ind w:firstLine="560" w:firstLineChars="200"/>
              <w:rPr>
                <w:rFonts w:asciiTheme="minorEastAsia" w:hAnsiTheme="minorEastAsia" w:cstheme="minorEastAsia"/>
                <w:color w:val="auto"/>
                <w:kern w:val="0"/>
                <w:sz w:val="28"/>
                <w:highlight w:val="none"/>
              </w:rPr>
            </w:pPr>
          </w:p>
          <w:p w14:paraId="62A76374">
            <w:pPr>
              <w:adjustRightInd w:val="0"/>
              <w:spacing w:line="360" w:lineRule="auto"/>
              <w:ind w:firstLine="560" w:firstLineChars="200"/>
              <w:rPr>
                <w:rFonts w:asciiTheme="minorEastAsia" w:hAnsiTheme="minorEastAsia" w:cstheme="minorEastAsia"/>
                <w:color w:val="auto"/>
                <w:kern w:val="0"/>
                <w:sz w:val="28"/>
                <w:highlight w:val="none"/>
              </w:rPr>
            </w:pPr>
          </w:p>
          <w:p w14:paraId="1C7B460F">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269" w:name="_Toc97108115"/>
            <w:bookmarkStart w:id="1270" w:name="_Toc1595"/>
            <w:bookmarkStart w:id="1271" w:name="_Toc443"/>
            <w:r>
              <w:rPr>
                <w:rFonts w:hint="eastAsia" w:asciiTheme="minorEastAsia" w:hAnsiTheme="minorEastAsia" w:cstheme="minorEastAsia"/>
                <w:color w:val="auto"/>
                <w:kern w:val="0"/>
                <w:sz w:val="28"/>
                <w:highlight w:val="none"/>
              </w:rPr>
              <w:t>项目名称：</w:t>
            </w:r>
            <w:bookmarkEnd w:id="1268"/>
            <w:bookmarkEnd w:id="1269"/>
            <w:bookmarkEnd w:id="1270"/>
            <w:bookmarkEnd w:id="1271"/>
            <w:r>
              <w:rPr>
                <w:rFonts w:hint="eastAsia" w:asciiTheme="minorEastAsia" w:hAnsiTheme="minorEastAsia" w:cstheme="minorEastAsia"/>
                <w:color w:val="auto"/>
                <w:kern w:val="0"/>
                <w:sz w:val="28"/>
                <w:highlight w:val="none"/>
                <w:u w:val="single"/>
              </w:rPr>
              <w:t xml:space="preserve">                                              </w:t>
            </w:r>
          </w:p>
          <w:p w14:paraId="7BCE7E35">
            <w:pPr>
              <w:adjustRightInd w:val="0"/>
              <w:spacing w:line="360" w:lineRule="auto"/>
              <w:ind w:firstLine="560" w:firstLineChars="200"/>
              <w:outlineLvl w:val="0"/>
              <w:rPr>
                <w:rFonts w:asciiTheme="minorEastAsia" w:hAnsiTheme="minorEastAsia" w:cstheme="minorEastAsia"/>
                <w:color w:val="auto"/>
                <w:kern w:val="0"/>
                <w:sz w:val="28"/>
                <w:highlight w:val="none"/>
              </w:rPr>
            </w:pPr>
            <w:bookmarkStart w:id="1272" w:name="_Toc97108116"/>
            <w:bookmarkStart w:id="1273" w:name="_Toc30601"/>
            <w:bookmarkStart w:id="1274" w:name="_Toc9123"/>
            <w:r>
              <w:rPr>
                <w:rFonts w:hint="eastAsia" w:asciiTheme="minorEastAsia" w:hAnsiTheme="minorEastAsia" w:cstheme="minorEastAsia"/>
                <w:color w:val="auto"/>
                <w:kern w:val="0"/>
                <w:sz w:val="28"/>
                <w:highlight w:val="none"/>
              </w:rPr>
              <w:t>响应文件内容：</w:t>
            </w:r>
            <w:r>
              <w:rPr>
                <w:rFonts w:hint="eastAsia" w:asciiTheme="minorEastAsia" w:hAnsiTheme="minorEastAsia" w:cstheme="minorEastAsia"/>
                <w:color w:val="auto"/>
                <w:kern w:val="0"/>
                <w:sz w:val="28"/>
                <w:highlight w:val="none"/>
                <w:u w:val="single"/>
              </w:rPr>
              <w:t xml:space="preserve">     资格审查部分</w:t>
            </w:r>
            <w:bookmarkEnd w:id="1272"/>
            <w:bookmarkEnd w:id="1273"/>
            <w:bookmarkEnd w:id="1274"/>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 xml:space="preserve">                      </w:t>
            </w:r>
            <w:r>
              <w:rPr>
                <w:rFonts w:hint="eastAsia" w:asciiTheme="minorEastAsia" w:hAnsiTheme="minorEastAsia" w:cstheme="minorEastAsia"/>
                <w:color w:val="auto"/>
                <w:kern w:val="0"/>
                <w:sz w:val="28"/>
                <w:highlight w:val="none"/>
                <w:u w:val="single"/>
              </w:rPr>
              <w:t xml:space="preserve">     </w:t>
            </w:r>
          </w:p>
          <w:p w14:paraId="225C3F17">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275" w:name="_Toc243584347"/>
            <w:bookmarkStart w:id="1276" w:name="_Toc97108117"/>
            <w:bookmarkStart w:id="1277" w:name="_Toc10374"/>
            <w:bookmarkStart w:id="1278" w:name="_Toc29800"/>
            <w:r>
              <w:rPr>
                <w:rFonts w:hint="eastAsia" w:asciiTheme="minorEastAsia" w:hAnsiTheme="minorEastAsia" w:cstheme="minorEastAsia"/>
                <w:color w:val="auto"/>
                <w:kern w:val="0"/>
                <w:sz w:val="28"/>
                <w:highlight w:val="none"/>
              </w:rPr>
              <w:t>供   应  商：</w:t>
            </w:r>
            <w:r>
              <w:rPr>
                <w:rFonts w:hint="eastAsia" w:asciiTheme="minorEastAsia" w:hAnsiTheme="minorEastAsia" w:cstheme="minorEastAsia"/>
                <w:color w:val="auto"/>
                <w:kern w:val="0"/>
                <w:sz w:val="28"/>
                <w:highlight w:val="none"/>
                <w:u w:val="single"/>
              </w:rPr>
              <w:t xml:space="preserve">                                 （盖章）</w:t>
            </w:r>
            <w:bookmarkEnd w:id="1275"/>
            <w:bookmarkEnd w:id="1276"/>
            <w:bookmarkEnd w:id="1277"/>
            <w:bookmarkEnd w:id="1278"/>
            <w:r>
              <w:rPr>
                <w:rFonts w:hint="eastAsia" w:asciiTheme="minorEastAsia" w:hAnsiTheme="minorEastAsia" w:cstheme="minorEastAsia"/>
                <w:color w:val="auto"/>
                <w:kern w:val="0"/>
                <w:sz w:val="28"/>
                <w:highlight w:val="none"/>
                <w:u w:val="single"/>
              </w:rPr>
              <w:t xml:space="preserve">  </w:t>
            </w:r>
          </w:p>
          <w:p w14:paraId="5AEF5BEC">
            <w:pPr>
              <w:adjustRightInd w:val="0"/>
              <w:spacing w:line="360" w:lineRule="auto"/>
              <w:ind w:firstLine="560" w:firstLineChars="200"/>
              <w:outlineLvl w:val="0"/>
              <w:rPr>
                <w:rFonts w:asciiTheme="minorEastAsia" w:hAnsiTheme="minorEastAsia" w:cstheme="minorEastAsia"/>
                <w:color w:val="auto"/>
                <w:kern w:val="0"/>
                <w:sz w:val="28"/>
                <w:highlight w:val="none"/>
              </w:rPr>
            </w:pPr>
            <w:bookmarkStart w:id="1279" w:name="_Toc19168"/>
            <w:bookmarkStart w:id="1280" w:name="_Toc97108118"/>
            <w:bookmarkStart w:id="1281" w:name="_Toc2233"/>
            <w:r>
              <w:rPr>
                <w:rFonts w:hint="eastAsia" w:asciiTheme="minorEastAsia" w:hAnsiTheme="minorEastAsia" w:cstheme="minorEastAsia"/>
                <w:color w:val="auto"/>
                <w:kern w:val="0"/>
                <w:sz w:val="28"/>
                <w:highlight w:val="none"/>
              </w:rPr>
              <w:t>法定代表人或其授权代理人：</w:t>
            </w:r>
            <w:r>
              <w:rPr>
                <w:rFonts w:hint="eastAsia" w:asciiTheme="minorEastAsia" w:hAnsiTheme="minorEastAsia" w:cstheme="minorEastAsia"/>
                <w:color w:val="auto"/>
                <w:kern w:val="0"/>
                <w:sz w:val="28"/>
                <w:highlight w:val="none"/>
                <w:u w:val="single"/>
              </w:rPr>
              <w:t xml:space="preserve">                （签字或盖章）</w:t>
            </w:r>
            <w:bookmarkEnd w:id="1279"/>
            <w:bookmarkEnd w:id="1280"/>
            <w:bookmarkEnd w:id="1281"/>
            <w:r>
              <w:rPr>
                <w:rFonts w:hint="eastAsia" w:asciiTheme="minorEastAsia" w:hAnsiTheme="minorEastAsia" w:cstheme="minorEastAsia"/>
                <w:color w:val="auto"/>
                <w:kern w:val="0"/>
                <w:sz w:val="28"/>
                <w:highlight w:val="none"/>
                <w:u w:val="single"/>
              </w:rPr>
              <w:t xml:space="preserve">  </w:t>
            </w:r>
          </w:p>
          <w:p w14:paraId="6C31C4D1">
            <w:pPr>
              <w:spacing w:line="360" w:lineRule="auto"/>
              <w:ind w:firstLine="560" w:firstLineChars="200"/>
              <w:rPr>
                <w:rFonts w:asciiTheme="minorEastAsia" w:hAnsiTheme="minorEastAsia" w:cstheme="minorEastAsia"/>
                <w:color w:val="auto"/>
                <w:kern w:val="0"/>
                <w:sz w:val="28"/>
                <w:highlight w:val="none"/>
              </w:rPr>
            </w:pPr>
            <w:r>
              <w:rPr>
                <w:rFonts w:hint="eastAsia" w:asciiTheme="minorEastAsia" w:hAnsiTheme="minorEastAsia" w:cstheme="minorEastAsia"/>
                <w:color w:val="auto"/>
                <w:kern w:val="0"/>
                <w:sz w:val="28"/>
                <w:highlight w:val="none"/>
              </w:rPr>
              <w:t>日    期：</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年</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月</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日</w:t>
            </w:r>
          </w:p>
        </w:tc>
      </w:tr>
    </w:tbl>
    <w:p w14:paraId="7E1437FF">
      <w:pPr>
        <w:spacing w:line="360" w:lineRule="auto"/>
        <w:rPr>
          <w:rFonts w:asciiTheme="minorEastAsia" w:hAnsiTheme="minorEastAsia" w:cstheme="minorEastAsia"/>
          <w:color w:val="auto"/>
          <w:highlight w:val="none"/>
        </w:rPr>
        <w:sectPr>
          <w:pgSz w:w="11906" w:h="16838"/>
          <w:pgMar w:top="1134" w:right="1134" w:bottom="1134" w:left="1134" w:header="567" w:footer="680" w:gutter="0"/>
          <w:cols w:space="720" w:num="1"/>
          <w:docGrid w:type="lines" w:linePitch="312" w:charSpace="0"/>
        </w:sectPr>
      </w:pPr>
    </w:p>
    <w:p w14:paraId="367A7E3F">
      <w:pPr>
        <w:pStyle w:val="4"/>
        <w:spacing w:line="360" w:lineRule="auto"/>
        <w:jc w:val="center"/>
        <w:rPr>
          <w:rFonts w:asciiTheme="minorEastAsia" w:hAnsiTheme="minorEastAsia" w:eastAsiaTheme="minorEastAsia" w:cstheme="minorEastAsia"/>
          <w:color w:val="auto"/>
          <w:kern w:val="0"/>
          <w:szCs w:val="28"/>
          <w:highlight w:val="none"/>
        </w:rPr>
      </w:pPr>
      <w:bookmarkStart w:id="1282" w:name="_Toc255977434"/>
      <w:bookmarkStart w:id="1283" w:name="_Toc28851"/>
      <w:bookmarkStart w:id="1284" w:name="_Toc247301830"/>
      <w:bookmarkStart w:id="1285" w:name="_Toc247292437"/>
      <w:bookmarkStart w:id="1286" w:name="_Toc24146"/>
      <w:bookmarkStart w:id="1287" w:name="_Toc72971852"/>
      <w:bookmarkStart w:id="1288" w:name="_Toc78274652"/>
      <w:r>
        <w:rPr>
          <w:rFonts w:hint="eastAsia" w:asciiTheme="minorEastAsia" w:hAnsiTheme="minorEastAsia" w:eastAsiaTheme="minorEastAsia" w:cstheme="minorEastAsia"/>
          <w:color w:val="auto"/>
          <w:kern w:val="0"/>
          <w:szCs w:val="28"/>
          <w:highlight w:val="none"/>
        </w:rPr>
        <w:t>资格审查部分目录</w:t>
      </w:r>
      <w:bookmarkEnd w:id="1282"/>
      <w:bookmarkEnd w:id="1283"/>
      <w:bookmarkEnd w:id="1284"/>
      <w:bookmarkEnd w:id="1285"/>
      <w:bookmarkEnd w:id="1286"/>
      <w:bookmarkStart w:id="1289" w:name="_Toc243630956"/>
      <w:bookmarkStart w:id="1290" w:name="_Toc247292439"/>
      <w:bookmarkStart w:id="1291" w:name="_Toc28747"/>
      <w:bookmarkStart w:id="1292" w:name="_Toc247301832"/>
      <w:bookmarkStart w:id="1293" w:name="_Toc2"/>
      <w:bookmarkStart w:id="1294" w:name="_Toc255977436"/>
      <w:bookmarkStart w:id="1295" w:name="_Toc243584352"/>
      <w:bookmarkStart w:id="1296" w:name="_Toc163270989"/>
      <w:bookmarkStart w:id="1297" w:name="_Toc158458008"/>
      <w:bookmarkStart w:id="1298" w:name="_Toc173558684"/>
      <w:bookmarkStart w:id="1299" w:name="_Toc247292448"/>
      <w:bookmarkStart w:id="1300" w:name="_Toc243584363"/>
      <w:bookmarkStart w:id="1301" w:name="_Toc255977446"/>
      <w:bookmarkStart w:id="1302" w:name="_Toc243630963"/>
      <w:bookmarkStart w:id="1303" w:name="_Toc247301841"/>
    </w:p>
    <w:p w14:paraId="0BE3E076">
      <w:pPr>
        <w:jc w:val="center"/>
        <w:rPr>
          <w:rFonts w:asciiTheme="minorEastAsia" w:hAnsiTheme="minorEastAsia" w:cstheme="minorEastAsia"/>
          <w:color w:val="auto"/>
          <w:kern w:val="0"/>
          <w:sz w:val="24"/>
          <w:szCs w:val="36"/>
          <w:highlight w:val="none"/>
        </w:rPr>
      </w:pPr>
      <w:r>
        <w:rPr>
          <w:rFonts w:hint="eastAsia" w:asciiTheme="minorEastAsia" w:hAnsiTheme="minorEastAsia" w:cstheme="minorEastAsia"/>
          <w:color w:val="auto"/>
          <w:kern w:val="0"/>
          <w:sz w:val="24"/>
          <w:szCs w:val="36"/>
          <w:highlight w:val="none"/>
        </w:rPr>
        <w:t>（应附有页码）</w:t>
      </w:r>
    </w:p>
    <w:p w14:paraId="3F5C0A8F">
      <w:pPr>
        <w:jc w:val="center"/>
        <w:rPr>
          <w:rFonts w:asciiTheme="minorEastAsia" w:hAnsiTheme="minorEastAsia" w:cstheme="minorEastAsia"/>
          <w:color w:val="auto"/>
          <w:kern w:val="0"/>
          <w:sz w:val="24"/>
          <w:szCs w:val="36"/>
          <w:highlight w:val="none"/>
        </w:rPr>
      </w:pPr>
    </w:p>
    <w:p w14:paraId="050FFC3B">
      <w:pPr>
        <w:spacing w:line="312" w:lineRule="auto"/>
        <w:ind w:firstLine="480" w:firstLineChars="200"/>
        <w:rPr>
          <w:rFonts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（1）法定代表人资格证明书；</w:t>
      </w:r>
      <w:r>
        <w:rPr>
          <w:rFonts w:hint="eastAsia" w:asciiTheme="minorEastAsia" w:hAnsiTheme="minorEastAsia" w:cstheme="minorEastAsia"/>
          <w:b/>
          <w:bCs/>
          <w:color w:val="auto"/>
          <w:sz w:val="24"/>
          <w:szCs w:val="24"/>
          <w:highlight w:val="none"/>
        </w:rPr>
        <w:t>（必须提供）</w:t>
      </w:r>
    </w:p>
    <w:p w14:paraId="3BAACCDD">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（2）法定代表人授权书原件及授权代理人身份证复印件（如无授权时则不需提供，复印件加盖供应商的电子签章）；</w:t>
      </w:r>
    </w:p>
    <w:p w14:paraId="60C02B2A">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（3）有效的企业营业执照副本复印件；</w:t>
      </w:r>
      <w:r>
        <w:rPr>
          <w:rFonts w:hint="eastAsia" w:asciiTheme="minorEastAsia" w:hAnsiTheme="minorEastAsia" w:cstheme="minorEastAsia"/>
          <w:b/>
          <w:bCs/>
          <w:color w:val="auto"/>
          <w:sz w:val="24"/>
          <w:szCs w:val="24"/>
          <w:highlight w:val="none"/>
        </w:rPr>
        <w:t>（必须提供并加盖供应商的电子签章）</w:t>
      </w:r>
    </w:p>
    <w:p w14:paraId="3F9C89AD">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（4）有效的安全生产许可证副本复印件；</w:t>
      </w:r>
      <w:r>
        <w:rPr>
          <w:rFonts w:hint="eastAsia" w:asciiTheme="minorEastAsia" w:hAnsiTheme="minorEastAsia" w:cstheme="minorEastAsia"/>
          <w:b/>
          <w:bCs/>
          <w:color w:val="auto"/>
          <w:sz w:val="24"/>
          <w:szCs w:val="24"/>
          <w:highlight w:val="none"/>
        </w:rPr>
        <w:t>（必须提供并加盖供应商的电子签章）</w:t>
      </w:r>
    </w:p>
    <w:p w14:paraId="293E4248">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（5）有效的企业资质证书副本复印件；</w:t>
      </w:r>
      <w:r>
        <w:rPr>
          <w:rFonts w:hint="eastAsia" w:asciiTheme="minorEastAsia" w:hAnsiTheme="minorEastAsia" w:cstheme="minorEastAsia"/>
          <w:b/>
          <w:bCs/>
          <w:color w:val="auto"/>
          <w:sz w:val="24"/>
          <w:szCs w:val="24"/>
          <w:highlight w:val="none"/>
        </w:rPr>
        <w:t>（必须提供并加盖供应商的电子签章）</w:t>
      </w:r>
    </w:p>
    <w:p w14:paraId="025EA8E9">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（6）拟投入本项目的项目经理有效的注册建造师资质证书复印件；</w:t>
      </w:r>
      <w:r>
        <w:rPr>
          <w:rFonts w:hint="eastAsia" w:asciiTheme="minorEastAsia" w:hAnsiTheme="minorEastAsia" w:cstheme="minorEastAsia"/>
          <w:b/>
          <w:bCs/>
          <w:color w:val="auto"/>
          <w:sz w:val="24"/>
          <w:szCs w:val="24"/>
          <w:highlight w:val="none"/>
        </w:rPr>
        <w:t>（必须提供并加盖供应商的电子签章）</w:t>
      </w:r>
    </w:p>
    <w:p w14:paraId="27E35019">
      <w:pPr>
        <w:pStyle w:val="15"/>
        <w:spacing w:line="312" w:lineRule="auto"/>
        <w:ind w:firstLine="544" w:firstLineChars="227"/>
        <w:rPr>
          <w:rFonts w:cs="宋体"/>
          <w:color w:val="auto"/>
          <w:sz w:val="24"/>
          <w:szCs w:val="24"/>
          <w:highlight w:val="none"/>
        </w:rPr>
      </w:pPr>
      <w:r>
        <w:rPr>
          <w:rFonts w:hint="eastAsia" w:cs="宋体"/>
          <w:color w:val="auto"/>
          <w:sz w:val="24"/>
          <w:szCs w:val="24"/>
          <w:highlight w:val="none"/>
        </w:rPr>
        <w:t>（7）</w:t>
      </w:r>
      <w:r>
        <w:rPr>
          <w:rFonts w:hint="eastAsia"/>
          <w:color w:val="auto"/>
          <w:sz w:val="24"/>
          <w:szCs w:val="24"/>
          <w:highlight w:val="none"/>
        </w:rPr>
        <w:t>响应文件递交截止之日前半年内任意三个月</w:t>
      </w:r>
      <w:r>
        <w:rPr>
          <w:rFonts w:hint="eastAsia"/>
          <w:bCs/>
          <w:color w:val="auto"/>
          <w:sz w:val="24"/>
          <w:szCs w:val="24"/>
          <w:highlight w:val="none"/>
        </w:rPr>
        <w:t>的依法缴纳税费或依法免缴税费的证明[复印件，格式自拟，必须提供]；无纳税记录的，应提供由磋商供应商所在地主管国税、地税部门出具的《依法纳税或依法免税证明》复印件，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从取得营业执照时间起到响应文件提交截止时间为止不足要求月数的，只需提供从取得营业执照起的依法缴纳税收相应证明文件</w:t>
      </w:r>
      <w:r>
        <w:rPr>
          <w:rFonts w:hint="eastAsia"/>
          <w:b/>
          <w:color w:val="auto"/>
          <w:sz w:val="24"/>
          <w:highlight w:val="none"/>
        </w:rPr>
        <w:t>，必须提供并加盖供应商的电子签章）</w:t>
      </w:r>
      <w:r>
        <w:rPr>
          <w:rFonts w:hint="eastAsia"/>
          <w:b/>
          <w:color w:val="auto"/>
          <w:sz w:val="24"/>
          <w:szCs w:val="24"/>
          <w:highlight w:val="none"/>
        </w:rPr>
        <w:t>；</w:t>
      </w:r>
    </w:p>
    <w:p w14:paraId="528FB8C3">
      <w:pPr>
        <w:pStyle w:val="15"/>
        <w:spacing w:line="312" w:lineRule="auto"/>
        <w:ind w:firstLine="544" w:firstLineChars="227"/>
        <w:rPr>
          <w:rFonts w:cs="宋体"/>
          <w:color w:val="auto"/>
          <w:sz w:val="24"/>
          <w:szCs w:val="24"/>
          <w:highlight w:val="none"/>
        </w:rPr>
      </w:pPr>
      <w:r>
        <w:rPr>
          <w:rFonts w:hint="eastAsia" w:cs="宋体"/>
          <w:color w:val="auto"/>
          <w:sz w:val="24"/>
          <w:szCs w:val="24"/>
          <w:highlight w:val="none"/>
        </w:rPr>
        <w:t>（8）</w:t>
      </w:r>
      <w:r>
        <w:rPr>
          <w:rFonts w:hint="eastAsia"/>
          <w:color w:val="auto"/>
          <w:sz w:val="24"/>
          <w:highlight w:val="none"/>
        </w:rPr>
        <w:t>响应文件递交截止之日前半年内任意三个月</w:t>
      </w:r>
      <w:r>
        <w:rPr>
          <w:rFonts w:hint="eastAsia"/>
          <w:bCs/>
          <w:color w:val="auto"/>
          <w:sz w:val="24"/>
          <w:highlight w:val="none"/>
        </w:rPr>
        <w:t>依法缴纳社保费的缴费凭证（复印件，格式自拟）[必须提供]；无缴费记录的，应提供由磋商供应商所在地社保部门出具的《依法缴纳或依法免缴社保费证明》复印件，</w:t>
      </w:r>
      <w:r>
        <w:rPr>
          <w:rFonts w:hint="eastAsia"/>
          <w:b/>
          <w:color w:val="auto"/>
          <w:sz w:val="24"/>
          <w:highlight w:val="none"/>
        </w:rPr>
        <w:t>（</w:t>
      </w:r>
      <w:r>
        <w:rPr>
          <w:rFonts w:hint="eastAsia" w:cs="宋体"/>
          <w:b/>
          <w:color w:val="auto"/>
          <w:sz w:val="24"/>
          <w:highlight w:val="none"/>
        </w:rPr>
        <w:t>从取得营业执照时间起到响应文件提交截止时间为止不足要求月数的只需提供从取得营业执照起的依法缴纳社会保障资金的相应证明文件</w:t>
      </w:r>
      <w:r>
        <w:rPr>
          <w:rFonts w:hint="eastAsia"/>
          <w:b/>
          <w:color w:val="auto"/>
          <w:sz w:val="24"/>
          <w:highlight w:val="none"/>
        </w:rPr>
        <w:t>，必须提供并加盖供应商的电子签章）；</w:t>
      </w:r>
    </w:p>
    <w:p w14:paraId="54B9E345">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（9）</w:t>
      </w:r>
      <w:r>
        <w:rPr>
          <w:rFonts w:hint="eastAsia"/>
          <w:color w:val="auto"/>
          <w:sz w:val="24"/>
          <w:highlight w:val="none"/>
        </w:rPr>
        <w:t>供应商202</w:t>
      </w:r>
      <w:r>
        <w:rPr>
          <w:rFonts w:hint="eastAsia"/>
          <w:color w:val="auto"/>
          <w:sz w:val="24"/>
          <w:highlight w:val="none"/>
          <w:lang w:val="en-US" w:eastAsia="zh-CN"/>
        </w:rPr>
        <w:t>5</w:t>
      </w:r>
      <w:r>
        <w:rPr>
          <w:rFonts w:hint="eastAsia"/>
          <w:color w:val="auto"/>
          <w:sz w:val="24"/>
          <w:highlight w:val="none"/>
        </w:rPr>
        <w:t>年的年度财务报告复印件，如财务报告未经相关审计单位审计的须同时由供应商出具财务报表承诺书，承诺该财务报表数据真实可靠；新成立的企业则</w:t>
      </w:r>
      <w:r>
        <w:rPr>
          <w:rFonts w:hint="eastAsia" w:cs="宋体"/>
          <w:color w:val="auto"/>
          <w:sz w:val="24"/>
          <w:highlight w:val="none"/>
        </w:rPr>
        <w:t>提供公司成立时间以来的财务报表</w:t>
      </w:r>
      <w:r>
        <w:rPr>
          <w:rFonts w:hint="eastAsia"/>
          <w:color w:val="auto"/>
          <w:sz w:val="24"/>
          <w:highlight w:val="none"/>
        </w:rPr>
        <w:t>，同时由供应商出具财务报表承诺书，承诺该财务报表数据真实可靠（格式自拟）</w:t>
      </w:r>
      <w:r>
        <w:rPr>
          <w:rFonts w:hint="eastAsia"/>
          <w:b/>
          <w:color w:val="auto"/>
          <w:sz w:val="24"/>
          <w:highlight w:val="none"/>
        </w:rPr>
        <w:t>（必须提供并加盖供应商的电子签章）</w:t>
      </w:r>
    </w:p>
    <w:p w14:paraId="28C4B7EC">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（10）政府采购项目投标资格承诺函；</w:t>
      </w:r>
      <w:r>
        <w:rPr>
          <w:rFonts w:hint="eastAsia" w:asciiTheme="minorEastAsia" w:hAnsiTheme="minorEastAsia" w:cstheme="minorEastAsia"/>
          <w:b/>
          <w:bCs/>
          <w:color w:val="auto"/>
          <w:sz w:val="24"/>
          <w:szCs w:val="24"/>
          <w:highlight w:val="none"/>
        </w:rPr>
        <w:t>（必须提供）</w:t>
      </w:r>
    </w:p>
    <w:p w14:paraId="70AB97B8">
      <w:pPr>
        <w:spacing w:line="312" w:lineRule="auto"/>
        <w:ind w:firstLine="480" w:firstLineChars="200"/>
        <w:rPr>
          <w:rFonts w:asciiTheme="minorEastAsia" w:hAnsiTheme="minorEastAsia" w:cstheme="minorEastAsia"/>
          <w:b/>
          <w:bCs/>
          <w:color w:val="auto"/>
          <w:sz w:val="24"/>
          <w:szCs w:val="24"/>
          <w:highlight w:val="none"/>
        </w:rPr>
      </w:pPr>
      <w:r>
        <w:rPr>
          <w:rFonts w:hint="eastAsia" w:asciiTheme="minorEastAsia" w:hAnsiTheme="minorEastAsia" w:cstheme="minorEastAsia"/>
          <w:color w:val="auto"/>
          <w:sz w:val="24"/>
          <w:szCs w:val="24"/>
          <w:highlight w:val="none"/>
        </w:rPr>
        <w:t>（11）供应商参加政府采购活动前三年内在经营活动中没有重大违法记录和不良信用记录的书面声明原件；（供应商可在“信用中国”网站（www.creditchina.gov.cn）、中国政府采购网（www.ccgp.gov.cn）查询相关供应商主体信用记录，同时将查询结果截图加盖单位公章与上述书面声明一并提交）；</w:t>
      </w:r>
      <w:r>
        <w:rPr>
          <w:rFonts w:hint="eastAsia" w:asciiTheme="minorEastAsia" w:hAnsiTheme="minorEastAsia" w:cstheme="minorEastAsia"/>
          <w:b/>
          <w:bCs/>
          <w:color w:val="auto"/>
          <w:sz w:val="24"/>
          <w:szCs w:val="24"/>
          <w:highlight w:val="none"/>
        </w:rPr>
        <w:t>（必须提供）</w:t>
      </w:r>
    </w:p>
    <w:p w14:paraId="217B44B3">
      <w:pPr>
        <w:spacing w:line="312" w:lineRule="auto"/>
        <w:ind w:firstLine="480" w:firstLineChars="200"/>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（12）</w:t>
      </w:r>
      <w:r>
        <w:rPr>
          <w:rFonts w:hint="eastAsia" w:asciiTheme="minorEastAsia" w:hAnsiTheme="minorEastAsia" w:cstheme="minorEastAsia"/>
          <w:color w:val="auto"/>
          <w:sz w:val="24"/>
          <w:szCs w:val="24"/>
          <w:highlight w:val="none"/>
          <w:lang w:val="en-US" w:eastAsia="zh-CN"/>
        </w:rPr>
        <w:t>中小企业声明函</w:t>
      </w:r>
      <w:r>
        <w:rPr>
          <w:rFonts w:hint="eastAsia" w:asciiTheme="minorEastAsia" w:hAnsiTheme="minorEastAsia" w:cstheme="minorEastAsia"/>
          <w:color w:val="auto"/>
          <w:sz w:val="24"/>
          <w:szCs w:val="24"/>
          <w:highlight w:val="none"/>
        </w:rPr>
        <w:t>。（</w:t>
      </w:r>
      <w:r>
        <w:rPr>
          <w:rFonts w:hint="eastAsia"/>
          <w:b/>
          <w:color w:val="auto"/>
          <w:sz w:val="24"/>
          <w:highlight w:val="none"/>
        </w:rPr>
        <w:t>必须提供并加盖供应商的电子签章</w:t>
      </w:r>
      <w:r>
        <w:rPr>
          <w:rFonts w:hint="eastAsia" w:asciiTheme="minorEastAsia" w:hAnsiTheme="minorEastAsia" w:cstheme="minorEastAsia"/>
          <w:color w:val="auto"/>
          <w:sz w:val="24"/>
          <w:szCs w:val="24"/>
          <w:highlight w:val="none"/>
        </w:rPr>
        <w:t>）</w:t>
      </w:r>
    </w:p>
    <w:p w14:paraId="4520B02E">
      <w:pPr>
        <w:rPr>
          <w:rFonts w:asciiTheme="minorEastAsia" w:hAnsiTheme="minorEastAsia"/>
          <w:color w:val="auto"/>
          <w:highlight w:val="none"/>
        </w:rPr>
        <w:sectPr>
          <w:pgSz w:w="11910" w:h="16840"/>
          <w:pgMar w:top="1417" w:right="1191" w:bottom="1134" w:left="1304" w:header="870" w:footer="999" w:gutter="0"/>
          <w:cols w:space="720" w:num="1"/>
        </w:sectPr>
      </w:pPr>
      <w:r>
        <w:rPr>
          <w:rFonts w:hint="eastAsia" w:asciiTheme="minorEastAsia" w:hAnsiTheme="minorEastAsia"/>
          <w:color w:val="auto"/>
          <w:highlight w:val="none"/>
        </w:rPr>
        <w:t xml:space="preserve"> </w:t>
      </w:r>
    </w:p>
    <w:p w14:paraId="74BD002D">
      <w:pPr>
        <w:pStyle w:val="4"/>
        <w:spacing w:line="360" w:lineRule="auto"/>
        <w:jc w:val="center"/>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一、法定代表人资格证明书</w:t>
      </w:r>
      <w:bookmarkEnd w:id="1289"/>
      <w:bookmarkEnd w:id="1290"/>
      <w:bookmarkEnd w:id="1291"/>
      <w:bookmarkEnd w:id="1292"/>
      <w:bookmarkEnd w:id="1293"/>
      <w:bookmarkEnd w:id="1294"/>
      <w:bookmarkEnd w:id="1295"/>
    </w:p>
    <w:p w14:paraId="3338709C">
      <w:pPr>
        <w:adjustRightInd w:val="0"/>
        <w:spacing w:line="480" w:lineRule="auto"/>
        <w:ind w:firstLine="480" w:firstLineChars="2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单位名称：</w:t>
      </w:r>
      <w:r>
        <w:rPr>
          <w:rFonts w:hint="eastAsia" w:asciiTheme="minorEastAsia" w:hAnsiTheme="minorEastAsia" w:cstheme="minorEastAsia"/>
          <w:color w:val="auto"/>
          <w:kern w:val="0"/>
          <w:sz w:val="24"/>
          <w:highlight w:val="none"/>
          <w:u w:val="single"/>
        </w:rPr>
        <w:t xml:space="preserve">                                   </w:t>
      </w:r>
    </w:p>
    <w:p w14:paraId="1B1481E8">
      <w:pPr>
        <w:adjustRightInd w:val="0"/>
        <w:spacing w:line="48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单位性质：</w:t>
      </w:r>
      <w:r>
        <w:rPr>
          <w:rFonts w:hint="eastAsia" w:asciiTheme="minorEastAsia" w:hAnsiTheme="minorEastAsia" w:cstheme="minorEastAsia"/>
          <w:color w:val="auto"/>
          <w:kern w:val="0"/>
          <w:sz w:val="24"/>
          <w:highlight w:val="none"/>
          <w:u w:val="single"/>
        </w:rPr>
        <w:t xml:space="preserve">                                   </w:t>
      </w:r>
    </w:p>
    <w:p w14:paraId="5727EB83">
      <w:pPr>
        <w:adjustRightInd w:val="0"/>
        <w:spacing w:line="480" w:lineRule="auto"/>
        <w:ind w:firstLine="480" w:firstLineChars="2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地    址：</w:t>
      </w:r>
      <w:r>
        <w:rPr>
          <w:rFonts w:hint="eastAsia" w:asciiTheme="minorEastAsia" w:hAnsiTheme="minorEastAsia" w:cstheme="minorEastAsia"/>
          <w:color w:val="auto"/>
          <w:kern w:val="0"/>
          <w:sz w:val="24"/>
          <w:highlight w:val="none"/>
          <w:u w:val="single"/>
        </w:rPr>
        <w:t xml:space="preserve">                                   </w:t>
      </w:r>
    </w:p>
    <w:p w14:paraId="2FF02125">
      <w:pPr>
        <w:adjustRightInd w:val="0"/>
        <w:spacing w:line="48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成立时间：</w:t>
      </w:r>
      <w:r>
        <w:rPr>
          <w:rFonts w:hint="eastAsia" w:asciiTheme="minorEastAsia" w:hAnsiTheme="minorEastAsia" w:cstheme="minorEastAsia"/>
          <w:color w:val="auto"/>
          <w:kern w:val="0"/>
          <w:sz w:val="24"/>
          <w:highlight w:val="none"/>
          <w:u w:val="single"/>
        </w:rPr>
        <w:t xml:space="preserve">                                   </w:t>
      </w:r>
    </w:p>
    <w:p w14:paraId="79FA8AA6">
      <w:pPr>
        <w:adjustRightInd w:val="0"/>
        <w:spacing w:line="48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经营期限：</w:t>
      </w:r>
      <w:r>
        <w:rPr>
          <w:rFonts w:hint="eastAsia" w:asciiTheme="minorEastAsia" w:hAnsiTheme="minorEastAsia" w:cstheme="minorEastAsia"/>
          <w:color w:val="auto"/>
          <w:kern w:val="0"/>
          <w:sz w:val="24"/>
          <w:highlight w:val="none"/>
          <w:u w:val="single"/>
        </w:rPr>
        <w:t xml:space="preserve">                                   </w:t>
      </w:r>
    </w:p>
    <w:p w14:paraId="5EAF4D08">
      <w:pPr>
        <w:adjustRightInd w:val="0"/>
        <w:spacing w:line="48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姓    名：</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性别：</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年龄：</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职务：</w:t>
      </w:r>
      <w:r>
        <w:rPr>
          <w:rFonts w:hint="eastAsia" w:asciiTheme="minorEastAsia" w:hAnsiTheme="minorEastAsia" w:cstheme="minorEastAsia"/>
          <w:color w:val="auto"/>
          <w:kern w:val="0"/>
          <w:sz w:val="24"/>
          <w:highlight w:val="none"/>
          <w:u w:val="single"/>
        </w:rPr>
        <w:t xml:space="preserve">           </w:t>
      </w:r>
    </w:p>
    <w:p w14:paraId="3D1C0FAC">
      <w:pPr>
        <w:adjustRightInd w:val="0"/>
        <w:spacing w:line="48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系</w:t>
      </w:r>
      <w:r>
        <w:rPr>
          <w:rFonts w:hint="eastAsia" w:asciiTheme="minorEastAsia" w:hAnsiTheme="minorEastAsia" w:cstheme="minorEastAsia"/>
          <w:color w:val="auto"/>
          <w:kern w:val="0"/>
          <w:sz w:val="24"/>
          <w:highlight w:val="none"/>
          <w:u w:val="single"/>
        </w:rPr>
        <w:t xml:space="preserve">          （供应商名称）        </w:t>
      </w:r>
      <w:r>
        <w:rPr>
          <w:rFonts w:hint="eastAsia" w:asciiTheme="minorEastAsia" w:hAnsiTheme="minorEastAsia" w:cstheme="minorEastAsia"/>
          <w:color w:val="auto"/>
          <w:kern w:val="0"/>
          <w:sz w:val="24"/>
          <w:highlight w:val="none"/>
        </w:rPr>
        <w:t>的法定代表人。</w:t>
      </w:r>
    </w:p>
    <w:p w14:paraId="1A9C230A">
      <w:pPr>
        <w:adjustRightInd w:val="0"/>
        <w:spacing w:line="48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p>
    <w:p w14:paraId="2C83CBC5">
      <w:pPr>
        <w:adjustRightInd w:val="0"/>
        <w:spacing w:line="48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特此证明。</w:t>
      </w:r>
    </w:p>
    <w:p w14:paraId="32E353B1">
      <w:pPr>
        <w:adjustRightInd w:val="0"/>
        <w:spacing w:line="360" w:lineRule="auto"/>
        <w:rPr>
          <w:rFonts w:asciiTheme="minorEastAsia" w:hAnsiTheme="minorEastAsia" w:cstheme="minorEastAsia"/>
          <w:color w:val="auto"/>
          <w:kern w:val="0"/>
          <w:sz w:val="24"/>
          <w:highlight w:val="none"/>
        </w:rPr>
      </w:pPr>
    </w:p>
    <w:p w14:paraId="4DD01CD7">
      <w:pPr>
        <w:adjustRightInd w:val="0"/>
        <w:spacing w:line="360" w:lineRule="auto"/>
        <w:rPr>
          <w:rFonts w:asciiTheme="minorEastAsia" w:hAnsiTheme="minorEastAsia" w:cstheme="minorEastAsia"/>
          <w:color w:val="auto"/>
          <w:kern w:val="0"/>
          <w:sz w:val="24"/>
          <w:highlight w:val="none"/>
        </w:rPr>
      </w:pPr>
    </w:p>
    <w:p w14:paraId="0DB47A38">
      <w:pPr>
        <w:adjustRightInd w:val="0"/>
        <w:spacing w:line="360" w:lineRule="auto"/>
        <w:rPr>
          <w:rFonts w:asciiTheme="minorEastAsia" w:hAnsiTheme="minorEastAsia" w:cstheme="minorEastAsia"/>
          <w:color w:val="auto"/>
          <w:kern w:val="0"/>
          <w:sz w:val="24"/>
          <w:highlight w:val="none"/>
        </w:rPr>
      </w:pPr>
    </w:p>
    <w:p w14:paraId="4F03980B">
      <w:pP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bookmarkStart w:id="1304" w:name="_Toc243584353"/>
      <w:bookmarkStart w:id="1305" w:name="_Toc20348"/>
      <w:r>
        <w:rPr>
          <w:rFonts w:hint="eastAsia" w:asciiTheme="minorEastAsia" w:hAnsiTheme="minorEastAsia" w:cstheme="minorEastAsia"/>
          <w:color w:val="auto"/>
          <w:kern w:val="0"/>
          <w:sz w:val="24"/>
          <w:highlight w:val="none"/>
        </w:rPr>
        <w:t>供应商：</w:t>
      </w:r>
      <w:bookmarkEnd w:id="1304"/>
      <w:r>
        <w:rPr>
          <w:rFonts w:hint="eastAsia" w:asciiTheme="minorEastAsia" w:hAnsiTheme="minorEastAsia" w:cstheme="minorEastAsia"/>
          <w:color w:val="auto"/>
          <w:kern w:val="0"/>
          <w:sz w:val="24"/>
          <w:highlight w:val="none"/>
          <w:u w:val="single"/>
        </w:rPr>
        <w:t xml:space="preserve">                                 （盖章）</w:t>
      </w:r>
      <w:bookmarkEnd w:id="1305"/>
      <w:r>
        <w:rPr>
          <w:rFonts w:hint="eastAsia" w:asciiTheme="minorEastAsia" w:hAnsiTheme="minorEastAsia" w:cstheme="minorEastAsia"/>
          <w:color w:val="auto"/>
          <w:kern w:val="0"/>
          <w:sz w:val="24"/>
          <w:highlight w:val="none"/>
        </w:rPr>
        <w:t xml:space="preserve"> </w:t>
      </w:r>
    </w:p>
    <w:p w14:paraId="15F460C8">
      <w:pPr>
        <w:adjustRightInd w:val="0"/>
        <w:spacing w:line="360" w:lineRule="auto"/>
        <w:rPr>
          <w:rFonts w:asciiTheme="minorEastAsia" w:hAnsiTheme="minorEastAsia" w:cstheme="minorEastAsia"/>
          <w:color w:val="auto"/>
          <w:kern w:val="0"/>
          <w:sz w:val="24"/>
          <w:highlight w:val="none"/>
        </w:rPr>
      </w:pPr>
    </w:p>
    <w:p w14:paraId="48D790D2">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日    期：      年      月      日</w:t>
      </w:r>
    </w:p>
    <w:p w14:paraId="2C36610A">
      <w:pPr>
        <w:adjustRightInd w:val="0"/>
        <w:spacing w:line="360" w:lineRule="auto"/>
        <w:rPr>
          <w:rFonts w:asciiTheme="minorEastAsia" w:hAnsiTheme="minorEastAsia" w:cstheme="minorEastAsia"/>
          <w:color w:val="auto"/>
          <w:kern w:val="0"/>
          <w:sz w:val="24"/>
          <w:highlight w:val="none"/>
        </w:rPr>
      </w:pPr>
    </w:p>
    <w:p w14:paraId="47ED240E">
      <w:pPr>
        <w:adjustRightInd w:val="0"/>
        <w:spacing w:line="360" w:lineRule="auto"/>
        <w:rPr>
          <w:rFonts w:asciiTheme="minorEastAsia" w:hAnsiTheme="minorEastAsia" w:cstheme="minorEastAsia"/>
          <w:color w:val="auto"/>
          <w:kern w:val="0"/>
          <w:sz w:val="24"/>
          <w:highlight w:val="none"/>
        </w:rPr>
      </w:pPr>
    </w:p>
    <w:p w14:paraId="56B5A309">
      <w:pPr>
        <w:adjustRightInd w:val="0"/>
        <w:spacing w:line="360" w:lineRule="auto"/>
        <w:rPr>
          <w:rFonts w:asciiTheme="minorEastAsia" w:hAnsiTheme="minorEastAsia" w:cstheme="minorEastAsia"/>
          <w:color w:val="auto"/>
          <w:kern w:val="0"/>
          <w:sz w:val="24"/>
          <w:highlight w:val="none"/>
          <w:u w:val="dash"/>
        </w:rPr>
      </w:pPr>
      <w:r>
        <w:rPr>
          <w:rFonts w:hint="eastAsia" w:asciiTheme="minorEastAsia" w:hAnsiTheme="minorEastAsia" w:cstheme="minorEastAsia"/>
          <w:color w:val="auto"/>
          <w:kern w:val="0"/>
          <w:sz w:val="24"/>
          <w:highlight w:val="none"/>
          <w:u w:val="dash"/>
        </w:rPr>
        <w:t xml:space="preserve">附：法定代表人身份证正反面复印件并加盖公章                                                                          </w:t>
      </w:r>
    </w:p>
    <w:p w14:paraId="06A5F578">
      <w:pPr>
        <w:adjustRightInd w:val="0"/>
        <w:spacing w:line="360" w:lineRule="auto"/>
        <w:ind w:firstLine="480" w:firstLineChars="200"/>
        <w:rPr>
          <w:rFonts w:asciiTheme="minorEastAsia" w:hAnsiTheme="minorEastAsia" w:cstheme="minorEastAsia"/>
          <w:color w:val="auto"/>
          <w:kern w:val="0"/>
          <w:sz w:val="24"/>
          <w:highlight w:val="none"/>
        </w:rPr>
      </w:pPr>
    </w:p>
    <w:p w14:paraId="7B7E4B36">
      <w:pPr>
        <w:pStyle w:val="4"/>
        <w:spacing w:line="360" w:lineRule="auto"/>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kern w:val="0"/>
          <w:highlight w:val="none"/>
        </w:rPr>
        <w:br w:type="page"/>
      </w:r>
      <w:bookmarkStart w:id="1306" w:name="_Toc243584354"/>
      <w:bookmarkStart w:id="1307" w:name="_Toc3846"/>
      <w:bookmarkStart w:id="1308" w:name="_Toc16775"/>
      <w:bookmarkStart w:id="1309" w:name="_Toc243630957"/>
      <w:bookmarkStart w:id="1310" w:name="_Toc255977437"/>
      <w:bookmarkStart w:id="1311" w:name="_Toc247301833"/>
      <w:bookmarkStart w:id="1312" w:name="_Toc247292440"/>
      <w:r>
        <w:rPr>
          <w:rFonts w:hint="eastAsia" w:asciiTheme="minorEastAsia" w:hAnsiTheme="minorEastAsia" w:eastAsiaTheme="minorEastAsia" w:cstheme="minorEastAsia"/>
          <w:color w:val="auto"/>
          <w:kern w:val="0"/>
          <w:highlight w:val="none"/>
        </w:rPr>
        <w:t>二、</w:t>
      </w:r>
      <w:r>
        <w:rPr>
          <w:rFonts w:hint="eastAsia" w:asciiTheme="minorEastAsia" w:hAnsiTheme="minorEastAsia" w:eastAsiaTheme="minorEastAsia" w:cstheme="minorEastAsia"/>
          <w:color w:val="auto"/>
          <w:w w:val="90"/>
          <w:kern w:val="0"/>
          <w:highlight w:val="none"/>
        </w:rPr>
        <w:t>法定代表人</w:t>
      </w:r>
      <w:r>
        <w:rPr>
          <w:rFonts w:hint="eastAsia" w:asciiTheme="minorEastAsia" w:hAnsiTheme="minorEastAsia" w:eastAsiaTheme="minorEastAsia" w:cstheme="minorEastAsia"/>
          <w:color w:val="auto"/>
          <w:w w:val="90"/>
          <w:szCs w:val="28"/>
          <w:highlight w:val="none"/>
        </w:rPr>
        <w:t>授权书</w:t>
      </w:r>
      <w:bookmarkEnd w:id="1306"/>
      <w:r>
        <w:rPr>
          <w:rFonts w:hint="eastAsia" w:asciiTheme="minorEastAsia" w:hAnsiTheme="minorEastAsia" w:eastAsiaTheme="minorEastAsia" w:cstheme="minorEastAsia"/>
          <w:color w:val="auto"/>
          <w:w w:val="90"/>
          <w:szCs w:val="28"/>
          <w:highlight w:val="none"/>
        </w:rPr>
        <w:t>及授权代理人的身份证复印件（如无授权时则不需提供）</w:t>
      </w:r>
      <w:bookmarkEnd w:id="1307"/>
      <w:bookmarkEnd w:id="1308"/>
      <w:bookmarkEnd w:id="1309"/>
      <w:bookmarkEnd w:id="1310"/>
      <w:bookmarkEnd w:id="1311"/>
      <w:bookmarkEnd w:id="1312"/>
    </w:p>
    <w:p w14:paraId="15A50FFE">
      <w:pPr>
        <w:adjustRightInd w:val="0"/>
        <w:spacing w:line="360" w:lineRule="auto"/>
        <w:ind w:firstLine="562" w:firstLineChars="200"/>
        <w:jc w:val="center"/>
        <w:outlineLvl w:val="0"/>
        <w:rPr>
          <w:rFonts w:asciiTheme="minorEastAsia" w:hAnsiTheme="minorEastAsia" w:cstheme="minorEastAsia"/>
          <w:b/>
          <w:bCs/>
          <w:color w:val="auto"/>
          <w:kern w:val="0"/>
          <w:sz w:val="28"/>
          <w:szCs w:val="21"/>
          <w:highlight w:val="none"/>
        </w:rPr>
      </w:pPr>
      <w:bookmarkStart w:id="1313" w:name="_Toc26960"/>
      <w:bookmarkStart w:id="1314" w:name="_Toc97108119"/>
      <w:bookmarkStart w:id="1315" w:name="_Toc25067"/>
      <w:r>
        <w:rPr>
          <w:rFonts w:hint="eastAsia" w:asciiTheme="minorEastAsia" w:hAnsiTheme="minorEastAsia" w:cstheme="minorEastAsia"/>
          <w:b/>
          <w:bCs/>
          <w:color w:val="auto"/>
          <w:kern w:val="0"/>
          <w:sz w:val="28"/>
          <w:szCs w:val="21"/>
          <w:highlight w:val="none"/>
        </w:rPr>
        <w:t>授权委托书</w:t>
      </w:r>
      <w:bookmarkEnd w:id="1313"/>
      <w:bookmarkEnd w:id="1314"/>
      <w:bookmarkEnd w:id="1315"/>
    </w:p>
    <w:p w14:paraId="7925A5F1">
      <w:pPr>
        <w:adjustRightInd w:val="0"/>
        <w:spacing w:line="600" w:lineRule="auto"/>
        <w:ind w:firstLine="480" w:firstLineChars="200"/>
        <w:rPr>
          <w:rFonts w:asciiTheme="minorEastAsia" w:hAnsiTheme="minorEastAsia" w:cstheme="minorEastAsia"/>
          <w:color w:val="auto"/>
          <w:kern w:val="0"/>
          <w:sz w:val="24"/>
          <w:highlight w:val="none"/>
        </w:rPr>
      </w:pPr>
    </w:p>
    <w:p w14:paraId="381889D7">
      <w:pPr>
        <w:adjustRightInd w:val="0"/>
        <w:spacing w:line="60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本授权书声明：我</w:t>
      </w:r>
      <w:r>
        <w:rPr>
          <w:rFonts w:hint="eastAsia" w:asciiTheme="minorEastAsia" w:hAnsiTheme="minorEastAsia" w:cstheme="minorEastAsia"/>
          <w:color w:val="auto"/>
          <w:kern w:val="0"/>
          <w:sz w:val="24"/>
          <w:highlight w:val="none"/>
          <w:u w:val="single"/>
        </w:rPr>
        <w:t xml:space="preserve">  （姓名）  </w:t>
      </w:r>
      <w:r>
        <w:rPr>
          <w:rFonts w:hint="eastAsia" w:asciiTheme="minorEastAsia" w:hAnsiTheme="minorEastAsia" w:cstheme="minorEastAsia"/>
          <w:color w:val="auto"/>
          <w:kern w:val="0"/>
          <w:sz w:val="24"/>
          <w:highlight w:val="none"/>
        </w:rPr>
        <w:t>系</w:t>
      </w:r>
      <w:r>
        <w:rPr>
          <w:rFonts w:hint="eastAsia" w:asciiTheme="minorEastAsia" w:hAnsiTheme="minorEastAsia" w:cstheme="minorEastAsia"/>
          <w:color w:val="auto"/>
          <w:kern w:val="0"/>
          <w:sz w:val="24"/>
          <w:highlight w:val="none"/>
          <w:u w:val="single"/>
        </w:rPr>
        <w:t xml:space="preserve">  （供应商名称）   </w:t>
      </w:r>
      <w:r>
        <w:rPr>
          <w:rFonts w:hint="eastAsia" w:asciiTheme="minorEastAsia" w:hAnsiTheme="minorEastAsia" w:cstheme="minorEastAsia"/>
          <w:color w:val="auto"/>
          <w:kern w:val="0"/>
          <w:sz w:val="24"/>
          <w:highlight w:val="none"/>
        </w:rPr>
        <w:t>的法定代表人， 现授权</w:t>
      </w:r>
      <w:r>
        <w:rPr>
          <w:rFonts w:hint="eastAsia" w:asciiTheme="minorEastAsia" w:hAnsiTheme="minorEastAsia" w:cstheme="minorEastAsia"/>
          <w:color w:val="auto"/>
          <w:kern w:val="0"/>
          <w:sz w:val="24"/>
          <w:highlight w:val="none"/>
          <w:u w:val="single"/>
        </w:rPr>
        <w:t xml:space="preserve">   （姓名）  </w:t>
      </w:r>
      <w:r>
        <w:rPr>
          <w:rFonts w:hint="eastAsia" w:asciiTheme="minorEastAsia" w:hAnsiTheme="minorEastAsia" w:cstheme="minorEastAsia"/>
          <w:color w:val="auto"/>
          <w:kern w:val="0"/>
          <w:sz w:val="24"/>
          <w:highlight w:val="none"/>
        </w:rPr>
        <w:t>为我公司代理人，以本公司名义参加</w:t>
      </w:r>
      <w:r>
        <w:rPr>
          <w:rFonts w:hint="eastAsia" w:asciiTheme="minorEastAsia" w:hAnsiTheme="minorEastAsia" w:cstheme="minorEastAsia"/>
          <w:color w:val="auto"/>
          <w:kern w:val="0"/>
          <w:sz w:val="24"/>
          <w:highlight w:val="none"/>
          <w:u w:val="single"/>
        </w:rPr>
        <w:t xml:space="preserve">  （采购人名称）   </w:t>
      </w:r>
      <w:r>
        <w:rPr>
          <w:rFonts w:hint="eastAsia" w:asciiTheme="minorEastAsia" w:hAnsiTheme="minorEastAsia" w:cstheme="minorEastAsia"/>
          <w:color w:val="auto"/>
          <w:kern w:val="0"/>
          <w:sz w:val="24"/>
          <w:highlight w:val="none"/>
        </w:rPr>
        <w:t xml:space="preserve">的 </w:t>
      </w:r>
      <w:r>
        <w:rPr>
          <w:rFonts w:hint="eastAsia" w:asciiTheme="minorEastAsia" w:hAnsiTheme="minorEastAsia" w:cstheme="minorEastAsia"/>
          <w:color w:val="auto"/>
          <w:kern w:val="0"/>
          <w:sz w:val="24"/>
          <w:highlight w:val="none"/>
          <w:u w:val="single"/>
        </w:rPr>
        <w:t xml:space="preserve">   （工程名称）     </w:t>
      </w:r>
      <w:r>
        <w:rPr>
          <w:rFonts w:hint="eastAsia" w:asciiTheme="minorEastAsia" w:hAnsiTheme="minorEastAsia" w:cstheme="minorEastAsia"/>
          <w:color w:val="auto"/>
          <w:kern w:val="0"/>
          <w:sz w:val="24"/>
          <w:highlight w:val="none"/>
        </w:rPr>
        <w:t>的磋商活动。代理人在磋商过程中所签署的一切文件和处理与之有关的一切事务，我均予以承认。</w:t>
      </w:r>
    </w:p>
    <w:p w14:paraId="668A28C7">
      <w:pPr>
        <w:pStyle w:val="35"/>
        <w:spacing w:before="0" w:after="0"/>
        <w:rPr>
          <w:rFonts w:asciiTheme="minorEastAsia" w:hAnsiTheme="minorEastAsia"/>
          <w:color w:val="auto"/>
          <w:spacing w:val="0"/>
          <w:highlight w:val="none"/>
        </w:rPr>
      </w:pPr>
    </w:p>
    <w:p w14:paraId="50B65E97">
      <w:pPr>
        <w:adjustRightInd w:val="0"/>
        <w:spacing w:line="60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w:t>
      </w:r>
      <w:bookmarkStart w:id="1316" w:name="_Toc243584355"/>
      <w:r>
        <w:rPr>
          <w:rFonts w:hint="eastAsia" w:asciiTheme="minorEastAsia" w:hAnsiTheme="minorEastAsia" w:cstheme="minorEastAsia"/>
          <w:color w:val="auto"/>
          <w:kern w:val="0"/>
          <w:sz w:val="24"/>
          <w:highlight w:val="none"/>
        </w:rPr>
        <w:t>本授权书有效期为：</w:t>
      </w:r>
      <w:r>
        <w:rPr>
          <w:rFonts w:hint="eastAsia" w:asciiTheme="minorEastAsia" w:hAnsiTheme="minorEastAsia" w:cstheme="minorEastAsia"/>
          <w:color w:val="auto"/>
          <w:kern w:val="0"/>
          <w:sz w:val="24"/>
          <w:highlight w:val="none"/>
          <w:u w:val="single"/>
        </w:rPr>
        <w:t xml:space="preserve">  年  月   日至   年  月   日</w:t>
      </w:r>
    </w:p>
    <w:p w14:paraId="6D4B55C1">
      <w:pPr>
        <w:pStyle w:val="35"/>
        <w:spacing w:before="0" w:after="0"/>
        <w:rPr>
          <w:rFonts w:asciiTheme="minorEastAsia" w:hAnsiTheme="minorEastAsia"/>
          <w:color w:val="auto"/>
          <w:spacing w:val="0"/>
          <w:highlight w:val="none"/>
        </w:rPr>
      </w:pPr>
    </w:p>
    <w:p w14:paraId="701C1C81">
      <w:pPr>
        <w:adjustRightInd w:val="0"/>
        <w:spacing w:line="600" w:lineRule="auto"/>
        <w:ind w:firstLine="120" w:firstLineChars="50"/>
        <w:outlineLvl w:val="0"/>
        <w:rPr>
          <w:rFonts w:asciiTheme="minorEastAsia" w:hAnsiTheme="minorEastAsia" w:cstheme="minorEastAsia"/>
          <w:color w:val="auto"/>
          <w:kern w:val="0"/>
          <w:sz w:val="24"/>
          <w:highlight w:val="none"/>
        </w:rPr>
      </w:pPr>
      <w:bookmarkStart w:id="1317" w:name="_Toc9450"/>
      <w:bookmarkStart w:id="1318" w:name="_Toc97108120"/>
      <w:bookmarkStart w:id="1319" w:name="_Toc2148"/>
      <w:r>
        <w:rPr>
          <w:rFonts w:hint="eastAsia" w:asciiTheme="minorEastAsia" w:hAnsiTheme="minorEastAsia" w:cstheme="minorEastAsia"/>
          <w:color w:val="auto"/>
          <w:kern w:val="0"/>
          <w:sz w:val="24"/>
          <w:highlight w:val="none"/>
        </w:rPr>
        <w:t>代理人无转委权。特此授权。</w:t>
      </w:r>
      <w:bookmarkEnd w:id="1316"/>
      <w:bookmarkEnd w:id="1317"/>
      <w:bookmarkEnd w:id="1318"/>
      <w:bookmarkEnd w:id="1319"/>
    </w:p>
    <w:p w14:paraId="732447BF">
      <w:pPr>
        <w:adjustRightInd w:val="0"/>
        <w:spacing w:line="600" w:lineRule="auto"/>
        <w:rPr>
          <w:rFonts w:asciiTheme="minorEastAsia" w:hAnsiTheme="minorEastAsia" w:cstheme="minorEastAsia"/>
          <w:color w:val="auto"/>
          <w:kern w:val="0"/>
          <w:sz w:val="24"/>
          <w:highlight w:val="none"/>
        </w:rPr>
      </w:pPr>
    </w:p>
    <w:p w14:paraId="3887AEA3">
      <w:pPr>
        <w:adjustRightInd w:val="0"/>
        <w:spacing w:line="600" w:lineRule="auto"/>
        <w:ind w:firstLine="480" w:firstLineChars="2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代理人（签字）：</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性别：</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年龄：</w:t>
      </w:r>
      <w:r>
        <w:rPr>
          <w:rFonts w:hint="eastAsia" w:asciiTheme="minorEastAsia" w:hAnsiTheme="minorEastAsia" w:cstheme="minorEastAsia"/>
          <w:color w:val="auto"/>
          <w:kern w:val="0"/>
          <w:sz w:val="24"/>
          <w:highlight w:val="none"/>
          <w:u w:val="single"/>
        </w:rPr>
        <w:t xml:space="preserve">       </w:t>
      </w:r>
    </w:p>
    <w:p w14:paraId="2EDC2374">
      <w:pPr>
        <w:adjustRightInd w:val="0"/>
        <w:spacing w:line="60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身份证号码：</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职务：</w:t>
      </w:r>
      <w:r>
        <w:rPr>
          <w:rFonts w:hint="eastAsia" w:asciiTheme="minorEastAsia" w:hAnsiTheme="minorEastAsia" w:cstheme="minorEastAsia"/>
          <w:color w:val="auto"/>
          <w:kern w:val="0"/>
          <w:sz w:val="24"/>
          <w:highlight w:val="none"/>
          <w:u w:val="single"/>
        </w:rPr>
        <w:t xml:space="preserve">           </w:t>
      </w:r>
    </w:p>
    <w:p w14:paraId="13ADB34D">
      <w:pPr>
        <w:adjustRightInd w:val="0"/>
        <w:spacing w:line="600" w:lineRule="auto"/>
        <w:ind w:firstLine="480" w:firstLineChars="200"/>
        <w:outlineLvl w:val="0"/>
        <w:rPr>
          <w:rFonts w:asciiTheme="minorEastAsia" w:hAnsiTheme="minorEastAsia" w:cstheme="minorEastAsia"/>
          <w:color w:val="auto"/>
          <w:kern w:val="0"/>
          <w:sz w:val="24"/>
          <w:highlight w:val="none"/>
        </w:rPr>
      </w:pPr>
      <w:bookmarkStart w:id="1320" w:name="_Toc97108121"/>
      <w:bookmarkStart w:id="1321" w:name="_Toc7308"/>
      <w:bookmarkStart w:id="1322" w:name="_Toc243584356"/>
      <w:bookmarkStart w:id="1323" w:name="_Toc24924"/>
      <w:r>
        <w:rPr>
          <w:rFonts w:hint="eastAsia" w:asciiTheme="minorEastAsia" w:hAnsiTheme="minorEastAsia" w:cstheme="minorEastAsia"/>
          <w:color w:val="auto"/>
          <w:kern w:val="0"/>
          <w:sz w:val="24"/>
          <w:highlight w:val="none"/>
        </w:rPr>
        <w:t>供应商：</w:t>
      </w:r>
      <w:r>
        <w:rPr>
          <w:rFonts w:hint="eastAsia" w:asciiTheme="minorEastAsia" w:hAnsiTheme="minorEastAsia" w:cstheme="minorEastAsia"/>
          <w:color w:val="auto"/>
          <w:kern w:val="0"/>
          <w:sz w:val="24"/>
          <w:highlight w:val="none"/>
          <w:u w:val="single"/>
        </w:rPr>
        <w:t xml:space="preserve">                                            （盖章）</w:t>
      </w:r>
      <w:bookmarkEnd w:id="1320"/>
      <w:bookmarkEnd w:id="1321"/>
      <w:bookmarkEnd w:id="1322"/>
      <w:bookmarkEnd w:id="1323"/>
      <w:r>
        <w:rPr>
          <w:rFonts w:hint="eastAsia" w:asciiTheme="minorEastAsia" w:hAnsiTheme="minorEastAsia" w:cstheme="minorEastAsia"/>
          <w:color w:val="auto"/>
          <w:kern w:val="0"/>
          <w:sz w:val="24"/>
          <w:highlight w:val="none"/>
          <w:u w:val="single"/>
        </w:rPr>
        <w:t xml:space="preserve">     </w:t>
      </w:r>
    </w:p>
    <w:p w14:paraId="27D53E49">
      <w:pPr>
        <w:adjustRightInd w:val="0"/>
        <w:spacing w:line="600" w:lineRule="auto"/>
        <w:outlineLvl w:val="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bookmarkStart w:id="1324" w:name="_Toc958"/>
      <w:bookmarkStart w:id="1325" w:name="_Toc243584357"/>
      <w:bookmarkStart w:id="1326" w:name="_Toc97108122"/>
      <w:bookmarkStart w:id="1327" w:name="_Toc9543"/>
      <w:r>
        <w:rPr>
          <w:rFonts w:hint="eastAsia" w:asciiTheme="minorEastAsia" w:hAnsiTheme="minorEastAsia" w:cstheme="minorEastAsia"/>
          <w:color w:val="auto"/>
          <w:kern w:val="0"/>
          <w:sz w:val="24"/>
          <w:highlight w:val="none"/>
        </w:rPr>
        <w:t>法定代表人：</w:t>
      </w:r>
      <w:r>
        <w:rPr>
          <w:rFonts w:hint="eastAsia" w:asciiTheme="minorEastAsia" w:hAnsiTheme="minorEastAsia" w:cstheme="minorEastAsia"/>
          <w:color w:val="auto"/>
          <w:kern w:val="0"/>
          <w:sz w:val="24"/>
          <w:highlight w:val="none"/>
          <w:u w:val="single"/>
        </w:rPr>
        <w:t xml:space="preserve">                                    （签字或盖章）</w:t>
      </w:r>
      <w:bookmarkEnd w:id="1324"/>
      <w:bookmarkEnd w:id="1325"/>
      <w:bookmarkEnd w:id="1326"/>
      <w:bookmarkEnd w:id="1327"/>
      <w:r>
        <w:rPr>
          <w:rFonts w:hint="eastAsia" w:asciiTheme="minorEastAsia" w:hAnsiTheme="minorEastAsia" w:cstheme="minorEastAsia"/>
          <w:color w:val="auto"/>
          <w:kern w:val="0"/>
          <w:sz w:val="24"/>
          <w:highlight w:val="none"/>
          <w:u w:val="single"/>
        </w:rPr>
        <w:t xml:space="preserve">   </w:t>
      </w:r>
    </w:p>
    <w:p w14:paraId="381AAE01">
      <w:pPr>
        <w:adjustRightInd w:val="0"/>
        <w:spacing w:line="60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日期：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71DC2578">
      <w:pPr>
        <w:adjustRightInd w:val="0"/>
        <w:spacing w:line="360" w:lineRule="auto"/>
        <w:rPr>
          <w:rFonts w:asciiTheme="minorEastAsia" w:hAnsiTheme="minorEastAsia" w:cstheme="minorEastAsia"/>
          <w:color w:val="auto"/>
          <w:kern w:val="0"/>
          <w:sz w:val="24"/>
          <w:highlight w:val="none"/>
        </w:rPr>
      </w:pPr>
    </w:p>
    <w:p w14:paraId="5540ADDC">
      <w:pPr>
        <w:adjustRightInd w:val="0"/>
        <w:spacing w:line="360" w:lineRule="auto"/>
        <w:rPr>
          <w:rFonts w:asciiTheme="minorEastAsia" w:hAnsiTheme="minorEastAsia" w:cstheme="minorEastAsia"/>
          <w:color w:val="auto"/>
          <w:kern w:val="0"/>
          <w:sz w:val="24"/>
          <w:highlight w:val="none"/>
          <w:u w:val="dash"/>
        </w:rPr>
      </w:pPr>
      <w:r>
        <w:rPr>
          <w:rFonts w:hint="eastAsia" w:asciiTheme="minorEastAsia" w:hAnsiTheme="minorEastAsia" w:cstheme="minorEastAsia"/>
          <w:color w:val="auto"/>
          <w:kern w:val="0"/>
          <w:sz w:val="24"/>
          <w:highlight w:val="none"/>
          <w:u w:val="dash"/>
        </w:rPr>
        <w:t xml:space="preserve">                                                                            </w:t>
      </w:r>
    </w:p>
    <w:bookmarkEnd w:id="1296"/>
    <w:bookmarkEnd w:id="1297"/>
    <w:bookmarkEnd w:id="1298"/>
    <w:p w14:paraId="6FD19DE7">
      <w:pPr>
        <w:pStyle w:val="4"/>
        <w:spacing w:line="540" w:lineRule="exact"/>
        <w:ind w:firstLine="562" w:firstLineChars="200"/>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三、有效的营业执照副本复印件；</w:t>
      </w:r>
    </w:p>
    <w:p w14:paraId="2BDF4CE4">
      <w:pPr>
        <w:pStyle w:val="4"/>
        <w:spacing w:line="540" w:lineRule="exact"/>
        <w:ind w:firstLine="562" w:firstLineChars="200"/>
        <w:rPr>
          <w:rFonts w:asciiTheme="minorEastAsia" w:hAnsiTheme="minorEastAsia" w:eastAsiaTheme="minorEastAsia" w:cstheme="minorEastAsia"/>
          <w:color w:val="auto"/>
          <w:sz w:val="24"/>
          <w:highlight w:val="none"/>
        </w:rPr>
      </w:pPr>
      <w:bookmarkStart w:id="1328" w:name="_Toc29317"/>
      <w:bookmarkStart w:id="1329" w:name="_Toc31403"/>
      <w:bookmarkStart w:id="1330" w:name="_Toc247301835"/>
      <w:bookmarkStart w:id="1331" w:name="_Toc255977439"/>
      <w:bookmarkStart w:id="1332" w:name="_Toc247292442"/>
      <w:r>
        <w:rPr>
          <w:rFonts w:hint="eastAsia" w:asciiTheme="minorEastAsia" w:hAnsiTheme="minorEastAsia" w:eastAsiaTheme="minorEastAsia" w:cstheme="minorEastAsia"/>
          <w:color w:val="auto"/>
          <w:szCs w:val="28"/>
          <w:highlight w:val="none"/>
        </w:rPr>
        <w:t>四、</w:t>
      </w:r>
      <w:bookmarkEnd w:id="1328"/>
      <w:bookmarkEnd w:id="1329"/>
      <w:r>
        <w:rPr>
          <w:rFonts w:hint="eastAsia" w:asciiTheme="minorEastAsia" w:hAnsiTheme="minorEastAsia" w:eastAsiaTheme="minorEastAsia" w:cstheme="minorEastAsia"/>
          <w:color w:val="auto"/>
          <w:szCs w:val="28"/>
          <w:highlight w:val="none"/>
        </w:rPr>
        <w:t>有效的安全生产许可证副本复印件；</w:t>
      </w:r>
    </w:p>
    <w:p w14:paraId="6E3F1FC0">
      <w:pPr>
        <w:pStyle w:val="4"/>
        <w:spacing w:line="540" w:lineRule="exact"/>
        <w:ind w:firstLine="562" w:firstLineChars="200"/>
        <w:rPr>
          <w:rFonts w:asciiTheme="minorEastAsia" w:hAnsiTheme="minorEastAsia" w:eastAsiaTheme="minorEastAsia" w:cstheme="minorEastAsia"/>
          <w:color w:val="auto"/>
          <w:szCs w:val="28"/>
          <w:highlight w:val="none"/>
        </w:rPr>
      </w:pPr>
      <w:r>
        <w:rPr>
          <w:rFonts w:hint="eastAsia" w:asciiTheme="minorEastAsia" w:hAnsiTheme="minorEastAsia" w:eastAsiaTheme="minorEastAsia" w:cstheme="minorEastAsia"/>
          <w:color w:val="auto"/>
          <w:szCs w:val="28"/>
          <w:highlight w:val="none"/>
        </w:rPr>
        <w:t>五、有效的企业资质证书副本复印件；</w:t>
      </w:r>
    </w:p>
    <w:bookmarkEnd w:id="1330"/>
    <w:bookmarkEnd w:id="1331"/>
    <w:bookmarkEnd w:id="1332"/>
    <w:p w14:paraId="37DE1BD8">
      <w:pPr>
        <w:pStyle w:val="4"/>
        <w:spacing w:line="540" w:lineRule="exact"/>
        <w:ind w:firstLine="562" w:firstLineChars="200"/>
        <w:rPr>
          <w:rFonts w:asciiTheme="minorEastAsia" w:hAnsiTheme="minorEastAsia" w:eastAsiaTheme="minorEastAsia" w:cstheme="minorEastAsia"/>
          <w:color w:val="auto"/>
          <w:szCs w:val="28"/>
          <w:highlight w:val="none"/>
        </w:rPr>
      </w:pPr>
      <w:bookmarkStart w:id="1333" w:name="_Toc546"/>
      <w:bookmarkStart w:id="1334" w:name="_Toc24771"/>
      <w:bookmarkStart w:id="1335" w:name="_Toc247301837"/>
      <w:bookmarkStart w:id="1336" w:name="_Toc255977441"/>
      <w:bookmarkStart w:id="1337" w:name="_Toc247292444"/>
      <w:r>
        <w:rPr>
          <w:rFonts w:hint="eastAsia" w:asciiTheme="minorEastAsia" w:hAnsiTheme="minorEastAsia" w:eastAsiaTheme="minorEastAsia" w:cstheme="minorEastAsia"/>
          <w:color w:val="auto"/>
          <w:szCs w:val="28"/>
          <w:highlight w:val="none"/>
        </w:rPr>
        <w:t>六、</w:t>
      </w:r>
      <w:bookmarkEnd w:id="1333"/>
      <w:bookmarkEnd w:id="1334"/>
      <w:r>
        <w:rPr>
          <w:rFonts w:hint="eastAsia" w:asciiTheme="minorEastAsia" w:hAnsiTheme="minorEastAsia" w:eastAsiaTheme="minorEastAsia" w:cstheme="minorEastAsia"/>
          <w:color w:val="auto"/>
          <w:szCs w:val="28"/>
          <w:highlight w:val="none"/>
        </w:rPr>
        <w:t>拟投入本项目的项目经理有效的注册建造师资质证书复印件；（必须提供并加盖供应商的电子签章）</w:t>
      </w:r>
    </w:p>
    <w:p w14:paraId="33CC4287">
      <w:pPr>
        <w:spacing w:line="540" w:lineRule="exact"/>
        <w:ind w:firstLine="562"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七、</w:t>
      </w:r>
      <w:bookmarkStart w:id="1338" w:name="_Toc13702"/>
      <w:bookmarkStart w:id="1339" w:name="_Toc29665"/>
      <w:r>
        <w:rPr>
          <w:rFonts w:hint="eastAsia" w:asciiTheme="minorEastAsia" w:hAnsiTheme="minorEastAsia" w:cstheme="minorEastAsia"/>
          <w:b/>
          <w:color w:val="auto"/>
          <w:sz w:val="28"/>
          <w:szCs w:val="28"/>
          <w:highlight w:val="none"/>
        </w:rPr>
        <w:t>响应文件递交截止之日前半年内任意三个月的依法缴纳税费或依法免缴税费的证明[复印件，格式自拟，必须提供]；无纳税记录的，应提供由磋商供应商所在地主管国税、地税部门出具的《依法纳税或依法免税证明》复印件，（从取得营业执照时间起到响应文件提交截止时间为止不足要求月数的，只需提供从取得营业执照起的依法缴纳税收相应证明文件，必须提供）；</w:t>
      </w:r>
    </w:p>
    <w:p w14:paraId="38593563">
      <w:pPr>
        <w:spacing w:line="540" w:lineRule="exact"/>
        <w:ind w:firstLine="562"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八、响应文件递交截止之日前半年内任意三个月依法缴纳社保费的缴费凭证（复印件，格式自拟）[必须提供]；无缴费记录的，应提供由磋商供应商所在地社保部门出具的《依法缴纳或依法免缴社保费证明》复印件，（从取得营业执照时间起到响应文件提交截止时间为止不足要求月数的只需提供从取得营业执照起的依法缴纳社会保障资金的相应证明文件，必须提供）；</w:t>
      </w:r>
    </w:p>
    <w:p w14:paraId="40CD20B2">
      <w:pPr>
        <w:spacing w:line="540" w:lineRule="exact"/>
        <w:ind w:firstLine="562"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九、供应商202</w:t>
      </w:r>
      <w:r>
        <w:rPr>
          <w:rFonts w:hint="eastAsia" w:asciiTheme="minorEastAsia" w:hAnsiTheme="minorEastAsia" w:cstheme="minorEastAsia"/>
          <w:b/>
          <w:color w:val="auto"/>
          <w:sz w:val="28"/>
          <w:szCs w:val="28"/>
          <w:highlight w:val="none"/>
          <w:lang w:val="en-US" w:eastAsia="zh-CN"/>
        </w:rPr>
        <w:t>5</w:t>
      </w:r>
      <w:r>
        <w:rPr>
          <w:rFonts w:hint="eastAsia" w:asciiTheme="minorEastAsia" w:hAnsiTheme="minorEastAsia" w:cstheme="minorEastAsia"/>
          <w:b/>
          <w:color w:val="auto"/>
          <w:sz w:val="28"/>
          <w:szCs w:val="28"/>
          <w:highlight w:val="none"/>
        </w:rPr>
        <w:t>年的年度财务报告复印件，如财务报告未经相关审计单位审计的须同时由供应商出具财务报表承诺书，承诺该财务报表数据真实可靠；新成立的企业则提供公司成立时间以来的财务报表，同时由供应商出具财务报表承诺书，承诺该财务报表数据真实可靠（格式自拟）；（必须提供）</w:t>
      </w:r>
    </w:p>
    <w:p w14:paraId="1DDB94C5">
      <w:pPr>
        <w:spacing w:line="540" w:lineRule="exact"/>
        <w:ind w:firstLine="562" w:firstLineChars="200"/>
        <w:rPr>
          <w:rFonts w:asciiTheme="minorEastAsia" w:hAnsiTheme="minorEastAsia" w:cstheme="minorEastAsia"/>
          <w:b/>
          <w:color w:val="auto"/>
          <w:sz w:val="28"/>
          <w:szCs w:val="28"/>
          <w:highlight w:val="none"/>
        </w:rPr>
        <w:sectPr>
          <w:pgSz w:w="11910" w:h="16840"/>
          <w:pgMar w:top="1417" w:right="1191" w:bottom="1134" w:left="1304" w:header="870" w:footer="999" w:gutter="0"/>
          <w:cols w:space="720" w:num="1"/>
        </w:sectPr>
      </w:pPr>
    </w:p>
    <w:bookmarkEnd w:id="1335"/>
    <w:bookmarkEnd w:id="1336"/>
    <w:bookmarkEnd w:id="1337"/>
    <w:bookmarkEnd w:id="1338"/>
    <w:bookmarkEnd w:id="1339"/>
    <w:p w14:paraId="4D0376C4">
      <w:pPr>
        <w:pStyle w:val="4"/>
        <w:spacing w:line="540" w:lineRule="exact"/>
        <w:ind w:firstLine="560" w:firstLineChars="200"/>
        <w:rPr>
          <w:rFonts w:asciiTheme="minorEastAsia" w:hAnsiTheme="minorEastAsia" w:eastAsiaTheme="minorEastAsia" w:cstheme="minorEastAsia"/>
          <w:color w:val="auto"/>
          <w:szCs w:val="28"/>
          <w:highlight w:val="none"/>
        </w:rPr>
      </w:pPr>
      <w:bookmarkStart w:id="1340" w:name="_Toc247301838"/>
      <w:bookmarkStart w:id="1341" w:name="_Toc23940"/>
      <w:bookmarkStart w:id="1342" w:name="_Toc26437"/>
      <w:bookmarkStart w:id="1343" w:name="_Toc247292445"/>
      <w:bookmarkStart w:id="1344" w:name="_Toc255977442"/>
      <w:r>
        <w:rPr>
          <w:rFonts w:hint="eastAsia" w:asciiTheme="minorEastAsia" w:hAnsiTheme="minorEastAsia" w:eastAsiaTheme="minorEastAsia" w:cstheme="minorEastAsia"/>
          <w:color w:val="auto"/>
          <w:szCs w:val="28"/>
          <w:highlight w:val="none"/>
        </w:rPr>
        <w:t>十、政府采购项目投标资格承诺函；</w:t>
      </w:r>
    </w:p>
    <w:p w14:paraId="5E8F317D">
      <w:pPr>
        <w:rPr>
          <w:rFonts w:asciiTheme="minorEastAsia" w:hAnsiTheme="minorEastAsia"/>
          <w:color w:val="auto"/>
          <w:highlight w:val="none"/>
        </w:rPr>
      </w:pPr>
    </w:p>
    <w:p w14:paraId="3D52A4E0">
      <w:pPr>
        <w:spacing w:line="360" w:lineRule="auto"/>
        <w:jc w:val="center"/>
        <w:textAlignment w:val="baseline"/>
        <w:rPr>
          <w:rFonts w:cs="Times New Roman" w:asciiTheme="minorEastAsia" w:hAnsiTheme="minorEastAsia"/>
          <w:b/>
          <w:color w:val="auto"/>
          <w:sz w:val="32"/>
          <w:szCs w:val="32"/>
          <w:highlight w:val="none"/>
        </w:rPr>
      </w:pPr>
    </w:p>
    <w:p w14:paraId="68A392AF">
      <w:pPr>
        <w:spacing w:line="360" w:lineRule="auto"/>
        <w:jc w:val="center"/>
        <w:textAlignment w:val="baseline"/>
        <w:rPr>
          <w:rFonts w:cs="Times New Roman" w:asciiTheme="minorEastAsia" w:hAnsiTheme="minorEastAsia"/>
          <w:b/>
          <w:color w:val="auto"/>
          <w:sz w:val="32"/>
          <w:szCs w:val="32"/>
          <w:highlight w:val="none"/>
        </w:rPr>
      </w:pPr>
      <w:r>
        <w:rPr>
          <w:rFonts w:hint="eastAsia" w:cs="Times New Roman" w:asciiTheme="minorEastAsia" w:hAnsiTheme="minorEastAsia"/>
          <w:b/>
          <w:color w:val="auto"/>
          <w:sz w:val="32"/>
          <w:szCs w:val="32"/>
          <w:highlight w:val="none"/>
        </w:rPr>
        <w:t xml:space="preserve"> 政府采购项目投标资格承诺函</w:t>
      </w:r>
    </w:p>
    <w:p w14:paraId="5C5BD413">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本公司郑重承诺，根据《中华人民共和国政府采购法》第二十二条的规定，本公司为参加政府采购活动的合格供应商。即本公司同时满足以下条件：</w:t>
      </w:r>
    </w:p>
    <w:p w14:paraId="53A3CF91">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1.具有独立承担民事责任的能力。</w:t>
      </w:r>
    </w:p>
    <w:p w14:paraId="67DD35CB">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2.具有良好的商业信誉和健全的财务会计制度。</w:t>
      </w:r>
    </w:p>
    <w:p w14:paraId="73A938B1">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3.具有履行合同所必需的设备和专业技术能力。</w:t>
      </w:r>
    </w:p>
    <w:p w14:paraId="6920355A">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4.有依法缴纳税收和社会保障资金的良好记录。</w:t>
      </w:r>
    </w:p>
    <w:p w14:paraId="4E6C47A9">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5. 提交投标文件截止日期前三年内，在经营活动中没有重大违法记录。</w:t>
      </w:r>
    </w:p>
    <w:p w14:paraId="7D27D73A">
      <w:pPr>
        <w:spacing w:line="360" w:lineRule="auto"/>
        <w:ind w:firstLine="484" w:firstLineChars="202"/>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本公司对上述承诺的真实性负责，并接受政府采购、税务、社会保障等监督管理部门、采购文件规定的资格审查机构、社会公众的监督和检查。如有虚假，将依法承担相应责任。</w:t>
      </w:r>
    </w:p>
    <w:p w14:paraId="1064D103">
      <w:pPr>
        <w:spacing w:line="360" w:lineRule="auto"/>
        <w:textAlignment w:val="baseline"/>
        <w:rPr>
          <w:rFonts w:cs="Times New Roman" w:asciiTheme="minorEastAsia" w:hAnsiTheme="minorEastAsia"/>
          <w:color w:val="auto"/>
          <w:sz w:val="24"/>
          <w:szCs w:val="24"/>
          <w:highlight w:val="none"/>
        </w:rPr>
      </w:pPr>
    </w:p>
    <w:p w14:paraId="4606D7F0">
      <w:pPr>
        <w:spacing w:line="360" w:lineRule="auto"/>
        <w:textAlignment w:val="baseline"/>
        <w:rPr>
          <w:rFonts w:cs="Times New Roman" w:asciiTheme="minorEastAsia" w:hAnsiTheme="minorEastAsia"/>
          <w:color w:val="auto"/>
          <w:sz w:val="24"/>
          <w:szCs w:val="24"/>
          <w:highlight w:val="none"/>
        </w:rPr>
      </w:pPr>
    </w:p>
    <w:p w14:paraId="2C999FA4">
      <w:pPr>
        <w:spacing w:line="360" w:lineRule="auto"/>
        <w:ind w:firstLine="4536" w:firstLineChars="1890"/>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企业名称（盖章）：</w:t>
      </w:r>
    </w:p>
    <w:p w14:paraId="194D45DD">
      <w:pPr>
        <w:spacing w:line="360" w:lineRule="auto"/>
        <w:ind w:firstLine="4536" w:firstLineChars="1890"/>
        <w:textAlignment w:val="baseline"/>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rPr>
        <w:t>法定代表人（签名）：</w:t>
      </w:r>
    </w:p>
    <w:p w14:paraId="1E216994">
      <w:pPr>
        <w:ind w:firstLine="4560" w:firstLineChars="1900"/>
        <w:rPr>
          <w:rFonts w:asciiTheme="minorEastAsia" w:hAnsiTheme="minorEastAsia"/>
          <w:color w:val="auto"/>
          <w:highlight w:val="none"/>
        </w:rPr>
      </w:pPr>
      <w:r>
        <w:rPr>
          <w:rFonts w:cs="Times New Roman" w:asciiTheme="minorEastAsia" w:hAnsiTheme="minorEastAsia"/>
          <w:color w:val="auto"/>
          <w:sz w:val="24"/>
          <w:szCs w:val="24"/>
          <w:highlight w:val="none"/>
        </w:rPr>
        <w:t>日期：     年     月      日</w:t>
      </w:r>
    </w:p>
    <w:bookmarkEnd w:id="1340"/>
    <w:bookmarkEnd w:id="1341"/>
    <w:bookmarkEnd w:id="1342"/>
    <w:bookmarkEnd w:id="1343"/>
    <w:bookmarkEnd w:id="1344"/>
    <w:p w14:paraId="6B5E8A51">
      <w:pPr>
        <w:spacing w:line="480" w:lineRule="auto"/>
        <w:ind w:firstLine="420" w:firstLineChars="200"/>
        <w:rPr>
          <w:rFonts w:asciiTheme="minorEastAsia" w:hAnsiTheme="minorEastAsia" w:cstheme="minorEastAsia"/>
          <w:color w:val="auto"/>
          <w:kern w:val="0"/>
          <w:sz w:val="24"/>
          <w:highlight w:val="none"/>
        </w:rPr>
      </w:pPr>
      <w:r>
        <w:rPr>
          <w:rFonts w:hint="eastAsia" w:asciiTheme="minorEastAsia" w:hAnsiTheme="minorEastAsia"/>
          <w:color w:val="auto"/>
          <w:highlight w:val="none"/>
        </w:rPr>
        <w:br w:type="page"/>
      </w:r>
    </w:p>
    <w:p w14:paraId="2797FF7E">
      <w:pPr>
        <w:spacing w:line="480" w:lineRule="exact"/>
        <w:ind w:firstLine="560" w:firstLineChars="200"/>
        <w:rPr>
          <w:rFonts w:asciiTheme="minorEastAsia" w:hAnsiTheme="minorEastAsia" w:cstheme="minorEastAsia"/>
          <w:b/>
          <w:color w:val="auto"/>
          <w:sz w:val="28"/>
          <w:szCs w:val="28"/>
          <w:highlight w:val="none"/>
        </w:rPr>
      </w:pPr>
      <w:r>
        <w:rPr>
          <w:rFonts w:hint="eastAsia" w:asciiTheme="minorEastAsia" w:hAnsiTheme="minorEastAsia" w:cstheme="minorEastAsia"/>
          <w:b/>
          <w:color w:val="auto"/>
          <w:sz w:val="28"/>
          <w:szCs w:val="28"/>
          <w:highlight w:val="none"/>
        </w:rPr>
        <w:t>十一、供应商参加政府采购活动前三年内在经营活动中没有重大违法记录和不良信用记录的书面声明原件；（供应商可在“信用中国”网站（www.creditchina.gov.cn）、中国政府采购网（www.ccgp.gov.cn）查询相关供应商主体信用记录，同时将查询结果截图加盖单位公章与上述书面声明一并提交）；</w:t>
      </w:r>
    </w:p>
    <w:p w14:paraId="5C1BFD47">
      <w:pPr>
        <w:pStyle w:val="12"/>
        <w:rPr>
          <w:color w:val="auto"/>
          <w:highlight w:val="none"/>
        </w:rPr>
      </w:pPr>
    </w:p>
    <w:p w14:paraId="01955AFF">
      <w:pPr>
        <w:pStyle w:val="35"/>
        <w:spacing w:before="0" w:after="0"/>
        <w:rPr>
          <w:rFonts w:asciiTheme="minorEastAsia" w:hAnsiTheme="minorEastAsia"/>
          <w:color w:val="auto"/>
          <w:spacing w:val="0"/>
          <w:highlight w:val="none"/>
        </w:rPr>
      </w:pPr>
    </w:p>
    <w:p w14:paraId="2F5B15EC">
      <w:pPr>
        <w:spacing w:line="480" w:lineRule="auto"/>
        <w:jc w:val="center"/>
        <w:rPr>
          <w:rFonts w:cs="宋体" w:asciiTheme="minorEastAsia" w:hAnsiTheme="minorEastAsia"/>
          <w:color w:val="auto"/>
          <w:kern w:val="0"/>
          <w:sz w:val="24"/>
          <w:highlight w:val="none"/>
        </w:rPr>
      </w:pPr>
      <w:r>
        <w:rPr>
          <w:rFonts w:hint="eastAsia" w:asciiTheme="minorEastAsia" w:hAnsiTheme="minorEastAsia" w:cstheme="minorEastAsia"/>
          <w:b/>
          <w:color w:val="auto"/>
          <w:sz w:val="28"/>
          <w:szCs w:val="28"/>
          <w:highlight w:val="none"/>
        </w:rPr>
        <w:t>供应商参加政府采购活动前三年内在经营活动中没有重大违法记录和不良信用记录的书面声明</w:t>
      </w:r>
    </w:p>
    <w:p w14:paraId="3BF1D7D9">
      <w:pPr>
        <w:spacing w:line="480" w:lineRule="auto"/>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致：</w:t>
      </w:r>
      <w:r>
        <w:rPr>
          <w:rFonts w:hint="eastAsia" w:cs="宋体" w:asciiTheme="minorEastAsia" w:hAnsiTheme="minorEastAsia"/>
          <w:color w:val="auto"/>
          <w:kern w:val="0"/>
          <w:sz w:val="24"/>
          <w:highlight w:val="none"/>
          <w:u w:val="single"/>
        </w:rPr>
        <w:t xml:space="preserve">     (采购人名称)     </w:t>
      </w:r>
      <w:r>
        <w:rPr>
          <w:rFonts w:hint="eastAsia" w:cs="宋体" w:asciiTheme="minorEastAsia" w:hAnsiTheme="minorEastAsia"/>
          <w:color w:val="auto"/>
          <w:kern w:val="0"/>
          <w:sz w:val="24"/>
          <w:highlight w:val="none"/>
        </w:rPr>
        <w:t xml:space="preserve">             </w:t>
      </w:r>
    </w:p>
    <w:p w14:paraId="5CF494D2">
      <w:pPr>
        <w:spacing w:line="480" w:lineRule="auto"/>
        <w:ind w:firstLine="480" w:firstLineChars="200"/>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我单位在参加政府采购活动前三年内在经营活动中没有《中华人民共和国政府采购法》第二十二条第一款第(五)项所称重大违法记录，包括：</w:t>
      </w:r>
    </w:p>
    <w:p w14:paraId="25C220E4">
      <w:pPr>
        <w:spacing w:line="480" w:lineRule="auto"/>
        <w:ind w:firstLine="480" w:firstLineChars="200"/>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我单位或者其法定代表人、董事、监事、高级管理人员未因经营活动中的违法行为受到刑事处罚或者责令停产停业、吊销许可证或者执照、较大数额罚款等行政处罚。</w:t>
      </w:r>
    </w:p>
    <w:p w14:paraId="3C38400C">
      <w:pPr>
        <w:spacing w:line="480" w:lineRule="auto"/>
        <w:ind w:firstLine="480" w:firstLineChars="200"/>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我单位在“信用中国”网站(www.creditchina.gov.cn)、中国政府采购网(www.ccgp.gov.cn)等渠道没有被列入失信被执行人、重大税收违法案件当事人名单、政府采购严重违法失信行为记录名单。</w:t>
      </w:r>
    </w:p>
    <w:p w14:paraId="306A13CC">
      <w:pPr>
        <w:spacing w:line="480" w:lineRule="auto"/>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特此声明！</w:t>
      </w:r>
    </w:p>
    <w:p w14:paraId="25E8C75C">
      <w:pPr>
        <w:snapToGrid w:val="0"/>
        <w:spacing w:line="360" w:lineRule="auto"/>
        <w:rPr>
          <w:rFonts w:cs="宋体" w:asciiTheme="minorEastAsia" w:hAnsiTheme="minorEastAsia"/>
          <w:color w:val="auto"/>
          <w:sz w:val="24"/>
          <w:szCs w:val="24"/>
          <w:highlight w:val="none"/>
        </w:rPr>
      </w:pPr>
    </w:p>
    <w:p w14:paraId="3CEA0651">
      <w:pPr>
        <w:pStyle w:val="15"/>
        <w:spacing w:line="440" w:lineRule="exact"/>
        <w:ind w:left="420" w:leftChars="200" w:firstLine="2280" w:firstLineChars="950"/>
        <w:rPr>
          <w:rFonts w:cs="宋体" w:asciiTheme="minorEastAsia" w:hAnsiTheme="minorEastAsia" w:eastAsiaTheme="minorEastAsia"/>
          <w:color w:val="auto"/>
          <w:sz w:val="24"/>
          <w:szCs w:val="24"/>
          <w:highlight w:val="none"/>
        </w:rPr>
      </w:pPr>
      <w:r>
        <w:rPr>
          <w:rFonts w:hint="eastAsia" w:cs="宋体" w:asciiTheme="minorEastAsia" w:hAnsiTheme="minorEastAsia" w:eastAsiaTheme="minorEastAsia"/>
          <w:color w:val="auto"/>
          <w:sz w:val="24"/>
          <w:szCs w:val="24"/>
          <w:highlight w:val="none"/>
        </w:rPr>
        <w:t>供应商名称(公章)：</w:t>
      </w:r>
      <w:r>
        <w:rPr>
          <w:rFonts w:hint="eastAsia" w:cs="宋体" w:asciiTheme="minorEastAsia" w:hAnsiTheme="minorEastAsia" w:eastAsiaTheme="minorEastAsia"/>
          <w:color w:val="auto"/>
          <w:sz w:val="24"/>
          <w:szCs w:val="24"/>
          <w:highlight w:val="none"/>
          <w:u w:val="single"/>
        </w:rPr>
        <w:t xml:space="preserve">               </w:t>
      </w:r>
      <w:r>
        <w:rPr>
          <w:rFonts w:hint="eastAsia" w:cs="宋体" w:asciiTheme="minorEastAsia" w:hAnsiTheme="minorEastAsia" w:eastAsiaTheme="minorEastAsia"/>
          <w:color w:val="auto"/>
          <w:sz w:val="24"/>
          <w:szCs w:val="24"/>
          <w:highlight w:val="none"/>
        </w:rPr>
        <w:t xml:space="preserve"> </w:t>
      </w:r>
    </w:p>
    <w:p w14:paraId="4320AB04">
      <w:pPr>
        <w:snapToGrid w:val="0"/>
        <w:spacing w:line="360" w:lineRule="exact"/>
        <w:ind w:firstLine="3120" w:firstLineChars="1300"/>
        <w:rPr>
          <w:rFonts w:cs="宋体" w:asciiTheme="minorEastAsia" w:hAnsiTheme="minorEastAsia"/>
          <w:color w:val="auto"/>
          <w:sz w:val="24"/>
          <w:szCs w:val="24"/>
          <w:highlight w:val="none"/>
          <w:u w:val="single"/>
        </w:rPr>
      </w:pPr>
      <w:r>
        <w:rPr>
          <w:rFonts w:hint="eastAsia" w:cs="宋体" w:asciiTheme="minorEastAsia" w:hAnsiTheme="minorEastAsia"/>
          <w:color w:val="auto"/>
          <w:sz w:val="24"/>
          <w:szCs w:val="24"/>
          <w:highlight w:val="none"/>
        </w:rPr>
        <w:t>法定代表人或被授权人签字：</w:t>
      </w:r>
      <w:r>
        <w:rPr>
          <w:rFonts w:hint="eastAsia" w:cs="宋体" w:asciiTheme="minorEastAsia" w:hAnsiTheme="minorEastAsia"/>
          <w:color w:val="auto"/>
          <w:sz w:val="24"/>
          <w:szCs w:val="24"/>
          <w:highlight w:val="none"/>
          <w:u w:val="single"/>
        </w:rPr>
        <w:t xml:space="preserve">          </w:t>
      </w:r>
    </w:p>
    <w:p w14:paraId="4521E8AF">
      <w:pPr>
        <w:pStyle w:val="15"/>
        <w:spacing w:line="440" w:lineRule="exact"/>
        <w:ind w:left="420" w:leftChars="200" w:firstLine="2280" w:firstLineChars="950"/>
        <w:rPr>
          <w:rFonts w:cs="宋体" w:asciiTheme="minorEastAsia" w:hAnsiTheme="minorEastAsia" w:eastAsiaTheme="minorEastAsia"/>
          <w:color w:val="auto"/>
          <w:sz w:val="24"/>
          <w:szCs w:val="24"/>
          <w:highlight w:val="none"/>
          <w:u w:val="single"/>
        </w:rPr>
      </w:pPr>
      <w:bookmarkStart w:id="1345" w:name="_Toc494380997"/>
      <w:bookmarkStart w:id="1346" w:name="_Toc494205633"/>
      <w:r>
        <w:rPr>
          <w:rFonts w:hint="eastAsia" w:cs="宋体" w:asciiTheme="minorEastAsia" w:hAnsiTheme="minorEastAsia" w:eastAsiaTheme="minorEastAsia"/>
          <w:color w:val="auto"/>
          <w:sz w:val="24"/>
          <w:szCs w:val="24"/>
          <w:highlight w:val="none"/>
        </w:rPr>
        <w:t>日  期：</w:t>
      </w:r>
      <w:bookmarkEnd w:id="1345"/>
      <w:bookmarkEnd w:id="1346"/>
      <w:r>
        <w:rPr>
          <w:rFonts w:hint="eastAsia" w:cs="宋体" w:asciiTheme="minorEastAsia" w:hAnsiTheme="minorEastAsia" w:eastAsiaTheme="minorEastAsia"/>
          <w:color w:val="auto"/>
          <w:sz w:val="24"/>
          <w:szCs w:val="24"/>
          <w:highlight w:val="none"/>
          <w:u w:val="single"/>
        </w:rPr>
        <w:t xml:space="preserve">   年    月   日</w:t>
      </w:r>
    </w:p>
    <w:p w14:paraId="6CBF1B47">
      <w:pPr>
        <w:pStyle w:val="35"/>
        <w:spacing w:before="0" w:after="0"/>
        <w:rPr>
          <w:rFonts w:asciiTheme="minorEastAsia" w:hAnsiTheme="minorEastAsia"/>
          <w:color w:val="auto"/>
          <w:spacing w:val="0"/>
          <w:highlight w:val="none"/>
        </w:rPr>
      </w:pPr>
    </w:p>
    <w:p w14:paraId="44208767">
      <w:pPr>
        <w:pStyle w:val="35"/>
        <w:spacing w:before="0" w:after="0"/>
        <w:rPr>
          <w:rFonts w:asciiTheme="minorEastAsia" w:hAnsiTheme="minorEastAsia"/>
          <w:color w:val="auto"/>
          <w:spacing w:val="0"/>
          <w:highlight w:val="none"/>
        </w:rPr>
      </w:pPr>
    </w:p>
    <w:bookmarkEnd w:id="1251"/>
    <w:bookmarkEnd w:id="1287"/>
    <w:bookmarkEnd w:id="1288"/>
    <w:bookmarkEnd w:id="1299"/>
    <w:bookmarkEnd w:id="1300"/>
    <w:bookmarkEnd w:id="1301"/>
    <w:bookmarkEnd w:id="1302"/>
    <w:bookmarkEnd w:id="1303"/>
    <w:p w14:paraId="6B276627">
      <w:pPr>
        <w:rPr>
          <w:rFonts w:asciiTheme="minorEastAsia" w:hAnsiTheme="minorEastAsia" w:cstheme="minorEastAsia"/>
          <w:b/>
          <w:color w:val="auto"/>
          <w:sz w:val="28"/>
          <w:highlight w:val="none"/>
        </w:rPr>
      </w:pPr>
      <w:bookmarkStart w:id="1347" w:name="_Toc304362809"/>
      <w:bookmarkStart w:id="1348" w:name="_Toc25623"/>
      <w:bookmarkStart w:id="1349" w:name="_Toc6060"/>
      <w:bookmarkStart w:id="1350" w:name="_Toc245445246"/>
      <w:bookmarkStart w:id="1351" w:name="_Toc255977454"/>
      <w:bookmarkStart w:id="1352" w:name="_Toc247292466"/>
      <w:bookmarkStart w:id="1353" w:name="_Toc247301852"/>
      <w:r>
        <w:rPr>
          <w:rFonts w:hint="eastAsia" w:asciiTheme="minorEastAsia" w:hAnsiTheme="minorEastAsia" w:cstheme="minorEastAsia"/>
          <w:b/>
          <w:color w:val="auto"/>
          <w:sz w:val="28"/>
          <w:highlight w:val="none"/>
        </w:rPr>
        <w:br w:type="page"/>
      </w:r>
    </w:p>
    <w:p w14:paraId="12B5574B">
      <w:pPr>
        <w:jc w:val="center"/>
        <w:rPr>
          <w:rFonts w:eastAsia="宋体" w:cs="宋体"/>
          <w:b/>
          <w:color w:val="auto"/>
          <w:sz w:val="24"/>
          <w:szCs w:val="24"/>
          <w:highlight w:val="none"/>
        </w:rPr>
      </w:pPr>
      <w:bookmarkStart w:id="1354" w:name="_Toc12124"/>
      <w:bookmarkStart w:id="1355" w:name="_Toc97108123"/>
      <w:r>
        <w:rPr>
          <w:rFonts w:hint="eastAsia" w:asciiTheme="minorEastAsia" w:hAnsiTheme="minorEastAsia" w:cstheme="minorEastAsia"/>
          <w:b/>
          <w:color w:val="auto"/>
          <w:sz w:val="28"/>
          <w:highlight w:val="none"/>
        </w:rPr>
        <w:t>十二、供应商认为必要提供的声明及其它资料</w:t>
      </w:r>
    </w:p>
    <w:p w14:paraId="4BFD81CF">
      <w:pPr>
        <w:pStyle w:val="15"/>
        <w:spacing w:line="480" w:lineRule="exact"/>
        <w:ind w:firstLine="480" w:firstLineChars="200"/>
        <w:rPr>
          <w:rFonts w:cs="宋体"/>
          <w:b/>
          <w:color w:val="auto"/>
          <w:sz w:val="24"/>
          <w:szCs w:val="24"/>
          <w:highlight w:val="none"/>
        </w:rPr>
      </w:pPr>
    </w:p>
    <w:p w14:paraId="5C778DF3">
      <w:pPr>
        <w:pStyle w:val="15"/>
        <w:spacing w:line="480" w:lineRule="exact"/>
        <w:ind w:firstLine="480" w:firstLineChars="200"/>
        <w:rPr>
          <w:rFonts w:cs="宋体"/>
          <w:b/>
          <w:color w:val="auto"/>
          <w:sz w:val="24"/>
          <w:szCs w:val="24"/>
          <w:highlight w:val="none"/>
        </w:rPr>
      </w:pPr>
      <w:r>
        <w:rPr>
          <w:rFonts w:cs="宋体"/>
          <w:b/>
          <w:color w:val="auto"/>
          <w:sz w:val="24"/>
          <w:szCs w:val="24"/>
          <w:highlight w:val="none"/>
        </w:rPr>
        <w:t>中小企业声明函</w:t>
      </w:r>
      <w:r>
        <w:rPr>
          <w:rFonts w:hint="eastAsia" w:cs="宋体"/>
          <w:b/>
          <w:color w:val="auto"/>
          <w:sz w:val="24"/>
          <w:szCs w:val="24"/>
          <w:highlight w:val="none"/>
        </w:rPr>
        <w:t>（</w:t>
      </w:r>
      <w:r>
        <w:rPr>
          <w:rFonts w:cs="宋体"/>
          <w:b/>
          <w:color w:val="auto"/>
          <w:sz w:val="24"/>
          <w:szCs w:val="24"/>
          <w:highlight w:val="none"/>
        </w:rPr>
        <w:t>格式</w:t>
      </w:r>
      <w:r>
        <w:rPr>
          <w:rFonts w:hint="eastAsia" w:cs="宋体"/>
          <w:b/>
          <w:color w:val="auto"/>
          <w:sz w:val="24"/>
          <w:szCs w:val="24"/>
          <w:highlight w:val="none"/>
        </w:rPr>
        <w:t>）</w:t>
      </w:r>
    </w:p>
    <w:p w14:paraId="3227FB1B">
      <w:pPr>
        <w:pStyle w:val="15"/>
        <w:spacing w:line="480" w:lineRule="exact"/>
        <w:ind w:firstLine="480" w:firstLineChars="200"/>
        <w:jc w:val="center"/>
        <w:rPr>
          <w:rFonts w:cs="宋体"/>
          <w:b/>
          <w:color w:val="auto"/>
          <w:sz w:val="24"/>
          <w:szCs w:val="24"/>
          <w:highlight w:val="none"/>
        </w:rPr>
      </w:pPr>
      <w:r>
        <w:rPr>
          <w:rFonts w:cs="宋体"/>
          <w:b/>
          <w:color w:val="auto"/>
          <w:sz w:val="24"/>
          <w:szCs w:val="24"/>
          <w:highlight w:val="none"/>
        </w:rPr>
        <w:t>中小企业声明函</w:t>
      </w:r>
    </w:p>
    <w:p w14:paraId="75C74CA1">
      <w:pPr>
        <w:pStyle w:val="15"/>
        <w:spacing w:line="480" w:lineRule="exact"/>
        <w:ind w:firstLine="480" w:firstLineChars="200"/>
        <w:rPr>
          <w:rFonts w:cs="宋体"/>
          <w:b/>
          <w:color w:val="auto"/>
          <w:sz w:val="24"/>
          <w:szCs w:val="24"/>
          <w:highlight w:val="none"/>
        </w:rPr>
      </w:pPr>
      <w:r>
        <w:rPr>
          <w:rFonts w:cs="宋体"/>
          <w:b/>
          <w:color w:val="auto"/>
          <w:sz w:val="24"/>
          <w:szCs w:val="24"/>
          <w:highlight w:val="none"/>
        </w:rPr>
        <w:t>本公司（联合体）郑重声明，根据《政府采购促进中小企业发展管理办法》（财库﹝2020﹞46 号）的规定，本公司（联合体）参加 （单位名称） 的（项目名称）采购活动，提供的货物全部由符合政策要求的中小企业制造。相关企业（含联合体中的中小企业、签订分包意向协议的中小企业）的具体情况如下：</w:t>
      </w:r>
    </w:p>
    <w:p w14:paraId="0E52BBBD">
      <w:pPr>
        <w:pStyle w:val="15"/>
        <w:spacing w:line="480" w:lineRule="exact"/>
        <w:ind w:firstLine="480" w:firstLineChars="200"/>
        <w:rPr>
          <w:rFonts w:cs="宋体"/>
          <w:b/>
          <w:color w:val="auto"/>
          <w:sz w:val="24"/>
          <w:szCs w:val="24"/>
          <w:highlight w:val="none"/>
        </w:rPr>
      </w:pPr>
      <w:r>
        <w:rPr>
          <w:rFonts w:cs="宋体"/>
          <w:b/>
          <w:color w:val="auto"/>
          <w:sz w:val="24"/>
          <w:szCs w:val="24"/>
          <w:highlight w:val="none"/>
        </w:rPr>
        <w:t>1.（标的名称），属于（采购文件中明确的所属行业）行业；制造商为（企业名称），从业人员 人，营业收入为 万元，资产总额为 万元，属于（中型企业、小型企业、微型企业）；</w:t>
      </w:r>
    </w:p>
    <w:p w14:paraId="74013D50">
      <w:pPr>
        <w:pStyle w:val="15"/>
        <w:spacing w:line="480" w:lineRule="exact"/>
        <w:ind w:firstLine="480" w:firstLineChars="200"/>
        <w:rPr>
          <w:rFonts w:cs="宋体"/>
          <w:b/>
          <w:color w:val="auto"/>
          <w:sz w:val="24"/>
          <w:szCs w:val="24"/>
          <w:highlight w:val="none"/>
        </w:rPr>
      </w:pPr>
      <w:r>
        <w:rPr>
          <w:rFonts w:cs="宋体"/>
          <w:b/>
          <w:color w:val="auto"/>
          <w:sz w:val="24"/>
          <w:szCs w:val="24"/>
          <w:highlight w:val="none"/>
        </w:rPr>
        <w:t>2.（标的名称），属于（采购文件中明确的所属行业）行业；制造商为（企业名称），从业人员 人，营业收入为 万元，资产总额为 万元，属于（中型企业、小型企业、微型企业）；……</w:t>
      </w:r>
    </w:p>
    <w:p w14:paraId="0EEDCB18">
      <w:pPr>
        <w:pStyle w:val="15"/>
        <w:spacing w:line="480" w:lineRule="exact"/>
        <w:ind w:firstLine="480" w:firstLineChars="200"/>
        <w:rPr>
          <w:rFonts w:cs="宋体"/>
          <w:b/>
          <w:color w:val="auto"/>
          <w:sz w:val="24"/>
          <w:szCs w:val="24"/>
          <w:highlight w:val="none"/>
        </w:rPr>
      </w:pPr>
      <w:r>
        <w:rPr>
          <w:rFonts w:cs="宋体"/>
          <w:b/>
          <w:color w:val="auto"/>
          <w:sz w:val="24"/>
          <w:szCs w:val="24"/>
          <w:highlight w:val="none"/>
        </w:rPr>
        <w:t>以上企业，不属于大企业的分支机构，不存在控股股东为大企业的情形，也不存在与大企业的负责人为同一人的情形。</w:t>
      </w:r>
    </w:p>
    <w:p w14:paraId="2D86C537">
      <w:pPr>
        <w:pStyle w:val="15"/>
        <w:spacing w:line="480" w:lineRule="exact"/>
        <w:ind w:firstLine="480" w:firstLineChars="200"/>
        <w:rPr>
          <w:rFonts w:cs="宋体"/>
          <w:b/>
          <w:color w:val="auto"/>
          <w:sz w:val="24"/>
          <w:szCs w:val="24"/>
          <w:highlight w:val="none"/>
        </w:rPr>
      </w:pPr>
      <w:r>
        <w:rPr>
          <w:rFonts w:cs="宋体"/>
          <w:b/>
          <w:color w:val="auto"/>
          <w:sz w:val="24"/>
          <w:szCs w:val="24"/>
          <w:highlight w:val="none"/>
        </w:rPr>
        <w:t>本企业对上述声明内容的真实性负责。如有虚假，将依法承担相应责任。</w:t>
      </w:r>
    </w:p>
    <w:p w14:paraId="65A64932">
      <w:pPr>
        <w:pStyle w:val="15"/>
        <w:spacing w:line="480" w:lineRule="exact"/>
        <w:ind w:firstLine="480" w:firstLineChars="200"/>
        <w:jc w:val="right"/>
        <w:rPr>
          <w:rFonts w:cs="宋体"/>
          <w:b/>
          <w:color w:val="auto"/>
          <w:sz w:val="24"/>
          <w:szCs w:val="24"/>
          <w:highlight w:val="none"/>
        </w:rPr>
      </w:pPr>
      <w:r>
        <w:rPr>
          <w:rFonts w:cs="宋体"/>
          <w:b/>
          <w:color w:val="auto"/>
          <w:sz w:val="24"/>
          <w:szCs w:val="24"/>
          <w:highlight w:val="none"/>
        </w:rPr>
        <w:t>供应商名称（盖公章）：</w:t>
      </w:r>
    </w:p>
    <w:p w14:paraId="2C9EC720">
      <w:pPr>
        <w:pStyle w:val="15"/>
        <w:spacing w:line="480" w:lineRule="exact"/>
        <w:ind w:firstLine="480" w:firstLineChars="200"/>
        <w:jc w:val="right"/>
        <w:rPr>
          <w:rFonts w:cs="宋体"/>
          <w:b/>
          <w:color w:val="auto"/>
          <w:sz w:val="24"/>
          <w:szCs w:val="24"/>
          <w:highlight w:val="none"/>
        </w:rPr>
      </w:pPr>
      <w:r>
        <w:rPr>
          <w:rFonts w:cs="宋体"/>
          <w:b/>
          <w:color w:val="auto"/>
          <w:sz w:val="24"/>
          <w:szCs w:val="24"/>
          <w:highlight w:val="none"/>
        </w:rPr>
        <w:t>日期： 年 月 日</w:t>
      </w:r>
    </w:p>
    <w:p w14:paraId="7524B576">
      <w:pPr>
        <w:pStyle w:val="15"/>
        <w:spacing w:line="480" w:lineRule="exact"/>
        <w:ind w:firstLine="480" w:firstLineChars="200"/>
        <w:jc w:val="right"/>
        <w:rPr>
          <w:rFonts w:cs="宋体"/>
          <w:b/>
          <w:color w:val="auto"/>
          <w:sz w:val="24"/>
          <w:szCs w:val="24"/>
          <w:highlight w:val="none"/>
        </w:rPr>
      </w:pPr>
    </w:p>
    <w:p w14:paraId="69C484A2">
      <w:pPr>
        <w:pStyle w:val="15"/>
        <w:spacing w:line="480" w:lineRule="exact"/>
        <w:ind w:firstLine="480" w:firstLineChars="200"/>
        <w:rPr>
          <w:rFonts w:cs="宋体"/>
          <w:b/>
          <w:color w:val="auto"/>
          <w:sz w:val="24"/>
          <w:szCs w:val="24"/>
          <w:highlight w:val="none"/>
        </w:rPr>
      </w:pPr>
      <w:r>
        <w:rPr>
          <w:rFonts w:cs="宋体"/>
          <w:b/>
          <w:color w:val="auto"/>
          <w:sz w:val="24"/>
          <w:szCs w:val="24"/>
          <w:highlight w:val="none"/>
        </w:rPr>
        <w:t>注：享受《政府采购促进中小企业发展管理办法》（财库〔2020〕46 号）规定的中小企业扶持政策的，采购人或者采购代理机构应当随成交结果公开成交供应商的《中小企业声明函》，接受社会监督。从业人员、营业收入、资产总额填报上一年度数据，无上一年度数据的新成立企业可不填报。</w:t>
      </w:r>
    </w:p>
    <w:p w14:paraId="7137545A">
      <w:pPr>
        <w:pStyle w:val="15"/>
        <w:spacing w:line="480" w:lineRule="exact"/>
        <w:ind w:firstLine="480" w:firstLineChars="200"/>
        <w:rPr>
          <w:rFonts w:cs="宋体"/>
          <w:b/>
          <w:color w:val="auto"/>
          <w:sz w:val="24"/>
          <w:szCs w:val="24"/>
          <w:highlight w:val="none"/>
        </w:rPr>
      </w:pPr>
    </w:p>
    <w:p w14:paraId="372C97F0">
      <w:pPr>
        <w:pStyle w:val="15"/>
        <w:spacing w:line="480" w:lineRule="exact"/>
        <w:ind w:firstLine="480" w:firstLineChars="200"/>
        <w:rPr>
          <w:rFonts w:cs="宋体"/>
          <w:b/>
          <w:color w:val="auto"/>
          <w:sz w:val="24"/>
          <w:szCs w:val="24"/>
          <w:highlight w:val="none"/>
        </w:rPr>
      </w:pPr>
    </w:p>
    <w:p w14:paraId="3F643F26">
      <w:pPr>
        <w:pStyle w:val="15"/>
        <w:spacing w:line="480" w:lineRule="exact"/>
        <w:ind w:firstLine="480" w:firstLineChars="200"/>
        <w:rPr>
          <w:rFonts w:cs="宋体"/>
          <w:b/>
          <w:color w:val="auto"/>
          <w:sz w:val="24"/>
          <w:szCs w:val="24"/>
          <w:highlight w:val="none"/>
        </w:rPr>
      </w:pPr>
    </w:p>
    <w:p w14:paraId="54E4443D">
      <w:pPr>
        <w:pStyle w:val="15"/>
        <w:spacing w:line="480" w:lineRule="exact"/>
        <w:ind w:firstLine="480" w:firstLineChars="200"/>
        <w:rPr>
          <w:rFonts w:cs="宋体"/>
          <w:b/>
          <w:color w:val="auto"/>
          <w:sz w:val="24"/>
          <w:szCs w:val="24"/>
          <w:highlight w:val="none"/>
        </w:rPr>
      </w:pPr>
    </w:p>
    <w:p w14:paraId="1B88D447">
      <w:pPr>
        <w:pStyle w:val="15"/>
        <w:spacing w:line="480" w:lineRule="exact"/>
        <w:rPr>
          <w:rFonts w:cs="宋体"/>
          <w:b/>
          <w:color w:val="auto"/>
          <w:sz w:val="24"/>
          <w:szCs w:val="24"/>
          <w:highlight w:val="none"/>
        </w:rPr>
      </w:pPr>
    </w:p>
    <w:p w14:paraId="07012F26">
      <w:pPr>
        <w:snapToGrid w:val="0"/>
        <w:spacing w:before="50" w:afterLines="50" w:line="480" w:lineRule="exact"/>
        <w:ind w:firstLine="480" w:firstLineChars="200"/>
        <w:rPr>
          <w:rFonts w:ascii="宋体" w:hAnsi="宋体" w:cs="宋体"/>
          <w:b/>
          <w:color w:val="auto"/>
          <w:sz w:val="24"/>
          <w:highlight w:val="none"/>
        </w:rPr>
      </w:pPr>
      <w:bookmarkStart w:id="1356" w:name="OLE_LINK13"/>
      <w:bookmarkStart w:id="1357" w:name="OLE_LINK14"/>
      <w:r>
        <w:rPr>
          <w:rFonts w:hint="eastAsia" w:ascii="宋体" w:hAnsi="宋体" w:cs="宋体"/>
          <w:b/>
          <w:color w:val="auto"/>
          <w:sz w:val="24"/>
          <w:highlight w:val="none"/>
        </w:rPr>
        <w:t>残疾人福利性单位声明函（格式）：</w:t>
      </w:r>
    </w:p>
    <w:p w14:paraId="338FEBD2">
      <w:pPr>
        <w:snapToGrid w:val="0"/>
        <w:spacing w:before="50" w:afterLines="50" w:line="480" w:lineRule="exact"/>
        <w:ind w:firstLine="480" w:firstLineChars="200"/>
        <w:rPr>
          <w:rFonts w:ascii="宋体" w:hAnsi="宋体" w:cs="宋体"/>
          <w:b/>
          <w:color w:val="auto"/>
          <w:sz w:val="24"/>
          <w:highlight w:val="none"/>
        </w:rPr>
      </w:pPr>
    </w:p>
    <w:p w14:paraId="14056DBB">
      <w:pPr>
        <w:spacing w:line="480" w:lineRule="exact"/>
        <w:jc w:val="center"/>
        <w:rPr>
          <w:rFonts w:ascii="宋体" w:hAnsi="宋体" w:cs="宋体"/>
          <w:color w:val="auto"/>
          <w:sz w:val="24"/>
          <w:highlight w:val="none"/>
        </w:rPr>
      </w:pPr>
      <w:r>
        <w:rPr>
          <w:rFonts w:hint="eastAsia" w:ascii="宋体" w:hAnsi="宋体" w:cs="宋体"/>
          <w:color w:val="auto"/>
          <w:sz w:val="24"/>
          <w:highlight w:val="none"/>
        </w:rPr>
        <w:t>残疾人福利性单位声明函</w:t>
      </w:r>
    </w:p>
    <w:bookmarkEnd w:id="1356"/>
    <w:bookmarkEnd w:id="1357"/>
    <w:p w14:paraId="5B7851A6">
      <w:pPr>
        <w:spacing w:line="480" w:lineRule="exact"/>
        <w:rPr>
          <w:rFonts w:ascii="宋体" w:hAnsi="宋体" w:cs="宋体"/>
          <w:color w:val="auto"/>
          <w:spacing w:val="6"/>
          <w:sz w:val="24"/>
          <w:highlight w:val="none"/>
        </w:rPr>
      </w:pPr>
    </w:p>
    <w:p w14:paraId="31414532">
      <w:pPr>
        <w:spacing w:line="48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 141</w:t>
      </w:r>
      <w:r>
        <w:rPr>
          <w:rFonts w:hint="eastAsia" w:ascii="宋体" w:hAnsi="宋体" w:cs="宋体"/>
          <w:color w:val="auto"/>
          <w:spacing w:val="6"/>
          <w:sz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9B206E9">
      <w:pPr>
        <w:spacing w:line="48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35145BD0">
      <w:pPr>
        <w:spacing w:line="480" w:lineRule="exact"/>
        <w:ind w:firstLine="504" w:firstLineChars="200"/>
        <w:rPr>
          <w:rFonts w:ascii="宋体" w:hAnsi="宋体" w:cs="宋体"/>
          <w:color w:val="auto"/>
          <w:spacing w:val="6"/>
          <w:sz w:val="24"/>
          <w:highlight w:val="none"/>
        </w:rPr>
      </w:pPr>
    </w:p>
    <w:p w14:paraId="1BC1F00A">
      <w:pPr>
        <w:tabs>
          <w:tab w:val="left" w:pos="4860"/>
        </w:tabs>
        <w:spacing w:line="480" w:lineRule="exact"/>
        <w:ind w:right="1560" w:firstLine="504" w:firstLineChars="200"/>
        <w:jc w:val="center"/>
        <w:rPr>
          <w:rFonts w:ascii="宋体" w:hAnsi="宋体" w:cs="宋体"/>
          <w:color w:val="auto"/>
          <w:spacing w:val="6"/>
          <w:sz w:val="24"/>
          <w:highlight w:val="none"/>
        </w:rPr>
      </w:pPr>
      <w:r>
        <w:rPr>
          <w:rFonts w:hint="eastAsia" w:ascii="宋体" w:hAnsi="宋体" w:cs="宋体"/>
          <w:color w:val="auto"/>
          <w:spacing w:val="6"/>
          <w:sz w:val="24"/>
          <w:highlight w:val="none"/>
        </w:rPr>
        <w:t xml:space="preserve">               单位名称（盖章）：</w:t>
      </w:r>
    </w:p>
    <w:p w14:paraId="3CFA1C29">
      <w:pPr>
        <w:tabs>
          <w:tab w:val="left" w:pos="4860"/>
        </w:tabs>
        <w:spacing w:line="480" w:lineRule="exact"/>
        <w:ind w:right="1560" w:firstLine="504" w:firstLineChars="200"/>
        <w:jc w:val="center"/>
        <w:rPr>
          <w:rFonts w:ascii="宋体" w:hAnsi="宋体" w:cs="宋体"/>
          <w:b/>
          <w:color w:val="auto"/>
          <w:sz w:val="24"/>
          <w:highlight w:val="none"/>
        </w:rPr>
      </w:pPr>
      <w:r>
        <w:rPr>
          <w:rFonts w:hint="eastAsia" w:ascii="宋体" w:hAnsi="宋体" w:cs="宋体"/>
          <w:color w:val="auto"/>
          <w:spacing w:val="6"/>
          <w:sz w:val="24"/>
          <w:highlight w:val="none"/>
        </w:rPr>
        <w:t xml:space="preserve">       日  期：</w:t>
      </w:r>
    </w:p>
    <w:p w14:paraId="77A699BD">
      <w:pPr>
        <w:spacing w:line="480" w:lineRule="exact"/>
        <w:rPr>
          <w:rFonts w:ascii="宋体" w:hAnsi="宋体" w:cs="宋体"/>
          <w:b/>
          <w:color w:val="auto"/>
          <w:sz w:val="24"/>
          <w:highlight w:val="none"/>
        </w:rPr>
      </w:pPr>
    </w:p>
    <w:p w14:paraId="512DF697">
      <w:pPr>
        <w:spacing w:line="400" w:lineRule="exact"/>
        <w:rPr>
          <w:rFonts w:ascii="宋体" w:hAnsi="宋体" w:cs="宋体"/>
          <w:bCs/>
          <w:color w:val="auto"/>
          <w:sz w:val="24"/>
          <w:highlight w:val="none"/>
        </w:rPr>
      </w:pPr>
      <w:r>
        <w:rPr>
          <w:rFonts w:hint="eastAsia" w:ascii="宋体" w:hAnsi="宋体" w:cs="宋体"/>
          <w:b/>
          <w:color w:val="auto"/>
          <w:sz w:val="24"/>
          <w:highlight w:val="none"/>
        </w:rPr>
        <w:t>备注：</w:t>
      </w:r>
      <w:r>
        <w:rPr>
          <w:rFonts w:hint="eastAsia" w:ascii="宋体" w:hAnsi="宋体" w:cs="宋体"/>
          <w:bCs/>
          <w:color w:val="auto"/>
          <w:sz w:val="24"/>
          <w:highlight w:val="none"/>
        </w:rPr>
        <w:t>享受政府采购支持政策的残疾人福利性单位应当同时满足以下条件：</w:t>
      </w:r>
    </w:p>
    <w:p w14:paraId="2FDF6129">
      <w:pPr>
        <w:spacing w:line="400" w:lineRule="exact"/>
        <w:rPr>
          <w:rFonts w:ascii="宋体" w:hAnsi="宋体" w:cs="宋体"/>
          <w:bCs/>
          <w:color w:val="auto"/>
          <w:sz w:val="24"/>
          <w:highlight w:val="none"/>
        </w:rPr>
      </w:pPr>
      <w:r>
        <w:rPr>
          <w:rFonts w:hint="eastAsia" w:ascii="宋体" w:hAnsi="宋体" w:cs="宋体"/>
          <w:bCs/>
          <w:color w:val="auto"/>
          <w:sz w:val="24"/>
          <w:highlight w:val="none"/>
        </w:rPr>
        <w:t>（一）安置的残疾人占本单位在职职工人数的比例不低于25%（含25%），并且安置的残疾人人数不少于10人（含10人）；</w:t>
      </w:r>
    </w:p>
    <w:p w14:paraId="7D602E07">
      <w:pPr>
        <w:spacing w:line="400" w:lineRule="exact"/>
        <w:rPr>
          <w:rFonts w:ascii="宋体" w:hAnsi="宋体" w:cs="宋体"/>
          <w:bCs/>
          <w:color w:val="auto"/>
          <w:sz w:val="24"/>
          <w:highlight w:val="none"/>
        </w:rPr>
      </w:pPr>
      <w:r>
        <w:rPr>
          <w:rFonts w:hint="eastAsia" w:ascii="宋体" w:hAnsi="宋体" w:cs="宋体"/>
          <w:bCs/>
          <w:color w:val="auto"/>
          <w:sz w:val="24"/>
          <w:highlight w:val="none"/>
        </w:rPr>
        <w:t>（二）依法与安置的每位残疾人签订了一年以上（含一年）的劳动合同或服务协议；</w:t>
      </w:r>
    </w:p>
    <w:p w14:paraId="72D2AA39">
      <w:pPr>
        <w:spacing w:line="400" w:lineRule="exact"/>
        <w:rPr>
          <w:rFonts w:ascii="宋体" w:hAnsi="宋体" w:cs="宋体"/>
          <w:bCs/>
          <w:color w:val="auto"/>
          <w:sz w:val="24"/>
          <w:highlight w:val="none"/>
        </w:rPr>
      </w:pPr>
      <w:r>
        <w:rPr>
          <w:rFonts w:hint="eastAsia" w:ascii="宋体" w:hAnsi="宋体" w:cs="宋体"/>
          <w:bCs/>
          <w:color w:val="auto"/>
          <w:sz w:val="24"/>
          <w:highlight w:val="none"/>
        </w:rPr>
        <w:t>（三）为安置的每位残疾人按月足额缴纳了基本养老保险、基本医疗保险、失业保险、工伤保险和生育保险等社会保险费；</w:t>
      </w:r>
    </w:p>
    <w:p w14:paraId="7DD37E41">
      <w:pPr>
        <w:spacing w:line="400" w:lineRule="exact"/>
        <w:rPr>
          <w:rFonts w:ascii="宋体" w:hAnsi="宋体" w:cs="宋体"/>
          <w:bCs/>
          <w:color w:val="auto"/>
          <w:sz w:val="24"/>
          <w:highlight w:val="none"/>
        </w:rPr>
      </w:pPr>
      <w:r>
        <w:rPr>
          <w:rFonts w:hint="eastAsia" w:ascii="宋体" w:hAnsi="宋体" w:cs="宋体"/>
          <w:bCs/>
          <w:color w:val="auto"/>
          <w:sz w:val="24"/>
          <w:highlight w:val="none"/>
        </w:rPr>
        <w:t>（四）通过银行等金融机构向安置的每位残疾人，按月支付了不低于单位所在区县适用的经省级人民政府批准的月最低工资标准的工资；</w:t>
      </w:r>
    </w:p>
    <w:p w14:paraId="136320F7">
      <w:pPr>
        <w:spacing w:line="400" w:lineRule="exact"/>
        <w:rPr>
          <w:rFonts w:ascii="宋体" w:hAnsi="宋体" w:cs="宋体"/>
          <w:bCs/>
          <w:color w:val="auto"/>
          <w:sz w:val="24"/>
          <w:highlight w:val="none"/>
        </w:rPr>
      </w:pPr>
      <w:r>
        <w:rPr>
          <w:rFonts w:hint="eastAsia" w:ascii="宋体" w:hAnsi="宋体" w:cs="宋体"/>
          <w:bCs/>
          <w:color w:val="auto"/>
          <w:sz w:val="24"/>
          <w:highlight w:val="none"/>
        </w:rPr>
        <w:t>（五）提供本单位制造的货物、承担的工程或者服务（以下简称产品），或者提供其他残疾人福利性单位制造的货物（不包括使用非残疾人福利性单位注册商标的货物）。</w:t>
      </w:r>
    </w:p>
    <w:p w14:paraId="02FE6E18">
      <w:pPr>
        <w:spacing w:line="400" w:lineRule="exact"/>
        <w:rPr>
          <w:rFonts w:ascii="宋体" w:hAnsi="宋体" w:cs="宋体"/>
          <w:b/>
          <w:color w:val="auto"/>
          <w:sz w:val="24"/>
          <w:highlight w:val="none"/>
        </w:rPr>
      </w:pPr>
      <w:r>
        <w:rPr>
          <w:rFonts w:hint="eastAsia" w:ascii="宋体" w:hAnsi="宋体" w:cs="宋体"/>
          <w:bCs/>
          <w:color w:val="auto"/>
          <w:sz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481E1AA">
      <w:pPr>
        <w:rPr>
          <w:color w:val="auto"/>
          <w:highlight w:val="none"/>
        </w:rPr>
      </w:pPr>
    </w:p>
    <w:p w14:paraId="057C2942">
      <w:pPr>
        <w:pStyle w:val="2"/>
        <w:spacing w:line="360" w:lineRule="auto"/>
        <w:rPr>
          <w:rFonts w:asciiTheme="minorEastAsia" w:hAnsiTheme="minorEastAsia" w:cstheme="minorEastAsia"/>
          <w:color w:val="auto"/>
          <w:sz w:val="36"/>
          <w:highlight w:val="none"/>
        </w:rPr>
      </w:pPr>
      <w:bookmarkStart w:id="1358" w:name="_Toc7528"/>
      <w:r>
        <w:rPr>
          <w:rFonts w:hint="eastAsia" w:asciiTheme="minorEastAsia" w:hAnsiTheme="minorEastAsia" w:cstheme="minorEastAsia"/>
          <w:color w:val="auto"/>
          <w:sz w:val="36"/>
          <w:highlight w:val="none"/>
        </w:rPr>
        <w:t>二、  商务及技术部分</w:t>
      </w:r>
      <w:bookmarkEnd w:id="1354"/>
      <w:bookmarkEnd w:id="1355"/>
      <w:bookmarkEnd w:id="1358"/>
    </w:p>
    <w:p w14:paraId="6B7F637B">
      <w:pPr>
        <w:pStyle w:val="3"/>
        <w:spacing w:line="360" w:lineRule="auto"/>
        <w:jc w:val="center"/>
        <w:rPr>
          <w:rFonts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封面格式</w:t>
      </w:r>
    </w:p>
    <w:tbl>
      <w:tblPr>
        <w:tblStyle w:val="27"/>
        <w:tblW w:w="91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3BE91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4" w:hRule="atLeast"/>
        </w:trPr>
        <w:tc>
          <w:tcPr>
            <w:tcW w:w="9180" w:type="dxa"/>
          </w:tcPr>
          <w:p w14:paraId="116A4CA3">
            <w:pPr>
              <w:adjustRightInd w:val="0"/>
              <w:spacing w:line="360" w:lineRule="auto"/>
              <w:jc w:val="center"/>
              <w:rPr>
                <w:rFonts w:asciiTheme="minorEastAsia" w:hAnsiTheme="minorEastAsia" w:cstheme="minorEastAsia"/>
                <w:b/>
                <w:color w:val="auto"/>
                <w:kern w:val="0"/>
                <w:sz w:val="44"/>
                <w:highlight w:val="none"/>
              </w:rPr>
            </w:pPr>
          </w:p>
          <w:p w14:paraId="24D06F39">
            <w:pPr>
              <w:adjustRightInd w:val="0"/>
              <w:spacing w:line="360" w:lineRule="auto"/>
              <w:jc w:val="center"/>
              <w:rPr>
                <w:rFonts w:asciiTheme="minorEastAsia" w:hAnsiTheme="minorEastAsia" w:cstheme="minorEastAsia"/>
                <w:b/>
                <w:color w:val="auto"/>
                <w:kern w:val="0"/>
                <w:sz w:val="44"/>
                <w:highlight w:val="none"/>
              </w:rPr>
            </w:pPr>
          </w:p>
          <w:p w14:paraId="0266F67A">
            <w:pPr>
              <w:adjustRightInd w:val="0"/>
              <w:spacing w:line="360" w:lineRule="auto"/>
              <w:jc w:val="center"/>
              <w:outlineLvl w:val="0"/>
              <w:rPr>
                <w:rFonts w:asciiTheme="minorEastAsia" w:hAnsiTheme="minorEastAsia" w:cstheme="minorEastAsia"/>
                <w:b/>
                <w:color w:val="auto"/>
                <w:kern w:val="0"/>
                <w:sz w:val="36"/>
                <w:highlight w:val="none"/>
              </w:rPr>
            </w:pPr>
            <w:r>
              <w:rPr>
                <w:rFonts w:hint="eastAsia" w:asciiTheme="minorEastAsia" w:hAnsiTheme="minorEastAsia" w:cstheme="minorEastAsia"/>
                <w:b/>
                <w:color w:val="auto"/>
                <w:kern w:val="0"/>
                <w:sz w:val="36"/>
                <w:highlight w:val="none"/>
                <w:u w:val="single"/>
              </w:rPr>
              <w:t xml:space="preserve">                        </w:t>
            </w:r>
            <w:bookmarkStart w:id="1359" w:name="_Toc29671"/>
            <w:bookmarkStart w:id="1360" w:name="_Toc2745"/>
            <w:bookmarkStart w:id="1361" w:name="_Toc97108124"/>
            <w:r>
              <w:rPr>
                <w:rFonts w:hint="eastAsia" w:asciiTheme="minorEastAsia" w:hAnsiTheme="minorEastAsia" w:cstheme="minorEastAsia"/>
                <w:b/>
                <w:color w:val="auto"/>
                <w:kern w:val="0"/>
                <w:sz w:val="36"/>
                <w:highlight w:val="none"/>
              </w:rPr>
              <w:t>工程</w:t>
            </w:r>
            <w:bookmarkEnd w:id="1359"/>
            <w:bookmarkEnd w:id="1360"/>
            <w:bookmarkEnd w:id="1361"/>
          </w:p>
          <w:p w14:paraId="7189FC60">
            <w:pPr>
              <w:adjustRightInd w:val="0"/>
              <w:spacing w:line="360" w:lineRule="auto"/>
              <w:jc w:val="center"/>
              <w:rPr>
                <w:rFonts w:asciiTheme="minorEastAsia" w:hAnsiTheme="minorEastAsia" w:cstheme="minorEastAsia"/>
                <w:b/>
                <w:color w:val="auto"/>
                <w:kern w:val="0"/>
                <w:sz w:val="24"/>
                <w:highlight w:val="none"/>
              </w:rPr>
            </w:pPr>
          </w:p>
          <w:p w14:paraId="7CDFC498">
            <w:pPr>
              <w:adjustRightInd w:val="0"/>
              <w:spacing w:line="360" w:lineRule="auto"/>
              <w:jc w:val="center"/>
              <w:rPr>
                <w:rFonts w:asciiTheme="minorEastAsia" w:hAnsiTheme="minorEastAsia" w:cstheme="minorEastAsia"/>
                <w:color w:val="auto"/>
                <w:kern w:val="0"/>
                <w:sz w:val="24"/>
                <w:highlight w:val="none"/>
              </w:rPr>
            </w:pPr>
          </w:p>
          <w:p w14:paraId="2097EB8C">
            <w:pPr>
              <w:adjustRightInd w:val="0"/>
              <w:spacing w:line="360" w:lineRule="auto"/>
              <w:jc w:val="center"/>
              <w:rPr>
                <w:rFonts w:asciiTheme="minorEastAsia" w:hAnsiTheme="minorEastAsia" w:cstheme="minorEastAsia"/>
                <w:color w:val="auto"/>
                <w:kern w:val="0"/>
                <w:sz w:val="24"/>
                <w:highlight w:val="none"/>
              </w:rPr>
            </w:pPr>
          </w:p>
          <w:p w14:paraId="666EF96F">
            <w:pPr>
              <w:adjustRightInd w:val="0"/>
              <w:spacing w:line="360" w:lineRule="auto"/>
              <w:jc w:val="center"/>
              <w:outlineLvl w:val="0"/>
              <w:rPr>
                <w:rFonts w:asciiTheme="minorEastAsia" w:hAnsiTheme="minorEastAsia" w:cstheme="minorEastAsia"/>
                <w:b/>
                <w:color w:val="auto"/>
                <w:kern w:val="0"/>
                <w:sz w:val="72"/>
                <w:highlight w:val="none"/>
              </w:rPr>
            </w:pPr>
            <w:bookmarkStart w:id="1362" w:name="_Toc6273"/>
            <w:bookmarkStart w:id="1363" w:name="_Toc97108125"/>
            <w:bookmarkStart w:id="1364" w:name="_Toc21537"/>
            <w:r>
              <w:rPr>
                <w:rFonts w:hint="eastAsia" w:asciiTheme="minorEastAsia" w:hAnsiTheme="minorEastAsia" w:cstheme="minorEastAsia"/>
                <w:b/>
                <w:color w:val="auto"/>
                <w:kern w:val="0"/>
                <w:sz w:val="72"/>
                <w:highlight w:val="none"/>
              </w:rPr>
              <w:t>响 应 文 件</w:t>
            </w:r>
            <w:bookmarkEnd w:id="1362"/>
            <w:bookmarkEnd w:id="1363"/>
            <w:bookmarkEnd w:id="1364"/>
          </w:p>
          <w:p w14:paraId="214D4E51">
            <w:pPr>
              <w:adjustRightInd w:val="0"/>
              <w:spacing w:line="360" w:lineRule="auto"/>
              <w:jc w:val="center"/>
              <w:rPr>
                <w:rFonts w:asciiTheme="minorEastAsia" w:hAnsiTheme="minorEastAsia" w:cstheme="minorEastAsia"/>
                <w:color w:val="auto"/>
                <w:kern w:val="0"/>
                <w:sz w:val="24"/>
                <w:highlight w:val="none"/>
              </w:rPr>
            </w:pPr>
          </w:p>
          <w:p w14:paraId="6F236AB4">
            <w:pPr>
              <w:adjustRightInd w:val="0"/>
              <w:spacing w:line="360" w:lineRule="auto"/>
              <w:jc w:val="center"/>
              <w:rPr>
                <w:rFonts w:asciiTheme="minorEastAsia" w:hAnsiTheme="minorEastAsia" w:cstheme="minorEastAsia"/>
                <w:color w:val="auto"/>
                <w:kern w:val="0"/>
                <w:sz w:val="24"/>
                <w:highlight w:val="none"/>
              </w:rPr>
            </w:pPr>
          </w:p>
          <w:p w14:paraId="6FAC4862">
            <w:pPr>
              <w:adjustRightInd w:val="0"/>
              <w:spacing w:line="360" w:lineRule="auto"/>
              <w:jc w:val="center"/>
              <w:rPr>
                <w:rFonts w:asciiTheme="minorEastAsia" w:hAnsiTheme="minorEastAsia" w:cstheme="minorEastAsia"/>
                <w:color w:val="auto"/>
                <w:kern w:val="0"/>
                <w:sz w:val="24"/>
                <w:highlight w:val="none"/>
              </w:rPr>
            </w:pPr>
          </w:p>
          <w:p w14:paraId="3358CE77">
            <w:pPr>
              <w:adjustRightInd w:val="0"/>
              <w:spacing w:line="360" w:lineRule="auto"/>
              <w:jc w:val="center"/>
              <w:rPr>
                <w:rFonts w:asciiTheme="minorEastAsia" w:hAnsiTheme="minorEastAsia" w:cstheme="minorEastAsia"/>
                <w:color w:val="auto"/>
                <w:kern w:val="0"/>
                <w:sz w:val="24"/>
                <w:highlight w:val="none"/>
              </w:rPr>
            </w:pPr>
          </w:p>
          <w:p w14:paraId="07B11BD4">
            <w:pPr>
              <w:adjustRightInd w:val="0"/>
              <w:spacing w:line="360" w:lineRule="auto"/>
              <w:jc w:val="center"/>
              <w:rPr>
                <w:rFonts w:asciiTheme="minorEastAsia" w:hAnsiTheme="minorEastAsia" w:cstheme="minorEastAsia"/>
                <w:color w:val="auto"/>
                <w:kern w:val="0"/>
                <w:sz w:val="24"/>
                <w:highlight w:val="none"/>
              </w:rPr>
            </w:pPr>
          </w:p>
          <w:p w14:paraId="215B3521">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w:t>
            </w:r>
          </w:p>
          <w:p w14:paraId="19360978">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365" w:name="_Toc97108126"/>
            <w:bookmarkStart w:id="1366" w:name="_Toc14768"/>
            <w:bookmarkStart w:id="1367" w:name="_Toc24000"/>
            <w:r>
              <w:rPr>
                <w:rFonts w:hint="eastAsia" w:asciiTheme="minorEastAsia" w:hAnsiTheme="minorEastAsia" w:cstheme="minorEastAsia"/>
                <w:color w:val="auto"/>
                <w:kern w:val="0"/>
                <w:sz w:val="28"/>
                <w:highlight w:val="none"/>
              </w:rPr>
              <w:t>项目名称：</w:t>
            </w:r>
            <w:bookmarkEnd w:id="1365"/>
            <w:bookmarkEnd w:id="1366"/>
            <w:bookmarkEnd w:id="1367"/>
            <w:r>
              <w:rPr>
                <w:rFonts w:hint="eastAsia" w:asciiTheme="minorEastAsia" w:hAnsiTheme="minorEastAsia" w:cstheme="minorEastAsia"/>
                <w:color w:val="auto"/>
                <w:kern w:val="0"/>
                <w:sz w:val="28"/>
                <w:highlight w:val="none"/>
                <w:u w:val="single"/>
              </w:rPr>
              <w:t xml:space="preserve">                                              </w:t>
            </w:r>
          </w:p>
          <w:p w14:paraId="53A10AB0">
            <w:pPr>
              <w:adjustRightInd w:val="0"/>
              <w:spacing w:line="360" w:lineRule="auto"/>
              <w:rPr>
                <w:rFonts w:asciiTheme="minorEastAsia" w:hAnsiTheme="minorEastAsia" w:cstheme="minorEastAsia"/>
                <w:color w:val="auto"/>
                <w:kern w:val="0"/>
                <w:sz w:val="28"/>
                <w:highlight w:val="none"/>
              </w:rPr>
            </w:pPr>
            <w:r>
              <w:rPr>
                <w:rFonts w:hint="eastAsia" w:asciiTheme="minorEastAsia" w:hAnsiTheme="minorEastAsia" w:cstheme="minorEastAsia"/>
                <w:color w:val="auto"/>
                <w:kern w:val="0"/>
                <w:sz w:val="28"/>
                <w:highlight w:val="none"/>
              </w:rPr>
              <w:t xml:space="preserve">    响应文件内容：</w:t>
            </w:r>
            <w:r>
              <w:rPr>
                <w:rFonts w:hint="eastAsia" w:asciiTheme="minorEastAsia" w:hAnsiTheme="minorEastAsia" w:cstheme="minorEastAsia"/>
                <w:color w:val="auto"/>
                <w:kern w:val="0"/>
                <w:sz w:val="28"/>
                <w:highlight w:val="none"/>
                <w:u w:val="single"/>
              </w:rPr>
              <w:t xml:space="preserve">      商务及技术部分                 </w:t>
            </w:r>
          </w:p>
          <w:p w14:paraId="129C5904">
            <w:pPr>
              <w:adjustRightInd w:val="0"/>
              <w:spacing w:line="360" w:lineRule="auto"/>
              <w:ind w:firstLine="560" w:firstLineChars="200"/>
              <w:outlineLvl w:val="0"/>
              <w:rPr>
                <w:rFonts w:asciiTheme="minorEastAsia" w:hAnsiTheme="minorEastAsia" w:cstheme="minorEastAsia"/>
                <w:color w:val="auto"/>
                <w:kern w:val="0"/>
                <w:sz w:val="28"/>
                <w:highlight w:val="none"/>
                <w:u w:val="single"/>
              </w:rPr>
            </w:pPr>
            <w:bookmarkStart w:id="1368" w:name="_Toc97108127"/>
            <w:bookmarkStart w:id="1369" w:name="_Toc432"/>
            <w:bookmarkStart w:id="1370" w:name="_Toc10507"/>
            <w:r>
              <w:rPr>
                <w:rFonts w:hint="eastAsia" w:asciiTheme="minorEastAsia" w:hAnsiTheme="minorEastAsia" w:cstheme="minorEastAsia"/>
                <w:color w:val="auto"/>
                <w:kern w:val="0"/>
                <w:sz w:val="28"/>
                <w:highlight w:val="none"/>
              </w:rPr>
              <w:t>供 应 商：</w:t>
            </w:r>
            <w:r>
              <w:rPr>
                <w:rFonts w:hint="eastAsia" w:asciiTheme="minorEastAsia" w:hAnsiTheme="minorEastAsia" w:cstheme="minorEastAsia"/>
                <w:color w:val="auto"/>
                <w:kern w:val="0"/>
                <w:sz w:val="28"/>
                <w:highlight w:val="none"/>
                <w:u w:val="single"/>
              </w:rPr>
              <w:t xml:space="preserve">                                    （盖章）</w:t>
            </w:r>
            <w:bookmarkEnd w:id="1368"/>
            <w:bookmarkEnd w:id="1369"/>
            <w:bookmarkEnd w:id="1370"/>
            <w:r>
              <w:rPr>
                <w:rFonts w:hint="eastAsia" w:asciiTheme="minorEastAsia" w:hAnsiTheme="minorEastAsia" w:cstheme="minorEastAsia"/>
                <w:color w:val="auto"/>
                <w:kern w:val="0"/>
                <w:sz w:val="28"/>
                <w:highlight w:val="none"/>
                <w:u w:val="single"/>
              </w:rPr>
              <w:t xml:space="preserve">  </w:t>
            </w:r>
          </w:p>
          <w:p w14:paraId="1E1D6145">
            <w:pPr>
              <w:adjustRightInd w:val="0"/>
              <w:spacing w:line="360" w:lineRule="auto"/>
              <w:ind w:firstLine="560" w:firstLineChars="200"/>
              <w:outlineLvl w:val="0"/>
              <w:rPr>
                <w:rFonts w:asciiTheme="minorEastAsia" w:hAnsiTheme="minorEastAsia" w:cstheme="minorEastAsia"/>
                <w:color w:val="auto"/>
                <w:kern w:val="0"/>
                <w:sz w:val="28"/>
                <w:highlight w:val="none"/>
              </w:rPr>
            </w:pPr>
            <w:bookmarkStart w:id="1371" w:name="_Toc97108128"/>
            <w:bookmarkStart w:id="1372" w:name="_Toc32484"/>
            <w:bookmarkStart w:id="1373" w:name="_Toc21612"/>
            <w:r>
              <w:rPr>
                <w:rFonts w:hint="eastAsia" w:asciiTheme="minorEastAsia" w:hAnsiTheme="minorEastAsia" w:cstheme="minorEastAsia"/>
                <w:color w:val="auto"/>
                <w:kern w:val="0"/>
                <w:sz w:val="28"/>
                <w:highlight w:val="none"/>
              </w:rPr>
              <w:t>法定代表人或其授权代理人：</w:t>
            </w:r>
            <w:r>
              <w:rPr>
                <w:rFonts w:hint="eastAsia" w:asciiTheme="minorEastAsia" w:hAnsiTheme="minorEastAsia" w:cstheme="minorEastAsia"/>
                <w:color w:val="auto"/>
                <w:kern w:val="0"/>
                <w:sz w:val="28"/>
                <w:highlight w:val="none"/>
                <w:u w:val="single"/>
              </w:rPr>
              <w:t xml:space="preserve">              （签字或盖章）</w:t>
            </w:r>
            <w:bookmarkEnd w:id="1371"/>
            <w:bookmarkEnd w:id="1372"/>
            <w:bookmarkEnd w:id="1373"/>
            <w:r>
              <w:rPr>
                <w:rFonts w:hint="eastAsia" w:asciiTheme="minorEastAsia" w:hAnsiTheme="minorEastAsia" w:cstheme="minorEastAsia"/>
                <w:color w:val="auto"/>
                <w:kern w:val="0"/>
                <w:sz w:val="28"/>
                <w:highlight w:val="none"/>
                <w:u w:val="single"/>
              </w:rPr>
              <w:t xml:space="preserve"> </w:t>
            </w:r>
          </w:p>
          <w:p w14:paraId="5B58E6DA">
            <w:pPr>
              <w:spacing w:line="360" w:lineRule="auto"/>
              <w:ind w:firstLine="560" w:firstLineChars="200"/>
              <w:rPr>
                <w:rFonts w:asciiTheme="minorEastAsia" w:hAnsiTheme="minorEastAsia" w:cstheme="minorEastAsia"/>
                <w:color w:val="auto"/>
                <w:kern w:val="0"/>
                <w:sz w:val="28"/>
                <w:highlight w:val="none"/>
              </w:rPr>
            </w:pPr>
            <w:r>
              <w:rPr>
                <w:rFonts w:hint="eastAsia" w:asciiTheme="minorEastAsia" w:hAnsiTheme="minorEastAsia" w:cstheme="minorEastAsia"/>
                <w:color w:val="auto"/>
                <w:kern w:val="0"/>
                <w:sz w:val="28"/>
                <w:highlight w:val="none"/>
              </w:rPr>
              <w:t>日    期：</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年</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月</w:t>
            </w:r>
            <w:r>
              <w:rPr>
                <w:rFonts w:hint="eastAsia" w:asciiTheme="minorEastAsia" w:hAnsiTheme="minorEastAsia" w:cstheme="minorEastAsia"/>
                <w:color w:val="auto"/>
                <w:kern w:val="0"/>
                <w:sz w:val="28"/>
                <w:highlight w:val="none"/>
                <w:u w:val="single"/>
              </w:rPr>
              <w:t xml:space="preserve">            </w:t>
            </w:r>
            <w:r>
              <w:rPr>
                <w:rFonts w:hint="eastAsia" w:asciiTheme="minorEastAsia" w:hAnsiTheme="minorEastAsia" w:cstheme="minorEastAsia"/>
                <w:color w:val="auto"/>
                <w:kern w:val="0"/>
                <w:sz w:val="28"/>
                <w:highlight w:val="none"/>
              </w:rPr>
              <w:t>日</w:t>
            </w:r>
          </w:p>
        </w:tc>
      </w:tr>
    </w:tbl>
    <w:p w14:paraId="380FBEF1">
      <w:pPr>
        <w:rPr>
          <w:rFonts w:asciiTheme="minorEastAsia" w:hAnsiTheme="minorEastAsia" w:cstheme="minorEastAsia"/>
          <w:color w:val="auto"/>
          <w:highlight w:val="none"/>
        </w:rPr>
      </w:pPr>
    </w:p>
    <w:p w14:paraId="03DF519C">
      <w:pPr>
        <w:pStyle w:val="4"/>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商务及技术标部分目录</w:t>
      </w:r>
    </w:p>
    <w:p w14:paraId="3B9640C3">
      <w:pPr>
        <w:jc w:val="center"/>
        <w:rPr>
          <w:rFonts w:asciiTheme="minorEastAsia" w:hAnsiTheme="minorEastAsia"/>
          <w:color w:val="auto"/>
          <w:sz w:val="22"/>
          <w:szCs w:val="24"/>
          <w:highlight w:val="none"/>
        </w:rPr>
      </w:pPr>
      <w:r>
        <w:rPr>
          <w:rFonts w:hint="eastAsia" w:asciiTheme="minorEastAsia" w:hAnsiTheme="minorEastAsia" w:cstheme="minorEastAsia"/>
          <w:color w:val="auto"/>
          <w:kern w:val="0"/>
          <w:sz w:val="24"/>
          <w:szCs w:val="36"/>
          <w:highlight w:val="none"/>
        </w:rPr>
        <w:t>（应附有页码）</w:t>
      </w:r>
    </w:p>
    <w:p w14:paraId="75C0710E">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leftChars="0" w:firstLine="0" w:firstLineChars="0"/>
        <w:textAlignment w:val="auto"/>
        <w:outlineLvl w:val="9"/>
        <w:rPr>
          <w:rFonts w:asciiTheme="minorEastAsia" w:hAnsiTheme="minorEastAsia" w:eastAsiaTheme="minorEastAsia"/>
          <w:color w:val="auto"/>
          <w:sz w:val="24"/>
          <w:highlight w:val="none"/>
        </w:rPr>
      </w:pPr>
      <w:bookmarkStart w:id="1374" w:name="_Toc23998"/>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1）</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w:t>
      </w:r>
      <w:r>
        <w:rPr>
          <w:rFonts w:hint="eastAsia" w:asciiTheme="minorEastAsia" w:hAnsiTheme="minorEastAsia" w:cstheme="minorEastAsia"/>
          <w:b/>
          <w:bCs/>
          <w:color w:val="auto"/>
          <w:sz w:val="24"/>
          <w:szCs w:val="24"/>
          <w:highlight w:val="none"/>
        </w:rPr>
        <w:t>（必须提供）</w:t>
      </w:r>
      <w:bookmarkEnd w:id="1374"/>
    </w:p>
    <w:p w14:paraId="173D7DA7">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leftChars="0" w:firstLine="0" w:firstLineChars="0"/>
        <w:textAlignment w:val="auto"/>
        <w:outlineLvl w:val="9"/>
        <w:rPr>
          <w:rFonts w:asciiTheme="minorEastAsia" w:hAnsiTheme="minorEastAsia" w:eastAsiaTheme="minorEastAsia"/>
          <w:color w:val="auto"/>
          <w:sz w:val="24"/>
          <w:highlight w:val="none"/>
        </w:rPr>
      </w:pPr>
      <w:bookmarkStart w:id="1375" w:name="_Toc17827"/>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2）</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函附录；</w:t>
      </w:r>
      <w:r>
        <w:rPr>
          <w:rFonts w:hint="eastAsia" w:asciiTheme="minorEastAsia" w:hAnsiTheme="minorEastAsia" w:cstheme="minorEastAsia"/>
          <w:b/>
          <w:bCs/>
          <w:color w:val="auto"/>
          <w:sz w:val="24"/>
          <w:szCs w:val="24"/>
          <w:highlight w:val="none"/>
        </w:rPr>
        <w:t>（必须提供）</w:t>
      </w:r>
      <w:bookmarkEnd w:id="1375"/>
    </w:p>
    <w:p w14:paraId="13733592">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leftChars="0" w:firstLine="0" w:firstLineChars="0"/>
        <w:textAlignment w:val="auto"/>
        <w:outlineLvl w:val="9"/>
        <w:rPr>
          <w:rFonts w:asciiTheme="minorEastAsia" w:hAnsiTheme="minorEastAsia" w:eastAsiaTheme="minorEastAsia"/>
          <w:b/>
          <w:bCs/>
          <w:color w:val="auto"/>
          <w:sz w:val="24"/>
          <w:highlight w:val="none"/>
        </w:rPr>
      </w:pPr>
      <w:bookmarkStart w:id="1376" w:name="_Toc10517"/>
      <w:r>
        <w:rPr>
          <w:rFonts w:hint="eastAsia" w:asciiTheme="minorEastAsia" w:hAnsiTheme="minorEastAsia" w:eastAsiaTheme="minorEastAsia"/>
          <w:color w:val="auto"/>
          <w:sz w:val="24"/>
          <w:highlight w:val="none"/>
          <w:lang w:val="en-US"/>
        </w:rPr>
        <w:t>（3）</w:t>
      </w:r>
      <w:r>
        <w:rPr>
          <w:rFonts w:hint="eastAsia" w:asciiTheme="minorEastAsia" w:hAnsiTheme="minorEastAsia" w:eastAsiaTheme="minorEastAsia"/>
          <w:color w:val="auto"/>
          <w:sz w:val="24"/>
          <w:highlight w:val="none"/>
        </w:rPr>
        <w:t>磋商报价汇总表；</w:t>
      </w:r>
      <w:r>
        <w:rPr>
          <w:rFonts w:hint="eastAsia" w:asciiTheme="minorEastAsia" w:hAnsiTheme="minorEastAsia" w:eastAsiaTheme="minorEastAsia"/>
          <w:b/>
          <w:bCs/>
          <w:color w:val="auto"/>
          <w:sz w:val="24"/>
          <w:highlight w:val="none"/>
        </w:rPr>
        <w:t>（必须提供）</w:t>
      </w:r>
      <w:bookmarkEnd w:id="1376"/>
    </w:p>
    <w:p w14:paraId="7F76441F">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leftChars="0" w:firstLine="0" w:firstLineChars="0"/>
        <w:textAlignment w:val="auto"/>
        <w:outlineLvl w:val="9"/>
        <w:rPr>
          <w:rFonts w:asciiTheme="minorEastAsia" w:hAnsiTheme="minorEastAsia" w:eastAsiaTheme="minorEastAsia"/>
          <w:color w:val="auto"/>
          <w:sz w:val="24"/>
          <w:highlight w:val="none"/>
          <w:lang w:val="en-US"/>
        </w:rPr>
      </w:pPr>
      <w:bookmarkStart w:id="1377" w:name="_Toc31050"/>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4）磋商报价系列表格；</w:t>
      </w:r>
      <w:r>
        <w:rPr>
          <w:rFonts w:hint="eastAsia" w:asciiTheme="minorEastAsia" w:hAnsiTheme="minorEastAsia" w:eastAsiaTheme="minorEastAsia"/>
          <w:b/>
          <w:bCs/>
          <w:color w:val="auto"/>
          <w:sz w:val="24"/>
          <w:highlight w:val="none"/>
        </w:rPr>
        <w:t>（必须提供并加盖供应商的电子签章）</w:t>
      </w:r>
      <w:bookmarkEnd w:id="1377"/>
    </w:p>
    <w:p w14:paraId="1544EE78">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firstLine="0" w:firstLineChars="0"/>
        <w:textAlignment w:val="auto"/>
        <w:outlineLvl w:val="9"/>
        <w:rPr>
          <w:rFonts w:asciiTheme="minorEastAsia" w:hAnsiTheme="minorEastAsia" w:eastAsiaTheme="minorEastAsia"/>
          <w:color w:val="auto"/>
          <w:sz w:val="24"/>
          <w:highlight w:val="none"/>
        </w:rPr>
      </w:pPr>
      <w:bookmarkStart w:id="1378" w:name="_Toc30016"/>
      <w:r>
        <w:rPr>
          <w:rFonts w:hint="eastAsia" w:asciiTheme="minorEastAsia" w:hAnsiTheme="minorEastAsia" w:eastAsiaTheme="minorEastAsia"/>
          <w:color w:val="auto"/>
          <w:sz w:val="24"/>
          <w:highlight w:val="none"/>
        </w:rPr>
        <w:t>【注：磋商报价系列表格应根据采购人提供的工程量清单相应表格及有关规定执行,可按预结算软件打印格式提供,本采购文件不另提供参考格式。】</w:t>
      </w:r>
      <w:bookmarkEnd w:id="1378"/>
    </w:p>
    <w:p w14:paraId="395E4744">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leftChars="0" w:firstLine="0" w:firstLineChars="0"/>
        <w:textAlignment w:val="auto"/>
        <w:outlineLvl w:val="9"/>
        <w:rPr>
          <w:rFonts w:asciiTheme="minorEastAsia" w:hAnsiTheme="minorEastAsia" w:eastAsiaTheme="minorEastAsia"/>
          <w:color w:val="auto"/>
          <w:sz w:val="24"/>
          <w:highlight w:val="none"/>
        </w:rPr>
      </w:pPr>
      <w:bookmarkStart w:id="1379" w:name="_Toc26384"/>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项目管理机构配备；</w:t>
      </w:r>
      <w:r>
        <w:rPr>
          <w:rFonts w:hint="eastAsia" w:asciiTheme="minorEastAsia" w:hAnsiTheme="minorEastAsia" w:eastAsiaTheme="minorEastAsia"/>
          <w:b/>
          <w:bCs/>
          <w:color w:val="auto"/>
          <w:sz w:val="24"/>
          <w:highlight w:val="none"/>
        </w:rPr>
        <w:t>（必须提供并加盖供应商的电子签章）</w:t>
      </w:r>
      <w:bookmarkEnd w:id="1379"/>
    </w:p>
    <w:p w14:paraId="4AEC1D00">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firstLine="0" w:firstLineChars="0"/>
        <w:textAlignment w:val="auto"/>
        <w:outlineLvl w:val="9"/>
        <w:rPr>
          <w:rFonts w:asciiTheme="minorEastAsia" w:hAnsiTheme="minorEastAsia" w:eastAsiaTheme="minorEastAsia"/>
          <w:color w:val="auto"/>
          <w:sz w:val="24"/>
          <w:highlight w:val="none"/>
        </w:rPr>
      </w:pPr>
      <w:bookmarkStart w:id="1380" w:name="_Toc7734"/>
      <w:r>
        <w:rPr>
          <w:rFonts w:hint="eastAsia" w:asciiTheme="minorEastAsia" w:hAnsiTheme="minorEastAsia" w:eastAsiaTheme="minorEastAsia"/>
          <w:color w:val="auto"/>
          <w:sz w:val="24"/>
          <w:highlight w:val="none"/>
        </w:rPr>
        <w:t>① 项目管理机构配备情况表；</w:t>
      </w:r>
      <w:bookmarkEnd w:id="1380"/>
    </w:p>
    <w:p w14:paraId="4993A17A">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firstLine="0" w:firstLineChars="0"/>
        <w:textAlignment w:val="auto"/>
        <w:outlineLvl w:val="9"/>
        <w:rPr>
          <w:rFonts w:asciiTheme="minorEastAsia" w:hAnsiTheme="minorEastAsia" w:eastAsiaTheme="minorEastAsia"/>
          <w:color w:val="auto"/>
          <w:sz w:val="24"/>
          <w:highlight w:val="none"/>
        </w:rPr>
      </w:pPr>
      <w:bookmarkStart w:id="1381" w:name="_Toc23030"/>
      <w:r>
        <w:rPr>
          <w:rFonts w:hint="eastAsia" w:asciiTheme="minorEastAsia" w:hAnsiTheme="minorEastAsia" w:eastAsiaTheme="minorEastAsia"/>
          <w:color w:val="auto"/>
          <w:sz w:val="24"/>
          <w:highlight w:val="none"/>
        </w:rPr>
        <w:t>② 项目经理简历表；</w:t>
      </w:r>
      <w:bookmarkEnd w:id="1381"/>
    </w:p>
    <w:p w14:paraId="2028406A">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firstLine="0" w:firstLineChars="0"/>
        <w:textAlignment w:val="auto"/>
        <w:outlineLvl w:val="9"/>
        <w:rPr>
          <w:rFonts w:asciiTheme="minorEastAsia" w:hAnsiTheme="minorEastAsia" w:eastAsiaTheme="minorEastAsia"/>
          <w:color w:val="auto"/>
          <w:sz w:val="24"/>
          <w:highlight w:val="none"/>
        </w:rPr>
      </w:pPr>
      <w:bookmarkStart w:id="1382" w:name="_Toc11858"/>
      <w:r>
        <w:rPr>
          <w:rFonts w:hint="eastAsia" w:asciiTheme="minorEastAsia" w:hAnsiTheme="minorEastAsia" w:eastAsiaTheme="minorEastAsia"/>
          <w:color w:val="auto"/>
          <w:sz w:val="24"/>
          <w:highlight w:val="none"/>
        </w:rPr>
        <w:t>③ 项目技术负责人简历表；</w:t>
      </w:r>
      <w:bookmarkEnd w:id="1382"/>
    </w:p>
    <w:p w14:paraId="05121453">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firstLine="0" w:firstLineChars="0"/>
        <w:textAlignment w:val="auto"/>
        <w:outlineLvl w:val="9"/>
        <w:rPr>
          <w:rFonts w:asciiTheme="minorEastAsia" w:hAnsiTheme="minorEastAsia" w:eastAsiaTheme="minorEastAsia"/>
          <w:color w:val="auto"/>
          <w:sz w:val="24"/>
          <w:highlight w:val="none"/>
        </w:rPr>
      </w:pPr>
      <w:bookmarkStart w:id="1383" w:name="_Toc22742"/>
      <w:r>
        <w:rPr>
          <w:rFonts w:hint="eastAsia" w:asciiTheme="minorEastAsia" w:hAnsiTheme="minorEastAsia" w:eastAsiaTheme="minorEastAsia"/>
          <w:color w:val="auto"/>
          <w:sz w:val="24"/>
          <w:highlight w:val="none"/>
        </w:rPr>
        <w:t>④ 项目管理机构配置情况辅助说明资料。</w:t>
      </w:r>
      <w:bookmarkEnd w:id="1383"/>
    </w:p>
    <w:p w14:paraId="507E865B">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firstLine="0" w:firstLineChars="0"/>
        <w:textAlignment w:val="auto"/>
        <w:outlineLvl w:val="9"/>
        <w:rPr>
          <w:rFonts w:asciiTheme="minorEastAsia" w:hAnsiTheme="minorEastAsia" w:eastAsiaTheme="minorEastAsia"/>
          <w:color w:val="auto"/>
          <w:sz w:val="24"/>
          <w:highlight w:val="none"/>
        </w:rPr>
      </w:pPr>
      <w:bookmarkStart w:id="1384" w:name="_Toc26413"/>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rPr>
        <w:t>6）</w:t>
      </w:r>
      <w:r>
        <w:rPr>
          <w:rFonts w:hint="eastAsia" w:asciiTheme="minorEastAsia" w:hAnsiTheme="minorEastAsia" w:eastAsiaTheme="minorEastAsia"/>
          <w:color w:val="auto"/>
          <w:sz w:val="24"/>
          <w:highlight w:val="none"/>
        </w:rPr>
        <w:t>施工组织设计；（加盖供应商的电子签章）</w:t>
      </w:r>
      <w:bookmarkEnd w:id="1384"/>
    </w:p>
    <w:p w14:paraId="11A2DB37">
      <w:pPr>
        <w:pStyle w:val="44"/>
        <w:keepNext w:val="0"/>
        <w:keepLines w:val="0"/>
        <w:pageBreakBefore w:val="0"/>
        <w:widowControl/>
        <w:tabs>
          <w:tab w:val="left" w:pos="1972"/>
        </w:tabs>
        <w:kinsoku/>
        <w:wordWrap/>
        <w:overflowPunct/>
        <w:topLinePunct w:val="0"/>
        <w:autoSpaceDE/>
        <w:autoSpaceDN/>
        <w:bidi w:val="0"/>
        <w:adjustRightInd/>
        <w:snapToGrid/>
        <w:spacing w:line="360" w:lineRule="auto"/>
        <w:ind w:left="0" w:firstLine="0" w:firstLineChars="0"/>
        <w:textAlignment w:val="auto"/>
        <w:outlineLvl w:val="9"/>
        <w:rPr>
          <w:rFonts w:asciiTheme="minorEastAsia" w:hAnsiTheme="minorEastAsia" w:eastAsiaTheme="minorEastAsia"/>
          <w:color w:val="auto"/>
          <w:sz w:val="24"/>
          <w:highlight w:val="none"/>
        </w:rPr>
      </w:pPr>
      <w:bookmarkStart w:id="1385" w:name="_Toc17518"/>
      <w:r>
        <w:rPr>
          <w:rFonts w:hint="eastAsia" w:asciiTheme="minorEastAsia" w:hAnsiTheme="minorEastAsia" w:eastAsiaTheme="minorEastAsia"/>
          <w:color w:val="auto"/>
          <w:sz w:val="24"/>
          <w:highlight w:val="none"/>
          <w:lang w:val="en-US"/>
        </w:rPr>
        <w:t>（7）供应商</w:t>
      </w:r>
      <w:r>
        <w:rPr>
          <w:rFonts w:hint="eastAsia" w:asciiTheme="minorEastAsia" w:hAnsiTheme="minorEastAsia" w:eastAsiaTheme="minorEastAsia"/>
          <w:color w:val="auto"/>
          <w:sz w:val="24"/>
          <w:highlight w:val="none"/>
        </w:rPr>
        <w:t>可结合本项目的评标办法视自身情况自行提交相关证明材料（</w:t>
      </w:r>
      <w:r>
        <w:rPr>
          <w:rFonts w:hint="eastAsia" w:asciiTheme="minorEastAsia" w:hAnsiTheme="minorEastAsia" w:eastAsiaTheme="minorEastAsia"/>
          <w:color w:val="auto"/>
          <w:sz w:val="24"/>
          <w:highlight w:val="none"/>
          <w:lang w:val="en-US"/>
        </w:rPr>
        <w:t>如业绩等[需列汇总表格]，</w:t>
      </w:r>
      <w:r>
        <w:rPr>
          <w:rFonts w:hint="eastAsia" w:asciiTheme="minorEastAsia" w:hAnsiTheme="minorEastAsia" w:eastAsiaTheme="minorEastAsia"/>
          <w:color w:val="auto"/>
          <w:sz w:val="24"/>
          <w:highlight w:val="none"/>
        </w:rPr>
        <w:t>如有，请提供）</w:t>
      </w:r>
      <w:bookmarkEnd w:id="1385"/>
    </w:p>
    <w:p w14:paraId="2821DB91">
      <w:pPr>
        <w:pStyle w:val="35"/>
        <w:spacing w:before="0" w:after="0"/>
        <w:rPr>
          <w:rFonts w:asciiTheme="minorEastAsia" w:hAnsiTheme="minorEastAsia" w:cstheme="minorEastAsia"/>
          <w:color w:val="auto"/>
          <w:spacing w:val="0"/>
          <w:highlight w:val="none"/>
        </w:rPr>
      </w:pPr>
    </w:p>
    <w:p w14:paraId="325A9CAA">
      <w:pPr>
        <w:pStyle w:val="35"/>
        <w:spacing w:before="0" w:after="0"/>
        <w:rPr>
          <w:rFonts w:asciiTheme="minorEastAsia" w:hAnsiTheme="minorEastAsia" w:cstheme="minorEastAsia"/>
          <w:color w:val="auto"/>
          <w:spacing w:val="0"/>
          <w:highlight w:val="none"/>
        </w:rPr>
      </w:pPr>
    </w:p>
    <w:p w14:paraId="46EB0BB8">
      <w:pPr>
        <w:pStyle w:val="35"/>
        <w:spacing w:before="0" w:after="0"/>
        <w:rPr>
          <w:rFonts w:asciiTheme="minorEastAsia" w:hAnsiTheme="minorEastAsia" w:cstheme="minorEastAsia"/>
          <w:color w:val="auto"/>
          <w:spacing w:val="0"/>
          <w:highlight w:val="none"/>
        </w:rPr>
      </w:pPr>
    </w:p>
    <w:p w14:paraId="6750452B">
      <w:pPr>
        <w:rPr>
          <w:rFonts w:asciiTheme="minorEastAsia" w:hAnsiTheme="minorEastAsia" w:cstheme="minorEastAsia"/>
          <w:color w:val="auto"/>
          <w:highlight w:val="none"/>
        </w:rPr>
      </w:pPr>
    </w:p>
    <w:p w14:paraId="6280F6B1">
      <w:pPr>
        <w:pStyle w:val="35"/>
        <w:spacing w:before="0" w:after="0"/>
        <w:rPr>
          <w:rFonts w:asciiTheme="minorEastAsia" w:hAnsiTheme="minorEastAsia" w:cstheme="minorEastAsia"/>
          <w:color w:val="auto"/>
          <w:spacing w:val="0"/>
          <w:highlight w:val="none"/>
        </w:rPr>
      </w:pPr>
    </w:p>
    <w:p w14:paraId="6FE44922">
      <w:pPr>
        <w:pStyle w:val="35"/>
        <w:spacing w:before="0" w:after="0"/>
        <w:rPr>
          <w:rFonts w:asciiTheme="minorEastAsia" w:hAnsiTheme="minorEastAsia" w:cstheme="minorEastAsia"/>
          <w:color w:val="auto"/>
          <w:spacing w:val="0"/>
          <w:highlight w:val="none"/>
        </w:rPr>
      </w:pPr>
    </w:p>
    <w:p w14:paraId="68DC4841">
      <w:pPr>
        <w:pStyle w:val="35"/>
        <w:spacing w:before="0" w:after="0"/>
        <w:rPr>
          <w:rFonts w:asciiTheme="minorEastAsia" w:hAnsiTheme="minorEastAsia" w:cstheme="minorEastAsia"/>
          <w:color w:val="auto"/>
          <w:spacing w:val="0"/>
          <w:highlight w:val="none"/>
        </w:rPr>
      </w:pPr>
    </w:p>
    <w:p w14:paraId="7A165623">
      <w:pPr>
        <w:pStyle w:val="35"/>
        <w:spacing w:before="0" w:after="0"/>
        <w:rPr>
          <w:rFonts w:asciiTheme="minorEastAsia" w:hAnsiTheme="minorEastAsia" w:cstheme="minorEastAsia"/>
          <w:color w:val="auto"/>
          <w:spacing w:val="0"/>
          <w:highlight w:val="none"/>
        </w:rPr>
      </w:pPr>
    </w:p>
    <w:p w14:paraId="42409F2C">
      <w:pPr>
        <w:pStyle w:val="35"/>
        <w:spacing w:before="0" w:after="0"/>
        <w:rPr>
          <w:rFonts w:asciiTheme="minorEastAsia" w:hAnsiTheme="minorEastAsia" w:cstheme="minorEastAsia"/>
          <w:color w:val="auto"/>
          <w:spacing w:val="0"/>
          <w:highlight w:val="none"/>
        </w:rPr>
      </w:pPr>
    </w:p>
    <w:p w14:paraId="6A98B774">
      <w:pPr>
        <w:pStyle w:val="35"/>
        <w:spacing w:before="0" w:after="0"/>
        <w:rPr>
          <w:rFonts w:asciiTheme="minorEastAsia" w:hAnsiTheme="minorEastAsia" w:cstheme="minorEastAsia"/>
          <w:color w:val="auto"/>
          <w:spacing w:val="0"/>
          <w:highlight w:val="none"/>
        </w:rPr>
      </w:pPr>
    </w:p>
    <w:p w14:paraId="7E700C3D">
      <w:pPr>
        <w:pStyle w:val="35"/>
        <w:spacing w:before="0" w:after="0"/>
        <w:rPr>
          <w:rFonts w:asciiTheme="minorEastAsia" w:hAnsiTheme="minorEastAsia" w:cstheme="minorEastAsia"/>
          <w:color w:val="auto"/>
          <w:spacing w:val="0"/>
          <w:highlight w:val="none"/>
        </w:rPr>
      </w:pPr>
    </w:p>
    <w:p w14:paraId="05B55B51">
      <w:pPr>
        <w:pStyle w:val="35"/>
        <w:spacing w:before="0" w:after="0"/>
        <w:rPr>
          <w:rFonts w:asciiTheme="minorEastAsia" w:hAnsiTheme="minorEastAsia" w:cstheme="minorEastAsia"/>
          <w:color w:val="auto"/>
          <w:spacing w:val="0"/>
          <w:highlight w:val="none"/>
        </w:rPr>
      </w:pPr>
    </w:p>
    <w:p w14:paraId="5A3D60A9">
      <w:pPr>
        <w:pStyle w:val="35"/>
        <w:spacing w:before="0" w:after="0"/>
        <w:rPr>
          <w:rFonts w:asciiTheme="minorEastAsia" w:hAnsiTheme="minorEastAsia" w:cstheme="minorEastAsia"/>
          <w:color w:val="auto"/>
          <w:spacing w:val="0"/>
          <w:highlight w:val="none"/>
        </w:rPr>
      </w:pPr>
    </w:p>
    <w:p w14:paraId="76A3A8F5">
      <w:pPr>
        <w:pStyle w:val="35"/>
        <w:spacing w:before="0" w:after="0"/>
        <w:rPr>
          <w:rFonts w:asciiTheme="minorEastAsia" w:hAnsiTheme="minorEastAsia" w:cstheme="minorEastAsia"/>
          <w:color w:val="auto"/>
          <w:spacing w:val="0"/>
          <w:highlight w:val="none"/>
        </w:rPr>
      </w:pPr>
    </w:p>
    <w:p w14:paraId="39111F66">
      <w:pPr>
        <w:pStyle w:val="35"/>
        <w:spacing w:before="0" w:after="0"/>
        <w:rPr>
          <w:rFonts w:asciiTheme="minorEastAsia" w:hAnsiTheme="minorEastAsia" w:cstheme="minorEastAsia"/>
          <w:color w:val="auto"/>
          <w:spacing w:val="0"/>
          <w:highlight w:val="none"/>
        </w:rPr>
      </w:pPr>
    </w:p>
    <w:p w14:paraId="75DA6397">
      <w:pPr>
        <w:pStyle w:val="35"/>
        <w:spacing w:before="0" w:after="0"/>
        <w:rPr>
          <w:rFonts w:asciiTheme="minorEastAsia" w:hAnsiTheme="minorEastAsia" w:cstheme="minorEastAsia"/>
          <w:color w:val="auto"/>
          <w:spacing w:val="0"/>
          <w:highlight w:val="none"/>
        </w:rPr>
      </w:pPr>
    </w:p>
    <w:p w14:paraId="3AC0D694">
      <w:pPr>
        <w:pStyle w:val="35"/>
        <w:spacing w:before="0" w:after="0"/>
        <w:rPr>
          <w:rFonts w:asciiTheme="minorEastAsia" w:hAnsiTheme="minorEastAsia" w:cstheme="minorEastAsia"/>
          <w:color w:val="auto"/>
          <w:spacing w:val="0"/>
          <w:highlight w:val="none"/>
        </w:rPr>
      </w:pPr>
    </w:p>
    <w:p w14:paraId="291CFE39">
      <w:pPr>
        <w:pStyle w:val="35"/>
        <w:spacing w:before="0" w:after="0"/>
        <w:rPr>
          <w:rFonts w:asciiTheme="minorEastAsia" w:hAnsiTheme="minorEastAsia" w:cstheme="minorEastAsia"/>
          <w:color w:val="auto"/>
          <w:spacing w:val="0"/>
          <w:highlight w:val="none"/>
        </w:rPr>
      </w:pPr>
    </w:p>
    <w:p w14:paraId="32977A8F">
      <w:pPr>
        <w:pStyle w:val="35"/>
        <w:spacing w:before="0" w:after="0"/>
        <w:rPr>
          <w:rFonts w:asciiTheme="minorEastAsia" w:hAnsiTheme="minorEastAsia" w:cstheme="minorEastAsia"/>
          <w:color w:val="auto"/>
          <w:spacing w:val="0"/>
          <w:highlight w:val="none"/>
        </w:rPr>
      </w:pPr>
    </w:p>
    <w:p w14:paraId="5E8798E3">
      <w:pPr>
        <w:pStyle w:val="35"/>
        <w:spacing w:before="0" w:after="0"/>
        <w:rPr>
          <w:rFonts w:asciiTheme="minorEastAsia" w:hAnsiTheme="minorEastAsia" w:cstheme="minorEastAsia"/>
          <w:color w:val="auto"/>
          <w:spacing w:val="0"/>
          <w:highlight w:val="none"/>
        </w:rPr>
      </w:pPr>
    </w:p>
    <w:p w14:paraId="0F7903A3">
      <w:pPr>
        <w:pStyle w:val="4"/>
        <w:spacing w:line="360" w:lineRule="auto"/>
        <w:jc w:val="center"/>
        <w:rPr>
          <w:rFonts w:asciiTheme="minorEastAsia" w:hAnsiTheme="minorEastAsia" w:eastAsiaTheme="minorEastAsia" w:cstheme="minorEastAsia"/>
          <w:color w:val="auto"/>
          <w:highlight w:val="none"/>
        </w:rPr>
      </w:pPr>
      <w:bookmarkStart w:id="1386" w:name="_Toc18741"/>
      <w:r>
        <w:rPr>
          <w:rFonts w:hint="eastAsia" w:asciiTheme="minorEastAsia" w:hAnsiTheme="minorEastAsia" w:eastAsiaTheme="minorEastAsia" w:cstheme="minorEastAsia"/>
          <w:color w:val="auto"/>
          <w:highlight w:val="none"/>
        </w:rPr>
        <w:t>一、磋商函</w:t>
      </w:r>
      <w:bookmarkEnd w:id="1347"/>
      <w:bookmarkEnd w:id="1348"/>
      <w:bookmarkEnd w:id="1349"/>
      <w:bookmarkEnd w:id="1386"/>
    </w:p>
    <w:p w14:paraId="5D1697FE">
      <w:pPr>
        <w:spacing w:line="360" w:lineRule="auto"/>
        <w:rPr>
          <w:rFonts w:asciiTheme="minorEastAsia" w:hAnsiTheme="minorEastAsia" w:cstheme="minorEastAsia"/>
          <w:color w:val="auto"/>
          <w:highlight w:val="none"/>
        </w:rPr>
      </w:pPr>
    </w:p>
    <w:p w14:paraId="59F054B4">
      <w:pPr>
        <w:spacing w:line="36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u w:val="single"/>
        </w:rPr>
        <w:t>致：（采购人名称/采购代理机构）</w:t>
      </w:r>
    </w:p>
    <w:p w14:paraId="1E8EE2F1">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w:t>
      </w:r>
      <w:r>
        <w:rPr>
          <w:rFonts w:hint="eastAsia" w:asciiTheme="minorEastAsia" w:hAnsiTheme="minorEastAsia" w:cstheme="minorEastAsia"/>
          <w:b/>
          <w:color w:val="auto"/>
          <w:kern w:val="0"/>
          <w:sz w:val="24"/>
          <w:highlight w:val="none"/>
        </w:rPr>
        <w:t xml:space="preserve"> </w:t>
      </w:r>
      <w:r>
        <w:rPr>
          <w:rFonts w:hint="eastAsia" w:asciiTheme="minorEastAsia" w:hAnsiTheme="minorEastAsia" w:cstheme="minorEastAsia"/>
          <w:color w:val="auto"/>
          <w:kern w:val="0"/>
          <w:sz w:val="24"/>
          <w:highlight w:val="none"/>
        </w:rPr>
        <w:t>根据你方采购编号为</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的</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工程的采购文件，遵照《中华人民共和国政府采购法》等有关规定，经我公司研究上述采购文件的磋商须知、合同条款、图纸、工程建设标准和工程量清单及其他有关文件后，我方愿以人民币（大写）：</w:t>
      </w:r>
      <w:r>
        <w:rPr>
          <w:rFonts w:hint="eastAsia" w:asciiTheme="minorEastAsia" w:hAnsiTheme="minorEastAsia" w:cstheme="minorEastAsia"/>
          <w:color w:val="auto"/>
          <w:kern w:val="0"/>
          <w:sz w:val="24"/>
          <w:highlight w:val="none"/>
          <w:u w:val="single"/>
        </w:rPr>
        <w:t xml:space="preserve">         （¥          元）</w:t>
      </w:r>
      <w:r>
        <w:rPr>
          <w:rFonts w:hint="eastAsia" w:asciiTheme="minorEastAsia" w:hAnsiTheme="minorEastAsia" w:cstheme="minorEastAsia"/>
          <w:color w:val="auto"/>
          <w:kern w:val="0"/>
          <w:sz w:val="24"/>
          <w:highlight w:val="none"/>
        </w:rPr>
        <w:t>的磋商总价，并按上述图纸、合同条款、工程建设标准的条件要求承包上述工程的施工、竣工，并承担任何质量缺陷保修责任。</w:t>
      </w:r>
    </w:p>
    <w:p w14:paraId="2487787F">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2. 我方已详细审核全部采购文件，包括修改文件（</w:t>
      </w:r>
      <w:r>
        <w:rPr>
          <w:rFonts w:hint="eastAsia" w:cs="宋体" w:asciiTheme="minorEastAsia" w:hAnsiTheme="minorEastAsia"/>
          <w:color w:val="auto"/>
          <w:highlight w:val="none"/>
        </w:rPr>
        <w:t>如有时</w:t>
      </w:r>
      <w:r>
        <w:rPr>
          <w:rFonts w:hint="eastAsia" w:asciiTheme="minorEastAsia" w:hAnsiTheme="minorEastAsia" w:cstheme="minorEastAsia"/>
          <w:color w:val="auto"/>
          <w:kern w:val="0"/>
          <w:sz w:val="24"/>
          <w:highlight w:val="none"/>
        </w:rPr>
        <w:t>）以及全部参考资料和有关附件，已经了解我方对于采购文件、采购过程、采购结果有依法进行询问、质疑、投诉的权利及相关渠道和要求。</w:t>
      </w:r>
    </w:p>
    <w:p w14:paraId="706473E3">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3、我方在磋商之前已经与贵方进行了充分的沟通，完全理解并接受采购文件的各项规定和要求，对采购文件的合理性、合法性不再有异议。</w:t>
      </w:r>
    </w:p>
    <w:p w14:paraId="337A9F6F">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3. 我方承认磋商函附录是我方磋商函的组成部分。</w:t>
      </w:r>
    </w:p>
    <w:p w14:paraId="3515B169">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4. 一旦我方成交，我方保证按合同协议书中约定的工期</w:t>
      </w:r>
      <w:r>
        <w:rPr>
          <w:rFonts w:hint="eastAsia" w:asciiTheme="minorEastAsia" w:hAnsiTheme="minorEastAsia" w:cstheme="minorEastAsia"/>
          <w:color w:val="auto"/>
          <w:sz w:val="24"/>
          <w:szCs w:val="24"/>
          <w:highlight w:val="none"/>
          <w:u w:val="single"/>
        </w:rPr>
        <w:t xml:space="preserve">          </w:t>
      </w:r>
      <w:r>
        <w:rPr>
          <w:rFonts w:hint="eastAsia" w:asciiTheme="minorEastAsia" w:hAnsiTheme="minorEastAsia" w:cstheme="minorEastAsia"/>
          <w:color w:val="auto"/>
          <w:kern w:val="0"/>
          <w:sz w:val="24"/>
          <w:szCs w:val="24"/>
          <w:highlight w:val="none"/>
        </w:rPr>
        <w:t>日历日内</w:t>
      </w:r>
      <w:r>
        <w:rPr>
          <w:rFonts w:hint="eastAsia" w:asciiTheme="minorEastAsia" w:hAnsiTheme="minorEastAsia" w:cstheme="minorEastAsia"/>
          <w:color w:val="auto"/>
          <w:kern w:val="0"/>
          <w:sz w:val="24"/>
          <w:highlight w:val="none"/>
        </w:rPr>
        <w:t>完成并移交全部工程，并保证工程质量</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w:t>
      </w:r>
    </w:p>
    <w:p w14:paraId="3B290EEC">
      <w:pPr>
        <w:adjustRightInd w:val="0"/>
        <w:spacing w:line="360" w:lineRule="auto"/>
        <w:ind w:firstLine="477" w:firstLineChars="199"/>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5. 我方同意所提交的响应文件在“磋商须知”规定的磋商有效期内有效，在此期间内如果成交，我方将受此约束。</w:t>
      </w:r>
    </w:p>
    <w:p w14:paraId="7B04876D">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6. 除非另外达成协议并生效，你方的成交通知书和本响应文件将成为约束双方的合同文件的组成部分。</w:t>
      </w:r>
    </w:p>
    <w:p w14:paraId="665747B7">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7. 我方将与本磋商函一起，提交人民币</w:t>
      </w:r>
      <w:r>
        <w:rPr>
          <w:rFonts w:hint="eastAsia" w:asciiTheme="minorEastAsia" w:hAnsiTheme="minorEastAsia" w:cstheme="minorEastAsia"/>
          <w:b/>
          <w:color w:val="auto"/>
          <w:kern w:val="0"/>
          <w:sz w:val="24"/>
          <w:highlight w:val="none"/>
          <w:u w:val="single"/>
        </w:rPr>
        <w:t xml:space="preserve">       </w:t>
      </w:r>
      <w:r>
        <w:rPr>
          <w:rFonts w:hint="eastAsia" w:asciiTheme="minorEastAsia" w:hAnsiTheme="minorEastAsia" w:cstheme="minorEastAsia"/>
          <w:bCs/>
          <w:color w:val="auto"/>
          <w:kern w:val="0"/>
          <w:sz w:val="24"/>
          <w:highlight w:val="none"/>
        </w:rPr>
        <w:t>元</w:t>
      </w:r>
      <w:r>
        <w:rPr>
          <w:rFonts w:hint="eastAsia" w:asciiTheme="minorEastAsia" w:hAnsiTheme="minorEastAsia" w:cstheme="minorEastAsia"/>
          <w:color w:val="auto"/>
          <w:kern w:val="0"/>
          <w:sz w:val="24"/>
          <w:highlight w:val="none"/>
        </w:rPr>
        <w:t>的磋商保证金。</w:t>
      </w:r>
    </w:p>
    <w:p w14:paraId="48FC9DDB">
      <w:pPr>
        <w:adjustRightInd w:val="0"/>
        <w:spacing w:line="360" w:lineRule="auto"/>
        <w:ind w:firstLine="1200" w:firstLineChars="5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供 应 商：</w:t>
      </w:r>
      <w:r>
        <w:rPr>
          <w:rFonts w:hint="eastAsia" w:asciiTheme="minorEastAsia" w:hAnsiTheme="minorEastAsia" w:cstheme="minorEastAsia"/>
          <w:color w:val="auto"/>
          <w:kern w:val="0"/>
          <w:sz w:val="24"/>
          <w:highlight w:val="none"/>
          <w:u w:val="single"/>
        </w:rPr>
        <w:t xml:space="preserve">                                         （盖章）</w:t>
      </w:r>
    </w:p>
    <w:p w14:paraId="1AAEA066">
      <w:pPr>
        <w:adjustRightInd w:val="0"/>
        <w:spacing w:line="36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单位地址：                 </w:t>
      </w:r>
      <w:r>
        <w:rPr>
          <w:rFonts w:hint="eastAsia" w:asciiTheme="minorEastAsia" w:hAnsiTheme="minorEastAsia" w:cstheme="minorEastAsia"/>
          <w:color w:val="auto"/>
          <w:kern w:val="0"/>
          <w:sz w:val="24"/>
          <w:highlight w:val="none"/>
          <w:u w:val="single"/>
        </w:rPr>
        <w:t xml:space="preserve">                                                  </w:t>
      </w:r>
    </w:p>
    <w:p w14:paraId="42F77A27">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法定代表人或其授权代理人：</w:t>
      </w:r>
      <w:r>
        <w:rPr>
          <w:rFonts w:hint="eastAsia" w:asciiTheme="minorEastAsia" w:hAnsiTheme="minorEastAsia" w:cstheme="minorEastAsia"/>
          <w:color w:val="auto"/>
          <w:kern w:val="0"/>
          <w:sz w:val="24"/>
          <w:highlight w:val="none"/>
          <w:u w:val="single"/>
        </w:rPr>
        <w:t xml:space="preserve">                   （签字或盖章）</w:t>
      </w:r>
    </w:p>
    <w:p w14:paraId="444E2AFC">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邮政编码：</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电话：</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 xml:space="preserve">  传真：</w:t>
      </w:r>
      <w:r>
        <w:rPr>
          <w:rFonts w:hint="eastAsia" w:asciiTheme="minorEastAsia" w:hAnsiTheme="minorEastAsia" w:cstheme="minorEastAsia"/>
          <w:color w:val="auto"/>
          <w:kern w:val="0"/>
          <w:sz w:val="24"/>
          <w:highlight w:val="none"/>
          <w:u w:val="single"/>
        </w:rPr>
        <w:t xml:space="preserve">          </w:t>
      </w:r>
    </w:p>
    <w:p w14:paraId="194AB110">
      <w:pPr>
        <w:adjustRightInd w:val="0"/>
        <w:spacing w:line="360" w:lineRule="auto"/>
        <w:ind w:firstLine="1200" w:firstLineChars="5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开户银行名称：</w:t>
      </w:r>
      <w:r>
        <w:rPr>
          <w:rFonts w:hint="eastAsia" w:asciiTheme="minorEastAsia" w:hAnsiTheme="minorEastAsia" w:cstheme="minorEastAsia"/>
          <w:color w:val="auto"/>
          <w:kern w:val="0"/>
          <w:sz w:val="24"/>
          <w:highlight w:val="none"/>
          <w:u w:val="single"/>
        </w:rPr>
        <w:t xml:space="preserve">                                             </w:t>
      </w:r>
    </w:p>
    <w:p w14:paraId="39DC7A7C">
      <w:pPr>
        <w:adjustRightInd w:val="0"/>
        <w:spacing w:line="360" w:lineRule="auto"/>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 xml:space="preserve">          开户银行帐号：</w:t>
      </w:r>
      <w:r>
        <w:rPr>
          <w:rFonts w:hint="eastAsia" w:asciiTheme="minorEastAsia" w:hAnsiTheme="minorEastAsia" w:cstheme="minorEastAsia"/>
          <w:color w:val="auto"/>
          <w:kern w:val="0"/>
          <w:sz w:val="24"/>
          <w:highlight w:val="none"/>
          <w:u w:val="single"/>
        </w:rPr>
        <w:t xml:space="preserve">                                             </w:t>
      </w:r>
    </w:p>
    <w:p w14:paraId="3E800398">
      <w:pPr>
        <w:adjustRightInd w:val="0"/>
        <w:spacing w:line="360" w:lineRule="auto"/>
        <w:ind w:firstLine="1200" w:firstLineChars="5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开户银行地址：</w:t>
      </w:r>
      <w:r>
        <w:rPr>
          <w:rFonts w:hint="eastAsia" w:asciiTheme="minorEastAsia" w:hAnsiTheme="minorEastAsia" w:cstheme="minorEastAsia"/>
          <w:color w:val="auto"/>
          <w:kern w:val="0"/>
          <w:sz w:val="24"/>
          <w:highlight w:val="none"/>
          <w:u w:val="single"/>
        </w:rPr>
        <w:t xml:space="preserve">                                             </w:t>
      </w:r>
    </w:p>
    <w:p w14:paraId="76C7ACA2">
      <w:pPr>
        <w:adjustRightInd w:val="0"/>
        <w:spacing w:line="360" w:lineRule="auto"/>
        <w:ind w:firstLine="1200" w:firstLineChars="5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日    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0E56D0F0">
      <w:pPr>
        <w:adjustRightInd w:val="0"/>
        <w:spacing w:line="360" w:lineRule="auto"/>
        <w:ind w:firstLine="960" w:firstLineChars="400"/>
        <w:rPr>
          <w:rFonts w:asciiTheme="minorEastAsia" w:hAnsiTheme="minorEastAsia" w:cstheme="minorEastAsia"/>
          <w:color w:val="auto"/>
          <w:kern w:val="0"/>
          <w:sz w:val="24"/>
          <w:highlight w:val="none"/>
        </w:rPr>
      </w:pPr>
    </w:p>
    <w:p w14:paraId="5B102342">
      <w:pPr>
        <w:adjustRightInd w:val="0"/>
        <w:snapToGrid w:val="0"/>
        <w:spacing w:line="460" w:lineRule="exact"/>
        <w:jc w:val="center"/>
        <w:textAlignment w:val="baseline"/>
        <w:rPr>
          <w:rFonts w:ascii="宋体" w:hAnsi="宋体" w:eastAsia="宋体" w:cs="仿宋"/>
          <w:b/>
          <w:bCs/>
          <w:snapToGrid w:val="0"/>
          <w:color w:val="auto"/>
          <w:kern w:val="0"/>
          <w:sz w:val="28"/>
          <w:szCs w:val="28"/>
          <w:highlight w:val="none"/>
        </w:rPr>
      </w:pPr>
      <w:r>
        <w:rPr>
          <w:rFonts w:hint="eastAsia" w:ascii="宋体" w:hAnsi="宋体" w:eastAsia="宋体" w:cs="仿宋"/>
          <w:b/>
          <w:bCs/>
          <w:snapToGrid w:val="0"/>
          <w:color w:val="auto"/>
          <w:kern w:val="0"/>
          <w:sz w:val="28"/>
          <w:szCs w:val="28"/>
          <w:highlight w:val="none"/>
        </w:rPr>
        <w:t>二、磋商函附录</w:t>
      </w:r>
    </w:p>
    <w:tbl>
      <w:tblPr>
        <w:tblStyle w:val="27"/>
        <w:tblW w:w="9449" w:type="dxa"/>
        <w:tblInd w:w="-2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1590"/>
        <w:gridCol w:w="1275"/>
        <w:gridCol w:w="5024"/>
        <w:gridCol w:w="900"/>
      </w:tblGrid>
      <w:tr w14:paraId="1911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23281E82">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序号</w:t>
            </w:r>
          </w:p>
        </w:tc>
        <w:tc>
          <w:tcPr>
            <w:tcW w:w="1590" w:type="dxa"/>
            <w:vAlign w:val="center"/>
          </w:tcPr>
          <w:p w14:paraId="3DB65191">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项目内容</w:t>
            </w:r>
          </w:p>
        </w:tc>
        <w:tc>
          <w:tcPr>
            <w:tcW w:w="1275" w:type="dxa"/>
            <w:vAlign w:val="center"/>
          </w:tcPr>
          <w:p w14:paraId="14EB286C">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合同条款号</w:t>
            </w:r>
          </w:p>
        </w:tc>
        <w:tc>
          <w:tcPr>
            <w:tcW w:w="5024" w:type="dxa"/>
            <w:vAlign w:val="center"/>
          </w:tcPr>
          <w:p w14:paraId="6D1765FB">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约定内容</w:t>
            </w:r>
          </w:p>
        </w:tc>
        <w:tc>
          <w:tcPr>
            <w:tcW w:w="900" w:type="dxa"/>
            <w:vAlign w:val="center"/>
          </w:tcPr>
          <w:p w14:paraId="273FD674">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备注</w:t>
            </w:r>
          </w:p>
        </w:tc>
      </w:tr>
      <w:tr w14:paraId="313F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3" w:hRule="atLeast"/>
        </w:trPr>
        <w:tc>
          <w:tcPr>
            <w:tcW w:w="660" w:type="dxa"/>
            <w:vAlign w:val="center"/>
          </w:tcPr>
          <w:p w14:paraId="6D832B94">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w:t>
            </w:r>
          </w:p>
        </w:tc>
        <w:tc>
          <w:tcPr>
            <w:tcW w:w="1590" w:type="dxa"/>
            <w:vAlign w:val="center"/>
          </w:tcPr>
          <w:p w14:paraId="57DF8231">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工程进度款</w:t>
            </w:r>
          </w:p>
        </w:tc>
        <w:tc>
          <w:tcPr>
            <w:tcW w:w="1275" w:type="dxa"/>
            <w:vAlign w:val="center"/>
          </w:tcPr>
          <w:p w14:paraId="0049542B">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12.4.1</w:t>
            </w:r>
          </w:p>
        </w:tc>
        <w:tc>
          <w:tcPr>
            <w:tcW w:w="5024" w:type="dxa"/>
            <w:vAlign w:val="center"/>
          </w:tcPr>
          <w:p w14:paraId="1A2E14A2">
            <w:pPr>
              <w:spacing w:line="360" w:lineRule="auto"/>
              <w:ind w:firstLine="480" w:firstLineChars="200"/>
              <w:rPr>
                <w:rFonts w:hint="eastAsia" w:asciiTheme="minorEastAsia" w:hAnsiTheme="minorEastAsia" w:eastAsiaTheme="minorEastAsia" w:cstheme="minorEastAsia"/>
                <w:color w:val="auto"/>
                <w:kern w:val="0"/>
                <w:sz w:val="24"/>
                <w:highlight w:val="none"/>
                <w:lang w:eastAsia="zh-CN"/>
              </w:rPr>
            </w:pPr>
            <w:r>
              <w:rPr>
                <w:rFonts w:hint="eastAsia" w:asciiTheme="minorEastAsia" w:hAnsiTheme="minorEastAsia" w:cstheme="minorEastAsia"/>
                <w:color w:val="auto"/>
                <w:kern w:val="0"/>
                <w:sz w:val="24"/>
                <w:highlight w:val="none"/>
              </w:rPr>
              <w:t>本项目工程按月申请当月完成工程量80%，竣工验收后支付至合同价90%，由施工单位按工程相关要求做好竣工资料并经采购人有关部门验收合格确认及结算审核后支付至结算价100%，施工单位收款后保修期内继续履行保修义务</w:t>
            </w:r>
            <w:r>
              <w:rPr>
                <w:rFonts w:hint="eastAsia" w:asciiTheme="minorEastAsia" w:hAnsiTheme="minorEastAsia" w:cstheme="minorEastAsia"/>
                <w:color w:val="auto"/>
                <w:kern w:val="0"/>
                <w:sz w:val="24"/>
                <w:highlight w:val="none"/>
                <w:lang w:eastAsia="zh-CN"/>
              </w:rPr>
              <w:t>。</w:t>
            </w:r>
          </w:p>
        </w:tc>
        <w:tc>
          <w:tcPr>
            <w:tcW w:w="900" w:type="dxa"/>
            <w:vAlign w:val="center"/>
          </w:tcPr>
          <w:p w14:paraId="277883F2">
            <w:pPr>
              <w:adjustRightInd w:val="0"/>
              <w:spacing w:line="360" w:lineRule="auto"/>
              <w:jc w:val="center"/>
              <w:rPr>
                <w:rFonts w:asciiTheme="minorEastAsia" w:hAnsiTheme="minorEastAsia" w:cstheme="minorEastAsia"/>
                <w:color w:val="auto"/>
                <w:kern w:val="0"/>
                <w:sz w:val="24"/>
                <w:highlight w:val="none"/>
              </w:rPr>
            </w:pPr>
          </w:p>
        </w:tc>
      </w:tr>
      <w:tr w14:paraId="1E23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3F67E7D4">
            <w:pPr>
              <w:adjustRightInd w:val="0"/>
              <w:spacing w:line="360" w:lineRule="auto"/>
              <w:ind w:right="15"/>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2</w:t>
            </w:r>
          </w:p>
        </w:tc>
        <w:tc>
          <w:tcPr>
            <w:tcW w:w="1590" w:type="dxa"/>
            <w:vAlign w:val="center"/>
          </w:tcPr>
          <w:p w14:paraId="6E612E4F">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误期违约金</w:t>
            </w:r>
          </w:p>
        </w:tc>
        <w:tc>
          <w:tcPr>
            <w:tcW w:w="1275" w:type="dxa"/>
            <w:vAlign w:val="center"/>
          </w:tcPr>
          <w:p w14:paraId="46C27DBA">
            <w:pPr>
              <w:adjustRightInd w:val="0"/>
              <w:spacing w:line="360" w:lineRule="auto"/>
              <w:jc w:val="center"/>
              <w:rPr>
                <w:rFonts w:asciiTheme="minorEastAsia" w:hAnsiTheme="minorEastAsia" w:cstheme="minorEastAsia"/>
                <w:color w:val="auto"/>
                <w:kern w:val="0"/>
                <w:sz w:val="24"/>
                <w:highlight w:val="none"/>
              </w:rPr>
            </w:pPr>
            <w:r>
              <w:rPr>
                <w:rFonts w:hint="eastAsia" w:ascii="宋体" w:hAnsi="宋体" w:cs="宋体"/>
                <w:color w:val="auto"/>
                <w:sz w:val="24"/>
                <w:szCs w:val="24"/>
                <w:highlight w:val="none"/>
              </w:rPr>
              <w:t>7.5.2</w:t>
            </w:r>
          </w:p>
        </w:tc>
        <w:tc>
          <w:tcPr>
            <w:tcW w:w="5024" w:type="dxa"/>
            <w:vAlign w:val="center"/>
          </w:tcPr>
          <w:p w14:paraId="2F54E550">
            <w:pPr>
              <w:spacing w:line="440" w:lineRule="exact"/>
              <w:ind w:firstLine="480" w:firstLineChars="200"/>
              <w:rPr>
                <w:rFonts w:asciiTheme="minorEastAsia" w:hAnsiTheme="minorEastAsia" w:cstheme="minorEastAsia"/>
                <w:color w:val="auto"/>
                <w:kern w:val="0"/>
                <w:sz w:val="24"/>
                <w:szCs w:val="24"/>
                <w:highlight w:val="none"/>
              </w:rPr>
            </w:pPr>
            <w:r>
              <w:rPr>
                <w:rFonts w:hint="eastAsia" w:ascii="宋体" w:hAnsi="宋体" w:cs="宋体"/>
                <w:color w:val="auto"/>
                <w:sz w:val="24"/>
                <w:szCs w:val="24"/>
                <w:highlight w:val="none"/>
              </w:rPr>
              <w:t xml:space="preserve">非上述原因，承包人不能按合同约定的时间竣工，承包人应承担违约责任。应向发包人支付误期赔偿费（监理人可向承包人发出整改通知，承包人未能按合同约定，已造成工期延误，并向承包人索赔每天5000元的违约金，若因此给发包人造成实际损失的，承包人还应对此承担赔偿责任，罚款直接从结算款中扣除。），误期时间从规定竣工日期起直到实际竣工日期的天数（扣除发包人批准顺延的工期）。发包人可从应向承包人支付的任何金额中扣除此项赔款费或其他方式收回此款，此赔偿款的支付并不能解除承包人应完成工程的责任或合同规定的其他责任。 </w:t>
            </w:r>
          </w:p>
        </w:tc>
        <w:tc>
          <w:tcPr>
            <w:tcW w:w="900" w:type="dxa"/>
            <w:vAlign w:val="center"/>
          </w:tcPr>
          <w:p w14:paraId="5A868848">
            <w:pPr>
              <w:adjustRightInd w:val="0"/>
              <w:spacing w:line="360" w:lineRule="auto"/>
              <w:jc w:val="center"/>
              <w:rPr>
                <w:rFonts w:asciiTheme="minorEastAsia" w:hAnsiTheme="minorEastAsia" w:cstheme="minorEastAsia"/>
                <w:color w:val="auto"/>
                <w:kern w:val="0"/>
                <w:sz w:val="24"/>
                <w:highlight w:val="none"/>
              </w:rPr>
            </w:pPr>
          </w:p>
        </w:tc>
      </w:tr>
      <w:tr w14:paraId="29AE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660" w:type="dxa"/>
            <w:vAlign w:val="center"/>
          </w:tcPr>
          <w:p w14:paraId="02F25D90">
            <w:pPr>
              <w:adjustRightInd w:val="0"/>
              <w:spacing w:line="360" w:lineRule="auto"/>
              <w:ind w:right="15"/>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3</w:t>
            </w:r>
          </w:p>
        </w:tc>
        <w:tc>
          <w:tcPr>
            <w:tcW w:w="1590" w:type="dxa"/>
            <w:vAlign w:val="center"/>
          </w:tcPr>
          <w:p w14:paraId="1DCEB570">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误期违约金上限</w:t>
            </w:r>
          </w:p>
        </w:tc>
        <w:tc>
          <w:tcPr>
            <w:tcW w:w="1275" w:type="dxa"/>
            <w:vAlign w:val="center"/>
          </w:tcPr>
          <w:p w14:paraId="2757DD5F">
            <w:pPr>
              <w:adjustRightInd w:val="0"/>
              <w:spacing w:line="360" w:lineRule="auto"/>
              <w:jc w:val="center"/>
              <w:rPr>
                <w:rFonts w:asciiTheme="minorEastAsia" w:hAnsiTheme="minorEastAsia" w:cstheme="minorEastAsia"/>
                <w:color w:val="auto"/>
                <w:kern w:val="0"/>
                <w:sz w:val="24"/>
                <w:highlight w:val="none"/>
              </w:rPr>
            </w:pPr>
            <w:r>
              <w:rPr>
                <w:rFonts w:hint="eastAsia" w:ascii="宋体" w:hAnsi="宋体" w:cs="宋体"/>
                <w:color w:val="auto"/>
                <w:sz w:val="24"/>
                <w:szCs w:val="24"/>
                <w:highlight w:val="none"/>
              </w:rPr>
              <w:t xml:space="preserve">7.5.2 </w:t>
            </w:r>
          </w:p>
        </w:tc>
        <w:tc>
          <w:tcPr>
            <w:tcW w:w="5024" w:type="dxa"/>
            <w:vAlign w:val="center"/>
          </w:tcPr>
          <w:p w14:paraId="2DC60511">
            <w:pPr>
              <w:adjustRightInd w:val="0"/>
              <w:spacing w:line="360" w:lineRule="auto"/>
              <w:rPr>
                <w:rFonts w:asciiTheme="minorEastAsia" w:hAnsiTheme="minorEastAsia" w:cstheme="minorEastAsia"/>
                <w:color w:val="auto"/>
                <w:kern w:val="0"/>
                <w:sz w:val="24"/>
                <w:szCs w:val="24"/>
                <w:highlight w:val="none"/>
              </w:rPr>
            </w:pPr>
            <w:r>
              <w:rPr>
                <w:rFonts w:hint="eastAsia" w:ascii="宋体" w:hAnsi="宋体" w:cs="宋体"/>
                <w:color w:val="auto"/>
                <w:sz w:val="24"/>
                <w:szCs w:val="24"/>
                <w:highlight w:val="none"/>
              </w:rPr>
              <w:t>逾期竣工的单位工程结算造价扣除建安劳保费、发包人材料价款、暂估专业工程、暂列金额后的10%。</w:t>
            </w:r>
          </w:p>
        </w:tc>
        <w:tc>
          <w:tcPr>
            <w:tcW w:w="900" w:type="dxa"/>
            <w:vAlign w:val="center"/>
          </w:tcPr>
          <w:p w14:paraId="7E326667">
            <w:pPr>
              <w:adjustRightInd w:val="0"/>
              <w:spacing w:line="360" w:lineRule="auto"/>
              <w:jc w:val="center"/>
              <w:rPr>
                <w:rFonts w:asciiTheme="minorEastAsia" w:hAnsiTheme="minorEastAsia" w:cstheme="minorEastAsia"/>
                <w:color w:val="auto"/>
                <w:kern w:val="0"/>
                <w:sz w:val="24"/>
                <w:highlight w:val="none"/>
              </w:rPr>
            </w:pPr>
          </w:p>
        </w:tc>
      </w:tr>
      <w:tr w14:paraId="68F31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5223A19C">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4</w:t>
            </w:r>
          </w:p>
        </w:tc>
        <w:tc>
          <w:tcPr>
            <w:tcW w:w="1590" w:type="dxa"/>
            <w:vAlign w:val="center"/>
          </w:tcPr>
          <w:p w14:paraId="7CB61BA7">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质量保修期</w:t>
            </w:r>
          </w:p>
        </w:tc>
        <w:tc>
          <w:tcPr>
            <w:tcW w:w="1275" w:type="dxa"/>
            <w:vAlign w:val="center"/>
          </w:tcPr>
          <w:p w14:paraId="33B48B8A">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olor w:val="auto"/>
                <w:sz w:val="24"/>
                <w:szCs w:val="24"/>
                <w:highlight w:val="none"/>
              </w:rPr>
              <w:t>15.4.1</w:t>
            </w:r>
          </w:p>
        </w:tc>
        <w:tc>
          <w:tcPr>
            <w:tcW w:w="5024" w:type="dxa"/>
            <w:vAlign w:val="center"/>
          </w:tcPr>
          <w:p w14:paraId="34F7E6B2">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 xml:space="preserve">  执行《建设工程质量管理条例》规定    </w:t>
            </w:r>
          </w:p>
        </w:tc>
        <w:tc>
          <w:tcPr>
            <w:tcW w:w="900" w:type="dxa"/>
            <w:vAlign w:val="center"/>
          </w:tcPr>
          <w:p w14:paraId="1B5BFFC9">
            <w:pPr>
              <w:adjustRightInd w:val="0"/>
              <w:spacing w:line="360" w:lineRule="auto"/>
              <w:jc w:val="center"/>
              <w:rPr>
                <w:rFonts w:asciiTheme="minorEastAsia" w:hAnsiTheme="minorEastAsia" w:cstheme="minorEastAsia"/>
                <w:color w:val="auto"/>
                <w:kern w:val="0"/>
                <w:sz w:val="24"/>
                <w:highlight w:val="none"/>
              </w:rPr>
            </w:pPr>
          </w:p>
        </w:tc>
      </w:tr>
      <w:tr w14:paraId="2399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1E6D7753">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5</w:t>
            </w:r>
          </w:p>
        </w:tc>
        <w:tc>
          <w:tcPr>
            <w:tcW w:w="1590" w:type="dxa"/>
            <w:vAlign w:val="center"/>
          </w:tcPr>
          <w:p w14:paraId="5BF3B7F3">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lang w:val="en-US" w:eastAsia="zh-CN"/>
              </w:rPr>
              <w:t>履约</w:t>
            </w:r>
            <w:r>
              <w:rPr>
                <w:rFonts w:hint="eastAsia" w:asciiTheme="minorEastAsia" w:hAnsiTheme="minorEastAsia" w:cstheme="minorEastAsia"/>
                <w:color w:val="auto"/>
                <w:kern w:val="0"/>
                <w:sz w:val="24"/>
                <w:highlight w:val="none"/>
              </w:rPr>
              <w:t>保证金</w:t>
            </w:r>
          </w:p>
        </w:tc>
        <w:tc>
          <w:tcPr>
            <w:tcW w:w="1275" w:type="dxa"/>
            <w:vAlign w:val="center"/>
          </w:tcPr>
          <w:p w14:paraId="2E1FDC5A">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olor w:val="auto"/>
                <w:sz w:val="24"/>
                <w:szCs w:val="24"/>
                <w:highlight w:val="none"/>
              </w:rPr>
              <w:t>15.3.1</w:t>
            </w:r>
          </w:p>
        </w:tc>
        <w:tc>
          <w:tcPr>
            <w:tcW w:w="5024" w:type="dxa"/>
            <w:vAlign w:val="center"/>
          </w:tcPr>
          <w:p w14:paraId="22D3AF2F">
            <w:pPr>
              <w:adjustRightInd w:val="0"/>
              <w:spacing w:line="360" w:lineRule="auto"/>
              <w:ind w:firstLine="480" w:firstLineChars="200"/>
              <w:rPr>
                <w:rFonts w:hint="eastAsia" w:asciiTheme="minorEastAsia" w:hAnsiTheme="minorEastAsia" w:eastAsiaTheme="minorEastAsia" w:cstheme="minorEastAsia"/>
                <w:color w:val="auto"/>
                <w:kern w:val="0"/>
                <w:sz w:val="24"/>
                <w:highlight w:val="none"/>
                <w:u w:val="single"/>
                <w:lang w:eastAsia="zh-CN"/>
              </w:rPr>
            </w:pPr>
            <w:r>
              <w:rPr>
                <w:rFonts w:hint="eastAsia" w:ascii="宋体" w:hAnsi="宋体" w:cs="宋体"/>
                <w:color w:val="auto"/>
                <w:sz w:val="24"/>
                <w:szCs w:val="24"/>
                <w:highlight w:val="none"/>
                <w:lang w:val="en-US" w:eastAsia="zh-CN"/>
              </w:rPr>
              <w:t>无</w:t>
            </w:r>
          </w:p>
        </w:tc>
        <w:tc>
          <w:tcPr>
            <w:tcW w:w="900" w:type="dxa"/>
            <w:vAlign w:val="center"/>
          </w:tcPr>
          <w:p w14:paraId="4EA305D3">
            <w:pPr>
              <w:adjustRightInd w:val="0"/>
              <w:spacing w:line="360" w:lineRule="auto"/>
              <w:jc w:val="center"/>
              <w:rPr>
                <w:rFonts w:asciiTheme="minorEastAsia" w:hAnsiTheme="minorEastAsia" w:cstheme="minorEastAsia"/>
                <w:color w:val="auto"/>
                <w:kern w:val="0"/>
                <w:sz w:val="24"/>
                <w:highlight w:val="none"/>
              </w:rPr>
            </w:pPr>
          </w:p>
        </w:tc>
      </w:tr>
      <w:tr w14:paraId="2A9A0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660" w:type="dxa"/>
            <w:vAlign w:val="center"/>
          </w:tcPr>
          <w:p w14:paraId="32C9212F">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6</w:t>
            </w:r>
          </w:p>
        </w:tc>
        <w:tc>
          <w:tcPr>
            <w:tcW w:w="1590" w:type="dxa"/>
            <w:vAlign w:val="center"/>
          </w:tcPr>
          <w:p w14:paraId="20E765B5">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szCs w:val="24"/>
                <w:highlight w:val="none"/>
              </w:rPr>
              <w:t>磋商</w:t>
            </w:r>
            <w:r>
              <w:rPr>
                <w:rFonts w:hint="eastAsia" w:asciiTheme="minorEastAsia" w:hAnsiTheme="minorEastAsia" w:cstheme="minorEastAsia"/>
                <w:color w:val="auto"/>
                <w:kern w:val="0"/>
                <w:sz w:val="24"/>
                <w:highlight w:val="none"/>
              </w:rPr>
              <w:t>有效期</w:t>
            </w:r>
          </w:p>
        </w:tc>
        <w:tc>
          <w:tcPr>
            <w:tcW w:w="1275" w:type="dxa"/>
            <w:vAlign w:val="center"/>
          </w:tcPr>
          <w:p w14:paraId="5C9AE2E4">
            <w:pPr>
              <w:adjustRightInd w:val="0"/>
              <w:spacing w:line="360" w:lineRule="auto"/>
              <w:jc w:val="center"/>
              <w:rPr>
                <w:rFonts w:asciiTheme="minorEastAsia" w:hAnsiTheme="minorEastAsia"/>
                <w:color w:val="auto"/>
                <w:sz w:val="24"/>
                <w:szCs w:val="24"/>
                <w:highlight w:val="none"/>
              </w:rPr>
            </w:pPr>
          </w:p>
        </w:tc>
        <w:tc>
          <w:tcPr>
            <w:tcW w:w="5024" w:type="dxa"/>
            <w:vAlign w:val="center"/>
          </w:tcPr>
          <w:p w14:paraId="5740B367">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szCs w:val="24"/>
                <w:highlight w:val="none"/>
              </w:rPr>
              <w:t>60 日（自提交响应文件截止之日算起）</w:t>
            </w:r>
          </w:p>
        </w:tc>
        <w:tc>
          <w:tcPr>
            <w:tcW w:w="900" w:type="dxa"/>
            <w:vAlign w:val="center"/>
          </w:tcPr>
          <w:p w14:paraId="4CF118D2">
            <w:pPr>
              <w:adjustRightInd w:val="0"/>
              <w:spacing w:line="360" w:lineRule="auto"/>
              <w:jc w:val="center"/>
              <w:rPr>
                <w:rFonts w:asciiTheme="minorEastAsia" w:hAnsiTheme="minorEastAsia" w:cstheme="minorEastAsia"/>
                <w:color w:val="auto"/>
                <w:kern w:val="0"/>
                <w:sz w:val="24"/>
                <w:highlight w:val="none"/>
              </w:rPr>
            </w:pPr>
          </w:p>
        </w:tc>
      </w:tr>
      <w:tr w14:paraId="3A811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660" w:type="dxa"/>
            <w:vAlign w:val="center"/>
          </w:tcPr>
          <w:p w14:paraId="4426E4C8">
            <w:pPr>
              <w:adjustRightInd w:val="0"/>
              <w:spacing w:line="360" w:lineRule="auto"/>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7</w:t>
            </w:r>
          </w:p>
        </w:tc>
        <w:tc>
          <w:tcPr>
            <w:tcW w:w="1590" w:type="dxa"/>
            <w:vAlign w:val="center"/>
          </w:tcPr>
          <w:p w14:paraId="4BBCF552">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合同履约期限</w:t>
            </w:r>
          </w:p>
        </w:tc>
        <w:tc>
          <w:tcPr>
            <w:tcW w:w="1275" w:type="dxa"/>
            <w:vAlign w:val="center"/>
          </w:tcPr>
          <w:p w14:paraId="35DC4A58">
            <w:pPr>
              <w:adjustRightInd w:val="0"/>
              <w:spacing w:line="360" w:lineRule="auto"/>
              <w:jc w:val="center"/>
              <w:rPr>
                <w:rFonts w:asciiTheme="minorEastAsia" w:hAnsiTheme="minorEastAsia" w:cstheme="minorEastAsia"/>
                <w:color w:val="auto"/>
                <w:kern w:val="0"/>
                <w:sz w:val="24"/>
                <w:highlight w:val="none"/>
              </w:rPr>
            </w:pPr>
          </w:p>
        </w:tc>
        <w:tc>
          <w:tcPr>
            <w:tcW w:w="5024" w:type="dxa"/>
            <w:vAlign w:val="center"/>
          </w:tcPr>
          <w:p w14:paraId="40E418B7">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宋体" w:hAnsi="宋体" w:cs="宋体"/>
                <w:color w:val="auto"/>
                <w:sz w:val="24"/>
                <w:szCs w:val="24"/>
                <w:highlight w:val="none"/>
              </w:rPr>
              <w:t>从本项目开工之日起</w:t>
            </w:r>
            <w:r>
              <w:rPr>
                <w:rFonts w:hint="eastAsia" w:ascii="宋体" w:hAnsi="宋体" w:cs="宋体"/>
                <w:color w:val="auto"/>
                <w:sz w:val="24"/>
                <w:szCs w:val="24"/>
                <w:highlight w:val="none"/>
                <w:lang w:val="en-US" w:eastAsia="zh-CN"/>
              </w:rPr>
              <w:t>120</w:t>
            </w:r>
            <w:r>
              <w:rPr>
                <w:rFonts w:hint="eastAsia" w:ascii="宋体" w:hAnsi="宋体" w:cs="宋体"/>
                <w:color w:val="auto"/>
                <w:sz w:val="24"/>
                <w:szCs w:val="24"/>
                <w:highlight w:val="none"/>
              </w:rPr>
              <w:t>个日历天内完成（具体开工时间由采购人另外约定）</w:t>
            </w:r>
          </w:p>
        </w:tc>
        <w:tc>
          <w:tcPr>
            <w:tcW w:w="900" w:type="dxa"/>
            <w:vAlign w:val="center"/>
          </w:tcPr>
          <w:p w14:paraId="18BD9C85">
            <w:pPr>
              <w:adjustRightInd w:val="0"/>
              <w:spacing w:line="360" w:lineRule="auto"/>
              <w:jc w:val="center"/>
              <w:rPr>
                <w:rFonts w:asciiTheme="minorEastAsia" w:hAnsiTheme="minorEastAsia" w:cstheme="minorEastAsia"/>
                <w:color w:val="auto"/>
                <w:kern w:val="0"/>
                <w:sz w:val="24"/>
                <w:highlight w:val="none"/>
              </w:rPr>
            </w:pPr>
          </w:p>
        </w:tc>
      </w:tr>
      <w:tr w14:paraId="075E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756C4598">
            <w:pPr>
              <w:adjustRightInd w:val="0"/>
              <w:spacing w:line="360" w:lineRule="auto"/>
              <w:ind w:left="-567" w:leftChars="-270" w:firstLine="576" w:firstLineChars="240"/>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8</w:t>
            </w:r>
          </w:p>
        </w:tc>
        <w:tc>
          <w:tcPr>
            <w:tcW w:w="1590" w:type="dxa"/>
            <w:vAlign w:val="center"/>
          </w:tcPr>
          <w:p w14:paraId="1726564A">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承诺工程质量</w:t>
            </w:r>
          </w:p>
        </w:tc>
        <w:tc>
          <w:tcPr>
            <w:tcW w:w="1275" w:type="dxa"/>
            <w:vAlign w:val="center"/>
          </w:tcPr>
          <w:p w14:paraId="43282ABC">
            <w:pPr>
              <w:adjustRightInd w:val="0"/>
              <w:spacing w:line="360" w:lineRule="auto"/>
              <w:jc w:val="center"/>
              <w:rPr>
                <w:rFonts w:asciiTheme="minorEastAsia" w:hAnsiTheme="minorEastAsia" w:cstheme="minorEastAsia"/>
                <w:color w:val="auto"/>
                <w:kern w:val="0"/>
                <w:sz w:val="24"/>
                <w:highlight w:val="none"/>
              </w:rPr>
            </w:pPr>
          </w:p>
        </w:tc>
        <w:tc>
          <w:tcPr>
            <w:tcW w:w="5024" w:type="dxa"/>
            <w:vAlign w:val="center"/>
          </w:tcPr>
          <w:p w14:paraId="7544C39B">
            <w:pPr>
              <w:adjustRightInd w:val="0"/>
              <w:spacing w:line="360" w:lineRule="auto"/>
              <w:ind w:firstLine="480" w:firstLineChars="200"/>
              <w:rPr>
                <w:rFonts w:asciiTheme="minorEastAsia" w:hAnsiTheme="minorEastAsia" w:cstheme="minorEastAsia"/>
                <w:color w:val="auto"/>
                <w:kern w:val="0"/>
                <w:sz w:val="24"/>
                <w:highlight w:val="none"/>
              </w:rPr>
            </w:pPr>
            <w:r>
              <w:rPr>
                <w:rFonts w:hint="eastAsia" w:asciiTheme="minorEastAsia" w:hAnsiTheme="minorEastAsia" w:cstheme="minorEastAsia"/>
                <w:bCs/>
                <w:color w:val="auto"/>
                <w:sz w:val="24"/>
                <w:szCs w:val="24"/>
                <w:highlight w:val="none"/>
              </w:rPr>
              <w:t>达到国家和行业颁发的施工及验收规程规范要求。</w:t>
            </w:r>
          </w:p>
        </w:tc>
        <w:tc>
          <w:tcPr>
            <w:tcW w:w="900" w:type="dxa"/>
            <w:vAlign w:val="center"/>
          </w:tcPr>
          <w:p w14:paraId="173E54F4">
            <w:pPr>
              <w:adjustRightInd w:val="0"/>
              <w:spacing w:line="360" w:lineRule="auto"/>
              <w:jc w:val="center"/>
              <w:rPr>
                <w:rFonts w:asciiTheme="minorEastAsia" w:hAnsiTheme="minorEastAsia" w:cstheme="minorEastAsia"/>
                <w:color w:val="auto"/>
                <w:kern w:val="0"/>
                <w:sz w:val="24"/>
                <w:highlight w:val="none"/>
                <w:u w:val="single"/>
              </w:rPr>
            </w:pPr>
          </w:p>
        </w:tc>
      </w:tr>
      <w:tr w14:paraId="7F94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60" w:type="dxa"/>
            <w:vAlign w:val="center"/>
          </w:tcPr>
          <w:p w14:paraId="514737E8">
            <w:pPr>
              <w:adjustRightInd w:val="0"/>
              <w:spacing w:line="360" w:lineRule="auto"/>
              <w:ind w:left="-567" w:leftChars="-270" w:firstLine="576" w:firstLineChars="240"/>
              <w:jc w:val="center"/>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9</w:t>
            </w:r>
          </w:p>
        </w:tc>
        <w:tc>
          <w:tcPr>
            <w:tcW w:w="1590" w:type="dxa"/>
            <w:vAlign w:val="center"/>
          </w:tcPr>
          <w:p w14:paraId="07098398">
            <w:pPr>
              <w:adjustRightInd w:val="0"/>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服务响应时间</w:t>
            </w:r>
          </w:p>
        </w:tc>
        <w:tc>
          <w:tcPr>
            <w:tcW w:w="1275" w:type="dxa"/>
            <w:vAlign w:val="center"/>
          </w:tcPr>
          <w:p w14:paraId="3FA05407">
            <w:pPr>
              <w:adjustRightInd w:val="0"/>
              <w:spacing w:line="360" w:lineRule="auto"/>
              <w:jc w:val="center"/>
              <w:rPr>
                <w:rFonts w:asciiTheme="minorEastAsia" w:hAnsiTheme="minorEastAsia" w:cstheme="minorEastAsia"/>
                <w:color w:val="auto"/>
                <w:kern w:val="0"/>
                <w:sz w:val="24"/>
                <w:highlight w:val="none"/>
              </w:rPr>
            </w:pPr>
          </w:p>
        </w:tc>
        <w:tc>
          <w:tcPr>
            <w:tcW w:w="5024" w:type="dxa"/>
            <w:vAlign w:val="center"/>
          </w:tcPr>
          <w:p w14:paraId="13070A48">
            <w:pPr>
              <w:adjustRightInd w:val="0"/>
              <w:spacing w:line="360" w:lineRule="auto"/>
              <w:rPr>
                <w:rFonts w:asciiTheme="minorEastAsia" w:hAnsiTheme="minorEastAsia" w:cstheme="minorEastAsia"/>
                <w:bCs/>
                <w:color w:val="auto"/>
                <w:sz w:val="24"/>
                <w:szCs w:val="24"/>
                <w:highlight w:val="none"/>
              </w:rPr>
            </w:pPr>
            <w:r>
              <w:rPr>
                <w:rFonts w:hint="eastAsia" w:asciiTheme="minorEastAsia" w:hAnsiTheme="minorEastAsia" w:cstheme="minorEastAsia"/>
                <w:bCs/>
                <w:color w:val="auto"/>
                <w:sz w:val="24"/>
                <w:szCs w:val="24"/>
                <w:highlight w:val="none"/>
              </w:rPr>
              <w:t>三小时内</w:t>
            </w:r>
          </w:p>
        </w:tc>
        <w:tc>
          <w:tcPr>
            <w:tcW w:w="900" w:type="dxa"/>
            <w:vAlign w:val="center"/>
          </w:tcPr>
          <w:p w14:paraId="0EF240B0">
            <w:pPr>
              <w:adjustRightInd w:val="0"/>
              <w:spacing w:line="360" w:lineRule="auto"/>
              <w:jc w:val="center"/>
              <w:rPr>
                <w:rFonts w:asciiTheme="minorEastAsia" w:hAnsiTheme="minorEastAsia" w:cstheme="minorEastAsia"/>
                <w:color w:val="auto"/>
                <w:kern w:val="0"/>
                <w:sz w:val="24"/>
                <w:highlight w:val="none"/>
                <w:u w:val="single"/>
              </w:rPr>
            </w:pPr>
          </w:p>
        </w:tc>
      </w:tr>
      <w:tr w14:paraId="1197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449" w:type="dxa"/>
            <w:gridSpan w:val="5"/>
            <w:vAlign w:val="center"/>
          </w:tcPr>
          <w:p w14:paraId="06F24AE9">
            <w:pPr>
              <w:adjustRightInd w:val="0"/>
              <w:spacing w:line="360" w:lineRule="auto"/>
              <w:rPr>
                <w:rFonts w:asciiTheme="minorEastAsia" w:hAnsiTheme="minorEastAsia" w:cstheme="minorEastAsia"/>
                <w:color w:val="auto"/>
                <w:kern w:val="0"/>
                <w:sz w:val="24"/>
                <w:highlight w:val="none"/>
                <w:u w:val="single"/>
              </w:rPr>
            </w:pPr>
            <w:r>
              <w:rPr>
                <w:rFonts w:hint="eastAsia" w:cs="宋体" w:asciiTheme="minorEastAsia" w:hAnsiTheme="minorEastAsia"/>
                <w:color w:val="auto"/>
                <w:sz w:val="24"/>
                <w:szCs w:val="24"/>
                <w:highlight w:val="none"/>
              </w:rPr>
              <w:t>备注：投标人在响应采购文件中规定的实质性要求和条件的基础上，可做出其他有利于招标人的承诺。此类承诺可在本表中予以补充填写。</w:t>
            </w:r>
          </w:p>
        </w:tc>
      </w:tr>
    </w:tbl>
    <w:p w14:paraId="7D0FDE7E">
      <w:pPr>
        <w:adjustRightInd w:val="0"/>
        <w:spacing w:line="360" w:lineRule="auto"/>
        <w:ind w:firstLine="960" w:firstLineChars="4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供 应 商：</w:t>
      </w:r>
      <w:r>
        <w:rPr>
          <w:rFonts w:hint="eastAsia" w:asciiTheme="minorEastAsia" w:hAnsiTheme="minorEastAsia" w:cstheme="minorEastAsia"/>
          <w:color w:val="auto"/>
          <w:kern w:val="0"/>
          <w:sz w:val="24"/>
          <w:highlight w:val="none"/>
          <w:u w:val="single"/>
        </w:rPr>
        <w:t xml:space="preserve">                                         （盖章）</w:t>
      </w:r>
    </w:p>
    <w:p w14:paraId="2B9009C6">
      <w:pPr>
        <w:adjustRightInd w:val="0"/>
        <w:spacing w:line="360" w:lineRule="auto"/>
        <w:ind w:firstLine="960" w:firstLineChars="400"/>
        <w:rPr>
          <w:rFonts w:asciiTheme="minorEastAsia" w:hAnsiTheme="minorEastAsia" w:cstheme="minorEastAsia"/>
          <w:color w:val="auto"/>
          <w:kern w:val="0"/>
          <w:sz w:val="24"/>
          <w:highlight w:val="none"/>
          <w:u w:val="single"/>
        </w:rPr>
      </w:pPr>
      <w:r>
        <w:rPr>
          <w:rFonts w:hint="eastAsia" w:asciiTheme="minorEastAsia" w:hAnsiTheme="minorEastAsia" w:cstheme="minorEastAsia"/>
          <w:color w:val="auto"/>
          <w:kern w:val="0"/>
          <w:sz w:val="24"/>
          <w:highlight w:val="none"/>
        </w:rPr>
        <w:t>法定代表人或其授权代理人：</w:t>
      </w:r>
      <w:r>
        <w:rPr>
          <w:rFonts w:hint="eastAsia" w:asciiTheme="minorEastAsia" w:hAnsiTheme="minorEastAsia" w:cstheme="minorEastAsia"/>
          <w:color w:val="auto"/>
          <w:kern w:val="0"/>
          <w:sz w:val="24"/>
          <w:highlight w:val="none"/>
          <w:u w:val="single"/>
        </w:rPr>
        <w:t xml:space="preserve">                   （签字或盖章）</w:t>
      </w:r>
    </w:p>
    <w:p w14:paraId="3B17FB57">
      <w:pPr>
        <w:adjustRightInd w:val="0"/>
        <w:spacing w:line="360" w:lineRule="auto"/>
        <w:ind w:firstLine="1200" w:firstLineChars="500"/>
        <w:rPr>
          <w:rFonts w:asciiTheme="minorEastAsia" w:hAnsiTheme="minorEastAsia" w:cstheme="minorEastAsia"/>
          <w:color w:val="auto"/>
          <w:kern w:val="0"/>
          <w:sz w:val="24"/>
          <w:highlight w:val="none"/>
        </w:rPr>
      </w:pPr>
      <w:r>
        <w:rPr>
          <w:rFonts w:hint="eastAsia" w:asciiTheme="minorEastAsia" w:hAnsiTheme="minorEastAsia" w:cstheme="minorEastAsia"/>
          <w:color w:val="auto"/>
          <w:kern w:val="0"/>
          <w:sz w:val="24"/>
          <w:highlight w:val="none"/>
        </w:rPr>
        <w:t>日    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511A937D">
      <w:pPr>
        <w:pStyle w:val="12"/>
        <w:rPr>
          <w:color w:val="auto"/>
          <w:highlight w:val="none"/>
        </w:rPr>
        <w:sectPr>
          <w:endnotePr>
            <w:numFmt w:val="decimal"/>
          </w:endnotePr>
          <w:pgSz w:w="11906" w:h="16838"/>
          <w:pgMar w:top="1418" w:right="1418" w:bottom="1134" w:left="1418" w:header="567" w:footer="680" w:gutter="0"/>
          <w:cols w:space="720" w:num="1"/>
          <w:docGrid w:type="linesAndChars" w:linePitch="312" w:charSpace="0"/>
        </w:sectPr>
      </w:pPr>
      <w:r>
        <w:rPr>
          <w:rFonts w:hint="eastAsia" w:asciiTheme="minorEastAsia" w:hAnsiTheme="minorEastAsia" w:cstheme="minorEastAsia"/>
          <w:color w:val="auto"/>
          <w:sz w:val="24"/>
          <w:highlight w:val="none"/>
          <w:u w:val="single"/>
        </w:rPr>
        <w:t xml:space="preserve"> </w:t>
      </w:r>
    </w:p>
    <w:p w14:paraId="25FE2C3A">
      <w:pPr>
        <w:pStyle w:val="4"/>
        <w:spacing w:line="360" w:lineRule="auto"/>
        <w:jc w:val="center"/>
        <w:rPr>
          <w:rFonts w:asciiTheme="minorEastAsia" w:hAnsiTheme="minorEastAsia" w:eastAsiaTheme="minorEastAsia" w:cstheme="minorEastAsia"/>
          <w:color w:val="auto"/>
          <w:highlight w:val="none"/>
        </w:rPr>
      </w:pPr>
      <w:bookmarkStart w:id="1387" w:name="_Toc6574"/>
      <w:bookmarkStart w:id="1388" w:name="_Toc24212"/>
      <w:bookmarkStart w:id="1389" w:name="_Toc6376"/>
      <w:bookmarkStart w:id="1390" w:name="_Toc304362811"/>
      <w:r>
        <w:rPr>
          <w:rFonts w:hint="eastAsia" w:asciiTheme="minorEastAsia" w:hAnsiTheme="minorEastAsia" w:eastAsiaTheme="minorEastAsia" w:cstheme="minorEastAsia"/>
          <w:color w:val="auto"/>
          <w:highlight w:val="none"/>
        </w:rPr>
        <w:t>三、磋商报价汇总表</w:t>
      </w:r>
      <w:bookmarkEnd w:id="1387"/>
      <w:bookmarkEnd w:id="1388"/>
      <w:bookmarkEnd w:id="1389"/>
      <w:bookmarkEnd w:id="1390"/>
    </w:p>
    <w:p w14:paraId="15E25AC8">
      <w:pPr>
        <w:spacing w:line="360" w:lineRule="auto"/>
        <w:rPr>
          <w:rFonts w:asciiTheme="minorEastAsia" w:hAnsiTheme="minorEastAsia" w:cstheme="minorEastAsia"/>
          <w:color w:val="auto"/>
          <w:sz w:val="28"/>
          <w:highlight w:val="none"/>
        </w:rPr>
      </w:pPr>
    </w:p>
    <w:p w14:paraId="4B2EAF9A">
      <w:pPr>
        <w:spacing w:line="360" w:lineRule="auto"/>
        <w:rPr>
          <w:rFonts w:asciiTheme="minorEastAsia" w:hAnsiTheme="minorEastAsia" w:cstheme="minorEastAsia"/>
          <w:color w:val="auto"/>
          <w:kern w:val="0"/>
          <w:sz w:val="24"/>
          <w:highlight w:val="none"/>
        </w:rPr>
      </w:pPr>
      <w:r>
        <w:rPr>
          <w:rFonts w:hint="eastAsia" w:asciiTheme="minorEastAsia" w:hAnsiTheme="minorEastAsia" w:cstheme="minorEastAsia"/>
          <w:color w:val="auto"/>
          <w:sz w:val="24"/>
          <w:highlight w:val="none"/>
          <w:u w:val="single"/>
        </w:rPr>
        <w:t xml:space="preserve">（工程项目名称）    </w:t>
      </w:r>
      <w:r>
        <w:rPr>
          <w:rFonts w:hint="eastAsia" w:asciiTheme="minorEastAsia" w:hAnsiTheme="minorEastAsia" w:cstheme="minorEastAsia"/>
          <w:color w:val="auto"/>
          <w:sz w:val="24"/>
          <w:highlight w:val="none"/>
        </w:rPr>
        <w:t xml:space="preserve">工程                         </w:t>
      </w:r>
      <w:r>
        <w:rPr>
          <w:rFonts w:hint="eastAsia" w:asciiTheme="minorEastAsia" w:hAnsiTheme="minorEastAsia" w:cstheme="minorEastAsia"/>
          <w:color w:val="auto"/>
          <w:kern w:val="0"/>
          <w:sz w:val="28"/>
          <w:highlight w:val="none"/>
        </w:rPr>
        <w:t xml:space="preserve">       </w:t>
      </w:r>
      <w:r>
        <w:rPr>
          <w:rFonts w:hint="eastAsia" w:asciiTheme="minorEastAsia" w:hAnsiTheme="minorEastAsia" w:cstheme="minorEastAsia"/>
          <w:color w:val="auto"/>
          <w:kern w:val="0"/>
          <w:sz w:val="24"/>
          <w:highlight w:val="none"/>
        </w:rPr>
        <w:t>币种：人民币</w:t>
      </w:r>
    </w:p>
    <w:tbl>
      <w:tblPr>
        <w:tblStyle w:val="27"/>
        <w:tblW w:w="9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8"/>
        <w:gridCol w:w="3176"/>
        <w:gridCol w:w="2400"/>
      </w:tblGrid>
      <w:tr w14:paraId="3405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16B95FCA">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项目内容</w:t>
            </w:r>
          </w:p>
        </w:tc>
        <w:tc>
          <w:tcPr>
            <w:tcW w:w="3176" w:type="dxa"/>
            <w:vAlign w:val="center"/>
          </w:tcPr>
          <w:p w14:paraId="28D67C4C">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金额</w:t>
            </w:r>
          </w:p>
        </w:tc>
        <w:tc>
          <w:tcPr>
            <w:tcW w:w="2400" w:type="dxa"/>
            <w:vAlign w:val="center"/>
          </w:tcPr>
          <w:p w14:paraId="72E56F7F">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备注</w:t>
            </w:r>
          </w:p>
        </w:tc>
      </w:tr>
      <w:tr w14:paraId="6625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768CD2AD">
            <w:pPr>
              <w:spacing w:line="360" w:lineRule="auto"/>
              <w:jc w:val="center"/>
              <w:rPr>
                <w:rFonts w:asciiTheme="minorEastAsia" w:hAnsiTheme="minorEastAsia" w:cstheme="minorEastAsia"/>
                <w:color w:val="auto"/>
                <w:sz w:val="24"/>
                <w:szCs w:val="24"/>
                <w:highlight w:val="none"/>
              </w:rPr>
            </w:pPr>
          </w:p>
        </w:tc>
        <w:tc>
          <w:tcPr>
            <w:tcW w:w="3176" w:type="dxa"/>
            <w:vAlign w:val="center"/>
          </w:tcPr>
          <w:p w14:paraId="78217570">
            <w:pPr>
              <w:spacing w:line="360" w:lineRule="auto"/>
              <w:ind w:right="140"/>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元</w:t>
            </w:r>
          </w:p>
        </w:tc>
        <w:tc>
          <w:tcPr>
            <w:tcW w:w="2400" w:type="dxa"/>
            <w:vAlign w:val="center"/>
          </w:tcPr>
          <w:p w14:paraId="794BC60D">
            <w:pPr>
              <w:spacing w:line="360" w:lineRule="auto"/>
              <w:jc w:val="center"/>
              <w:rPr>
                <w:rFonts w:asciiTheme="minorEastAsia" w:hAnsiTheme="minorEastAsia" w:cstheme="minorEastAsia"/>
                <w:color w:val="auto"/>
                <w:sz w:val="24"/>
                <w:szCs w:val="24"/>
                <w:highlight w:val="none"/>
              </w:rPr>
            </w:pPr>
          </w:p>
        </w:tc>
      </w:tr>
      <w:tr w14:paraId="50CE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36CDCE1A">
            <w:pPr>
              <w:spacing w:line="360" w:lineRule="auto"/>
              <w:jc w:val="center"/>
              <w:rPr>
                <w:rFonts w:asciiTheme="minorEastAsia" w:hAnsiTheme="minorEastAsia" w:cstheme="minorEastAsia"/>
                <w:color w:val="auto"/>
                <w:sz w:val="24"/>
                <w:szCs w:val="24"/>
                <w:highlight w:val="none"/>
              </w:rPr>
            </w:pPr>
          </w:p>
        </w:tc>
        <w:tc>
          <w:tcPr>
            <w:tcW w:w="3176" w:type="dxa"/>
            <w:vAlign w:val="center"/>
          </w:tcPr>
          <w:p w14:paraId="48055605">
            <w:pPr>
              <w:spacing w:line="360" w:lineRule="auto"/>
              <w:ind w:right="140"/>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元</w:t>
            </w:r>
          </w:p>
        </w:tc>
        <w:tc>
          <w:tcPr>
            <w:tcW w:w="2400" w:type="dxa"/>
            <w:vAlign w:val="center"/>
          </w:tcPr>
          <w:p w14:paraId="59975C83">
            <w:pPr>
              <w:spacing w:line="360" w:lineRule="auto"/>
              <w:jc w:val="center"/>
              <w:rPr>
                <w:rFonts w:asciiTheme="minorEastAsia" w:hAnsiTheme="minorEastAsia" w:cstheme="minorEastAsia"/>
                <w:color w:val="auto"/>
                <w:sz w:val="24"/>
                <w:szCs w:val="24"/>
                <w:highlight w:val="none"/>
              </w:rPr>
            </w:pPr>
          </w:p>
        </w:tc>
      </w:tr>
      <w:tr w14:paraId="5225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1F93E37C">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合计</w:t>
            </w:r>
          </w:p>
        </w:tc>
        <w:tc>
          <w:tcPr>
            <w:tcW w:w="3176" w:type="dxa"/>
            <w:vAlign w:val="center"/>
          </w:tcPr>
          <w:p w14:paraId="6AC359C2">
            <w:pPr>
              <w:spacing w:line="360" w:lineRule="auto"/>
              <w:ind w:right="140"/>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 xml:space="preserve">                 元</w:t>
            </w:r>
          </w:p>
        </w:tc>
        <w:tc>
          <w:tcPr>
            <w:tcW w:w="2400" w:type="dxa"/>
            <w:vAlign w:val="center"/>
          </w:tcPr>
          <w:p w14:paraId="774FFD8D">
            <w:pPr>
              <w:spacing w:line="360" w:lineRule="auto"/>
              <w:jc w:val="center"/>
              <w:rPr>
                <w:rFonts w:asciiTheme="minorEastAsia" w:hAnsiTheme="minorEastAsia" w:cstheme="minorEastAsia"/>
                <w:color w:val="auto"/>
                <w:sz w:val="24"/>
                <w:szCs w:val="24"/>
                <w:highlight w:val="none"/>
              </w:rPr>
            </w:pPr>
          </w:p>
        </w:tc>
      </w:tr>
      <w:tr w14:paraId="1856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exact"/>
        </w:trPr>
        <w:tc>
          <w:tcPr>
            <w:tcW w:w="9674" w:type="dxa"/>
            <w:gridSpan w:val="3"/>
            <w:vAlign w:val="center"/>
          </w:tcPr>
          <w:p w14:paraId="4BBE4398">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磋商总报价：大写</w:t>
            </w:r>
            <w:r>
              <w:rPr>
                <w:rFonts w:hint="eastAsia" w:asciiTheme="minorEastAsia" w:hAnsiTheme="minorEastAsia" w:cstheme="minorEastAsia"/>
                <w:color w:val="auto"/>
                <w:sz w:val="24"/>
                <w:szCs w:val="24"/>
                <w:highlight w:val="none"/>
                <w:u w:val="single"/>
              </w:rPr>
              <w:t xml:space="preserve">                            （¥               ）</w:t>
            </w:r>
          </w:p>
        </w:tc>
      </w:tr>
      <w:tr w14:paraId="0E8C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2" w:hRule="atLeast"/>
        </w:trPr>
        <w:tc>
          <w:tcPr>
            <w:tcW w:w="9674" w:type="dxa"/>
            <w:gridSpan w:val="3"/>
          </w:tcPr>
          <w:p w14:paraId="06ECD0D2">
            <w:pPr>
              <w:spacing w:line="360" w:lineRule="auto"/>
              <w:ind w:right="700"/>
              <w:rPr>
                <w:rFonts w:asciiTheme="minorEastAsia" w:hAnsiTheme="minorEastAsia" w:cstheme="minorEastAsia"/>
                <w:color w:val="auto"/>
                <w:szCs w:val="21"/>
                <w:highlight w:val="none"/>
              </w:rPr>
            </w:pPr>
          </w:p>
          <w:p w14:paraId="175D27AC">
            <w:pPr>
              <w:spacing w:line="360" w:lineRule="auto"/>
              <w:ind w:right="700"/>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说明：</w:t>
            </w:r>
          </w:p>
        </w:tc>
      </w:tr>
      <w:tr w14:paraId="309C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03B43431">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工期（日历日）</w:t>
            </w:r>
          </w:p>
        </w:tc>
        <w:tc>
          <w:tcPr>
            <w:tcW w:w="5576" w:type="dxa"/>
            <w:gridSpan w:val="2"/>
            <w:vAlign w:val="center"/>
          </w:tcPr>
          <w:p w14:paraId="11456F47">
            <w:pPr>
              <w:spacing w:line="360" w:lineRule="auto"/>
              <w:ind w:right="700"/>
              <w:jc w:val="center"/>
              <w:rPr>
                <w:rFonts w:asciiTheme="minorEastAsia" w:hAnsiTheme="minorEastAsia" w:cstheme="minorEastAsia"/>
                <w:color w:val="auto"/>
                <w:szCs w:val="21"/>
                <w:highlight w:val="none"/>
              </w:rPr>
            </w:pPr>
          </w:p>
        </w:tc>
      </w:tr>
      <w:tr w14:paraId="10AE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trPr>
        <w:tc>
          <w:tcPr>
            <w:tcW w:w="4098" w:type="dxa"/>
            <w:vAlign w:val="center"/>
          </w:tcPr>
          <w:p w14:paraId="747DBC15">
            <w:pPr>
              <w:spacing w:line="360" w:lineRule="auto"/>
              <w:jc w:val="center"/>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承诺工程质量</w:t>
            </w:r>
          </w:p>
        </w:tc>
        <w:tc>
          <w:tcPr>
            <w:tcW w:w="5576" w:type="dxa"/>
            <w:gridSpan w:val="2"/>
            <w:vAlign w:val="center"/>
          </w:tcPr>
          <w:p w14:paraId="4B7CCAF3">
            <w:pPr>
              <w:spacing w:line="360" w:lineRule="auto"/>
              <w:ind w:right="700"/>
              <w:jc w:val="center"/>
              <w:rPr>
                <w:rFonts w:asciiTheme="minorEastAsia" w:hAnsiTheme="minorEastAsia" w:cstheme="minorEastAsia"/>
                <w:color w:val="auto"/>
                <w:szCs w:val="21"/>
                <w:highlight w:val="none"/>
              </w:rPr>
            </w:pPr>
          </w:p>
        </w:tc>
      </w:tr>
    </w:tbl>
    <w:p w14:paraId="56828155">
      <w:pPr>
        <w:spacing w:line="360" w:lineRule="auto"/>
        <w:ind w:right="700" w:firstLine="315" w:firstLineChars="150"/>
        <w:rPr>
          <w:rFonts w:asciiTheme="minorEastAsia" w:hAnsiTheme="minorEastAsia" w:cstheme="minorEastAsia"/>
          <w:color w:val="auto"/>
          <w:szCs w:val="21"/>
          <w:highlight w:val="none"/>
        </w:rPr>
      </w:pPr>
    </w:p>
    <w:p w14:paraId="10992D0F">
      <w:pPr>
        <w:spacing w:line="360" w:lineRule="auto"/>
        <w:rPr>
          <w:rFonts w:asciiTheme="minorEastAsia" w:hAnsiTheme="minorEastAsia" w:cstheme="minorEastAsia"/>
          <w:color w:val="auto"/>
          <w:highlight w:val="none"/>
        </w:rPr>
      </w:pPr>
    </w:p>
    <w:p w14:paraId="51F0BD60">
      <w:pPr>
        <w:spacing w:line="360" w:lineRule="auto"/>
        <w:ind w:firstLine="960" w:firstLineChars="400"/>
        <w:rPr>
          <w:rFonts w:asciiTheme="minorEastAsia" w:hAnsiTheme="minorEastAsia" w:cstheme="minorEastAsia"/>
          <w:color w:val="auto"/>
          <w:sz w:val="24"/>
          <w:highlight w:val="none"/>
        </w:rPr>
      </w:pPr>
    </w:p>
    <w:p w14:paraId="7D44BC01">
      <w:pPr>
        <w:spacing w:line="360" w:lineRule="auto"/>
        <w:ind w:firstLine="960" w:firstLineChars="4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供应商：</w:t>
      </w:r>
      <w:r>
        <w:rPr>
          <w:rFonts w:hint="eastAsia" w:asciiTheme="minorEastAsia" w:hAnsiTheme="minorEastAsia" w:cstheme="minorEastAsia"/>
          <w:color w:val="auto"/>
          <w:sz w:val="24"/>
          <w:highlight w:val="none"/>
          <w:u w:val="single"/>
        </w:rPr>
        <w:t xml:space="preserve">                                           （盖章）</w:t>
      </w:r>
    </w:p>
    <w:p w14:paraId="4479F440">
      <w:pPr>
        <w:spacing w:line="360" w:lineRule="auto"/>
        <w:ind w:firstLine="960" w:firstLineChars="400"/>
        <w:rPr>
          <w:rFonts w:asciiTheme="minorEastAsia" w:hAnsiTheme="minorEastAsia" w:cstheme="minorEastAsia"/>
          <w:color w:val="auto"/>
          <w:sz w:val="24"/>
          <w:highlight w:val="none"/>
          <w:u w:val="single"/>
        </w:rPr>
      </w:pPr>
      <w:r>
        <w:rPr>
          <w:rFonts w:hint="eastAsia" w:asciiTheme="minorEastAsia" w:hAnsiTheme="minorEastAsia" w:cstheme="minorEastAsia"/>
          <w:color w:val="auto"/>
          <w:sz w:val="24"/>
          <w:highlight w:val="none"/>
        </w:rPr>
        <w:t>法定代表人或其授权代理人：</w:t>
      </w:r>
      <w:r>
        <w:rPr>
          <w:rFonts w:hint="eastAsia" w:asciiTheme="minorEastAsia" w:hAnsiTheme="minorEastAsia" w:cstheme="minorEastAsia"/>
          <w:color w:val="auto"/>
          <w:sz w:val="24"/>
          <w:highlight w:val="none"/>
          <w:u w:val="single"/>
        </w:rPr>
        <w:t xml:space="preserve">                   （签字或盖章）</w:t>
      </w:r>
    </w:p>
    <w:p w14:paraId="22781356">
      <w:pPr>
        <w:pStyle w:val="26"/>
        <w:spacing w:line="360" w:lineRule="auto"/>
        <w:ind w:firstLine="960" w:firstLineChars="400"/>
        <w:rPr>
          <w:rFonts w:asciiTheme="minorEastAsia" w:hAnsiTheme="minorEastAsia" w:cstheme="minorEastAsia"/>
          <w:color w:val="auto"/>
          <w:sz w:val="24"/>
          <w:highlight w:val="none"/>
        </w:rPr>
      </w:pPr>
    </w:p>
    <w:p w14:paraId="092ADB76">
      <w:pPr>
        <w:adjustRightInd w:val="0"/>
        <w:spacing w:line="360" w:lineRule="auto"/>
        <w:ind w:firstLine="1200" w:firstLineChars="500"/>
        <w:rPr>
          <w:rFonts w:asciiTheme="minorEastAsia" w:hAnsiTheme="minorEastAsia" w:cstheme="minorEastAsia"/>
          <w:color w:val="auto"/>
          <w:kern w:val="0"/>
          <w:sz w:val="24"/>
          <w:highlight w:val="none"/>
        </w:rPr>
      </w:pPr>
      <w:bookmarkStart w:id="1391" w:name="_Toc28375"/>
      <w:bookmarkStart w:id="1392" w:name="_Toc304362812"/>
      <w:bookmarkStart w:id="1393" w:name="_Toc28472"/>
      <w:bookmarkStart w:id="1394" w:name="_Toc11525"/>
      <w:r>
        <w:rPr>
          <w:rFonts w:hint="eastAsia" w:asciiTheme="minorEastAsia" w:hAnsiTheme="minorEastAsia" w:cstheme="minorEastAsia"/>
          <w:color w:val="auto"/>
          <w:kern w:val="0"/>
          <w:sz w:val="24"/>
          <w:highlight w:val="none"/>
        </w:rPr>
        <w:t>日    期：</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年</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月</w:t>
      </w:r>
      <w:r>
        <w:rPr>
          <w:rFonts w:hint="eastAsia" w:asciiTheme="minorEastAsia" w:hAnsiTheme="minorEastAsia" w:cstheme="minorEastAsia"/>
          <w:color w:val="auto"/>
          <w:kern w:val="0"/>
          <w:sz w:val="24"/>
          <w:highlight w:val="none"/>
          <w:u w:val="single"/>
        </w:rPr>
        <w:t xml:space="preserve">      </w:t>
      </w:r>
      <w:r>
        <w:rPr>
          <w:rFonts w:hint="eastAsia" w:asciiTheme="minorEastAsia" w:hAnsiTheme="minorEastAsia" w:cstheme="minorEastAsia"/>
          <w:color w:val="auto"/>
          <w:kern w:val="0"/>
          <w:sz w:val="24"/>
          <w:highlight w:val="none"/>
        </w:rPr>
        <w:t>日</w:t>
      </w:r>
    </w:p>
    <w:p w14:paraId="77CE32F4">
      <w:pPr>
        <w:pStyle w:val="4"/>
        <w:spacing w:line="360" w:lineRule="auto"/>
        <w:jc w:val="center"/>
        <w:rPr>
          <w:rFonts w:asciiTheme="minorEastAsia" w:hAnsiTheme="minorEastAsia" w:eastAsiaTheme="minorEastAsia" w:cstheme="minorEastAsia"/>
          <w:color w:val="auto"/>
          <w:highlight w:val="none"/>
        </w:rPr>
      </w:pPr>
    </w:p>
    <w:p w14:paraId="396C8D68">
      <w:pPr>
        <w:pStyle w:val="4"/>
        <w:spacing w:line="360" w:lineRule="auto"/>
        <w:jc w:val="center"/>
        <w:rPr>
          <w:rFonts w:asciiTheme="minorEastAsia" w:hAnsiTheme="minorEastAsia" w:eastAsiaTheme="minorEastAsia" w:cstheme="minorEastAsia"/>
          <w:color w:val="auto"/>
          <w:highlight w:val="none"/>
        </w:rPr>
      </w:pPr>
    </w:p>
    <w:p w14:paraId="4ECE016F">
      <w:pPr>
        <w:pStyle w:val="4"/>
        <w:spacing w:line="360" w:lineRule="auto"/>
        <w:jc w:val="center"/>
        <w:rPr>
          <w:rFonts w:asciiTheme="minorEastAsia" w:hAnsiTheme="minorEastAsia" w:eastAsiaTheme="minorEastAsia" w:cstheme="minorEastAsia"/>
          <w:color w:val="auto"/>
          <w:highlight w:val="none"/>
        </w:rPr>
      </w:pPr>
    </w:p>
    <w:p w14:paraId="5FFDB6E9">
      <w:pPr>
        <w:pStyle w:val="4"/>
        <w:spacing w:line="360" w:lineRule="auto"/>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w:t>
      </w:r>
      <w:bookmarkEnd w:id="1391"/>
      <w:bookmarkEnd w:id="1392"/>
      <w:bookmarkEnd w:id="1393"/>
      <w:r>
        <w:rPr>
          <w:rFonts w:hint="eastAsia" w:asciiTheme="minorEastAsia" w:hAnsiTheme="minorEastAsia" w:eastAsiaTheme="minorEastAsia" w:cstheme="minorEastAsia"/>
          <w:color w:val="auto"/>
          <w:highlight w:val="none"/>
        </w:rPr>
        <w:t>磋商报价系列表格</w:t>
      </w:r>
      <w:bookmarkEnd w:id="1394"/>
    </w:p>
    <w:p w14:paraId="21681379">
      <w:pPr>
        <w:spacing w:line="360" w:lineRule="auto"/>
        <w:rPr>
          <w:rFonts w:asciiTheme="minorEastAsia" w:hAnsiTheme="minorEastAsia" w:cstheme="minorEastAsia"/>
          <w:color w:val="auto"/>
          <w:sz w:val="28"/>
          <w:szCs w:val="28"/>
          <w:highlight w:val="none"/>
        </w:rPr>
      </w:pPr>
    </w:p>
    <w:p w14:paraId="74865F32">
      <w:pPr>
        <w:spacing w:line="360" w:lineRule="auto"/>
        <w:rPr>
          <w:rFonts w:asciiTheme="minorEastAsia" w:hAnsiTheme="minorEastAsia" w:cstheme="minorEastAsia"/>
          <w:color w:val="auto"/>
          <w:sz w:val="24"/>
          <w:szCs w:val="24"/>
          <w:highlight w:val="none"/>
        </w:rPr>
      </w:pPr>
      <w:r>
        <w:rPr>
          <w:rFonts w:hint="eastAsia" w:asciiTheme="minorEastAsia" w:hAnsiTheme="minorEastAsia" w:cstheme="minorEastAsia"/>
          <w:color w:val="auto"/>
          <w:sz w:val="24"/>
          <w:szCs w:val="24"/>
          <w:highlight w:val="none"/>
        </w:rPr>
        <w:t>注：磋商报价系列表格应根据采购人提供的工程量清单相应表格及有关规定执行,可按预结算软件打印格式提供,本采购文件不另提供参考格式。</w:t>
      </w:r>
    </w:p>
    <w:p w14:paraId="03639328">
      <w:pPr>
        <w:spacing w:line="360" w:lineRule="auto"/>
        <w:rPr>
          <w:rFonts w:asciiTheme="minorEastAsia" w:hAnsiTheme="minorEastAsia" w:cstheme="minorEastAsia"/>
          <w:color w:val="auto"/>
          <w:sz w:val="24"/>
          <w:szCs w:val="24"/>
          <w:highlight w:val="none"/>
        </w:rPr>
      </w:pPr>
    </w:p>
    <w:p w14:paraId="57BB675B">
      <w:pPr>
        <w:spacing w:line="360" w:lineRule="auto"/>
        <w:rPr>
          <w:rFonts w:asciiTheme="minorEastAsia" w:hAnsiTheme="minorEastAsia" w:cstheme="minorEastAsia"/>
          <w:color w:val="auto"/>
          <w:sz w:val="24"/>
          <w:szCs w:val="24"/>
          <w:highlight w:val="none"/>
        </w:rPr>
      </w:pPr>
    </w:p>
    <w:p w14:paraId="4E028C65">
      <w:pPr>
        <w:spacing w:line="360" w:lineRule="auto"/>
        <w:rPr>
          <w:rFonts w:asciiTheme="minorEastAsia" w:hAnsiTheme="minorEastAsia" w:cstheme="minorEastAsia"/>
          <w:color w:val="auto"/>
          <w:sz w:val="24"/>
          <w:szCs w:val="24"/>
          <w:highlight w:val="none"/>
        </w:rPr>
      </w:pPr>
    </w:p>
    <w:p w14:paraId="38C850EA">
      <w:pPr>
        <w:spacing w:line="360" w:lineRule="auto"/>
        <w:rPr>
          <w:rFonts w:asciiTheme="minorEastAsia" w:hAnsiTheme="minorEastAsia" w:cstheme="minorEastAsia"/>
          <w:color w:val="auto"/>
          <w:sz w:val="24"/>
          <w:szCs w:val="24"/>
          <w:highlight w:val="none"/>
        </w:rPr>
      </w:pPr>
    </w:p>
    <w:p w14:paraId="3D62BDAA">
      <w:pPr>
        <w:spacing w:line="360" w:lineRule="auto"/>
        <w:rPr>
          <w:rFonts w:asciiTheme="minorEastAsia" w:hAnsiTheme="minorEastAsia" w:cstheme="minorEastAsia"/>
          <w:color w:val="auto"/>
          <w:sz w:val="24"/>
          <w:szCs w:val="24"/>
          <w:highlight w:val="none"/>
        </w:rPr>
      </w:pPr>
    </w:p>
    <w:p w14:paraId="63AD9775">
      <w:pPr>
        <w:spacing w:line="360" w:lineRule="auto"/>
        <w:rPr>
          <w:rFonts w:asciiTheme="minorEastAsia" w:hAnsiTheme="minorEastAsia" w:cstheme="minorEastAsia"/>
          <w:color w:val="auto"/>
          <w:sz w:val="24"/>
          <w:szCs w:val="24"/>
          <w:highlight w:val="none"/>
        </w:rPr>
      </w:pPr>
    </w:p>
    <w:p w14:paraId="62AF96AC">
      <w:pPr>
        <w:spacing w:line="360" w:lineRule="auto"/>
        <w:rPr>
          <w:rFonts w:asciiTheme="minorEastAsia" w:hAnsiTheme="minorEastAsia" w:cstheme="minorEastAsia"/>
          <w:color w:val="auto"/>
          <w:sz w:val="24"/>
          <w:szCs w:val="24"/>
          <w:highlight w:val="none"/>
        </w:rPr>
      </w:pPr>
    </w:p>
    <w:p w14:paraId="441C6A6D">
      <w:pPr>
        <w:spacing w:line="360" w:lineRule="auto"/>
        <w:rPr>
          <w:rFonts w:asciiTheme="minorEastAsia" w:hAnsiTheme="minorEastAsia" w:cstheme="minorEastAsia"/>
          <w:color w:val="auto"/>
          <w:sz w:val="24"/>
          <w:szCs w:val="24"/>
          <w:highlight w:val="none"/>
        </w:rPr>
      </w:pPr>
    </w:p>
    <w:p w14:paraId="20D99AAF">
      <w:pPr>
        <w:spacing w:line="360" w:lineRule="auto"/>
        <w:rPr>
          <w:rFonts w:asciiTheme="minorEastAsia" w:hAnsiTheme="minorEastAsia" w:cstheme="minorEastAsia"/>
          <w:color w:val="auto"/>
          <w:sz w:val="24"/>
          <w:szCs w:val="24"/>
          <w:highlight w:val="none"/>
        </w:rPr>
      </w:pPr>
    </w:p>
    <w:p w14:paraId="467090DE">
      <w:pPr>
        <w:spacing w:line="360" w:lineRule="auto"/>
        <w:rPr>
          <w:rFonts w:asciiTheme="minorEastAsia" w:hAnsiTheme="minorEastAsia" w:cstheme="minorEastAsia"/>
          <w:color w:val="auto"/>
          <w:sz w:val="24"/>
          <w:szCs w:val="24"/>
          <w:highlight w:val="none"/>
        </w:rPr>
      </w:pPr>
    </w:p>
    <w:p w14:paraId="25E9B5CA">
      <w:pPr>
        <w:spacing w:line="360" w:lineRule="auto"/>
        <w:rPr>
          <w:rFonts w:asciiTheme="minorEastAsia" w:hAnsiTheme="minorEastAsia" w:cstheme="minorEastAsia"/>
          <w:color w:val="auto"/>
          <w:sz w:val="24"/>
          <w:szCs w:val="24"/>
          <w:highlight w:val="none"/>
        </w:rPr>
      </w:pPr>
    </w:p>
    <w:p w14:paraId="4EDC9C08">
      <w:pPr>
        <w:spacing w:line="360" w:lineRule="auto"/>
        <w:rPr>
          <w:rFonts w:asciiTheme="minorEastAsia" w:hAnsiTheme="minorEastAsia" w:cstheme="minorEastAsia"/>
          <w:color w:val="auto"/>
          <w:sz w:val="24"/>
          <w:szCs w:val="24"/>
          <w:highlight w:val="none"/>
        </w:rPr>
      </w:pPr>
    </w:p>
    <w:p w14:paraId="727B5C1C">
      <w:pPr>
        <w:spacing w:line="360" w:lineRule="auto"/>
        <w:rPr>
          <w:rFonts w:asciiTheme="minorEastAsia" w:hAnsiTheme="minorEastAsia" w:cstheme="minorEastAsia"/>
          <w:color w:val="auto"/>
          <w:sz w:val="24"/>
          <w:szCs w:val="24"/>
          <w:highlight w:val="none"/>
        </w:rPr>
      </w:pPr>
    </w:p>
    <w:p w14:paraId="62DE2ADB">
      <w:pPr>
        <w:spacing w:line="360" w:lineRule="auto"/>
        <w:rPr>
          <w:rFonts w:asciiTheme="minorEastAsia" w:hAnsiTheme="minorEastAsia" w:cstheme="minorEastAsia"/>
          <w:color w:val="auto"/>
          <w:sz w:val="24"/>
          <w:szCs w:val="24"/>
          <w:highlight w:val="none"/>
        </w:rPr>
      </w:pPr>
    </w:p>
    <w:p w14:paraId="7D51A2A3">
      <w:pPr>
        <w:spacing w:line="360" w:lineRule="auto"/>
        <w:rPr>
          <w:rFonts w:asciiTheme="minorEastAsia" w:hAnsiTheme="minorEastAsia" w:cstheme="minorEastAsia"/>
          <w:color w:val="auto"/>
          <w:sz w:val="24"/>
          <w:szCs w:val="24"/>
          <w:highlight w:val="none"/>
        </w:rPr>
      </w:pPr>
    </w:p>
    <w:p w14:paraId="30C334B2">
      <w:pPr>
        <w:spacing w:line="360" w:lineRule="auto"/>
        <w:rPr>
          <w:rFonts w:asciiTheme="minorEastAsia" w:hAnsiTheme="minorEastAsia" w:cstheme="minorEastAsia"/>
          <w:color w:val="auto"/>
          <w:sz w:val="24"/>
          <w:szCs w:val="24"/>
          <w:highlight w:val="none"/>
        </w:rPr>
      </w:pPr>
    </w:p>
    <w:p w14:paraId="354CAD38">
      <w:pPr>
        <w:spacing w:line="360" w:lineRule="auto"/>
        <w:rPr>
          <w:rFonts w:asciiTheme="minorEastAsia" w:hAnsiTheme="minorEastAsia" w:cstheme="minorEastAsia"/>
          <w:color w:val="auto"/>
          <w:sz w:val="24"/>
          <w:szCs w:val="24"/>
          <w:highlight w:val="none"/>
        </w:rPr>
      </w:pPr>
    </w:p>
    <w:p w14:paraId="47C6CA11">
      <w:pPr>
        <w:spacing w:line="360" w:lineRule="auto"/>
        <w:rPr>
          <w:rFonts w:asciiTheme="minorEastAsia" w:hAnsiTheme="minorEastAsia" w:cstheme="minorEastAsia"/>
          <w:color w:val="auto"/>
          <w:sz w:val="24"/>
          <w:highlight w:val="none"/>
        </w:rPr>
      </w:pPr>
    </w:p>
    <w:p w14:paraId="7A7D02A2">
      <w:pPr>
        <w:pStyle w:val="12"/>
        <w:autoSpaceDE/>
        <w:autoSpaceDN/>
        <w:spacing w:line="278" w:lineRule="auto"/>
        <w:ind w:left="398" w:right="386" w:firstLine="420"/>
        <w:rPr>
          <w:rFonts w:asciiTheme="minorEastAsia" w:hAnsiTheme="minorEastAsia" w:eastAsiaTheme="minorEastAsia"/>
          <w:color w:val="auto"/>
          <w:highlight w:val="none"/>
        </w:rPr>
      </w:pPr>
    </w:p>
    <w:p w14:paraId="01CE00FC">
      <w:pPr>
        <w:pStyle w:val="12"/>
        <w:autoSpaceDE/>
        <w:autoSpaceDN/>
        <w:spacing w:line="278" w:lineRule="auto"/>
        <w:ind w:left="398" w:right="386" w:firstLine="420"/>
        <w:rPr>
          <w:rFonts w:asciiTheme="minorEastAsia" w:hAnsiTheme="minorEastAsia" w:eastAsiaTheme="minorEastAsia"/>
          <w:color w:val="auto"/>
          <w:highlight w:val="none"/>
        </w:rPr>
      </w:pPr>
    </w:p>
    <w:p w14:paraId="021AEBF5">
      <w:pPr>
        <w:pStyle w:val="12"/>
        <w:autoSpaceDE/>
        <w:autoSpaceDN/>
        <w:spacing w:line="278" w:lineRule="auto"/>
        <w:ind w:left="398" w:right="386" w:firstLine="420"/>
        <w:rPr>
          <w:rFonts w:asciiTheme="minorEastAsia" w:hAnsiTheme="minorEastAsia" w:eastAsiaTheme="minorEastAsia"/>
          <w:color w:val="auto"/>
          <w:highlight w:val="none"/>
        </w:rPr>
      </w:pPr>
    </w:p>
    <w:p w14:paraId="45BAB769">
      <w:pPr>
        <w:pStyle w:val="12"/>
        <w:autoSpaceDE/>
        <w:autoSpaceDN/>
        <w:spacing w:line="278" w:lineRule="auto"/>
        <w:ind w:left="398" w:right="386" w:firstLine="420"/>
        <w:rPr>
          <w:rFonts w:asciiTheme="minorEastAsia" w:hAnsiTheme="minorEastAsia" w:eastAsiaTheme="minorEastAsia" w:cstheme="minorEastAsia"/>
          <w:color w:val="auto"/>
          <w:sz w:val="24"/>
          <w:szCs w:val="24"/>
          <w:highlight w:val="none"/>
        </w:rPr>
      </w:pPr>
    </w:p>
    <w:p w14:paraId="050B071C">
      <w:pPr>
        <w:pStyle w:val="12"/>
        <w:autoSpaceDE/>
        <w:autoSpaceDN/>
        <w:spacing w:line="278" w:lineRule="auto"/>
        <w:ind w:left="398" w:right="386" w:firstLine="420"/>
        <w:rPr>
          <w:rFonts w:asciiTheme="minorEastAsia" w:hAnsiTheme="minorEastAsia" w:eastAsiaTheme="minorEastAsia" w:cstheme="minorEastAsia"/>
          <w:color w:val="auto"/>
          <w:sz w:val="24"/>
          <w:szCs w:val="24"/>
          <w:highlight w:val="none"/>
        </w:rPr>
      </w:pPr>
    </w:p>
    <w:p w14:paraId="4F5335A3">
      <w:pPr>
        <w:pStyle w:val="12"/>
        <w:autoSpaceDE/>
        <w:autoSpaceDN/>
        <w:spacing w:line="278" w:lineRule="auto"/>
        <w:ind w:right="386"/>
        <w:rPr>
          <w:rFonts w:asciiTheme="minorEastAsia" w:hAnsiTheme="minorEastAsia" w:eastAsiaTheme="minorEastAsia" w:cstheme="minorEastAsia"/>
          <w:color w:val="auto"/>
          <w:sz w:val="24"/>
          <w:szCs w:val="24"/>
          <w:highlight w:val="none"/>
        </w:rPr>
      </w:pPr>
    </w:p>
    <w:p w14:paraId="3A17A3E0">
      <w:pPr>
        <w:spacing w:line="600" w:lineRule="auto"/>
        <w:ind w:left="420" w:leftChars="200"/>
        <w:jc w:val="center"/>
        <w:rPr>
          <w:rFonts w:asciiTheme="minorEastAsia" w:hAnsiTheme="minorEastAsia" w:cstheme="minorEastAsia"/>
          <w:b/>
          <w:color w:val="auto"/>
          <w:sz w:val="28"/>
          <w:highlight w:val="none"/>
        </w:rPr>
      </w:pPr>
    </w:p>
    <w:p w14:paraId="2C6CFAC3">
      <w:pPr>
        <w:pStyle w:val="4"/>
        <w:spacing w:line="360" w:lineRule="auto"/>
        <w:jc w:val="center"/>
        <w:rPr>
          <w:rFonts w:cs="宋体" w:asciiTheme="minorEastAsia" w:hAnsiTheme="minorEastAsia" w:eastAsiaTheme="minorEastAsia"/>
          <w:color w:val="auto"/>
          <w:highlight w:val="none"/>
        </w:rPr>
      </w:pPr>
      <w:bookmarkStart w:id="1395" w:name="_Toc304362813"/>
      <w:bookmarkStart w:id="1396" w:name="_Toc16938"/>
      <w:bookmarkStart w:id="1397" w:name="_Toc1298"/>
      <w:bookmarkStart w:id="1398" w:name="_Toc12632"/>
      <w:bookmarkStart w:id="1399" w:name="_Toc9374"/>
      <w:bookmarkStart w:id="1400" w:name="_Toc247301843"/>
      <w:bookmarkStart w:id="1401" w:name="_Toc255977448"/>
      <w:bookmarkStart w:id="1402" w:name="_Toc244942489"/>
      <w:r>
        <w:rPr>
          <w:rFonts w:hint="eastAsia" w:cs="宋体" w:asciiTheme="minorEastAsia" w:hAnsiTheme="minorEastAsia" w:eastAsiaTheme="minorEastAsia"/>
          <w:color w:val="auto"/>
          <w:highlight w:val="none"/>
        </w:rPr>
        <w:t>五、</w:t>
      </w:r>
      <w:bookmarkEnd w:id="1395"/>
      <w:r>
        <w:rPr>
          <w:rFonts w:hint="eastAsia" w:cs="宋体" w:asciiTheme="minorEastAsia" w:hAnsiTheme="minorEastAsia" w:eastAsiaTheme="minorEastAsia"/>
          <w:color w:val="auto"/>
          <w:highlight w:val="none"/>
        </w:rPr>
        <w:t>项目管理机构配备情况</w:t>
      </w:r>
      <w:bookmarkEnd w:id="1396"/>
      <w:bookmarkEnd w:id="1397"/>
      <w:bookmarkEnd w:id="1398"/>
    </w:p>
    <w:p w14:paraId="402DE107">
      <w:pPr>
        <w:spacing w:line="360" w:lineRule="auto"/>
        <w:ind w:right="-288" w:rightChars="-137" w:firstLine="560" w:firstLineChars="200"/>
        <w:rPr>
          <w:rFonts w:cs="宋体" w:asciiTheme="minorEastAsia" w:hAnsiTheme="minorEastAsia"/>
          <w:color w:val="auto"/>
          <w:sz w:val="28"/>
          <w:szCs w:val="28"/>
          <w:highlight w:val="none"/>
        </w:rPr>
      </w:pPr>
      <w:r>
        <w:rPr>
          <w:rFonts w:hint="eastAsia" w:cs="宋体" w:asciiTheme="minorEastAsia" w:hAnsiTheme="minorEastAsia"/>
          <w:color w:val="auto"/>
          <w:sz w:val="28"/>
          <w:szCs w:val="28"/>
          <w:highlight w:val="none"/>
        </w:rPr>
        <w:t>1. 项目管理机构配备情况表               表7.6</w:t>
      </w:r>
    </w:p>
    <w:p w14:paraId="15A11DB4">
      <w:pPr>
        <w:spacing w:line="360" w:lineRule="auto"/>
        <w:ind w:right="-288" w:rightChars="-137" w:firstLine="560" w:firstLineChars="200"/>
        <w:rPr>
          <w:rFonts w:cs="宋体" w:asciiTheme="minorEastAsia" w:hAnsiTheme="minorEastAsia"/>
          <w:color w:val="auto"/>
          <w:sz w:val="28"/>
          <w:szCs w:val="28"/>
          <w:highlight w:val="none"/>
        </w:rPr>
      </w:pPr>
      <w:r>
        <w:rPr>
          <w:rFonts w:hint="eastAsia" w:cs="宋体" w:asciiTheme="minorEastAsia" w:hAnsiTheme="minorEastAsia"/>
          <w:color w:val="auto"/>
          <w:sz w:val="28"/>
          <w:szCs w:val="28"/>
          <w:highlight w:val="none"/>
        </w:rPr>
        <w:t>2. 项目经理简历表                       表7.7</w:t>
      </w:r>
    </w:p>
    <w:p w14:paraId="37EBE526">
      <w:pPr>
        <w:spacing w:line="360" w:lineRule="auto"/>
        <w:ind w:right="-288" w:rightChars="-137" w:firstLine="560" w:firstLineChars="200"/>
        <w:rPr>
          <w:rFonts w:cs="宋体" w:asciiTheme="minorEastAsia" w:hAnsiTheme="minorEastAsia"/>
          <w:color w:val="auto"/>
          <w:sz w:val="28"/>
          <w:szCs w:val="28"/>
          <w:highlight w:val="none"/>
        </w:rPr>
      </w:pPr>
      <w:r>
        <w:rPr>
          <w:rFonts w:hint="eastAsia" w:cs="宋体" w:asciiTheme="minorEastAsia" w:hAnsiTheme="minorEastAsia"/>
          <w:color w:val="auto"/>
          <w:sz w:val="28"/>
          <w:szCs w:val="28"/>
          <w:highlight w:val="none"/>
        </w:rPr>
        <w:t>3. 项目技术负责人简历表                 表7.8</w:t>
      </w:r>
    </w:p>
    <w:p w14:paraId="1FEC3287">
      <w:pPr>
        <w:spacing w:line="360" w:lineRule="auto"/>
        <w:ind w:right="-137" w:firstLine="560" w:firstLineChars="200"/>
        <w:rPr>
          <w:rFonts w:cs="宋体" w:asciiTheme="minorEastAsia" w:hAnsiTheme="minorEastAsia"/>
          <w:color w:val="auto"/>
          <w:sz w:val="28"/>
          <w:szCs w:val="28"/>
          <w:highlight w:val="none"/>
        </w:rPr>
        <w:sectPr>
          <w:pgSz w:w="11906" w:h="16838"/>
          <w:pgMar w:top="1134" w:right="1418" w:bottom="1134" w:left="1418" w:header="567" w:footer="680" w:gutter="0"/>
          <w:cols w:space="720" w:num="1"/>
          <w:docGrid w:type="lines" w:linePitch="312" w:charSpace="0"/>
        </w:sectPr>
      </w:pPr>
      <w:r>
        <w:rPr>
          <w:rFonts w:hint="eastAsia" w:cs="宋体" w:asciiTheme="minorEastAsia" w:hAnsiTheme="minorEastAsia"/>
          <w:color w:val="auto"/>
          <w:sz w:val="28"/>
          <w:szCs w:val="28"/>
          <w:highlight w:val="none"/>
        </w:rPr>
        <w:t>4. 项目管理机构配备情况辅助说明资料     表7.9</w:t>
      </w:r>
    </w:p>
    <w:p w14:paraId="1784E88E">
      <w:pPr>
        <w:spacing w:line="360" w:lineRule="auto"/>
        <w:jc w:val="center"/>
        <w:rPr>
          <w:rFonts w:cs="宋体" w:asciiTheme="minorEastAsia" w:hAnsiTheme="minorEastAsia"/>
          <w:b/>
          <w:color w:val="auto"/>
          <w:sz w:val="28"/>
          <w:highlight w:val="none"/>
        </w:rPr>
      </w:pPr>
      <w:r>
        <w:rPr>
          <w:rFonts w:hint="eastAsia" w:cs="宋体" w:asciiTheme="minorEastAsia" w:hAnsiTheme="minorEastAsia"/>
          <w:b/>
          <w:color w:val="auto"/>
          <w:sz w:val="28"/>
          <w:highlight w:val="none"/>
        </w:rPr>
        <w:t>1. 项目管理机构配备情况表</w:t>
      </w:r>
    </w:p>
    <w:p w14:paraId="260F3317">
      <w:pPr>
        <w:spacing w:line="360" w:lineRule="auto"/>
        <w:rPr>
          <w:rFonts w:cs="宋体" w:asciiTheme="minorEastAsia" w:hAnsiTheme="minorEastAsia"/>
          <w:b/>
          <w:color w:val="auto"/>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sz w:val="24"/>
          <w:highlight w:val="none"/>
        </w:rPr>
        <w:t>表7.6</w:t>
      </w:r>
    </w:p>
    <w:tbl>
      <w:tblPr>
        <w:tblStyle w:val="27"/>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260"/>
        <w:gridCol w:w="1440"/>
        <w:gridCol w:w="1080"/>
        <w:gridCol w:w="1800"/>
        <w:gridCol w:w="1091"/>
      </w:tblGrid>
      <w:tr w14:paraId="0AF94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1008" w:type="dxa"/>
            <w:vMerge w:val="restart"/>
            <w:vAlign w:val="center"/>
          </w:tcPr>
          <w:p w14:paraId="60FB330A">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职务</w:t>
            </w:r>
          </w:p>
        </w:tc>
        <w:tc>
          <w:tcPr>
            <w:tcW w:w="1620" w:type="dxa"/>
            <w:vMerge w:val="restart"/>
            <w:vAlign w:val="center"/>
          </w:tcPr>
          <w:p w14:paraId="1FB397DD">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姓名</w:t>
            </w:r>
          </w:p>
        </w:tc>
        <w:tc>
          <w:tcPr>
            <w:tcW w:w="1260" w:type="dxa"/>
            <w:vMerge w:val="restart"/>
            <w:vAlign w:val="center"/>
          </w:tcPr>
          <w:p w14:paraId="417EF483">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职称</w:t>
            </w:r>
          </w:p>
        </w:tc>
        <w:tc>
          <w:tcPr>
            <w:tcW w:w="5411" w:type="dxa"/>
            <w:gridSpan w:val="4"/>
            <w:vAlign w:val="center"/>
          </w:tcPr>
          <w:p w14:paraId="386B0790">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执业或职业资格证明</w:t>
            </w:r>
          </w:p>
        </w:tc>
      </w:tr>
      <w:tr w14:paraId="1F218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3" w:hRule="atLeast"/>
        </w:trPr>
        <w:tc>
          <w:tcPr>
            <w:tcW w:w="1008" w:type="dxa"/>
            <w:vMerge w:val="continue"/>
            <w:vAlign w:val="center"/>
          </w:tcPr>
          <w:p w14:paraId="141E31E1">
            <w:pPr>
              <w:spacing w:line="360" w:lineRule="auto"/>
              <w:jc w:val="center"/>
              <w:rPr>
                <w:rFonts w:cs="宋体" w:asciiTheme="minorEastAsia" w:hAnsiTheme="minorEastAsia"/>
                <w:b/>
                <w:color w:val="auto"/>
                <w:sz w:val="24"/>
                <w:highlight w:val="none"/>
              </w:rPr>
            </w:pPr>
          </w:p>
        </w:tc>
        <w:tc>
          <w:tcPr>
            <w:tcW w:w="1620" w:type="dxa"/>
            <w:vMerge w:val="continue"/>
            <w:vAlign w:val="center"/>
          </w:tcPr>
          <w:p w14:paraId="0E63EAFD">
            <w:pPr>
              <w:spacing w:line="360" w:lineRule="auto"/>
              <w:jc w:val="center"/>
              <w:rPr>
                <w:rFonts w:cs="宋体" w:asciiTheme="minorEastAsia" w:hAnsiTheme="minorEastAsia"/>
                <w:b/>
                <w:color w:val="auto"/>
                <w:sz w:val="24"/>
                <w:highlight w:val="none"/>
              </w:rPr>
            </w:pPr>
          </w:p>
        </w:tc>
        <w:tc>
          <w:tcPr>
            <w:tcW w:w="1260" w:type="dxa"/>
            <w:vMerge w:val="continue"/>
            <w:vAlign w:val="center"/>
          </w:tcPr>
          <w:p w14:paraId="32B7AACA">
            <w:pPr>
              <w:spacing w:line="360" w:lineRule="auto"/>
              <w:jc w:val="center"/>
              <w:rPr>
                <w:rFonts w:cs="宋体" w:asciiTheme="minorEastAsia" w:hAnsiTheme="minorEastAsia"/>
                <w:b/>
                <w:color w:val="auto"/>
                <w:sz w:val="24"/>
                <w:highlight w:val="none"/>
              </w:rPr>
            </w:pPr>
          </w:p>
        </w:tc>
        <w:tc>
          <w:tcPr>
            <w:tcW w:w="1440" w:type="dxa"/>
            <w:vAlign w:val="center"/>
          </w:tcPr>
          <w:p w14:paraId="263BC0E8">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证书</w:t>
            </w:r>
          </w:p>
          <w:p w14:paraId="4E32EAB9">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名称</w:t>
            </w:r>
          </w:p>
        </w:tc>
        <w:tc>
          <w:tcPr>
            <w:tcW w:w="1080" w:type="dxa"/>
            <w:vAlign w:val="center"/>
          </w:tcPr>
          <w:p w14:paraId="3F14A6E7">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级别</w:t>
            </w:r>
          </w:p>
        </w:tc>
        <w:tc>
          <w:tcPr>
            <w:tcW w:w="1800" w:type="dxa"/>
            <w:vAlign w:val="center"/>
          </w:tcPr>
          <w:p w14:paraId="77265FFA">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证号</w:t>
            </w:r>
          </w:p>
        </w:tc>
        <w:tc>
          <w:tcPr>
            <w:tcW w:w="1091" w:type="dxa"/>
            <w:vAlign w:val="center"/>
          </w:tcPr>
          <w:p w14:paraId="25CAA145">
            <w:pPr>
              <w:spacing w:line="360" w:lineRule="auto"/>
              <w:jc w:val="center"/>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专业</w:t>
            </w:r>
          </w:p>
        </w:tc>
      </w:tr>
      <w:tr w14:paraId="2D90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037480FC">
            <w:pPr>
              <w:spacing w:line="360" w:lineRule="auto"/>
              <w:jc w:val="center"/>
              <w:rPr>
                <w:rFonts w:cs="宋体" w:asciiTheme="minorEastAsia" w:hAnsiTheme="minorEastAsia"/>
                <w:b/>
                <w:color w:val="auto"/>
                <w:sz w:val="24"/>
                <w:highlight w:val="none"/>
              </w:rPr>
            </w:pPr>
          </w:p>
        </w:tc>
        <w:tc>
          <w:tcPr>
            <w:tcW w:w="1620" w:type="dxa"/>
            <w:vAlign w:val="center"/>
          </w:tcPr>
          <w:p w14:paraId="130921D7">
            <w:pPr>
              <w:spacing w:line="360" w:lineRule="auto"/>
              <w:jc w:val="center"/>
              <w:rPr>
                <w:rFonts w:cs="宋体" w:asciiTheme="minorEastAsia" w:hAnsiTheme="minorEastAsia"/>
                <w:b/>
                <w:color w:val="auto"/>
                <w:sz w:val="24"/>
                <w:highlight w:val="none"/>
              </w:rPr>
            </w:pPr>
          </w:p>
        </w:tc>
        <w:tc>
          <w:tcPr>
            <w:tcW w:w="1260" w:type="dxa"/>
            <w:vAlign w:val="center"/>
          </w:tcPr>
          <w:p w14:paraId="63E029E2">
            <w:pPr>
              <w:spacing w:line="360" w:lineRule="auto"/>
              <w:jc w:val="center"/>
              <w:rPr>
                <w:rFonts w:cs="宋体" w:asciiTheme="minorEastAsia" w:hAnsiTheme="minorEastAsia"/>
                <w:b/>
                <w:color w:val="auto"/>
                <w:sz w:val="24"/>
                <w:highlight w:val="none"/>
              </w:rPr>
            </w:pPr>
          </w:p>
        </w:tc>
        <w:tc>
          <w:tcPr>
            <w:tcW w:w="1440" w:type="dxa"/>
            <w:vAlign w:val="center"/>
          </w:tcPr>
          <w:p w14:paraId="7BB54039">
            <w:pPr>
              <w:spacing w:line="360" w:lineRule="auto"/>
              <w:jc w:val="center"/>
              <w:rPr>
                <w:rFonts w:cs="宋体" w:asciiTheme="minorEastAsia" w:hAnsiTheme="minorEastAsia"/>
                <w:b/>
                <w:color w:val="auto"/>
                <w:sz w:val="24"/>
                <w:highlight w:val="none"/>
              </w:rPr>
            </w:pPr>
          </w:p>
        </w:tc>
        <w:tc>
          <w:tcPr>
            <w:tcW w:w="1080" w:type="dxa"/>
            <w:vAlign w:val="center"/>
          </w:tcPr>
          <w:p w14:paraId="7CC7ECF9">
            <w:pPr>
              <w:spacing w:line="360" w:lineRule="auto"/>
              <w:jc w:val="center"/>
              <w:rPr>
                <w:rFonts w:cs="宋体" w:asciiTheme="minorEastAsia" w:hAnsiTheme="minorEastAsia"/>
                <w:b/>
                <w:color w:val="auto"/>
                <w:sz w:val="24"/>
                <w:highlight w:val="none"/>
              </w:rPr>
            </w:pPr>
          </w:p>
        </w:tc>
        <w:tc>
          <w:tcPr>
            <w:tcW w:w="1800" w:type="dxa"/>
            <w:vAlign w:val="center"/>
          </w:tcPr>
          <w:p w14:paraId="4D4BECF2">
            <w:pPr>
              <w:spacing w:line="360" w:lineRule="auto"/>
              <w:jc w:val="center"/>
              <w:rPr>
                <w:rFonts w:cs="宋体" w:asciiTheme="minorEastAsia" w:hAnsiTheme="minorEastAsia"/>
                <w:b/>
                <w:color w:val="auto"/>
                <w:sz w:val="24"/>
                <w:highlight w:val="none"/>
              </w:rPr>
            </w:pPr>
          </w:p>
        </w:tc>
        <w:tc>
          <w:tcPr>
            <w:tcW w:w="1091" w:type="dxa"/>
            <w:vAlign w:val="center"/>
          </w:tcPr>
          <w:p w14:paraId="66A50A9C">
            <w:pPr>
              <w:spacing w:line="360" w:lineRule="auto"/>
              <w:jc w:val="center"/>
              <w:rPr>
                <w:rFonts w:cs="宋体" w:asciiTheme="minorEastAsia" w:hAnsiTheme="minorEastAsia"/>
                <w:b/>
                <w:color w:val="auto"/>
                <w:sz w:val="24"/>
                <w:highlight w:val="none"/>
              </w:rPr>
            </w:pPr>
          </w:p>
        </w:tc>
      </w:tr>
      <w:tr w14:paraId="2475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1B41BF6">
            <w:pPr>
              <w:spacing w:line="360" w:lineRule="auto"/>
              <w:jc w:val="center"/>
              <w:rPr>
                <w:rFonts w:cs="宋体" w:asciiTheme="minorEastAsia" w:hAnsiTheme="minorEastAsia"/>
                <w:b/>
                <w:color w:val="auto"/>
                <w:sz w:val="24"/>
                <w:highlight w:val="none"/>
              </w:rPr>
            </w:pPr>
          </w:p>
        </w:tc>
        <w:tc>
          <w:tcPr>
            <w:tcW w:w="1620" w:type="dxa"/>
            <w:vAlign w:val="center"/>
          </w:tcPr>
          <w:p w14:paraId="0949FA7E">
            <w:pPr>
              <w:spacing w:line="360" w:lineRule="auto"/>
              <w:jc w:val="center"/>
              <w:rPr>
                <w:rFonts w:cs="宋体" w:asciiTheme="minorEastAsia" w:hAnsiTheme="minorEastAsia"/>
                <w:b/>
                <w:color w:val="auto"/>
                <w:sz w:val="24"/>
                <w:highlight w:val="none"/>
              </w:rPr>
            </w:pPr>
          </w:p>
        </w:tc>
        <w:tc>
          <w:tcPr>
            <w:tcW w:w="1260" w:type="dxa"/>
            <w:vAlign w:val="center"/>
          </w:tcPr>
          <w:p w14:paraId="6A5C67D5">
            <w:pPr>
              <w:spacing w:line="360" w:lineRule="auto"/>
              <w:jc w:val="center"/>
              <w:rPr>
                <w:rFonts w:cs="宋体" w:asciiTheme="minorEastAsia" w:hAnsiTheme="minorEastAsia"/>
                <w:b/>
                <w:color w:val="auto"/>
                <w:sz w:val="24"/>
                <w:highlight w:val="none"/>
              </w:rPr>
            </w:pPr>
          </w:p>
        </w:tc>
        <w:tc>
          <w:tcPr>
            <w:tcW w:w="1440" w:type="dxa"/>
            <w:vAlign w:val="center"/>
          </w:tcPr>
          <w:p w14:paraId="5CD65AC2">
            <w:pPr>
              <w:spacing w:line="360" w:lineRule="auto"/>
              <w:jc w:val="center"/>
              <w:rPr>
                <w:rFonts w:cs="宋体" w:asciiTheme="minorEastAsia" w:hAnsiTheme="minorEastAsia"/>
                <w:b/>
                <w:color w:val="auto"/>
                <w:sz w:val="24"/>
                <w:highlight w:val="none"/>
              </w:rPr>
            </w:pPr>
          </w:p>
        </w:tc>
        <w:tc>
          <w:tcPr>
            <w:tcW w:w="1080" w:type="dxa"/>
            <w:vAlign w:val="center"/>
          </w:tcPr>
          <w:p w14:paraId="23F16750">
            <w:pPr>
              <w:spacing w:line="360" w:lineRule="auto"/>
              <w:jc w:val="center"/>
              <w:rPr>
                <w:rFonts w:cs="宋体" w:asciiTheme="minorEastAsia" w:hAnsiTheme="minorEastAsia"/>
                <w:b/>
                <w:color w:val="auto"/>
                <w:sz w:val="24"/>
                <w:highlight w:val="none"/>
              </w:rPr>
            </w:pPr>
          </w:p>
        </w:tc>
        <w:tc>
          <w:tcPr>
            <w:tcW w:w="1800" w:type="dxa"/>
            <w:vAlign w:val="center"/>
          </w:tcPr>
          <w:p w14:paraId="16E5D972">
            <w:pPr>
              <w:spacing w:line="360" w:lineRule="auto"/>
              <w:jc w:val="center"/>
              <w:rPr>
                <w:rFonts w:cs="宋体" w:asciiTheme="minorEastAsia" w:hAnsiTheme="minorEastAsia"/>
                <w:b/>
                <w:color w:val="auto"/>
                <w:sz w:val="24"/>
                <w:highlight w:val="none"/>
              </w:rPr>
            </w:pPr>
          </w:p>
        </w:tc>
        <w:tc>
          <w:tcPr>
            <w:tcW w:w="1091" w:type="dxa"/>
            <w:vAlign w:val="center"/>
          </w:tcPr>
          <w:p w14:paraId="4B423081">
            <w:pPr>
              <w:spacing w:line="360" w:lineRule="auto"/>
              <w:jc w:val="center"/>
              <w:rPr>
                <w:rFonts w:cs="宋体" w:asciiTheme="minorEastAsia" w:hAnsiTheme="minorEastAsia"/>
                <w:b/>
                <w:color w:val="auto"/>
                <w:sz w:val="24"/>
                <w:highlight w:val="none"/>
              </w:rPr>
            </w:pPr>
          </w:p>
        </w:tc>
      </w:tr>
      <w:tr w14:paraId="19C8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78266990">
            <w:pPr>
              <w:spacing w:line="360" w:lineRule="auto"/>
              <w:jc w:val="center"/>
              <w:rPr>
                <w:rFonts w:cs="宋体" w:asciiTheme="minorEastAsia" w:hAnsiTheme="minorEastAsia"/>
                <w:b/>
                <w:color w:val="auto"/>
                <w:sz w:val="24"/>
                <w:highlight w:val="none"/>
              </w:rPr>
            </w:pPr>
          </w:p>
        </w:tc>
        <w:tc>
          <w:tcPr>
            <w:tcW w:w="1620" w:type="dxa"/>
            <w:vAlign w:val="center"/>
          </w:tcPr>
          <w:p w14:paraId="5F3AD60E">
            <w:pPr>
              <w:spacing w:line="360" w:lineRule="auto"/>
              <w:jc w:val="center"/>
              <w:rPr>
                <w:rFonts w:cs="宋体" w:asciiTheme="minorEastAsia" w:hAnsiTheme="minorEastAsia"/>
                <w:b/>
                <w:color w:val="auto"/>
                <w:sz w:val="24"/>
                <w:highlight w:val="none"/>
              </w:rPr>
            </w:pPr>
          </w:p>
        </w:tc>
        <w:tc>
          <w:tcPr>
            <w:tcW w:w="1260" w:type="dxa"/>
            <w:vAlign w:val="center"/>
          </w:tcPr>
          <w:p w14:paraId="7881B8DF">
            <w:pPr>
              <w:spacing w:line="360" w:lineRule="auto"/>
              <w:jc w:val="center"/>
              <w:rPr>
                <w:rFonts w:cs="宋体" w:asciiTheme="minorEastAsia" w:hAnsiTheme="minorEastAsia"/>
                <w:b/>
                <w:color w:val="auto"/>
                <w:sz w:val="24"/>
                <w:highlight w:val="none"/>
              </w:rPr>
            </w:pPr>
          </w:p>
        </w:tc>
        <w:tc>
          <w:tcPr>
            <w:tcW w:w="1440" w:type="dxa"/>
            <w:vAlign w:val="center"/>
          </w:tcPr>
          <w:p w14:paraId="775F7E6E">
            <w:pPr>
              <w:spacing w:line="360" w:lineRule="auto"/>
              <w:jc w:val="center"/>
              <w:rPr>
                <w:rFonts w:cs="宋体" w:asciiTheme="minorEastAsia" w:hAnsiTheme="minorEastAsia"/>
                <w:b/>
                <w:color w:val="auto"/>
                <w:sz w:val="24"/>
                <w:highlight w:val="none"/>
              </w:rPr>
            </w:pPr>
          </w:p>
        </w:tc>
        <w:tc>
          <w:tcPr>
            <w:tcW w:w="1080" w:type="dxa"/>
            <w:vAlign w:val="center"/>
          </w:tcPr>
          <w:p w14:paraId="3A5EEC8F">
            <w:pPr>
              <w:spacing w:line="360" w:lineRule="auto"/>
              <w:jc w:val="center"/>
              <w:rPr>
                <w:rFonts w:cs="宋体" w:asciiTheme="minorEastAsia" w:hAnsiTheme="minorEastAsia"/>
                <w:b/>
                <w:color w:val="auto"/>
                <w:sz w:val="24"/>
                <w:highlight w:val="none"/>
              </w:rPr>
            </w:pPr>
          </w:p>
        </w:tc>
        <w:tc>
          <w:tcPr>
            <w:tcW w:w="1800" w:type="dxa"/>
            <w:vAlign w:val="center"/>
          </w:tcPr>
          <w:p w14:paraId="3E1B7667">
            <w:pPr>
              <w:spacing w:line="360" w:lineRule="auto"/>
              <w:jc w:val="center"/>
              <w:rPr>
                <w:rFonts w:cs="宋体" w:asciiTheme="minorEastAsia" w:hAnsiTheme="minorEastAsia"/>
                <w:b/>
                <w:color w:val="auto"/>
                <w:sz w:val="24"/>
                <w:highlight w:val="none"/>
              </w:rPr>
            </w:pPr>
          </w:p>
        </w:tc>
        <w:tc>
          <w:tcPr>
            <w:tcW w:w="1091" w:type="dxa"/>
            <w:vAlign w:val="center"/>
          </w:tcPr>
          <w:p w14:paraId="2EAFB0C7">
            <w:pPr>
              <w:spacing w:line="360" w:lineRule="auto"/>
              <w:jc w:val="center"/>
              <w:rPr>
                <w:rFonts w:cs="宋体" w:asciiTheme="minorEastAsia" w:hAnsiTheme="minorEastAsia"/>
                <w:b/>
                <w:color w:val="auto"/>
                <w:sz w:val="24"/>
                <w:highlight w:val="none"/>
              </w:rPr>
            </w:pPr>
          </w:p>
        </w:tc>
      </w:tr>
      <w:tr w14:paraId="26D5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D0AAED2">
            <w:pPr>
              <w:spacing w:line="360" w:lineRule="auto"/>
              <w:jc w:val="center"/>
              <w:rPr>
                <w:rFonts w:cs="宋体" w:asciiTheme="minorEastAsia" w:hAnsiTheme="minorEastAsia"/>
                <w:b/>
                <w:color w:val="auto"/>
                <w:sz w:val="24"/>
                <w:highlight w:val="none"/>
              </w:rPr>
            </w:pPr>
          </w:p>
        </w:tc>
        <w:tc>
          <w:tcPr>
            <w:tcW w:w="1620" w:type="dxa"/>
            <w:vAlign w:val="center"/>
          </w:tcPr>
          <w:p w14:paraId="5FBAC019">
            <w:pPr>
              <w:spacing w:line="360" w:lineRule="auto"/>
              <w:jc w:val="center"/>
              <w:rPr>
                <w:rFonts w:cs="宋体" w:asciiTheme="minorEastAsia" w:hAnsiTheme="minorEastAsia"/>
                <w:b/>
                <w:color w:val="auto"/>
                <w:sz w:val="24"/>
                <w:highlight w:val="none"/>
              </w:rPr>
            </w:pPr>
          </w:p>
        </w:tc>
        <w:tc>
          <w:tcPr>
            <w:tcW w:w="1260" w:type="dxa"/>
            <w:vAlign w:val="center"/>
          </w:tcPr>
          <w:p w14:paraId="7AE48076">
            <w:pPr>
              <w:spacing w:line="360" w:lineRule="auto"/>
              <w:jc w:val="center"/>
              <w:rPr>
                <w:rFonts w:cs="宋体" w:asciiTheme="minorEastAsia" w:hAnsiTheme="minorEastAsia"/>
                <w:b/>
                <w:color w:val="auto"/>
                <w:sz w:val="24"/>
                <w:highlight w:val="none"/>
              </w:rPr>
            </w:pPr>
          </w:p>
        </w:tc>
        <w:tc>
          <w:tcPr>
            <w:tcW w:w="1440" w:type="dxa"/>
            <w:vAlign w:val="center"/>
          </w:tcPr>
          <w:p w14:paraId="2638A8ED">
            <w:pPr>
              <w:spacing w:line="360" w:lineRule="auto"/>
              <w:jc w:val="center"/>
              <w:rPr>
                <w:rFonts w:cs="宋体" w:asciiTheme="minorEastAsia" w:hAnsiTheme="minorEastAsia"/>
                <w:b/>
                <w:color w:val="auto"/>
                <w:sz w:val="24"/>
                <w:highlight w:val="none"/>
              </w:rPr>
            </w:pPr>
          </w:p>
        </w:tc>
        <w:tc>
          <w:tcPr>
            <w:tcW w:w="1080" w:type="dxa"/>
            <w:vAlign w:val="center"/>
          </w:tcPr>
          <w:p w14:paraId="57B13753">
            <w:pPr>
              <w:spacing w:line="360" w:lineRule="auto"/>
              <w:jc w:val="center"/>
              <w:rPr>
                <w:rFonts w:cs="宋体" w:asciiTheme="minorEastAsia" w:hAnsiTheme="minorEastAsia"/>
                <w:b/>
                <w:color w:val="auto"/>
                <w:sz w:val="24"/>
                <w:highlight w:val="none"/>
              </w:rPr>
            </w:pPr>
          </w:p>
        </w:tc>
        <w:tc>
          <w:tcPr>
            <w:tcW w:w="1800" w:type="dxa"/>
            <w:vAlign w:val="center"/>
          </w:tcPr>
          <w:p w14:paraId="706B857F">
            <w:pPr>
              <w:spacing w:line="360" w:lineRule="auto"/>
              <w:jc w:val="center"/>
              <w:rPr>
                <w:rFonts w:cs="宋体" w:asciiTheme="minorEastAsia" w:hAnsiTheme="minorEastAsia"/>
                <w:b/>
                <w:color w:val="auto"/>
                <w:sz w:val="24"/>
                <w:highlight w:val="none"/>
              </w:rPr>
            </w:pPr>
          </w:p>
        </w:tc>
        <w:tc>
          <w:tcPr>
            <w:tcW w:w="1091" w:type="dxa"/>
            <w:vAlign w:val="center"/>
          </w:tcPr>
          <w:p w14:paraId="25C04D18">
            <w:pPr>
              <w:spacing w:line="360" w:lineRule="auto"/>
              <w:jc w:val="center"/>
              <w:rPr>
                <w:rFonts w:cs="宋体" w:asciiTheme="minorEastAsia" w:hAnsiTheme="minorEastAsia"/>
                <w:b/>
                <w:color w:val="auto"/>
                <w:sz w:val="24"/>
                <w:highlight w:val="none"/>
              </w:rPr>
            </w:pPr>
          </w:p>
        </w:tc>
      </w:tr>
      <w:tr w14:paraId="2522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07112D94">
            <w:pPr>
              <w:spacing w:line="360" w:lineRule="auto"/>
              <w:jc w:val="center"/>
              <w:rPr>
                <w:rFonts w:cs="宋体" w:asciiTheme="minorEastAsia" w:hAnsiTheme="minorEastAsia"/>
                <w:b/>
                <w:color w:val="auto"/>
                <w:sz w:val="24"/>
                <w:highlight w:val="none"/>
              </w:rPr>
            </w:pPr>
          </w:p>
        </w:tc>
        <w:tc>
          <w:tcPr>
            <w:tcW w:w="1620" w:type="dxa"/>
            <w:vAlign w:val="center"/>
          </w:tcPr>
          <w:p w14:paraId="338E7C9B">
            <w:pPr>
              <w:spacing w:line="360" w:lineRule="auto"/>
              <w:jc w:val="center"/>
              <w:rPr>
                <w:rFonts w:cs="宋体" w:asciiTheme="minorEastAsia" w:hAnsiTheme="minorEastAsia"/>
                <w:b/>
                <w:color w:val="auto"/>
                <w:sz w:val="24"/>
                <w:highlight w:val="none"/>
              </w:rPr>
            </w:pPr>
          </w:p>
        </w:tc>
        <w:tc>
          <w:tcPr>
            <w:tcW w:w="1260" w:type="dxa"/>
            <w:vAlign w:val="center"/>
          </w:tcPr>
          <w:p w14:paraId="19DE6FF9">
            <w:pPr>
              <w:spacing w:line="360" w:lineRule="auto"/>
              <w:jc w:val="center"/>
              <w:rPr>
                <w:rFonts w:cs="宋体" w:asciiTheme="minorEastAsia" w:hAnsiTheme="minorEastAsia"/>
                <w:b/>
                <w:color w:val="auto"/>
                <w:sz w:val="24"/>
                <w:highlight w:val="none"/>
              </w:rPr>
            </w:pPr>
          </w:p>
        </w:tc>
        <w:tc>
          <w:tcPr>
            <w:tcW w:w="1440" w:type="dxa"/>
            <w:vAlign w:val="center"/>
          </w:tcPr>
          <w:p w14:paraId="2ABE02A0">
            <w:pPr>
              <w:spacing w:line="360" w:lineRule="auto"/>
              <w:jc w:val="center"/>
              <w:rPr>
                <w:rFonts w:cs="宋体" w:asciiTheme="minorEastAsia" w:hAnsiTheme="minorEastAsia"/>
                <w:b/>
                <w:color w:val="auto"/>
                <w:sz w:val="24"/>
                <w:highlight w:val="none"/>
              </w:rPr>
            </w:pPr>
          </w:p>
        </w:tc>
        <w:tc>
          <w:tcPr>
            <w:tcW w:w="1080" w:type="dxa"/>
            <w:vAlign w:val="center"/>
          </w:tcPr>
          <w:p w14:paraId="2019B8B2">
            <w:pPr>
              <w:spacing w:line="360" w:lineRule="auto"/>
              <w:jc w:val="center"/>
              <w:rPr>
                <w:rFonts w:cs="宋体" w:asciiTheme="minorEastAsia" w:hAnsiTheme="minorEastAsia"/>
                <w:b/>
                <w:color w:val="auto"/>
                <w:sz w:val="24"/>
                <w:highlight w:val="none"/>
              </w:rPr>
            </w:pPr>
          </w:p>
        </w:tc>
        <w:tc>
          <w:tcPr>
            <w:tcW w:w="1800" w:type="dxa"/>
            <w:vAlign w:val="center"/>
          </w:tcPr>
          <w:p w14:paraId="3F004EBC">
            <w:pPr>
              <w:spacing w:line="360" w:lineRule="auto"/>
              <w:jc w:val="center"/>
              <w:rPr>
                <w:rFonts w:cs="宋体" w:asciiTheme="minorEastAsia" w:hAnsiTheme="minorEastAsia"/>
                <w:b/>
                <w:color w:val="auto"/>
                <w:sz w:val="24"/>
                <w:highlight w:val="none"/>
              </w:rPr>
            </w:pPr>
          </w:p>
        </w:tc>
        <w:tc>
          <w:tcPr>
            <w:tcW w:w="1091" w:type="dxa"/>
            <w:vAlign w:val="center"/>
          </w:tcPr>
          <w:p w14:paraId="1ED1C2C7">
            <w:pPr>
              <w:spacing w:line="360" w:lineRule="auto"/>
              <w:jc w:val="center"/>
              <w:rPr>
                <w:rFonts w:cs="宋体" w:asciiTheme="minorEastAsia" w:hAnsiTheme="minorEastAsia"/>
                <w:b/>
                <w:color w:val="auto"/>
                <w:sz w:val="24"/>
                <w:highlight w:val="none"/>
              </w:rPr>
            </w:pPr>
          </w:p>
        </w:tc>
      </w:tr>
      <w:tr w14:paraId="18CD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439C421C">
            <w:pPr>
              <w:spacing w:line="360" w:lineRule="auto"/>
              <w:jc w:val="center"/>
              <w:rPr>
                <w:rFonts w:cs="宋体" w:asciiTheme="minorEastAsia" w:hAnsiTheme="minorEastAsia"/>
                <w:b/>
                <w:color w:val="auto"/>
                <w:sz w:val="24"/>
                <w:highlight w:val="none"/>
              </w:rPr>
            </w:pPr>
          </w:p>
        </w:tc>
        <w:tc>
          <w:tcPr>
            <w:tcW w:w="1620" w:type="dxa"/>
            <w:vAlign w:val="center"/>
          </w:tcPr>
          <w:p w14:paraId="6A5FB736">
            <w:pPr>
              <w:spacing w:line="360" w:lineRule="auto"/>
              <w:jc w:val="center"/>
              <w:rPr>
                <w:rFonts w:cs="宋体" w:asciiTheme="minorEastAsia" w:hAnsiTheme="minorEastAsia"/>
                <w:b/>
                <w:color w:val="auto"/>
                <w:sz w:val="24"/>
                <w:highlight w:val="none"/>
              </w:rPr>
            </w:pPr>
          </w:p>
        </w:tc>
        <w:tc>
          <w:tcPr>
            <w:tcW w:w="1260" w:type="dxa"/>
            <w:vAlign w:val="center"/>
          </w:tcPr>
          <w:p w14:paraId="317283CA">
            <w:pPr>
              <w:spacing w:line="360" w:lineRule="auto"/>
              <w:jc w:val="center"/>
              <w:rPr>
                <w:rFonts w:cs="宋体" w:asciiTheme="minorEastAsia" w:hAnsiTheme="minorEastAsia"/>
                <w:b/>
                <w:color w:val="auto"/>
                <w:sz w:val="24"/>
                <w:highlight w:val="none"/>
              </w:rPr>
            </w:pPr>
          </w:p>
        </w:tc>
        <w:tc>
          <w:tcPr>
            <w:tcW w:w="1440" w:type="dxa"/>
            <w:vAlign w:val="center"/>
          </w:tcPr>
          <w:p w14:paraId="1E6A7F75">
            <w:pPr>
              <w:spacing w:line="360" w:lineRule="auto"/>
              <w:jc w:val="center"/>
              <w:rPr>
                <w:rFonts w:cs="宋体" w:asciiTheme="minorEastAsia" w:hAnsiTheme="minorEastAsia"/>
                <w:b/>
                <w:color w:val="auto"/>
                <w:sz w:val="24"/>
                <w:highlight w:val="none"/>
              </w:rPr>
            </w:pPr>
          </w:p>
        </w:tc>
        <w:tc>
          <w:tcPr>
            <w:tcW w:w="1080" w:type="dxa"/>
            <w:vAlign w:val="center"/>
          </w:tcPr>
          <w:p w14:paraId="65D5514F">
            <w:pPr>
              <w:spacing w:line="360" w:lineRule="auto"/>
              <w:jc w:val="center"/>
              <w:rPr>
                <w:rFonts w:cs="宋体" w:asciiTheme="minorEastAsia" w:hAnsiTheme="minorEastAsia"/>
                <w:b/>
                <w:color w:val="auto"/>
                <w:sz w:val="24"/>
                <w:highlight w:val="none"/>
              </w:rPr>
            </w:pPr>
          </w:p>
        </w:tc>
        <w:tc>
          <w:tcPr>
            <w:tcW w:w="1800" w:type="dxa"/>
            <w:vAlign w:val="center"/>
          </w:tcPr>
          <w:p w14:paraId="2DE433AD">
            <w:pPr>
              <w:spacing w:line="360" w:lineRule="auto"/>
              <w:jc w:val="center"/>
              <w:rPr>
                <w:rFonts w:cs="宋体" w:asciiTheme="minorEastAsia" w:hAnsiTheme="minorEastAsia"/>
                <w:b/>
                <w:color w:val="auto"/>
                <w:sz w:val="24"/>
                <w:highlight w:val="none"/>
              </w:rPr>
            </w:pPr>
          </w:p>
        </w:tc>
        <w:tc>
          <w:tcPr>
            <w:tcW w:w="1091" w:type="dxa"/>
            <w:vAlign w:val="center"/>
          </w:tcPr>
          <w:p w14:paraId="6E982020">
            <w:pPr>
              <w:spacing w:line="360" w:lineRule="auto"/>
              <w:jc w:val="center"/>
              <w:rPr>
                <w:rFonts w:cs="宋体" w:asciiTheme="minorEastAsia" w:hAnsiTheme="minorEastAsia"/>
                <w:b/>
                <w:color w:val="auto"/>
                <w:sz w:val="24"/>
                <w:highlight w:val="none"/>
              </w:rPr>
            </w:pPr>
          </w:p>
        </w:tc>
      </w:tr>
      <w:tr w14:paraId="3F93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1107DD60">
            <w:pPr>
              <w:spacing w:line="360" w:lineRule="auto"/>
              <w:jc w:val="center"/>
              <w:rPr>
                <w:rFonts w:cs="宋体" w:asciiTheme="minorEastAsia" w:hAnsiTheme="minorEastAsia"/>
                <w:b/>
                <w:color w:val="auto"/>
                <w:sz w:val="24"/>
                <w:highlight w:val="none"/>
              </w:rPr>
            </w:pPr>
          </w:p>
        </w:tc>
        <w:tc>
          <w:tcPr>
            <w:tcW w:w="1620" w:type="dxa"/>
            <w:vAlign w:val="center"/>
          </w:tcPr>
          <w:p w14:paraId="712EC53E">
            <w:pPr>
              <w:spacing w:line="360" w:lineRule="auto"/>
              <w:jc w:val="center"/>
              <w:rPr>
                <w:rFonts w:cs="宋体" w:asciiTheme="minorEastAsia" w:hAnsiTheme="minorEastAsia"/>
                <w:b/>
                <w:color w:val="auto"/>
                <w:sz w:val="24"/>
                <w:highlight w:val="none"/>
              </w:rPr>
            </w:pPr>
          </w:p>
        </w:tc>
        <w:tc>
          <w:tcPr>
            <w:tcW w:w="1260" w:type="dxa"/>
            <w:vAlign w:val="center"/>
          </w:tcPr>
          <w:p w14:paraId="68DBB668">
            <w:pPr>
              <w:spacing w:line="360" w:lineRule="auto"/>
              <w:jc w:val="center"/>
              <w:rPr>
                <w:rFonts w:cs="宋体" w:asciiTheme="minorEastAsia" w:hAnsiTheme="minorEastAsia"/>
                <w:b/>
                <w:color w:val="auto"/>
                <w:sz w:val="24"/>
                <w:highlight w:val="none"/>
              </w:rPr>
            </w:pPr>
          </w:p>
        </w:tc>
        <w:tc>
          <w:tcPr>
            <w:tcW w:w="1440" w:type="dxa"/>
            <w:vAlign w:val="center"/>
          </w:tcPr>
          <w:p w14:paraId="1A2001BB">
            <w:pPr>
              <w:spacing w:line="360" w:lineRule="auto"/>
              <w:jc w:val="center"/>
              <w:rPr>
                <w:rFonts w:cs="宋体" w:asciiTheme="minorEastAsia" w:hAnsiTheme="minorEastAsia"/>
                <w:b/>
                <w:color w:val="auto"/>
                <w:sz w:val="24"/>
                <w:highlight w:val="none"/>
              </w:rPr>
            </w:pPr>
          </w:p>
        </w:tc>
        <w:tc>
          <w:tcPr>
            <w:tcW w:w="1080" w:type="dxa"/>
            <w:vAlign w:val="center"/>
          </w:tcPr>
          <w:p w14:paraId="62C49397">
            <w:pPr>
              <w:spacing w:line="360" w:lineRule="auto"/>
              <w:jc w:val="center"/>
              <w:rPr>
                <w:rFonts w:cs="宋体" w:asciiTheme="minorEastAsia" w:hAnsiTheme="minorEastAsia"/>
                <w:b/>
                <w:color w:val="auto"/>
                <w:sz w:val="24"/>
                <w:highlight w:val="none"/>
              </w:rPr>
            </w:pPr>
          </w:p>
        </w:tc>
        <w:tc>
          <w:tcPr>
            <w:tcW w:w="1800" w:type="dxa"/>
            <w:vAlign w:val="center"/>
          </w:tcPr>
          <w:p w14:paraId="33E45F78">
            <w:pPr>
              <w:spacing w:line="360" w:lineRule="auto"/>
              <w:jc w:val="center"/>
              <w:rPr>
                <w:rFonts w:cs="宋体" w:asciiTheme="minorEastAsia" w:hAnsiTheme="minorEastAsia"/>
                <w:b/>
                <w:color w:val="auto"/>
                <w:sz w:val="24"/>
                <w:highlight w:val="none"/>
              </w:rPr>
            </w:pPr>
          </w:p>
        </w:tc>
        <w:tc>
          <w:tcPr>
            <w:tcW w:w="1091" w:type="dxa"/>
            <w:vAlign w:val="center"/>
          </w:tcPr>
          <w:p w14:paraId="6664BAC8">
            <w:pPr>
              <w:spacing w:line="360" w:lineRule="auto"/>
              <w:jc w:val="center"/>
              <w:rPr>
                <w:rFonts w:cs="宋体" w:asciiTheme="minorEastAsia" w:hAnsiTheme="minorEastAsia"/>
                <w:b/>
                <w:color w:val="auto"/>
                <w:sz w:val="24"/>
                <w:highlight w:val="none"/>
              </w:rPr>
            </w:pPr>
          </w:p>
        </w:tc>
      </w:tr>
      <w:tr w14:paraId="02D6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3EE38D50">
            <w:pPr>
              <w:spacing w:line="360" w:lineRule="auto"/>
              <w:jc w:val="center"/>
              <w:rPr>
                <w:rFonts w:cs="宋体" w:asciiTheme="minorEastAsia" w:hAnsiTheme="minorEastAsia"/>
                <w:b/>
                <w:color w:val="auto"/>
                <w:sz w:val="24"/>
                <w:highlight w:val="none"/>
              </w:rPr>
            </w:pPr>
          </w:p>
        </w:tc>
        <w:tc>
          <w:tcPr>
            <w:tcW w:w="1620" w:type="dxa"/>
            <w:vAlign w:val="center"/>
          </w:tcPr>
          <w:p w14:paraId="76E4DAD8">
            <w:pPr>
              <w:spacing w:line="360" w:lineRule="auto"/>
              <w:jc w:val="center"/>
              <w:rPr>
                <w:rFonts w:cs="宋体" w:asciiTheme="minorEastAsia" w:hAnsiTheme="minorEastAsia"/>
                <w:b/>
                <w:color w:val="auto"/>
                <w:sz w:val="24"/>
                <w:highlight w:val="none"/>
              </w:rPr>
            </w:pPr>
          </w:p>
        </w:tc>
        <w:tc>
          <w:tcPr>
            <w:tcW w:w="1260" w:type="dxa"/>
            <w:vAlign w:val="center"/>
          </w:tcPr>
          <w:p w14:paraId="631F0FC1">
            <w:pPr>
              <w:spacing w:line="360" w:lineRule="auto"/>
              <w:jc w:val="center"/>
              <w:rPr>
                <w:rFonts w:cs="宋体" w:asciiTheme="minorEastAsia" w:hAnsiTheme="minorEastAsia"/>
                <w:b/>
                <w:color w:val="auto"/>
                <w:sz w:val="24"/>
                <w:highlight w:val="none"/>
              </w:rPr>
            </w:pPr>
          </w:p>
        </w:tc>
        <w:tc>
          <w:tcPr>
            <w:tcW w:w="1440" w:type="dxa"/>
            <w:vAlign w:val="center"/>
          </w:tcPr>
          <w:p w14:paraId="1C24BFB5">
            <w:pPr>
              <w:spacing w:line="360" w:lineRule="auto"/>
              <w:jc w:val="center"/>
              <w:rPr>
                <w:rFonts w:cs="宋体" w:asciiTheme="minorEastAsia" w:hAnsiTheme="minorEastAsia"/>
                <w:b/>
                <w:color w:val="auto"/>
                <w:sz w:val="24"/>
                <w:highlight w:val="none"/>
              </w:rPr>
            </w:pPr>
          </w:p>
        </w:tc>
        <w:tc>
          <w:tcPr>
            <w:tcW w:w="1080" w:type="dxa"/>
            <w:vAlign w:val="center"/>
          </w:tcPr>
          <w:p w14:paraId="2776B218">
            <w:pPr>
              <w:spacing w:line="360" w:lineRule="auto"/>
              <w:jc w:val="center"/>
              <w:rPr>
                <w:rFonts w:cs="宋体" w:asciiTheme="minorEastAsia" w:hAnsiTheme="minorEastAsia"/>
                <w:b/>
                <w:color w:val="auto"/>
                <w:sz w:val="24"/>
                <w:highlight w:val="none"/>
              </w:rPr>
            </w:pPr>
          </w:p>
        </w:tc>
        <w:tc>
          <w:tcPr>
            <w:tcW w:w="1800" w:type="dxa"/>
            <w:vAlign w:val="center"/>
          </w:tcPr>
          <w:p w14:paraId="4DA2D20F">
            <w:pPr>
              <w:spacing w:line="360" w:lineRule="auto"/>
              <w:jc w:val="center"/>
              <w:rPr>
                <w:rFonts w:cs="宋体" w:asciiTheme="minorEastAsia" w:hAnsiTheme="minorEastAsia"/>
                <w:b/>
                <w:color w:val="auto"/>
                <w:sz w:val="24"/>
                <w:highlight w:val="none"/>
              </w:rPr>
            </w:pPr>
          </w:p>
        </w:tc>
        <w:tc>
          <w:tcPr>
            <w:tcW w:w="1091" w:type="dxa"/>
            <w:vAlign w:val="center"/>
          </w:tcPr>
          <w:p w14:paraId="3B643DCB">
            <w:pPr>
              <w:spacing w:line="360" w:lineRule="auto"/>
              <w:jc w:val="center"/>
              <w:rPr>
                <w:rFonts w:cs="宋体" w:asciiTheme="minorEastAsia" w:hAnsiTheme="minorEastAsia"/>
                <w:b/>
                <w:color w:val="auto"/>
                <w:sz w:val="24"/>
                <w:highlight w:val="none"/>
              </w:rPr>
            </w:pPr>
          </w:p>
        </w:tc>
      </w:tr>
      <w:tr w14:paraId="3F24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0C80E36F">
            <w:pPr>
              <w:spacing w:line="360" w:lineRule="auto"/>
              <w:jc w:val="center"/>
              <w:rPr>
                <w:rFonts w:cs="宋体" w:asciiTheme="minorEastAsia" w:hAnsiTheme="minorEastAsia"/>
                <w:b/>
                <w:color w:val="auto"/>
                <w:sz w:val="24"/>
                <w:highlight w:val="none"/>
              </w:rPr>
            </w:pPr>
          </w:p>
        </w:tc>
        <w:tc>
          <w:tcPr>
            <w:tcW w:w="1620" w:type="dxa"/>
            <w:vAlign w:val="center"/>
          </w:tcPr>
          <w:p w14:paraId="6AAA9176">
            <w:pPr>
              <w:spacing w:line="360" w:lineRule="auto"/>
              <w:jc w:val="center"/>
              <w:rPr>
                <w:rFonts w:cs="宋体" w:asciiTheme="minorEastAsia" w:hAnsiTheme="minorEastAsia"/>
                <w:b/>
                <w:color w:val="auto"/>
                <w:sz w:val="24"/>
                <w:highlight w:val="none"/>
              </w:rPr>
            </w:pPr>
          </w:p>
        </w:tc>
        <w:tc>
          <w:tcPr>
            <w:tcW w:w="1260" w:type="dxa"/>
            <w:vAlign w:val="center"/>
          </w:tcPr>
          <w:p w14:paraId="3BF9BA7C">
            <w:pPr>
              <w:spacing w:line="360" w:lineRule="auto"/>
              <w:jc w:val="center"/>
              <w:rPr>
                <w:rFonts w:cs="宋体" w:asciiTheme="minorEastAsia" w:hAnsiTheme="minorEastAsia"/>
                <w:b/>
                <w:color w:val="auto"/>
                <w:sz w:val="24"/>
                <w:highlight w:val="none"/>
              </w:rPr>
            </w:pPr>
          </w:p>
        </w:tc>
        <w:tc>
          <w:tcPr>
            <w:tcW w:w="1440" w:type="dxa"/>
            <w:vAlign w:val="center"/>
          </w:tcPr>
          <w:p w14:paraId="79D22B73">
            <w:pPr>
              <w:spacing w:line="360" w:lineRule="auto"/>
              <w:jc w:val="center"/>
              <w:rPr>
                <w:rFonts w:cs="宋体" w:asciiTheme="minorEastAsia" w:hAnsiTheme="minorEastAsia"/>
                <w:b/>
                <w:color w:val="auto"/>
                <w:sz w:val="24"/>
                <w:highlight w:val="none"/>
              </w:rPr>
            </w:pPr>
          </w:p>
        </w:tc>
        <w:tc>
          <w:tcPr>
            <w:tcW w:w="1080" w:type="dxa"/>
            <w:vAlign w:val="center"/>
          </w:tcPr>
          <w:p w14:paraId="06F60FD5">
            <w:pPr>
              <w:spacing w:line="360" w:lineRule="auto"/>
              <w:jc w:val="center"/>
              <w:rPr>
                <w:rFonts w:cs="宋体" w:asciiTheme="minorEastAsia" w:hAnsiTheme="minorEastAsia"/>
                <w:b/>
                <w:color w:val="auto"/>
                <w:sz w:val="24"/>
                <w:highlight w:val="none"/>
              </w:rPr>
            </w:pPr>
          </w:p>
        </w:tc>
        <w:tc>
          <w:tcPr>
            <w:tcW w:w="1800" w:type="dxa"/>
            <w:vAlign w:val="center"/>
          </w:tcPr>
          <w:p w14:paraId="0CA37C66">
            <w:pPr>
              <w:spacing w:line="360" w:lineRule="auto"/>
              <w:jc w:val="center"/>
              <w:rPr>
                <w:rFonts w:cs="宋体" w:asciiTheme="minorEastAsia" w:hAnsiTheme="minorEastAsia"/>
                <w:b/>
                <w:color w:val="auto"/>
                <w:sz w:val="24"/>
                <w:highlight w:val="none"/>
              </w:rPr>
            </w:pPr>
          </w:p>
        </w:tc>
        <w:tc>
          <w:tcPr>
            <w:tcW w:w="1091" w:type="dxa"/>
            <w:vAlign w:val="center"/>
          </w:tcPr>
          <w:p w14:paraId="1BE4BAA2">
            <w:pPr>
              <w:spacing w:line="360" w:lineRule="auto"/>
              <w:jc w:val="center"/>
              <w:rPr>
                <w:rFonts w:cs="宋体" w:asciiTheme="minorEastAsia" w:hAnsiTheme="minorEastAsia"/>
                <w:b/>
                <w:color w:val="auto"/>
                <w:sz w:val="24"/>
                <w:highlight w:val="none"/>
              </w:rPr>
            </w:pPr>
          </w:p>
        </w:tc>
      </w:tr>
      <w:tr w14:paraId="2B43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01D60B8">
            <w:pPr>
              <w:spacing w:line="360" w:lineRule="auto"/>
              <w:jc w:val="center"/>
              <w:rPr>
                <w:rFonts w:cs="宋体" w:asciiTheme="minorEastAsia" w:hAnsiTheme="minorEastAsia"/>
                <w:b/>
                <w:color w:val="auto"/>
                <w:sz w:val="24"/>
                <w:highlight w:val="none"/>
              </w:rPr>
            </w:pPr>
          </w:p>
        </w:tc>
        <w:tc>
          <w:tcPr>
            <w:tcW w:w="1620" w:type="dxa"/>
            <w:vAlign w:val="center"/>
          </w:tcPr>
          <w:p w14:paraId="5D8B7C0F">
            <w:pPr>
              <w:spacing w:line="360" w:lineRule="auto"/>
              <w:jc w:val="center"/>
              <w:rPr>
                <w:rFonts w:cs="宋体" w:asciiTheme="minorEastAsia" w:hAnsiTheme="minorEastAsia"/>
                <w:b/>
                <w:color w:val="auto"/>
                <w:sz w:val="24"/>
                <w:highlight w:val="none"/>
              </w:rPr>
            </w:pPr>
          </w:p>
        </w:tc>
        <w:tc>
          <w:tcPr>
            <w:tcW w:w="1260" w:type="dxa"/>
            <w:vAlign w:val="center"/>
          </w:tcPr>
          <w:p w14:paraId="085CFC44">
            <w:pPr>
              <w:spacing w:line="360" w:lineRule="auto"/>
              <w:jc w:val="center"/>
              <w:rPr>
                <w:rFonts w:cs="宋体" w:asciiTheme="minorEastAsia" w:hAnsiTheme="minorEastAsia"/>
                <w:b/>
                <w:color w:val="auto"/>
                <w:sz w:val="24"/>
                <w:highlight w:val="none"/>
              </w:rPr>
            </w:pPr>
          </w:p>
        </w:tc>
        <w:tc>
          <w:tcPr>
            <w:tcW w:w="1440" w:type="dxa"/>
            <w:vAlign w:val="center"/>
          </w:tcPr>
          <w:p w14:paraId="54A94C57">
            <w:pPr>
              <w:spacing w:line="360" w:lineRule="auto"/>
              <w:jc w:val="center"/>
              <w:rPr>
                <w:rFonts w:cs="宋体" w:asciiTheme="minorEastAsia" w:hAnsiTheme="minorEastAsia"/>
                <w:b/>
                <w:color w:val="auto"/>
                <w:sz w:val="24"/>
                <w:highlight w:val="none"/>
              </w:rPr>
            </w:pPr>
          </w:p>
        </w:tc>
        <w:tc>
          <w:tcPr>
            <w:tcW w:w="1080" w:type="dxa"/>
            <w:vAlign w:val="center"/>
          </w:tcPr>
          <w:p w14:paraId="75779927">
            <w:pPr>
              <w:spacing w:line="360" w:lineRule="auto"/>
              <w:jc w:val="center"/>
              <w:rPr>
                <w:rFonts w:cs="宋体" w:asciiTheme="minorEastAsia" w:hAnsiTheme="minorEastAsia"/>
                <w:b/>
                <w:color w:val="auto"/>
                <w:sz w:val="24"/>
                <w:highlight w:val="none"/>
              </w:rPr>
            </w:pPr>
          </w:p>
        </w:tc>
        <w:tc>
          <w:tcPr>
            <w:tcW w:w="1800" w:type="dxa"/>
            <w:vAlign w:val="center"/>
          </w:tcPr>
          <w:p w14:paraId="6298F2D7">
            <w:pPr>
              <w:spacing w:line="360" w:lineRule="auto"/>
              <w:jc w:val="center"/>
              <w:rPr>
                <w:rFonts w:cs="宋体" w:asciiTheme="minorEastAsia" w:hAnsiTheme="minorEastAsia"/>
                <w:b/>
                <w:color w:val="auto"/>
                <w:sz w:val="24"/>
                <w:highlight w:val="none"/>
              </w:rPr>
            </w:pPr>
          </w:p>
        </w:tc>
        <w:tc>
          <w:tcPr>
            <w:tcW w:w="1091" w:type="dxa"/>
            <w:vAlign w:val="center"/>
          </w:tcPr>
          <w:p w14:paraId="522E5CF8">
            <w:pPr>
              <w:spacing w:line="360" w:lineRule="auto"/>
              <w:jc w:val="center"/>
              <w:rPr>
                <w:rFonts w:cs="宋体" w:asciiTheme="minorEastAsia" w:hAnsiTheme="minorEastAsia"/>
                <w:b/>
                <w:color w:val="auto"/>
                <w:sz w:val="24"/>
                <w:highlight w:val="none"/>
              </w:rPr>
            </w:pPr>
          </w:p>
        </w:tc>
      </w:tr>
      <w:tr w14:paraId="7BBB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36D2BFE4">
            <w:pPr>
              <w:spacing w:line="360" w:lineRule="auto"/>
              <w:jc w:val="center"/>
              <w:rPr>
                <w:rFonts w:cs="宋体" w:asciiTheme="minorEastAsia" w:hAnsiTheme="minorEastAsia"/>
                <w:b/>
                <w:color w:val="auto"/>
                <w:sz w:val="24"/>
                <w:highlight w:val="none"/>
              </w:rPr>
            </w:pPr>
          </w:p>
        </w:tc>
        <w:tc>
          <w:tcPr>
            <w:tcW w:w="1620" w:type="dxa"/>
            <w:vAlign w:val="center"/>
          </w:tcPr>
          <w:p w14:paraId="5CD33358">
            <w:pPr>
              <w:spacing w:line="360" w:lineRule="auto"/>
              <w:jc w:val="center"/>
              <w:rPr>
                <w:rFonts w:cs="宋体" w:asciiTheme="minorEastAsia" w:hAnsiTheme="minorEastAsia"/>
                <w:b/>
                <w:color w:val="auto"/>
                <w:sz w:val="24"/>
                <w:highlight w:val="none"/>
              </w:rPr>
            </w:pPr>
          </w:p>
        </w:tc>
        <w:tc>
          <w:tcPr>
            <w:tcW w:w="1260" w:type="dxa"/>
            <w:vAlign w:val="center"/>
          </w:tcPr>
          <w:p w14:paraId="0E2F5318">
            <w:pPr>
              <w:spacing w:line="360" w:lineRule="auto"/>
              <w:jc w:val="center"/>
              <w:rPr>
                <w:rFonts w:cs="宋体" w:asciiTheme="minorEastAsia" w:hAnsiTheme="minorEastAsia"/>
                <w:b/>
                <w:color w:val="auto"/>
                <w:sz w:val="24"/>
                <w:highlight w:val="none"/>
              </w:rPr>
            </w:pPr>
          </w:p>
        </w:tc>
        <w:tc>
          <w:tcPr>
            <w:tcW w:w="1440" w:type="dxa"/>
            <w:vAlign w:val="center"/>
          </w:tcPr>
          <w:p w14:paraId="5D3F6FB2">
            <w:pPr>
              <w:spacing w:line="360" w:lineRule="auto"/>
              <w:jc w:val="center"/>
              <w:rPr>
                <w:rFonts w:cs="宋体" w:asciiTheme="minorEastAsia" w:hAnsiTheme="minorEastAsia"/>
                <w:b/>
                <w:color w:val="auto"/>
                <w:sz w:val="24"/>
                <w:highlight w:val="none"/>
              </w:rPr>
            </w:pPr>
          </w:p>
        </w:tc>
        <w:tc>
          <w:tcPr>
            <w:tcW w:w="1080" w:type="dxa"/>
            <w:vAlign w:val="center"/>
          </w:tcPr>
          <w:p w14:paraId="02CBC19A">
            <w:pPr>
              <w:spacing w:line="360" w:lineRule="auto"/>
              <w:jc w:val="center"/>
              <w:rPr>
                <w:rFonts w:cs="宋体" w:asciiTheme="minorEastAsia" w:hAnsiTheme="minorEastAsia"/>
                <w:b/>
                <w:color w:val="auto"/>
                <w:sz w:val="24"/>
                <w:highlight w:val="none"/>
              </w:rPr>
            </w:pPr>
          </w:p>
        </w:tc>
        <w:tc>
          <w:tcPr>
            <w:tcW w:w="1800" w:type="dxa"/>
            <w:vAlign w:val="center"/>
          </w:tcPr>
          <w:p w14:paraId="6D5D1DD9">
            <w:pPr>
              <w:spacing w:line="360" w:lineRule="auto"/>
              <w:jc w:val="center"/>
              <w:rPr>
                <w:rFonts w:cs="宋体" w:asciiTheme="minorEastAsia" w:hAnsiTheme="minorEastAsia"/>
                <w:b/>
                <w:color w:val="auto"/>
                <w:sz w:val="24"/>
                <w:highlight w:val="none"/>
              </w:rPr>
            </w:pPr>
          </w:p>
        </w:tc>
        <w:tc>
          <w:tcPr>
            <w:tcW w:w="1091" w:type="dxa"/>
            <w:vAlign w:val="center"/>
          </w:tcPr>
          <w:p w14:paraId="627B9EB4">
            <w:pPr>
              <w:spacing w:line="360" w:lineRule="auto"/>
              <w:jc w:val="center"/>
              <w:rPr>
                <w:rFonts w:cs="宋体" w:asciiTheme="minorEastAsia" w:hAnsiTheme="minorEastAsia"/>
                <w:b/>
                <w:color w:val="auto"/>
                <w:sz w:val="24"/>
                <w:highlight w:val="none"/>
              </w:rPr>
            </w:pPr>
          </w:p>
        </w:tc>
      </w:tr>
      <w:tr w14:paraId="15FB8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695BB44E">
            <w:pPr>
              <w:spacing w:line="360" w:lineRule="auto"/>
              <w:jc w:val="center"/>
              <w:rPr>
                <w:rFonts w:cs="宋体" w:asciiTheme="minorEastAsia" w:hAnsiTheme="minorEastAsia"/>
                <w:b/>
                <w:color w:val="auto"/>
                <w:sz w:val="24"/>
                <w:highlight w:val="none"/>
              </w:rPr>
            </w:pPr>
          </w:p>
        </w:tc>
        <w:tc>
          <w:tcPr>
            <w:tcW w:w="1620" w:type="dxa"/>
            <w:vAlign w:val="center"/>
          </w:tcPr>
          <w:p w14:paraId="0BAB149C">
            <w:pPr>
              <w:spacing w:line="360" w:lineRule="auto"/>
              <w:jc w:val="center"/>
              <w:rPr>
                <w:rFonts w:cs="宋体" w:asciiTheme="minorEastAsia" w:hAnsiTheme="minorEastAsia"/>
                <w:b/>
                <w:color w:val="auto"/>
                <w:sz w:val="24"/>
                <w:highlight w:val="none"/>
              </w:rPr>
            </w:pPr>
          </w:p>
        </w:tc>
        <w:tc>
          <w:tcPr>
            <w:tcW w:w="1260" w:type="dxa"/>
            <w:vAlign w:val="center"/>
          </w:tcPr>
          <w:p w14:paraId="74CA6940">
            <w:pPr>
              <w:spacing w:line="360" w:lineRule="auto"/>
              <w:jc w:val="center"/>
              <w:rPr>
                <w:rFonts w:cs="宋体" w:asciiTheme="minorEastAsia" w:hAnsiTheme="minorEastAsia"/>
                <w:b/>
                <w:color w:val="auto"/>
                <w:sz w:val="24"/>
                <w:highlight w:val="none"/>
              </w:rPr>
            </w:pPr>
          </w:p>
        </w:tc>
        <w:tc>
          <w:tcPr>
            <w:tcW w:w="1440" w:type="dxa"/>
            <w:vAlign w:val="center"/>
          </w:tcPr>
          <w:p w14:paraId="1248AB41">
            <w:pPr>
              <w:spacing w:line="360" w:lineRule="auto"/>
              <w:jc w:val="center"/>
              <w:rPr>
                <w:rFonts w:cs="宋体" w:asciiTheme="minorEastAsia" w:hAnsiTheme="minorEastAsia"/>
                <w:b/>
                <w:color w:val="auto"/>
                <w:sz w:val="24"/>
                <w:highlight w:val="none"/>
              </w:rPr>
            </w:pPr>
          </w:p>
        </w:tc>
        <w:tc>
          <w:tcPr>
            <w:tcW w:w="1080" w:type="dxa"/>
            <w:vAlign w:val="center"/>
          </w:tcPr>
          <w:p w14:paraId="1A27DE53">
            <w:pPr>
              <w:spacing w:line="360" w:lineRule="auto"/>
              <w:jc w:val="center"/>
              <w:rPr>
                <w:rFonts w:cs="宋体" w:asciiTheme="minorEastAsia" w:hAnsiTheme="minorEastAsia"/>
                <w:b/>
                <w:color w:val="auto"/>
                <w:sz w:val="24"/>
                <w:highlight w:val="none"/>
              </w:rPr>
            </w:pPr>
          </w:p>
        </w:tc>
        <w:tc>
          <w:tcPr>
            <w:tcW w:w="1800" w:type="dxa"/>
            <w:vAlign w:val="center"/>
          </w:tcPr>
          <w:p w14:paraId="180B1B9D">
            <w:pPr>
              <w:spacing w:line="360" w:lineRule="auto"/>
              <w:jc w:val="center"/>
              <w:rPr>
                <w:rFonts w:cs="宋体" w:asciiTheme="minorEastAsia" w:hAnsiTheme="minorEastAsia"/>
                <w:b/>
                <w:color w:val="auto"/>
                <w:sz w:val="24"/>
                <w:highlight w:val="none"/>
              </w:rPr>
            </w:pPr>
          </w:p>
        </w:tc>
        <w:tc>
          <w:tcPr>
            <w:tcW w:w="1091" w:type="dxa"/>
            <w:vAlign w:val="center"/>
          </w:tcPr>
          <w:p w14:paraId="5EEBF5F8">
            <w:pPr>
              <w:spacing w:line="360" w:lineRule="auto"/>
              <w:jc w:val="center"/>
              <w:rPr>
                <w:rFonts w:cs="宋体" w:asciiTheme="minorEastAsia" w:hAnsiTheme="minorEastAsia"/>
                <w:b/>
                <w:color w:val="auto"/>
                <w:sz w:val="24"/>
                <w:highlight w:val="none"/>
              </w:rPr>
            </w:pPr>
          </w:p>
        </w:tc>
      </w:tr>
      <w:tr w14:paraId="729E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E070BD5">
            <w:pPr>
              <w:spacing w:line="360" w:lineRule="auto"/>
              <w:jc w:val="center"/>
              <w:rPr>
                <w:rFonts w:cs="宋体" w:asciiTheme="minorEastAsia" w:hAnsiTheme="minorEastAsia"/>
                <w:b/>
                <w:color w:val="auto"/>
                <w:sz w:val="24"/>
                <w:highlight w:val="none"/>
              </w:rPr>
            </w:pPr>
          </w:p>
        </w:tc>
        <w:tc>
          <w:tcPr>
            <w:tcW w:w="1620" w:type="dxa"/>
            <w:vAlign w:val="center"/>
          </w:tcPr>
          <w:p w14:paraId="53FC24FE">
            <w:pPr>
              <w:spacing w:line="360" w:lineRule="auto"/>
              <w:jc w:val="center"/>
              <w:rPr>
                <w:rFonts w:cs="宋体" w:asciiTheme="minorEastAsia" w:hAnsiTheme="minorEastAsia"/>
                <w:b/>
                <w:color w:val="auto"/>
                <w:sz w:val="24"/>
                <w:highlight w:val="none"/>
              </w:rPr>
            </w:pPr>
          </w:p>
        </w:tc>
        <w:tc>
          <w:tcPr>
            <w:tcW w:w="1260" w:type="dxa"/>
            <w:vAlign w:val="center"/>
          </w:tcPr>
          <w:p w14:paraId="4BAAD5CA">
            <w:pPr>
              <w:spacing w:line="360" w:lineRule="auto"/>
              <w:jc w:val="center"/>
              <w:rPr>
                <w:rFonts w:cs="宋体" w:asciiTheme="minorEastAsia" w:hAnsiTheme="minorEastAsia"/>
                <w:b/>
                <w:color w:val="auto"/>
                <w:sz w:val="24"/>
                <w:highlight w:val="none"/>
              </w:rPr>
            </w:pPr>
          </w:p>
        </w:tc>
        <w:tc>
          <w:tcPr>
            <w:tcW w:w="1440" w:type="dxa"/>
            <w:vAlign w:val="center"/>
          </w:tcPr>
          <w:p w14:paraId="55444B6B">
            <w:pPr>
              <w:spacing w:line="360" w:lineRule="auto"/>
              <w:jc w:val="center"/>
              <w:rPr>
                <w:rFonts w:cs="宋体" w:asciiTheme="minorEastAsia" w:hAnsiTheme="minorEastAsia"/>
                <w:b/>
                <w:color w:val="auto"/>
                <w:sz w:val="24"/>
                <w:highlight w:val="none"/>
              </w:rPr>
            </w:pPr>
          </w:p>
        </w:tc>
        <w:tc>
          <w:tcPr>
            <w:tcW w:w="1080" w:type="dxa"/>
            <w:vAlign w:val="center"/>
          </w:tcPr>
          <w:p w14:paraId="29CA29EE">
            <w:pPr>
              <w:spacing w:line="360" w:lineRule="auto"/>
              <w:jc w:val="center"/>
              <w:rPr>
                <w:rFonts w:cs="宋体" w:asciiTheme="minorEastAsia" w:hAnsiTheme="minorEastAsia"/>
                <w:b/>
                <w:color w:val="auto"/>
                <w:sz w:val="24"/>
                <w:highlight w:val="none"/>
              </w:rPr>
            </w:pPr>
          </w:p>
        </w:tc>
        <w:tc>
          <w:tcPr>
            <w:tcW w:w="1800" w:type="dxa"/>
            <w:vAlign w:val="center"/>
          </w:tcPr>
          <w:p w14:paraId="3094C1B0">
            <w:pPr>
              <w:spacing w:line="360" w:lineRule="auto"/>
              <w:jc w:val="center"/>
              <w:rPr>
                <w:rFonts w:cs="宋体" w:asciiTheme="minorEastAsia" w:hAnsiTheme="minorEastAsia"/>
                <w:b/>
                <w:color w:val="auto"/>
                <w:sz w:val="24"/>
                <w:highlight w:val="none"/>
              </w:rPr>
            </w:pPr>
          </w:p>
        </w:tc>
        <w:tc>
          <w:tcPr>
            <w:tcW w:w="1091" w:type="dxa"/>
            <w:vAlign w:val="center"/>
          </w:tcPr>
          <w:p w14:paraId="63524526">
            <w:pPr>
              <w:spacing w:line="360" w:lineRule="auto"/>
              <w:jc w:val="center"/>
              <w:rPr>
                <w:rFonts w:cs="宋体" w:asciiTheme="minorEastAsia" w:hAnsiTheme="minorEastAsia"/>
                <w:b/>
                <w:color w:val="auto"/>
                <w:sz w:val="24"/>
                <w:highlight w:val="none"/>
              </w:rPr>
            </w:pPr>
          </w:p>
        </w:tc>
      </w:tr>
      <w:tr w14:paraId="69EA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4D3AAFF0">
            <w:pPr>
              <w:spacing w:line="360" w:lineRule="auto"/>
              <w:jc w:val="center"/>
              <w:rPr>
                <w:rFonts w:cs="宋体" w:asciiTheme="minorEastAsia" w:hAnsiTheme="minorEastAsia"/>
                <w:b/>
                <w:color w:val="auto"/>
                <w:sz w:val="24"/>
                <w:highlight w:val="none"/>
              </w:rPr>
            </w:pPr>
          </w:p>
        </w:tc>
        <w:tc>
          <w:tcPr>
            <w:tcW w:w="1620" w:type="dxa"/>
            <w:vAlign w:val="center"/>
          </w:tcPr>
          <w:p w14:paraId="15039B2D">
            <w:pPr>
              <w:spacing w:line="360" w:lineRule="auto"/>
              <w:jc w:val="center"/>
              <w:rPr>
                <w:rFonts w:cs="宋体" w:asciiTheme="minorEastAsia" w:hAnsiTheme="minorEastAsia"/>
                <w:b/>
                <w:color w:val="auto"/>
                <w:sz w:val="24"/>
                <w:highlight w:val="none"/>
              </w:rPr>
            </w:pPr>
          </w:p>
        </w:tc>
        <w:tc>
          <w:tcPr>
            <w:tcW w:w="1260" w:type="dxa"/>
            <w:vAlign w:val="center"/>
          </w:tcPr>
          <w:p w14:paraId="57754383">
            <w:pPr>
              <w:spacing w:line="360" w:lineRule="auto"/>
              <w:jc w:val="center"/>
              <w:rPr>
                <w:rFonts w:cs="宋体" w:asciiTheme="minorEastAsia" w:hAnsiTheme="minorEastAsia"/>
                <w:b/>
                <w:color w:val="auto"/>
                <w:sz w:val="24"/>
                <w:highlight w:val="none"/>
              </w:rPr>
            </w:pPr>
          </w:p>
        </w:tc>
        <w:tc>
          <w:tcPr>
            <w:tcW w:w="1440" w:type="dxa"/>
            <w:vAlign w:val="center"/>
          </w:tcPr>
          <w:p w14:paraId="0A6E5FE0">
            <w:pPr>
              <w:spacing w:line="360" w:lineRule="auto"/>
              <w:jc w:val="center"/>
              <w:rPr>
                <w:rFonts w:cs="宋体" w:asciiTheme="minorEastAsia" w:hAnsiTheme="minorEastAsia"/>
                <w:b/>
                <w:color w:val="auto"/>
                <w:sz w:val="24"/>
                <w:highlight w:val="none"/>
              </w:rPr>
            </w:pPr>
          </w:p>
        </w:tc>
        <w:tc>
          <w:tcPr>
            <w:tcW w:w="1080" w:type="dxa"/>
            <w:vAlign w:val="center"/>
          </w:tcPr>
          <w:p w14:paraId="6431C56E">
            <w:pPr>
              <w:spacing w:line="360" w:lineRule="auto"/>
              <w:jc w:val="center"/>
              <w:rPr>
                <w:rFonts w:cs="宋体" w:asciiTheme="minorEastAsia" w:hAnsiTheme="minorEastAsia"/>
                <w:b/>
                <w:color w:val="auto"/>
                <w:sz w:val="24"/>
                <w:highlight w:val="none"/>
              </w:rPr>
            </w:pPr>
          </w:p>
        </w:tc>
        <w:tc>
          <w:tcPr>
            <w:tcW w:w="1800" w:type="dxa"/>
            <w:vAlign w:val="center"/>
          </w:tcPr>
          <w:p w14:paraId="2D311079">
            <w:pPr>
              <w:spacing w:line="360" w:lineRule="auto"/>
              <w:jc w:val="center"/>
              <w:rPr>
                <w:rFonts w:cs="宋体" w:asciiTheme="minorEastAsia" w:hAnsiTheme="minorEastAsia"/>
                <w:b/>
                <w:color w:val="auto"/>
                <w:sz w:val="24"/>
                <w:highlight w:val="none"/>
              </w:rPr>
            </w:pPr>
          </w:p>
        </w:tc>
        <w:tc>
          <w:tcPr>
            <w:tcW w:w="1091" w:type="dxa"/>
            <w:vAlign w:val="center"/>
          </w:tcPr>
          <w:p w14:paraId="04FA40E7">
            <w:pPr>
              <w:spacing w:line="360" w:lineRule="auto"/>
              <w:jc w:val="center"/>
              <w:rPr>
                <w:rFonts w:cs="宋体" w:asciiTheme="minorEastAsia" w:hAnsiTheme="minorEastAsia"/>
                <w:b/>
                <w:color w:val="auto"/>
                <w:sz w:val="24"/>
                <w:highlight w:val="none"/>
              </w:rPr>
            </w:pPr>
          </w:p>
        </w:tc>
      </w:tr>
      <w:tr w14:paraId="2EE5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08" w:type="dxa"/>
            <w:vAlign w:val="center"/>
          </w:tcPr>
          <w:p w14:paraId="554C17E3">
            <w:pPr>
              <w:spacing w:line="360" w:lineRule="auto"/>
              <w:jc w:val="center"/>
              <w:rPr>
                <w:rFonts w:cs="宋体" w:asciiTheme="minorEastAsia" w:hAnsiTheme="minorEastAsia"/>
                <w:b/>
                <w:color w:val="auto"/>
                <w:sz w:val="24"/>
                <w:highlight w:val="none"/>
              </w:rPr>
            </w:pPr>
          </w:p>
        </w:tc>
        <w:tc>
          <w:tcPr>
            <w:tcW w:w="1620" w:type="dxa"/>
            <w:vAlign w:val="center"/>
          </w:tcPr>
          <w:p w14:paraId="436F2021">
            <w:pPr>
              <w:spacing w:line="360" w:lineRule="auto"/>
              <w:jc w:val="center"/>
              <w:rPr>
                <w:rFonts w:cs="宋体" w:asciiTheme="minorEastAsia" w:hAnsiTheme="minorEastAsia"/>
                <w:b/>
                <w:color w:val="auto"/>
                <w:sz w:val="24"/>
                <w:highlight w:val="none"/>
              </w:rPr>
            </w:pPr>
          </w:p>
        </w:tc>
        <w:tc>
          <w:tcPr>
            <w:tcW w:w="1260" w:type="dxa"/>
            <w:vAlign w:val="center"/>
          </w:tcPr>
          <w:p w14:paraId="42AF327D">
            <w:pPr>
              <w:spacing w:line="360" w:lineRule="auto"/>
              <w:jc w:val="center"/>
              <w:rPr>
                <w:rFonts w:cs="宋体" w:asciiTheme="minorEastAsia" w:hAnsiTheme="minorEastAsia"/>
                <w:b/>
                <w:color w:val="auto"/>
                <w:sz w:val="24"/>
                <w:highlight w:val="none"/>
              </w:rPr>
            </w:pPr>
          </w:p>
        </w:tc>
        <w:tc>
          <w:tcPr>
            <w:tcW w:w="1440" w:type="dxa"/>
            <w:vAlign w:val="center"/>
          </w:tcPr>
          <w:p w14:paraId="2988BC6C">
            <w:pPr>
              <w:spacing w:line="360" w:lineRule="auto"/>
              <w:jc w:val="center"/>
              <w:rPr>
                <w:rFonts w:cs="宋体" w:asciiTheme="minorEastAsia" w:hAnsiTheme="minorEastAsia"/>
                <w:b/>
                <w:color w:val="auto"/>
                <w:sz w:val="24"/>
                <w:highlight w:val="none"/>
              </w:rPr>
            </w:pPr>
          </w:p>
        </w:tc>
        <w:tc>
          <w:tcPr>
            <w:tcW w:w="1080" w:type="dxa"/>
            <w:vAlign w:val="center"/>
          </w:tcPr>
          <w:p w14:paraId="6D2C0D32">
            <w:pPr>
              <w:spacing w:line="360" w:lineRule="auto"/>
              <w:jc w:val="center"/>
              <w:rPr>
                <w:rFonts w:cs="宋体" w:asciiTheme="minorEastAsia" w:hAnsiTheme="minorEastAsia"/>
                <w:b/>
                <w:color w:val="auto"/>
                <w:sz w:val="24"/>
                <w:highlight w:val="none"/>
              </w:rPr>
            </w:pPr>
          </w:p>
        </w:tc>
        <w:tc>
          <w:tcPr>
            <w:tcW w:w="1800" w:type="dxa"/>
            <w:vAlign w:val="center"/>
          </w:tcPr>
          <w:p w14:paraId="657DB5CE">
            <w:pPr>
              <w:spacing w:line="360" w:lineRule="auto"/>
              <w:jc w:val="center"/>
              <w:rPr>
                <w:rFonts w:cs="宋体" w:asciiTheme="minorEastAsia" w:hAnsiTheme="minorEastAsia"/>
                <w:b/>
                <w:color w:val="auto"/>
                <w:sz w:val="24"/>
                <w:highlight w:val="none"/>
              </w:rPr>
            </w:pPr>
          </w:p>
        </w:tc>
        <w:tc>
          <w:tcPr>
            <w:tcW w:w="1091" w:type="dxa"/>
            <w:vAlign w:val="center"/>
          </w:tcPr>
          <w:p w14:paraId="3E1E818D">
            <w:pPr>
              <w:spacing w:line="360" w:lineRule="auto"/>
              <w:jc w:val="center"/>
              <w:rPr>
                <w:rFonts w:cs="宋体" w:asciiTheme="minorEastAsia" w:hAnsiTheme="minorEastAsia"/>
                <w:b/>
                <w:color w:val="auto"/>
                <w:sz w:val="24"/>
                <w:highlight w:val="none"/>
              </w:rPr>
            </w:pPr>
          </w:p>
        </w:tc>
      </w:tr>
      <w:tr w14:paraId="7500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trPr>
        <w:tc>
          <w:tcPr>
            <w:tcW w:w="9299" w:type="dxa"/>
            <w:gridSpan w:val="7"/>
            <w:vAlign w:val="center"/>
          </w:tcPr>
          <w:p w14:paraId="36A55D09">
            <w:pPr>
              <w:spacing w:line="360" w:lineRule="auto"/>
              <w:rPr>
                <w:rFonts w:cs="宋体" w:asciiTheme="minorEastAsia" w:hAnsiTheme="minorEastAsia"/>
                <w:b/>
                <w:color w:val="auto"/>
                <w:sz w:val="24"/>
                <w:highlight w:val="none"/>
              </w:rPr>
            </w:pPr>
            <w:r>
              <w:rPr>
                <w:rFonts w:hint="eastAsia" w:cs="宋体" w:asciiTheme="minorEastAsia" w:hAnsiTheme="minorEastAsia"/>
                <w:b/>
                <w:color w:val="auto"/>
                <w:sz w:val="24"/>
                <w:highlight w:val="none"/>
              </w:rPr>
              <w:t xml:space="preserve">    一旦我方成交，将实行项目经理负责制，并配备上述项目管理机构。我方保证上述填报内容真实，若不真实，愿按有关规定接受处理。项目管理班子机构设置、职责分工等情况另附资料说明。</w:t>
            </w:r>
          </w:p>
        </w:tc>
      </w:tr>
    </w:tbl>
    <w:p w14:paraId="23E4E6D1">
      <w:pPr>
        <w:spacing w:line="360" w:lineRule="auto"/>
        <w:ind w:firstLine="241" w:firstLineChars="100"/>
        <w:jc w:val="center"/>
        <w:rPr>
          <w:rFonts w:asciiTheme="minorEastAsia" w:hAnsiTheme="minorEastAsia" w:cstheme="minorEastAsia"/>
          <w:b/>
          <w:color w:val="auto"/>
          <w:kern w:val="0"/>
          <w:sz w:val="24"/>
          <w:szCs w:val="24"/>
          <w:highlight w:val="none"/>
        </w:rPr>
      </w:pPr>
    </w:p>
    <w:p w14:paraId="44CD68D9">
      <w:pPr>
        <w:pStyle w:val="35"/>
        <w:spacing w:before="0" w:after="0"/>
        <w:rPr>
          <w:rFonts w:asciiTheme="minorEastAsia" w:hAnsiTheme="minorEastAsia" w:cstheme="minorEastAsia"/>
          <w:b/>
          <w:color w:val="auto"/>
          <w:spacing w:val="0"/>
          <w:szCs w:val="24"/>
          <w:highlight w:val="none"/>
        </w:rPr>
      </w:pPr>
    </w:p>
    <w:p w14:paraId="18CEF6EC">
      <w:pPr>
        <w:pStyle w:val="35"/>
        <w:spacing w:before="0" w:after="0"/>
        <w:rPr>
          <w:rFonts w:asciiTheme="minorEastAsia" w:hAnsiTheme="minorEastAsia" w:cstheme="minorEastAsia"/>
          <w:b/>
          <w:color w:val="auto"/>
          <w:spacing w:val="0"/>
          <w:szCs w:val="24"/>
          <w:highlight w:val="none"/>
        </w:rPr>
      </w:pPr>
    </w:p>
    <w:p w14:paraId="4C9C64CD">
      <w:pPr>
        <w:pStyle w:val="35"/>
        <w:spacing w:before="0" w:after="0"/>
        <w:rPr>
          <w:rFonts w:asciiTheme="minorEastAsia" w:hAnsiTheme="minorEastAsia" w:cstheme="minorEastAsia"/>
          <w:b/>
          <w:color w:val="auto"/>
          <w:spacing w:val="0"/>
          <w:szCs w:val="24"/>
          <w:highlight w:val="none"/>
        </w:rPr>
      </w:pPr>
    </w:p>
    <w:p w14:paraId="5B91753B">
      <w:pPr>
        <w:spacing w:line="360" w:lineRule="auto"/>
        <w:ind w:firstLine="281" w:firstLineChars="100"/>
        <w:jc w:val="center"/>
        <w:rPr>
          <w:rFonts w:cs="宋体" w:asciiTheme="minorEastAsia" w:hAnsiTheme="minorEastAsia"/>
          <w:b/>
          <w:color w:val="auto"/>
          <w:kern w:val="0"/>
          <w:sz w:val="28"/>
          <w:highlight w:val="none"/>
        </w:rPr>
      </w:pPr>
      <w:r>
        <w:rPr>
          <w:rFonts w:hint="eastAsia" w:cs="宋体" w:asciiTheme="minorEastAsia" w:hAnsiTheme="minorEastAsia"/>
          <w:b/>
          <w:color w:val="auto"/>
          <w:kern w:val="0"/>
          <w:sz w:val="28"/>
          <w:highlight w:val="none"/>
        </w:rPr>
        <w:t>2. 项目经理简历表</w:t>
      </w:r>
    </w:p>
    <w:p w14:paraId="6EF6D30B">
      <w:pPr>
        <w:spacing w:line="360" w:lineRule="auto"/>
        <w:rPr>
          <w:rFonts w:cs="宋体" w:asciiTheme="minorEastAsia" w:hAnsiTheme="minorEastAsia"/>
          <w:color w:val="auto"/>
          <w:sz w:val="24"/>
          <w:highlight w:val="none"/>
          <w:u w:val="single"/>
        </w:rPr>
      </w:pPr>
    </w:p>
    <w:p w14:paraId="1FB5DE2C">
      <w:pPr>
        <w:spacing w:line="360" w:lineRule="auto"/>
        <w:rPr>
          <w:rFonts w:cs="宋体" w:asciiTheme="minorEastAsia" w:hAnsiTheme="minorEastAsia"/>
          <w:b/>
          <w:color w:val="auto"/>
          <w:kern w:val="0"/>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kern w:val="0"/>
          <w:sz w:val="24"/>
          <w:highlight w:val="none"/>
        </w:rPr>
        <w:t xml:space="preserve"> 表7.7 </w:t>
      </w:r>
    </w:p>
    <w:tbl>
      <w:tblPr>
        <w:tblStyle w:val="27"/>
        <w:tblW w:w="9180" w:type="dxa"/>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080"/>
        <w:gridCol w:w="180"/>
        <w:gridCol w:w="1440"/>
        <w:gridCol w:w="360"/>
        <w:gridCol w:w="1080"/>
        <w:gridCol w:w="900"/>
        <w:gridCol w:w="180"/>
        <w:gridCol w:w="900"/>
        <w:gridCol w:w="1080"/>
        <w:gridCol w:w="360"/>
        <w:gridCol w:w="1620"/>
      </w:tblGrid>
      <w:tr w14:paraId="14107568">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76946C66">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姓名</w:t>
            </w:r>
          </w:p>
        </w:tc>
        <w:tc>
          <w:tcPr>
            <w:tcW w:w="1980" w:type="dxa"/>
            <w:gridSpan w:val="3"/>
            <w:tcBorders>
              <w:bottom w:val="single" w:color="000000" w:sz="4" w:space="0"/>
              <w:right w:val="single" w:color="000000" w:sz="4" w:space="0"/>
            </w:tcBorders>
          </w:tcPr>
          <w:p w14:paraId="6CF873BE">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012B0B8F">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性别</w:t>
            </w:r>
          </w:p>
        </w:tc>
        <w:tc>
          <w:tcPr>
            <w:tcW w:w="1980" w:type="dxa"/>
            <w:gridSpan w:val="3"/>
            <w:tcBorders>
              <w:bottom w:val="single" w:color="000000" w:sz="4" w:space="0"/>
              <w:right w:val="single" w:color="000000" w:sz="4" w:space="0"/>
            </w:tcBorders>
          </w:tcPr>
          <w:p w14:paraId="48EB11CC">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5AB65F4D">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年龄</w:t>
            </w:r>
          </w:p>
        </w:tc>
        <w:tc>
          <w:tcPr>
            <w:tcW w:w="1980" w:type="dxa"/>
            <w:gridSpan w:val="2"/>
            <w:tcBorders>
              <w:left w:val="single" w:color="auto" w:sz="4" w:space="0"/>
              <w:bottom w:val="single" w:color="000000" w:sz="4" w:space="0"/>
              <w:right w:val="single" w:color="000000" w:sz="4" w:space="0"/>
            </w:tcBorders>
          </w:tcPr>
          <w:p w14:paraId="2ABE8D4C">
            <w:pPr>
              <w:spacing w:line="360" w:lineRule="auto"/>
              <w:rPr>
                <w:rFonts w:cs="宋体" w:asciiTheme="minorEastAsia" w:hAnsiTheme="minorEastAsia"/>
                <w:color w:val="auto"/>
                <w:kern w:val="0"/>
                <w:sz w:val="24"/>
                <w:highlight w:val="none"/>
              </w:rPr>
            </w:pPr>
          </w:p>
        </w:tc>
      </w:tr>
      <w:tr w14:paraId="4E7334B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51E7DCD3">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职务</w:t>
            </w:r>
          </w:p>
        </w:tc>
        <w:tc>
          <w:tcPr>
            <w:tcW w:w="1980" w:type="dxa"/>
            <w:gridSpan w:val="3"/>
            <w:tcBorders>
              <w:bottom w:val="single" w:color="000000" w:sz="4" w:space="0"/>
              <w:right w:val="single" w:color="000000" w:sz="4" w:space="0"/>
            </w:tcBorders>
          </w:tcPr>
          <w:p w14:paraId="0A9CA426">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0257F030">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职称</w:t>
            </w:r>
          </w:p>
        </w:tc>
        <w:tc>
          <w:tcPr>
            <w:tcW w:w="1980" w:type="dxa"/>
            <w:gridSpan w:val="3"/>
            <w:tcBorders>
              <w:bottom w:val="single" w:color="000000" w:sz="4" w:space="0"/>
              <w:right w:val="single" w:color="000000" w:sz="4" w:space="0"/>
            </w:tcBorders>
          </w:tcPr>
          <w:p w14:paraId="4023B28C">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1357BAA1">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学历</w:t>
            </w:r>
          </w:p>
        </w:tc>
        <w:tc>
          <w:tcPr>
            <w:tcW w:w="1980" w:type="dxa"/>
            <w:gridSpan w:val="2"/>
            <w:tcBorders>
              <w:left w:val="single" w:color="auto" w:sz="4" w:space="0"/>
              <w:bottom w:val="single" w:color="000000" w:sz="4" w:space="0"/>
              <w:right w:val="single" w:color="000000" w:sz="4" w:space="0"/>
            </w:tcBorders>
          </w:tcPr>
          <w:p w14:paraId="63BAA65F">
            <w:pPr>
              <w:spacing w:line="360" w:lineRule="auto"/>
              <w:rPr>
                <w:rFonts w:cs="宋体" w:asciiTheme="minorEastAsia" w:hAnsiTheme="minorEastAsia"/>
                <w:color w:val="auto"/>
                <w:kern w:val="0"/>
                <w:sz w:val="24"/>
                <w:highlight w:val="none"/>
              </w:rPr>
            </w:pPr>
          </w:p>
        </w:tc>
      </w:tr>
      <w:tr w14:paraId="0177787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700" w:type="dxa"/>
            <w:gridSpan w:val="3"/>
            <w:tcBorders>
              <w:bottom w:val="single" w:color="000000" w:sz="4" w:space="0"/>
              <w:right w:val="single" w:color="auto" w:sz="4" w:space="0"/>
            </w:tcBorders>
            <w:vAlign w:val="center"/>
          </w:tcPr>
          <w:p w14:paraId="47F1884B">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参加工作时间</w:t>
            </w:r>
          </w:p>
        </w:tc>
        <w:tc>
          <w:tcPr>
            <w:tcW w:w="2520" w:type="dxa"/>
            <w:gridSpan w:val="4"/>
            <w:tcBorders>
              <w:left w:val="single" w:color="auto" w:sz="4" w:space="0"/>
              <w:bottom w:val="single" w:color="000000" w:sz="4" w:space="0"/>
              <w:right w:val="single" w:color="000000" w:sz="4" w:space="0"/>
            </w:tcBorders>
          </w:tcPr>
          <w:p w14:paraId="576F61B1">
            <w:pPr>
              <w:spacing w:line="360" w:lineRule="auto"/>
              <w:rPr>
                <w:rFonts w:cs="宋体" w:asciiTheme="minorEastAsia" w:hAnsiTheme="minorEastAsia"/>
                <w:color w:val="auto"/>
                <w:kern w:val="0"/>
                <w:sz w:val="24"/>
                <w:highlight w:val="none"/>
              </w:rPr>
            </w:pPr>
          </w:p>
        </w:tc>
        <w:tc>
          <w:tcPr>
            <w:tcW w:w="2340" w:type="dxa"/>
            <w:gridSpan w:val="3"/>
            <w:tcBorders>
              <w:left w:val="single" w:color="auto" w:sz="4" w:space="0"/>
              <w:bottom w:val="single" w:color="000000" w:sz="4" w:space="0"/>
              <w:right w:val="single" w:color="000000" w:sz="4" w:space="0"/>
            </w:tcBorders>
            <w:vAlign w:val="center"/>
          </w:tcPr>
          <w:p w14:paraId="00A4F828">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担任项目经理年限</w:t>
            </w:r>
          </w:p>
        </w:tc>
        <w:tc>
          <w:tcPr>
            <w:tcW w:w="1620" w:type="dxa"/>
            <w:tcBorders>
              <w:left w:val="single" w:color="auto" w:sz="4" w:space="0"/>
              <w:bottom w:val="single" w:color="auto" w:sz="4" w:space="0"/>
              <w:right w:val="single" w:color="000000" w:sz="4" w:space="0"/>
            </w:tcBorders>
          </w:tcPr>
          <w:p w14:paraId="64361392">
            <w:pPr>
              <w:spacing w:line="360" w:lineRule="auto"/>
              <w:rPr>
                <w:rFonts w:cs="宋体" w:asciiTheme="minorEastAsia" w:hAnsiTheme="minorEastAsia"/>
                <w:color w:val="auto"/>
                <w:kern w:val="0"/>
                <w:sz w:val="24"/>
                <w:highlight w:val="none"/>
              </w:rPr>
            </w:pPr>
          </w:p>
        </w:tc>
      </w:tr>
      <w:tr w14:paraId="2AB5F2B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2700" w:type="dxa"/>
            <w:gridSpan w:val="3"/>
            <w:tcBorders>
              <w:bottom w:val="single" w:color="000000" w:sz="4" w:space="0"/>
              <w:right w:val="single" w:color="auto" w:sz="4" w:space="0"/>
            </w:tcBorders>
            <w:vAlign w:val="center"/>
          </w:tcPr>
          <w:p w14:paraId="1CB06401">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项目经理资格证书编号</w:t>
            </w:r>
          </w:p>
        </w:tc>
        <w:tc>
          <w:tcPr>
            <w:tcW w:w="6480" w:type="dxa"/>
            <w:gridSpan w:val="8"/>
            <w:tcBorders>
              <w:left w:val="single" w:color="auto" w:sz="4" w:space="0"/>
              <w:bottom w:val="single" w:color="000000" w:sz="4" w:space="0"/>
              <w:right w:val="single" w:color="000000" w:sz="4" w:space="0"/>
            </w:tcBorders>
          </w:tcPr>
          <w:p w14:paraId="762DF779">
            <w:pPr>
              <w:spacing w:line="360" w:lineRule="auto"/>
              <w:rPr>
                <w:rFonts w:cs="宋体" w:asciiTheme="minorEastAsia" w:hAnsiTheme="minorEastAsia"/>
                <w:color w:val="auto"/>
                <w:kern w:val="0"/>
                <w:sz w:val="24"/>
                <w:highlight w:val="none"/>
              </w:rPr>
            </w:pPr>
          </w:p>
        </w:tc>
      </w:tr>
      <w:tr w14:paraId="2DE97BD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180" w:type="dxa"/>
            <w:gridSpan w:val="11"/>
            <w:tcBorders>
              <w:bottom w:val="single" w:color="000000" w:sz="4" w:space="0"/>
              <w:right w:val="single" w:color="000000" w:sz="4" w:space="0"/>
            </w:tcBorders>
            <w:vAlign w:val="center"/>
          </w:tcPr>
          <w:p w14:paraId="5BFEF609">
            <w:pPr>
              <w:spacing w:line="360" w:lineRule="auto"/>
              <w:jc w:val="center"/>
              <w:rPr>
                <w:rFonts w:cs="宋体" w:asciiTheme="minorEastAsia" w:hAnsiTheme="minorEastAsia"/>
                <w:b/>
                <w:color w:val="auto"/>
                <w:kern w:val="0"/>
                <w:sz w:val="24"/>
                <w:highlight w:val="none"/>
              </w:rPr>
            </w:pPr>
            <w:r>
              <w:rPr>
                <w:rFonts w:hint="eastAsia" w:cs="宋体" w:asciiTheme="minorEastAsia" w:hAnsiTheme="minorEastAsia"/>
                <w:b/>
                <w:color w:val="auto"/>
                <w:kern w:val="0"/>
                <w:sz w:val="24"/>
                <w:highlight w:val="none"/>
              </w:rPr>
              <w:t>已完成工程项目情况</w:t>
            </w:r>
          </w:p>
        </w:tc>
      </w:tr>
      <w:tr w14:paraId="77F8F74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vAlign w:val="center"/>
          </w:tcPr>
          <w:p w14:paraId="6155A94F">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建设单位</w:t>
            </w:r>
          </w:p>
        </w:tc>
        <w:tc>
          <w:tcPr>
            <w:tcW w:w="1800" w:type="dxa"/>
            <w:gridSpan w:val="2"/>
            <w:tcBorders>
              <w:bottom w:val="single" w:color="000000" w:sz="4" w:space="0"/>
              <w:right w:val="single" w:color="000000" w:sz="4" w:space="0"/>
            </w:tcBorders>
            <w:vAlign w:val="center"/>
          </w:tcPr>
          <w:p w14:paraId="3992C745">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项目名称</w:t>
            </w:r>
          </w:p>
        </w:tc>
        <w:tc>
          <w:tcPr>
            <w:tcW w:w="1980" w:type="dxa"/>
            <w:gridSpan w:val="2"/>
            <w:tcBorders>
              <w:bottom w:val="single" w:color="000000" w:sz="4" w:space="0"/>
              <w:right w:val="single" w:color="000000" w:sz="4" w:space="0"/>
            </w:tcBorders>
            <w:vAlign w:val="center"/>
          </w:tcPr>
          <w:p w14:paraId="14B8E457">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建设规模</w:t>
            </w:r>
          </w:p>
        </w:tc>
        <w:tc>
          <w:tcPr>
            <w:tcW w:w="2160" w:type="dxa"/>
            <w:gridSpan w:val="3"/>
            <w:tcBorders>
              <w:bottom w:val="single" w:color="000000" w:sz="4" w:space="0"/>
              <w:right w:val="single" w:color="auto" w:sz="4" w:space="0"/>
            </w:tcBorders>
            <w:vAlign w:val="center"/>
          </w:tcPr>
          <w:p w14:paraId="21345665">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开、竣工日期</w:t>
            </w:r>
          </w:p>
        </w:tc>
        <w:tc>
          <w:tcPr>
            <w:tcW w:w="1980" w:type="dxa"/>
            <w:gridSpan w:val="2"/>
            <w:tcBorders>
              <w:left w:val="single" w:color="auto" w:sz="4" w:space="0"/>
              <w:bottom w:val="single" w:color="000000" w:sz="4" w:space="0"/>
              <w:right w:val="single" w:color="000000" w:sz="4" w:space="0"/>
            </w:tcBorders>
            <w:vAlign w:val="center"/>
          </w:tcPr>
          <w:p w14:paraId="387CEDC1">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工程质量</w:t>
            </w:r>
          </w:p>
        </w:tc>
      </w:tr>
      <w:tr w14:paraId="0B669A3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6139FF9">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4DAE4412">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7B737765">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79A9C8E1">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6A2C264B">
            <w:pPr>
              <w:spacing w:line="360" w:lineRule="auto"/>
              <w:rPr>
                <w:rFonts w:cs="宋体" w:asciiTheme="minorEastAsia" w:hAnsiTheme="minorEastAsia"/>
                <w:color w:val="auto"/>
                <w:kern w:val="0"/>
                <w:sz w:val="24"/>
                <w:highlight w:val="none"/>
              </w:rPr>
            </w:pPr>
          </w:p>
        </w:tc>
      </w:tr>
      <w:tr w14:paraId="29D47225">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B51F156">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43169223">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56FC10B9">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37D7DB4A">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5BE4E22E">
            <w:pPr>
              <w:spacing w:line="360" w:lineRule="auto"/>
              <w:rPr>
                <w:rFonts w:cs="宋体" w:asciiTheme="minorEastAsia" w:hAnsiTheme="minorEastAsia"/>
                <w:color w:val="auto"/>
                <w:kern w:val="0"/>
                <w:sz w:val="24"/>
                <w:highlight w:val="none"/>
              </w:rPr>
            </w:pPr>
          </w:p>
        </w:tc>
      </w:tr>
      <w:tr w14:paraId="5E60F98E">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3841CB32">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77110D82">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457AA401">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03B2F1C8">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47B0827E">
            <w:pPr>
              <w:spacing w:line="360" w:lineRule="auto"/>
              <w:rPr>
                <w:rFonts w:cs="宋体" w:asciiTheme="minorEastAsia" w:hAnsiTheme="minorEastAsia"/>
                <w:color w:val="auto"/>
                <w:kern w:val="0"/>
                <w:sz w:val="24"/>
                <w:highlight w:val="none"/>
              </w:rPr>
            </w:pPr>
          </w:p>
        </w:tc>
      </w:tr>
      <w:tr w14:paraId="6DA1396C">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1B0580B1">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0C707BC0">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30AAF728">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503A4263">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4E998CD8">
            <w:pPr>
              <w:spacing w:line="360" w:lineRule="auto"/>
              <w:rPr>
                <w:rFonts w:cs="宋体" w:asciiTheme="minorEastAsia" w:hAnsiTheme="minorEastAsia"/>
                <w:color w:val="auto"/>
                <w:kern w:val="0"/>
                <w:sz w:val="24"/>
                <w:highlight w:val="none"/>
              </w:rPr>
            </w:pPr>
          </w:p>
        </w:tc>
      </w:tr>
      <w:tr w14:paraId="6B46FBE9">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335678BF">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4A1D088F">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3CC37EB6">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1F79E947">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77664881">
            <w:pPr>
              <w:spacing w:line="360" w:lineRule="auto"/>
              <w:rPr>
                <w:rFonts w:cs="宋体" w:asciiTheme="minorEastAsia" w:hAnsiTheme="minorEastAsia"/>
                <w:color w:val="auto"/>
                <w:kern w:val="0"/>
                <w:sz w:val="24"/>
                <w:highlight w:val="none"/>
              </w:rPr>
            </w:pPr>
          </w:p>
        </w:tc>
      </w:tr>
      <w:tr w14:paraId="43122A4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7BD21A19">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33AE581D">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484E41E0">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77174671">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7E7DB5B8">
            <w:pPr>
              <w:spacing w:line="360" w:lineRule="auto"/>
              <w:rPr>
                <w:rFonts w:cs="宋体" w:asciiTheme="minorEastAsia" w:hAnsiTheme="minorEastAsia"/>
                <w:color w:val="auto"/>
                <w:kern w:val="0"/>
                <w:sz w:val="24"/>
                <w:highlight w:val="none"/>
              </w:rPr>
            </w:pPr>
          </w:p>
        </w:tc>
      </w:tr>
      <w:tr w14:paraId="442FA95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49F9D561">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7A33C91F">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7C1D8976">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77CCFE00">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4E286268">
            <w:pPr>
              <w:spacing w:line="360" w:lineRule="auto"/>
              <w:rPr>
                <w:rFonts w:cs="宋体" w:asciiTheme="minorEastAsia" w:hAnsiTheme="minorEastAsia"/>
                <w:color w:val="auto"/>
                <w:kern w:val="0"/>
                <w:sz w:val="24"/>
                <w:highlight w:val="none"/>
              </w:rPr>
            </w:pPr>
          </w:p>
        </w:tc>
      </w:tr>
      <w:tr w14:paraId="01778BE3">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453F8A9B">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16CF51DE">
            <w:pPr>
              <w:spacing w:line="360" w:lineRule="auto"/>
              <w:rPr>
                <w:rFonts w:cs="宋体" w:asciiTheme="minorEastAsia" w:hAnsiTheme="minorEastAsia"/>
                <w:color w:val="auto"/>
                <w:kern w:val="0"/>
                <w:sz w:val="24"/>
                <w:highlight w:val="none"/>
              </w:rPr>
            </w:pPr>
          </w:p>
        </w:tc>
        <w:tc>
          <w:tcPr>
            <w:tcW w:w="1980" w:type="dxa"/>
            <w:gridSpan w:val="2"/>
            <w:tcBorders>
              <w:bottom w:val="single" w:color="000000" w:sz="4" w:space="0"/>
              <w:right w:val="single" w:color="000000" w:sz="4" w:space="0"/>
            </w:tcBorders>
          </w:tcPr>
          <w:p w14:paraId="76E0901F">
            <w:pPr>
              <w:spacing w:line="360" w:lineRule="auto"/>
              <w:rPr>
                <w:rFonts w:cs="宋体" w:asciiTheme="minorEastAsia" w:hAnsiTheme="minorEastAsia"/>
                <w:color w:val="auto"/>
                <w:kern w:val="0"/>
                <w:sz w:val="24"/>
                <w:highlight w:val="none"/>
              </w:rPr>
            </w:pPr>
          </w:p>
        </w:tc>
        <w:tc>
          <w:tcPr>
            <w:tcW w:w="2160" w:type="dxa"/>
            <w:gridSpan w:val="3"/>
            <w:tcBorders>
              <w:bottom w:val="single" w:color="000000" w:sz="4" w:space="0"/>
              <w:right w:val="single" w:color="auto" w:sz="4" w:space="0"/>
            </w:tcBorders>
          </w:tcPr>
          <w:p w14:paraId="2015307E">
            <w:pPr>
              <w:spacing w:line="360" w:lineRule="auto"/>
              <w:rPr>
                <w:rFonts w:cs="宋体" w:asciiTheme="minorEastAsia" w:hAnsiTheme="minorEastAsia"/>
                <w:color w:val="auto"/>
                <w:kern w:val="0"/>
                <w:sz w:val="24"/>
                <w:highlight w:val="none"/>
              </w:rPr>
            </w:pPr>
          </w:p>
        </w:tc>
        <w:tc>
          <w:tcPr>
            <w:tcW w:w="1980" w:type="dxa"/>
            <w:gridSpan w:val="2"/>
            <w:tcBorders>
              <w:left w:val="single" w:color="auto" w:sz="4" w:space="0"/>
              <w:bottom w:val="single" w:color="000000" w:sz="4" w:space="0"/>
              <w:right w:val="single" w:color="000000" w:sz="4" w:space="0"/>
            </w:tcBorders>
          </w:tcPr>
          <w:p w14:paraId="0D34D358">
            <w:pPr>
              <w:spacing w:line="360" w:lineRule="auto"/>
              <w:rPr>
                <w:rFonts w:cs="宋体" w:asciiTheme="minorEastAsia" w:hAnsiTheme="minorEastAsia"/>
                <w:color w:val="auto"/>
                <w:kern w:val="0"/>
                <w:sz w:val="24"/>
                <w:highlight w:val="none"/>
              </w:rPr>
            </w:pPr>
          </w:p>
        </w:tc>
      </w:tr>
    </w:tbl>
    <w:p w14:paraId="40414C40">
      <w:pPr>
        <w:adjustRightInd w:val="0"/>
        <w:spacing w:line="360" w:lineRule="auto"/>
        <w:rPr>
          <w:rFonts w:cs="宋体" w:asciiTheme="minorEastAsia" w:hAnsiTheme="minorEastAsia"/>
          <w:color w:val="auto"/>
          <w:kern w:val="0"/>
          <w:sz w:val="24"/>
          <w:highlight w:val="none"/>
        </w:rPr>
      </w:pPr>
    </w:p>
    <w:p w14:paraId="56897F76">
      <w:pPr>
        <w:spacing w:line="360" w:lineRule="auto"/>
        <w:ind w:left="540" w:hanging="540" w:hangingChars="225"/>
        <w:rPr>
          <w:rFonts w:asciiTheme="minorEastAsia" w:hAnsiTheme="minorEastAsia"/>
          <w:color w:val="auto"/>
          <w:highlight w:val="none"/>
        </w:rPr>
        <w:sectPr>
          <w:pgSz w:w="11906" w:h="16838"/>
          <w:pgMar w:top="1134" w:right="1418" w:bottom="1134" w:left="1418" w:header="567" w:footer="680" w:gutter="0"/>
          <w:cols w:space="720" w:num="1"/>
          <w:docGrid w:type="lines" w:linePitch="312" w:charSpace="0"/>
        </w:sectPr>
      </w:pPr>
      <w:r>
        <w:rPr>
          <w:rFonts w:hint="eastAsia" w:cs="宋体" w:asciiTheme="minorEastAsia" w:hAnsiTheme="minorEastAsia"/>
          <w:color w:val="auto"/>
          <w:sz w:val="24"/>
          <w:highlight w:val="none"/>
        </w:rPr>
        <w:t>注:项目经理应提供其清晰可辨的身份证复印件、注册建造师资格证书、职称证书（如有）等资料复印件，必须是供应商公司在册在岗人员。</w:t>
      </w:r>
    </w:p>
    <w:p w14:paraId="1F2F675F">
      <w:pPr>
        <w:spacing w:line="360" w:lineRule="auto"/>
        <w:jc w:val="center"/>
        <w:rPr>
          <w:rFonts w:cs="宋体" w:asciiTheme="minorEastAsia" w:hAnsiTheme="minorEastAsia"/>
          <w:b/>
          <w:color w:val="auto"/>
          <w:kern w:val="0"/>
          <w:sz w:val="28"/>
          <w:highlight w:val="none"/>
        </w:rPr>
      </w:pPr>
      <w:r>
        <w:rPr>
          <w:rFonts w:hint="eastAsia" w:cs="宋体" w:asciiTheme="minorEastAsia" w:hAnsiTheme="minorEastAsia"/>
          <w:b/>
          <w:color w:val="auto"/>
          <w:kern w:val="0"/>
          <w:sz w:val="28"/>
          <w:highlight w:val="none"/>
        </w:rPr>
        <w:t>3. 项目技术负责人简历表</w:t>
      </w:r>
    </w:p>
    <w:p w14:paraId="4708F448">
      <w:pPr>
        <w:spacing w:line="360" w:lineRule="auto"/>
        <w:rPr>
          <w:rFonts w:cs="宋体" w:asciiTheme="minorEastAsia" w:hAnsiTheme="minorEastAsia"/>
          <w:b/>
          <w:color w:val="auto"/>
          <w:kern w:val="0"/>
          <w:sz w:val="24"/>
          <w:highlight w:val="none"/>
        </w:rPr>
      </w:pPr>
      <w:r>
        <w:rPr>
          <w:rFonts w:hint="eastAsia" w:cs="宋体" w:asciiTheme="minorEastAsia" w:hAnsiTheme="minorEastAsia"/>
          <w:b/>
          <w:color w:val="auto"/>
          <w:kern w:val="0"/>
          <w:sz w:val="24"/>
          <w:highlight w:val="none"/>
        </w:rPr>
        <w:t xml:space="preserve"> </w:t>
      </w:r>
    </w:p>
    <w:p w14:paraId="77B14D3A">
      <w:pPr>
        <w:spacing w:line="360" w:lineRule="auto"/>
        <w:rPr>
          <w:rFonts w:cs="宋体" w:asciiTheme="minorEastAsia" w:hAnsiTheme="minorEastAsia"/>
          <w:b/>
          <w:color w:val="auto"/>
          <w:kern w:val="0"/>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kern w:val="0"/>
          <w:sz w:val="24"/>
          <w:highlight w:val="none"/>
        </w:rPr>
        <w:t xml:space="preserve">表7.8  </w:t>
      </w:r>
    </w:p>
    <w:tbl>
      <w:tblPr>
        <w:tblStyle w:val="27"/>
        <w:tblW w:w="9180" w:type="dxa"/>
        <w:tblInd w:w="108" w:type="dxa"/>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Layout w:type="fixed"/>
        <w:tblCellMar>
          <w:top w:w="0" w:type="dxa"/>
          <w:left w:w="108" w:type="dxa"/>
          <w:bottom w:w="0" w:type="dxa"/>
          <w:right w:w="108" w:type="dxa"/>
        </w:tblCellMar>
      </w:tblPr>
      <w:tblGrid>
        <w:gridCol w:w="1080"/>
        <w:gridCol w:w="180"/>
        <w:gridCol w:w="720"/>
        <w:gridCol w:w="1080"/>
        <w:gridCol w:w="1080"/>
        <w:gridCol w:w="360"/>
        <w:gridCol w:w="90"/>
        <w:gridCol w:w="1530"/>
        <w:gridCol w:w="1080"/>
        <w:gridCol w:w="450"/>
        <w:gridCol w:w="1530"/>
      </w:tblGrid>
      <w:tr w14:paraId="02634582">
        <w:tblPrEx>
          <w:tblBorders>
            <w:top w:val="single" w:color="000000" w:sz="8"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364AB84E">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姓名</w:t>
            </w:r>
          </w:p>
        </w:tc>
        <w:tc>
          <w:tcPr>
            <w:tcW w:w="1980" w:type="dxa"/>
            <w:gridSpan w:val="3"/>
            <w:tcBorders>
              <w:bottom w:val="single" w:color="000000" w:sz="4" w:space="0"/>
              <w:right w:val="single" w:color="000000" w:sz="4" w:space="0"/>
            </w:tcBorders>
          </w:tcPr>
          <w:p w14:paraId="6AD49BFC">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4CDB1165">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性别</w:t>
            </w:r>
          </w:p>
        </w:tc>
        <w:tc>
          <w:tcPr>
            <w:tcW w:w="1980" w:type="dxa"/>
            <w:gridSpan w:val="3"/>
            <w:tcBorders>
              <w:bottom w:val="single" w:color="000000" w:sz="4" w:space="0"/>
              <w:right w:val="single" w:color="000000" w:sz="4" w:space="0"/>
            </w:tcBorders>
          </w:tcPr>
          <w:p w14:paraId="1F3C0CD9">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68DAC61C">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年龄</w:t>
            </w:r>
          </w:p>
        </w:tc>
        <w:tc>
          <w:tcPr>
            <w:tcW w:w="1980" w:type="dxa"/>
            <w:gridSpan w:val="2"/>
            <w:tcBorders>
              <w:left w:val="single" w:color="auto" w:sz="4" w:space="0"/>
              <w:bottom w:val="single" w:color="000000" w:sz="4" w:space="0"/>
              <w:right w:val="single" w:color="000000" w:sz="4" w:space="0"/>
            </w:tcBorders>
          </w:tcPr>
          <w:p w14:paraId="67CB0AE1">
            <w:pPr>
              <w:spacing w:line="360" w:lineRule="auto"/>
              <w:rPr>
                <w:rFonts w:cs="宋体" w:asciiTheme="minorEastAsia" w:hAnsiTheme="minorEastAsia"/>
                <w:color w:val="auto"/>
                <w:kern w:val="0"/>
                <w:sz w:val="24"/>
                <w:highlight w:val="none"/>
              </w:rPr>
            </w:pPr>
          </w:p>
        </w:tc>
      </w:tr>
      <w:tr w14:paraId="2F3D8A4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080" w:type="dxa"/>
            <w:tcBorders>
              <w:bottom w:val="single" w:color="000000" w:sz="4" w:space="0"/>
              <w:right w:val="single" w:color="000000" w:sz="4" w:space="0"/>
            </w:tcBorders>
            <w:vAlign w:val="center"/>
          </w:tcPr>
          <w:p w14:paraId="627B767A">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职务</w:t>
            </w:r>
          </w:p>
        </w:tc>
        <w:tc>
          <w:tcPr>
            <w:tcW w:w="1980" w:type="dxa"/>
            <w:gridSpan w:val="3"/>
            <w:tcBorders>
              <w:bottom w:val="single" w:color="000000" w:sz="4" w:space="0"/>
              <w:right w:val="single" w:color="000000" w:sz="4" w:space="0"/>
            </w:tcBorders>
          </w:tcPr>
          <w:p w14:paraId="454BE645">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000000" w:sz="4" w:space="0"/>
            </w:tcBorders>
            <w:vAlign w:val="center"/>
          </w:tcPr>
          <w:p w14:paraId="2B601253">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职称</w:t>
            </w:r>
          </w:p>
        </w:tc>
        <w:tc>
          <w:tcPr>
            <w:tcW w:w="1980" w:type="dxa"/>
            <w:gridSpan w:val="3"/>
            <w:tcBorders>
              <w:bottom w:val="single" w:color="000000" w:sz="4" w:space="0"/>
              <w:right w:val="single" w:color="000000" w:sz="4" w:space="0"/>
            </w:tcBorders>
          </w:tcPr>
          <w:p w14:paraId="595B98A8">
            <w:pPr>
              <w:spacing w:line="360" w:lineRule="auto"/>
              <w:rPr>
                <w:rFonts w:cs="宋体" w:asciiTheme="minorEastAsia" w:hAnsiTheme="minorEastAsia"/>
                <w:color w:val="auto"/>
                <w:kern w:val="0"/>
                <w:sz w:val="24"/>
                <w:highlight w:val="none"/>
              </w:rPr>
            </w:pPr>
          </w:p>
        </w:tc>
        <w:tc>
          <w:tcPr>
            <w:tcW w:w="1080" w:type="dxa"/>
            <w:tcBorders>
              <w:bottom w:val="single" w:color="000000" w:sz="4" w:space="0"/>
              <w:right w:val="single" w:color="auto" w:sz="4" w:space="0"/>
            </w:tcBorders>
            <w:vAlign w:val="center"/>
          </w:tcPr>
          <w:p w14:paraId="4D4357C4">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学历</w:t>
            </w:r>
          </w:p>
        </w:tc>
        <w:tc>
          <w:tcPr>
            <w:tcW w:w="1980" w:type="dxa"/>
            <w:gridSpan w:val="2"/>
            <w:tcBorders>
              <w:left w:val="single" w:color="auto" w:sz="4" w:space="0"/>
              <w:bottom w:val="single" w:color="000000" w:sz="4" w:space="0"/>
              <w:right w:val="single" w:color="000000" w:sz="4" w:space="0"/>
            </w:tcBorders>
          </w:tcPr>
          <w:p w14:paraId="76F8127C">
            <w:pPr>
              <w:spacing w:line="360" w:lineRule="auto"/>
              <w:rPr>
                <w:rFonts w:cs="宋体" w:asciiTheme="minorEastAsia" w:hAnsiTheme="minorEastAsia"/>
                <w:color w:val="auto"/>
                <w:kern w:val="0"/>
                <w:sz w:val="24"/>
                <w:highlight w:val="none"/>
              </w:rPr>
            </w:pPr>
          </w:p>
        </w:tc>
      </w:tr>
      <w:tr w14:paraId="01228258">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980" w:type="dxa"/>
            <w:gridSpan w:val="3"/>
            <w:tcBorders>
              <w:bottom w:val="single" w:color="000000" w:sz="4" w:space="0"/>
              <w:right w:val="single" w:color="auto" w:sz="4" w:space="0"/>
            </w:tcBorders>
            <w:vAlign w:val="center"/>
          </w:tcPr>
          <w:p w14:paraId="34C0F1C6">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参加工作时间</w:t>
            </w:r>
          </w:p>
        </w:tc>
        <w:tc>
          <w:tcPr>
            <w:tcW w:w="2520" w:type="dxa"/>
            <w:gridSpan w:val="3"/>
            <w:tcBorders>
              <w:left w:val="single" w:color="auto" w:sz="4" w:space="0"/>
              <w:bottom w:val="single" w:color="000000" w:sz="4" w:space="0"/>
              <w:right w:val="single" w:color="000000" w:sz="4" w:space="0"/>
            </w:tcBorders>
          </w:tcPr>
          <w:p w14:paraId="3716F282">
            <w:pPr>
              <w:spacing w:line="360" w:lineRule="auto"/>
              <w:rPr>
                <w:rFonts w:cs="宋体" w:asciiTheme="minorEastAsia" w:hAnsiTheme="minorEastAsia"/>
                <w:color w:val="auto"/>
                <w:kern w:val="0"/>
                <w:sz w:val="24"/>
                <w:highlight w:val="none"/>
              </w:rPr>
            </w:pPr>
          </w:p>
        </w:tc>
        <w:tc>
          <w:tcPr>
            <w:tcW w:w="2700" w:type="dxa"/>
            <w:gridSpan w:val="3"/>
            <w:tcBorders>
              <w:left w:val="single" w:color="auto" w:sz="4" w:space="0"/>
              <w:bottom w:val="single" w:color="000000" w:sz="4" w:space="0"/>
              <w:right w:val="single" w:color="000000" w:sz="4" w:space="0"/>
            </w:tcBorders>
            <w:vAlign w:val="center"/>
          </w:tcPr>
          <w:p w14:paraId="3125439D">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担任技术负责人年限</w:t>
            </w:r>
          </w:p>
        </w:tc>
        <w:tc>
          <w:tcPr>
            <w:tcW w:w="1980" w:type="dxa"/>
            <w:gridSpan w:val="2"/>
            <w:tcBorders>
              <w:left w:val="single" w:color="auto" w:sz="4" w:space="0"/>
              <w:bottom w:val="single" w:color="auto" w:sz="4" w:space="0"/>
              <w:right w:val="single" w:color="000000" w:sz="4" w:space="0"/>
            </w:tcBorders>
          </w:tcPr>
          <w:p w14:paraId="7C378B13">
            <w:pPr>
              <w:spacing w:line="360" w:lineRule="auto"/>
              <w:rPr>
                <w:rFonts w:cs="宋体" w:asciiTheme="minorEastAsia" w:hAnsiTheme="minorEastAsia"/>
                <w:color w:val="auto"/>
                <w:kern w:val="0"/>
                <w:sz w:val="24"/>
                <w:highlight w:val="none"/>
              </w:rPr>
            </w:pPr>
          </w:p>
        </w:tc>
      </w:tr>
      <w:tr w14:paraId="4ECF514D">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9180" w:type="dxa"/>
            <w:gridSpan w:val="11"/>
            <w:tcBorders>
              <w:bottom w:val="single" w:color="000000" w:sz="4" w:space="0"/>
              <w:right w:val="single" w:color="000000" w:sz="4" w:space="0"/>
            </w:tcBorders>
            <w:vAlign w:val="center"/>
          </w:tcPr>
          <w:p w14:paraId="00C56974">
            <w:pPr>
              <w:spacing w:line="360" w:lineRule="auto"/>
              <w:jc w:val="center"/>
              <w:rPr>
                <w:rFonts w:cs="宋体" w:asciiTheme="minorEastAsia" w:hAnsiTheme="minorEastAsia"/>
                <w:b/>
                <w:color w:val="auto"/>
                <w:kern w:val="0"/>
                <w:sz w:val="24"/>
                <w:highlight w:val="none"/>
              </w:rPr>
            </w:pPr>
            <w:r>
              <w:rPr>
                <w:rFonts w:hint="eastAsia" w:cs="宋体" w:asciiTheme="minorEastAsia" w:hAnsiTheme="minorEastAsia"/>
                <w:b/>
                <w:color w:val="auto"/>
                <w:kern w:val="0"/>
                <w:sz w:val="24"/>
                <w:highlight w:val="none"/>
              </w:rPr>
              <w:t>已完成工程项目情况</w:t>
            </w:r>
          </w:p>
        </w:tc>
      </w:tr>
      <w:tr w14:paraId="757AAF3F">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vAlign w:val="center"/>
          </w:tcPr>
          <w:p w14:paraId="70C48FA5">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建设单位</w:t>
            </w:r>
          </w:p>
        </w:tc>
        <w:tc>
          <w:tcPr>
            <w:tcW w:w="1800" w:type="dxa"/>
            <w:gridSpan w:val="2"/>
            <w:tcBorders>
              <w:bottom w:val="single" w:color="000000" w:sz="4" w:space="0"/>
              <w:right w:val="single" w:color="000000" w:sz="4" w:space="0"/>
            </w:tcBorders>
            <w:vAlign w:val="center"/>
          </w:tcPr>
          <w:p w14:paraId="732E3A1C">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项目名称</w:t>
            </w:r>
          </w:p>
        </w:tc>
        <w:tc>
          <w:tcPr>
            <w:tcW w:w="1530" w:type="dxa"/>
            <w:gridSpan w:val="3"/>
            <w:tcBorders>
              <w:bottom w:val="single" w:color="000000" w:sz="4" w:space="0"/>
              <w:right w:val="single" w:color="000000" w:sz="4" w:space="0"/>
            </w:tcBorders>
            <w:vAlign w:val="center"/>
          </w:tcPr>
          <w:p w14:paraId="1B803B80">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建设规模</w:t>
            </w:r>
          </w:p>
        </w:tc>
        <w:tc>
          <w:tcPr>
            <w:tcW w:w="1530" w:type="dxa"/>
            <w:tcBorders>
              <w:bottom w:val="single" w:color="000000" w:sz="4" w:space="0"/>
              <w:right w:val="single" w:color="auto" w:sz="4" w:space="0"/>
            </w:tcBorders>
            <w:vAlign w:val="center"/>
          </w:tcPr>
          <w:p w14:paraId="0E0CA5DA">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开、竣工</w:t>
            </w:r>
          </w:p>
          <w:p w14:paraId="222EB78E">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日期</w:t>
            </w:r>
          </w:p>
        </w:tc>
        <w:tc>
          <w:tcPr>
            <w:tcW w:w="1530" w:type="dxa"/>
            <w:gridSpan w:val="2"/>
            <w:tcBorders>
              <w:left w:val="single" w:color="auto" w:sz="4" w:space="0"/>
              <w:bottom w:val="single" w:color="000000" w:sz="4" w:space="0"/>
              <w:right w:val="single" w:color="000000" w:sz="4" w:space="0"/>
            </w:tcBorders>
            <w:vAlign w:val="center"/>
          </w:tcPr>
          <w:p w14:paraId="11A9DBDE">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在建或</w:t>
            </w:r>
          </w:p>
          <w:p w14:paraId="2E9F6C4F">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已完成</w:t>
            </w:r>
          </w:p>
        </w:tc>
        <w:tc>
          <w:tcPr>
            <w:tcW w:w="1530" w:type="dxa"/>
            <w:tcBorders>
              <w:bottom w:val="single" w:color="000000" w:sz="4" w:space="0"/>
              <w:right w:val="single" w:color="000000" w:sz="4" w:space="0"/>
            </w:tcBorders>
            <w:vAlign w:val="center"/>
          </w:tcPr>
          <w:p w14:paraId="0B3464E4">
            <w:pPr>
              <w:spacing w:line="360" w:lineRule="auto"/>
              <w:jc w:val="center"/>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工程质量</w:t>
            </w:r>
          </w:p>
        </w:tc>
      </w:tr>
      <w:tr w14:paraId="5763F0AD">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598709C4">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5B03E9ED">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6579F26C">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72B9BE9B">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1E7B07AE">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7310213C">
            <w:pPr>
              <w:spacing w:line="360" w:lineRule="auto"/>
              <w:rPr>
                <w:rFonts w:cs="宋体" w:asciiTheme="minorEastAsia" w:hAnsiTheme="minorEastAsia"/>
                <w:color w:val="auto"/>
                <w:kern w:val="0"/>
                <w:sz w:val="24"/>
                <w:highlight w:val="none"/>
              </w:rPr>
            </w:pPr>
          </w:p>
        </w:tc>
      </w:tr>
      <w:tr w14:paraId="4D98D0E0">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798D1C3F">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62449ED6">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0EFB20CF">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1AF52CA8">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6871D221">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7DCD9F12">
            <w:pPr>
              <w:spacing w:line="360" w:lineRule="auto"/>
              <w:rPr>
                <w:rFonts w:cs="宋体" w:asciiTheme="minorEastAsia" w:hAnsiTheme="minorEastAsia"/>
                <w:color w:val="auto"/>
                <w:kern w:val="0"/>
                <w:sz w:val="24"/>
                <w:highlight w:val="none"/>
              </w:rPr>
            </w:pPr>
          </w:p>
        </w:tc>
      </w:tr>
      <w:tr w14:paraId="1D7C7FA1">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BDE52A0">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1A71D252">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2DEE6362">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7121296E">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0970F6FB">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481901C7">
            <w:pPr>
              <w:spacing w:line="360" w:lineRule="auto"/>
              <w:rPr>
                <w:rFonts w:cs="宋体" w:asciiTheme="minorEastAsia" w:hAnsiTheme="minorEastAsia"/>
                <w:color w:val="auto"/>
                <w:kern w:val="0"/>
                <w:sz w:val="24"/>
                <w:highlight w:val="none"/>
              </w:rPr>
            </w:pPr>
          </w:p>
        </w:tc>
      </w:tr>
      <w:tr w14:paraId="4226C18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1C3CAC9B">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52755C48">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4B118831">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152EFECE">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50941B69">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1A4A9309">
            <w:pPr>
              <w:spacing w:line="360" w:lineRule="auto"/>
              <w:rPr>
                <w:rFonts w:cs="宋体" w:asciiTheme="minorEastAsia" w:hAnsiTheme="minorEastAsia"/>
                <w:color w:val="auto"/>
                <w:kern w:val="0"/>
                <w:sz w:val="24"/>
                <w:highlight w:val="none"/>
              </w:rPr>
            </w:pPr>
          </w:p>
        </w:tc>
      </w:tr>
      <w:tr w14:paraId="36FEB666">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52E91AA3">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0EE6DB4B">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3961E560">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18C6C892">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521FD10F">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0FC49446">
            <w:pPr>
              <w:spacing w:line="360" w:lineRule="auto"/>
              <w:rPr>
                <w:rFonts w:cs="宋体" w:asciiTheme="minorEastAsia" w:hAnsiTheme="minorEastAsia"/>
                <w:color w:val="auto"/>
                <w:kern w:val="0"/>
                <w:sz w:val="24"/>
                <w:highlight w:val="none"/>
              </w:rPr>
            </w:pPr>
          </w:p>
        </w:tc>
      </w:tr>
      <w:tr w14:paraId="01F5C3E4">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6BD00CE">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4F5B6488">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67001314">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3B55659B">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273D4400">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67AABD98">
            <w:pPr>
              <w:spacing w:line="360" w:lineRule="auto"/>
              <w:rPr>
                <w:rFonts w:cs="宋体" w:asciiTheme="minorEastAsia" w:hAnsiTheme="minorEastAsia"/>
                <w:color w:val="auto"/>
                <w:kern w:val="0"/>
                <w:sz w:val="24"/>
                <w:highlight w:val="none"/>
              </w:rPr>
            </w:pPr>
          </w:p>
        </w:tc>
      </w:tr>
      <w:tr w14:paraId="49F32003">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3E3B2B7B">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6216C177">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676F8A9A">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50F10DD3">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386D6D55">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009E5F86">
            <w:pPr>
              <w:spacing w:line="360" w:lineRule="auto"/>
              <w:rPr>
                <w:rFonts w:cs="宋体" w:asciiTheme="minorEastAsia" w:hAnsiTheme="minorEastAsia"/>
                <w:color w:val="auto"/>
                <w:kern w:val="0"/>
                <w:sz w:val="24"/>
                <w:highlight w:val="none"/>
              </w:rPr>
            </w:pPr>
          </w:p>
        </w:tc>
      </w:tr>
      <w:tr w14:paraId="295C6A2A">
        <w:tblPrEx>
          <w:tblBorders>
            <w:top w:val="none" w:color="auto" w:sz="0" w:space="0"/>
            <w:left w:val="single" w:color="000000" w:sz="8" w:space="0"/>
            <w:bottom w:val="none" w:color="auto" w:sz="0" w:space="0"/>
            <w:right w:val="single" w:color="000000" w:sz="8"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60" w:type="dxa"/>
            <w:gridSpan w:val="2"/>
            <w:tcBorders>
              <w:bottom w:val="single" w:color="000000" w:sz="4" w:space="0"/>
              <w:right w:val="single" w:color="000000" w:sz="4" w:space="0"/>
            </w:tcBorders>
          </w:tcPr>
          <w:p w14:paraId="02348BE8">
            <w:pPr>
              <w:spacing w:line="360" w:lineRule="auto"/>
              <w:rPr>
                <w:rFonts w:cs="宋体" w:asciiTheme="minorEastAsia" w:hAnsiTheme="minorEastAsia"/>
                <w:color w:val="auto"/>
                <w:kern w:val="0"/>
                <w:sz w:val="24"/>
                <w:highlight w:val="none"/>
              </w:rPr>
            </w:pPr>
          </w:p>
        </w:tc>
        <w:tc>
          <w:tcPr>
            <w:tcW w:w="1800" w:type="dxa"/>
            <w:gridSpan w:val="2"/>
            <w:tcBorders>
              <w:bottom w:val="single" w:color="000000" w:sz="4" w:space="0"/>
              <w:right w:val="single" w:color="000000" w:sz="4" w:space="0"/>
            </w:tcBorders>
          </w:tcPr>
          <w:p w14:paraId="146FCCEC">
            <w:pPr>
              <w:spacing w:line="360" w:lineRule="auto"/>
              <w:rPr>
                <w:rFonts w:cs="宋体" w:asciiTheme="minorEastAsia" w:hAnsiTheme="minorEastAsia"/>
                <w:color w:val="auto"/>
                <w:kern w:val="0"/>
                <w:sz w:val="24"/>
                <w:highlight w:val="none"/>
              </w:rPr>
            </w:pPr>
          </w:p>
        </w:tc>
        <w:tc>
          <w:tcPr>
            <w:tcW w:w="1530" w:type="dxa"/>
            <w:gridSpan w:val="3"/>
            <w:tcBorders>
              <w:bottom w:val="single" w:color="000000" w:sz="4" w:space="0"/>
              <w:right w:val="single" w:color="000000" w:sz="4" w:space="0"/>
            </w:tcBorders>
          </w:tcPr>
          <w:p w14:paraId="7696D48C">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auto" w:sz="4" w:space="0"/>
            </w:tcBorders>
          </w:tcPr>
          <w:p w14:paraId="72A4D850">
            <w:pPr>
              <w:spacing w:line="360" w:lineRule="auto"/>
              <w:rPr>
                <w:rFonts w:cs="宋体" w:asciiTheme="minorEastAsia" w:hAnsiTheme="minorEastAsia"/>
                <w:color w:val="auto"/>
                <w:kern w:val="0"/>
                <w:sz w:val="24"/>
                <w:highlight w:val="none"/>
              </w:rPr>
            </w:pPr>
          </w:p>
        </w:tc>
        <w:tc>
          <w:tcPr>
            <w:tcW w:w="1530" w:type="dxa"/>
            <w:gridSpan w:val="2"/>
            <w:tcBorders>
              <w:left w:val="single" w:color="auto" w:sz="4" w:space="0"/>
              <w:bottom w:val="single" w:color="000000" w:sz="4" w:space="0"/>
              <w:right w:val="single" w:color="000000" w:sz="4" w:space="0"/>
            </w:tcBorders>
          </w:tcPr>
          <w:p w14:paraId="18C9CE95">
            <w:pPr>
              <w:spacing w:line="360" w:lineRule="auto"/>
              <w:rPr>
                <w:rFonts w:cs="宋体" w:asciiTheme="minorEastAsia" w:hAnsiTheme="minorEastAsia"/>
                <w:color w:val="auto"/>
                <w:kern w:val="0"/>
                <w:sz w:val="24"/>
                <w:highlight w:val="none"/>
              </w:rPr>
            </w:pPr>
          </w:p>
        </w:tc>
        <w:tc>
          <w:tcPr>
            <w:tcW w:w="1530" w:type="dxa"/>
            <w:tcBorders>
              <w:bottom w:val="single" w:color="000000" w:sz="4" w:space="0"/>
              <w:right w:val="single" w:color="000000" w:sz="4" w:space="0"/>
            </w:tcBorders>
          </w:tcPr>
          <w:p w14:paraId="2DE88F0F">
            <w:pPr>
              <w:spacing w:line="360" w:lineRule="auto"/>
              <w:rPr>
                <w:rFonts w:cs="宋体" w:asciiTheme="minorEastAsia" w:hAnsiTheme="minorEastAsia"/>
                <w:color w:val="auto"/>
                <w:kern w:val="0"/>
                <w:sz w:val="24"/>
                <w:highlight w:val="none"/>
              </w:rPr>
            </w:pPr>
          </w:p>
        </w:tc>
      </w:tr>
    </w:tbl>
    <w:p w14:paraId="7AA88FBC">
      <w:pPr>
        <w:spacing w:line="360" w:lineRule="auto"/>
        <w:ind w:firstLine="240" w:firstLineChars="100"/>
        <w:rPr>
          <w:rFonts w:asciiTheme="minorEastAsia" w:hAnsiTheme="minorEastAsia" w:cstheme="minorEastAsia"/>
          <w:b/>
          <w:color w:val="auto"/>
          <w:kern w:val="0"/>
          <w:sz w:val="28"/>
          <w:highlight w:val="none"/>
        </w:rPr>
      </w:pPr>
      <w:r>
        <w:rPr>
          <w:rFonts w:hint="eastAsia" w:cs="宋体" w:asciiTheme="minorEastAsia" w:hAnsiTheme="minorEastAsia"/>
          <w:color w:val="auto"/>
          <w:sz w:val="24"/>
          <w:highlight w:val="none"/>
        </w:rPr>
        <w:t>注：附上清晰可辨的身份证复印件、职称证书复印件。</w:t>
      </w:r>
      <w:r>
        <w:rPr>
          <w:rFonts w:hint="eastAsia" w:cs="宋体" w:asciiTheme="minorEastAsia" w:hAnsiTheme="minorEastAsia"/>
          <w:color w:val="auto"/>
          <w:sz w:val="22"/>
          <w:szCs w:val="36"/>
          <w:highlight w:val="none"/>
        </w:rPr>
        <w:br w:type="page"/>
      </w:r>
    </w:p>
    <w:p w14:paraId="21ACDFA9">
      <w:pPr>
        <w:spacing w:line="360" w:lineRule="auto"/>
        <w:jc w:val="center"/>
        <w:rPr>
          <w:rFonts w:cs="宋体" w:asciiTheme="minorEastAsia" w:hAnsiTheme="minorEastAsia"/>
          <w:b/>
          <w:color w:val="auto"/>
          <w:kern w:val="0"/>
          <w:sz w:val="28"/>
          <w:highlight w:val="none"/>
        </w:rPr>
      </w:pPr>
      <w:r>
        <w:rPr>
          <w:rFonts w:hint="eastAsia" w:cs="宋体" w:asciiTheme="minorEastAsia" w:hAnsiTheme="minorEastAsia"/>
          <w:b/>
          <w:color w:val="auto"/>
          <w:kern w:val="0"/>
          <w:sz w:val="28"/>
          <w:highlight w:val="none"/>
        </w:rPr>
        <w:t>4. 项目管理机构配备情况辅助说明资料</w:t>
      </w:r>
    </w:p>
    <w:p w14:paraId="6AD000D3">
      <w:pPr>
        <w:spacing w:line="360" w:lineRule="auto"/>
        <w:ind w:left="7920" w:hanging="7920" w:hangingChars="3300"/>
        <w:rPr>
          <w:rFonts w:cs="宋体" w:asciiTheme="minorEastAsia" w:hAnsiTheme="minorEastAsia"/>
          <w:color w:val="auto"/>
          <w:sz w:val="24"/>
          <w:highlight w:val="none"/>
        </w:rPr>
      </w:pPr>
      <w:r>
        <w:rPr>
          <w:rFonts w:hint="eastAsia" w:cs="宋体" w:asciiTheme="minorEastAsia" w:hAnsiTheme="minorEastAsia"/>
          <w:color w:val="auto"/>
          <w:sz w:val="24"/>
          <w:highlight w:val="none"/>
        </w:rPr>
        <w:t xml:space="preserve"> </w:t>
      </w:r>
    </w:p>
    <w:p w14:paraId="5653B3C1">
      <w:pPr>
        <w:spacing w:line="360" w:lineRule="auto"/>
        <w:ind w:left="7920" w:hanging="7920" w:hangingChars="3300"/>
        <w:rPr>
          <w:rFonts w:cs="宋体" w:asciiTheme="minorEastAsia" w:hAnsiTheme="minorEastAsia"/>
          <w:b/>
          <w:color w:val="auto"/>
          <w:sz w:val="24"/>
          <w:highlight w:val="none"/>
        </w:rPr>
      </w:pPr>
      <w:r>
        <w:rPr>
          <w:rFonts w:hint="eastAsia" w:cs="宋体" w:asciiTheme="minorEastAsia" w:hAnsiTheme="minorEastAsia"/>
          <w:color w:val="auto"/>
          <w:sz w:val="24"/>
          <w:highlight w:val="none"/>
          <w:u w:val="single"/>
        </w:rPr>
        <w:t xml:space="preserve">           （工程项目名称）            </w:t>
      </w:r>
      <w:r>
        <w:rPr>
          <w:rFonts w:hint="eastAsia" w:cs="宋体" w:asciiTheme="minorEastAsia" w:hAnsiTheme="minorEastAsia"/>
          <w:color w:val="auto"/>
          <w:sz w:val="24"/>
          <w:highlight w:val="none"/>
        </w:rPr>
        <w:t xml:space="preserve">工程                    </w:t>
      </w:r>
      <w:r>
        <w:rPr>
          <w:rFonts w:hint="eastAsia" w:cs="宋体" w:asciiTheme="minorEastAsia" w:hAnsiTheme="minorEastAsia"/>
          <w:b/>
          <w:color w:val="auto"/>
          <w:sz w:val="24"/>
          <w:highlight w:val="none"/>
        </w:rPr>
        <w:t>表7.9</w:t>
      </w:r>
    </w:p>
    <w:tbl>
      <w:tblPr>
        <w:tblStyle w:val="27"/>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6F64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6" w:hRule="atLeast"/>
        </w:trPr>
        <w:tc>
          <w:tcPr>
            <w:tcW w:w="9286" w:type="dxa"/>
          </w:tcPr>
          <w:p w14:paraId="2F3253D5">
            <w:pPr>
              <w:spacing w:line="360" w:lineRule="auto"/>
              <w:rPr>
                <w:rFonts w:cs="宋体" w:asciiTheme="minorEastAsia" w:hAnsiTheme="minorEastAsia"/>
                <w:color w:val="auto"/>
                <w:kern w:val="0"/>
                <w:sz w:val="24"/>
                <w:highlight w:val="none"/>
              </w:rPr>
            </w:pPr>
          </w:p>
        </w:tc>
      </w:tr>
    </w:tbl>
    <w:p w14:paraId="23F15592">
      <w:pPr>
        <w:spacing w:line="360" w:lineRule="auto"/>
        <w:rPr>
          <w:rFonts w:cs="宋体" w:asciiTheme="minorEastAsia" w:hAnsiTheme="minorEastAsia"/>
          <w:color w:val="auto"/>
          <w:kern w:val="0"/>
          <w:sz w:val="24"/>
          <w:highlight w:val="none"/>
        </w:rPr>
      </w:pPr>
      <w:r>
        <w:rPr>
          <w:rFonts w:hint="eastAsia" w:cs="宋体" w:asciiTheme="minorEastAsia" w:hAnsiTheme="minorEastAsia"/>
          <w:color w:val="auto"/>
          <w:kern w:val="0"/>
          <w:sz w:val="24"/>
          <w:highlight w:val="none"/>
        </w:rPr>
        <w:t>注：⑴  辅助说明资料主要包括管理机构设置、责任分工、有关复印证明资料以及供应商认为有必要提供的资料。辅助说明资料格式不做统一规定，由供应商自行设计。</w:t>
      </w:r>
    </w:p>
    <w:p w14:paraId="2FC94552">
      <w:pPr>
        <w:pStyle w:val="2"/>
        <w:spacing w:line="360" w:lineRule="auto"/>
        <w:rPr>
          <w:rFonts w:cs="宋体" w:asciiTheme="minorEastAsia" w:hAnsiTheme="minorEastAsia"/>
          <w:b w:val="0"/>
          <w:bCs/>
          <w:color w:val="auto"/>
          <w:sz w:val="24"/>
          <w:highlight w:val="none"/>
        </w:rPr>
      </w:pPr>
      <w:r>
        <w:rPr>
          <w:rFonts w:hint="eastAsia" w:cs="宋体" w:asciiTheme="minorEastAsia" w:hAnsiTheme="minorEastAsia"/>
          <w:b w:val="0"/>
          <w:bCs/>
          <w:color w:val="auto"/>
          <w:sz w:val="24"/>
          <w:highlight w:val="none"/>
        </w:rPr>
        <w:t xml:space="preserve">   </w:t>
      </w:r>
      <w:bookmarkStart w:id="1403" w:name="_Toc97108135"/>
      <w:bookmarkStart w:id="1404" w:name="_Toc7659"/>
      <w:bookmarkStart w:id="1405" w:name="_Toc15886"/>
      <w:r>
        <w:rPr>
          <w:rFonts w:hint="eastAsia" w:cs="宋体" w:asciiTheme="minorEastAsia" w:hAnsiTheme="minorEastAsia"/>
          <w:b w:val="0"/>
          <w:bCs/>
          <w:color w:val="auto"/>
          <w:sz w:val="24"/>
          <w:highlight w:val="none"/>
        </w:rPr>
        <w:t xml:space="preserve">⑵  </w:t>
      </w:r>
      <w:bookmarkEnd w:id="1403"/>
      <w:bookmarkEnd w:id="1404"/>
      <w:r>
        <w:rPr>
          <w:rFonts w:hint="eastAsia" w:cs="宋体" w:asciiTheme="minorEastAsia" w:hAnsiTheme="minorEastAsia"/>
          <w:b w:val="0"/>
          <w:bCs/>
          <w:color w:val="auto"/>
          <w:sz w:val="24"/>
          <w:highlight w:val="none"/>
        </w:rPr>
        <w:t>另附施工员、质检员、安全员上岗证书复印件及附上清晰可辨的身份证复印件，必须是供应商公司在册在岗人员。</w:t>
      </w:r>
      <w:bookmarkEnd w:id="1405"/>
    </w:p>
    <w:p w14:paraId="204E11D2">
      <w:pPr>
        <w:rPr>
          <w:rFonts w:asciiTheme="minorEastAsia" w:hAnsiTheme="minorEastAsia"/>
          <w:color w:val="auto"/>
          <w:highlight w:val="none"/>
        </w:rPr>
      </w:pPr>
    </w:p>
    <w:p w14:paraId="1A42DD8B">
      <w:pPr>
        <w:pStyle w:val="4"/>
        <w:spacing w:line="360" w:lineRule="auto"/>
        <w:jc w:val="center"/>
        <w:rPr>
          <w:rFonts w:asciiTheme="minorEastAsia" w:hAnsiTheme="minorEastAsia" w:eastAsiaTheme="minorEastAsia" w:cstheme="minorEastAsia"/>
          <w:b w:val="0"/>
          <w:bCs/>
          <w:color w:val="auto"/>
          <w:sz w:val="24"/>
          <w:szCs w:val="24"/>
          <w:highlight w:val="none"/>
        </w:rPr>
      </w:pPr>
      <w:bookmarkStart w:id="1406" w:name="_Toc24326"/>
      <w:bookmarkStart w:id="1407" w:name="_Toc18265"/>
      <w:r>
        <w:rPr>
          <w:rFonts w:hint="eastAsia" w:asciiTheme="minorEastAsia" w:hAnsiTheme="minorEastAsia" w:eastAsiaTheme="minorEastAsia" w:cstheme="minorEastAsia"/>
          <w:color w:val="auto"/>
          <w:highlight w:val="none"/>
        </w:rPr>
        <w:t>六、施工组织设计</w:t>
      </w:r>
      <w:bookmarkEnd w:id="1406"/>
    </w:p>
    <w:p w14:paraId="7DB333F2">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9396557">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r>
        <w:rPr>
          <w:rFonts w:hint="eastAsia" w:asciiTheme="minorEastAsia" w:hAnsiTheme="minorEastAsia" w:eastAsiaTheme="minorEastAsia" w:cstheme="minorEastAsia"/>
          <w:b w:val="0"/>
          <w:bCs/>
          <w:color w:val="auto"/>
          <w:sz w:val="24"/>
          <w:szCs w:val="24"/>
          <w:highlight w:val="none"/>
        </w:rPr>
        <w:t>2、施工组织设计除采用文字表述外可附下列图表，图表及格式要求附后。</w:t>
      </w:r>
    </w:p>
    <w:p w14:paraId="333250EF">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08" w:name="_Toc27852"/>
      <w:r>
        <w:rPr>
          <w:rFonts w:hint="eastAsia" w:asciiTheme="minorEastAsia" w:hAnsiTheme="minorEastAsia" w:eastAsiaTheme="minorEastAsia" w:cstheme="minorEastAsia"/>
          <w:b w:val="0"/>
          <w:bCs/>
          <w:color w:val="auto"/>
          <w:sz w:val="24"/>
          <w:szCs w:val="24"/>
          <w:highlight w:val="none"/>
        </w:rPr>
        <w:t>附表一  拟投入本工程的主要施工设备表</w:t>
      </w:r>
      <w:bookmarkEnd w:id="1408"/>
    </w:p>
    <w:p w14:paraId="458CB13B">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09" w:name="_Toc9637"/>
      <w:r>
        <w:rPr>
          <w:rFonts w:hint="eastAsia" w:asciiTheme="minorEastAsia" w:hAnsiTheme="minorEastAsia" w:eastAsiaTheme="minorEastAsia" w:cstheme="minorEastAsia"/>
          <w:b w:val="0"/>
          <w:bCs/>
          <w:color w:val="auto"/>
          <w:sz w:val="24"/>
          <w:szCs w:val="24"/>
          <w:highlight w:val="none"/>
        </w:rPr>
        <w:t>附表二  拟配备本工程的试验和检测仪器设备表</w:t>
      </w:r>
      <w:bookmarkEnd w:id="1409"/>
    </w:p>
    <w:p w14:paraId="01DF6FB6">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10" w:name="_Toc5190"/>
      <w:r>
        <w:rPr>
          <w:rFonts w:hint="eastAsia" w:asciiTheme="minorEastAsia" w:hAnsiTheme="minorEastAsia" w:eastAsiaTheme="minorEastAsia" w:cstheme="minorEastAsia"/>
          <w:b w:val="0"/>
          <w:bCs/>
          <w:color w:val="auto"/>
          <w:sz w:val="24"/>
          <w:szCs w:val="24"/>
          <w:highlight w:val="none"/>
        </w:rPr>
        <w:t>附表三  劳动力计划表</w:t>
      </w:r>
      <w:bookmarkEnd w:id="1410"/>
    </w:p>
    <w:p w14:paraId="19BACDC5">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11" w:name="_Toc32210"/>
      <w:r>
        <w:rPr>
          <w:rFonts w:hint="eastAsia" w:asciiTheme="minorEastAsia" w:hAnsiTheme="minorEastAsia" w:eastAsiaTheme="minorEastAsia" w:cstheme="minorEastAsia"/>
          <w:b w:val="0"/>
          <w:bCs/>
          <w:color w:val="auto"/>
          <w:sz w:val="24"/>
          <w:szCs w:val="24"/>
          <w:highlight w:val="none"/>
        </w:rPr>
        <w:t>附表四  计划开、竣工日期和施工进度网络图</w:t>
      </w:r>
      <w:bookmarkEnd w:id="1411"/>
    </w:p>
    <w:p w14:paraId="01534A6F">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12" w:name="_Toc24085"/>
      <w:r>
        <w:rPr>
          <w:rFonts w:hint="eastAsia" w:asciiTheme="minorEastAsia" w:hAnsiTheme="minorEastAsia" w:eastAsiaTheme="minorEastAsia" w:cstheme="minorEastAsia"/>
          <w:b w:val="0"/>
          <w:bCs/>
          <w:color w:val="auto"/>
          <w:sz w:val="24"/>
          <w:szCs w:val="24"/>
          <w:highlight w:val="none"/>
        </w:rPr>
        <w:t>附表五  施工总平面图</w:t>
      </w:r>
      <w:bookmarkEnd w:id="1412"/>
    </w:p>
    <w:p w14:paraId="2893ED1D">
      <w:pPr>
        <w:pStyle w:val="4"/>
        <w:spacing w:line="360" w:lineRule="auto"/>
        <w:ind w:firstLine="480" w:firstLineChars="200"/>
        <w:rPr>
          <w:rFonts w:asciiTheme="minorEastAsia" w:hAnsiTheme="minorEastAsia" w:eastAsiaTheme="minorEastAsia" w:cstheme="minorEastAsia"/>
          <w:b w:val="0"/>
          <w:bCs/>
          <w:color w:val="auto"/>
          <w:sz w:val="24"/>
          <w:szCs w:val="24"/>
          <w:highlight w:val="none"/>
        </w:rPr>
      </w:pPr>
      <w:bookmarkStart w:id="1413" w:name="_Toc28421"/>
      <w:r>
        <w:rPr>
          <w:rFonts w:hint="eastAsia" w:asciiTheme="minorEastAsia" w:hAnsiTheme="minorEastAsia" w:eastAsiaTheme="minorEastAsia" w:cstheme="minorEastAsia"/>
          <w:b w:val="0"/>
          <w:bCs/>
          <w:color w:val="auto"/>
          <w:sz w:val="24"/>
          <w:szCs w:val="24"/>
          <w:highlight w:val="none"/>
        </w:rPr>
        <w:t>附表六  临时用地表</w:t>
      </w:r>
      <w:bookmarkEnd w:id="1413"/>
    </w:p>
    <w:p w14:paraId="7C2C1A6B">
      <w:pPr>
        <w:rPr>
          <w:rFonts w:cs="宋体" w:asciiTheme="minorEastAsia" w:hAnsiTheme="minorEastAsia"/>
          <w:color w:val="auto"/>
          <w:highlight w:val="none"/>
        </w:rPr>
      </w:pPr>
    </w:p>
    <w:p w14:paraId="4CCAE89E">
      <w:pPr>
        <w:outlineLvl w:val="0"/>
        <w:rPr>
          <w:rFonts w:asciiTheme="minorEastAsia" w:hAnsiTheme="minorEastAsia"/>
          <w:color w:val="auto"/>
          <w:sz w:val="24"/>
          <w:szCs w:val="24"/>
          <w:highlight w:val="none"/>
        </w:rPr>
      </w:pPr>
      <w:bookmarkStart w:id="1414" w:name="_Toc19896"/>
      <w:bookmarkStart w:id="1415" w:name="_Toc97108136"/>
      <w:bookmarkStart w:id="1416" w:name="_Toc24184"/>
      <w:r>
        <w:rPr>
          <w:rFonts w:hint="eastAsia" w:cs="宋体" w:asciiTheme="minorEastAsia" w:hAnsiTheme="minorEastAsia"/>
          <w:color w:val="auto"/>
          <w:sz w:val="24"/>
          <w:szCs w:val="24"/>
          <w:highlight w:val="none"/>
        </w:rPr>
        <w:t>附表一：拟投入本工程的主要施工设备表</w:t>
      </w:r>
      <w:bookmarkEnd w:id="1414"/>
      <w:bookmarkEnd w:id="1415"/>
      <w:bookmarkEnd w:id="1416"/>
    </w:p>
    <w:tbl>
      <w:tblPr>
        <w:tblStyle w:val="27"/>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7F3C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vAlign w:val="center"/>
          </w:tcPr>
          <w:p w14:paraId="7E38E5AE">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序号</w:t>
            </w:r>
          </w:p>
        </w:tc>
        <w:tc>
          <w:tcPr>
            <w:tcW w:w="1226" w:type="dxa"/>
            <w:vAlign w:val="center"/>
          </w:tcPr>
          <w:p w14:paraId="146C845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设备名称</w:t>
            </w:r>
          </w:p>
        </w:tc>
        <w:tc>
          <w:tcPr>
            <w:tcW w:w="851" w:type="dxa"/>
            <w:vAlign w:val="center"/>
          </w:tcPr>
          <w:p w14:paraId="7D9B5202">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型号</w:t>
            </w:r>
          </w:p>
          <w:p w14:paraId="6D5D8595">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规格</w:t>
            </w:r>
          </w:p>
        </w:tc>
        <w:tc>
          <w:tcPr>
            <w:tcW w:w="708" w:type="dxa"/>
            <w:vAlign w:val="center"/>
          </w:tcPr>
          <w:p w14:paraId="00E0CC80">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数量</w:t>
            </w:r>
          </w:p>
        </w:tc>
        <w:tc>
          <w:tcPr>
            <w:tcW w:w="709" w:type="dxa"/>
            <w:vAlign w:val="center"/>
          </w:tcPr>
          <w:p w14:paraId="6D2077E6">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国别</w:t>
            </w:r>
          </w:p>
          <w:p w14:paraId="598F11E0">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产地</w:t>
            </w:r>
          </w:p>
        </w:tc>
        <w:tc>
          <w:tcPr>
            <w:tcW w:w="851" w:type="dxa"/>
            <w:vAlign w:val="center"/>
          </w:tcPr>
          <w:p w14:paraId="1F0178B8">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制造</w:t>
            </w:r>
          </w:p>
          <w:p w14:paraId="5A1FE165">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年份</w:t>
            </w:r>
          </w:p>
        </w:tc>
        <w:tc>
          <w:tcPr>
            <w:tcW w:w="1134" w:type="dxa"/>
            <w:vAlign w:val="center"/>
          </w:tcPr>
          <w:p w14:paraId="42F8D409">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额定功率</w:t>
            </w:r>
          </w:p>
          <w:p w14:paraId="6EF1F808">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w:t>
            </w:r>
            <w:r>
              <w:rPr>
                <w:rFonts w:asciiTheme="minorEastAsia" w:hAnsiTheme="minorEastAsia"/>
                <w:color w:val="auto"/>
                <w:sz w:val="24"/>
                <w:szCs w:val="24"/>
                <w:highlight w:val="none"/>
              </w:rPr>
              <w:t>KW</w:t>
            </w:r>
            <w:r>
              <w:rPr>
                <w:rFonts w:hint="eastAsia" w:cs="宋体" w:asciiTheme="minorEastAsia" w:hAnsiTheme="minorEastAsia"/>
                <w:color w:val="auto"/>
                <w:sz w:val="24"/>
                <w:szCs w:val="24"/>
                <w:highlight w:val="none"/>
              </w:rPr>
              <w:t>）</w:t>
            </w:r>
          </w:p>
        </w:tc>
        <w:tc>
          <w:tcPr>
            <w:tcW w:w="992" w:type="dxa"/>
            <w:vAlign w:val="center"/>
          </w:tcPr>
          <w:p w14:paraId="5729E53D">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生产</w:t>
            </w:r>
          </w:p>
          <w:p w14:paraId="161F0822">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能力</w:t>
            </w:r>
          </w:p>
        </w:tc>
        <w:tc>
          <w:tcPr>
            <w:tcW w:w="1134" w:type="dxa"/>
            <w:vAlign w:val="center"/>
          </w:tcPr>
          <w:p w14:paraId="19052F6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用于施</w:t>
            </w:r>
          </w:p>
          <w:p w14:paraId="22F21D77">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工部位</w:t>
            </w:r>
          </w:p>
        </w:tc>
        <w:tc>
          <w:tcPr>
            <w:tcW w:w="992" w:type="dxa"/>
            <w:vAlign w:val="center"/>
          </w:tcPr>
          <w:p w14:paraId="2ABB6F5B">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备注</w:t>
            </w:r>
          </w:p>
        </w:tc>
      </w:tr>
      <w:tr w14:paraId="40B5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5138A9D8">
            <w:pPr>
              <w:spacing w:line="360" w:lineRule="auto"/>
              <w:rPr>
                <w:rFonts w:asciiTheme="minorEastAsia" w:hAnsiTheme="minorEastAsia"/>
                <w:color w:val="auto"/>
                <w:highlight w:val="none"/>
              </w:rPr>
            </w:pPr>
          </w:p>
        </w:tc>
        <w:tc>
          <w:tcPr>
            <w:tcW w:w="1226" w:type="dxa"/>
          </w:tcPr>
          <w:p w14:paraId="7D859793">
            <w:pPr>
              <w:spacing w:line="360" w:lineRule="auto"/>
              <w:ind w:firstLine="420" w:firstLineChars="200"/>
              <w:rPr>
                <w:rFonts w:asciiTheme="minorEastAsia" w:hAnsiTheme="minorEastAsia"/>
                <w:color w:val="auto"/>
                <w:highlight w:val="none"/>
              </w:rPr>
            </w:pPr>
          </w:p>
        </w:tc>
        <w:tc>
          <w:tcPr>
            <w:tcW w:w="851" w:type="dxa"/>
          </w:tcPr>
          <w:p w14:paraId="3A9E572D">
            <w:pPr>
              <w:spacing w:line="360" w:lineRule="auto"/>
              <w:rPr>
                <w:rFonts w:asciiTheme="minorEastAsia" w:hAnsiTheme="minorEastAsia"/>
                <w:color w:val="auto"/>
                <w:highlight w:val="none"/>
              </w:rPr>
            </w:pPr>
          </w:p>
        </w:tc>
        <w:tc>
          <w:tcPr>
            <w:tcW w:w="708" w:type="dxa"/>
          </w:tcPr>
          <w:p w14:paraId="1909DE25">
            <w:pPr>
              <w:spacing w:line="360" w:lineRule="auto"/>
              <w:rPr>
                <w:rFonts w:asciiTheme="minorEastAsia" w:hAnsiTheme="minorEastAsia"/>
                <w:color w:val="auto"/>
                <w:highlight w:val="none"/>
              </w:rPr>
            </w:pPr>
          </w:p>
        </w:tc>
        <w:tc>
          <w:tcPr>
            <w:tcW w:w="709" w:type="dxa"/>
          </w:tcPr>
          <w:p w14:paraId="6E0E4953">
            <w:pPr>
              <w:spacing w:line="360" w:lineRule="auto"/>
              <w:rPr>
                <w:rFonts w:asciiTheme="minorEastAsia" w:hAnsiTheme="minorEastAsia"/>
                <w:color w:val="auto"/>
                <w:highlight w:val="none"/>
              </w:rPr>
            </w:pPr>
          </w:p>
        </w:tc>
        <w:tc>
          <w:tcPr>
            <w:tcW w:w="851" w:type="dxa"/>
          </w:tcPr>
          <w:p w14:paraId="443AFF88">
            <w:pPr>
              <w:spacing w:line="360" w:lineRule="auto"/>
              <w:rPr>
                <w:rFonts w:asciiTheme="minorEastAsia" w:hAnsiTheme="minorEastAsia"/>
                <w:color w:val="auto"/>
                <w:highlight w:val="none"/>
              </w:rPr>
            </w:pPr>
          </w:p>
        </w:tc>
        <w:tc>
          <w:tcPr>
            <w:tcW w:w="1134" w:type="dxa"/>
          </w:tcPr>
          <w:p w14:paraId="55F4257A">
            <w:pPr>
              <w:spacing w:line="360" w:lineRule="auto"/>
              <w:rPr>
                <w:rFonts w:asciiTheme="minorEastAsia" w:hAnsiTheme="minorEastAsia"/>
                <w:color w:val="auto"/>
                <w:highlight w:val="none"/>
              </w:rPr>
            </w:pPr>
          </w:p>
        </w:tc>
        <w:tc>
          <w:tcPr>
            <w:tcW w:w="992" w:type="dxa"/>
          </w:tcPr>
          <w:p w14:paraId="5C4CBCEB">
            <w:pPr>
              <w:spacing w:line="360" w:lineRule="auto"/>
              <w:rPr>
                <w:rFonts w:asciiTheme="minorEastAsia" w:hAnsiTheme="minorEastAsia"/>
                <w:color w:val="auto"/>
                <w:highlight w:val="none"/>
              </w:rPr>
            </w:pPr>
          </w:p>
        </w:tc>
        <w:tc>
          <w:tcPr>
            <w:tcW w:w="1134" w:type="dxa"/>
          </w:tcPr>
          <w:p w14:paraId="2B763FD2">
            <w:pPr>
              <w:spacing w:line="360" w:lineRule="auto"/>
              <w:rPr>
                <w:rFonts w:asciiTheme="minorEastAsia" w:hAnsiTheme="minorEastAsia"/>
                <w:color w:val="auto"/>
                <w:highlight w:val="none"/>
              </w:rPr>
            </w:pPr>
          </w:p>
        </w:tc>
        <w:tc>
          <w:tcPr>
            <w:tcW w:w="992" w:type="dxa"/>
          </w:tcPr>
          <w:p w14:paraId="2733CAF9">
            <w:pPr>
              <w:spacing w:line="360" w:lineRule="auto"/>
              <w:rPr>
                <w:rFonts w:asciiTheme="minorEastAsia" w:hAnsiTheme="minorEastAsia"/>
                <w:color w:val="auto"/>
                <w:highlight w:val="none"/>
              </w:rPr>
            </w:pPr>
          </w:p>
        </w:tc>
      </w:tr>
      <w:tr w14:paraId="76D54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44419903">
            <w:pPr>
              <w:spacing w:line="360" w:lineRule="auto"/>
              <w:rPr>
                <w:rFonts w:asciiTheme="minorEastAsia" w:hAnsiTheme="minorEastAsia"/>
                <w:color w:val="auto"/>
                <w:highlight w:val="none"/>
              </w:rPr>
            </w:pPr>
          </w:p>
        </w:tc>
        <w:tc>
          <w:tcPr>
            <w:tcW w:w="1226" w:type="dxa"/>
          </w:tcPr>
          <w:p w14:paraId="29AF1CC6">
            <w:pPr>
              <w:spacing w:line="360" w:lineRule="auto"/>
              <w:rPr>
                <w:rFonts w:asciiTheme="minorEastAsia" w:hAnsiTheme="minorEastAsia"/>
                <w:color w:val="auto"/>
                <w:highlight w:val="none"/>
              </w:rPr>
            </w:pPr>
          </w:p>
        </w:tc>
        <w:tc>
          <w:tcPr>
            <w:tcW w:w="851" w:type="dxa"/>
          </w:tcPr>
          <w:p w14:paraId="0A28F261">
            <w:pPr>
              <w:spacing w:line="360" w:lineRule="auto"/>
              <w:rPr>
                <w:rFonts w:asciiTheme="minorEastAsia" w:hAnsiTheme="minorEastAsia"/>
                <w:color w:val="auto"/>
                <w:highlight w:val="none"/>
              </w:rPr>
            </w:pPr>
          </w:p>
        </w:tc>
        <w:tc>
          <w:tcPr>
            <w:tcW w:w="708" w:type="dxa"/>
          </w:tcPr>
          <w:p w14:paraId="750EC64D">
            <w:pPr>
              <w:spacing w:line="360" w:lineRule="auto"/>
              <w:rPr>
                <w:rFonts w:asciiTheme="minorEastAsia" w:hAnsiTheme="minorEastAsia"/>
                <w:color w:val="auto"/>
                <w:highlight w:val="none"/>
              </w:rPr>
            </w:pPr>
          </w:p>
        </w:tc>
        <w:tc>
          <w:tcPr>
            <w:tcW w:w="709" w:type="dxa"/>
          </w:tcPr>
          <w:p w14:paraId="5AA6CDFD">
            <w:pPr>
              <w:spacing w:line="360" w:lineRule="auto"/>
              <w:rPr>
                <w:rFonts w:asciiTheme="minorEastAsia" w:hAnsiTheme="minorEastAsia"/>
                <w:color w:val="auto"/>
                <w:highlight w:val="none"/>
              </w:rPr>
            </w:pPr>
          </w:p>
        </w:tc>
        <w:tc>
          <w:tcPr>
            <w:tcW w:w="851" w:type="dxa"/>
          </w:tcPr>
          <w:p w14:paraId="4C2508DA">
            <w:pPr>
              <w:spacing w:line="360" w:lineRule="auto"/>
              <w:rPr>
                <w:rFonts w:asciiTheme="minorEastAsia" w:hAnsiTheme="minorEastAsia"/>
                <w:color w:val="auto"/>
                <w:highlight w:val="none"/>
              </w:rPr>
            </w:pPr>
          </w:p>
        </w:tc>
        <w:tc>
          <w:tcPr>
            <w:tcW w:w="1134" w:type="dxa"/>
          </w:tcPr>
          <w:p w14:paraId="4921C7B0">
            <w:pPr>
              <w:spacing w:line="360" w:lineRule="auto"/>
              <w:rPr>
                <w:rFonts w:asciiTheme="minorEastAsia" w:hAnsiTheme="minorEastAsia"/>
                <w:color w:val="auto"/>
                <w:highlight w:val="none"/>
              </w:rPr>
            </w:pPr>
          </w:p>
        </w:tc>
        <w:tc>
          <w:tcPr>
            <w:tcW w:w="992" w:type="dxa"/>
          </w:tcPr>
          <w:p w14:paraId="0B865AC6">
            <w:pPr>
              <w:spacing w:line="360" w:lineRule="auto"/>
              <w:rPr>
                <w:rFonts w:asciiTheme="minorEastAsia" w:hAnsiTheme="minorEastAsia"/>
                <w:color w:val="auto"/>
                <w:highlight w:val="none"/>
              </w:rPr>
            </w:pPr>
          </w:p>
        </w:tc>
        <w:tc>
          <w:tcPr>
            <w:tcW w:w="1134" w:type="dxa"/>
          </w:tcPr>
          <w:p w14:paraId="449F94DF">
            <w:pPr>
              <w:spacing w:line="360" w:lineRule="auto"/>
              <w:rPr>
                <w:rFonts w:asciiTheme="minorEastAsia" w:hAnsiTheme="minorEastAsia"/>
                <w:color w:val="auto"/>
                <w:highlight w:val="none"/>
              </w:rPr>
            </w:pPr>
          </w:p>
        </w:tc>
        <w:tc>
          <w:tcPr>
            <w:tcW w:w="992" w:type="dxa"/>
          </w:tcPr>
          <w:p w14:paraId="39D214E1">
            <w:pPr>
              <w:spacing w:line="360" w:lineRule="auto"/>
              <w:rPr>
                <w:rFonts w:asciiTheme="minorEastAsia" w:hAnsiTheme="minorEastAsia"/>
                <w:color w:val="auto"/>
                <w:highlight w:val="none"/>
              </w:rPr>
            </w:pPr>
          </w:p>
        </w:tc>
      </w:tr>
      <w:tr w14:paraId="2B75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5103A7DA">
            <w:pPr>
              <w:spacing w:line="360" w:lineRule="auto"/>
              <w:rPr>
                <w:rFonts w:asciiTheme="minorEastAsia" w:hAnsiTheme="minorEastAsia"/>
                <w:color w:val="auto"/>
                <w:highlight w:val="none"/>
              </w:rPr>
            </w:pPr>
          </w:p>
        </w:tc>
        <w:tc>
          <w:tcPr>
            <w:tcW w:w="1226" w:type="dxa"/>
          </w:tcPr>
          <w:p w14:paraId="03864928">
            <w:pPr>
              <w:spacing w:line="360" w:lineRule="auto"/>
              <w:rPr>
                <w:rFonts w:asciiTheme="minorEastAsia" w:hAnsiTheme="minorEastAsia"/>
                <w:color w:val="auto"/>
                <w:highlight w:val="none"/>
              </w:rPr>
            </w:pPr>
          </w:p>
        </w:tc>
        <w:tc>
          <w:tcPr>
            <w:tcW w:w="851" w:type="dxa"/>
          </w:tcPr>
          <w:p w14:paraId="6AFE8EDB">
            <w:pPr>
              <w:spacing w:line="360" w:lineRule="auto"/>
              <w:rPr>
                <w:rFonts w:asciiTheme="minorEastAsia" w:hAnsiTheme="minorEastAsia"/>
                <w:color w:val="auto"/>
                <w:highlight w:val="none"/>
              </w:rPr>
            </w:pPr>
          </w:p>
        </w:tc>
        <w:tc>
          <w:tcPr>
            <w:tcW w:w="708" w:type="dxa"/>
          </w:tcPr>
          <w:p w14:paraId="38C2BD9C">
            <w:pPr>
              <w:spacing w:line="360" w:lineRule="auto"/>
              <w:rPr>
                <w:rFonts w:asciiTheme="minorEastAsia" w:hAnsiTheme="minorEastAsia"/>
                <w:color w:val="auto"/>
                <w:highlight w:val="none"/>
              </w:rPr>
            </w:pPr>
          </w:p>
        </w:tc>
        <w:tc>
          <w:tcPr>
            <w:tcW w:w="709" w:type="dxa"/>
          </w:tcPr>
          <w:p w14:paraId="7B4996F6">
            <w:pPr>
              <w:spacing w:line="360" w:lineRule="auto"/>
              <w:rPr>
                <w:rFonts w:asciiTheme="minorEastAsia" w:hAnsiTheme="minorEastAsia"/>
                <w:color w:val="auto"/>
                <w:highlight w:val="none"/>
              </w:rPr>
            </w:pPr>
          </w:p>
        </w:tc>
        <w:tc>
          <w:tcPr>
            <w:tcW w:w="851" w:type="dxa"/>
          </w:tcPr>
          <w:p w14:paraId="0970DD03">
            <w:pPr>
              <w:spacing w:line="360" w:lineRule="auto"/>
              <w:rPr>
                <w:rFonts w:asciiTheme="minorEastAsia" w:hAnsiTheme="minorEastAsia"/>
                <w:color w:val="auto"/>
                <w:highlight w:val="none"/>
              </w:rPr>
            </w:pPr>
          </w:p>
        </w:tc>
        <w:tc>
          <w:tcPr>
            <w:tcW w:w="1134" w:type="dxa"/>
          </w:tcPr>
          <w:p w14:paraId="0D09910A">
            <w:pPr>
              <w:spacing w:line="360" w:lineRule="auto"/>
              <w:rPr>
                <w:rFonts w:asciiTheme="minorEastAsia" w:hAnsiTheme="minorEastAsia"/>
                <w:color w:val="auto"/>
                <w:highlight w:val="none"/>
              </w:rPr>
            </w:pPr>
          </w:p>
        </w:tc>
        <w:tc>
          <w:tcPr>
            <w:tcW w:w="992" w:type="dxa"/>
          </w:tcPr>
          <w:p w14:paraId="6AE6788A">
            <w:pPr>
              <w:spacing w:line="360" w:lineRule="auto"/>
              <w:rPr>
                <w:rFonts w:asciiTheme="minorEastAsia" w:hAnsiTheme="minorEastAsia"/>
                <w:color w:val="auto"/>
                <w:highlight w:val="none"/>
              </w:rPr>
            </w:pPr>
          </w:p>
        </w:tc>
        <w:tc>
          <w:tcPr>
            <w:tcW w:w="1134" w:type="dxa"/>
          </w:tcPr>
          <w:p w14:paraId="04CBC80B">
            <w:pPr>
              <w:spacing w:line="360" w:lineRule="auto"/>
              <w:rPr>
                <w:rFonts w:asciiTheme="minorEastAsia" w:hAnsiTheme="minorEastAsia"/>
                <w:color w:val="auto"/>
                <w:highlight w:val="none"/>
              </w:rPr>
            </w:pPr>
          </w:p>
        </w:tc>
        <w:tc>
          <w:tcPr>
            <w:tcW w:w="992" w:type="dxa"/>
          </w:tcPr>
          <w:p w14:paraId="152B3FE0">
            <w:pPr>
              <w:spacing w:line="360" w:lineRule="auto"/>
              <w:rPr>
                <w:rFonts w:asciiTheme="minorEastAsia" w:hAnsiTheme="minorEastAsia"/>
                <w:color w:val="auto"/>
                <w:highlight w:val="none"/>
              </w:rPr>
            </w:pPr>
          </w:p>
        </w:tc>
      </w:tr>
      <w:tr w14:paraId="5907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77152C4E">
            <w:pPr>
              <w:spacing w:line="360" w:lineRule="auto"/>
              <w:rPr>
                <w:rFonts w:asciiTheme="minorEastAsia" w:hAnsiTheme="minorEastAsia"/>
                <w:color w:val="auto"/>
                <w:highlight w:val="none"/>
              </w:rPr>
            </w:pPr>
          </w:p>
        </w:tc>
        <w:tc>
          <w:tcPr>
            <w:tcW w:w="1226" w:type="dxa"/>
          </w:tcPr>
          <w:p w14:paraId="6EF19504">
            <w:pPr>
              <w:spacing w:line="360" w:lineRule="auto"/>
              <w:rPr>
                <w:rFonts w:asciiTheme="minorEastAsia" w:hAnsiTheme="minorEastAsia"/>
                <w:color w:val="auto"/>
                <w:highlight w:val="none"/>
              </w:rPr>
            </w:pPr>
          </w:p>
        </w:tc>
        <w:tc>
          <w:tcPr>
            <w:tcW w:w="851" w:type="dxa"/>
          </w:tcPr>
          <w:p w14:paraId="63E7AC86">
            <w:pPr>
              <w:spacing w:line="360" w:lineRule="auto"/>
              <w:rPr>
                <w:rFonts w:asciiTheme="minorEastAsia" w:hAnsiTheme="minorEastAsia"/>
                <w:color w:val="auto"/>
                <w:highlight w:val="none"/>
              </w:rPr>
            </w:pPr>
          </w:p>
        </w:tc>
        <w:tc>
          <w:tcPr>
            <w:tcW w:w="708" w:type="dxa"/>
          </w:tcPr>
          <w:p w14:paraId="78B5B57C">
            <w:pPr>
              <w:spacing w:line="360" w:lineRule="auto"/>
              <w:rPr>
                <w:rFonts w:asciiTheme="minorEastAsia" w:hAnsiTheme="minorEastAsia"/>
                <w:color w:val="auto"/>
                <w:highlight w:val="none"/>
              </w:rPr>
            </w:pPr>
          </w:p>
        </w:tc>
        <w:tc>
          <w:tcPr>
            <w:tcW w:w="709" w:type="dxa"/>
          </w:tcPr>
          <w:p w14:paraId="26886734">
            <w:pPr>
              <w:spacing w:line="360" w:lineRule="auto"/>
              <w:rPr>
                <w:rFonts w:asciiTheme="minorEastAsia" w:hAnsiTheme="minorEastAsia"/>
                <w:color w:val="auto"/>
                <w:highlight w:val="none"/>
              </w:rPr>
            </w:pPr>
          </w:p>
        </w:tc>
        <w:tc>
          <w:tcPr>
            <w:tcW w:w="851" w:type="dxa"/>
          </w:tcPr>
          <w:p w14:paraId="612F7D44">
            <w:pPr>
              <w:spacing w:line="360" w:lineRule="auto"/>
              <w:rPr>
                <w:rFonts w:asciiTheme="minorEastAsia" w:hAnsiTheme="minorEastAsia"/>
                <w:color w:val="auto"/>
                <w:highlight w:val="none"/>
              </w:rPr>
            </w:pPr>
          </w:p>
        </w:tc>
        <w:tc>
          <w:tcPr>
            <w:tcW w:w="1134" w:type="dxa"/>
          </w:tcPr>
          <w:p w14:paraId="545E48EE">
            <w:pPr>
              <w:spacing w:line="360" w:lineRule="auto"/>
              <w:rPr>
                <w:rFonts w:asciiTheme="minorEastAsia" w:hAnsiTheme="minorEastAsia"/>
                <w:color w:val="auto"/>
                <w:highlight w:val="none"/>
              </w:rPr>
            </w:pPr>
          </w:p>
        </w:tc>
        <w:tc>
          <w:tcPr>
            <w:tcW w:w="992" w:type="dxa"/>
          </w:tcPr>
          <w:p w14:paraId="2E066A6E">
            <w:pPr>
              <w:spacing w:line="360" w:lineRule="auto"/>
              <w:rPr>
                <w:rFonts w:asciiTheme="minorEastAsia" w:hAnsiTheme="minorEastAsia"/>
                <w:color w:val="auto"/>
                <w:highlight w:val="none"/>
              </w:rPr>
            </w:pPr>
          </w:p>
        </w:tc>
        <w:tc>
          <w:tcPr>
            <w:tcW w:w="1134" w:type="dxa"/>
          </w:tcPr>
          <w:p w14:paraId="1CC46D3F">
            <w:pPr>
              <w:spacing w:line="360" w:lineRule="auto"/>
              <w:rPr>
                <w:rFonts w:asciiTheme="minorEastAsia" w:hAnsiTheme="minorEastAsia"/>
                <w:color w:val="auto"/>
                <w:highlight w:val="none"/>
              </w:rPr>
            </w:pPr>
          </w:p>
        </w:tc>
        <w:tc>
          <w:tcPr>
            <w:tcW w:w="992" w:type="dxa"/>
          </w:tcPr>
          <w:p w14:paraId="65853514">
            <w:pPr>
              <w:spacing w:line="360" w:lineRule="auto"/>
              <w:rPr>
                <w:rFonts w:asciiTheme="minorEastAsia" w:hAnsiTheme="minorEastAsia"/>
                <w:color w:val="auto"/>
                <w:highlight w:val="none"/>
              </w:rPr>
            </w:pPr>
          </w:p>
        </w:tc>
      </w:tr>
      <w:tr w14:paraId="38A1C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tcPr>
          <w:p w14:paraId="12FAAA28">
            <w:pPr>
              <w:spacing w:line="360" w:lineRule="auto"/>
              <w:rPr>
                <w:rFonts w:asciiTheme="minorEastAsia" w:hAnsiTheme="minorEastAsia"/>
                <w:color w:val="auto"/>
                <w:highlight w:val="none"/>
              </w:rPr>
            </w:pPr>
          </w:p>
        </w:tc>
        <w:tc>
          <w:tcPr>
            <w:tcW w:w="1226" w:type="dxa"/>
          </w:tcPr>
          <w:p w14:paraId="32F7E889">
            <w:pPr>
              <w:spacing w:line="360" w:lineRule="auto"/>
              <w:rPr>
                <w:rFonts w:asciiTheme="minorEastAsia" w:hAnsiTheme="minorEastAsia"/>
                <w:color w:val="auto"/>
                <w:highlight w:val="none"/>
              </w:rPr>
            </w:pPr>
          </w:p>
        </w:tc>
        <w:tc>
          <w:tcPr>
            <w:tcW w:w="851" w:type="dxa"/>
          </w:tcPr>
          <w:p w14:paraId="6FA37421">
            <w:pPr>
              <w:spacing w:line="360" w:lineRule="auto"/>
              <w:rPr>
                <w:rFonts w:asciiTheme="minorEastAsia" w:hAnsiTheme="minorEastAsia"/>
                <w:color w:val="auto"/>
                <w:highlight w:val="none"/>
              </w:rPr>
            </w:pPr>
          </w:p>
        </w:tc>
        <w:tc>
          <w:tcPr>
            <w:tcW w:w="708" w:type="dxa"/>
          </w:tcPr>
          <w:p w14:paraId="14161BD5">
            <w:pPr>
              <w:spacing w:line="360" w:lineRule="auto"/>
              <w:rPr>
                <w:rFonts w:asciiTheme="minorEastAsia" w:hAnsiTheme="minorEastAsia"/>
                <w:color w:val="auto"/>
                <w:highlight w:val="none"/>
              </w:rPr>
            </w:pPr>
          </w:p>
        </w:tc>
        <w:tc>
          <w:tcPr>
            <w:tcW w:w="709" w:type="dxa"/>
          </w:tcPr>
          <w:p w14:paraId="23C0E0E3">
            <w:pPr>
              <w:spacing w:line="360" w:lineRule="auto"/>
              <w:rPr>
                <w:rFonts w:asciiTheme="minorEastAsia" w:hAnsiTheme="minorEastAsia"/>
                <w:color w:val="auto"/>
                <w:highlight w:val="none"/>
              </w:rPr>
            </w:pPr>
          </w:p>
        </w:tc>
        <w:tc>
          <w:tcPr>
            <w:tcW w:w="851" w:type="dxa"/>
          </w:tcPr>
          <w:p w14:paraId="45AA7549">
            <w:pPr>
              <w:spacing w:line="360" w:lineRule="auto"/>
              <w:rPr>
                <w:rFonts w:asciiTheme="minorEastAsia" w:hAnsiTheme="minorEastAsia"/>
                <w:color w:val="auto"/>
                <w:highlight w:val="none"/>
              </w:rPr>
            </w:pPr>
          </w:p>
        </w:tc>
        <w:tc>
          <w:tcPr>
            <w:tcW w:w="1134" w:type="dxa"/>
          </w:tcPr>
          <w:p w14:paraId="614DEB73">
            <w:pPr>
              <w:spacing w:line="360" w:lineRule="auto"/>
              <w:rPr>
                <w:rFonts w:asciiTheme="minorEastAsia" w:hAnsiTheme="minorEastAsia"/>
                <w:color w:val="auto"/>
                <w:highlight w:val="none"/>
              </w:rPr>
            </w:pPr>
          </w:p>
        </w:tc>
        <w:tc>
          <w:tcPr>
            <w:tcW w:w="992" w:type="dxa"/>
          </w:tcPr>
          <w:p w14:paraId="3C0E222F">
            <w:pPr>
              <w:spacing w:line="360" w:lineRule="auto"/>
              <w:rPr>
                <w:rFonts w:asciiTheme="minorEastAsia" w:hAnsiTheme="minorEastAsia"/>
                <w:color w:val="auto"/>
                <w:highlight w:val="none"/>
              </w:rPr>
            </w:pPr>
          </w:p>
        </w:tc>
        <w:tc>
          <w:tcPr>
            <w:tcW w:w="1134" w:type="dxa"/>
          </w:tcPr>
          <w:p w14:paraId="551BFB13">
            <w:pPr>
              <w:spacing w:line="360" w:lineRule="auto"/>
              <w:rPr>
                <w:rFonts w:asciiTheme="minorEastAsia" w:hAnsiTheme="minorEastAsia"/>
                <w:color w:val="auto"/>
                <w:highlight w:val="none"/>
              </w:rPr>
            </w:pPr>
          </w:p>
        </w:tc>
        <w:tc>
          <w:tcPr>
            <w:tcW w:w="992" w:type="dxa"/>
          </w:tcPr>
          <w:p w14:paraId="55114C1D">
            <w:pPr>
              <w:spacing w:line="360" w:lineRule="auto"/>
              <w:rPr>
                <w:rFonts w:asciiTheme="minorEastAsia" w:hAnsiTheme="minorEastAsia"/>
                <w:color w:val="auto"/>
                <w:highlight w:val="none"/>
              </w:rPr>
            </w:pPr>
          </w:p>
        </w:tc>
      </w:tr>
    </w:tbl>
    <w:p w14:paraId="3745C526">
      <w:pPr>
        <w:rPr>
          <w:rFonts w:asciiTheme="minorEastAsia" w:hAnsiTheme="minorEastAsia"/>
          <w:color w:val="auto"/>
          <w:highlight w:val="none"/>
        </w:rPr>
      </w:pPr>
    </w:p>
    <w:p w14:paraId="45D729A1">
      <w:pPr>
        <w:rPr>
          <w:rFonts w:asciiTheme="minorEastAsia" w:hAnsiTheme="minorEastAsia"/>
          <w:color w:val="auto"/>
          <w:highlight w:val="none"/>
        </w:rPr>
      </w:pPr>
    </w:p>
    <w:p w14:paraId="318DB407">
      <w:pPr>
        <w:outlineLvl w:val="0"/>
        <w:rPr>
          <w:rFonts w:asciiTheme="minorEastAsia" w:hAnsiTheme="minorEastAsia"/>
          <w:color w:val="auto"/>
          <w:sz w:val="24"/>
          <w:szCs w:val="24"/>
          <w:highlight w:val="none"/>
        </w:rPr>
      </w:pPr>
      <w:bookmarkStart w:id="1417" w:name="_Toc20746"/>
      <w:bookmarkStart w:id="1418" w:name="_Toc97108137"/>
      <w:bookmarkStart w:id="1419" w:name="_Toc18696"/>
      <w:r>
        <w:rPr>
          <w:rFonts w:hint="eastAsia" w:cs="宋体" w:asciiTheme="minorEastAsia" w:hAnsiTheme="minorEastAsia"/>
          <w:color w:val="auto"/>
          <w:sz w:val="24"/>
          <w:szCs w:val="24"/>
          <w:highlight w:val="none"/>
        </w:rPr>
        <w:t>附表二：拟配备本工程的试验和检测仪器设备表</w:t>
      </w:r>
      <w:bookmarkEnd w:id="1417"/>
      <w:bookmarkEnd w:id="1418"/>
      <w:bookmarkEnd w:id="1419"/>
    </w:p>
    <w:tbl>
      <w:tblPr>
        <w:tblStyle w:val="27"/>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5556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4407757A">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序号</w:t>
            </w:r>
          </w:p>
        </w:tc>
        <w:tc>
          <w:tcPr>
            <w:tcW w:w="1226" w:type="dxa"/>
            <w:vAlign w:val="center"/>
          </w:tcPr>
          <w:p w14:paraId="322FB1ED">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仪器设备名称</w:t>
            </w:r>
          </w:p>
        </w:tc>
        <w:tc>
          <w:tcPr>
            <w:tcW w:w="851" w:type="dxa"/>
            <w:vAlign w:val="center"/>
          </w:tcPr>
          <w:p w14:paraId="6FF31F14">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型号</w:t>
            </w:r>
          </w:p>
          <w:p w14:paraId="41677066">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规格</w:t>
            </w:r>
          </w:p>
        </w:tc>
        <w:tc>
          <w:tcPr>
            <w:tcW w:w="708" w:type="dxa"/>
            <w:vAlign w:val="center"/>
          </w:tcPr>
          <w:p w14:paraId="15DD8BD2">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数量</w:t>
            </w:r>
          </w:p>
        </w:tc>
        <w:tc>
          <w:tcPr>
            <w:tcW w:w="709" w:type="dxa"/>
            <w:vAlign w:val="center"/>
          </w:tcPr>
          <w:p w14:paraId="70637216">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国别</w:t>
            </w:r>
          </w:p>
          <w:p w14:paraId="07625121">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产地</w:t>
            </w:r>
          </w:p>
        </w:tc>
        <w:tc>
          <w:tcPr>
            <w:tcW w:w="1134" w:type="dxa"/>
            <w:vAlign w:val="center"/>
          </w:tcPr>
          <w:p w14:paraId="7B288B67">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制造年份</w:t>
            </w:r>
          </w:p>
        </w:tc>
        <w:tc>
          <w:tcPr>
            <w:tcW w:w="1276" w:type="dxa"/>
            <w:vAlign w:val="center"/>
          </w:tcPr>
          <w:p w14:paraId="12F38BE8">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已使用</w:t>
            </w:r>
          </w:p>
          <w:p w14:paraId="449D87F5">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台时数</w:t>
            </w:r>
          </w:p>
        </w:tc>
        <w:tc>
          <w:tcPr>
            <w:tcW w:w="1134" w:type="dxa"/>
            <w:vAlign w:val="center"/>
          </w:tcPr>
          <w:p w14:paraId="6A4FC80C">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用途</w:t>
            </w:r>
          </w:p>
        </w:tc>
        <w:tc>
          <w:tcPr>
            <w:tcW w:w="1559" w:type="dxa"/>
            <w:vAlign w:val="center"/>
          </w:tcPr>
          <w:p w14:paraId="3D6AEFFB">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备注</w:t>
            </w:r>
          </w:p>
        </w:tc>
      </w:tr>
      <w:tr w14:paraId="13A9B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15EFA7CA">
            <w:pPr>
              <w:spacing w:line="360" w:lineRule="auto"/>
              <w:ind w:firstLine="420" w:firstLineChars="200"/>
              <w:rPr>
                <w:rFonts w:asciiTheme="minorEastAsia" w:hAnsiTheme="minorEastAsia"/>
                <w:color w:val="auto"/>
                <w:highlight w:val="none"/>
              </w:rPr>
            </w:pPr>
          </w:p>
        </w:tc>
        <w:tc>
          <w:tcPr>
            <w:tcW w:w="1226" w:type="dxa"/>
            <w:vAlign w:val="center"/>
          </w:tcPr>
          <w:p w14:paraId="02C20DDA">
            <w:pPr>
              <w:spacing w:line="360" w:lineRule="auto"/>
              <w:ind w:firstLine="420" w:firstLineChars="200"/>
              <w:rPr>
                <w:rFonts w:asciiTheme="minorEastAsia" w:hAnsiTheme="minorEastAsia"/>
                <w:color w:val="auto"/>
                <w:highlight w:val="none"/>
              </w:rPr>
            </w:pPr>
          </w:p>
        </w:tc>
        <w:tc>
          <w:tcPr>
            <w:tcW w:w="851" w:type="dxa"/>
            <w:vAlign w:val="center"/>
          </w:tcPr>
          <w:p w14:paraId="3AC7A813">
            <w:pPr>
              <w:spacing w:line="360" w:lineRule="auto"/>
              <w:ind w:firstLine="420" w:firstLineChars="200"/>
              <w:rPr>
                <w:rFonts w:asciiTheme="minorEastAsia" w:hAnsiTheme="minorEastAsia"/>
                <w:color w:val="auto"/>
                <w:highlight w:val="none"/>
              </w:rPr>
            </w:pPr>
          </w:p>
        </w:tc>
        <w:tc>
          <w:tcPr>
            <w:tcW w:w="708" w:type="dxa"/>
            <w:vAlign w:val="center"/>
          </w:tcPr>
          <w:p w14:paraId="2443568D">
            <w:pPr>
              <w:spacing w:line="360" w:lineRule="auto"/>
              <w:ind w:firstLine="420" w:firstLineChars="200"/>
              <w:rPr>
                <w:rFonts w:asciiTheme="minorEastAsia" w:hAnsiTheme="minorEastAsia"/>
                <w:color w:val="auto"/>
                <w:highlight w:val="none"/>
              </w:rPr>
            </w:pPr>
          </w:p>
        </w:tc>
        <w:tc>
          <w:tcPr>
            <w:tcW w:w="709" w:type="dxa"/>
            <w:vAlign w:val="center"/>
          </w:tcPr>
          <w:p w14:paraId="5CC72F5B">
            <w:pPr>
              <w:spacing w:line="360" w:lineRule="auto"/>
              <w:ind w:firstLine="420" w:firstLineChars="200"/>
              <w:rPr>
                <w:rFonts w:asciiTheme="minorEastAsia" w:hAnsiTheme="minorEastAsia"/>
                <w:color w:val="auto"/>
                <w:highlight w:val="none"/>
              </w:rPr>
            </w:pPr>
          </w:p>
        </w:tc>
        <w:tc>
          <w:tcPr>
            <w:tcW w:w="1134" w:type="dxa"/>
            <w:vAlign w:val="center"/>
          </w:tcPr>
          <w:p w14:paraId="23C3FA34">
            <w:pPr>
              <w:spacing w:line="360" w:lineRule="auto"/>
              <w:ind w:firstLine="420" w:firstLineChars="200"/>
              <w:rPr>
                <w:rFonts w:asciiTheme="minorEastAsia" w:hAnsiTheme="minorEastAsia"/>
                <w:color w:val="auto"/>
                <w:highlight w:val="none"/>
              </w:rPr>
            </w:pPr>
          </w:p>
        </w:tc>
        <w:tc>
          <w:tcPr>
            <w:tcW w:w="1276" w:type="dxa"/>
            <w:vAlign w:val="center"/>
          </w:tcPr>
          <w:p w14:paraId="77F0F39D">
            <w:pPr>
              <w:spacing w:line="360" w:lineRule="auto"/>
              <w:ind w:firstLine="420" w:firstLineChars="200"/>
              <w:rPr>
                <w:rFonts w:asciiTheme="minorEastAsia" w:hAnsiTheme="minorEastAsia"/>
                <w:color w:val="auto"/>
                <w:highlight w:val="none"/>
              </w:rPr>
            </w:pPr>
          </w:p>
        </w:tc>
        <w:tc>
          <w:tcPr>
            <w:tcW w:w="1134" w:type="dxa"/>
            <w:vAlign w:val="center"/>
          </w:tcPr>
          <w:p w14:paraId="487A7412">
            <w:pPr>
              <w:spacing w:line="360" w:lineRule="auto"/>
              <w:ind w:firstLine="420" w:firstLineChars="200"/>
              <w:rPr>
                <w:rFonts w:asciiTheme="minorEastAsia" w:hAnsiTheme="minorEastAsia"/>
                <w:color w:val="auto"/>
                <w:highlight w:val="none"/>
              </w:rPr>
            </w:pPr>
          </w:p>
        </w:tc>
        <w:tc>
          <w:tcPr>
            <w:tcW w:w="1559" w:type="dxa"/>
            <w:vAlign w:val="center"/>
          </w:tcPr>
          <w:p w14:paraId="6221A31B">
            <w:pPr>
              <w:spacing w:line="360" w:lineRule="auto"/>
              <w:ind w:firstLine="420" w:firstLineChars="200"/>
              <w:rPr>
                <w:rFonts w:asciiTheme="minorEastAsia" w:hAnsiTheme="minorEastAsia"/>
                <w:color w:val="auto"/>
                <w:highlight w:val="none"/>
              </w:rPr>
            </w:pPr>
          </w:p>
        </w:tc>
      </w:tr>
      <w:tr w14:paraId="21D6C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5580422F">
            <w:pPr>
              <w:spacing w:line="360" w:lineRule="auto"/>
              <w:ind w:firstLine="420" w:firstLineChars="200"/>
              <w:rPr>
                <w:rFonts w:asciiTheme="minorEastAsia" w:hAnsiTheme="minorEastAsia"/>
                <w:color w:val="auto"/>
                <w:highlight w:val="none"/>
              </w:rPr>
            </w:pPr>
          </w:p>
        </w:tc>
        <w:tc>
          <w:tcPr>
            <w:tcW w:w="1226" w:type="dxa"/>
            <w:vAlign w:val="center"/>
          </w:tcPr>
          <w:p w14:paraId="4D081450">
            <w:pPr>
              <w:spacing w:line="360" w:lineRule="auto"/>
              <w:ind w:firstLine="420" w:firstLineChars="200"/>
              <w:rPr>
                <w:rFonts w:asciiTheme="minorEastAsia" w:hAnsiTheme="minorEastAsia"/>
                <w:color w:val="auto"/>
                <w:highlight w:val="none"/>
              </w:rPr>
            </w:pPr>
          </w:p>
        </w:tc>
        <w:tc>
          <w:tcPr>
            <w:tcW w:w="851" w:type="dxa"/>
            <w:vAlign w:val="center"/>
          </w:tcPr>
          <w:p w14:paraId="6C67E915">
            <w:pPr>
              <w:spacing w:line="360" w:lineRule="auto"/>
              <w:ind w:firstLine="420" w:firstLineChars="200"/>
              <w:rPr>
                <w:rFonts w:asciiTheme="minorEastAsia" w:hAnsiTheme="minorEastAsia"/>
                <w:color w:val="auto"/>
                <w:highlight w:val="none"/>
              </w:rPr>
            </w:pPr>
          </w:p>
        </w:tc>
        <w:tc>
          <w:tcPr>
            <w:tcW w:w="708" w:type="dxa"/>
            <w:vAlign w:val="center"/>
          </w:tcPr>
          <w:p w14:paraId="2281DA51">
            <w:pPr>
              <w:spacing w:line="360" w:lineRule="auto"/>
              <w:ind w:firstLine="420" w:firstLineChars="200"/>
              <w:rPr>
                <w:rFonts w:asciiTheme="minorEastAsia" w:hAnsiTheme="minorEastAsia"/>
                <w:color w:val="auto"/>
                <w:highlight w:val="none"/>
              </w:rPr>
            </w:pPr>
          </w:p>
        </w:tc>
        <w:tc>
          <w:tcPr>
            <w:tcW w:w="709" w:type="dxa"/>
            <w:vAlign w:val="center"/>
          </w:tcPr>
          <w:p w14:paraId="1E98C579">
            <w:pPr>
              <w:spacing w:line="360" w:lineRule="auto"/>
              <w:ind w:firstLine="420" w:firstLineChars="200"/>
              <w:rPr>
                <w:rFonts w:asciiTheme="minorEastAsia" w:hAnsiTheme="minorEastAsia"/>
                <w:color w:val="auto"/>
                <w:highlight w:val="none"/>
              </w:rPr>
            </w:pPr>
          </w:p>
        </w:tc>
        <w:tc>
          <w:tcPr>
            <w:tcW w:w="1134" w:type="dxa"/>
            <w:vAlign w:val="center"/>
          </w:tcPr>
          <w:p w14:paraId="75415B12">
            <w:pPr>
              <w:spacing w:line="360" w:lineRule="auto"/>
              <w:ind w:firstLine="420" w:firstLineChars="200"/>
              <w:rPr>
                <w:rFonts w:asciiTheme="minorEastAsia" w:hAnsiTheme="minorEastAsia"/>
                <w:color w:val="auto"/>
                <w:highlight w:val="none"/>
              </w:rPr>
            </w:pPr>
          </w:p>
        </w:tc>
        <w:tc>
          <w:tcPr>
            <w:tcW w:w="1276" w:type="dxa"/>
            <w:vAlign w:val="center"/>
          </w:tcPr>
          <w:p w14:paraId="3D94C94A">
            <w:pPr>
              <w:spacing w:line="360" w:lineRule="auto"/>
              <w:ind w:firstLine="420" w:firstLineChars="200"/>
              <w:rPr>
                <w:rFonts w:asciiTheme="minorEastAsia" w:hAnsiTheme="minorEastAsia"/>
                <w:color w:val="auto"/>
                <w:highlight w:val="none"/>
              </w:rPr>
            </w:pPr>
          </w:p>
        </w:tc>
        <w:tc>
          <w:tcPr>
            <w:tcW w:w="1134" w:type="dxa"/>
            <w:vAlign w:val="center"/>
          </w:tcPr>
          <w:p w14:paraId="3DA9EEC7">
            <w:pPr>
              <w:spacing w:line="360" w:lineRule="auto"/>
              <w:ind w:firstLine="420" w:firstLineChars="200"/>
              <w:rPr>
                <w:rFonts w:asciiTheme="minorEastAsia" w:hAnsiTheme="minorEastAsia"/>
                <w:color w:val="auto"/>
                <w:highlight w:val="none"/>
              </w:rPr>
            </w:pPr>
          </w:p>
        </w:tc>
        <w:tc>
          <w:tcPr>
            <w:tcW w:w="1559" w:type="dxa"/>
            <w:vAlign w:val="center"/>
          </w:tcPr>
          <w:p w14:paraId="1C412714">
            <w:pPr>
              <w:spacing w:line="360" w:lineRule="auto"/>
              <w:ind w:firstLine="420" w:firstLineChars="200"/>
              <w:rPr>
                <w:rFonts w:asciiTheme="minorEastAsia" w:hAnsiTheme="minorEastAsia"/>
                <w:color w:val="auto"/>
                <w:highlight w:val="none"/>
              </w:rPr>
            </w:pPr>
          </w:p>
        </w:tc>
      </w:tr>
      <w:tr w14:paraId="0E17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7FFA758F">
            <w:pPr>
              <w:spacing w:line="360" w:lineRule="auto"/>
              <w:ind w:firstLine="420" w:firstLineChars="200"/>
              <w:rPr>
                <w:rFonts w:asciiTheme="minorEastAsia" w:hAnsiTheme="minorEastAsia"/>
                <w:color w:val="auto"/>
                <w:highlight w:val="none"/>
              </w:rPr>
            </w:pPr>
          </w:p>
        </w:tc>
        <w:tc>
          <w:tcPr>
            <w:tcW w:w="1226" w:type="dxa"/>
            <w:vAlign w:val="center"/>
          </w:tcPr>
          <w:p w14:paraId="5C519AF1">
            <w:pPr>
              <w:spacing w:line="360" w:lineRule="auto"/>
              <w:ind w:firstLine="420" w:firstLineChars="200"/>
              <w:rPr>
                <w:rFonts w:asciiTheme="minorEastAsia" w:hAnsiTheme="minorEastAsia"/>
                <w:color w:val="auto"/>
                <w:highlight w:val="none"/>
              </w:rPr>
            </w:pPr>
          </w:p>
        </w:tc>
        <w:tc>
          <w:tcPr>
            <w:tcW w:w="851" w:type="dxa"/>
            <w:vAlign w:val="center"/>
          </w:tcPr>
          <w:p w14:paraId="174B64DA">
            <w:pPr>
              <w:spacing w:line="360" w:lineRule="auto"/>
              <w:ind w:firstLine="420" w:firstLineChars="200"/>
              <w:rPr>
                <w:rFonts w:asciiTheme="minorEastAsia" w:hAnsiTheme="minorEastAsia"/>
                <w:color w:val="auto"/>
                <w:highlight w:val="none"/>
              </w:rPr>
            </w:pPr>
          </w:p>
        </w:tc>
        <w:tc>
          <w:tcPr>
            <w:tcW w:w="708" w:type="dxa"/>
            <w:vAlign w:val="center"/>
          </w:tcPr>
          <w:p w14:paraId="47557563">
            <w:pPr>
              <w:spacing w:line="360" w:lineRule="auto"/>
              <w:ind w:firstLine="420" w:firstLineChars="200"/>
              <w:rPr>
                <w:rFonts w:asciiTheme="minorEastAsia" w:hAnsiTheme="minorEastAsia"/>
                <w:color w:val="auto"/>
                <w:highlight w:val="none"/>
              </w:rPr>
            </w:pPr>
          </w:p>
        </w:tc>
        <w:tc>
          <w:tcPr>
            <w:tcW w:w="709" w:type="dxa"/>
            <w:vAlign w:val="center"/>
          </w:tcPr>
          <w:p w14:paraId="20E9B98C">
            <w:pPr>
              <w:spacing w:line="360" w:lineRule="auto"/>
              <w:ind w:firstLine="420" w:firstLineChars="200"/>
              <w:rPr>
                <w:rFonts w:asciiTheme="minorEastAsia" w:hAnsiTheme="minorEastAsia"/>
                <w:color w:val="auto"/>
                <w:highlight w:val="none"/>
              </w:rPr>
            </w:pPr>
          </w:p>
        </w:tc>
        <w:tc>
          <w:tcPr>
            <w:tcW w:w="1134" w:type="dxa"/>
            <w:vAlign w:val="center"/>
          </w:tcPr>
          <w:p w14:paraId="0356A58E">
            <w:pPr>
              <w:spacing w:line="360" w:lineRule="auto"/>
              <w:ind w:firstLine="420" w:firstLineChars="200"/>
              <w:rPr>
                <w:rFonts w:asciiTheme="minorEastAsia" w:hAnsiTheme="minorEastAsia"/>
                <w:color w:val="auto"/>
                <w:highlight w:val="none"/>
              </w:rPr>
            </w:pPr>
          </w:p>
        </w:tc>
        <w:tc>
          <w:tcPr>
            <w:tcW w:w="1276" w:type="dxa"/>
            <w:vAlign w:val="center"/>
          </w:tcPr>
          <w:p w14:paraId="18569386">
            <w:pPr>
              <w:spacing w:line="360" w:lineRule="auto"/>
              <w:ind w:firstLine="420" w:firstLineChars="200"/>
              <w:rPr>
                <w:rFonts w:asciiTheme="minorEastAsia" w:hAnsiTheme="minorEastAsia"/>
                <w:color w:val="auto"/>
                <w:highlight w:val="none"/>
              </w:rPr>
            </w:pPr>
          </w:p>
        </w:tc>
        <w:tc>
          <w:tcPr>
            <w:tcW w:w="1134" w:type="dxa"/>
            <w:vAlign w:val="center"/>
          </w:tcPr>
          <w:p w14:paraId="4598A203">
            <w:pPr>
              <w:spacing w:line="360" w:lineRule="auto"/>
              <w:ind w:firstLine="420" w:firstLineChars="200"/>
              <w:rPr>
                <w:rFonts w:asciiTheme="minorEastAsia" w:hAnsiTheme="minorEastAsia"/>
                <w:color w:val="auto"/>
                <w:highlight w:val="none"/>
              </w:rPr>
            </w:pPr>
          </w:p>
        </w:tc>
        <w:tc>
          <w:tcPr>
            <w:tcW w:w="1559" w:type="dxa"/>
            <w:vAlign w:val="center"/>
          </w:tcPr>
          <w:p w14:paraId="4DE72AE5">
            <w:pPr>
              <w:spacing w:line="360" w:lineRule="auto"/>
              <w:ind w:firstLine="420" w:firstLineChars="200"/>
              <w:rPr>
                <w:rFonts w:asciiTheme="minorEastAsia" w:hAnsiTheme="minorEastAsia"/>
                <w:color w:val="auto"/>
                <w:highlight w:val="none"/>
              </w:rPr>
            </w:pPr>
          </w:p>
        </w:tc>
      </w:tr>
      <w:tr w14:paraId="6D28E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0CD267BF">
            <w:pPr>
              <w:spacing w:line="360" w:lineRule="auto"/>
              <w:ind w:firstLine="420" w:firstLineChars="200"/>
              <w:rPr>
                <w:rFonts w:asciiTheme="minorEastAsia" w:hAnsiTheme="minorEastAsia"/>
                <w:color w:val="auto"/>
                <w:highlight w:val="none"/>
              </w:rPr>
            </w:pPr>
          </w:p>
        </w:tc>
        <w:tc>
          <w:tcPr>
            <w:tcW w:w="1226" w:type="dxa"/>
            <w:vAlign w:val="center"/>
          </w:tcPr>
          <w:p w14:paraId="41609DD0">
            <w:pPr>
              <w:spacing w:line="360" w:lineRule="auto"/>
              <w:ind w:firstLine="420" w:firstLineChars="200"/>
              <w:rPr>
                <w:rFonts w:asciiTheme="minorEastAsia" w:hAnsiTheme="minorEastAsia"/>
                <w:color w:val="auto"/>
                <w:highlight w:val="none"/>
              </w:rPr>
            </w:pPr>
          </w:p>
        </w:tc>
        <w:tc>
          <w:tcPr>
            <w:tcW w:w="851" w:type="dxa"/>
            <w:vAlign w:val="center"/>
          </w:tcPr>
          <w:p w14:paraId="0555690D">
            <w:pPr>
              <w:spacing w:line="360" w:lineRule="auto"/>
              <w:ind w:firstLine="420" w:firstLineChars="200"/>
              <w:rPr>
                <w:rFonts w:asciiTheme="minorEastAsia" w:hAnsiTheme="minorEastAsia"/>
                <w:color w:val="auto"/>
                <w:highlight w:val="none"/>
              </w:rPr>
            </w:pPr>
          </w:p>
        </w:tc>
        <w:tc>
          <w:tcPr>
            <w:tcW w:w="708" w:type="dxa"/>
            <w:vAlign w:val="center"/>
          </w:tcPr>
          <w:p w14:paraId="44112C6B">
            <w:pPr>
              <w:spacing w:line="360" w:lineRule="auto"/>
              <w:ind w:firstLine="420" w:firstLineChars="200"/>
              <w:rPr>
                <w:rFonts w:asciiTheme="minorEastAsia" w:hAnsiTheme="minorEastAsia"/>
                <w:color w:val="auto"/>
                <w:highlight w:val="none"/>
              </w:rPr>
            </w:pPr>
          </w:p>
        </w:tc>
        <w:tc>
          <w:tcPr>
            <w:tcW w:w="709" w:type="dxa"/>
            <w:vAlign w:val="center"/>
          </w:tcPr>
          <w:p w14:paraId="4A9AF9BB">
            <w:pPr>
              <w:spacing w:line="360" w:lineRule="auto"/>
              <w:ind w:firstLine="420" w:firstLineChars="200"/>
              <w:rPr>
                <w:rFonts w:asciiTheme="minorEastAsia" w:hAnsiTheme="minorEastAsia"/>
                <w:color w:val="auto"/>
                <w:highlight w:val="none"/>
              </w:rPr>
            </w:pPr>
          </w:p>
        </w:tc>
        <w:tc>
          <w:tcPr>
            <w:tcW w:w="1134" w:type="dxa"/>
            <w:vAlign w:val="center"/>
          </w:tcPr>
          <w:p w14:paraId="53EA8C85">
            <w:pPr>
              <w:spacing w:line="360" w:lineRule="auto"/>
              <w:ind w:firstLine="420" w:firstLineChars="200"/>
              <w:rPr>
                <w:rFonts w:asciiTheme="minorEastAsia" w:hAnsiTheme="minorEastAsia"/>
                <w:color w:val="auto"/>
                <w:highlight w:val="none"/>
              </w:rPr>
            </w:pPr>
          </w:p>
        </w:tc>
        <w:tc>
          <w:tcPr>
            <w:tcW w:w="1276" w:type="dxa"/>
            <w:vAlign w:val="center"/>
          </w:tcPr>
          <w:p w14:paraId="24853323">
            <w:pPr>
              <w:spacing w:line="360" w:lineRule="auto"/>
              <w:ind w:firstLine="420" w:firstLineChars="200"/>
              <w:rPr>
                <w:rFonts w:asciiTheme="minorEastAsia" w:hAnsiTheme="minorEastAsia"/>
                <w:color w:val="auto"/>
                <w:highlight w:val="none"/>
              </w:rPr>
            </w:pPr>
          </w:p>
        </w:tc>
        <w:tc>
          <w:tcPr>
            <w:tcW w:w="1134" w:type="dxa"/>
            <w:vAlign w:val="center"/>
          </w:tcPr>
          <w:p w14:paraId="1D97A86C">
            <w:pPr>
              <w:spacing w:line="360" w:lineRule="auto"/>
              <w:ind w:firstLine="420" w:firstLineChars="200"/>
              <w:rPr>
                <w:rFonts w:asciiTheme="minorEastAsia" w:hAnsiTheme="minorEastAsia"/>
                <w:color w:val="auto"/>
                <w:highlight w:val="none"/>
              </w:rPr>
            </w:pPr>
          </w:p>
        </w:tc>
        <w:tc>
          <w:tcPr>
            <w:tcW w:w="1559" w:type="dxa"/>
            <w:vAlign w:val="center"/>
          </w:tcPr>
          <w:p w14:paraId="24FEB7FC">
            <w:pPr>
              <w:spacing w:line="360" w:lineRule="auto"/>
              <w:ind w:firstLine="420" w:firstLineChars="200"/>
              <w:rPr>
                <w:rFonts w:asciiTheme="minorEastAsia" w:hAnsiTheme="minorEastAsia"/>
                <w:color w:val="auto"/>
                <w:highlight w:val="none"/>
              </w:rPr>
            </w:pPr>
          </w:p>
        </w:tc>
      </w:tr>
      <w:tr w14:paraId="78E3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vAlign w:val="center"/>
          </w:tcPr>
          <w:p w14:paraId="2F17FF73">
            <w:pPr>
              <w:spacing w:line="360" w:lineRule="auto"/>
              <w:ind w:firstLine="420" w:firstLineChars="200"/>
              <w:rPr>
                <w:rFonts w:asciiTheme="minorEastAsia" w:hAnsiTheme="minorEastAsia"/>
                <w:color w:val="auto"/>
                <w:highlight w:val="none"/>
              </w:rPr>
            </w:pPr>
          </w:p>
        </w:tc>
        <w:tc>
          <w:tcPr>
            <w:tcW w:w="1226" w:type="dxa"/>
            <w:vAlign w:val="center"/>
          </w:tcPr>
          <w:p w14:paraId="5969C4DB">
            <w:pPr>
              <w:spacing w:line="360" w:lineRule="auto"/>
              <w:ind w:firstLine="420" w:firstLineChars="200"/>
              <w:rPr>
                <w:rFonts w:asciiTheme="minorEastAsia" w:hAnsiTheme="minorEastAsia"/>
                <w:color w:val="auto"/>
                <w:highlight w:val="none"/>
              </w:rPr>
            </w:pPr>
          </w:p>
        </w:tc>
        <w:tc>
          <w:tcPr>
            <w:tcW w:w="851" w:type="dxa"/>
            <w:vAlign w:val="center"/>
          </w:tcPr>
          <w:p w14:paraId="39D7FD4B">
            <w:pPr>
              <w:spacing w:line="360" w:lineRule="auto"/>
              <w:ind w:firstLine="420" w:firstLineChars="200"/>
              <w:rPr>
                <w:rFonts w:asciiTheme="minorEastAsia" w:hAnsiTheme="minorEastAsia"/>
                <w:color w:val="auto"/>
                <w:highlight w:val="none"/>
              </w:rPr>
            </w:pPr>
          </w:p>
        </w:tc>
        <w:tc>
          <w:tcPr>
            <w:tcW w:w="708" w:type="dxa"/>
            <w:vAlign w:val="center"/>
          </w:tcPr>
          <w:p w14:paraId="24421BF8">
            <w:pPr>
              <w:spacing w:line="360" w:lineRule="auto"/>
              <w:ind w:firstLine="420" w:firstLineChars="200"/>
              <w:rPr>
                <w:rFonts w:asciiTheme="minorEastAsia" w:hAnsiTheme="minorEastAsia"/>
                <w:color w:val="auto"/>
                <w:highlight w:val="none"/>
              </w:rPr>
            </w:pPr>
          </w:p>
        </w:tc>
        <w:tc>
          <w:tcPr>
            <w:tcW w:w="709" w:type="dxa"/>
            <w:vAlign w:val="center"/>
          </w:tcPr>
          <w:p w14:paraId="3C80C264">
            <w:pPr>
              <w:spacing w:line="360" w:lineRule="auto"/>
              <w:ind w:firstLine="420" w:firstLineChars="200"/>
              <w:rPr>
                <w:rFonts w:asciiTheme="minorEastAsia" w:hAnsiTheme="minorEastAsia"/>
                <w:color w:val="auto"/>
                <w:highlight w:val="none"/>
              </w:rPr>
            </w:pPr>
          </w:p>
        </w:tc>
        <w:tc>
          <w:tcPr>
            <w:tcW w:w="1134" w:type="dxa"/>
            <w:vAlign w:val="center"/>
          </w:tcPr>
          <w:p w14:paraId="16C5DCCB">
            <w:pPr>
              <w:spacing w:line="360" w:lineRule="auto"/>
              <w:ind w:firstLine="420" w:firstLineChars="200"/>
              <w:rPr>
                <w:rFonts w:asciiTheme="minorEastAsia" w:hAnsiTheme="minorEastAsia"/>
                <w:color w:val="auto"/>
                <w:highlight w:val="none"/>
              </w:rPr>
            </w:pPr>
          </w:p>
        </w:tc>
        <w:tc>
          <w:tcPr>
            <w:tcW w:w="1276" w:type="dxa"/>
            <w:vAlign w:val="center"/>
          </w:tcPr>
          <w:p w14:paraId="11211844">
            <w:pPr>
              <w:spacing w:line="360" w:lineRule="auto"/>
              <w:ind w:firstLine="420" w:firstLineChars="200"/>
              <w:rPr>
                <w:rFonts w:asciiTheme="minorEastAsia" w:hAnsiTheme="minorEastAsia"/>
                <w:color w:val="auto"/>
                <w:highlight w:val="none"/>
              </w:rPr>
            </w:pPr>
          </w:p>
        </w:tc>
        <w:tc>
          <w:tcPr>
            <w:tcW w:w="1134" w:type="dxa"/>
            <w:vAlign w:val="center"/>
          </w:tcPr>
          <w:p w14:paraId="22167D99">
            <w:pPr>
              <w:spacing w:line="360" w:lineRule="auto"/>
              <w:ind w:firstLine="420" w:firstLineChars="200"/>
              <w:rPr>
                <w:rFonts w:asciiTheme="minorEastAsia" w:hAnsiTheme="minorEastAsia"/>
                <w:color w:val="auto"/>
                <w:highlight w:val="none"/>
              </w:rPr>
            </w:pPr>
          </w:p>
        </w:tc>
        <w:tc>
          <w:tcPr>
            <w:tcW w:w="1559" w:type="dxa"/>
            <w:vAlign w:val="center"/>
          </w:tcPr>
          <w:p w14:paraId="16DC1B9B">
            <w:pPr>
              <w:spacing w:line="360" w:lineRule="auto"/>
              <w:ind w:firstLine="420" w:firstLineChars="200"/>
              <w:rPr>
                <w:rFonts w:asciiTheme="minorEastAsia" w:hAnsiTheme="minorEastAsia"/>
                <w:color w:val="auto"/>
                <w:highlight w:val="none"/>
              </w:rPr>
            </w:pPr>
          </w:p>
        </w:tc>
      </w:tr>
    </w:tbl>
    <w:p w14:paraId="2A5B48CC">
      <w:pPr>
        <w:outlineLvl w:val="0"/>
        <w:rPr>
          <w:rFonts w:asciiTheme="minorEastAsia" w:hAnsiTheme="minorEastAsia"/>
          <w:color w:val="auto"/>
          <w:sz w:val="24"/>
          <w:szCs w:val="24"/>
          <w:highlight w:val="none"/>
        </w:rPr>
      </w:pPr>
      <w:bookmarkStart w:id="1420" w:name="_Toc27918"/>
      <w:bookmarkStart w:id="1421" w:name="_Toc97108138"/>
      <w:bookmarkStart w:id="1422" w:name="_Toc19159"/>
      <w:r>
        <w:rPr>
          <w:rFonts w:hint="eastAsia" w:cs="宋体" w:asciiTheme="minorEastAsia" w:hAnsiTheme="minorEastAsia"/>
          <w:color w:val="auto"/>
          <w:sz w:val="24"/>
          <w:szCs w:val="24"/>
          <w:highlight w:val="none"/>
        </w:rPr>
        <w:t>附表三：劳动力计划表</w:t>
      </w:r>
      <w:bookmarkEnd w:id="1420"/>
      <w:bookmarkEnd w:id="1421"/>
      <w:bookmarkEnd w:id="1422"/>
    </w:p>
    <w:p w14:paraId="67DF163B">
      <w:pPr>
        <w:ind w:firstLine="7680" w:firstLineChars="320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  </w:t>
      </w:r>
      <w:r>
        <w:rPr>
          <w:rFonts w:hint="eastAsia" w:cs="宋体" w:asciiTheme="minorEastAsia" w:hAnsiTheme="minorEastAsia"/>
          <w:color w:val="auto"/>
          <w:sz w:val="24"/>
          <w:szCs w:val="24"/>
          <w:highlight w:val="none"/>
        </w:rPr>
        <w:t>单位：人</w:t>
      </w:r>
    </w:p>
    <w:tbl>
      <w:tblPr>
        <w:tblStyle w:val="27"/>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16F8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8EC1792">
            <w:pPr>
              <w:spacing w:line="360" w:lineRule="auto"/>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工种</w:t>
            </w:r>
          </w:p>
        </w:tc>
        <w:tc>
          <w:tcPr>
            <w:tcW w:w="8506" w:type="dxa"/>
            <w:gridSpan w:val="7"/>
            <w:vAlign w:val="center"/>
          </w:tcPr>
          <w:p w14:paraId="7BF50F70">
            <w:pPr>
              <w:spacing w:line="360" w:lineRule="auto"/>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按工程施工阶段投入劳动力情况</w:t>
            </w:r>
          </w:p>
        </w:tc>
      </w:tr>
      <w:tr w14:paraId="18AB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36ABCDC">
            <w:pPr>
              <w:spacing w:line="360" w:lineRule="auto"/>
              <w:jc w:val="center"/>
              <w:rPr>
                <w:rFonts w:asciiTheme="minorEastAsia" w:hAnsiTheme="minorEastAsia"/>
                <w:color w:val="auto"/>
                <w:highlight w:val="none"/>
              </w:rPr>
            </w:pPr>
          </w:p>
        </w:tc>
        <w:tc>
          <w:tcPr>
            <w:tcW w:w="961" w:type="dxa"/>
            <w:vAlign w:val="center"/>
          </w:tcPr>
          <w:p w14:paraId="6237DF0B">
            <w:pPr>
              <w:spacing w:line="360" w:lineRule="auto"/>
              <w:jc w:val="center"/>
              <w:rPr>
                <w:rFonts w:asciiTheme="minorEastAsia" w:hAnsiTheme="minorEastAsia"/>
                <w:color w:val="auto"/>
                <w:highlight w:val="none"/>
              </w:rPr>
            </w:pPr>
          </w:p>
        </w:tc>
        <w:tc>
          <w:tcPr>
            <w:tcW w:w="1257" w:type="dxa"/>
            <w:vAlign w:val="center"/>
          </w:tcPr>
          <w:p w14:paraId="6868AFB1">
            <w:pPr>
              <w:spacing w:line="360" w:lineRule="auto"/>
              <w:jc w:val="center"/>
              <w:rPr>
                <w:rFonts w:asciiTheme="minorEastAsia" w:hAnsiTheme="minorEastAsia"/>
                <w:color w:val="auto"/>
                <w:highlight w:val="none"/>
              </w:rPr>
            </w:pPr>
          </w:p>
        </w:tc>
        <w:tc>
          <w:tcPr>
            <w:tcW w:w="1258" w:type="dxa"/>
            <w:vAlign w:val="center"/>
          </w:tcPr>
          <w:p w14:paraId="4DF2D705">
            <w:pPr>
              <w:spacing w:line="360" w:lineRule="auto"/>
              <w:jc w:val="center"/>
              <w:rPr>
                <w:rFonts w:asciiTheme="minorEastAsia" w:hAnsiTheme="minorEastAsia"/>
                <w:color w:val="auto"/>
                <w:highlight w:val="none"/>
              </w:rPr>
            </w:pPr>
          </w:p>
        </w:tc>
        <w:tc>
          <w:tcPr>
            <w:tcW w:w="1257" w:type="dxa"/>
            <w:vAlign w:val="center"/>
          </w:tcPr>
          <w:p w14:paraId="010EC39D">
            <w:pPr>
              <w:spacing w:line="360" w:lineRule="auto"/>
              <w:jc w:val="center"/>
              <w:rPr>
                <w:rFonts w:asciiTheme="minorEastAsia" w:hAnsiTheme="minorEastAsia"/>
                <w:color w:val="auto"/>
                <w:highlight w:val="none"/>
              </w:rPr>
            </w:pPr>
          </w:p>
        </w:tc>
        <w:tc>
          <w:tcPr>
            <w:tcW w:w="1258" w:type="dxa"/>
            <w:vAlign w:val="center"/>
          </w:tcPr>
          <w:p w14:paraId="7BF75C4D">
            <w:pPr>
              <w:spacing w:line="360" w:lineRule="auto"/>
              <w:jc w:val="center"/>
              <w:rPr>
                <w:rFonts w:asciiTheme="minorEastAsia" w:hAnsiTheme="minorEastAsia"/>
                <w:color w:val="auto"/>
                <w:highlight w:val="none"/>
              </w:rPr>
            </w:pPr>
          </w:p>
        </w:tc>
        <w:tc>
          <w:tcPr>
            <w:tcW w:w="1257" w:type="dxa"/>
            <w:vAlign w:val="center"/>
          </w:tcPr>
          <w:p w14:paraId="0E1C2588">
            <w:pPr>
              <w:spacing w:line="360" w:lineRule="auto"/>
              <w:jc w:val="center"/>
              <w:rPr>
                <w:rFonts w:asciiTheme="minorEastAsia" w:hAnsiTheme="minorEastAsia"/>
                <w:color w:val="auto"/>
                <w:highlight w:val="none"/>
              </w:rPr>
            </w:pPr>
          </w:p>
        </w:tc>
        <w:tc>
          <w:tcPr>
            <w:tcW w:w="1258" w:type="dxa"/>
            <w:vAlign w:val="center"/>
          </w:tcPr>
          <w:p w14:paraId="39421866">
            <w:pPr>
              <w:spacing w:line="360" w:lineRule="auto"/>
              <w:jc w:val="center"/>
              <w:rPr>
                <w:rFonts w:asciiTheme="minorEastAsia" w:hAnsiTheme="minorEastAsia"/>
                <w:color w:val="auto"/>
                <w:highlight w:val="none"/>
              </w:rPr>
            </w:pPr>
          </w:p>
        </w:tc>
      </w:tr>
      <w:tr w14:paraId="156D0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7AFF3A87">
            <w:pPr>
              <w:spacing w:line="360" w:lineRule="auto"/>
              <w:jc w:val="center"/>
              <w:rPr>
                <w:rFonts w:asciiTheme="minorEastAsia" w:hAnsiTheme="minorEastAsia"/>
                <w:color w:val="auto"/>
                <w:highlight w:val="none"/>
              </w:rPr>
            </w:pPr>
          </w:p>
        </w:tc>
        <w:tc>
          <w:tcPr>
            <w:tcW w:w="961" w:type="dxa"/>
            <w:vAlign w:val="center"/>
          </w:tcPr>
          <w:p w14:paraId="000F66E7">
            <w:pPr>
              <w:spacing w:line="360" w:lineRule="auto"/>
              <w:jc w:val="center"/>
              <w:rPr>
                <w:rFonts w:asciiTheme="minorEastAsia" w:hAnsiTheme="minorEastAsia"/>
                <w:color w:val="auto"/>
                <w:highlight w:val="none"/>
              </w:rPr>
            </w:pPr>
          </w:p>
        </w:tc>
        <w:tc>
          <w:tcPr>
            <w:tcW w:w="1257" w:type="dxa"/>
            <w:vAlign w:val="center"/>
          </w:tcPr>
          <w:p w14:paraId="43E19006">
            <w:pPr>
              <w:spacing w:line="360" w:lineRule="auto"/>
              <w:jc w:val="center"/>
              <w:rPr>
                <w:rFonts w:asciiTheme="minorEastAsia" w:hAnsiTheme="minorEastAsia"/>
                <w:color w:val="auto"/>
                <w:highlight w:val="none"/>
              </w:rPr>
            </w:pPr>
          </w:p>
        </w:tc>
        <w:tc>
          <w:tcPr>
            <w:tcW w:w="1258" w:type="dxa"/>
            <w:vAlign w:val="center"/>
          </w:tcPr>
          <w:p w14:paraId="768E2EA3">
            <w:pPr>
              <w:spacing w:line="360" w:lineRule="auto"/>
              <w:jc w:val="center"/>
              <w:rPr>
                <w:rFonts w:asciiTheme="minorEastAsia" w:hAnsiTheme="minorEastAsia"/>
                <w:color w:val="auto"/>
                <w:highlight w:val="none"/>
              </w:rPr>
            </w:pPr>
          </w:p>
        </w:tc>
        <w:tc>
          <w:tcPr>
            <w:tcW w:w="1257" w:type="dxa"/>
            <w:vAlign w:val="center"/>
          </w:tcPr>
          <w:p w14:paraId="30F56E99">
            <w:pPr>
              <w:spacing w:line="360" w:lineRule="auto"/>
              <w:jc w:val="center"/>
              <w:rPr>
                <w:rFonts w:asciiTheme="minorEastAsia" w:hAnsiTheme="minorEastAsia"/>
                <w:color w:val="auto"/>
                <w:highlight w:val="none"/>
              </w:rPr>
            </w:pPr>
          </w:p>
        </w:tc>
        <w:tc>
          <w:tcPr>
            <w:tcW w:w="1258" w:type="dxa"/>
            <w:vAlign w:val="center"/>
          </w:tcPr>
          <w:p w14:paraId="6F602D87">
            <w:pPr>
              <w:spacing w:line="360" w:lineRule="auto"/>
              <w:jc w:val="center"/>
              <w:rPr>
                <w:rFonts w:asciiTheme="minorEastAsia" w:hAnsiTheme="minorEastAsia"/>
                <w:color w:val="auto"/>
                <w:highlight w:val="none"/>
              </w:rPr>
            </w:pPr>
          </w:p>
        </w:tc>
        <w:tc>
          <w:tcPr>
            <w:tcW w:w="1257" w:type="dxa"/>
            <w:vAlign w:val="center"/>
          </w:tcPr>
          <w:p w14:paraId="4A442E0D">
            <w:pPr>
              <w:spacing w:line="360" w:lineRule="auto"/>
              <w:jc w:val="center"/>
              <w:rPr>
                <w:rFonts w:asciiTheme="minorEastAsia" w:hAnsiTheme="minorEastAsia"/>
                <w:color w:val="auto"/>
                <w:highlight w:val="none"/>
              </w:rPr>
            </w:pPr>
          </w:p>
        </w:tc>
        <w:tc>
          <w:tcPr>
            <w:tcW w:w="1258" w:type="dxa"/>
            <w:vAlign w:val="center"/>
          </w:tcPr>
          <w:p w14:paraId="32414BCE">
            <w:pPr>
              <w:spacing w:line="360" w:lineRule="auto"/>
              <w:jc w:val="center"/>
              <w:rPr>
                <w:rFonts w:asciiTheme="minorEastAsia" w:hAnsiTheme="minorEastAsia"/>
                <w:color w:val="auto"/>
                <w:highlight w:val="none"/>
              </w:rPr>
            </w:pPr>
          </w:p>
        </w:tc>
      </w:tr>
      <w:tr w14:paraId="2D95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4E9B314D">
            <w:pPr>
              <w:spacing w:line="360" w:lineRule="auto"/>
              <w:jc w:val="center"/>
              <w:rPr>
                <w:rFonts w:asciiTheme="minorEastAsia" w:hAnsiTheme="minorEastAsia"/>
                <w:color w:val="auto"/>
                <w:highlight w:val="none"/>
              </w:rPr>
            </w:pPr>
          </w:p>
        </w:tc>
        <w:tc>
          <w:tcPr>
            <w:tcW w:w="961" w:type="dxa"/>
            <w:vAlign w:val="center"/>
          </w:tcPr>
          <w:p w14:paraId="3D06579B">
            <w:pPr>
              <w:spacing w:line="360" w:lineRule="auto"/>
              <w:jc w:val="center"/>
              <w:rPr>
                <w:rFonts w:asciiTheme="minorEastAsia" w:hAnsiTheme="minorEastAsia"/>
                <w:color w:val="auto"/>
                <w:highlight w:val="none"/>
              </w:rPr>
            </w:pPr>
          </w:p>
        </w:tc>
        <w:tc>
          <w:tcPr>
            <w:tcW w:w="1257" w:type="dxa"/>
            <w:vAlign w:val="center"/>
          </w:tcPr>
          <w:p w14:paraId="2DA96431">
            <w:pPr>
              <w:spacing w:line="360" w:lineRule="auto"/>
              <w:jc w:val="center"/>
              <w:rPr>
                <w:rFonts w:asciiTheme="minorEastAsia" w:hAnsiTheme="minorEastAsia"/>
                <w:color w:val="auto"/>
                <w:highlight w:val="none"/>
              </w:rPr>
            </w:pPr>
          </w:p>
        </w:tc>
        <w:tc>
          <w:tcPr>
            <w:tcW w:w="1258" w:type="dxa"/>
            <w:vAlign w:val="center"/>
          </w:tcPr>
          <w:p w14:paraId="31D1EF4C">
            <w:pPr>
              <w:spacing w:line="360" w:lineRule="auto"/>
              <w:jc w:val="center"/>
              <w:rPr>
                <w:rFonts w:asciiTheme="minorEastAsia" w:hAnsiTheme="minorEastAsia"/>
                <w:color w:val="auto"/>
                <w:highlight w:val="none"/>
              </w:rPr>
            </w:pPr>
          </w:p>
        </w:tc>
        <w:tc>
          <w:tcPr>
            <w:tcW w:w="1257" w:type="dxa"/>
            <w:vAlign w:val="center"/>
          </w:tcPr>
          <w:p w14:paraId="7C041FF1">
            <w:pPr>
              <w:spacing w:line="360" w:lineRule="auto"/>
              <w:jc w:val="center"/>
              <w:rPr>
                <w:rFonts w:asciiTheme="minorEastAsia" w:hAnsiTheme="minorEastAsia"/>
                <w:color w:val="auto"/>
                <w:highlight w:val="none"/>
              </w:rPr>
            </w:pPr>
          </w:p>
        </w:tc>
        <w:tc>
          <w:tcPr>
            <w:tcW w:w="1258" w:type="dxa"/>
            <w:vAlign w:val="center"/>
          </w:tcPr>
          <w:p w14:paraId="21C1AD5D">
            <w:pPr>
              <w:spacing w:line="360" w:lineRule="auto"/>
              <w:jc w:val="center"/>
              <w:rPr>
                <w:rFonts w:asciiTheme="minorEastAsia" w:hAnsiTheme="minorEastAsia"/>
                <w:color w:val="auto"/>
                <w:highlight w:val="none"/>
              </w:rPr>
            </w:pPr>
          </w:p>
        </w:tc>
        <w:tc>
          <w:tcPr>
            <w:tcW w:w="1257" w:type="dxa"/>
            <w:vAlign w:val="center"/>
          </w:tcPr>
          <w:p w14:paraId="6BD14919">
            <w:pPr>
              <w:spacing w:line="360" w:lineRule="auto"/>
              <w:jc w:val="center"/>
              <w:rPr>
                <w:rFonts w:asciiTheme="minorEastAsia" w:hAnsiTheme="minorEastAsia"/>
                <w:color w:val="auto"/>
                <w:highlight w:val="none"/>
              </w:rPr>
            </w:pPr>
          </w:p>
        </w:tc>
        <w:tc>
          <w:tcPr>
            <w:tcW w:w="1258" w:type="dxa"/>
            <w:vAlign w:val="center"/>
          </w:tcPr>
          <w:p w14:paraId="13B6E57A">
            <w:pPr>
              <w:spacing w:line="360" w:lineRule="auto"/>
              <w:jc w:val="center"/>
              <w:rPr>
                <w:rFonts w:asciiTheme="minorEastAsia" w:hAnsiTheme="minorEastAsia"/>
                <w:color w:val="auto"/>
                <w:highlight w:val="none"/>
              </w:rPr>
            </w:pPr>
          </w:p>
        </w:tc>
      </w:tr>
      <w:tr w14:paraId="7A1AF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0B3EBC72">
            <w:pPr>
              <w:spacing w:line="360" w:lineRule="auto"/>
              <w:jc w:val="center"/>
              <w:rPr>
                <w:rFonts w:asciiTheme="minorEastAsia" w:hAnsiTheme="minorEastAsia"/>
                <w:color w:val="auto"/>
                <w:highlight w:val="none"/>
              </w:rPr>
            </w:pPr>
          </w:p>
        </w:tc>
        <w:tc>
          <w:tcPr>
            <w:tcW w:w="961" w:type="dxa"/>
            <w:vAlign w:val="center"/>
          </w:tcPr>
          <w:p w14:paraId="0BA910DA">
            <w:pPr>
              <w:spacing w:line="360" w:lineRule="auto"/>
              <w:jc w:val="center"/>
              <w:rPr>
                <w:rFonts w:asciiTheme="minorEastAsia" w:hAnsiTheme="minorEastAsia"/>
                <w:color w:val="auto"/>
                <w:highlight w:val="none"/>
              </w:rPr>
            </w:pPr>
          </w:p>
        </w:tc>
        <w:tc>
          <w:tcPr>
            <w:tcW w:w="1257" w:type="dxa"/>
            <w:vAlign w:val="center"/>
          </w:tcPr>
          <w:p w14:paraId="14362334">
            <w:pPr>
              <w:spacing w:line="360" w:lineRule="auto"/>
              <w:jc w:val="center"/>
              <w:rPr>
                <w:rFonts w:asciiTheme="minorEastAsia" w:hAnsiTheme="minorEastAsia"/>
                <w:color w:val="auto"/>
                <w:highlight w:val="none"/>
              </w:rPr>
            </w:pPr>
          </w:p>
        </w:tc>
        <w:tc>
          <w:tcPr>
            <w:tcW w:w="1258" w:type="dxa"/>
            <w:vAlign w:val="center"/>
          </w:tcPr>
          <w:p w14:paraId="0A3FE101">
            <w:pPr>
              <w:spacing w:line="360" w:lineRule="auto"/>
              <w:jc w:val="center"/>
              <w:rPr>
                <w:rFonts w:asciiTheme="minorEastAsia" w:hAnsiTheme="minorEastAsia"/>
                <w:color w:val="auto"/>
                <w:highlight w:val="none"/>
              </w:rPr>
            </w:pPr>
          </w:p>
        </w:tc>
        <w:tc>
          <w:tcPr>
            <w:tcW w:w="1257" w:type="dxa"/>
            <w:vAlign w:val="center"/>
          </w:tcPr>
          <w:p w14:paraId="1522FE42">
            <w:pPr>
              <w:spacing w:line="360" w:lineRule="auto"/>
              <w:jc w:val="center"/>
              <w:rPr>
                <w:rFonts w:asciiTheme="minorEastAsia" w:hAnsiTheme="minorEastAsia"/>
                <w:color w:val="auto"/>
                <w:highlight w:val="none"/>
              </w:rPr>
            </w:pPr>
          </w:p>
        </w:tc>
        <w:tc>
          <w:tcPr>
            <w:tcW w:w="1258" w:type="dxa"/>
            <w:vAlign w:val="center"/>
          </w:tcPr>
          <w:p w14:paraId="31813763">
            <w:pPr>
              <w:spacing w:line="360" w:lineRule="auto"/>
              <w:jc w:val="center"/>
              <w:rPr>
                <w:rFonts w:asciiTheme="minorEastAsia" w:hAnsiTheme="minorEastAsia"/>
                <w:color w:val="auto"/>
                <w:highlight w:val="none"/>
              </w:rPr>
            </w:pPr>
          </w:p>
        </w:tc>
        <w:tc>
          <w:tcPr>
            <w:tcW w:w="1257" w:type="dxa"/>
            <w:vAlign w:val="center"/>
          </w:tcPr>
          <w:p w14:paraId="14C728E1">
            <w:pPr>
              <w:spacing w:line="360" w:lineRule="auto"/>
              <w:jc w:val="center"/>
              <w:rPr>
                <w:rFonts w:asciiTheme="minorEastAsia" w:hAnsiTheme="minorEastAsia"/>
                <w:color w:val="auto"/>
                <w:highlight w:val="none"/>
              </w:rPr>
            </w:pPr>
          </w:p>
        </w:tc>
        <w:tc>
          <w:tcPr>
            <w:tcW w:w="1258" w:type="dxa"/>
            <w:vAlign w:val="center"/>
          </w:tcPr>
          <w:p w14:paraId="08720243">
            <w:pPr>
              <w:spacing w:line="360" w:lineRule="auto"/>
              <w:jc w:val="center"/>
              <w:rPr>
                <w:rFonts w:asciiTheme="minorEastAsia" w:hAnsiTheme="minorEastAsia"/>
                <w:color w:val="auto"/>
                <w:highlight w:val="none"/>
              </w:rPr>
            </w:pPr>
          </w:p>
        </w:tc>
      </w:tr>
      <w:tr w14:paraId="26ED6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8DBBD44">
            <w:pPr>
              <w:spacing w:line="360" w:lineRule="auto"/>
              <w:jc w:val="center"/>
              <w:rPr>
                <w:rFonts w:asciiTheme="minorEastAsia" w:hAnsiTheme="minorEastAsia"/>
                <w:color w:val="auto"/>
                <w:highlight w:val="none"/>
              </w:rPr>
            </w:pPr>
          </w:p>
        </w:tc>
        <w:tc>
          <w:tcPr>
            <w:tcW w:w="961" w:type="dxa"/>
            <w:vAlign w:val="center"/>
          </w:tcPr>
          <w:p w14:paraId="4F1BF3B7">
            <w:pPr>
              <w:spacing w:line="360" w:lineRule="auto"/>
              <w:jc w:val="center"/>
              <w:rPr>
                <w:rFonts w:asciiTheme="minorEastAsia" w:hAnsiTheme="minorEastAsia"/>
                <w:color w:val="auto"/>
                <w:highlight w:val="none"/>
              </w:rPr>
            </w:pPr>
          </w:p>
        </w:tc>
        <w:tc>
          <w:tcPr>
            <w:tcW w:w="1257" w:type="dxa"/>
            <w:vAlign w:val="center"/>
          </w:tcPr>
          <w:p w14:paraId="6DD4BAD6">
            <w:pPr>
              <w:spacing w:line="360" w:lineRule="auto"/>
              <w:jc w:val="center"/>
              <w:rPr>
                <w:rFonts w:asciiTheme="minorEastAsia" w:hAnsiTheme="minorEastAsia"/>
                <w:color w:val="auto"/>
                <w:highlight w:val="none"/>
              </w:rPr>
            </w:pPr>
          </w:p>
        </w:tc>
        <w:tc>
          <w:tcPr>
            <w:tcW w:w="1258" w:type="dxa"/>
            <w:vAlign w:val="center"/>
          </w:tcPr>
          <w:p w14:paraId="1FD14DF8">
            <w:pPr>
              <w:spacing w:line="360" w:lineRule="auto"/>
              <w:jc w:val="center"/>
              <w:rPr>
                <w:rFonts w:asciiTheme="minorEastAsia" w:hAnsiTheme="minorEastAsia"/>
                <w:color w:val="auto"/>
                <w:highlight w:val="none"/>
              </w:rPr>
            </w:pPr>
          </w:p>
        </w:tc>
        <w:tc>
          <w:tcPr>
            <w:tcW w:w="1257" w:type="dxa"/>
            <w:vAlign w:val="center"/>
          </w:tcPr>
          <w:p w14:paraId="7D36F1BB">
            <w:pPr>
              <w:spacing w:line="360" w:lineRule="auto"/>
              <w:jc w:val="center"/>
              <w:rPr>
                <w:rFonts w:asciiTheme="minorEastAsia" w:hAnsiTheme="minorEastAsia"/>
                <w:color w:val="auto"/>
                <w:highlight w:val="none"/>
              </w:rPr>
            </w:pPr>
          </w:p>
        </w:tc>
        <w:tc>
          <w:tcPr>
            <w:tcW w:w="1258" w:type="dxa"/>
            <w:vAlign w:val="center"/>
          </w:tcPr>
          <w:p w14:paraId="2CC99FF4">
            <w:pPr>
              <w:spacing w:line="360" w:lineRule="auto"/>
              <w:jc w:val="center"/>
              <w:rPr>
                <w:rFonts w:asciiTheme="minorEastAsia" w:hAnsiTheme="minorEastAsia"/>
                <w:color w:val="auto"/>
                <w:highlight w:val="none"/>
              </w:rPr>
            </w:pPr>
          </w:p>
        </w:tc>
        <w:tc>
          <w:tcPr>
            <w:tcW w:w="1257" w:type="dxa"/>
            <w:vAlign w:val="center"/>
          </w:tcPr>
          <w:p w14:paraId="73A2D5AE">
            <w:pPr>
              <w:spacing w:line="360" w:lineRule="auto"/>
              <w:jc w:val="center"/>
              <w:rPr>
                <w:rFonts w:asciiTheme="minorEastAsia" w:hAnsiTheme="minorEastAsia"/>
                <w:color w:val="auto"/>
                <w:highlight w:val="none"/>
              </w:rPr>
            </w:pPr>
          </w:p>
        </w:tc>
        <w:tc>
          <w:tcPr>
            <w:tcW w:w="1258" w:type="dxa"/>
            <w:vAlign w:val="center"/>
          </w:tcPr>
          <w:p w14:paraId="065C4463">
            <w:pPr>
              <w:spacing w:line="360" w:lineRule="auto"/>
              <w:jc w:val="center"/>
              <w:rPr>
                <w:rFonts w:asciiTheme="minorEastAsia" w:hAnsiTheme="minorEastAsia"/>
                <w:color w:val="auto"/>
                <w:highlight w:val="none"/>
              </w:rPr>
            </w:pPr>
          </w:p>
        </w:tc>
      </w:tr>
      <w:tr w14:paraId="1430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5145F368">
            <w:pPr>
              <w:spacing w:line="360" w:lineRule="auto"/>
              <w:jc w:val="center"/>
              <w:rPr>
                <w:rFonts w:asciiTheme="minorEastAsia" w:hAnsiTheme="minorEastAsia"/>
                <w:color w:val="auto"/>
                <w:highlight w:val="none"/>
              </w:rPr>
            </w:pPr>
          </w:p>
        </w:tc>
        <w:tc>
          <w:tcPr>
            <w:tcW w:w="961" w:type="dxa"/>
            <w:vAlign w:val="center"/>
          </w:tcPr>
          <w:p w14:paraId="70A12C9E">
            <w:pPr>
              <w:spacing w:line="360" w:lineRule="auto"/>
              <w:jc w:val="center"/>
              <w:rPr>
                <w:rFonts w:asciiTheme="minorEastAsia" w:hAnsiTheme="minorEastAsia"/>
                <w:color w:val="auto"/>
                <w:highlight w:val="none"/>
              </w:rPr>
            </w:pPr>
          </w:p>
        </w:tc>
        <w:tc>
          <w:tcPr>
            <w:tcW w:w="1257" w:type="dxa"/>
            <w:vAlign w:val="center"/>
          </w:tcPr>
          <w:p w14:paraId="74FC14F2">
            <w:pPr>
              <w:spacing w:line="360" w:lineRule="auto"/>
              <w:jc w:val="center"/>
              <w:rPr>
                <w:rFonts w:asciiTheme="minorEastAsia" w:hAnsiTheme="minorEastAsia"/>
                <w:color w:val="auto"/>
                <w:highlight w:val="none"/>
              </w:rPr>
            </w:pPr>
          </w:p>
        </w:tc>
        <w:tc>
          <w:tcPr>
            <w:tcW w:w="1258" w:type="dxa"/>
            <w:vAlign w:val="center"/>
          </w:tcPr>
          <w:p w14:paraId="23D95902">
            <w:pPr>
              <w:spacing w:line="360" w:lineRule="auto"/>
              <w:jc w:val="center"/>
              <w:rPr>
                <w:rFonts w:asciiTheme="minorEastAsia" w:hAnsiTheme="minorEastAsia"/>
                <w:color w:val="auto"/>
                <w:highlight w:val="none"/>
              </w:rPr>
            </w:pPr>
          </w:p>
        </w:tc>
        <w:tc>
          <w:tcPr>
            <w:tcW w:w="1257" w:type="dxa"/>
            <w:vAlign w:val="center"/>
          </w:tcPr>
          <w:p w14:paraId="496E060B">
            <w:pPr>
              <w:spacing w:line="360" w:lineRule="auto"/>
              <w:jc w:val="center"/>
              <w:rPr>
                <w:rFonts w:asciiTheme="minorEastAsia" w:hAnsiTheme="minorEastAsia"/>
                <w:color w:val="auto"/>
                <w:highlight w:val="none"/>
              </w:rPr>
            </w:pPr>
          </w:p>
        </w:tc>
        <w:tc>
          <w:tcPr>
            <w:tcW w:w="1258" w:type="dxa"/>
            <w:vAlign w:val="center"/>
          </w:tcPr>
          <w:p w14:paraId="00325718">
            <w:pPr>
              <w:spacing w:line="360" w:lineRule="auto"/>
              <w:jc w:val="center"/>
              <w:rPr>
                <w:rFonts w:asciiTheme="minorEastAsia" w:hAnsiTheme="minorEastAsia"/>
                <w:color w:val="auto"/>
                <w:highlight w:val="none"/>
              </w:rPr>
            </w:pPr>
          </w:p>
        </w:tc>
        <w:tc>
          <w:tcPr>
            <w:tcW w:w="1257" w:type="dxa"/>
            <w:vAlign w:val="center"/>
          </w:tcPr>
          <w:p w14:paraId="15E18135">
            <w:pPr>
              <w:spacing w:line="360" w:lineRule="auto"/>
              <w:jc w:val="center"/>
              <w:rPr>
                <w:rFonts w:asciiTheme="minorEastAsia" w:hAnsiTheme="minorEastAsia"/>
                <w:color w:val="auto"/>
                <w:highlight w:val="none"/>
              </w:rPr>
            </w:pPr>
          </w:p>
        </w:tc>
        <w:tc>
          <w:tcPr>
            <w:tcW w:w="1258" w:type="dxa"/>
            <w:vAlign w:val="center"/>
          </w:tcPr>
          <w:p w14:paraId="1D064D2B">
            <w:pPr>
              <w:spacing w:line="360" w:lineRule="auto"/>
              <w:jc w:val="center"/>
              <w:rPr>
                <w:rFonts w:asciiTheme="minorEastAsia" w:hAnsiTheme="minorEastAsia"/>
                <w:color w:val="auto"/>
                <w:highlight w:val="none"/>
              </w:rPr>
            </w:pPr>
          </w:p>
        </w:tc>
      </w:tr>
      <w:tr w14:paraId="223D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vAlign w:val="center"/>
          </w:tcPr>
          <w:p w14:paraId="62ACAF71">
            <w:pPr>
              <w:spacing w:line="360" w:lineRule="auto"/>
              <w:jc w:val="center"/>
              <w:rPr>
                <w:rFonts w:asciiTheme="minorEastAsia" w:hAnsiTheme="minorEastAsia"/>
                <w:color w:val="auto"/>
                <w:highlight w:val="none"/>
              </w:rPr>
            </w:pPr>
          </w:p>
        </w:tc>
        <w:tc>
          <w:tcPr>
            <w:tcW w:w="961" w:type="dxa"/>
            <w:vAlign w:val="center"/>
          </w:tcPr>
          <w:p w14:paraId="48BEFCB7">
            <w:pPr>
              <w:spacing w:line="360" w:lineRule="auto"/>
              <w:jc w:val="center"/>
              <w:rPr>
                <w:rFonts w:asciiTheme="minorEastAsia" w:hAnsiTheme="minorEastAsia"/>
                <w:color w:val="auto"/>
                <w:highlight w:val="none"/>
              </w:rPr>
            </w:pPr>
          </w:p>
        </w:tc>
        <w:tc>
          <w:tcPr>
            <w:tcW w:w="1257" w:type="dxa"/>
            <w:vAlign w:val="center"/>
          </w:tcPr>
          <w:p w14:paraId="7E496867">
            <w:pPr>
              <w:spacing w:line="360" w:lineRule="auto"/>
              <w:jc w:val="center"/>
              <w:rPr>
                <w:rFonts w:asciiTheme="minorEastAsia" w:hAnsiTheme="minorEastAsia"/>
                <w:color w:val="auto"/>
                <w:highlight w:val="none"/>
              </w:rPr>
            </w:pPr>
          </w:p>
        </w:tc>
        <w:tc>
          <w:tcPr>
            <w:tcW w:w="1258" w:type="dxa"/>
            <w:vAlign w:val="center"/>
          </w:tcPr>
          <w:p w14:paraId="55272B97">
            <w:pPr>
              <w:spacing w:line="360" w:lineRule="auto"/>
              <w:jc w:val="center"/>
              <w:rPr>
                <w:rFonts w:asciiTheme="minorEastAsia" w:hAnsiTheme="minorEastAsia"/>
                <w:color w:val="auto"/>
                <w:highlight w:val="none"/>
              </w:rPr>
            </w:pPr>
          </w:p>
        </w:tc>
        <w:tc>
          <w:tcPr>
            <w:tcW w:w="1257" w:type="dxa"/>
            <w:vAlign w:val="center"/>
          </w:tcPr>
          <w:p w14:paraId="56D43F53">
            <w:pPr>
              <w:spacing w:line="360" w:lineRule="auto"/>
              <w:jc w:val="center"/>
              <w:rPr>
                <w:rFonts w:asciiTheme="minorEastAsia" w:hAnsiTheme="minorEastAsia"/>
                <w:color w:val="auto"/>
                <w:highlight w:val="none"/>
              </w:rPr>
            </w:pPr>
          </w:p>
        </w:tc>
        <w:tc>
          <w:tcPr>
            <w:tcW w:w="1258" w:type="dxa"/>
            <w:vAlign w:val="center"/>
          </w:tcPr>
          <w:p w14:paraId="45E1F153">
            <w:pPr>
              <w:spacing w:line="360" w:lineRule="auto"/>
              <w:jc w:val="center"/>
              <w:rPr>
                <w:rFonts w:asciiTheme="minorEastAsia" w:hAnsiTheme="minorEastAsia"/>
                <w:color w:val="auto"/>
                <w:highlight w:val="none"/>
              </w:rPr>
            </w:pPr>
          </w:p>
        </w:tc>
        <w:tc>
          <w:tcPr>
            <w:tcW w:w="1257" w:type="dxa"/>
            <w:vAlign w:val="center"/>
          </w:tcPr>
          <w:p w14:paraId="502C7E33">
            <w:pPr>
              <w:spacing w:line="360" w:lineRule="auto"/>
              <w:jc w:val="center"/>
              <w:rPr>
                <w:rFonts w:asciiTheme="minorEastAsia" w:hAnsiTheme="minorEastAsia"/>
                <w:color w:val="auto"/>
                <w:highlight w:val="none"/>
              </w:rPr>
            </w:pPr>
          </w:p>
        </w:tc>
        <w:tc>
          <w:tcPr>
            <w:tcW w:w="1258" w:type="dxa"/>
            <w:vAlign w:val="center"/>
          </w:tcPr>
          <w:p w14:paraId="3EBFD0DE">
            <w:pPr>
              <w:spacing w:line="360" w:lineRule="auto"/>
              <w:jc w:val="center"/>
              <w:rPr>
                <w:rFonts w:asciiTheme="minorEastAsia" w:hAnsiTheme="minorEastAsia"/>
                <w:color w:val="auto"/>
                <w:highlight w:val="none"/>
              </w:rPr>
            </w:pPr>
          </w:p>
        </w:tc>
      </w:tr>
    </w:tbl>
    <w:p w14:paraId="33962FCC">
      <w:pPr>
        <w:pStyle w:val="35"/>
        <w:spacing w:before="0" w:after="0"/>
        <w:rPr>
          <w:rFonts w:asciiTheme="minorEastAsia" w:hAnsiTheme="minorEastAsia" w:cstheme="minorEastAsia"/>
          <w:color w:val="auto"/>
          <w:spacing w:val="0"/>
          <w:szCs w:val="24"/>
          <w:highlight w:val="none"/>
        </w:rPr>
      </w:pPr>
    </w:p>
    <w:p w14:paraId="72EE6900">
      <w:pPr>
        <w:rPr>
          <w:rFonts w:cs="宋体" w:asciiTheme="minorEastAsia" w:hAnsiTheme="minorEastAsia"/>
          <w:color w:val="auto"/>
          <w:highlight w:val="none"/>
        </w:rPr>
      </w:pPr>
    </w:p>
    <w:p w14:paraId="28EB250E">
      <w:pPr>
        <w:outlineLvl w:val="0"/>
        <w:rPr>
          <w:rFonts w:asciiTheme="minorEastAsia" w:hAnsiTheme="minorEastAsia"/>
          <w:color w:val="auto"/>
          <w:sz w:val="24"/>
          <w:szCs w:val="24"/>
          <w:highlight w:val="none"/>
        </w:rPr>
      </w:pPr>
      <w:bookmarkStart w:id="1423" w:name="_Toc97108139"/>
      <w:bookmarkStart w:id="1424" w:name="_Toc27279"/>
      <w:bookmarkStart w:id="1425" w:name="_Toc16915"/>
      <w:r>
        <w:rPr>
          <w:rFonts w:hint="eastAsia" w:cs="宋体" w:asciiTheme="minorEastAsia" w:hAnsiTheme="minorEastAsia"/>
          <w:color w:val="auto"/>
          <w:sz w:val="24"/>
          <w:szCs w:val="24"/>
          <w:highlight w:val="none"/>
        </w:rPr>
        <w:t>附表四：计划开、竣工日期和施工进度计划（网络图或横道图）</w:t>
      </w:r>
      <w:bookmarkEnd w:id="1423"/>
      <w:bookmarkEnd w:id="1424"/>
      <w:bookmarkEnd w:id="1425"/>
    </w:p>
    <w:p w14:paraId="2802438F">
      <w:pPr>
        <w:spacing w:line="460" w:lineRule="exact"/>
        <w:ind w:left="-6" w:firstLine="420"/>
        <w:rPr>
          <w:rFonts w:cs="宋体" w:asciiTheme="minorEastAsia" w:hAnsiTheme="minorEastAsia"/>
          <w:color w:val="auto"/>
          <w:sz w:val="24"/>
          <w:szCs w:val="24"/>
          <w:highlight w:val="none"/>
        </w:rPr>
      </w:pPr>
      <w:r>
        <w:rPr>
          <w:rFonts w:asciiTheme="minorEastAsia" w:hAnsiTheme="minorEastAsia"/>
          <w:color w:val="auto"/>
          <w:sz w:val="24"/>
          <w:szCs w:val="24"/>
          <w:highlight w:val="none"/>
        </w:rPr>
        <w:t xml:space="preserve">1. </w:t>
      </w:r>
      <w:r>
        <w:rPr>
          <w:rFonts w:hint="eastAsia" w:cs="宋体" w:asciiTheme="minorEastAsia" w:hAnsiTheme="minorEastAsia"/>
          <w:color w:val="auto"/>
          <w:sz w:val="24"/>
          <w:szCs w:val="24"/>
          <w:highlight w:val="none"/>
        </w:rPr>
        <w:t>供应商应提交施工进度计划，说明按</w:t>
      </w:r>
      <w:r>
        <w:rPr>
          <w:rFonts w:hint="eastAsia" w:asciiTheme="minorEastAsia" w:hAnsiTheme="minorEastAsia" w:cstheme="minorEastAsia"/>
          <w:color w:val="auto"/>
          <w:sz w:val="24"/>
          <w:szCs w:val="24"/>
          <w:highlight w:val="none"/>
        </w:rPr>
        <w:t>竞争性磋商采购文件</w:t>
      </w:r>
      <w:r>
        <w:rPr>
          <w:rFonts w:hint="eastAsia" w:cs="宋体" w:asciiTheme="minorEastAsia" w:hAnsiTheme="minorEastAsia"/>
          <w:color w:val="auto"/>
          <w:sz w:val="24"/>
          <w:szCs w:val="24"/>
          <w:highlight w:val="none"/>
        </w:rPr>
        <w:t>要求的工期进行施工的各个关键日期。成交的供应商还应按合同条件有关条款的要求提交详细的施工进度计划。</w:t>
      </w:r>
    </w:p>
    <w:p w14:paraId="1FAB0E7F">
      <w:pPr>
        <w:spacing w:line="460" w:lineRule="exact"/>
        <w:ind w:left="-6" w:firstLine="42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2. </w:t>
      </w:r>
      <w:r>
        <w:rPr>
          <w:rFonts w:hint="eastAsia" w:cs="宋体" w:asciiTheme="minorEastAsia" w:hAnsiTheme="minorEastAsia"/>
          <w:color w:val="auto"/>
          <w:sz w:val="24"/>
          <w:szCs w:val="24"/>
          <w:highlight w:val="none"/>
        </w:rPr>
        <w:t>施工进度计划可采用网络图（或横道图）表示，说明计划开工日期和各分项工程各阶段的完工日期。</w:t>
      </w:r>
    </w:p>
    <w:p w14:paraId="5B22120A">
      <w:pPr>
        <w:spacing w:line="460" w:lineRule="exact"/>
        <w:ind w:left="-6" w:firstLine="420"/>
        <w:rPr>
          <w:rFonts w:asciiTheme="minorEastAsia" w:hAnsiTheme="minorEastAsia"/>
          <w:color w:val="auto"/>
          <w:sz w:val="24"/>
          <w:szCs w:val="24"/>
          <w:highlight w:val="none"/>
        </w:rPr>
      </w:pPr>
      <w:r>
        <w:rPr>
          <w:rFonts w:asciiTheme="minorEastAsia" w:hAnsiTheme="minorEastAsia"/>
          <w:color w:val="auto"/>
          <w:sz w:val="24"/>
          <w:szCs w:val="24"/>
          <w:highlight w:val="none"/>
        </w:rPr>
        <w:t xml:space="preserve">3. </w:t>
      </w:r>
      <w:r>
        <w:rPr>
          <w:rFonts w:hint="eastAsia" w:cs="宋体" w:asciiTheme="minorEastAsia" w:hAnsiTheme="minorEastAsia"/>
          <w:color w:val="auto"/>
          <w:sz w:val="24"/>
          <w:szCs w:val="24"/>
          <w:highlight w:val="none"/>
        </w:rPr>
        <w:t>施工进度计划应与施工组织设计相适应。</w:t>
      </w:r>
    </w:p>
    <w:p w14:paraId="27064D45">
      <w:pPr>
        <w:rPr>
          <w:rFonts w:asciiTheme="minorEastAsia" w:hAnsiTheme="minorEastAsia"/>
          <w:color w:val="auto"/>
          <w:sz w:val="24"/>
          <w:szCs w:val="24"/>
          <w:highlight w:val="none"/>
        </w:rPr>
      </w:pPr>
    </w:p>
    <w:p w14:paraId="43A7A44D">
      <w:pPr>
        <w:rPr>
          <w:rFonts w:cs="宋体" w:asciiTheme="minorEastAsia" w:hAnsiTheme="minorEastAsia"/>
          <w:color w:val="auto"/>
          <w:sz w:val="24"/>
          <w:szCs w:val="24"/>
          <w:highlight w:val="none"/>
        </w:rPr>
      </w:pPr>
    </w:p>
    <w:p w14:paraId="72AEC396">
      <w:pPr>
        <w:outlineLvl w:val="0"/>
        <w:rPr>
          <w:rFonts w:asciiTheme="minorEastAsia" w:hAnsiTheme="minorEastAsia"/>
          <w:color w:val="auto"/>
          <w:sz w:val="24"/>
          <w:szCs w:val="24"/>
          <w:highlight w:val="none"/>
        </w:rPr>
      </w:pPr>
      <w:bookmarkStart w:id="1426" w:name="_Toc97108140"/>
      <w:bookmarkStart w:id="1427" w:name="_Toc25319"/>
      <w:bookmarkStart w:id="1428" w:name="_Toc29440"/>
      <w:r>
        <w:rPr>
          <w:rFonts w:hint="eastAsia" w:cs="宋体" w:asciiTheme="minorEastAsia" w:hAnsiTheme="minorEastAsia"/>
          <w:color w:val="auto"/>
          <w:sz w:val="24"/>
          <w:szCs w:val="24"/>
          <w:highlight w:val="none"/>
        </w:rPr>
        <w:t>附表五：施工总平面图</w:t>
      </w:r>
      <w:bookmarkEnd w:id="1426"/>
      <w:bookmarkEnd w:id="1427"/>
      <w:bookmarkEnd w:id="1428"/>
    </w:p>
    <w:p w14:paraId="47900199">
      <w:pPr>
        <w:spacing w:line="460" w:lineRule="exact"/>
        <w:ind w:firstLine="480" w:firstLineChars="200"/>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供应商应递交一份施工总平面图，绘出现场临时设施布置图表并附文字说明，说明临时设施、加工车间、现场办公、设备及仓储、供电、供水、卫生、生活、道路、消防等设施的情况和布置。</w:t>
      </w:r>
    </w:p>
    <w:p w14:paraId="568DF02D">
      <w:pPr>
        <w:rPr>
          <w:rFonts w:asciiTheme="minorEastAsia" w:hAnsiTheme="minorEastAsia"/>
          <w:color w:val="auto"/>
          <w:sz w:val="24"/>
          <w:szCs w:val="24"/>
          <w:highlight w:val="none"/>
        </w:rPr>
      </w:pPr>
    </w:p>
    <w:p w14:paraId="62E7D2B5">
      <w:pPr>
        <w:pStyle w:val="35"/>
        <w:spacing w:before="0" w:after="0"/>
        <w:rPr>
          <w:rFonts w:asciiTheme="minorEastAsia" w:hAnsiTheme="minorEastAsia"/>
          <w:color w:val="auto"/>
          <w:spacing w:val="0"/>
          <w:highlight w:val="none"/>
        </w:rPr>
      </w:pPr>
    </w:p>
    <w:p w14:paraId="1ADCE8E1">
      <w:pPr>
        <w:outlineLvl w:val="0"/>
        <w:rPr>
          <w:rFonts w:asciiTheme="minorEastAsia" w:hAnsiTheme="minorEastAsia"/>
          <w:color w:val="auto"/>
          <w:sz w:val="24"/>
          <w:szCs w:val="24"/>
          <w:highlight w:val="none"/>
        </w:rPr>
      </w:pPr>
      <w:bookmarkStart w:id="1429" w:name="_Toc3969"/>
      <w:bookmarkStart w:id="1430" w:name="_Toc23999"/>
      <w:bookmarkStart w:id="1431" w:name="_Toc97108141"/>
      <w:r>
        <w:rPr>
          <w:rFonts w:hint="eastAsia" w:cs="宋体" w:asciiTheme="minorEastAsia" w:hAnsiTheme="minorEastAsia"/>
          <w:color w:val="auto"/>
          <w:sz w:val="24"/>
          <w:szCs w:val="24"/>
          <w:highlight w:val="none"/>
        </w:rPr>
        <w:t>附表六：临时用地表</w:t>
      </w:r>
      <w:bookmarkEnd w:id="1429"/>
      <w:bookmarkEnd w:id="1430"/>
      <w:bookmarkEnd w:id="1431"/>
    </w:p>
    <w:tbl>
      <w:tblPr>
        <w:tblStyle w:val="27"/>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2357"/>
        <w:gridCol w:w="2356"/>
        <w:gridCol w:w="2357"/>
      </w:tblGrid>
      <w:tr w14:paraId="71BA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356" w:type="dxa"/>
            <w:vAlign w:val="center"/>
          </w:tcPr>
          <w:p w14:paraId="29A1F791">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用途</w:t>
            </w:r>
          </w:p>
        </w:tc>
        <w:tc>
          <w:tcPr>
            <w:tcW w:w="2357" w:type="dxa"/>
            <w:vAlign w:val="center"/>
          </w:tcPr>
          <w:p w14:paraId="210C1E45">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面积（平方米）</w:t>
            </w:r>
          </w:p>
        </w:tc>
        <w:tc>
          <w:tcPr>
            <w:tcW w:w="2356" w:type="dxa"/>
            <w:vAlign w:val="center"/>
          </w:tcPr>
          <w:p w14:paraId="74715C00">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位置</w:t>
            </w:r>
          </w:p>
        </w:tc>
        <w:tc>
          <w:tcPr>
            <w:tcW w:w="2357" w:type="dxa"/>
            <w:vAlign w:val="center"/>
          </w:tcPr>
          <w:p w14:paraId="72B4CA44">
            <w:pPr>
              <w:jc w:val="center"/>
              <w:rPr>
                <w:rFonts w:asciiTheme="minorEastAsia" w:hAnsiTheme="minorEastAsia"/>
                <w:color w:val="auto"/>
                <w:sz w:val="24"/>
                <w:szCs w:val="24"/>
                <w:highlight w:val="none"/>
              </w:rPr>
            </w:pPr>
            <w:r>
              <w:rPr>
                <w:rFonts w:hint="eastAsia" w:cs="宋体" w:asciiTheme="minorEastAsia" w:hAnsiTheme="minorEastAsia"/>
                <w:color w:val="auto"/>
                <w:sz w:val="24"/>
                <w:szCs w:val="24"/>
                <w:highlight w:val="none"/>
              </w:rPr>
              <w:t>需用时间</w:t>
            </w:r>
          </w:p>
        </w:tc>
      </w:tr>
      <w:tr w14:paraId="022F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2F68C6E5">
            <w:pPr>
              <w:rPr>
                <w:rFonts w:asciiTheme="minorEastAsia" w:hAnsiTheme="minorEastAsia"/>
                <w:color w:val="auto"/>
                <w:highlight w:val="none"/>
              </w:rPr>
            </w:pPr>
          </w:p>
        </w:tc>
        <w:tc>
          <w:tcPr>
            <w:tcW w:w="2357" w:type="dxa"/>
          </w:tcPr>
          <w:p w14:paraId="2B657603">
            <w:pPr>
              <w:rPr>
                <w:rFonts w:asciiTheme="minorEastAsia" w:hAnsiTheme="minorEastAsia"/>
                <w:color w:val="auto"/>
                <w:highlight w:val="none"/>
              </w:rPr>
            </w:pPr>
          </w:p>
        </w:tc>
        <w:tc>
          <w:tcPr>
            <w:tcW w:w="2356" w:type="dxa"/>
          </w:tcPr>
          <w:p w14:paraId="19F7CF45">
            <w:pPr>
              <w:rPr>
                <w:rFonts w:asciiTheme="minorEastAsia" w:hAnsiTheme="minorEastAsia"/>
                <w:color w:val="auto"/>
                <w:highlight w:val="none"/>
              </w:rPr>
            </w:pPr>
          </w:p>
        </w:tc>
        <w:tc>
          <w:tcPr>
            <w:tcW w:w="2357" w:type="dxa"/>
          </w:tcPr>
          <w:p w14:paraId="1D7CB56B">
            <w:pPr>
              <w:rPr>
                <w:rFonts w:asciiTheme="minorEastAsia" w:hAnsiTheme="minorEastAsia"/>
                <w:color w:val="auto"/>
                <w:highlight w:val="none"/>
              </w:rPr>
            </w:pPr>
          </w:p>
        </w:tc>
      </w:tr>
      <w:tr w14:paraId="0ABA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1A4053C8">
            <w:pPr>
              <w:rPr>
                <w:rFonts w:asciiTheme="minorEastAsia" w:hAnsiTheme="minorEastAsia"/>
                <w:color w:val="auto"/>
                <w:highlight w:val="none"/>
              </w:rPr>
            </w:pPr>
          </w:p>
        </w:tc>
        <w:tc>
          <w:tcPr>
            <w:tcW w:w="2357" w:type="dxa"/>
          </w:tcPr>
          <w:p w14:paraId="35B16F51">
            <w:pPr>
              <w:rPr>
                <w:rFonts w:asciiTheme="minorEastAsia" w:hAnsiTheme="minorEastAsia"/>
                <w:color w:val="auto"/>
                <w:highlight w:val="none"/>
              </w:rPr>
            </w:pPr>
          </w:p>
        </w:tc>
        <w:tc>
          <w:tcPr>
            <w:tcW w:w="2356" w:type="dxa"/>
          </w:tcPr>
          <w:p w14:paraId="624E3C18">
            <w:pPr>
              <w:rPr>
                <w:rFonts w:asciiTheme="minorEastAsia" w:hAnsiTheme="minorEastAsia"/>
                <w:color w:val="auto"/>
                <w:highlight w:val="none"/>
              </w:rPr>
            </w:pPr>
          </w:p>
        </w:tc>
        <w:tc>
          <w:tcPr>
            <w:tcW w:w="2357" w:type="dxa"/>
          </w:tcPr>
          <w:p w14:paraId="04E27492">
            <w:pPr>
              <w:rPr>
                <w:rFonts w:asciiTheme="minorEastAsia" w:hAnsiTheme="minorEastAsia"/>
                <w:color w:val="auto"/>
                <w:highlight w:val="none"/>
              </w:rPr>
            </w:pPr>
          </w:p>
        </w:tc>
      </w:tr>
      <w:tr w14:paraId="044A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356" w:type="dxa"/>
          </w:tcPr>
          <w:p w14:paraId="3C58FC5E">
            <w:pPr>
              <w:rPr>
                <w:rFonts w:asciiTheme="minorEastAsia" w:hAnsiTheme="minorEastAsia"/>
                <w:color w:val="auto"/>
                <w:highlight w:val="none"/>
              </w:rPr>
            </w:pPr>
          </w:p>
        </w:tc>
        <w:tc>
          <w:tcPr>
            <w:tcW w:w="2357" w:type="dxa"/>
          </w:tcPr>
          <w:p w14:paraId="68C09393">
            <w:pPr>
              <w:rPr>
                <w:rFonts w:asciiTheme="minorEastAsia" w:hAnsiTheme="minorEastAsia"/>
                <w:color w:val="auto"/>
                <w:highlight w:val="none"/>
              </w:rPr>
            </w:pPr>
          </w:p>
        </w:tc>
        <w:tc>
          <w:tcPr>
            <w:tcW w:w="2356" w:type="dxa"/>
          </w:tcPr>
          <w:p w14:paraId="5DCF821C">
            <w:pPr>
              <w:rPr>
                <w:rFonts w:asciiTheme="minorEastAsia" w:hAnsiTheme="minorEastAsia"/>
                <w:color w:val="auto"/>
                <w:highlight w:val="none"/>
              </w:rPr>
            </w:pPr>
          </w:p>
        </w:tc>
        <w:tc>
          <w:tcPr>
            <w:tcW w:w="2357" w:type="dxa"/>
          </w:tcPr>
          <w:p w14:paraId="4A4B929D">
            <w:pPr>
              <w:rPr>
                <w:rFonts w:asciiTheme="minorEastAsia" w:hAnsiTheme="minorEastAsia"/>
                <w:color w:val="auto"/>
                <w:highlight w:val="none"/>
              </w:rPr>
            </w:pPr>
          </w:p>
        </w:tc>
      </w:tr>
      <w:tr w14:paraId="429C9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356" w:type="dxa"/>
          </w:tcPr>
          <w:p w14:paraId="067501AD">
            <w:pPr>
              <w:rPr>
                <w:rFonts w:asciiTheme="minorEastAsia" w:hAnsiTheme="minorEastAsia"/>
                <w:color w:val="auto"/>
                <w:highlight w:val="none"/>
              </w:rPr>
            </w:pPr>
          </w:p>
        </w:tc>
        <w:tc>
          <w:tcPr>
            <w:tcW w:w="2357" w:type="dxa"/>
          </w:tcPr>
          <w:p w14:paraId="16E13C6C">
            <w:pPr>
              <w:rPr>
                <w:rFonts w:asciiTheme="minorEastAsia" w:hAnsiTheme="minorEastAsia"/>
                <w:color w:val="auto"/>
                <w:highlight w:val="none"/>
              </w:rPr>
            </w:pPr>
          </w:p>
        </w:tc>
        <w:tc>
          <w:tcPr>
            <w:tcW w:w="2356" w:type="dxa"/>
          </w:tcPr>
          <w:p w14:paraId="7D5BFC6A">
            <w:pPr>
              <w:rPr>
                <w:rFonts w:asciiTheme="minorEastAsia" w:hAnsiTheme="minorEastAsia"/>
                <w:color w:val="auto"/>
                <w:highlight w:val="none"/>
              </w:rPr>
            </w:pPr>
          </w:p>
        </w:tc>
        <w:tc>
          <w:tcPr>
            <w:tcW w:w="2357" w:type="dxa"/>
          </w:tcPr>
          <w:p w14:paraId="01FD1D32">
            <w:pPr>
              <w:rPr>
                <w:rFonts w:asciiTheme="minorEastAsia" w:hAnsiTheme="minorEastAsia"/>
                <w:color w:val="auto"/>
                <w:highlight w:val="none"/>
              </w:rPr>
            </w:pPr>
          </w:p>
        </w:tc>
      </w:tr>
      <w:bookmarkEnd w:id="1350"/>
      <w:bookmarkEnd w:id="1351"/>
      <w:bookmarkEnd w:id="1352"/>
      <w:bookmarkEnd w:id="1353"/>
      <w:bookmarkEnd w:id="1399"/>
      <w:bookmarkEnd w:id="1400"/>
      <w:bookmarkEnd w:id="1401"/>
      <w:bookmarkEnd w:id="1402"/>
      <w:bookmarkEnd w:id="1407"/>
    </w:tbl>
    <w:p w14:paraId="56859EFB">
      <w:pPr>
        <w:rPr>
          <w:rFonts w:asciiTheme="minorEastAsia" w:hAnsiTheme="minorEastAsia" w:cstheme="minorEastAsia"/>
          <w:color w:val="auto"/>
          <w:highlight w:val="none"/>
        </w:rPr>
      </w:pPr>
      <w:bookmarkStart w:id="1432" w:name="_Toc23889"/>
      <w:r>
        <w:rPr>
          <w:rFonts w:hint="eastAsia" w:cs="黑体" w:asciiTheme="minorEastAsia" w:hAnsiTheme="minorEastAsia"/>
          <w:color w:val="auto"/>
          <w:highlight w:val="none"/>
        </w:rPr>
        <w:br w:type="page"/>
      </w:r>
    </w:p>
    <w:p w14:paraId="0F3BB6FB">
      <w:pPr>
        <w:pStyle w:val="4"/>
        <w:spacing w:line="360" w:lineRule="auto"/>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七、供应商可结合本项目的评标办法视自身情况自行提交相关证明材料（如业绩等[需列汇总表格]，如有，请提供）</w:t>
      </w:r>
      <w:r>
        <w:rPr>
          <w:rFonts w:hint="eastAsia" w:asciiTheme="minorEastAsia" w:hAnsiTheme="minorEastAsia" w:eastAsiaTheme="minorEastAsia" w:cstheme="minorEastAsia"/>
          <w:color w:val="auto"/>
          <w:highlight w:val="none"/>
        </w:rPr>
        <w:br w:type="page"/>
      </w:r>
    </w:p>
    <w:p w14:paraId="5C1AC09B">
      <w:pPr>
        <w:pStyle w:val="2"/>
        <w:spacing w:line="600" w:lineRule="auto"/>
        <w:ind w:firstLine="1325" w:firstLineChars="300"/>
        <w:rPr>
          <w:rFonts w:asciiTheme="minorEastAsia" w:hAnsiTheme="minorEastAsia"/>
          <w:color w:val="auto"/>
          <w:highlight w:val="none"/>
        </w:rPr>
      </w:pPr>
      <w:bookmarkStart w:id="1433" w:name="_Toc13412"/>
      <w:r>
        <w:rPr>
          <w:rFonts w:hint="eastAsia" w:cs="黑体" w:asciiTheme="minorEastAsia" w:hAnsiTheme="minorEastAsia"/>
          <w:color w:val="auto"/>
          <w:highlight w:val="none"/>
        </w:rPr>
        <w:t>第七章</w:t>
      </w:r>
      <w:r>
        <w:rPr>
          <w:rFonts w:hint="eastAsia" w:asciiTheme="minorEastAsia" w:hAnsiTheme="minorEastAsia" w:cstheme="minorEastAsia"/>
          <w:color w:val="auto"/>
          <w:sz w:val="36"/>
          <w:highlight w:val="none"/>
        </w:rPr>
        <w:t xml:space="preserve"> </w:t>
      </w:r>
      <w:bookmarkEnd w:id="1432"/>
      <w:r>
        <w:rPr>
          <w:rFonts w:hint="eastAsia" w:cs="黑体" w:asciiTheme="minorEastAsia" w:hAnsiTheme="minorEastAsia"/>
          <w:color w:val="auto"/>
          <w:highlight w:val="none"/>
        </w:rPr>
        <w:t>评标办法（综合评估法）</w:t>
      </w:r>
      <w:bookmarkEnd w:id="1433"/>
    </w:p>
    <w:p w14:paraId="0B24A67A">
      <w:pPr>
        <w:pStyle w:val="2"/>
        <w:spacing w:line="600" w:lineRule="auto"/>
        <w:jc w:val="center"/>
        <w:rPr>
          <w:rFonts w:cs="黑体" w:asciiTheme="minorEastAsia" w:hAnsiTheme="minorEastAsia"/>
          <w:color w:val="auto"/>
          <w:highlight w:val="none"/>
        </w:rPr>
      </w:pPr>
      <w:bookmarkStart w:id="1434" w:name="_Toc437"/>
      <w:bookmarkStart w:id="1435" w:name="_Toc97108143"/>
      <w:bookmarkStart w:id="1436" w:name="_Toc27501_WPSOffice_Level1"/>
      <w:bookmarkStart w:id="1437" w:name="_Toc407135169"/>
      <w:bookmarkStart w:id="1438" w:name="_Toc389065239"/>
      <w:bookmarkStart w:id="1439" w:name="_Toc487632666"/>
      <w:bookmarkStart w:id="1440" w:name="_Toc32216"/>
      <w:r>
        <w:rPr>
          <w:rFonts w:hint="eastAsia" w:cs="黑体" w:asciiTheme="minorEastAsia" w:hAnsiTheme="minorEastAsia"/>
          <w:color w:val="auto"/>
          <w:highlight w:val="none"/>
        </w:rPr>
        <w:t>评标办法前附表</w:t>
      </w:r>
      <w:bookmarkEnd w:id="1434"/>
      <w:bookmarkEnd w:id="1435"/>
      <w:bookmarkEnd w:id="1436"/>
      <w:bookmarkEnd w:id="1437"/>
      <w:bookmarkEnd w:id="1438"/>
      <w:bookmarkEnd w:id="1439"/>
      <w:bookmarkEnd w:id="1440"/>
    </w:p>
    <w:p w14:paraId="50E3A20B">
      <w:pPr>
        <w:rPr>
          <w:rFonts w:asciiTheme="minorEastAsia" w:hAnsiTheme="minorEastAsia"/>
          <w:color w:val="auto"/>
          <w:highlight w:val="none"/>
        </w:rPr>
      </w:pPr>
    </w:p>
    <w:tbl>
      <w:tblPr>
        <w:tblStyle w:val="27"/>
        <w:tblW w:w="916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152"/>
        <w:gridCol w:w="6325"/>
        <w:gridCol w:w="845"/>
      </w:tblGrid>
      <w:tr w14:paraId="0596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7" w:type="dxa"/>
          </w:tcPr>
          <w:p w14:paraId="6D82D47E">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序号</w:t>
            </w:r>
          </w:p>
        </w:tc>
        <w:tc>
          <w:tcPr>
            <w:tcW w:w="1152" w:type="dxa"/>
          </w:tcPr>
          <w:p w14:paraId="326D2099">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评分类型</w:t>
            </w:r>
          </w:p>
        </w:tc>
        <w:tc>
          <w:tcPr>
            <w:tcW w:w="6325" w:type="dxa"/>
          </w:tcPr>
          <w:p w14:paraId="167B7769">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评分标准</w:t>
            </w:r>
          </w:p>
        </w:tc>
        <w:tc>
          <w:tcPr>
            <w:tcW w:w="845" w:type="dxa"/>
          </w:tcPr>
          <w:p w14:paraId="0A027C05">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分值</w:t>
            </w:r>
          </w:p>
        </w:tc>
      </w:tr>
      <w:tr w14:paraId="79F62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04858D80">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p>
        </w:tc>
        <w:tc>
          <w:tcPr>
            <w:tcW w:w="1152" w:type="dxa"/>
          </w:tcPr>
          <w:p w14:paraId="7AAEAB33">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报价</w:t>
            </w:r>
          </w:p>
        </w:tc>
        <w:tc>
          <w:tcPr>
            <w:tcW w:w="6325" w:type="dxa"/>
          </w:tcPr>
          <w:p w14:paraId="077D88CF">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r>
              <w:rPr>
                <w:rFonts w:hint="eastAsia" w:asciiTheme="minorEastAsia" w:hAnsiTheme="minorEastAsia" w:eastAsiaTheme="minorEastAsia" w:cstheme="minorEastAsia"/>
                <w:color w:val="auto"/>
                <w:sz w:val="21"/>
                <w:szCs w:val="21"/>
                <w:highlight w:val="none"/>
              </w:rPr>
              <w:t>评审报价为供应商的最后报价进行政策性扣除后的价格，评审报价只是作为评审时使用。最终成交供应商的成交金额等于最后报价（如有修正，以确认修正后的最后报价为准）。</w:t>
            </w:r>
          </w:p>
          <w:p w14:paraId="45227FE3">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2.价格分计算公式：</w:t>
            </w:r>
          </w:p>
          <w:p w14:paraId="7D65AD4C">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报价得分=（基准价/最终报价）×</w:t>
            </w:r>
            <w:r>
              <w:rPr>
                <w:rFonts w:hint="eastAsia" w:asciiTheme="minorEastAsia" w:hAnsiTheme="minorEastAsia" w:eastAsiaTheme="minorEastAsia" w:cstheme="minorEastAsia"/>
                <w:bCs/>
                <w:color w:val="auto"/>
                <w:sz w:val="21"/>
                <w:szCs w:val="21"/>
                <w:highlight w:val="none"/>
                <w:u w:val="single"/>
              </w:rPr>
              <w:t>10分</w:t>
            </w:r>
          </w:p>
        </w:tc>
        <w:tc>
          <w:tcPr>
            <w:tcW w:w="845" w:type="dxa"/>
          </w:tcPr>
          <w:p w14:paraId="7FCC43D8">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0-10</w:t>
            </w:r>
          </w:p>
        </w:tc>
      </w:tr>
      <w:tr w14:paraId="6FC2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47" w:type="dxa"/>
          </w:tcPr>
          <w:p w14:paraId="57F8EBB6">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w:t>
            </w:r>
          </w:p>
        </w:tc>
        <w:tc>
          <w:tcPr>
            <w:tcW w:w="1152" w:type="dxa"/>
          </w:tcPr>
          <w:p w14:paraId="58B07ACC">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技术</w:t>
            </w:r>
          </w:p>
        </w:tc>
        <w:tc>
          <w:tcPr>
            <w:tcW w:w="6325" w:type="dxa"/>
          </w:tcPr>
          <w:p w14:paraId="697B2BCD">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技术分（满分6</w:t>
            </w:r>
            <w:r>
              <w:rPr>
                <w:rFonts w:hint="eastAsia" w:asciiTheme="minorEastAsia" w:hAnsiTheme="minorEastAsia" w:eastAsiaTheme="minorEastAsia" w:cstheme="minorEastAsia"/>
                <w:bCs/>
                <w:color w:val="auto"/>
                <w:sz w:val="21"/>
                <w:szCs w:val="21"/>
                <w:highlight w:val="none"/>
                <w:lang w:val="en-US" w:eastAsia="zh-CN"/>
              </w:rPr>
              <w:t>0</w:t>
            </w:r>
            <w:r>
              <w:rPr>
                <w:rFonts w:hint="eastAsia" w:asciiTheme="minorEastAsia" w:hAnsiTheme="minorEastAsia" w:eastAsiaTheme="minorEastAsia" w:cstheme="minorEastAsia"/>
                <w:bCs/>
                <w:color w:val="auto"/>
                <w:sz w:val="21"/>
                <w:szCs w:val="21"/>
                <w:highlight w:val="none"/>
              </w:rPr>
              <w:t>分）</w:t>
            </w:r>
          </w:p>
        </w:tc>
        <w:tc>
          <w:tcPr>
            <w:tcW w:w="845" w:type="dxa"/>
          </w:tcPr>
          <w:p w14:paraId="307C1AD2">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0-</w:t>
            </w:r>
            <w:r>
              <w:rPr>
                <w:rFonts w:hint="eastAsia" w:asciiTheme="minorEastAsia" w:hAnsiTheme="minorEastAsia" w:eastAsiaTheme="minorEastAsia" w:cstheme="minorEastAsia"/>
                <w:bCs/>
                <w:color w:val="auto"/>
                <w:sz w:val="21"/>
                <w:szCs w:val="21"/>
                <w:highlight w:val="none"/>
                <w:lang w:val="en-US" w:eastAsia="zh-CN"/>
              </w:rPr>
              <w:t>60</w:t>
            </w:r>
          </w:p>
        </w:tc>
      </w:tr>
      <w:tr w14:paraId="5359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847" w:type="dxa"/>
          </w:tcPr>
          <w:p w14:paraId="5128A2CB">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1.1</w:t>
            </w:r>
          </w:p>
        </w:tc>
        <w:tc>
          <w:tcPr>
            <w:tcW w:w="1152" w:type="dxa"/>
            <w:vAlign w:val="center"/>
          </w:tcPr>
          <w:p w14:paraId="6CD789B6">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施工组织设计方案</w:t>
            </w:r>
          </w:p>
        </w:tc>
        <w:tc>
          <w:tcPr>
            <w:tcW w:w="6325" w:type="dxa"/>
            <w:vAlign w:val="center"/>
          </w:tcPr>
          <w:p w14:paraId="6DF39414">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（1）实施本项目的技术方案（满分2</w:t>
            </w:r>
            <w:r>
              <w:rPr>
                <w:rFonts w:hint="eastAsia" w:asciiTheme="minorEastAsia" w:hAnsiTheme="minorEastAsia" w:eastAsiaTheme="minorEastAsia" w:cstheme="minorEastAsia"/>
                <w:bCs/>
                <w:color w:val="auto"/>
                <w:sz w:val="21"/>
                <w:szCs w:val="21"/>
                <w:highlight w:val="none"/>
                <w:lang w:val="en-US" w:eastAsia="zh-CN"/>
              </w:rPr>
              <w:t>0</w:t>
            </w:r>
            <w:r>
              <w:rPr>
                <w:rFonts w:hint="eastAsia" w:asciiTheme="minorEastAsia" w:hAnsiTheme="minorEastAsia" w:eastAsiaTheme="minorEastAsia" w:cstheme="minorEastAsia"/>
                <w:bCs/>
                <w:color w:val="auto"/>
                <w:sz w:val="21"/>
                <w:szCs w:val="21"/>
                <w:highlight w:val="none"/>
              </w:rPr>
              <w:t>分）</w:t>
            </w:r>
          </w:p>
          <w:p w14:paraId="499A57B5">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能否充分考虑到本项目的具体情况并采取针对性措施，根据项目方案的合理化和质量管理、质量控制方案，提出有特点、可实施性强的技术方案打分。</w:t>
            </w:r>
          </w:p>
          <w:p w14:paraId="0892818A">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一档（</w:t>
            </w: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bCs/>
                <w:color w:val="auto"/>
                <w:sz w:val="21"/>
                <w:szCs w:val="21"/>
                <w:highlight w:val="none"/>
              </w:rPr>
              <w:t>技术</w:t>
            </w:r>
            <w:r>
              <w:rPr>
                <w:rFonts w:hint="eastAsia" w:asciiTheme="minorEastAsia" w:hAnsiTheme="minorEastAsia" w:eastAsiaTheme="minorEastAsia" w:cstheme="minorEastAsia"/>
                <w:color w:val="auto"/>
                <w:sz w:val="21"/>
                <w:szCs w:val="21"/>
                <w:highlight w:val="none"/>
              </w:rPr>
              <w:t>方案描述不够具体，不太合理，项目可实施性差</w:t>
            </w:r>
            <w:r>
              <w:rPr>
                <w:rFonts w:hint="eastAsia" w:asciiTheme="minorEastAsia" w:hAnsiTheme="minorEastAsia" w:eastAsiaTheme="minorEastAsia" w:cstheme="minorEastAsia"/>
                <w:bCs/>
                <w:color w:val="auto"/>
                <w:sz w:val="21"/>
                <w:szCs w:val="21"/>
                <w:highlight w:val="none"/>
              </w:rPr>
              <w:t>；</w:t>
            </w:r>
          </w:p>
          <w:p w14:paraId="09B3A175">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二档（</w:t>
            </w:r>
            <w:r>
              <w:rPr>
                <w:rFonts w:hint="eastAsia" w:asciiTheme="minorEastAsia" w:hAnsiTheme="minorEastAsia" w:eastAsiaTheme="minorEastAsia" w:cstheme="minorEastAsia"/>
                <w:bCs/>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bCs/>
                <w:color w:val="auto"/>
                <w:sz w:val="21"/>
                <w:szCs w:val="21"/>
                <w:highlight w:val="none"/>
              </w:rPr>
              <w:t>技术</w:t>
            </w:r>
            <w:r>
              <w:rPr>
                <w:rFonts w:hint="eastAsia" w:asciiTheme="minorEastAsia" w:hAnsiTheme="minorEastAsia" w:eastAsiaTheme="minorEastAsia" w:cstheme="minorEastAsia"/>
                <w:color w:val="auto"/>
                <w:sz w:val="21"/>
                <w:szCs w:val="21"/>
                <w:highlight w:val="none"/>
              </w:rPr>
              <w:t>方案具体，</w:t>
            </w:r>
            <w:r>
              <w:rPr>
                <w:rFonts w:hint="eastAsia" w:asciiTheme="minorEastAsia" w:hAnsiTheme="minorEastAsia" w:eastAsiaTheme="minorEastAsia" w:cstheme="minorEastAsia"/>
                <w:color w:val="auto"/>
                <w:kern w:val="0"/>
                <w:sz w:val="21"/>
                <w:szCs w:val="21"/>
                <w:highlight w:val="none"/>
              </w:rPr>
              <w:t>各主要分部</w:t>
            </w:r>
            <w:r>
              <w:rPr>
                <w:rFonts w:hint="eastAsia" w:asciiTheme="minorEastAsia" w:hAnsiTheme="minorEastAsia" w:eastAsiaTheme="minorEastAsia" w:cstheme="minorEastAsia"/>
                <w:color w:val="auto"/>
                <w:sz w:val="21"/>
                <w:szCs w:val="21"/>
                <w:highlight w:val="none"/>
              </w:rPr>
              <w:t>描述合理，</w:t>
            </w:r>
            <w:r>
              <w:rPr>
                <w:rFonts w:hint="eastAsia" w:asciiTheme="minorEastAsia" w:hAnsiTheme="minorEastAsia" w:eastAsiaTheme="minorEastAsia" w:cstheme="minorEastAsia"/>
                <w:color w:val="auto"/>
                <w:kern w:val="0"/>
                <w:sz w:val="21"/>
                <w:szCs w:val="21"/>
                <w:highlight w:val="none"/>
              </w:rPr>
              <w:t>施工方法的</w:t>
            </w:r>
            <w:r>
              <w:rPr>
                <w:rFonts w:hint="eastAsia" w:asciiTheme="minorEastAsia" w:hAnsiTheme="minorEastAsia" w:eastAsiaTheme="minorEastAsia" w:cstheme="minorEastAsia"/>
                <w:color w:val="auto"/>
                <w:sz w:val="21"/>
                <w:szCs w:val="21"/>
                <w:highlight w:val="none"/>
              </w:rPr>
              <w:t>可实施性</w:t>
            </w:r>
            <w:r>
              <w:rPr>
                <w:rFonts w:hint="eastAsia" w:asciiTheme="minorEastAsia" w:hAnsiTheme="minorEastAsia" w:eastAsiaTheme="minorEastAsia" w:cstheme="minorEastAsia"/>
                <w:color w:val="auto"/>
                <w:kern w:val="0"/>
                <w:sz w:val="21"/>
                <w:szCs w:val="21"/>
                <w:highlight w:val="none"/>
              </w:rPr>
              <w:t>基本符合项目要求</w:t>
            </w:r>
            <w:r>
              <w:rPr>
                <w:rFonts w:hint="eastAsia" w:asciiTheme="minorEastAsia" w:hAnsiTheme="minorEastAsia" w:eastAsiaTheme="minorEastAsia" w:cstheme="minorEastAsia"/>
                <w:bCs/>
                <w:color w:val="auto"/>
                <w:sz w:val="21"/>
                <w:szCs w:val="21"/>
                <w:highlight w:val="none"/>
              </w:rPr>
              <w:t>；</w:t>
            </w:r>
          </w:p>
          <w:p w14:paraId="18529FB4">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三档（</w:t>
            </w:r>
            <w:r>
              <w:rPr>
                <w:rFonts w:hint="eastAsia" w:asciiTheme="minorEastAsia" w:hAnsiTheme="minorEastAsia" w:eastAsiaTheme="minorEastAsia" w:cstheme="minorEastAsia"/>
                <w:bCs/>
                <w:color w:val="auto"/>
                <w:sz w:val="21"/>
                <w:szCs w:val="21"/>
                <w:highlight w:val="none"/>
                <w:lang w:val="en-US" w:eastAsia="zh-CN"/>
              </w:rPr>
              <w:t>20</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kern w:val="0"/>
                <w:sz w:val="21"/>
                <w:szCs w:val="21"/>
                <w:highlight w:val="none"/>
              </w:rPr>
              <w:t>各主要分部施工方法</w:t>
            </w:r>
            <w:r>
              <w:rPr>
                <w:rFonts w:hint="eastAsia" w:asciiTheme="minorEastAsia" w:hAnsiTheme="minorEastAsia" w:eastAsiaTheme="minorEastAsia" w:cstheme="minorEastAsia"/>
                <w:color w:val="auto"/>
                <w:sz w:val="21"/>
                <w:szCs w:val="21"/>
                <w:highlight w:val="none"/>
              </w:rPr>
              <w:t>可实施性强</w:t>
            </w:r>
            <w:r>
              <w:rPr>
                <w:rFonts w:hint="eastAsia" w:asciiTheme="minorEastAsia" w:hAnsiTheme="minorEastAsia" w:eastAsiaTheme="minorEastAsia" w:cstheme="minorEastAsia"/>
                <w:color w:val="auto"/>
                <w:kern w:val="0"/>
                <w:sz w:val="21"/>
                <w:szCs w:val="21"/>
                <w:highlight w:val="none"/>
              </w:rPr>
              <w:t>，须有详尽的施工技术方案，工艺先进、方法科学合理、可行，能指导具体施工并确保安全。</w:t>
            </w:r>
          </w:p>
          <w:p w14:paraId="7351252F">
            <w:pPr>
              <w:keepNext w:val="0"/>
              <w:keepLines w:val="0"/>
              <w:pageBreakBefore w:val="0"/>
              <w:widowControl/>
              <w:kinsoku/>
              <w:wordWrap/>
              <w:overflowPunct/>
              <w:topLinePunct w:val="0"/>
              <w:autoSpaceDE/>
              <w:autoSpaceDN/>
              <w:bidi w:val="0"/>
              <w:snapToGrid/>
              <w:spacing w:line="360" w:lineRule="auto"/>
              <w:ind w:left="0" w:firstLine="0" w:firstLineChars="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sz w:val="21"/>
                <w:szCs w:val="21"/>
                <w:highlight w:val="none"/>
              </w:rPr>
              <w:t>施工总平面布置图</w:t>
            </w:r>
            <w:r>
              <w:rPr>
                <w:rFonts w:hint="eastAsia" w:asciiTheme="minorEastAsia" w:hAnsiTheme="minorEastAsia" w:eastAsiaTheme="minorEastAsia" w:cstheme="minorEastAsia"/>
                <w:color w:val="auto"/>
                <w:kern w:val="0"/>
                <w:sz w:val="21"/>
                <w:szCs w:val="21"/>
                <w:highlight w:val="none"/>
              </w:rPr>
              <w:t>布置分</w:t>
            </w:r>
            <w:r>
              <w:rPr>
                <w:rFonts w:hint="eastAsia" w:asciiTheme="minorEastAsia" w:hAnsiTheme="minorEastAsia" w:eastAsiaTheme="minorEastAsia" w:cstheme="minorEastAsia"/>
                <w:bCs/>
                <w:color w:val="auto"/>
                <w:sz w:val="21"/>
                <w:szCs w:val="21"/>
                <w:highlight w:val="none"/>
              </w:rPr>
              <w:t>（满分15分）</w:t>
            </w:r>
          </w:p>
          <w:p w14:paraId="2DBDAF02">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一档</w:t>
            </w:r>
            <w:r>
              <w:rPr>
                <w:rFonts w:hint="eastAsia" w:asciiTheme="minorEastAsia" w:hAnsiTheme="minorEastAsia" w:eastAsiaTheme="minorEastAsia" w:cstheme="minorEastAsia"/>
                <w:color w:val="auto"/>
                <w:sz w:val="21"/>
                <w:szCs w:val="21"/>
                <w:highlight w:val="none"/>
              </w:rPr>
              <w:t>（5分）</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sz w:val="21"/>
                <w:szCs w:val="21"/>
                <w:highlight w:val="none"/>
              </w:rPr>
              <w:t>施工总平面布置图</w:t>
            </w:r>
            <w:r>
              <w:rPr>
                <w:rFonts w:hint="eastAsia" w:asciiTheme="minorEastAsia" w:hAnsiTheme="minorEastAsia" w:eastAsiaTheme="minorEastAsia" w:cstheme="minorEastAsia"/>
                <w:color w:val="auto"/>
                <w:kern w:val="0"/>
                <w:sz w:val="21"/>
                <w:szCs w:val="21"/>
                <w:highlight w:val="none"/>
              </w:rPr>
              <w:t>布置混乱，方案内容简单混乱，工序工艺较差，基本不能施工需求。</w:t>
            </w:r>
          </w:p>
          <w:p w14:paraId="7F2854BD">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二档</w:t>
            </w:r>
            <w:r>
              <w:rPr>
                <w:rFonts w:hint="eastAsia" w:asciiTheme="minorEastAsia" w:hAnsiTheme="minorEastAsia" w:eastAsiaTheme="minorEastAsia" w:cstheme="minorEastAsia"/>
                <w:color w:val="auto"/>
                <w:sz w:val="21"/>
                <w:szCs w:val="21"/>
                <w:highlight w:val="none"/>
              </w:rPr>
              <w:t>（10分）</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sz w:val="21"/>
                <w:szCs w:val="21"/>
                <w:highlight w:val="none"/>
              </w:rPr>
              <w:t>施工总平面布置图</w:t>
            </w:r>
            <w:r>
              <w:rPr>
                <w:rFonts w:hint="eastAsia" w:asciiTheme="minorEastAsia" w:hAnsiTheme="minorEastAsia" w:eastAsiaTheme="minorEastAsia" w:cstheme="minorEastAsia"/>
                <w:color w:val="auto"/>
                <w:kern w:val="0"/>
                <w:sz w:val="21"/>
                <w:szCs w:val="21"/>
                <w:highlight w:val="none"/>
              </w:rPr>
              <w:t>布置达到基本施工要求，方案内容详细，工序工艺先进，安排基本合理，基本满足施工需求。</w:t>
            </w:r>
          </w:p>
          <w:p w14:paraId="76844942">
            <w:pPr>
              <w:keepNext w:val="0"/>
              <w:keepLines w:val="0"/>
              <w:pageBreakBefore w:val="0"/>
              <w:widowControl/>
              <w:kinsoku/>
              <w:wordWrap/>
              <w:overflowPunct/>
              <w:topLinePunct w:val="0"/>
              <w:autoSpaceDE/>
              <w:autoSpaceDN/>
              <w:bidi w:val="0"/>
              <w:snapToGrid/>
              <w:spacing w:line="360" w:lineRule="auto"/>
              <w:ind w:left="0" w:firstLine="0" w:firstLineChars="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三档</w:t>
            </w:r>
            <w:r>
              <w:rPr>
                <w:rFonts w:hint="eastAsia" w:asciiTheme="minorEastAsia" w:hAnsiTheme="minorEastAsia" w:eastAsiaTheme="minorEastAsia" w:cstheme="minorEastAsia"/>
                <w:color w:val="auto"/>
                <w:sz w:val="21"/>
                <w:szCs w:val="21"/>
                <w:highlight w:val="none"/>
              </w:rPr>
              <w:t>（15分）</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eastAsiaTheme="minorEastAsia" w:cstheme="minorEastAsia"/>
                <w:color w:val="auto"/>
                <w:sz w:val="21"/>
                <w:szCs w:val="21"/>
                <w:highlight w:val="none"/>
              </w:rPr>
              <w:t>施工总平面布置图</w:t>
            </w:r>
            <w:r>
              <w:rPr>
                <w:rFonts w:hint="eastAsia" w:asciiTheme="minorEastAsia" w:hAnsiTheme="minorEastAsia" w:eastAsiaTheme="minorEastAsia" w:cstheme="minorEastAsia"/>
                <w:color w:val="auto"/>
                <w:kern w:val="0"/>
                <w:sz w:val="21"/>
                <w:szCs w:val="21"/>
                <w:highlight w:val="none"/>
              </w:rPr>
              <w:t>布置规范合理，方案内容详细周密，工序工艺先进，安排科学合理，满足施工需求，能有效保证工程质量。</w:t>
            </w:r>
          </w:p>
          <w:p w14:paraId="317C4846">
            <w:pPr>
              <w:keepNext w:val="0"/>
              <w:keepLines w:val="0"/>
              <w:pageBreakBefore w:val="0"/>
              <w:widowControl/>
              <w:kinsoku/>
              <w:wordWrap/>
              <w:overflowPunct/>
              <w:topLinePunct w:val="0"/>
              <w:autoSpaceDE/>
              <w:autoSpaceDN/>
              <w:bidi w:val="0"/>
              <w:snapToGrid/>
              <w:spacing w:line="360" w:lineRule="auto"/>
              <w:ind w:left="0"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（3）投入的主要施工机械、设备计划分</w:t>
            </w:r>
            <w:r>
              <w:rPr>
                <w:rFonts w:hint="eastAsia" w:asciiTheme="minorEastAsia" w:hAnsiTheme="minorEastAsia" w:eastAsiaTheme="minorEastAsia" w:cstheme="minorEastAsia"/>
                <w:bCs/>
                <w:color w:val="auto"/>
                <w:sz w:val="21"/>
                <w:szCs w:val="21"/>
                <w:highlight w:val="none"/>
              </w:rPr>
              <w:t>（满分15分）</w:t>
            </w:r>
          </w:p>
          <w:p w14:paraId="2DBCC153">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一档（5分）：应表述的内容存在较多欠缺、不符合实际、不可行。</w:t>
            </w:r>
          </w:p>
          <w:p w14:paraId="00D2C807">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二档（10分）：基本</w:t>
            </w:r>
            <w:r>
              <w:rPr>
                <w:rFonts w:hint="eastAsia" w:asciiTheme="minorEastAsia" w:hAnsiTheme="minorEastAsia" w:eastAsiaTheme="minorEastAsia" w:cstheme="minorEastAsia"/>
                <w:color w:val="auto"/>
                <w:kern w:val="0"/>
                <w:sz w:val="21"/>
                <w:szCs w:val="21"/>
                <w:highlight w:val="none"/>
              </w:rPr>
              <w:t>符合项目需求，计划较为周密，时间进度安排较为合理，但缺乏针对性、实际性</w:t>
            </w:r>
            <w:r>
              <w:rPr>
                <w:rFonts w:hint="eastAsia" w:asciiTheme="minorEastAsia" w:hAnsiTheme="minorEastAsia" w:eastAsiaTheme="minorEastAsia" w:cstheme="minorEastAsia"/>
                <w:color w:val="auto"/>
                <w:sz w:val="21"/>
                <w:szCs w:val="21"/>
                <w:highlight w:val="none"/>
              </w:rPr>
              <w:t>。</w:t>
            </w:r>
          </w:p>
          <w:p w14:paraId="05D8EC54">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三档（15分）：</w:t>
            </w:r>
            <w:r>
              <w:rPr>
                <w:rFonts w:hint="eastAsia" w:asciiTheme="minorEastAsia" w:hAnsiTheme="minorEastAsia" w:eastAsiaTheme="minorEastAsia" w:cstheme="minorEastAsia"/>
                <w:color w:val="auto"/>
                <w:kern w:val="0"/>
                <w:sz w:val="21"/>
                <w:szCs w:val="21"/>
                <w:highlight w:val="none"/>
              </w:rPr>
              <w:t>投入的施工机械、设备、机具有详细的组织计划且计划周密，设备数量、选型配置、进场时间安排合理，满足施工需要，</w:t>
            </w:r>
            <w:r>
              <w:rPr>
                <w:rFonts w:hint="eastAsia" w:asciiTheme="minorEastAsia" w:hAnsiTheme="minorEastAsia" w:eastAsiaTheme="minorEastAsia" w:cstheme="minorEastAsia"/>
                <w:color w:val="auto"/>
                <w:sz w:val="21"/>
                <w:szCs w:val="21"/>
                <w:highlight w:val="none"/>
              </w:rPr>
              <w:t>完全</w:t>
            </w:r>
            <w:r>
              <w:rPr>
                <w:rFonts w:hint="eastAsia" w:asciiTheme="minorEastAsia" w:hAnsiTheme="minorEastAsia" w:eastAsiaTheme="minorEastAsia" w:cstheme="minorEastAsia"/>
                <w:color w:val="auto"/>
                <w:kern w:val="0"/>
                <w:sz w:val="21"/>
                <w:szCs w:val="21"/>
                <w:highlight w:val="none"/>
              </w:rPr>
              <w:t>符合项目实际，计划详尽周密，科学可行。</w:t>
            </w:r>
          </w:p>
          <w:p w14:paraId="4F37F558">
            <w:pPr>
              <w:keepNext w:val="0"/>
              <w:keepLines w:val="0"/>
              <w:pageBreakBefore w:val="0"/>
              <w:widowControl/>
              <w:kinsoku/>
              <w:wordWrap/>
              <w:overflowPunct/>
              <w:topLinePunct w:val="0"/>
              <w:autoSpaceDE/>
              <w:autoSpaceDN/>
              <w:bidi w:val="0"/>
              <w:snapToGrid/>
              <w:spacing w:line="360" w:lineRule="auto"/>
              <w:ind w:left="0" w:firstLine="0" w:firstLineChars="0"/>
              <w:jc w:val="left"/>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（4）服务承诺分（满分1</w:t>
            </w:r>
            <w:r>
              <w:rPr>
                <w:rFonts w:hint="eastAsia" w:asciiTheme="minorEastAsia" w:hAnsiTheme="minorEastAsia" w:eastAsiaTheme="minorEastAsia" w:cstheme="minorEastAsia"/>
                <w:bCs/>
                <w:color w:val="auto"/>
                <w:sz w:val="21"/>
                <w:szCs w:val="21"/>
                <w:highlight w:val="none"/>
                <w:lang w:val="en-US" w:eastAsia="zh-CN"/>
              </w:rPr>
              <w:t>0</w:t>
            </w:r>
            <w:r>
              <w:rPr>
                <w:rFonts w:hint="eastAsia" w:asciiTheme="minorEastAsia" w:hAnsiTheme="minorEastAsia" w:eastAsiaTheme="minorEastAsia" w:cstheme="minorEastAsia"/>
                <w:bCs/>
                <w:color w:val="auto"/>
                <w:sz w:val="21"/>
                <w:szCs w:val="21"/>
                <w:highlight w:val="none"/>
              </w:rPr>
              <w:t>分）</w:t>
            </w:r>
          </w:p>
          <w:p w14:paraId="52E8E90A">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一</w:t>
            </w:r>
            <w:r>
              <w:rPr>
                <w:rFonts w:hint="eastAsia" w:asciiTheme="minorEastAsia" w:hAnsiTheme="minorEastAsia" w:eastAsiaTheme="minorEastAsia" w:cstheme="minorEastAsia"/>
                <w:bCs/>
                <w:color w:val="auto"/>
                <w:sz w:val="21"/>
                <w:szCs w:val="21"/>
                <w:highlight w:val="none"/>
              </w:rPr>
              <w:t>档（</w:t>
            </w: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 xml:space="preserve"> 分）：无服务承诺分</w:t>
            </w:r>
          </w:p>
          <w:p w14:paraId="49F93980">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二档（</w:t>
            </w: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 xml:space="preserve"> 分）：服务承诺不完整，可行性不强，承诺在施工过程中 出现问题时作出响应并在业主要求的时间内派本项目专职代表到现场解决问题。</w:t>
            </w:r>
          </w:p>
          <w:p w14:paraId="6171D835">
            <w:pPr>
              <w:pStyle w:val="15"/>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Cs/>
                <w:color w:val="auto"/>
                <w:sz w:val="21"/>
                <w:szCs w:val="21"/>
                <w:highlight w:val="none"/>
              </w:rPr>
              <w:t>三档（</w:t>
            </w:r>
            <w:r>
              <w:rPr>
                <w:rFonts w:hint="eastAsia" w:asciiTheme="minorEastAsia" w:hAnsiTheme="minorEastAsia" w:eastAsiaTheme="minorEastAsia" w:cstheme="minorEastAsia"/>
                <w:bCs/>
                <w:color w:val="auto"/>
                <w:sz w:val="21"/>
                <w:szCs w:val="21"/>
                <w:highlight w:val="none"/>
                <w:lang w:val="en-US" w:eastAsia="zh-CN"/>
              </w:rPr>
              <w:t>10</w:t>
            </w:r>
            <w:r>
              <w:rPr>
                <w:rFonts w:hint="eastAsia" w:asciiTheme="minorEastAsia" w:hAnsiTheme="minorEastAsia" w:eastAsiaTheme="minorEastAsia" w:cstheme="minorEastAsia"/>
                <w:bCs/>
                <w:color w:val="auto"/>
                <w:sz w:val="21"/>
                <w:szCs w:val="21"/>
                <w:highlight w:val="none"/>
              </w:rPr>
              <w:t xml:space="preserve"> 分）：服务承诺明确，内容合理，承诺在施工过程中及时 响应并在业主要求的时间内派本项目专职代表到现场主动解决问题。</w:t>
            </w:r>
          </w:p>
        </w:tc>
        <w:tc>
          <w:tcPr>
            <w:tcW w:w="845" w:type="dxa"/>
            <w:vAlign w:val="center"/>
          </w:tcPr>
          <w:p w14:paraId="25CC216D">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60分</w:t>
            </w:r>
          </w:p>
        </w:tc>
      </w:tr>
      <w:tr w14:paraId="1427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6C8EB40F">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w:t>
            </w:r>
          </w:p>
        </w:tc>
        <w:tc>
          <w:tcPr>
            <w:tcW w:w="1152" w:type="dxa"/>
          </w:tcPr>
          <w:p w14:paraId="4DDEA934">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商务资信</w:t>
            </w:r>
          </w:p>
        </w:tc>
        <w:tc>
          <w:tcPr>
            <w:tcW w:w="6325" w:type="dxa"/>
          </w:tcPr>
          <w:p w14:paraId="23116667">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商务资信分（满分30分）</w:t>
            </w:r>
          </w:p>
        </w:tc>
        <w:tc>
          <w:tcPr>
            <w:tcW w:w="845" w:type="dxa"/>
          </w:tcPr>
          <w:p w14:paraId="32108F32">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0-30</w:t>
            </w:r>
          </w:p>
        </w:tc>
      </w:tr>
      <w:tr w14:paraId="7AB37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45F68216">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2.1</w:t>
            </w:r>
          </w:p>
        </w:tc>
        <w:tc>
          <w:tcPr>
            <w:tcW w:w="1152" w:type="dxa"/>
            <w:vAlign w:val="center"/>
          </w:tcPr>
          <w:p w14:paraId="7CC68807">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人员配置</w:t>
            </w:r>
          </w:p>
        </w:tc>
        <w:tc>
          <w:tcPr>
            <w:tcW w:w="6325" w:type="dxa"/>
            <w:vAlign w:val="center"/>
          </w:tcPr>
          <w:p w14:paraId="6477B589">
            <w:pPr>
              <w:keepNext w:val="0"/>
              <w:keepLines w:val="0"/>
              <w:pageBreakBefore w:val="0"/>
              <w:widowControl/>
              <w:numPr>
                <w:ilvl w:val="0"/>
                <w:numId w:val="0"/>
              </w:numPr>
              <w:kinsoku/>
              <w:wordWrap/>
              <w:overflowPunct/>
              <w:topLinePunct w:val="0"/>
              <w:autoSpaceDE/>
              <w:autoSpaceDN/>
              <w:bidi w:val="0"/>
              <w:snapToGrid/>
              <w:spacing w:line="360" w:lineRule="auto"/>
              <w:ind w:left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拟投入本项目的技术负责人具备工程类</w:t>
            </w:r>
            <w:r>
              <w:rPr>
                <w:rFonts w:hint="eastAsia" w:asciiTheme="minorEastAsia" w:hAnsiTheme="minorEastAsia" w:eastAsiaTheme="minorEastAsia" w:cstheme="minorEastAsia"/>
                <w:color w:val="auto"/>
                <w:sz w:val="21"/>
                <w:szCs w:val="21"/>
                <w:highlight w:val="none"/>
                <w:lang w:val="en-US" w:eastAsia="zh-CN"/>
              </w:rPr>
              <w:t>中</w:t>
            </w:r>
            <w:r>
              <w:rPr>
                <w:rFonts w:hint="eastAsia" w:asciiTheme="minorEastAsia" w:hAnsiTheme="minorEastAsia" w:eastAsiaTheme="minorEastAsia" w:cstheme="minorEastAsia"/>
                <w:color w:val="auto"/>
                <w:sz w:val="21"/>
                <w:szCs w:val="21"/>
                <w:highlight w:val="none"/>
              </w:rPr>
              <w:t>级工程师(含)以上职称的得</w:t>
            </w:r>
            <w:r>
              <w:rPr>
                <w:rFonts w:hint="eastAsia" w:asciiTheme="minorEastAsia" w:hAnsiTheme="minorEastAsia" w:eastAsiaTheme="minorEastAsia" w:cstheme="minorEastAsia"/>
                <w:color w:val="auto"/>
                <w:kern w:val="0"/>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分，满分</w:t>
            </w:r>
            <w:r>
              <w:rPr>
                <w:rFonts w:hint="eastAsia" w:asciiTheme="minorEastAsia" w:hAnsiTheme="minorEastAsia" w:eastAsiaTheme="minorEastAsia" w:cstheme="minorEastAsia"/>
                <w:color w:val="auto"/>
                <w:kern w:val="0"/>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p>
          <w:p w14:paraId="4B78F0F6">
            <w:pPr>
              <w:keepNext w:val="0"/>
              <w:keepLines w:val="0"/>
              <w:pageBreakBefore w:val="0"/>
              <w:widowControl/>
              <w:numPr>
                <w:ilvl w:val="0"/>
                <w:numId w:val="0"/>
              </w:numPr>
              <w:kinsoku/>
              <w:wordWrap/>
              <w:overflowPunct/>
              <w:topLinePunct w:val="0"/>
              <w:autoSpaceDE/>
              <w:autoSpaceDN/>
              <w:bidi w:val="0"/>
              <w:snapToGrid/>
              <w:spacing w:line="360" w:lineRule="auto"/>
              <w:ind w:left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拟投入本项目的项目经理在满足基本要求基础上具备工程类中级工程师(含)以上职称的得</w:t>
            </w:r>
            <w:r>
              <w:rPr>
                <w:rFonts w:hint="eastAsia" w:asciiTheme="minorEastAsia" w:hAnsiTheme="minorEastAsia" w:eastAsiaTheme="minorEastAsia" w:cstheme="minorEastAsia"/>
                <w:color w:val="auto"/>
                <w:kern w:val="0"/>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分，满分</w:t>
            </w:r>
            <w:r>
              <w:rPr>
                <w:rFonts w:hint="eastAsia" w:asciiTheme="minorEastAsia" w:hAnsiTheme="minorEastAsia" w:eastAsiaTheme="minorEastAsia" w:cstheme="minorEastAsia"/>
                <w:color w:val="auto"/>
                <w:kern w:val="0"/>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分。</w:t>
            </w:r>
          </w:p>
          <w:p w14:paraId="0D51C212">
            <w:pPr>
              <w:keepNext w:val="0"/>
              <w:keepLines w:val="0"/>
              <w:pageBreakBefore w:val="0"/>
              <w:widowControl/>
              <w:numPr>
                <w:ilvl w:val="0"/>
                <w:numId w:val="0"/>
              </w:numPr>
              <w:kinsoku/>
              <w:wordWrap/>
              <w:overflowPunct/>
              <w:topLinePunct w:val="0"/>
              <w:autoSpaceDE/>
              <w:autoSpaceDN/>
              <w:bidi w:val="0"/>
              <w:snapToGrid/>
              <w:spacing w:line="360" w:lineRule="auto"/>
              <w:ind w:leftChars="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配备的施工员、质量员、材料员、安全员等人员具备相应岗位证书（符合国家有关规定）的每个得</w:t>
            </w:r>
            <w:r>
              <w:rPr>
                <w:rFonts w:hint="eastAsia" w:asciiTheme="minorEastAsia" w:hAnsiTheme="minorEastAsia" w:eastAsiaTheme="minorEastAsia" w:cstheme="minorEastAsia"/>
                <w:color w:val="auto"/>
                <w:kern w:val="0"/>
                <w:sz w:val="21"/>
                <w:szCs w:val="21"/>
                <w:highlight w:val="none"/>
                <w:lang w:val="en-US" w:eastAsia="zh-CN"/>
              </w:rPr>
              <w:t>1.5</w:t>
            </w:r>
            <w:r>
              <w:rPr>
                <w:rFonts w:hint="eastAsia" w:asciiTheme="minorEastAsia" w:hAnsiTheme="minorEastAsia" w:eastAsiaTheme="minorEastAsia" w:cstheme="minorEastAsia"/>
                <w:color w:val="auto"/>
                <w:kern w:val="0"/>
                <w:sz w:val="21"/>
                <w:szCs w:val="21"/>
                <w:highlight w:val="none"/>
              </w:rPr>
              <w:t>分，满分</w:t>
            </w: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rPr>
              <w:t>分。</w:t>
            </w:r>
          </w:p>
          <w:p w14:paraId="05EBB787">
            <w:pPr>
              <w:keepNext w:val="0"/>
              <w:keepLines w:val="0"/>
              <w:pageBreakBefore w:val="0"/>
              <w:widowControl/>
              <w:numPr>
                <w:ilvl w:val="0"/>
                <w:numId w:val="0"/>
              </w:numPr>
              <w:kinsoku/>
              <w:wordWrap/>
              <w:overflowPunct/>
              <w:topLinePunct w:val="0"/>
              <w:autoSpaceDE/>
              <w:autoSpaceDN/>
              <w:bidi w:val="0"/>
              <w:snapToGrid/>
              <w:spacing w:line="360" w:lineRule="auto"/>
              <w:ind w:leftChars="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cstheme="minorEastAsia"/>
                <w:color w:val="auto"/>
                <w:kern w:val="0"/>
                <w:sz w:val="21"/>
                <w:szCs w:val="21"/>
                <w:highlight w:val="none"/>
                <w:lang w:val="en-US" w:eastAsia="zh-CN"/>
              </w:rPr>
              <w:t>4.</w:t>
            </w:r>
            <w:r>
              <w:rPr>
                <w:rFonts w:hint="eastAsia" w:asciiTheme="minorEastAsia" w:hAnsiTheme="minorEastAsia" w:eastAsiaTheme="minorEastAsia" w:cstheme="minorEastAsia"/>
                <w:color w:val="auto"/>
                <w:kern w:val="0"/>
                <w:sz w:val="21"/>
                <w:szCs w:val="21"/>
                <w:highlight w:val="none"/>
              </w:rPr>
              <w:t>配备的施工员、质量员、材料员、安全员等人员具有初级（或以上）职称的每个得</w:t>
            </w:r>
            <w:r>
              <w:rPr>
                <w:rFonts w:hint="eastAsia" w:asciiTheme="minorEastAsia" w:hAnsiTheme="minorEastAsia" w:eastAsiaTheme="minorEastAsia" w:cstheme="minorEastAsia"/>
                <w:color w:val="auto"/>
                <w:kern w:val="0"/>
                <w:sz w:val="21"/>
                <w:szCs w:val="21"/>
                <w:highlight w:val="none"/>
                <w:lang w:val="en-US" w:eastAsia="zh-CN"/>
              </w:rPr>
              <w:t>1.5</w:t>
            </w:r>
            <w:r>
              <w:rPr>
                <w:rFonts w:hint="eastAsia" w:asciiTheme="minorEastAsia" w:hAnsiTheme="minorEastAsia" w:eastAsiaTheme="minorEastAsia" w:cstheme="minorEastAsia"/>
                <w:color w:val="auto"/>
                <w:kern w:val="0"/>
                <w:sz w:val="21"/>
                <w:szCs w:val="21"/>
                <w:highlight w:val="none"/>
              </w:rPr>
              <w:t>分，满分</w:t>
            </w: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rPr>
              <w:t>分。</w:t>
            </w:r>
          </w:p>
        </w:tc>
        <w:tc>
          <w:tcPr>
            <w:tcW w:w="845" w:type="dxa"/>
            <w:vAlign w:val="center"/>
          </w:tcPr>
          <w:p w14:paraId="32D3242B">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15分</w:t>
            </w:r>
          </w:p>
        </w:tc>
      </w:tr>
      <w:tr w14:paraId="7874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tcPr>
          <w:p w14:paraId="083A39ED">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p>
        </w:tc>
        <w:tc>
          <w:tcPr>
            <w:tcW w:w="1152" w:type="dxa"/>
          </w:tcPr>
          <w:p w14:paraId="4609BC2D">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p>
        </w:tc>
        <w:tc>
          <w:tcPr>
            <w:tcW w:w="7170" w:type="dxa"/>
            <w:gridSpan w:val="2"/>
          </w:tcPr>
          <w:p w14:paraId="65337877">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拟投入人员必须提供开标前一个月社会养老保险金缴纳证明复印件，并加盖单位公章，不按照要求提供资料，则不计分。</w:t>
            </w:r>
          </w:p>
        </w:tc>
      </w:tr>
      <w:tr w14:paraId="03C9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847" w:type="dxa"/>
          </w:tcPr>
          <w:p w14:paraId="47C2D1CB">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2.2</w:t>
            </w:r>
          </w:p>
        </w:tc>
        <w:tc>
          <w:tcPr>
            <w:tcW w:w="1152" w:type="dxa"/>
            <w:vAlign w:val="center"/>
          </w:tcPr>
          <w:p w14:paraId="28929ADD">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业绩分</w:t>
            </w:r>
          </w:p>
        </w:tc>
        <w:tc>
          <w:tcPr>
            <w:tcW w:w="6325" w:type="dxa"/>
            <w:vAlign w:val="top"/>
          </w:tcPr>
          <w:p w14:paraId="491FBE21">
            <w:pPr>
              <w:keepNext w:val="0"/>
              <w:keepLines w:val="0"/>
              <w:pageBreakBefore w:val="0"/>
              <w:widowControl/>
              <w:tabs>
                <w:tab w:val="left" w:pos="900"/>
              </w:tabs>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供应商在近五年内承担过同类项目业绩，每有一个项目得5分，满分15分（须提供合同或中标（成交）通知书复印件并加盖公章，不按照上述要求提供资料者，不作为评分依据）。</w:t>
            </w:r>
          </w:p>
        </w:tc>
        <w:tc>
          <w:tcPr>
            <w:tcW w:w="845" w:type="dxa"/>
            <w:vAlign w:val="center"/>
          </w:tcPr>
          <w:p w14:paraId="41A1393D">
            <w:pPr>
              <w:keepNext w:val="0"/>
              <w:keepLines w:val="0"/>
              <w:pageBreakBefore w:val="0"/>
              <w:widowControl/>
              <w:kinsoku/>
              <w:wordWrap/>
              <w:overflowPunct/>
              <w:topLinePunct w:val="0"/>
              <w:autoSpaceDE/>
              <w:autoSpaceDN/>
              <w:bidi w:val="0"/>
              <w:snapToGrid/>
              <w:spacing w:line="360" w:lineRule="auto"/>
              <w:ind w:left="0"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15分</w:t>
            </w:r>
          </w:p>
        </w:tc>
      </w:tr>
      <w:tr w14:paraId="5676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169" w:type="dxa"/>
            <w:gridSpan w:val="4"/>
          </w:tcPr>
          <w:p w14:paraId="3518A62A">
            <w:pPr>
              <w:keepNext w:val="0"/>
              <w:keepLines w:val="0"/>
              <w:pageBreakBefore w:val="0"/>
              <w:widowControl/>
              <w:kinsoku/>
              <w:wordWrap/>
              <w:overflowPunct/>
              <w:topLinePunct w:val="0"/>
              <w:autoSpaceDE/>
              <w:autoSpaceDN/>
              <w:bidi w:val="0"/>
              <w:snapToGrid/>
              <w:spacing w:line="360" w:lineRule="auto"/>
              <w:ind w:left="0" w:firstLine="0" w:firstLineChars="0"/>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总得分=报价分+技术分+商务资信分</w:t>
            </w:r>
          </w:p>
        </w:tc>
      </w:tr>
    </w:tbl>
    <w:p w14:paraId="3FC307A4">
      <w:pPr>
        <w:rPr>
          <w:rFonts w:cs="宋体" w:asciiTheme="minorEastAsia" w:hAnsiTheme="minorEastAsia"/>
          <w:b/>
          <w:bCs/>
          <w:color w:val="auto"/>
          <w:sz w:val="36"/>
          <w:highlight w:val="none"/>
        </w:rPr>
      </w:pPr>
      <w:r>
        <w:rPr>
          <w:rFonts w:hint="eastAsia" w:cs="宋体" w:asciiTheme="minorEastAsia" w:hAnsiTheme="minorEastAsia"/>
          <w:b/>
          <w:bCs/>
          <w:color w:val="auto"/>
          <w:sz w:val="36"/>
          <w:highlight w:val="none"/>
        </w:rPr>
        <w:br w:type="page"/>
      </w:r>
    </w:p>
    <w:p w14:paraId="72B93E1B">
      <w:pPr>
        <w:jc w:val="center"/>
        <w:rPr>
          <w:rFonts w:cs="宋体" w:asciiTheme="minorEastAsia" w:hAnsiTheme="minorEastAsia"/>
          <w:color w:val="auto"/>
          <w:sz w:val="36"/>
          <w:highlight w:val="none"/>
        </w:rPr>
      </w:pPr>
      <w:r>
        <w:rPr>
          <w:rFonts w:hint="eastAsia" w:cs="宋体" w:asciiTheme="minorEastAsia" w:hAnsiTheme="minorEastAsia"/>
          <w:b/>
          <w:bCs/>
          <w:color w:val="auto"/>
          <w:sz w:val="36"/>
          <w:highlight w:val="none"/>
        </w:rPr>
        <w:t>评标办法正文</w:t>
      </w:r>
    </w:p>
    <w:p w14:paraId="2A22D47D">
      <w:pPr>
        <w:spacing w:line="360" w:lineRule="auto"/>
        <w:ind w:firstLine="600" w:firstLineChars="250"/>
        <w:rPr>
          <w:rFonts w:cs="宋体" w:asciiTheme="minorEastAsia" w:hAnsiTheme="minorEastAsia"/>
          <w:color w:val="auto"/>
          <w:sz w:val="24"/>
          <w:highlight w:val="none"/>
        </w:rPr>
      </w:pPr>
      <w:r>
        <w:rPr>
          <w:rFonts w:hint="eastAsia" w:cs="宋体" w:asciiTheme="minorEastAsia" w:hAnsiTheme="minorEastAsia"/>
          <w:color w:val="auto"/>
          <w:sz w:val="24"/>
          <w:highlight w:val="none"/>
        </w:rPr>
        <w:t>本工程施工采购采用综合评分法进行评标定标，磋商小组对满足采购文件实质性要求的响应文件，按照采购文件规定的评分标准进行打分，并按综合得分由高到低顺序推荐成交候选人，或根据采购人授权直接确定成交人，但投标报价低于其成本的除外。综合评分相等时，以投标报价低的优先；投标价也相等时，以企业用于该项工程投标的资质高的优先；企业用于该项工程投标的资质也相等的，由磋商小组采用记名投票方式确定。</w:t>
      </w:r>
    </w:p>
    <w:p w14:paraId="5B56AFB1">
      <w:pPr>
        <w:spacing w:line="360" w:lineRule="auto"/>
        <w:rPr>
          <w:rFonts w:cs="宋体" w:asciiTheme="minorEastAsia" w:hAnsiTheme="minorEastAsia"/>
          <w:color w:val="auto"/>
          <w:sz w:val="24"/>
          <w:highlight w:val="none"/>
        </w:rPr>
      </w:pPr>
      <w:r>
        <w:rPr>
          <w:rFonts w:hint="eastAsia" w:cs="宋体" w:asciiTheme="minorEastAsia" w:hAnsiTheme="minorEastAsia"/>
          <w:color w:val="auto"/>
          <w:sz w:val="24"/>
          <w:highlight w:val="none"/>
        </w:rPr>
        <w:t xml:space="preserve">   （一）磋商小组的构成：本采购项目的磋商小组成员分别由依法组成的评审专家、采购人代表等三人以上（含三人）单数组成，其中专家人数不少于成员总数的三分之二。</w:t>
      </w:r>
    </w:p>
    <w:p w14:paraId="38F2587E">
      <w:pPr>
        <w:spacing w:line="360" w:lineRule="auto"/>
        <w:ind w:firstLine="360" w:firstLineChars="150"/>
        <w:rPr>
          <w:rFonts w:cs="宋体" w:asciiTheme="minorEastAsia" w:hAnsiTheme="minorEastAsia"/>
          <w:color w:val="auto"/>
          <w:sz w:val="24"/>
          <w:szCs w:val="24"/>
          <w:highlight w:val="none"/>
        </w:rPr>
      </w:pPr>
      <w:r>
        <w:rPr>
          <w:rFonts w:hint="eastAsia" w:cs="宋体" w:asciiTheme="minorEastAsia" w:hAnsiTheme="minorEastAsia"/>
          <w:color w:val="auto"/>
          <w:sz w:val="24"/>
          <w:highlight w:val="none"/>
        </w:rPr>
        <w:t>（二）评标依据：以采购文件和响应文件为评定依据，</w:t>
      </w:r>
      <w:r>
        <w:rPr>
          <w:rFonts w:hint="eastAsia" w:cs="宋体" w:asciiTheme="minorEastAsia" w:hAnsiTheme="minorEastAsia"/>
          <w:color w:val="auto"/>
          <w:sz w:val="24"/>
          <w:szCs w:val="24"/>
          <w:highlight w:val="none"/>
        </w:rPr>
        <w:t>对供应商的报价、项目管理机构、施工组织设计等内容按百分制打分。</w:t>
      </w:r>
    </w:p>
    <w:p w14:paraId="4333D67C">
      <w:pPr>
        <w:pStyle w:val="35"/>
        <w:spacing w:before="0" w:after="0" w:line="360" w:lineRule="auto"/>
        <w:rPr>
          <w:rFonts w:cs="宋体" w:asciiTheme="minorEastAsia" w:hAnsiTheme="minorEastAsia"/>
          <w:bCs w:val="0"/>
          <w:color w:val="auto"/>
          <w:spacing w:val="0"/>
          <w:kern w:val="2"/>
          <w:highlight w:val="none"/>
        </w:rPr>
      </w:pPr>
      <w:r>
        <w:rPr>
          <w:rFonts w:hint="eastAsia" w:cs="宋体" w:asciiTheme="minorEastAsia" w:hAnsiTheme="minorEastAsia"/>
          <w:bCs w:val="0"/>
          <w:color w:val="auto"/>
          <w:spacing w:val="0"/>
          <w:kern w:val="2"/>
          <w:highlight w:val="none"/>
        </w:rPr>
        <w:t xml:space="preserve">   （三）在评标过程中出现法律法规和采购文件均没有明确规定的情形时，由磋商小组现场协商解决，协商不一致的，由全体磋商小组投票表决，以得票率二分之一以上专家的意见为准。</w:t>
      </w:r>
    </w:p>
    <w:p w14:paraId="0981919E">
      <w:pPr>
        <w:spacing w:line="360" w:lineRule="auto"/>
        <w:ind w:firstLine="480" w:firstLineChars="200"/>
        <w:rPr>
          <w:rFonts w:cs="宋体" w:asciiTheme="minorEastAsia" w:hAnsiTheme="minorEastAsia"/>
          <w:bCs/>
          <w:color w:val="auto"/>
          <w:kern w:val="0"/>
          <w:sz w:val="24"/>
          <w:highlight w:val="none"/>
        </w:rPr>
      </w:pPr>
      <w:r>
        <w:rPr>
          <w:rFonts w:hint="eastAsia" w:cs="宋体" w:asciiTheme="minorEastAsia" w:hAnsiTheme="minorEastAsia"/>
          <w:bCs/>
          <w:color w:val="auto"/>
          <w:kern w:val="0"/>
          <w:sz w:val="24"/>
          <w:highlight w:val="none"/>
        </w:rPr>
        <w:t>具体评审办法及标准如下：</w:t>
      </w:r>
    </w:p>
    <w:p w14:paraId="301EA61F">
      <w:pPr>
        <w:pStyle w:val="4"/>
        <w:rPr>
          <w:rFonts w:asciiTheme="minorEastAsia" w:hAnsiTheme="minorEastAsia" w:eastAsiaTheme="minorEastAsia"/>
          <w:color w:val="auto"/>
          <w:highlight w:val="none"/>
        </w:rPr>
      </w:pPr>
      <w:bookmarkStart w:id="1441" w:name="_Toc11901"/>
      <w:bookmarkStart w:id="1442" w:name="_Toc4697"/>
      <w:r>
        <w:rPr>
          <w:rFonts w:hint="eastAsia" w:asciiTheme="minorEastAsia" w:hAnsiTheme="minorEastAsia" w:eastAsiaTheme="minorEastAsia"/>
          <w:color w:val="auto"/>
          <w:highlight w:val="none"/>
        </w:rPr>
        <w:t>一、评审程序：</w:t>
      </w:r>
      <w:bookmarkEnd w:id="1441"/>
      <w:bookmarkEnd w:id="1442"/>
    </w:p>
    <w:p w14:paraId="0C9829ED">
      <w:pPr>
        <w:snapToGrid w:val="0"/>
        <w:spacing w:line="360" w:lineRule="auto"/>
        <w:ind w:firstLine="480"/>
        <w:rPr>
          <w:rFonts w:cs="宋体" w:asciiTheme="minorEastAsia" w:hAnsiTheme="minorEastAsia"/>
          <w:color w:val="auto"/>
          <w:sz w:val="24"/>
          <w:highlight w:val="none"/>
        </w:rPr>
      </w:pPr>
      <w:r>
        <w:rPr>
          <w:rFonts w:hint="eastAsia" w:cs="宋体" w:asciiTheme="minorEastAsia" w:hAnsiTheme="minorEastAsia"/>
          <w:color w:val="auto"/>
          <w:sz w:val="24"/>
          <w:highlight w:val="none"/>
        </w:rPr>
        <w:t>1、对供应商进行磋商资格审查。磋商小组依据本竞争性磋商采购文件确定的磋商资格审查标准，对供应商的磋商资格进行评审。供应商资格不合格，其磋商将予以拒绝。</w:t>
      </w:r>
    </w:p>
    <w:p w14:paraId="3428F02E">
      <w:pPr>
        <w:snapToGrid w:val="0"/>
        <w:spacing w:line="360" w:lineRule="auto"/>
        <w:ind w:firstLine="480"/>
        <w:rPr>
          <w:rFonts w:cs="宋体" w:asciiTheme="minorEastAsia" w:hAnsiTheme="minorEastAsia"/>
          <w:color w:val="auto"/>
          <w:sz w:val="24"/>
          <w:highlight w:val="none"/>
        </w:rPr>
      </w:pPr>
      <w:r>
        <w:rPr>
          <w:rFonts w:hint="eastAsia" w:cs="宋体" w:asciiTheme="minorEastAsia" w:hAnsiTheme="minorEastAsia"/>
          <w:color w:val="auto"/>
          <w:sz w:val="24"/>
          <w:highlight w:val="none"/>
        </w:rPr>
        <w:t>2、对资格审查合格的供应商的响应文件进行符合性鉴定。响应文件应实质上响应竞争性磋商采购文件的要求，应与竞争性磋商采购文件所有条款、条件和规定相符，无明显差异或保留。磋商小组对实质上不响应竞争性磋商采购文件要求的磋商予以拒绝。</w:t>
      </w:r>
    </w:p>
    <w:p w14:paraId="525DDB4A">
      <w:pPr>
        <w:spacing w:line="360" w:lineRule="auto"/>
        <w:ind w:firstLine="480" w:firstLineChars="200"/>
        <w:rPr>
          <w:rFonts w:cs="宋体" w:asciiTheme="minorEastAsia" w:hAnsiTheme="minorEastAsia"/>
          <w:color w:val="auto"/>
          <w:sz w:val="24"/>
          <w:highlight w:val="none"/>
        </w:rPr>
      </w:pPr>
      <w:r>
        <w:rPr>
          <w:rFonts w:hint="eastAsia" w:cs="宋体" w:asciiTheme="minorEastAsia" w:hAnsiTheme="minorEastAsia"/>
          <w:color w:val="auto"/>
          <w:sz w:val="24"/>
          <w:highlight w:val="none"/>
        </w:rPr>
        <w:t>3、磋商小组与资格审查、符合性鉴定合格的供应商进行磋商。</w:t>
      </w:r>
    </w:p>
    <w:p w14:paraId="43DE5814">
      <w:pPr>
        <w:pStyle w:val="35"/>
        <w:spacing w:before="0" w:after="0" w:line="360" w:lineRule="auto"/>
        <w:rPr>
          <w:rFonts w:asciiTheme="minorEastAsia" w:hAnsiTheme="minorEastAsia"/>
          <w:color w:val="auto"/>
          <w:spacing w:val="0"/>
          <w:highlight w:val="none"/>
        </w:rPr>
      </w:pPr>
      <w:r>
        <w:rPr>
          <w:rFonts w:hint="eastAsia" w:cs="宋体" w:asciiTheme="minorEastAsia" w:hAnsiTheme="minorEastAsia"/>
          <w:color w:val="auto"/>
          <w:spacing w:val="0"/>
          <w:highlight w:val="none"/>
        </w:rPr>
        <w:t xml:space="preserve">   4、磋商结束后，磋商小组对最终实质上响应采购文件的响应文件进行综合评分评审，并依据评审结果推荐成交候选人。</w:t>
      </w:r>
    </w:p>
    <w:p w14:paraId="5F3D8941">
      <w:pPr>
        <w:pStyle w:val="4"/>
        <w:rPr>
          <w:rFonts w:asciiTheme="minorEastAsia" w:hAnsiTheme="minorEastAsia" w:eastAsiaTheme="minorEastAsia"/>
          <w:color w:val="auto"/>
          <w:highlight w:val="none"/>
        </w:rPr>
      </w:pPr>
      <w:bookmarkStart w:id="1443" w:name="_Toc25159"/>
      <w:bookmarkStart w:id="1444" w:name="_Toc29075"/>
      <w:r>
        <w:rPr>
          <w:rFonts w:hint="eastAsia" w:asciiTheme="minorEastAsia" w:hAnsiTheme="minorEastAsia" w:eastAsiaTheme="minorEastAsia"/>
          <w:color w:val="auto"/>
          <w:highlight w:val="none"/>
        </w:rPr>
        <w:t>二、资格审查标准</w:t>
      </w:r>
      <w:bookmarkEnd w:id="1443"/>
      <w:bookmarkEnd w:id="1444"/>
    </w:p>
    <w:p w14:paraId="1EB2313D">
      <w:pPr>
        <w:spacing w:line="360" w:lineRule="auto"/>
        <w:ind w:firstLine="470" w:firstLineChars="196"/>
        <w:rPr>
          <w:rFonts w:cs="宋体" w:asciiTheme="minorEastAsia" w:hAnsiTheme="minorEastAsia"/>
          <w:color w:val="auto"/>
          <w:sz w:val="24"/>
          <w:highlight w:val="none"/>
        </w:rPr>
      </w:pPr>
      <w:r>
        <w:rPr>
          <w:rFonts w:hint="eastAsia" w:cs="宋体" w:asciiTheme="minorEastAsia" w:hAnsiTheme="minorEastAsia"/>
          <w:color w:val="auto"/>
          <w:sz w:val="24"/>
          <w:highlight w:val="none"/>
        </w:rPr>
        <w:t>磋商小组在对响应文件评审时，首先对其进行资格审查，资格审查内容为采购文件磋商须知11.7.2条款所列内容。</w:t>
      </w:r>
    </w:p>
    <w:p w14:paraId="0F53D850">
      <w:pPr>
        <w:spacing w:line="360" w:lineRule="auto"/>
        <w:ind w:firstLine="470" w:firstLineChars="196"/>
        <w:rPr>
          <w:rFonts w:cs="宋体" w:asciiTheme="minorEastAsia" w:hAnsiTheme="minorEastAsia"/>
          <w:color w:val="auto"/>
          <w:sz w:val="24"/>
          <w:highlight w:val="none"/>
        </w:rPr>
      </w:pPr>
      <w:r>
        <w:rPr>
          <w:rFonts w:hint="eastAsia" w:cs="宋体" w:asciiTheme="minorEastAsia" w:hAnsiTheme="minorEastAsia"/>
          <w:color w:val="auto"/>
          <w:sz w:val="24"/>
          <w:highlight w:val="none"/>
        </w:rPr>
        <w:t>对通过资格审查的响应文件进行符合性鉴定，响应文件符合性鉴定是指响应文件应实质上响应采购文件的要求，应与采购文件的所有条款和规定相符，无明显差异或保留。磋商小组对实质上不响应采购文件要求的磋商予以拒绝，按废标处理。供应商的磋商总报价超出上限控制价的作无效磋商处理。只有通过资格审查及符合性鉴定合格的磋商单位才能进入磋商环节。如本次参加磋商的供应商通过资格审查和符合性鉴定的供应商不足三家，宣布本次采购失败，重新组织采购。</w:t>
      </w:r>
    </w:p>
    <w:p w14:paraId="69FC460B">
      <w:pPr>
        <w:pStyle w:val="4"/>
        <w:rPr>
          <w:rFonts w:asciiTheme="minorEastAsia" w:hAnsiTheme="minorEastAsia" w:eastAsiaTheme="minorEastAsia"/>
          <w:color w:val="auto"/>
          <w:highlight w:val="none"/>
        </w:rPr>
      </w:pPr>
      <w:bookmarkStart w:id="1445" w:name="_Toc17926"/>
      <w:bookmarkStart w:id="1446" w:name="_Toc19110"/>
      <w:r>
        <w:rPr>
          <w:rFonts w:hint="eastAsia" w:asciiTheme="minorEastAsia" w:hAnsiTheme="minorEastAsia" w:eastAsiaTheme="minorEastAsia"/>
          <w:color w:val="auto"/>
          <w:highlight w:val="none"/>
        </w:rPr>
        <w:t>三、综合评分评审</w:t>
      </w:r>
      <w:bookmarkEnd w:id="1445"/>
      <w:bookmarkEnd w:id="1446"/>
    </w:p>
    <w:p w14:paraId="1F26F68E">
      <w:pPr>
        <w:pStyle w:val="35"/>
        <w:spacing w:before="0" w:after="0"/>
        <w:rPr>
          <w:rFonts w:asciiTheme="minorEastAsia" w:hAnsiTheme="minorEastAsia"/>
          <w:color w:val="auto"/>
          <w:spacing w:val="0"/>
          <w:highlight w:val="none"/>
        </w:rPr>
      </w:pPr>
      <w:r>
        <w:rPr>
          <w:rFonts w:hint="eastAsia" w:cs="宋体" w:asciiTheme="minorEastAsia" w:hAnsiTheme="minorEastAsia"/>
          <w:b/>
          <w:color w:val="auto"/>
          <w:spacing w:val="0"/>
          <w:sz w:val="28"/>
          <w:szCs w:val="28"/>
          <w:highlight w:val="none"/>
        </w:rPr>
        <w:t xml:space="preserve">   </w:t>
      </w:r>
      <w:r>
        <w:rPr>
          <w:rFonts w:hint="eastAsia" w:cs="宋体" w:asciiTheme="minorEastAsia" w:hAnsiTheme="minorEastAsia"/>
          <w:bCs w:val="0"/>
          <w:color w:val="auto"/>
          <w:spacing w:val="0"/>
          <w:kern w:val="2"/>
          <w:highlight w:val="none"/>
        </w:rPr>
        <w:t>3.1价格分评审</w:t>
      </w:r>
    </w:p>
    <w:p w14:paraId="31444228">
      <w:pPr>
        <w:spacing w:line="360" w:lineRule="auto"/>
        <w:ind w:firstLine="470" w:firstLineChars="196"/>
        <w:rPr>
          <w:rFonts w:cs="宋体" w:asciiTheme="minorEastAsia" w:hAnsiTheme="minorEastAsia"/>
          <w:color w:val="auto"/>
          <w:sz w:val="24"/>
          <w:highlight w:val="none"/>
        </w:rPr>
      </w:pPr>
      <w:r>
        <w:rPr>
          <w:rFonts w:hint="eastAsia" w:cs="宋体" w:asciiTheme="minorEastAsia" w:hAnsiTheme="minorEastAsia"/>
          <w:color w:val="auto"/>
          <w:sz w:val="24"/>
          <w:highlight w:val="none"/>
        </w:rPr>
        <w:t>3.1.1、本项目的有效报价范围：低于或等于采购预算上限控制价；磋商报价超出有效报价范围，视为无效磋商。</w:t>
      </w:r>
    </w:p>
    <w:p w14:paraId="56D1232A">
      <w:pPr>
        <w:pStyle w:val="35"/>
        <w:spacing w:before="0" w:after="0" w:line="360" w:lineRule="auto"/>
        <w:rPr>
          <w:rFonts w:cs="宋体" w:asciiTheme="minorEastAsia" w:hAnsiTheme="minorEastAsia"/>
          <w:color w:val="auto"/>
          <w:spacing w:val="0"/>
          <w:kern w:val="2"/>
          <w:szCs w:val="24"/>
          <w:highlight w:val="none"/>
        </w:rPr>
      </w:pPr>
      <w:r>
        <w:rPr>
          <w:rFonts w:hint="eastAsia" w:cs="宋体" w:asciiTheme="minorEastAsia" w:hAnsiTheme="minorEastAsia"/>
          <w:color w:val="auto"/>
          <w:spacing w:val="0"/>
          <w:highlight w:val="none"/>
        </w:rPr>
        <w:t xml:space="preserve"> </w:t>
      </w:r>
      <w:r>
        <w:rPr>
          <w:rFonts w:hint="eastAsia" w:cs="宋体" w:asciiTheme="minorEastAsia" w:hAnsiTheme="minorEastAsia"/>
          <w:color w:val="auto"/>
          <w:spacing w:val="0"/>
          <w:kern w:val="2"/>
          <w:szCs w:val="24"/>
          <w:highlight w:val="none"/>
        </w:rPr>
        <w:t xml:space="preserve">  3.2 技术分（</w:t>
      </w:r>
      <w:r>
        <w:rPr>
          <w:rFonts w:hint="eastAsia" w:cs="宋体" w:asciiTheme="minorEastAsia" w:hAnsiTheme="minorEastAsia"/>
          <w:color w:val="auto"/>
          <w:spacing w:val="0"/>
          <w:szCs w:val="24"/>
          <w:highlight w:val="none"/>
        </w:rPr>
        <w:t>项目管理机构、施工组织设计</w:t>
      </w:r>
      <w:r>
        <w:rPr>
          <w:rFonts w:hint="eastAsia" w:cs="宋体" w:asciiTheme="minorEastAsia" w:hAnsiTheme="minorEastAsia"/>
          <w:color w:val="auto"/>
          <w:spacing w:val="0"/>
          <w:kern w:val="2"/>
          <w:szCs w:val="24"/>
          <w:highlight w:val="none"/>
        </w:rPr>
        <w:t>）</w:t>
      </w:r>
    </w:p>
    <w:p w14:paraId="4D107DBD">
      <w:pPr>
        <w:pStyle w:val="35"/>
        <w:spacing w:before="0" w:after="0" w:line="360" w:lineRule="auto"/>
        <w:rPr>
          <w:rFonts w:cs="宋体" w:asciiTheme="minorEastAsia" w:hAnsiTheme="minorEastAsia"/>
          <w:color w:val="auto"/>
          <w:spacing w:val="0"/>
          <w:kern w:val="2"/>
          <w:szCs w:val="24"/>
          <w:highlight w:val="none"/>
        </w:rPr>
      </w:pPr>
      <w:r>
        <w:rPr>
          <w:rFonts w:hint="eastAsia" w:cs="宋体" w:asciiTheme="minorEastAsia" w:hAnsiTheme="minorEastAsia"/>
          <w:color w:val="auto"/>
          <w:spacing w:val="0"/>
          <w:kern w:val="2"/>
          <w:szCs w:val="24"/>
          <w:highlight w:val="none"/>
        </w:rPr>
        <w:t xml:space="preserve">   评审标准见“评标办法前附表”，技术分由所有评委根据</w:t>
      </w:r>
      <w:r>
        <w:rPr>
          <w:rFonts w:hint="eastAsia" w:cs="宋体" w:asciiTheme="minorEastAsia" w:hAnsiTheme="minorEastAsia"/>
          <w:color w:val="auto"/>
          <w:spacing w:val="0"/>
          <w:szCs w:val="24"/>
          <w:highlight w:val="none"/>
        </w:rPr>
        <w:t>项目管理机构、施工组织设计</w:t>
      </w:r>
      <w:r>
        <w:rPr>
          <w:rFonts w:hint="eastAsia" w:cs="宋体" w:asciiTheme="minorEastAsia" w:hAnsiTheme="minorEastAsia"/>
          <w:color w:val="auto"/>
          <w:spacing w:val="0"/>
          <w:kern w:val="2"/>
          <w:szCs w:val="24"/>
          <w:highlight w:val="none"/>
        </w:rPr>
        <w:t>中人员、物资计划、机械设备、进度计划、技术措施等与本项目实施的符合程度独立打分。</w:t>
      </w:r>
    </w:p>
    <w:p w14:paraId="79AA5724">
      <w:pPr>
        <w:pStyle w:val="35"/>
        <w:spacing w:before="0" w:after="0" w:line="360" w:lineRule="auto"/>
        <w:rPr>
          <w:rFonts w:cs="宋体" w:asciiTheme="minorEastAsia" w:hAnsiTheme="minorEastAsia"/>
          <w:color w:val="auto"/>
          <w:spacing w:val="0"/>
          <w:kern w:val="2"/>
          <w:szCs w:val="24"/>
          <w:highlight w:val="none"/>
        </w:rPr>
      </w:pPr>
      <w:r>
        <w:rPr>
          <w:rFonts w:hint="eastAsia" w:cs="宋体" w:asciiTheme="minorEastAsia" w:hAnsiTheme="minorEastAsia"/>
          <w:color w:val="auto"/>
          <w:spacing w:val="0"/>
          <w:kern w:val="2"/>
          <w:szCs w:val="24"/>
          <w:highlight w:val="none"/>
        </w:rPr>
        <w:t xml:space="preserve">   3.3 供应商综合得分=</w:t>
      </w:r>
      <w:r>
        <w:rPr>
          <w:rFonts w:hint="eastAsia" w:asciiTheme="minorEastAsia" w:hAnsiTheme="minorEastAsia"/>
          <w:color w:val="auto"/>
          <w:spacing w:val="0"/>
          <w:highlight w:val="none"/>
        </w:rPr>
        <w:t xml:space="preserve"> </w:t>
      </w:r>
      <w:r>
        <w:rPr>
          <w:rFonts w:hint="eastAsia" w:ascii="宋体" w:hAnsi="宋体"/>
          <w:color w:val="auto"/>
          <w:szCs w:val="21"/>
          <w:highlight w:val="none"/>
        </w:rPr>
        <w:t>报价分+技术分+商务资信分</w:t>
      </w:r>
      <w:r>
        <w:rPr>
          <w:rFonts w:hint="eastAsia" w:cs="宋体" w:asciiTheme="minorEastAsia" w:hAnsiTheme="minorEastAsia"/>
          <w:color w:val="auto"/>
          <w:spacing w:val="0"/>
          <w:szCs w:val="24"/>
          <w:highlight w:val="none"/>
        </w:rPr>
        <w:t>。</w:t>
      </w:r>
    </w:p>
    <w:p w14:paraId="68E53FAA">
      <w:pPr>
        <w:pStyle w:val="4"/>
        <w:rPr>
          <w:rFonts w:asciiTheme="minorEastAsia" w:hAnsiTheme="minorEastAsia" w:eastAsiaTheme="minorEastAsia"/>
          <w:color w:val="auto"/>
          <w:highlight w:val="none"/>
        </w:rPr>
      </w:pPr>
      <w:bookmarkStart w:id="1447" w:name="_Toc27496"/>
      <w:bookmarkStart w:id="1448" w:name="_Toc7320"/>
      <w:r>
        <w:rPr>
          <w:rFonts w:hint="eastAsia" w:asciiTheme="minorEastAsia" w:hAnsiTheme="minorEastAsia" w:eastAsiaTheme="minorEastAsia"/>
          <w:color w:val="auto"/>
          <w:highlight w:val="none"/>
        </w:rPr>
        <w:t>四、评标结果</w:t>
      </w:r>
      <w:bookmarkEnd w:id="1447"/>
      <w:bookmarkEnd w:id="1448"/>
    </w:p>
    <w:p w14:paraId="5C0CFDA1">
      <w:pPr>
        <w:spacing w:line="360" w:lineRule="auto"/>
        <w:ind w:firstLine="480" w:firstLineChars="200"/>
        <w:rPr>
          <w:rFonts w:cs="宋体" w:asciiTheme="minorEastAsia" w:hAnsiTheme="minorEastAsia"/>
          <w:bCs/>
          <w:color w:val="auto"/>
          <w:sz w:val="24"/>
          <w:szCs w:val="24"/>
          <w:highlight w:val="none"/>
        </w:rPr>
      </w:pPr>
      <w:r>
        <w:rPr>
          <w:rFonts w:hint="eastAsia" w:cs="宋体" w:asciiTheme="minorEastAsia" w:hAnsiTheme="minorEastAsia"/>
          <w:bCs/>
          <w:color w:val="auto"/>
          <w:sz w:val="24"/>
          <w:szCs w:val="24"/>
          <w:highlight w:val="none"/>
        </w:rPr>
        <w:t>4.1 除第一章“磋商须知前附表”授权直接确定中标人外，磋商小组按照本章规定的顺序推荐前三名为成交候选人。采购人应当确定磋商小组推荐排名第一的成交候选供应商为成交供应商。排名第一的成交候选供应商放弃成交、未在规定时间内签订合同、因不可抗力提出不能履行合同的，采购人可以确定排名第二的成交候选供应商为成交供应商。排名第二的成交候选供应商因前款规定的同样原因不能签订合同的，采购人可以确定排名第三的成交候选供应商为成交供应商。</w:t>
      </w:r>
    </w:p>
    <w:p w14:paraId="2EFD1344">
      <w:pPr>
        <w:spacing w:line="360" w:lineRule="auto"/>
        <w:ind w:firstLine="480" w:firstLineChars="200"/>
        <w:rPr>
          <w:rFonts w:cs="宋体" w:asciiTheme="minorEastAsia" w:hAnsiTheme="minorEastAsia"/>
          <w:bCs/>
          <w:color w:val="auto"/>
          <w:sz w:val="24"/>
          <w:szCs w:val="24"/>
          <w:highlight w:val="none"/>
        </w:rPr>
      </w:pPr>
      <w:r>
        <w:rPr>
          <w:rFonts w:hint="eastAsia" w:cs="宋体" w:asciiTheme="minorEastAsia" w:hAnsiTheme="minorEastAsia"/>
          <w:bCs/>
          <w:color w:val="auto"/>
          <w:sz w:val="24"/>
          <w:szCs w:val="24"/>
          <w:highlight w:val="none"/>
        </w:rPr>
        <w:t>4.2 磋商小组完成评标后，应当向采购人提交书面评标报告。</w:t>
      </w:r>
    </w:p>
    <w:p w14:paraId="366D2F5A">
      <w:pPr>
        <w:spacing w:line="360" w:lineRule="auto"/>
        <w:ind w:firstLine="480" w:firstLineChars="200"/>
        <w:rPr>
          <w:rFonts w:cs="宋体" w:asciiTheme="minorEastAsia" w:hAnsiTheme="minorEastAsia"/>
          <w:bCs/>
          <w:color w:val="auto"/>
          <w:sz w:val="24"/>
          <w:szCs w:val="24"/>
          <w:highlight w:val="none"/>
        </w:rPr>
      </w:pPr>
    </w:p>
    <w:p w14:paraId="6318D793">
      <w:pPr>
        <w:spacing w:line="360" w:lineRule="auto"/>
        <w:jc w:val="center"/>
        <w:rPr>
          <w:rFonts w:asciiTheme="minorEastAsia" w:hAnsiTheme="minorEastAsia" w:cstheme="minorEastAsia"/>
          <w:b/>
          <w:bCs/>
          <w:color w:val="auto"/>
          <w:sz w:val="24"/>
          <w:szCs w:val="24"/>
          <w:highlight w:val="none"/>
        </w:rPr>
      </w:pPr>
    </w:p>
    <w:p w14:paraId="4710E01F">
      <w:pPr>
        <w:rPr>
          <w:rFonts w:cs="宋体" w:asciiTheme="minorEastAsia" w:hAnsiTheme="minorEastAsia"/>
          <w:b/>
          <w:bCs/>
          <w:color w:val="auto"/>
          <w:sz w:val="28"/>
          <w:szCs w:val="28"/>
          <w:highlight w:val="none"/>
        </w:rPr>
      </w:pPr>
      <w:bookmarkStart w:id="1449" w:name="_Toc19636_WPSOffice_Level1"/>
      <w:bookmarkEnd w:id="1449"/>
    </w:p>
    <w:sectPr>
      <w:endnotePr>
        <w:numFmt w:val="decimal"/>
      </w:endnotePr>
      <w:pgSz w:w="11906" w:h="16838"/>
      <w:pgMar w:top="1134" w:right="1418" w:bottom="1246" w:left="1418" w:header="630" w:footer="68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0000000000000000000"/>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1F8D5">
    <w:pPr>
      <w:pStyle w:val="20"/>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15875">
                        <a:noFill/>
                      </a:ln>
                      <a:effectLst/>
                    </wps:spPr>
                    <wps:txbx>
                      <w:txbxContent>
                        <w:p w14:paraId="78E06F41">
                          <w:pPr>
                            <w:pStyle w:val="20"/>
                            <w:rPr>
                              <w:rStyle w:val="30"/>
                            </w:rPr>
                          </w:pPr>
                          <w:r>
                            <w:fldChar w:fldCharType="begin"/>
                          </w:r>
                          <w:r>
                            <w:rPr>
                              <w:rStyle w:val="30"/>
                            </w:rPr>
                            <w:instrText xml:space="preserve">PAGE  </w:instrText>
                          </w:r>
                          <w:r>
                            <w:fldChar w:fldCharType="separate"/>
                          </w:r>
                          <w:r>
                            <w:rPr>
                              <w:rStyle w:val="30"/>
                            </w:rPr>
                            <w:t>1</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C43nDC0wAAAAIBAAAPAAAAAAAAAAEAIAAAACIA&#10;AABkcnMvZG93bnJldi54bWxQSwECFAAUAAAACACHTuJAlBniQtUBAACiAwAADgAAAAAAAAABACAA&#10;AAAiAQAAZHJzL2Uyb0RvYy54bWxQSwUGAAAAAAYABgBZAQAAaQUAAAAA&#10;">
              <v:fill on="f" focussize="0,0"/>
              <v:stroke on="f" weight="1.25pt"/>
              <v:imagedata o:title=""/>
              <o:lock v:ext="edit" aspectratio="f"/>
              <v:textbox inset="0mm,0mm,0mm,0mm" style="mso-fit-shape-to-text:t;">
                <w:txbxContent>
                  <w:p w14:paraId="78E06F41">
                    <w:pPr>
                      <w:pStyle w:val="20"/>
                      <w:rPr>
                        <w:rStyle w:val="30"/>
                      </w:rPr>
                    </w:pPr>
                    <w:r>
                      <w:fldChar w:fldCharType="begin"/>
                    </w:r>
                    <w:r>
                      <w:rPr>
                        <w:rStyle w:val="30"/>
                      </w:rPr>
                      <w:instrText xml:space="preserve">PAGE  </w:instrText>
                    </w:r>
                    <w:r>
                      <w:fldChar w:fldCharType="separate"/>
                    </w:r>
                    <w:r>
                      <w:rPr>
                        <w:rStyle w:val="30"/>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8303F">
    <w:pPr>
      <w:pStyle w:val="20"/>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16205" cy="139700"/>
                      </a:xfrm>
                      <a:prstGeom prst="rect">
                        <a:avLst/>
                      </a:prstGeom>
                      <a:noFill/>
                      <a:ln w="15875">
                        <a:noFill/>
                      </a:ln>
                      <a:effectLst/>
                    </wps:spPr>
                    <wps:txbx>
                      <w:txbxContent>
                        <w:p w14:paraId="7A4701F0">
                          <w:pPr>
                            <w:pStyle w:val="20"/>
                            <w:rPr>
                              <w:rStyle w:val="30"/>
                            </w:rPr>
                          </w:pPr>
                          <w:r>
                            <w:fldChar w:fldCharType="begin"/>
                          </w:r>
                          <w:r>
                            <w:rPr>
                              <w:rStyle w:val="30"/>
                            </w:rPr>
                            <w:instrText xml:space="preserve">PAGE  </w:instrText>
                          </w:r>
                          <w:r>
                            <w:fldChar w:fldCharType="separate"/>
                          </w:r>
                          <w:r>
                            <w:rPr>
                              <w:rStyle w:val="30"/>
                            </w:rPr>
                            <w:t>1</w:t>
                          </w:r>
                          <w: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1pt;width:9.15pt;mso-position-horizontal:center;mso-position-horizontal-relative:margin;mso-wrap-style:none;z-index:251660288;mso-width-relative:page;mso-height-relative:page;" filled="f" stroked="f" coordsize="21600,21600" o:gfxdata="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XHL93UAAAAAwEAAA8AAAAAAAAAAQAgAAAA&#10;IgAAAGRycy9kb3ducmV2LnhtbFBLAQIUABQAAAAIAIdO4kApex5M1gEAAKMDAAAOAAAAAAAAAAEA&#10;IAAAACMBAABkcnMvZTJvRG9jLnhtbFBLBQYAAAAABgAGAFkBAABrBQAAAAA=&#10;">
              <v:fill on="f" focussize="0,0"/>
              <v:stroke on="f" weight="1.25pt"/>
              <v:imagedata o:title=""/>
              <o:lock v:ext="edit" aspectratio="f"/>
              <v:textbox inset="0mm,0mm,0mm,0mm" style="mso-fit-shape-to-text:t;">
                <w:txbxContent>
                  <w:p w14:paraId="7A4701F0">
                    <w:pPr>
                      <w:pStyle w:val="20"/>
                      <w:rPr>
                        <w:rStyle w:val="30"/>
                      </w:rPr>
                    </w:pPr>
                    <w:r>
                      <w:fldChar w:fldCharType="begin"/>
                    </w:r>
                    <w:r>
                      <w:rPr>
                        <w:rStyle w:val="30"/>
                      </w:rPr>
                      <w:instrText xml:space="preserve">PAGE  </w:instrText>
                    </w:r>
                    <w:r>
                      <w:fldChar w:fldCharType="separate"/>
                    </w:r>
                    <w:r>
                      <w:rPr>
                        <w:rStyle w:val="30"/>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66DF0">
    <w:pPr>
      <w:pStyle w:val="20"/>
      <w:jc w:val="center"/>
      <w:rPr>
        <w:rFonts w:eastAsia="仿宋_GB2312"/>
        <w:sz w:val="24"/>
      </w:rPr>
    </w:pPr>
    <w:r>
      <w:rPr>
        <w:rFonts w:eastAsia="仿宋_GB2312"/>
        <w:sz w:val="24"/>
      </w:rPr>
      <w:fldChar w:fldCharType="begin"/>
    </w:r>
    <w:r>
      <w:rPr>
        <w:rFonts w:eastAsia="仿宋_GB2312"/>
        <w:sz w:val="24"/>
      </w:rPr>
      <w:instrText xml:space="preserve"> PAGE  \* MERGEFORMAT </w:instrText>
    </w:r>
    <w:r>
      <w:rPr>
        <w:rFonts w:eastAsia="仿宋_GB2312"/>
        <w:sz w:val="24"/>
      </w:rPr>
      <w:fldChar w:fldCharType="separate"/>
    </w:r>
    <w:r>
      <w:rPr>
        <w:rFonts w:ascii="Calibri" w:hAnsi="Calibri"/>
      </w:rPr>
      <w:t>62</w:t>
    </w:r>
    <w:r>
      <w:rPr>
        <w:rFonts w:eastAsia="仿宋_GB2312"/>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0D036">
    <w:pPr>
      <w:jc w:val="center"/>
    </w:pPr>
    <w:r>
      <w:fldChar w:fldCharType="begin"/>
    </w:r>
    <w:r>
      <w:instrText xml:space="preserve"> PAGE  \* MERGEFORMAT </w:instrText>
    </w:r>
    <w:r>
      <w:fldChar w:fldCharType="separate"/>
    </w:r>
    <w:r>
      <w:t>25</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1D411">
    <w:pPr>
      <w:spacing w:before="52" w:after="1" w:line="180" w:lineRule="auto"/>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980C20">
                          <w:pPr>
                            <w:pStyle w:val="20"/>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69GPs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69GPs5AgAAcQQAAA4AAAAAAAAAAQAgAAAAHwEAAGRycy9lMm9Eb2Mu&#10;eG1sUEsFBgAAAAAGAAYAWQEAAMoFAAAAAA==&#10;">
              <v:fill on="f" focussize="0,0"/>
              <v:stroke on="f" weight="0.5pt"/>
              <v:imagedata o:title=""/>
              <o:lock v:ext="edit" aspectratio="f"/>
              <v:textbox inset="0mm,0mm,0mm,0mm" style="mso-fit-shape-to-text:t;">
                <w:txbxContent>
                  <w:p w14:paraId="05980C20">
                    <w:pPr>
                      <w:pStyle w:val="20"/>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DD246">
    <w:pPr>
      <w:spacing w:before="52" w:after="1" w:line="180" w:lineRule="auto"/>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F5F3600">
                          <w:pPr>
                            <w:pStyle w:val="20"/>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1rxzQ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0NG6+lB1&#10;DzCHloWdfrA8polSebs+BkibFI8CdaqgU/GASUw967cmjvqf5xT1+E+x+g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WvHNDgCAABxBAAADgAAAAAAAAABACAAAAAfAQAAZHJzL2Uyb0RvYy54&#10;bWxQSwUGAAAAAAYABgBZAQAAyQUAAAAA&#10;">
              <v:fill on="f" focussize="0,0"/>
              <v:stroke on="f" weight="0.5pt"/>
              <v:imagedata o:title=""/>
              <o:lock v:ext="edit" aspectratio="f"/>
              <v:textbox inset="0mm,0mm,0mm,0mm" style="mso-fit-shape-to-text:t;">
                <w:txbxContent>
                  <w:p w14:paraId="5F5F3600">
                    <w:pPr>
                      <w:pStyle w:val="20"/>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1BAB2">
    <w:pPr>
      <w:pStyle w:val="2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5D172FB">
                          <w:pPr>
                            <w:pStyle w:val="20"/>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14:paraId="45D172FB">
                    <w:pPr>
                      <w:pStyle w:val="20"/>
                    </w:pPr>
                    <w:r>
                      <w:fldChar w:fldCharType="begin"/>
                    </w:r>
                    <w:r>
                      <w:instrText xml:space="preserve"> PAGE  \* MERGEFORMAT </w:instrText>
                    </w:r>
                    <w:r>
                      <w:fldChar w:fldCharType="separate"/>
                    </w:r>
                    <w:r>
                      <w:t>97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2447A">
    <w:pPr>
      <w:spacing w:beforeLines="100" w:line="600" w:lineRule="exact"/>
      <w:rPr>
        <w:rFonts w:ascii="仿宋_GB2312" w:eastAsia="仿宋_GB2312"/>
        <w:sz w:val="24"/>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5C292">
    <w:pPr>
      <w:jc w:val="right"/>
      <w:rPr>
        <w:rFonts w:ascii="仿宋_GB2312" w:eastAsia="仿宋_GB2312"/>
        <w:sz w:val="18"/>
        <w:szCs w:val="1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FEFA5">
    <w:pPr>
      <w:pStyle w:val="21"/>
      <w:jc w:val="right"/>
      <w:rPr>
        <w:szCs w:val="21"/>
      </w:rPr>
    </w:pPr>
    <w:r>
      <w:rPr>
        <w:rFonts w:hint="eastAsia"/>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6F540">
    <w:pPr>
      <w:pStyle w:val="2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C0669">
    <w:pPr>
      <w:spacing w:line="14" w:lineRule="auto"/>
      <w:rPr>
        <w:rFonts w:ascii="Calibri"/>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F399C">
    <w:pPr>
      <w:spacing w:line="14" w:lineRule="auto"/>
      <w:rPr>
        <w:rFonts w:ascii="Calibri"/>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BD6B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F6E59E"/>
    <w:multiLevelType w:val="singleLevel"/>
    <w:tmpl w:val="AEF6E59E"/>
    <w:lvl w:ilvl="0" w:tentative="0">
      <w:start w:val="7"/>
      <w:numFmt w:val="chineseCounting"/>
      <w:suff w:val="space"/>
      <w:lvlText w:val="（%1）"/>
      <w:lvlJc w:val="left"/>
      <w:rPr>
        <w:rFonts w:hint="eastAsia"/>
      </w:rPr>
    </w:lvl>
  </w:abstractNum>
  <w:abstractNum w:abstractNumId="1">
    <w:nsid w:val="C658A7D3"/>
    <w:multiLevelType w:val="singleLevel"/>
    <w:tmpl w:val="C658A7D3"/>
    <w:lvl w:ilvl="0" w:tentative="0">
      <w:start w:val="3"/>
      <w:numFmt w:val="decimal"/>
      <w:suff w:val="nothing"/>
      <w:lvlText w:val="%1、"/>
      <w:lvlJc w:val="left"/>
    </w:lvl>
  </w:abstractNum>
  <w:abstractNum w:abstractNumId="2">
    <w:nsid w:val="FF8AAF3A"/>
    <w:multiLevelType w:val="singleLevel"/>
    <w:tmpl w:val="FF8AAF3A"/>
    <w:lvl w:ilvl="0" w:tentative="0">
      <w:start w:val="2"/>
      <w:numFmt w:val="decimal"/>
      <w:suff w:val="space"/>
      <w:lvlText w:val="%1."/>
      <w:lvlJc w:val="left"/>
      <w:rPr>
        <w:rFonts w:cs="Times New Roman"/>
      </w:rPr>
    </w:lvl>
  </w:abstractNum>
  <w:abstractNum w:abstractNumId="3">
    <w:nsid w:val="5495F49F"/>
    <w:multiLevelType w:val="singleLevel"/>
    <w:tmpl w:val="5495F49F"/>
    <w:lvl w:ilvl="0" w:tentative="0">
      <w:start w:val="9"/>
      <w:numFmt w:val="decimal"/>
      <w:suff w:val="space"/>
      <w:lvlText w:val="%1."/>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hideGrammaticalErrors/>
  <w:documentProtection w:enforcement="0"/>
  <w:defaultTabStop w:val="12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jYzQ0OTY1NTFmMGYyNzJkNWNjMWFhOTEzY2M0ZDcifQ=="/>
  </w:docVars>
  <w:rsids>
    <w:rsidRoot w:val="58E04BE6"/>
    <w:rsid w:val="00010FBC"/>
    <w:rsid w:val="000143C6"/>
    <w:rsid w:val="00015A04"/>
    <w:rsid w:val="0002168C"/>
    <w:rsid w:val="00022107"/>
    <w:rsid w:val="000260B1"/>
    <w:rsid w:val="00032084"/>
    <w:rsid w:val="000401C2"/>
    <w:rsid w:val="00045A2E"/>
    <w:rsid w:val="00046A94"/>
    <w:rsid w:val="000517D6"/>
    <w:rsid w:val="00054ADA"/>
    <w:rsid w:val="000563FD"/>
    <w:rsid w:val="00057DA1"/>
    <w:rsid w:val="00063D70"/>
    <w:rsid w:val="000640E9"/>
    <w:rsid w:val="000662DA"/>
    <w:rsid w:val="00067190"/>
    <w:rsid w:val="0006751B"/>
    <w:rsid w:val="0007287F"/>
    <w:rsid w:val="00074FEC"/>
    <w:rsid w:val="00077BAA"/>
    <w:rsid w:val="0008198E"/>
    <w:rsid w:val="00082D24"/>
    <w:rsid w:val="00084012"/>
    <w:rsid w:val="00085023"/>
    <w:rsid w:val="00095F47"/>
    <w:rsid w:val="000B169A"/>
    <w:rsid w:val="000B361C"/>
    <w:rsid w:val="000D1501"/>
    <w:rsid w:val="000D3D62"/>
    <w:rsid w:val="000D6BAD"/>
    <w:rsid w:val="000E1D30"/>
    <w:rsid w:val="000E451B"/>
    <w:rsid w:val="000E5C7E"/>
    <w:rsid w:val="000E7090"/>
    <w:rsid w:val="000E7533"/>
    <w:rsid w:val="000F1786"/>
    <w:rsid w:val="000F2491"/>
    <w:rsid w:val="000F566A"/>
    <w:rsid w:val="00104D6A"/>
    <w:rsid w:val="00107AFF"/>
    <w:rsid w:val="0011047F"/>
    <w:rsid w:val="00113895"/>
    <w:rsid w:val="00120FE3"/>
    <w:rsid w:val="00124722"/>
    <w:rsid w:val="0012689B"/>
    <w:rsid w:val="00126D38"/>
    <w:rsid w:val="001411A0"/>
    <w:rsid w:val="00143A96"/>
    <w:rsid w:val="00153E63"/>
    <w:rsid w:val="00157A6C"/>
    <w:rsid w:val="00162FDC"/>
    <w:rsid w:val="00163AEF"/>
    <w:rsid w:val="0017020B"/>
    <w:rsid w:val="00180174"/>
    <w:rsid w:val="00180BFC"/>
    <w:rsid w:val="00190810"/>
    <w:rsid w:val="00192CFD"/>
    <w:rsid w:val="001952F4"/>
    <w:rsid w:val="001B49B5"/>
    <w:rsid w:val="001B4AE5"/>
    <w:rsid w:val="001C3759"/>
    <w:rsid w:val="001E541F"/>
    <w:rsid w:val="001F19B3"/>
    <w:rsid w:val="001F337E"/>
    <w:rsid w:val="00202C98"/>
    <w:rsid w:val="00210B1B"/>
    <w:rsid w:val="00213B05"/>
    <w:rsid w:val="00214015"/>
    <w:rsid w:val="0021565E"/>
    <w:rsid w:val="00247C62"/>
    <w:rsid w:val="0025348A"/>
    <w:rsid w:val="00255268"/>
    <w:rsid w:val="00261EA0"/>
    <w:rsid w:val="00263EDD"/>
    <w:rsid w:val="00281567"/>
    <w:rsid w:val="00284257"/>
    <w:rsid w:val="002879E2"/>
    <w:rsid w:val="002920C0"/>
    <w:rsid w:val="0029227A"/>
    <w:rsid w:val="00294B0D"/>
    <w:rsid w:val="00295790"/>
    <w:rsid w:val="002A1722"/>
    <w:rsid w:val="002A37DF"/>
    <w:rsid w:val="002A4912"/>
    <w:rsid w:val="002C41C6"/>
    <w:rsid w:val="002D2F9C"/>
    <w:rsid w:val="002E0CDB"/>
    <w:rsid w:val="002E2ADA"/>
    <w:rsid w:val="002F6D13"/>
    <w:rsid w:val="003016E5"/>
    <w:rsid w:val="0031193B"/>
    <w:rsid w:val="003120FD"/>
    <w:rsid w:val="00313E3A"/>
    <w:rsid w:val="00314C05"/>
    <w:rsid w:val="0032200E"/>
    <w:rsid w:val="0032579A"/>
    <w:rsid w:val="003360B6"/>
    <w:rsid w:val="00336A45"/>
    <w:rsid w:val="00340CB2"/>
    <w:rsid w:val="00341C8A"/>
    <w:rsid w:val="003460DB"/>
    <w:rsid w:val="00346A57"/>
    <w:rsid w:val="003505B1"/>
    <w:rsid w:val="003551E1"/>
    <w:rsid w:val="00356A70"/>
    <w:rsid w:val="00357DBF"/>
    <w:rsid w:val="00370F53"/>
    <w:rsid w:val="00374D52"/>
    <w:rsid w:val="003814C1"/>
    <w:rsid w:val="00387F37"/>
    <w:rsid w:val="00390B3A"/>
    <w:rsid w:val="00391710"/>
    <w:rsid w:val="00393552"/>
    <w:rsid w:val="003A3742"/>
    <w:rsid w:val="003A4807"/>
    <w:rsid w:val="003A556F"/>
    <w:rsid w:val="003B21E3"/>
    <w:rsid w:val="003B6AEA"/>
    <w:rsid w:val="003D0FCA"/>
    <w:rsid w:val="003D33FB"/>
    <w:rsid w:val="003D524C"/>
    <w:rsid w:val="003E69D3"/>
    <w:rsid w:val="003E6F57"/>
    <w:rsid w:val="003F5847"/>
    <w:rsid w:val="003F6229"/>
    <w:rsid w:val="003F7AF0"/>
    <w:rsid w:val="00401191"/>
    <w:rsid w:val="00403FA2"/>
    <w:rsid w:val="00404F78"/>
    <w:rsid w:val="004101F4"/>
    <w:rsid w:val="00411381"/>
    <w:rsid w:val="004158D2"/>
    <w:rsid w:val="00417260"/>
    <w:rsid w:val="00433336"/>
    <w:rsid w:val="00437641"/>
    <w:rsid w:val="00437B6B"/>
    <w:rsid w:val="00443353"/>
    <w:rsid w:val="00446362"/>
    <w:rsid w:val="00460129"/>
    <w:rsid w:val="00470ADB"/>
    <w:rsid w:val="004725C1"/>
    <w:rsid w:val="00474591"/>
    <w:rsid w:val="00477683"/>
    <w:rsid w:val="004A4C95"/>
    <w:rsid w:val="004B0EE1"/>
    <w:rsid w:val="004B7B33"/>
    <w:rsid w:val="004C0924"/>
    <w:rsid w:val="004C722F"/>
    <w:rsid w:val="004F2241"/>
    <w:rsid w:val="005045EC"/>
    <w:rsid w:val="00507542"/>
    <w:rsid w:val="005157D4"/>
    <w:rsid w:val="005162BB"/>
    <w:rsid w:val="00525F7E"/>
    <w:rsid w:val="00526824"/>
    <w:rsid w:val="005339FE"/>
    <w:rsid w:val="005353C8"/>
    <w:rsid w:val="005367F8"/>
    <w:rsid w:val="00544DD1"/>
    <w:rsid w:val="00544EC5"/>
    <w:rsid w:val="00551C3D"/>
    <w:rsid w:val="00553369"/>
    <w:rsid w:val="00564AAB"/>
    <w:rsid w:val="00571717"/>
    <w:rsid w:val="0057335A"/>
    <w:rsid w:val="0057382B"/>
    <w:rsid w:val="00584B4D"/>
    <w:rsid w:val="0059351A"/>
    <w:rsid w:val="005A09B0"/>
    <w:rsid w:val="005A373D"/>
    <w:rsid w:val="005D3613"/>
    <w:rsid w:val="005D63F8"/>
    <w:rsid w:val="0062151D"/>
    <w:rsid w:val="006304FD"/>
    <w:rsid w:val="00634001"/>
    <w:rsid w:val="006413D5"/>
    <w:rsid w:val="00656B9F"/>
    <w:rsid w:val="00660692"/>
    <w:rsid w:val="0067127F"/>
    <w:rsid w:val="00687806"/>
    <w:rsid w:val="00692088"/>
    <w:rsid w:val="00692B18"/>
    <w:rsid w:val="006A02EE"/>
    <w:rsid w:val="006A140C"/>
    <w:rsid w:val="006D2AA9"/>
    <w:rsid w:val="006E0F80"/>
    <w:rsid w:val="006E1E04"/>
    <w:rsid w:val="006E37F0"/>
    <w:rsid w:val="006F56A3"/>
    <w:rsid w:val="00700958"/>
    <w:rsid w:val="00701CC9"/>
    <w:rsid w:val="00705D4A"/>
    <w:rsid w:val="00714D95"/>
    <w:rsid w:val="0071526F"/>
    <w:rsid w:val="00723806"/>
    <w:rsid w:val="00730FAA"/>
    <w:rsid w:val="0073131A"/>
    <w:rsid w:val="00735B95"/>
    <w:rsid w:val="00747C7B"/>
    <w:rsid w:val="00751FF9"/>
    <w:rsid w:val="00763773"/>
    <w:rsid w:val="00766C01"/>
    <w:rsid w:val="00770055"/>
    <w:rsid w:val="00770B6F"/>
    <w:rsid w:val="0077321A"/>
    <w:rsid w:val="007803D5"/>
    <w:rsid w:val="007839D6"/>
    <w:rsid w:val="00783A20"/>
    <w:rsid w:val="007A173F"/>
    <w:rsid w:val="007B0D8E"/>
    <w:rsid w:val="007B709B"/>
    <w:rsid w:val="007C09FF"/>
    <w:rsid w:val="007C4701"/>
    <w:rsid w:val="007E3176"/>
    <w:rsid w:val="007E4D0D"/>
    <w:rsid w:val="007E610C"/>
    <w:rsid w:val="007F5260"/>
    <w:rsid w:val="0081172D"/>
    <w:rsid w:val="00816506"/>
    <w:rsid w:val="00821089"/>
    <w:rsid w:val="0082207D"/>
    <w:rsid w:val="008510AC"/>
    <w:rsid w:val="00851376"/>
    <w:rsid w:val="00852761"/>
    <w:rsid w:val="00853898"/>
    <w:rsid w:val="00856475"/>
    <w:rsid w:val="008577AD"/>
    <w:rsid w:val="00864A41"/>
    <w:rsid w:val="00867390"/>
    <w:rsid w:val="00872E09"/>
    <w:rsid w:val="00876624"/>
    <w:rsid w:val="008811D3"/>
    <w:rsid w:val="00887F30"/>
    <w:rsid w:val="008A185F"/>
    <w:rsid w:val="008A559D"/>
    <w:rsid w:val="008B1789"/>
    <w:rsid w:val="008B4C42"/>
    <w:rsid w:val="008B67C4"/>
    <w:rsid w:val="008E2420"/>
    <w:rsid w:val="008F01E9"/>
    <w:rsid w:val="00921018"/>
    <w:rsid w:val="00925DC3"/>
    <w:rsid w:val="009330BB"/>
    <w:rsid w:val="00934C3F"/>
    <w:rsid w:val="00937036"/>
    <w:rsid w:val="00942D03"/>
    <w:rsid w:val="009443CB"/>
    <w:rsid w:val="0094707A"/>
    <w:rsid w:val="009512A1"/>
    <w:rsid w:val="009514FA"/>
    <w:rsid w:val="00952F49"/>
    <w:rsid w:val="00963906"/>
    <w:rsid w:val="00963D59"/>
    <w:rsid w:val="00964924"/>
    <w:rsid w:val="00984380"/>
    <w:rsid w:val="00984AE5"/>
    <w:rsid w:val="00986E27"/>
    <w:rsid w:val="00987296"/>
    <w:rsid w:val="00993C7A"/>
    <w:rsid w:val="00996294"/>
    <w:rsid w:val="009A3FBD"/>
    <w:rsid w:val="009A5BD8"/>
    <w:rsid w:val="009B0FC0"/>
    <w:rsid w:val="009C3457"/>
    <w:rsid w:val="009C4CA7"/>
    <w:rsid w:val="009D0B6C"/>
    <w:rsid w:val="009E07C0"/>
    <w:rsid w:val="009F4BB2"/>
    <w:rsid w:val="00A16468"/>
    <w:rsid w:val="00A21589"/>
    <w:rsid w:val="00A26B3C"/>
    <w:rsid w:val="00A42A69"/>
    <w:rsid w:val="00A467B0"/>
    <w:rsid w:val="00A46897"/>
    <w:rsid w:val="00A5269F"/>
    <w:rsid w:val="00A53DB2"/>
    <w:rsid w:val="00A544AC"/>
    <w:rsid w:val="00A60B8B"/>
    <w:rsid w:val="00A62AE2"/>
    <w:rsid w:val="00A62BE4"/>
    <w:rsid w:val="00A639A5"/>
    <w:rsid w:val="00A71497"/>
    <w:rsid w:val="00A869B4"/>
    <w:rsid w:val="00A94216"/>
    <w:rsid w:val="00A95906"/>
    <w:rsid w:val="00A97EA8"/>
    <w:rsid w:val="00AA3560"/>
    <w:rsid w:val="00AC5721"/>
    <w:rsid w:val="00AD1C2E"/>
    <w:rsid w:val="00AD38D0"/>
    <w:rsid w:val="00AE33D0"/>
    <w:rsid w:val="00AE5197"/>
    <w:rsid w:val="00B0221E"/>
    <w:rsid w:val="00B10EBC"/>
    <w:rsid w:val="00B138B9"/>
    <w:rsid w:val="00B14B12"/>
    <w:rsid w:val="00B1791A"/>
    <w:rsid w:val="00B2346B"/>
    <w:rsid w:val="00B23AF6"/>
    <w:rsid w:val="00B248B6"/>
    <w:rsid w:val="00B257ED"/>
    <w:rsid w:val="00B31102"/>
    <w:rsid w:val="00B37FDA"/>
    <w:rsid w:val="00B408A6"/>
    <w:rsid w:val="00B41E8C"/>
    <w:rsid w:val="00B4518A"/>
    <w:rsid w:val="00B4775E"/>
    <w:rsid w:val="00B60676"/>
    <w:rsid w:val="00B650D3"/>
    <w:rsid w:val="00B65473"/>
    <w:rsid w:val="00B742E8"/>
    <w:rsid w:val="00B8355E"/>
    <w:rsid w:val="00BA0460"/>
    <w:rsid w:val="00BA3A6C"/>
    <w:rsid w:val="00BB293C"/>
    <w:rsid w:val="00BB5A29"/>
    <w:rsid w:val="00BC0AD4"/>
    <w:rsid w:val="00BD230D"/>
    <w:rsid w:val="00BD25F5"/>
    <w:rsid w:val="00BD3A70"/>
    <w:rsid w:val="00BD4E63"/>
    <w:rsid w:val="00BE333F"/>
    <w:rsid w:val="00BE7CCA"/>
    <w:rsid w:val="00C01986"/>
    <w:rsid w:val="00C01E42"/>
    <w:rsid w:val="00C1059E"/>
    <w:rsid w:val="00C31A8E"/>
    <w:rsid w:val="00C37EE7"/>
    <w:rsid w:val="00C43F62"/>
    <w:rsid w:val="00C76257"/>
    <w:rsid w:val="00C81DE4"/>
    <w:rsid w:val="00C9332E"/>
    <w:rsid w:val="00C93AB5"/>
    <w:rsid w:val="00CA3A43"/>
    <w:rsid w:val="00CA6040"/>
    <w:rsid w:val="00CA73BB"/>
    <w:rsid w:val="00CB677A"/>
    <w:rsid w:val="00CC09B7"/>
    <w:rsid w:val="00CC3604"/>
    <w:rsid w:val="00CC6A49"/>
    <w:rsid w:val="00CF1A13"/>
    <w:rsid w:val="00CF33D1"/>
    <w:rsid w:val="00CF70B9"/>
    <w:rsid w:val="00D02E3F"/>
    <w:rsid w:val="00D0445A"/>
    <w:rsid w:val="00D06BAD"/>
    <w:rsid w:val="00D12BEB"/>
    <w:rsid w:val="00D16181"/>
    <w:rsid w:val="00D22211"/>
    <w:rsid w:val="00D22D62"/>
    <w:rsid w:val="00D27CFE"/>
    <w:rsid w:val="00D4563E"/>
    <w:rsid w:val="00D45BCB"/>
    <w:rsid w:val="00D45DEC"/>
    <w:rsid w:val="00D47EE1"/>
    <w:rsid w:val="00D62A13"/>
    <w:rsid w:val="00D64527"/>
    <w:rsid w:val="00D64E22"/>
    <w:rsid w:val="00D71C14"/>
    <w:rsid w:val="00D72119"/>
    <w:rsid w:val="00D8196C"/>
    <w:rsid w:val="00D96F8B"/>
    <w:rsid w:val="00DB7498"/>
    <w:rsid w:val="00DB7C71"/>
    <w:rsid w:val="00DB7D76"/>
    <w:rsid w:val="00DD3CB4"/>
    <w:rsid w:val="00DE0943"/>
    <w:rsid w:val="00DF01ED"/>
    <w:rsid w:val="00DF2BC8"/>
    <w:rsid w:val="00DF2E96"/>
    <w:rsid w:val="00DF53FB"/>
    <w:rsid w:val="00DF5C7B"/>
    <w:rsid w:val="00E07174"/>
    <w:rsid w:val="00E079FD"/>
    <w:rsid w:val="00E1368F"/>
    <w:rsid w:val="00E13FA9"/>
    <w:rsid w:val="00E17480"/>
    <w:rsid w:val="00E175D3"/>
    <w:rsid w:val="00E34B5E"/>
    <w:rsid w:val="00E35CD5"/>
    <w:rsid w:val="00E35EF1"/>
    <w:rsid w:val="00E36A8E"/>
    <w:rsid w:val="00E37D32"/>
    <w:rsid w:val="00E425FB"/>
    <w:rsid w:val="00E461A8"/>
    <w:rsid w:val="00E46AEE"/>
    <w:rsid w:val="00E50868"/>
    <w:rsid w:val="00E5541C"/>
    <w:rsid w:val="00E56809"/>
    <w:rsid w:val="00E65EB3"/>
    <w:rsid w:val="00E707AB"/>
    <w:rsid w:val="00E7260F"/>
    <w:rsid w:val="00E72D07"/>
    <w:rsid w:val="00E75462"/>
    <w:rsid w:val="00E77113"/>
    <w:rsid w:val="00E9010B"/>
    <w:rsid w:val="00EA21E1"/>
    <w:rsid w:val="00EB1724"/>
    <w:rsid w:val="00EC5F3C"/>
    <w:rsid w:val="00EC7343"/>
    <w:rsid w:val="00ED06DA"/>
    <w:rsid w:val="00ED431D"/>
    <w:rsid w:val="00ED523E"/>
    <w:rsid w:val="00ED5941"/>
    <w:rsid w:val="00EF2A13"/>
    <w:rsid w:val="00EF60AB"/>
    <w:rsid w:val="00F057BB"/>
    <w:rsid w:val="00F06919"/>
    <w:rsid w:val="00F22B9E"/>
    <w:rsid w:val="00F26238"/>
    <w:rsid w:val="00F26AC9"/>
    <w:rsid w:val="00F53AD4"/>
    <w:rsid w:val="00F55823"/>
    <w:rsid w:val="00F55EF3"/>
    <w:rsid w:val="00F563E4"/>
    <w:rsid w:val="00F62D2E"/>
    <w:rsid w:val="00F6545B"/>
    <w:rsid w:val="00F70A67"/>
    <w:rsid w:val="00F71FA6"/>
    <w:rsid w:val="00F72995"/>
    <w:rsid w:val="00F84174"/>
    <w:rsid w:val="00F90514"/>
    <w:rsid w:val="00F93A7E"/>
    <w:rsid w:val="00F968B2"/>
    <w:rsid w:val="00FB4745"/>
    <w:rsid w:val="00FB7754"/>
    <w:rsid w:val="00FB7A54"/>
    <w:rsid w:val="00FC3F32"/>
    <w:rsid w:val="00FD26BC"/>
    <w:rsid w:val="00FD3864"/>
    <w:rsid w:val="00FD3A6D"/>
    <w:rsid w:val="00FD6873"/>
    <w:rsid w:val="00FE07AE"/>
    <w:rsid w:val="00FF1AA3"/>
    <w:rsid w:val="00FF2EF6"/>
    <w:rsid w:val="00FF3A96"/>
    <w:rsid w:val="00FF6A4E"/>
    <w:rsid w:val="01057174"/>
    <w:rsid w:val="010D5A2D"/>
    <w:rsid w:val="011C44BE"/>
    <w:rsid w:val="013825D4"/>
    <w:rsid w:val="014E3FED"/>
    <w:rsid w:val="01510DA6"/>
    <w:rsid w:val="01537AA3"/>
    <w:rsid w:val="01561FA0"/>
    <w:rsid w:val="017711C1"/>
    <w:rsid w:val="0198353C"/>
    <w:rsid w:val="019E78B4"/>
    <w:rsid w:val="01C721F9"/>
    <w:rsid w:val="01DF755F"/>
    <w:rsid w:val="01E3102A"/>
    <w:rsid w:val="01E33EEF"/>
    <w:rsid w:val="01F10431"/>
    <w:rsid w:val="01F813E1"/>
    <w:rsid w:val="02113B22"/>
    <w:rsid w:val="02283C22"/>
    <w:rsid w:val="02314DA7"/>
    <w:rsid w:val="0247259C"/>
    <w:rsid w:val="024F49A0"/>
    <w:rsid w:val="029D0BE0"/>
    <w:rsid w:val="029E162E"/>
    <w:rsid w:val="02B05A56"/>
    <w:rsid w:val="02B17AD1"/>
    <w:rsid w:val="02B6488E"/>
    <w:rsid w:val="02C32395"/>
    <w:rsid w:val="02CC77CA"/>
    <w:rsid w:val="02D574DE"/>
    <w:rsid w:val="02FD6369"/>
    <w:rsid w:val="031E0161"/>
    <w:rsid w:val="032F1F93"/>
    <w:rsid w:val="03335CE9"/>
    <w:rsid w:val="03433DE4"/>
    <w:rsid w:val="034666F5"/>
    <w:rsid w:val="035F0BD7"/>
    <w:rsid w:val="036C153D"/>
    <w:rsid w:val="036C21FE"/>
    <w:rsid w:val="036E00FC"/>
    <w:rsid w:val="036E7568"/>
    <w:rsid w:val="0371289F"/>
    <w:rsid w:val="03A03294"/>
    <w:rsid w:val="04021749"/>
    <w:rsid w:val="04103416"/>
    <w:rsid w:val="04165FAE"/>
    <w:rsid w:val="0417724B"/>
    <w:rsid w:val="046838EA"/>
    <w:rsid w:val="04792594"/>
    <w:rsid w:val="048254D8"/>
    <w:rsid w:val="048A22FF"/>
    <w:rsid w:val="04952C46"/>
    <w:rsid w:val="049B4CF7"/>
    <w:rsid w:val="04AC5DC2"/>
    <w:rsid w:val="04B25D23"/>
    <w:rsid w:val="04B70785"/>
    <w:rsid w:val="04DD69C2"/>
    <w:rsid w:val="04DF0FBA"/>
    <w:rsid w:val="04ED7D4C"/>
    <w:rsid w:val="050140F6"/>
    <w:rsid w:val="051A0FA4"/>
    <w:rsid w:val="053C68D5"/>
    <w:rsid w:val="055217BF"/>
    <w:rsid w:val="055A083C"/>
    <w:rsid w:val="055A0E33"/>
    <w:rsid w:val="056D178C"/>
    <w:rsid w:val="056E180A"/>
    <w:rsid w:val="059676D9"/>
    <w:rsid w:val="059A0809"/>
    <w:rsid w:val="05A007DB"/>
    <w:rsid w:val="05B16FE4"/>
    <w:rsid w:val="05C5423E"/>
    <w:rsid w:val="05EA6938"/>
    <w:rsid w:val="05F27F73"/>
    <w:rsid w:val="05FD6AF4"/>
    <w:rsid w:val="06062F29"/>
    <w:rsid w:val="060D6392"/>
    <w:rsid w:val="06416DB5"/>
    <w:rsid w:val="06564C25"/>
    <w:rsid w:val="065E0AD9"/>
    <w:rsid w:val="067D019A"/>
    <w:rsid w:val="069D2B4B"/>
    <w:rsid w:val="069F4193"/>
    <w:rsid w:val="06B3554F"/>
    <w:rsid w:val="06B4000B"/>
    <w:rsid w:val="06C71B06"/>
    <w:rsid w:val="06FE2B3C"/>
    <w:rsid w:val="07092212"/>
    <w:rsid w:val="07221EB4"/>
    <w:rsid w:val="073365B6"/>
    <w:rsid w:val="0760286E"/>
    <w:rsid w:val="07683EEA"/>
    <w:rsid w:val="07837045"/>
    <w:rsid w:val="078A3F9D"/>
    <w:rsid w:val="07DE7EBA"/>
    <w:rsid w:val="07E35108"/>
    <w:rsid w:val="07F05E3E"/>
    <w:rsid w:val="07F17EC0"/>
    <w:rsid w:val="07FF5DAB"/>
    <w:rsid w:val="08007F58"/>
    <w:rsid w:val="08084A31"/>
    <w:rsid w:val="080D40A6"/>
    <w:rsid w:val="082158C9"/>
    <w:rsid w:val="08510D3E"/>
    <w:rsid w:val="08625907"/>
    <w:rsid w:val="086F3135"/>
    <w:rsid w:val="087E50FF"/>
    <w:rsid w:val="08885FB1"/>
    <w:rsid w:val="089E3FDB"/>
    <w:rsid w:val="08A43CD9"/>
    <w:rsid w:val="08A840F4"/>
    <w:rsid w:val="08B32D07"/>
    <w:rsid w:val="08E01288"/>
    <w:rsid w:val="08EA0A0D"/>
    <w:rsid w:val="092751B6"/>
    <w:rsid w:val="093D7147"/>
    <w:rsid w:val="09440798"/>
    <w:rsid w:val="09456259"/>
    <w:rsid w:val="09497A5A"/>
    <w:rsid w:val="094F1FDF"/>
    <w:rsid w:val="09652E6C"/>
    <w:rsid w:val="096E6313"/>
    <w:rsid w:val="09AE6FB5"/>
    <w:rsid w:val="09C20816"/>
    <w:rsid w:val="09EA60B1"/>
    <w:rsid w:val="09F37EFD"/>
    <w:rsid w:val="09F87C16"/>
    <w:rsid w:val="0A04189B"/>
    <w:rsid w:val="0A0441C1"/>
    <w:rsid w:val="0A193490"/>
    <w:rsid w:val="0A25066B"/>
    <w:rsid w:val="0A2B6180"/>
    <w:rsid w:val="0A3F1FAF"/>
    <w:rsid w:val="0A532ED9"/>
    <w:rsid w:val="0A5776B2"/>
    <w:rsid w:val="0A62121D"/>
    <w:rsid w:val="0A6B5C9B"/>
    <w:rsid w:val="0A7156F0"/>
    <w:rsid w:val="0A74306D"/>
    <w:rsid w:val="0A7B080E"/>
    <w:rsid w:val="0A8E1581"/>
    <w:rsid w:val="0A984E19"/>
    <w:rsid w:val="0AA16F1E"/>
    <w:rsid w:val="0AA629CE"/>
    <w:rsid w:val="0AA62A9A"/>
    <w:rsid w:val="0AAF0DE3"/>
    <w:rsid w:val="0AB11ED2"/>
    <w:rsid w:val="0AC57A82"/>
    <w:rsid w:val="0ACE3801"/>
    <w:rsid w:val="0AE3311F"/>
    <w:rsid w:val="0AFE6AEE"/>
    <w:rsid w:val="0B02628F"/>
    <w:rsid w:val="0B113275"/>
    <w:rsid w:val="0B256A48"/>
    <w:rsid w:val="0B2C3838"/>
    <w:rsid w:val="0B316EA3"/>
    <w:rsid w:val="0B3B1DF1"/>
    <w:rsid w:val="0B447ED3"/>
    <w:rsid w:val="0B4D02F4"/>
    <w:rsid w:val="0B6041AA"/>
    <w:rsid w:val="0B6436DB"/>
    <w:rsid w:val="0B801A8C"/>
    <w:rsid w:val="0B960EE4"/>
    <w:rsid w:val="0B98077B"/>
    <w:rsid w:val="0BAF672C"/>
    <w:rsid w:val="0BBA0B5B"/>
    <w:rsid w:val="0BBB77F4"/>
    <w:rsid w:val="0BD97703"/>
    <w:rsid w:val="0BDF79F4"/>
    <w:rsid w:val="0BF00BBC"/>
    <w:rsid w:val="0C0726B7"/>
    <w:rsid w:val="0C1A295E"/>
    <w:rsid w:val="0C39622A"/>
    <w:rsid w:val="0C6B6694"/>
    <w:rsid w:val="0C7454CB"/>
    <w:rsid w:val="0C7D6406"/>
    <w:rsid w:val="0C7F7288"/>
    <w:rsid w:val="0C8953BF"/>
    <w:rsid w:val="0C9358E9"/>
    <w:rsid w:val="0C943146"/>
    <w:rsid w:val="0CA01AF2"/>
    <w:rsid w:val="0CA1574D"/>
    <w:rsid w:val="0CAF4B8B"/>
    <w:rsid w:val="0CCB0F5B"/>
    <w:rsid w:val="0CD728C5"/>
    <w:rsid w:val="0CD92E83"/>
    <w:rsid w:val="0D010DF8"/>
    <w:rsid w:val="0D066154"/>
    <w:rsid w:val="0D0C21E3"/>
    <w:rsid w:val="0D3058F6"/>
    <w:rsid w:val="0D3268A3"/>
    <w:rsid w:val="0D677C73"/>
    <w:rsid w:val="0D6D06E3"/>
    <w:rsid w:val="0D7E3061"/>
    <w:rsid w:val="0D875FE3"/>
    <w:rsid w:val="0D947119"/>
    <w:rsid w:val="0DA7227D"/>
    <w:rsid w:val="0DA829F4"/>
    <w:rsid w:val="0DB20C7E"/>
    <w:rsid w:val="0DB76668"/>
    <w:rsid w:val="0DB81AE7"/>
    <w:rsid w:val="0DC47A45"/>
    <w:rsid w:val="0DCB3FEF"/>
    <w:rsid w:val="0E2D4109"/>
    <w:rsid w:val="0E487E06"/>
    <w:rsid w:val="0E5D6148"/>
    <w:rsid w:val="0E6A488B"/>
    <w:rsid w:val="0E721AA3"/>
    <w:rsid w:val="0E7227E3"/>
    <w:rsid w:val="0E7F6433"/>
    <w:rsid w:val="0E924B70"/>
    <w:rsid w:val="0E986921"/>
    <w:rsid w:val="0EAC6156"/>
    <w:rsid w:val="0EE14C9C"/>
    <w:rsid w:val="0EE23673"/>
    <w:rsid w:val="0EF549E6"/>
    <w:rsid w:val="0F227996"/>
    <w:rsid w:val="0F482A69"/>
    <w:rsid w:val="0F4A7C16"/>
    <w:rsid w:val="0F7C7E2A"/>
    <w:rsid w:val="0F8A292E"/>
    <w:rsid w:val="0FB110A9"/>
    <w:rsid w:val="0FB873C1"/>
    <w:rsid w:val="0FBB2EAA"/>
    <w:rsid w:val="0FC406E9"/>
    <w:rsid w:val="0FE178E1"/>
    <w:rsid w:val="101C4161"/>
    <w:rsid w:val="102124D2"/>
    <w:rsid w:val="102A1DAD"/>
    <w:rsid w:val="10322CD9"/>
    <w:rsid w:val="10451DF9"/>
    <w:rsid w:val="107F4121"/>
    <w:rsid w:val="108B15D9"/>
    <w:rsid w:val="108D798C"/>
    <w:rsid w:val="10933BDD"/>
    <w:rsid w:val="10962ECA"/>
    <w:rsid w:val="10A7328E"/>
    <w:rsid w:val="10BE1EF8"/>
    <w:rsid w:val="10D71901"/>
    <w:rsid w:val="10E55033"/>
    <w:rsid w:val="1106019A"/>
    <w:rsid w:val="110F2E08"/>
    <w:rsid w:val="11151CC5"/>
    <w:rsid w:val="112E3164"/>
    <w:rsid w:val="11362D75"/>
    <w:rsid w:val="11386288"/>
    <w:rsid w:val="11460A40"/>
    <w:rsid w:val="11666711"/>
    <w:rsid w:val="1177171E"/>
    <w:rsid w:val="11A36FC3"/>
    <w:rsid w:val="11A610FB"/>
    <w:rsid w:val="11B951D6"/>
    <w:rsid w:val="11BA3663"/>
    <w:rsid w:val="11D31CFB"/>
    <w:rsid w:val="11D436D4"/>
    <w:rsid w:val="11D63B4B"/>
    <w:rsid w:val="11E0135C"/>
    <w:rsid w:val="11E20EC0"/>
    <w:rsid w:val="12042966"/>
    <w:rsid w:val="120F7C3F"/>
    <w:rsid w:val="121941D9"/>
    <w:rsid w:val="121A7098"/>
    <w:rsid w:val="122373D0"/>
    <w:rsid w:val="12393799"/>
    <w:rsid w:val="123B1182"/>
    <w:rsid w:val="123F5A46"/>
    <w:rsid w:val="12461E9A"/>
    <w:rsid w:val="12466E72"/>
    <w:rsid w:val="12485EA9"/>
    <w:rsid w:val="124F633D"/>
    <w:rsid w:val="12505D75"/>
    <w:rsid w:val="12545349"/>
    <w:rsid w:val="126858FE"/>
    <w:rsid w:val="12704669"/>
    <w:rsid w:val="127F0252"/>
    <w:rsid w:val="12810974"/>
    <w:rsid w:val="12931B1F"/>
    <w:rsid w:val="129A15E0"/>
    <w:rsid w:val="12A24BC9"/>
    <w:rsid w:val="12A75B20"/>
    <w:rsid w:val="12B8637F"/>
    <w:rsid w:val="12D97689"/>
    <w:rsid w:val="12DD0FC1"/>
    <w:rsid w:val="12E6200C"/>
    <w:rsid w:val="12F12AEA"/>
    <w:rsid w:val="12FB03D7"/>
    <w:rsid w:val="1301463D"/>
    <w:rsid w:val="13094DB5"/>
    <w:rsid w:val="13144EF9"/>
    <w:rsid w:val="132C3411"/>
    <w:rsid w:val="13336F96"/>
    <w:rsid w:val="13384005"/>
    <w:rsid w:val="133B4CF8"/>
    <w:rsid w:val="13584CD6"/>
    <w:rsid w:val="136372EE"/>
    <w:rsid w:val="13815283"/>
    <w:rsid w:val="13854144"/>
    <w:rsid w:val="13883A84"/>
    <w:rsid w:val="13A22600"/>
    <w:rsid w:val="13B4747D"/>
    <w:rsid w:val="13D27FF4"/>
    <w:rsid w:val="13FA306E"/>
    <w:rsid w:val="143B096C"/>
    <w:rsid w:val="14400492"/>
    <w:rsid w:val="144B749D"/>
    <w:rsid w:val="144D7226"/>
    <w:rsid w:val="144E73BA"/>
    <w:rsid w:val="14627457"/>
    <w:rsid w:val="14824BF2"/>
    <w:rsid w:val="14844C5E"/>
    <w:rsid w:val="1487371E"/>
    <w:rsid w:val="148A76BB"/>
    <w:rsid w:val="14B22D17"/>
    <w:rsid w:val="14C91E0F"/>
    <w:rsid w:val="14CD19E7"/>
    <w:rsid w:val="14CF5A25"/>
    <w:rsid w:val="14CF7CD8"/>
    <w:rsid w:val="14FB4FB4"/>
    <w:rsid w:val="1503289E"/>
    <w:rsid w:val="15033499"/>
    <w:rsid w:val="15070276"/>
    <w:rsid w:val="151114F0"/>
    <w:rsid w:val="1520366D"/>
    <w:rsid w:val="1535602D"/>
    <w:rsid w:val="1540372D"/>
    <w:rsid w:val="155B1CFE"/>
    <w:rsid w:val="155E72AB"/>
    <w:rsid w:val="155F2283"/>
    <w:rsid w:val="156D0134"/>
    <w:rsid w:val="157231AE"/>
    <w:rsid w:val="15897187"/>
    <w:rsid w:val="15B148F7"/>
    <w:rsid w:val="15D24F40"/>
    <w:rsid w:val="15E30CB8"/>
    <w:rsid w:val="15FD638C"/>
    <w:rsid w:val="160465FE"/>
    <w:rsid w:val="1616077E"/>
    <w:rsid w:val="16282B75"/>
    <w:rsid w:val="162E37F1"/>
    <w:rsid w:val="165257C3"/>
    <w:rsid w:val="165468D8"/>
    <w:rsid w:val="165479FA"/>
    <w:rsid w:val="165D46D6"/>
    <w:rsid w:val="16644C28"/>
    <w:rsid w:val="16656FB6"/>
    <w:rsid w:val="167169DA"/>
    <w:rsid w:val="167548DD"/>
    <w:rsid w:val="1677131A"/>
    <w:rsid w:val="16942645"/>
    <w:rsid w:val="16A179E2"/>
    <w:rsid w:val="16EF6443"/>
    <w:rsid w:val="17182642"/>
    <w:rsid w:val="171B4C60"/>
    <w:rsid w:val="172E5495"/>
    <w:rsid w:val="17470AA2"/>
    <w:rsid w:val="17480DFE"/>
    <w:rsid w:val="1748684E"/>
    <w:rsid w:val="174C63B1"/>
    <w:rsid w:val="17593315"/>
    <w:rsid w:val="175E1810"/>
    <w:rsid w:val="17731C57"/>
    <w:rsid w:val="17984B3C"/>
    <w:rsid w:val="17A748FB"/>
    <w:rsid w:val="17AB6490"/>
    <w:rsid w:val="17C36B6A"/>
    <w:rsid w:val="17C416E6"/>
    <w:rsid w:val="17F8750A"/>
    <w:rsid w:val="18050EC9"/>
    <w:rsid w:val="180C6A79"/>
    <w:rsid w:val="181427C4"/>
    <w:rsid w:val="181F51CA"/>
    <w:rsid w:val="182C7144"/>
    <w:rsid w:val="1833519C"/>
    <w:rsid w:val="18637E77"/>
    <w:rsid w:val="189A7E5B"/>
    <w:rsid w:val="189D75F7"/>
    <w:rsid w:val="18A04E97"/>
    <w:rsid w:val="18CF7A11"/>
    <w:rsid w:val="18DC34B0"/>
    <w:rsid w:val="18E8226A"/>
    <w:rsid w:val="18F64660"/>
    <w:rsid w:val="191769F5"/>
    <w:rsid w:val="191A2A96"/>
    <w:rsid w:val="1921046B"/>
    <w:rsid w:val="192C181B"/>
    <w:rsid w:val="193C45B6"/>
    <w:rsid w:val="194978E0"/>
    <w:rsid w:val="198D3A2C"/>
    <w:rsid w:val="198F1115"/>
    <w:rsid w:val="199E300B"/>
    <w:rsid w:val="19C92FDD"/>
    <w:rsid w:val="19E50475"/>
    <w:rsid w:val="19E601BC"/>
    <w:rsid w:val="19EA1392"/>
    <w:rsid w:val="19ED7616"/>
    <w:rsid w:val="1A1D2103"/>
    <w:rsid w:val="1A1F72B9"/>
    <w:rsid w:val="1A2C71C3"/>
    <w:rsid w:val="1A463B62"/>
    <w:rsid w:val="1A5517D8"/>
    <w:rsid w:val="1A55661F"/>
    <w:rsid w:val="1A6F043B"/>
    <w:rsid w:val="1A721811"/>
    <w:rsid w:val="1A7F4978"/>
    <w:rsid w:val="1A8674D5"/>
    <w:rsid w:val="1AAD4C14"/>
    <w:rsid w:val="1AC84222"/>
    <w:rsid w:val="1AD24440"/>
    <w:rsid w:val="1AD934CA"/>
    <w:rsid w:val="1B01633E"/>
    <w:rsid w:val="1B1C44AA"/>
    <w:rsid w:val="1B2A7C7D"/>
    <w:rsid w:val="1B4D7B20"/>
    <w:rsid w:val="1B521276"/>
    <w:rsid w:val="1B663110"/>
    <w:rsid w:val="1B724025"/>
    <w:rsid w:val="1B7468BC"/>
    <w:rsid w:val="1B84296F"/>
    <w:rsid w:val="1B8A3D5E"/>
    <w:rsid w:val="1BAC0992"/>
    <w:rsid w:val="1BBC76C4"/>
    <w:rsid w:val="1BD07942"/>
    <w:rsid w:val="1C180527"/>
    <w:rsid w:val="1C1A6126"/>
    <w:rsid w:val="1C212CB5"/>
    <w:rsid w:val="1C2C15B2"/>
    <w:rsid w:val="1C37122A"/>
    <w:rsid w:val="1C485E48"/>
    <w:rsid w:val="1C4F2539"/>
    <w:rsid w:val="1C500685"/>
    <w:rsid w:val="1C573ABF"/>
    <w:rsid w:val="1C597F26"/>
    <w:rsid w:val="1C6F226A"/>
    <w:rsid w:val="1C78531B"/>
    <w:rsid w:val="1C7A4A87"/>
    <w:rsid w:val="1C7E0AB7"/>
    <w:rsid w:val="1C812C8A"/>
    <w:rsid w:val="1C862CB8"/>
    <w:rsid w:val="1CA30476"/>
    <w:rsid w:val="1CB74549"/>
    <w:rsid w:val="1CBF495E"/>
    <w:rsid w:val="1CE23446"/>
    <w:rsid w:val="1CE649D1"/>
    <w:rsid w:val="1CE80FF4"/>
    <w:rsid w:val="1CF55796"/>
    <w:rsid w:val="1D037520"/>
    <w:rsid w:val="1D3A080D"/>
    <w:rsid w:val="1D3A27C8"/>
    <w:rsid w:val="1D4E2AF1"/>
    <w:rsid w:val="1D4E3277"/>
    <w:rsid w:val="1D5414B3"/>
    <w:rsid w:val="1D596721"/>
    <w:rsid w:val="1D5D4016"/>
    <w:rsid w:val="1D5D5368"/>
    <w:rsid w:val="1D662332"/>
    <w:rsid w:val="1D9154C8"/>
    <w:rsid w:val="1DA16888"/>
    <w:rsid w:val="1DBF7B89"/>
    <w:rsid w:val="1DCB3663"/>
    <w:rsid w:val="1DCC1151"/>
    <w:rsid w:val="1DDA09AE"/>
    <w:rsid w:val="1DEB6448"/>
    <w:rsid w:val="1E083035"/>
    <w:rsid w:val="1E1A4EDF"/>
    <w:rsid w:val="1E1E2010"/>
    <w:rsid w:val="1E26159B"/>
    <w:rsid w:val="1E262C96"/>
    <w:rsid w:val="1E277F8D"/>
    <w:rsid w:val="1E453ED3"/>
    <w:rsid w:val="1E4640C0"/>
    <w:rsid w:val="1E5D3CF4"/>
    <w:rsid w:val="1E9D3F42"/>
    <w:rsid w:val="1EB47C79"/>
    <w:rsid w:val="1ED208F0"/>
    <w:rsid w:val="1ED92E5C"/>
    <w:rsid w:val="1EF05642"/>
    <w:rsid w:val="1EF37CC0"/>
    <w:rsid w:val="1F0B314E"/>
    <w:rsid w:val="1F2071CC"/>
    <w:rsid w:val="1F390055"/>
    <w:rsid w:val="1F430499"/>
    <w:rsid w:val="1F5F6159"/>
    <w:rsid w:val="1F761806"/>
    <w:rsid w:val="1F7E45BD"/>
    <w:rsid w:val="1F8C34FC"/>
    <w:rsid w:val="1FA25D22"/>
    <w:rsid w:val="1FB83D65"/>
    <w:rsid w:val="1FC715A2"/>
    <w:rsid w:val="1FD7099E"/>
    <w:rsid w:val="1FF67C01"/>
    <w:rsid w:val="20074E2C"/>
    <w:rsid w:val="200862E5"/>
    <w:rsid w:val="208A183C"/>
    <w:rsid w:val="20A26C65"/>
    <w:rsid w:val="20BD6850"/>
    <w:rsid w:val="20C148E6"/>
    <w:rsid w:val="20C1618C"/>
    <w:rsid w:val="20C92915"/>
    <w:rsid w:val="20C94BBE"/>
    <w:rsid w:val="20D351FC"/>
    <w:rsid w:val="20D70181"/>
    <w:rsid w:val="20FD2E11"/>
    <w:rsid w:val="20FF0CF7"/>
    <w:rsid w:val="21024C0B"/>
    <w:rsid w:val="21374455"/>
    <w:rsid w:val="213B5E42"/>
    <w:rsid w:val="2141200E"/>
    <w:rsid w:val="214A55B2"/>
    <w:rsid w:val="21521FB1"/>
    <w:rsid w:val="215261A0"/>
    <w:rsid w:val="215A428D"/>
    <w:rsid w:val="21725A8D"/>
    <w:rsid w:val="217C012D"/>
    <w:rsid w:val="217E6104"/>
    <w:rsid w:val="218E7857"/>
    <w:rsid w:val="21961362"/>
    <w:rsid w:val="2196518C"/>
    <w:rsid w:val="2196562F"/>
    <w:rsid w:val="219C76EE"/>
    <w:rsid w:val="21AE6B87"/>
    <w:rsid w:val="21BE27BD"/>
    <w:rsid w:val="21E25CAB"/>
    <w:rsid w:val="21EC4AC6"/>
    <w:rsid w:val="220601D7"/>
    <w:rsid w:val="221912D2"/>
    <w:rsid w:val="221C08B1"/>
    <w:rsid w:val="22203E18"/>
    <w:rsid w:val="22540308"/>
    <w:rsid w:val="22545E81"/>
    <w:rsid w:val="225E628C"/>
    <w:rsid w:val="22680DCB"/>
    <w:rsid w:val="22784272"/>
    <w:rsid w:val="22806BAE"/>
    <w:rsid w:val="228155BD"/>
    <w:rsid w:val="22907DC4"/>
    <w:rsid w:val="229626E7"/>
    <w:rsid w:val="229D3074"/>
    <w:rsid w:val="22D2653A"/>
    <w:rsid w:val="22D64540"/>
    <w:rsid w:val="22D84291"/>
    <w:rsid w:val="22EA67CD"/>
    <w:rsid w:val="22EC0EF5"/>
    <w:rsid w:val="23031FAA"/>
    <w:rsid w:val="231707F7"/>
    <w:rsid w:val="2319344C"/>
    <w:rsid w:val="231B626D"/>
    <w:rsid w:val="231C6D22"/>
    <w:rsid w:val="23325D32"/>
    <w:rsid w:val="234A2570"/>
    <w:rsid w:val="23514114"/>
    <w:rsid w:val="2362120C"/>
    <w:rsid w:val="23666C86"/>
    <w:rsid w:val="236802B7"/>
    <w:rsid w:val="236D220C"/>
    <w:rsid w:val="2372113D"/>
    <w:rsid w:val="23973150"/>
    <w:rsid w:val="23A82AC5"/>
    <w:rsid w:val="23C43E59"/>
    <w:rsid w:val="23DC6E7B"/>
    <w:rsid w:val="23EC7318"/>
    <w:rsid w:val="23FE1F15"/>
    <w:rsid w:val="24122A09"/>
    <w:rsid w:val="24125580"/>
    <w:rsid w:val="24263FDC"/>
    <w:rsid w:val="242D066F"/>
    <w:rsid w:val="24393CB8"/>
    <w:rsid w:val="244974EB"/>
    <w:rsid w:val="24562A94"/>
    <w:rsid w:val="2462050C"/>
    <w:rsid w:val="24726D82"/>
    <w:rsid w:val="2473266A"/>
    <w:rsid w:val="247D3A70"/>
    <w:rsid w:val="248108F7"/>
    <w:rsid w:val="24965DBC"/>
    <w:rsid w:val="24A73E55"/>
    <w:rsid w:val="24AC63B6"/>
    <w:rsid w:val="24B07931"/>
    <w:rsid w:val="24B91360"/>
    <w:rsid w:val="24C95E6D"/>
    <w:rsid w:val="24CF18BE"/>
    <w:rsid w:val="24EA4E47"/>
    <w:rsid w:val="25035D51"/>
    <w:rsid w:val="250401E0"/>
    <w:rsid w:val="251946ED"/>
    <w:rsid w:val="253E1C04"/>
    <w:rsid w:val="25451D94"/>
    <w:rsid w:val="254F1A1C"/>
    <w:rsid w:val="255A075C"/>
    <w:rsid w:val="256516E0"/>
    <w:rsid w:val="2576021B"/>
    <w:rsid w:val="25772ABA"/>
    <w:rsid w:val="259909AF"/>
    <w:rsid w:val="25A03488"/>
    <w:rsid w:val="25A43962"/>
    <w:rsid w:val="25D831DD"/>
    <w:rsid w:val="26015DEE"/>
    <w:rsid w:val="260423D6"/>
    <w:rsid w:val="26132EF5"/>
    <w:rsid w:val="261E03AB"/>
    <w:rsid w:val="261F5265"/>
    <w:rsid w:val="26245336"/>
    <w:rsid w:val="263E6E16"/>
    <w:rsid w:val="265F30A7"/>
    <w:rsid w:val="26660F08"/>
    <w:rsid w:val="267D06C6"/>
    <w:rsid w:val="268600AB"/>
    <w:rsid w:val="2689291F"/>
    <w:rsid w:val="268F4F3E"/>
    <w:rsid w:val="26DD103B"/>
    <w:rsid w:val="270931AB"/>
    <w:rsid w:val="27192F99"/>
    <w:rsid w:val="272363C9"/>
    <w:rsid w:val="27296E53"/>
    <w:rsid w:val="272F0180"/>
    <w:rsid w:val="273C5A43"/>
    <w:rsid w:val="274F254F"/>
    <w:rsid w:val="276F6890"/>
    <w:rsid w:val="277B23FE"/>
    <w:rsid w:val="279B009F"/>
    <w:rsid w:val="27A95304"/>
    <w:rsid w:val="27CB2E1E"/>
    <w:rsid w:val="27E32E89"/>
    <w:rsid w:val="27E96816"/>
    <w:rsid w:val="27F155D8"/>
    <w:rsid w:val="28131345"/>
    <w:rsid w:val="28375C08"/>
    <w:rsid w:val="28440967"/>
    <w:rsid w:val="284A30FF"/>
    <w:rsid w:val="284F0309"/>
    <w:rsid w:val="28505DFC"/>
    <w:rsid w:val="28700164"/>
    <w:rsid w:val="28805C6D"/>
    <w:rsid w:val="28836442"/>
    <w:rsid w:val="288531A2"/>
    <w:rsid w:val="28A404A3"/>
    <w:rsid w:val="28B457F2"/>
    <w:rsid w:val="28D67D32"/>
    <w:rsid w:val="28DF1261"/>
    <w:rsid w:val="28EE4662"/>
    <w:rsid w:val="28F95915"/>
    <w:rsid w:val="29010D38"/>
    <w:rsid w:val="29082CD1"/>
    <w:rsid w:val="29217CBF"/>
    <w:rsid w:val="29241DAF"/>
    <w:rsid w:val="2949009D"/>
    <w:rsid w:val="295312C2"/>
    <w:rsid w:val="295329AA"/>
    <w:rsid w:val="29661B7D"/>
    <w:rsid w:val="297568ED"/>
    <w:rsid w:val="297D2551"/>
    <w:rsid w:val="29880927"/>
    <w:rsid w:val="299750B5"/>
    <w:rsid w:val="29C81F2D"/>
    <w:rsid w:val="29D951D2"/>
    <w:rsid w:val="29E07664"/>
    <w:rsid w:val="29EB0CBB"/>
    <w:rsid w:val="29FD10B2"/>
    <w:rsid w:val="2A141915"/>
    <w:rsid w:val="2A143025"/>
    <w:rsid w:val="2A37459E"/>
    <w:rsid w:val="2A3924C3"/>
    <w:rsid w:val="2A4B4074"/>
    <w:rsid w:val="2A5C5F61"/>
    <w:rsid w:val="2A684AF8"/>
    <w:rsid w:val="2A7D526C"/>
    <w:rsid w:val="2A8C4479"/>
    <w:rsid w:val="2AB802B6"/>
    <w:rsid w:val="2ACD7A4A"/>
    <w:rsid w:val="2B0133F3"/>
    <w:rsid w:val="2B3553AC"/>
    <w:rsid w:val="2B662F26"/>
    <w:rsid w:val="2B68426C"/>
    <w:rsid w:val="2B7731D5"/>
    <w:rsid w:val="2B77636C"/>
    <w:rsid w:val="2B8830A5"/>
    <w:rsid w:val="2B8C3E6A"/>
    <w:rsid w:val="2B8E0A38"/>
    <w:rsid w:val="2B9229BD"/>
    <w:rsid w:val="2B987A9B"/>
    <w:rsid w:val="2B9C4772"/>
    <w:rsid w:val="2BB1166A"/>
    <w:rsid w:val="2BCE605B"/>
    <w:rsid w:val="2BF513C3"/>
    <w:rsid w:val="2C0263E3"/>
    <w:rsid w:val="2C2A4AA2"/>
    <w:rsid w:val="2C300C0F"/>
    <w:rsid w:val="2C404952"/>
    <w:rsid w:val="2C41686F"/>
    <w:rsid w:val="2C4A407D"/>
    <w:rsid w:val="2C5517FA"/>
    <w:rsid w:val="2C5D2BCB"/>
    <w:rsid w:val="2C673304"/>
    <w:rsid w:val="2C7F7D05"/>
    <w:rsid w:val="2CAB5E96"/>
    <w:rsid w:val="2CC971E0"/>
    <w:rsid w:val="2CEA0190"/>
    <w:rsid w:val="2CF362A7"/>
    <w:rsid w:val="2D053ED4"/>
    <w:rsid w:val="2D112E68"/>
    <w:rsid w:val="2D190A4D"/>
    <w:rsid w:val="2D1E696D"/>
    <w:rsid w:val="2D392EBD"/>
    <w:rsid w:val="2D412121"/>
    <w:rsid w:val="2D507D0F"/>
    <w:rsid w:val="2D547055"/>
    <w:rsid w:val="2D69193D"/>
    <w:rsid w:val="2D8549FE"/>
    <w:rsid w:val="2D937296"/>
    <w:rsid w:val="2D9D214F"/>
    <w:rsid w:val="2E194672"/>
    <w:rsid w:val="2E295FB1"/>
    <w:rsid w:val="2E400550"/>
    <w:rsid w:val="2E4A3B25"/>
    <w:rsid w:val="2E4B1925"/>
    <w:rsid w:val="2E580FB8"/>
    <w:rsid w:val="2E595841"/>
    <w:rsid w:val="2E5A79A8"/>
    <w:rsid w:val="2E713413"/>
    <w:rsid w:val="2E876018"/>
    <w:rsid w:val="2E9E2032"/>
    <w:rsid w:val="2EA00E96"/>
    <w:rsid w:val="2EAD7387"/>
    <w:rsid w:val="2EB51313"/>
    <w:rsid w:val="2EC34CAA"/>
    <w:rsid w:val="2EC57743"/>
    <w:rsid w:val="2EE21569"/>
    <w:rsid w:val="2EF61027"/>
    <w:rsid w:val="2EF673B2"/>
    <w:rsid w:val="2EF7695F"/>
    <w:rsid w:val="2EFA3D15"/>
    <w:rsid w:val="2F0F49F6"/>
    <w:rsid w:val="2F135113"/>
    <w:rsid w:val="2F1E0617"/>
    <w:rsid w:val="2F3B5F47"/>
    <w:rsid w:val="2F630326"/>
    <w:rsid w:val="2F6528D2"/>
    <w:rsid w:val="2F80736A"/>
    <w:rsid w:val="2F8B2767"/>
    <w:rsid w:val="2FAC7B06"/>
    <w:rsid w:val="2FB661C5"/>
    <w:rsid w:val="2FB9310E"/>
    <w:rsid w:val="2FD7476A"/>
    <w:rsid w:val="2FFB511A"/>
    <w:rsid w:val="300764C7"/>
    <w:rsid w:val="300D72A0"/>
    <w:rsid w:val="300E4371"/>
    <w:rsid w:val="30162EE4"/>
    <w:rsid w:val="301867A7"/>
    <w:rsid w:val="304200F0"/>
    <w:rsid w:val="30481771"/>
    <w:rsid w:val="304B0887"/>
    <w:rsid w:val="30804A52"/>
    <w:rsid w:val="30865140"/>
    <w:rsid w:val="30892CB5"/>
    <w:rsid w:val="308D4352"/>
    <w:rsid w:val="30913CD1"/>
    <w:rsid w:val="309366B0"/>
    <w:rsid w:val="30B56F7F"/>
    <w:rsid w:val="30CD6512"/>
    <w:rsid w:val="30D32D5C"/>
    <w:rsid w:val="30D51673"/>
    <w:rsid w:val="30D8410C"/>
    <w:rsid w:val="30DF5FF5"/>
    <w:rsid w:val="31075179"/>
    <w:rsid w:val="312233F3"/>
    <w:rsid w:val="312E0E3C"/>
    <w:rsid w:val="31390B9A"/>
    <w:rsid w:val="314A6ABA"/>
    <w:rsid w:val="314C56BA"/>
    <w:rsid w:val="31593BDA"/>
    <w:rsid w:val="31713C39"/>
    <w:rsid w:val="31752C1A"/>
    <w:rsid w:val="317A684F"/>
    <w:rsid w:val="319467F8"/>
    <w:rsid w:val="31A14DD2"/>
    <w:rsid w:val="31A737AC"/>
    <w:rsid w:val="31C42CD6"/>
    <w:rsid w:val="31CA3E43"/>
    <w:rsid w:val="31D511EC"/>
    <w:rsid w:val="31E44CFB"/>
    <w:rsid w:val="31EC7EBD"/>
    <w:rsid w:val="31F86A33"/>
    <w:rsid w:val="320A5AE9"/>
    <w:rsid w:val="320C49B5"/>
    <w:rsid w:val="32492D79"/>
    <w:rsid w:val="32694BDD"/>
    <w:rsid w:val="328B2436"/>
    <w:rsid w:val="32933D30"/>
    <w:rsid w:val="32B07E3B"/>
    <w:rsid w:val="32B62A0B"/>
    <w:rsid w:val="32BB1167"/>
    <w:rsid w:val="32BD235D"/>
    <w:rsid w:val="32DB633C"/>
    <w:rsid w:val="33017F65"/>
    <w:rsid w:val="330F5E26"/>
    <w:rsid w:val="33115527"/>
    <w:rsid w:val="33116E3B"/>
    <w:rsid w:val="3313262E"/>
    <w:rsid w:val="33524EFE"/>
    <w:rsid w:val="33620D99"/>
    <w:rsid w:val="336F6F45"/>
    <w:rsid w:val="33C20738"/>
    <w:rsid w:val="33F46FF9"/>
    <w:rsid w:val="33FB01F3"/>
    <w:rsid w:val="340D79D9"/>
    <w:rsid w:val="3417304E"/>
    <w:rsid w:val="34237AFF"/>
    <w:rsid w:val="343A083B"/>
    <w:rsid w:val="34474BED"/>
    <w:rsid w:val="344B0A07"/>
    <w:rsid w:val="344C08ED"/>
    <w:rsid w:val="345A3543"/>
    <w:rsid w:val="346E41FB"/>
    <w:rsid w:val="347D705B"/>
    <w:rsid w:val="34AC7016"/>
    <w:rsid w:val="34B56AED"/>
    <w:rsid w:val="34C76AAE"/>
    <w:rsid w:val="34CA64F2"/>
    <w:rsid w:val="34CD029C"/>
    <w:rsid w:val="34D33899"/>
    <w:rsid w:val="34D71235"/>
    <w:rsid w:val="35071485"/>
    <w:rsid w:val="351705A2"/>
    <w:rsid w:val="351B1769"/>
    <w:rsid w:val="351B7CC3"/>
    <w:rsid w:val="353D59EC"/>
    <w:rsid w:val="355F361A"/>
    <w:rsid w:val="3569521C"/>
    <w:rsid w:val="357346C9"/>
    <w:rsid w:val="358677E3"/>
    <w:rsid w:val="35984CED"/>
    <w:rsid w:val="35A80793"/>
    <w:rsid w:val="35B167FF"/>
    <w:rsid w:val="35BD5FF1"/>
    <w:rsid w:val="35CB4196"/>
    <w:rsid w:val="35DB3EB0"/>
    <w:rsid w:val="35EE132A"/>
    <w:rsid w:val="35F17E38"/>
    <w:rsid w:val="35F679F4"/>
    <w:rsid w:val="3616516D"/>
    <w:rsid w:val="362568D1"/>
    <w:rsid w:val="362B47AC"/>
    <w:rsid w:val="365263F8"/>
    <w:rsid w:val="365F0AF6"/>
    <w:rsid w:val="365F4382"/>
    <w:rsid w:val="36686926"/>
    <w:rsid w:val="36694DA6"/>
    <w:rsid w:val="36841376"/>
    <w:rsid w:val="36A64ADF"/>
    <w:rsid w:val="36B33A4B"/>
    <w:rsid w:val="36C9224A"/>
    <w:rsid w:val="36CA620D"/>
    <w:rsid w:val="36DD6C2D"/>
    <w:rsid w:val="36DE4808"/>
    <w:rsid w:val="36F06AE2"/>
    <w:rsid w:val="36FD2F2E"/>
    <w:rsid w:val="37215DAE"/>
    <w:rsid w:val="37301ED9"/>
    <w:rsid w:val="37372BD9"/>
    <w:rsid w:val="373A6992"/>
    <w:rsid w:val="373F44D7"/>
    <w:rsid w:val="37430807"/>
    <w:rsid w:val="376A6889"/>
    <w:rsid w:val="376C762F"/>
    <w:rsid w:val="376E1B9B"/>
    <w:rsid w:val="378D1F5C"/>
    <w:rsid w:val="37965829"/>
    <w:rsid w:val="37C541C3"/>
    <w:rsid w:val="37C546C8"/>
    <w:rsid w:val="37EE6069"/>
    <w:rsid w:val="380842F5"/>
    <w:rsid w:val="38141802"/>
    <w:rsid w:val="382F41A7"/>
    <w:rsid w:val="383A09EA"/>
    <w:rsid w:val="38401B74"/>
    <w:rsid w:val="384F747A"/>
    <w:rsid w:val="38691B10"/>
    <w:rsid w:val="386D4F7B"/>
    <w:rsid w:val="387939C8"/>
    <w:rsid w:val="389E5408"/>
    <w:rsid w:val="38A32AB0"/>
    <w:rsid w:val="38E513C3"/>
    <w:rsid w:val="38E779DA"/>
    <w:rsid w:val="38F3519A"/>
    <w:rsid w:val="38F60482"/>
    <w:rsid w:val="390538BB"/>
    <w:rsid w:val="39066DD1"/>
    <w:rsid w:val="393860F8"/>
    <w:rsid w:val="395314A7"/>
    <w:rsid w:val="39853E89"/>
    <w:rsid w:val="398A1FA4"/>
    <w:rsid w:val="398C5B97"/>
    <w:rsid w:val="399F1C41"/>
    <w:rsid w:val="39B006C6"/>
    <w:rsid w:val="39BA6B41"/>
    <w:rsid w:val="39BF7D74"/>
    <w:rsid w:val="39EC07FC"/>
    <w:rsid w:val="3A196D11"/>
    <w:rsid w:val="3A1F6307"/>
    <w:rsid w:val="3A206B2C"/>
    <w:rsid w:val="3A42286D"/>
    <w:rsid w:val="3A4678DA"/>
    <w:rsid w:val="3A5D0115"/>
    <w:rsid w:val="3A7E6E2D"/>
    <w:rsid w:val="3A941476"/>
    <w:rsid w:val="3A9E523D"/>
    <w:rsid w:val="3AD20C40"/>
    <w:rsid w:val="3AE82222"/>
    <w:rsid w:val="3AE95405"/>
    <w:rsid w:val="3AEC72C6"/>
    <w:rsid w:val="3B0C144A"/>
    <w:rsid w:val="3B0D1AA4"/>
    <w:rsid w:val="3B1F0F3D"/>
    <w:rsid w:val="3B3013EF"/>
    <w:rsid w:val="3B3B3C00"/>
    <w:rsid w:val="3B587F97"/>
    <w:rsid w:val="3B5F0B4A"/>
    <w:rsid w:val="3B614D42"/>
    <w:rsid w:val="3B8405F0"/>
    <w:rsid w:val="3B972B10"/>
    <w:rsid w:val="3BA777E2"/>
    <w:rsid w:val="3BDA2875"/>
    <w:rsid w:val="3BE92C13"/>
    <w:rsid w:val="3BEB1BF2"/>
    <w:rsid w:val="3BEE4BD8"/>
    <w:rsid w:val="3BF1798F"/>
    <w:rsid w:val="3BF653A3"/>
    <w:rsid w:val="3C103011"/>
    <w:rsid w:val="3C470BB4"/>
    <w:rsid w:val="3C6F46D1"/>
    <w:rsid w:val="3CA109FC"/>
    <w:rsid w:val="3CAF4016"/>
    <w:rsid w:val="3CB5415C"/>
    <w:rsid w:val="3CB93E1F"/>
    <w:rsid w:val="3CC81336"/>
    <w:rsid w:val="3CE52266"/>
    <w:rsid w:val="3CF06C84"/>
    <w:rsid w:val="3CF90D85"/>
    <w:rsid w:val="3CFA3A50"/>
    <w:rsid w:val="3D3457A5"/>
    <w:rsid w:val="3D442F40"/>
    <w:rsid w:val="3D4B3228"/>
    <w:rsid w:val="3D665363"/>
    <w:rsid w:val="3D6C5259"/>
    <w:rsid w:val="3D815C6A"/>
    <w:rsid w:val="3D823FAB"/>
    <w:rsid w:val="3DA80713"/>
    <w:rsid w:val="3DB008E8"/>
    <w:rsid w:val="3DD35F53"/>
    <w:rsid w:val="3DDB21B2"/>
    <w:rsid w:val="3DE43A27"/>
    <w:rsid w:val="3DEC1B42"/>
    <w:rsid w:val="3E05149E"/>
    <w:rsid w:val="3E1306E3"/>
    <w:rsid w:val="3E281BC1"/>
    <w:rsid w:val="3E2E0E63"/>
    <w:rsid w:val="3E3F273E"/>
    <w:rsid w:val="3E53338B"/>
    <w:rsid w:val="3E565EF5"/>
    <w:rsid w:val="3E6009E7"/>
    <w:rsid w:val="3E7A55C8"/>
    <w:rsid w:val="3E926B6E"/>
    <w:rsid w:val="3E9855E3"/>
    <w:rsid w:val="3EB74AA2"/>
    <w:rsid w:val="3EF6105B"/>
    <w:rsid w:val="3EFE0C27"/>
    <w:rsid w:val="3F2A26F4"/>
    <w:rsid w:val="3F623C09"/>
    <w:rsid w:val="3F6F78D3"/>
    <w:rsid w:val="3F7817BD"/>
    <w:rsid w:val="3F907396"/>
    <w:rsid w:val="3F911EE0"/>
    <w:rsid w:val="3FB5308A"/>
    <w:rsid w:val="3FC2700E"/>
    <w:rsid w:val="3FD04626"/>
    <w:rsid w:val="3FDD0681"/>
    <w:rsid w:val="401570CB"/>
    <w:rsid w:val="40292BBA"/>
    <w:rsid w:val="40323DC6"/>
    <w:rsid w:val="403A763C"/>
    <w:rsid w:val="40456036"/>
    <w:rsid w:val="404C3C9D"/>
    <w:rsid w:val="406A486F"/>
    <w:rsid w:val="407A1987"/>
    <w:rsid w:val="40861960"/>
    <w:rsid w:val="40A43101"/>
    <w:rsid w:val="40B674EB"/>
    <w:rsid w:val="40C308FE"/>
    <w:rsid w:val="40CE3736"/>
    <w:rsid w:val="40D523DF"/>
    <w:rsid w:val="40DD7F35"/>
    <w:rsid w:val="40FF1013"/>
    <w:rsid w:val="410B73F2"/>
    <w:rsid w:val="410C0341"/>
    <w:rsid w:val="413446CD"/>
    <w:rsid w:val="41345F8F"/>
    <w:rsid w:val="4146699C"/>
    <w:rsid w:val="416D4320"/>
    <w:rsid w:val="4198176D"/>
    <w:rsid w:val="419C327A"/>
    <w:rsid w:val="419E1DAA"/>
    <w:rsid w:val="41A9791C"/>
    <w:rsid w:val="41AF045B"/>
    <w:rsid w:val="41B3181C"/>
    <w:rsid w:val="41C35A70"/>
    <w:rsid w:val="41E11B0D"/>
    <w:rsid w:val="41EA4852"/>
    <w:rsid w:val="41FA65F4"/>
    <w:rsid w:val="41FF69D0"/>
    <w:rsid w:val="42146253"/>
    <w:rsid w:val="42155091"/>
    <w:rsid w:val="421D4110"/>
    <w:rsid w:val="42317850"/>
    <w:rsid w:val="42324B9B"/>
    <w:rsid w:val="424267BC"/>
    <w:rsid w:val="424C6EDE"/>
    <w:rsid w:val="42713526"/>
    <w:rsid w:val="4274477B"/>
    <w:rsid w:val="42843B23"/>
    <w:rsid w:val="42B81D49"/>
    <w:rsid w:val="42D2577A"/>
    <w:rsid w:val="42D84844"/>
    <w:rsid w:val="42EA4FE1"/>
    <w:rsid w:val="42EA50BC"/>
    <w:rsid w:val="42EE6B5E"/>
    <w:rsid w:val="433055C8"/>
    <w:rsid w:val="43383D26"/>
    <w:rsid w:val="43421758"/>
    <w:rsid w:val="4347488C"/>
    <w:rsid w:val="43870035"/>
    <w:rsid w:val="43AB6C07"/>
    <w:rsid w:val="43BA58C0"/>
    <w:rsid w:val="43BE045E"/>
    <w:rsid w:val="43D259ED"/>
    <w:rsid w:val="43E10F3D"/>
    <w:rsid w:val="43F04AF6"/>
    <w:rsid w:val="440744D1"/>
    <w:rsid w:val="44444247"/>
    <w:rsid w:val="444C7561"/>
    <w:rsid w:val="446402C1"/>
    <w:rsid w:val="448A727C"/>
    <w:rsid w:val="448B2266"/>
    <w:rsid w:val="448C4299"/>
    <w:rsid w:val="44A33F42"/>
    <w:rsid w:val="44A410C6"/>
    <w:rsid w:val="44C9538F"/>
    <w:rsid w:val="44D35CB8"/>
    <w:rsid w:val="44FF04D3"/>
    <w:rsid w:val="450B7058"/>
    <w:rsid w:val="450C221F"/>
    <w:rsid w:val="450F3F53"/>
    <w:rsid w:val="455F19D6"/>
    <w:rsid w:val="456B55DA"/>
    <w:rsid w:val="458B4E56"/>
    <w:rsid w:val="45A22A4A"/>
    <w:rsid w:val="45E33668"/>
    <w:rsid w:val="46060ED6"/>
    <w:rsid w:val="46117B24"/>
    <w:rsid w:val="462269B5"/>
    <w:rsid w:val="463A7076"/>
    <w:rsid w:val="463F304E"/>
    <w:rsid w:val="46402F23"/>
    <w:rsid w:val="464306D8"/>
    <w:rsid w:val="465873F1"/>
    <w:rsid w:val="46685922"/>
    <w:rsid w:val="46716049"/>
    <w:rsid w:val="46917F54"/>
    <w:rsid w:val="46B93E78"/>
    <w:rsid w:val="46C50506"/>
    <w:rsid w:val="46DF3D0B"/>
    <w:rsid w:val="46F5246C"/>
    <w:rsid w:val="470E5059"/>
    <w:rsid w:val="47142594"/>
    <w:rsid w:val="471C298B"/>
    <w:rsid w:val="4728398E"/>
    <w:rsid w:val="476E653F"/>
    <w:rsid w:val="47752908"/>
    <w:rsid w:val="477577E9"/>
    <w:rsid w:val="47B30EBA"/>
    <w:rsid w:val="47B37F37"/>
    <w:rsid w:val="47C7119C"/>
    <w:rsid w:val="47CC604E"/>
    <w:rsid w:val="47FB6965"/>
    <w:rsid w:val="4808337D"/>
    <w:rsid w:val="480E1451"/>
    <w:rsid w:val="481B2835"/>
    <w:rsid w:val="484F026A"/>
    <w:rsid w:val="48651DEB"/>
    <w:rsid w:val="48652C9A"/>
    <w:rsid w:val="4880599E"/>
    <w:rsid w:val="488C4930"/>
    <w:rsid w:val="489E2B46"/>
    <w:rsid w:val="48A90FD1"/>
    <w:rsid w:val="48C7608A"/>
    <w:rsid w:val="48DC23A4"/>
    <w:rsid w:val="48E3723A"/>
    <w:rsid w:val="48EB7146"/>
    <w:rsid w:val="48EF76FD"/>
    <w:rsid w:val="48F152E5"/>
    <w:rsid w:val="48F15FA3"/>
    <w:rsid w:val="48FA781D"/>
    <w:rsid w:val="49083AAE"/>
    <w:rsid w:val="49117C08"/>
    <w:rsid w:val="491A3FEE"/>
    <w:rsid w:val="491C1FF2"/>
    <w:rsid w:val="492F5B5B"/>
    <w:rsid w:val="493974D6"/>
    <w:rsid w:val="494D6C53"/>
    <w:rsid w:val="495110F3"/>
    <w:rsid w:val="49541DC5"/>
    <w:rsid w:val="495D3D3B"/>
    <w:rsid w:val="49797DB0"/>
    <w:rsid w:val="497A68DE"/>
    <w:rsid w:val="498609B7"/>
    <w:rsid w:val="498977CD"/>
    <w:rsid w:val="499B4B31"/>
    <w:rsid w:val="499C688D"/>
    <w:rsid w:val="49A33EED"/>
    <w:rsid w:val="49A67882"/>
    <w:rsid w:val="49A67F39"/>
    <w:rsid w:val="49AD3347"/>
    <w:rsid w:val="49B77EE4"/>
    <w:rsid w:val="49C06525"/>
    <w:rsid w:val="49CA29B5"/>
    <w:rsid w:val="49EE42FC"/>
    <w:rsid w:val="49EF20A2"/>
    <w:rsid w:val="4A0B0F83"/>
    <w:rsid w:val="4A233246"/>
    <w:rsid w:val="4A2978AD"/>
    <w:rsid w:val="4A687806"/>
    <w:rsid w:val="4A770776"/>
    <w:rsid w:val="4A79283B"/>
    <w:rsid w:val="4A8C0D65"/>
    <w:rsid w:val="4A8E50A8"/>
    <w:rsid w:val="4A9E1301"/>
    <w:rsid w:val="4AA0121F"/>
    <w:rsid w:val="4AA078F4"/>
    <w:rsid w:val="4AA81F97"/>
    <w:rsid w:val="4AD57D35"/>
    <w:rsid w:val="4AD70551"/>
    <w:rsid w:val="4AF06BD7"/>
    <w:rsid w:val="4B2973D3"/>
    <w:rsid w:val="4B31503D"/>
    <w:rsid w:val="4B3C12C7"/>
    <w:rsid w:val="4B4676D8"/>
    <w:rsid w:val="4B4734B2"/>
    <w:rsid w:val="4B561DAF"/>
    <w:rsid w:val="4B57099B"/>
    <w:rsid w:val="4B59472D"/>
    <w:rsid w:val="4B6435D0"/>
    <w:rsid w:val="4B7550CF"/>
    <w:rsid w:val="4B775668"/>
    <w:rsid w:val="4B803EDC"/>
    <w:rsid w:val="4BD81B39"/>
    <w:rsid w:val="4BF04BB6"/>
    <w:rsid w:val="4BF206D7"/>
    <w:rsid w:val="4BF81E6B"/>
    <w:rsid w:val="4C022EFB"/>
    <w:rsid w:val="4C05520B"/>
    <w:rsid w:val="4C0C5FB5"/>
    <w:rsid w:val="4C131A76"/>
    <w:rsid w:val="4C28123B"/>
    <w:rsid w:val="4C43667C"/>
    <w:rsid w:val="4C463D3E"/>
    <w:rsid w:val="4C4A7A72"/>
    <w:rsid w:val="4C8E33C0"/>
    <w:rsid w:val="4CBF1A24"/>
    <w:rsid w:val="4CCC1EC1"/>
    <w:rsid w:val="4CCF72F1"/>
    <w:rsid w:val="4CD8662E"/>
    <w:rsid w:val="4CDB78E8"/>
    <w:rsid w:val="4CF0689A"/>
    <w:rsid w:val="4CFA68AD"/>
    <w:rsid w:val="4D114E42"/>
    <w:rsid w:val="4D2C5263"/>
    <w:rsid w:val="4D467A94"/>
    <w:rsid w:val="4D5B1260"/>
    <w:rsid w:val="4D6551E0"/>
    <w:rsid w:val="4D982C2E"/>
    <w:rsid w:val="4DD211D0"/>
    <w:rsid w:val="4DD728CB"/>
    <w:rsid w:val="4DF42E73"/>
    <w:rsid w:val="4DF944DA"/>
    <w:rsid w:val="4E23773E"/>
    <w:rsid w:val="4E2C7E74"/>
    <w:rsid w:val="4E3E7552"/>
    <w:rsid w:val="4E4041E5"/>
    <w:rsid w:val="4E5322CC"/>
    <w:rsid w:val="4E631A76"/>
    <w:rsid w:val="4E6E5273"/>
    <w:rsid w:val="4E847060"/>
    <w:rsid w:val="4E9D0B71"/>
    <w:rsid w:val="4EC04EF1"/>
    <w:rsid w:val="4EC147E9"/>
    <w:rsid w:val="4ECB7639"/>
    <w:rsid w:val="4EE0016A"/>
    <w:rsid w:val="4F0E3D24"/>
    <w:rsid w:val="4F360563"/>
    <w:rsid w:val="4F916639"/>
    <w:rsid w:val="4FB511F8"/>
    <w:rsid w:val="4FD53FA0"/>
    <w:rsid w:val="4FEB1B46"/>
    <w:rsid w:val="4FEF7B48"/>
    <w:rsid w:val="4FF55D0A"/>
    <w:rsid w:val="50093859"/>
    <w:rsid w:val="50112F15"/>
    <w:rsid w:val="501E5FE1"/>
    <w:rsid w:val="50303B36"/>
    <w:rsid w:val="504A4B4A"/>
    <w:rsid w:val="5055122C"/>
    <w:rsid w:val="50615F47"/>
    <w:rsid w:val="5071288C"/>
    <w:rsid w:val="507E0F32"/>
    <w:rsid w:val="50806B6C"/>
    <w:rsid w:val="509550D0"/>
    <w:rsid w:val="509B1336"/>
    <w:rsid w:val="50A73E8E"/>
    <w:rsid w:val="50B94B1F"/>
    <w:rsid w:val="50D13D94"/>
    <w:rsid w:val="50D71089"/>
    <w:rsid w:val="50DC0C95"/>
    <w:rsid w:val="50E73E21"/>
    <w:rsid w:val="50EB2231"/>
    <w:rsid w:val="5114072D"/>
    <w:rsid w:val="514051DB"/>
    <w:rsid w:val="514B3CFC"/>
    <w:rsid w:val="51577358"/>
    <w:rsid w:val="515A7CA8"/>
    <w:rsid w:val="515E237E"/>
    <w:rsid w:val="517A54CA"/>
    <w:rsid w:val="517D5E7F"/>
    <w:rsid w:val="518D3A03"/>
    <w:rsid w:val="51AB4C41"/>
    <w:rsid w:val="51F63AF3"/>
    <w:rsid w:val="520225C6"/>
    <w:rsid w:val="522D5833"/>
    <w:rsid w:val="523E15F4"/>
    <w:rsid w:val="523F22EF"/>
    <w:rsid w:val="524F0849"/>
    <w:rsid w:val="527105A3"/>
    <w:rsid w:val="52930C71"/>
    <w:rsid w:val="529A6BBA"/>
    <w:rsid w:val="52A03597"/>
    <w:rsid w:val="52AD3372"/>
    <w:rsid w:val="52BA4C49"/>
    <w:rsid w:val="52BB3C66"/>
    <w:rsid w:val="52C04C9A"/>
    <w:rsid w:val="52FC67F1"/>
    <w:rsid w:val="53001A86"/>
    <w:rsid w:val="53025042"/>
    <w:rsid w:val="53194D99"/>
    <w:rsid w:val="531A455E"/>
    <w:rsid w:val="532A6C69"/>
    <w:rsid w:val="536F10AC"/>
    <w:rsid w:val="537023B5"/>
    <w:rsid w:val="538D4305"/>
    <w:rsid w:val="53A735B5"/>
    <w:rsid w:val="53DF490F"/>
    <w:rsid w:val="53E2654D"/>
    <w:rsid w:val="53EB058A"/>
    <w:rsid w:val="53F65A75"/>
    <w:rsid w:val="540C5299"/>
    <w:rsid w:val="54113DC2"/>
    <w:rsid w:val="541819F8"/>
    <w:rsid w:val="54210CAA"/>
    <w:rsid w:val="54241CD4"/>
    <w:rsid w:val="542C7173"/>
    <w:rsid w:val="543603A1"/>
    <w:rsid w:val="54453604"/>
    <w:rsid w:val="54501DD9"/>
    <w:rsid w:val="545829F8"/>
    <w:rsid w:val="545D1BEF"/>
    <w:rsid w:val="54662659"/>
    <w:rsid w:val="54866C68"/>
    <w:rsid w:val="549875C0"/>
    <w:rsid w:val="54CB7E53"/>
    <w:rsid w:val="54FC5686"/>
    <w:rsid w:val="54FE13B1"/>
    <w:rsid w:val="54FE580E"/>
    <w:rsid w:val="55520379"/>
    <w:rsid w:val="555248F5"/>
    <w:rsid w:val="555641A8"/>
    <w:rsid w:val="55735C8E"/>
    <w:rsid w:val="557E1066"/>
    <w:rsid w:val="558123B0"/>
    <w:rsid w:val="55902AAC"/>
    <w:rsid w:val="55911D83"/>
    <w:rsid w:val="55926AF5"/>
    <w:rsid w:val="55A33019"/>
    <w:rsid w:val="55A4637A"/>
    <w:rsid w:val="55AD240E"/>
    <w:rsid w:val="55BA75A3"/>
    <w:rsid w:val="55C821BC"/>
    <w:rsid w:val="55CF05EE"/>
    <w:rsid w:val="55F21A9E"/>
    <w:rsid w:val="55F3312A"/>
    <w:rsid w:val="55FC3B15"/>
    <w:rsid w:val="56173F98"/>
    <w:rsid w:val="56276E90"/>
    <w:rsid w:val="563320B6"/>
    <w:rsid w:val="563E20C7"/>
    <w:rsid w:val="563E430E"/>
    <w:rsid w:val="56863EB3"/>
    <w:rsid w:val="56983544"/>
    <w:rsid w:val="569C0161"/>
    <w:rsid w:val="56A84BE0"/>
    <w:rsid w:val="56C30C4D"/>
    <w:rsid w:val="56CF52CB"/>
    <w:rsid w:val="56D27534"/>
    <w:rsid w:val="56E05265"/>
    <w:rsid w:val="56E13129"/>
    <w:rsid w:val="570529AB"/>
    <w:rsid w:val="570F7553"/>
    <w:rsid w:val="57152BEC"/>
    <w:rsid w:val="57437DDB"/>
    <w:rsid w:val="574C536C"/>
    <w:rsid w:val="574E4D09"/>
    <w:rsid w:val="575A3449"/>
    <w:rsid w:val="575E7524"/>
    <w:rsid w:val="5776747B"/>
    <w:rsid w:val="579A1B93"/>
    <w:rsid w:val="57A777B2"/>
    <w:rsid w:val="57AB2B31"/>
    <w:rsid w:val="57B57662"/>
    <w:rsid w:val="57F24984"/>
    <w:rsid w:val="58181497"/>
    <w:rsid w:val="58226F09"/>
    <w:rsid w:val="582D76ED"/>
    <w:rsid w:val="584F27D9"/>
    <w:rsid w:val="58504058"/>
    <w:rsid w:val="58651F78"/>
    <w:rsid w:val="58715A14"/>
    <w:rsid w:val="58810AAE"/>
    <w:rsid w:val="58A33A37"/>
    <w:rsid w:val="58AA170F"/>
    <w:rsid w:val="58BF1729"/>
    <w:rsid w:val="58E04BE6"/>
    <w:rsid w:val="58EC2F3F"/>
    <w:rsid w:val="58FF32DD"/>
    <w:rsid w:val="593654A7"/>
    <w:rsid w:val="59495910"/>
    <w:rsid w:val="596D2336"/>
    <w:rsid w:val="599D2C0B"/>
    <w:rsid w:val="59A0160B"/>
    <w:rsid w:val="59A3551D"/>
    <w:rsid w:val="59A92590"/>
    <w:rsid w:val="59D558F8"/>
    <w:rsid w:val="59E85B0B"/>
    <w:rsid w:val="59F434E3"/>
    <w:rsid w:val="59F85B6A"/>
    <w:rsid w:val="5A080716"/>
    <w:rsid w:val="5A1031ED"/>
    <w:rsid w:val="5A133146"/>
    <w:rsid w:val="5A2C21F1"/>
    <w:rsid w:val="5A3040F7"/>
    <w:rsid w:val="5A320B68"/>
    <w:rsid w:val="5A4562D9"/>
    <w:rsid w:val="5A845B89"/>
    <w:rsid w:val="5AAD676C"/>
    <w:rsid w:val="5AB56578"/>
    <w:rsid w:val="5AD009DB"/>
    <w:rsid w:val="5AD806E1"/>
    <w:rsid w:val="5AF43251"/>
    <w:rsid w:val="5B0069DA"/>
    <w:rsid w:val="5B07328F"/>
    <w:rsid w:val="5B1F4994"/>
    <w:rsid w:val="5B25068E"/>
    <w:rsid w:val="5B305CAC"/>
    <w:rsid w:val="5B4F217D"/>
    <w:rsid w:val="5B6E4682"/>
    <w:rsid w:val="5BC56986"/>
    <w:rsid w:val="5BD62414"/>
    <w:rsid w:val="5BE23FA0"/>
    <w:rsid w:val="5BEC299D"/>
    <w:rsid w:val="5BF1564C"/>
    <w:rsid w:val="5BFA4278"/>
    <w:rsid w:val="5BFC28AC"/>
    <w:rsid w:val="5C471826"/>
    <w:rsid w:val="5C5D0E24"/>
    <w:rsid w:val="5CA6693F"/>
    <w:rsid w:val="5CB42DD7"/>
    <w:rsid w:val="5CC12CC9"/>
    <w:rsid w:val="5CC840AC"/>
    <w:rsid w:val="5CCA40B3"/>
    <w:rsid w:val="5CE31FA8"/>
    <w:rsid w:val="5CF2411E"/>
    <w:rsid w:val="5D154FBF"/>
    <w:rsid w:val="5D24112E"/>
    <w:rsid w:val="5D2C5370"/>
    <w:rsid w:val="5D30431F"/>
    <w:rsid w:val="5D3B0F4A"/>
    <w:rsid w:val="5D3F0784"/>
    <w:rsid w:val="5D413549"/>
    <w:rsid w:val="5D7545C7"/>
    <w:rsid w:val="5D7E63D9"/>
    <w:rsid w:val="5D925E18"/>
    <w:rsid w:val="5DB208ED"/>
    <w:rsid w:val="5DC6139A"/>
    <w:rsid w:val="5DD756FA"/>
    <w:rsid w:val="5DD76471"/>
    <w:rsid w:val="5DE91B30"/>
    <w:rsid w:val="5DEC2806"/>
    <w:rsid w:val="5E016079"/>
    <w:rsid w:val="5E0828B8"/>
    <w:rsid w:val="5E0E0A32"/>
    <w:rsid w:val="5E1412B7"/>
    <w:rsid w:val="5E174610"/>
    <w:rsid w:val="5E3037CA"/>
    <w:rsid w:val="5E39503D"/>
    <w:rsid w:val="5E402556"/>
    <w:rsid w:val="5E491B61"/>
    <w:rsid w:val="5E5A1687"/>
    <w:rsid w:val="5E5C0FEB"/>
    <w:rsid w:val="5E7954BD"/>
    <w:rsid w:val="5E89727C"/>
    <w:rsid w:val="5E8C4DB7"/>
    <w:rsid w:val="5EA12BFB"/>
    <w:rsid w:val="5EAC2CE3"/>
    <w:rsid w:val="5EB32EE1"/>
    <w:rsid w:val="5EBF4FAE"/>
    <w:rsid w:val="5EC903BF"/>
    <w:rsid w:val="5ED15CC8"/>
    <w:rsid w:val="5EE87BC9"/>
    <w:rsid w:val="5EEE637D"/>
    <w:rsid w:val="5F09241D"/>
    <w:rsid w:val="5F1C3E9B"/>
    <w:rsid w:val="5F1E201A"/>
    <w:rsid w:val="5F217BA6"/>
    <w:rsid w:val="5F375EA9"/>
    <w:rsid w:val="5F4729B0"/>
    <w:rsid w:val="5F4C6F5A"/>
    <w:rsid w:val="5F4E4568"/>
    <w:rsid w:val="5F583951"/>
    <w:rsid w:val="5F5B6BAC"/>
    <w:rsid w:val="5F703B0E"/>
    <w:rsid w:val="5F72310C"/>
    <w:rsid w:val="5F89005B"/>
    <w:rsid w:val="5F974B29"/>
    <w:rsid w:val="5FBE7E0A"/>
    <w:rsid w:val="5FDC0B75"/>
    <w:rsid w:val="5FF73935"/>
    <w:rsid w:val="601A6622"/>
    <w:rsid w:val="603C4AE8"/>
    <w:rsid w:val="60411C9C"/>
    <w:rsid w:val="60463EE4"/>
    <w:rsid w:val="604672EF"/>
    <w:rsid w:val="605C4711"/>
    <w:rsid w:val="605C4EB2"/>
    <w:rsid w:val="60776B4D"/>
    <w:rsid w:val="607E12CC"/>
    <w:rsid w:val="608D4554"/>
    <w:rsid w:val="609A2CCD"/>
    <w:rsid w:val="60A80FA4"/>
    <w:rsid w:val="60AB5B6D"/>
    <w:rsid w:val="60C51778"/>
    <w:rsid w:val="60E9506D"/>
    <w:rsid w:val="60F016B5"/>
    <w:rsid w:val="61052833"/>
    <w:rsid w:val="611F1104"/>
    <w:rsid w:val="6131247D"/>
    <w:rsid w:val="61400453"/>
    <w:rsid w:val="61441FB9"/>
    <w:rsid w:val="614D2CFB"/>
    <w:rsid w:val="61531B76"/>
    <w:rsid w:val="61565EA1"/>
    <w:rsid w:val="615E6405"/>
    <w:rsid w:val="6163155B"/>
    <w:rsid w:val="616924CE"/>
    <w:rsid w:val="61764760"/>
    <w:rsid w:val="61781C0F"/>
    <w:rsid w:val="617F0038"/>
    <w:rsid w:val="618D5336"/>
    <w:rsid w:val="619E3BE4"/>
    <w:rsid w:val="61C13EAA"/>
    <w:rsid w:val="61FB4597"/>
    <w:rsid w:val="6201166F"/>
    <w:rsid w:val="622E0186"/>
    <w:rsid w:val="624660F2"/>
    <w:rsid w:val="624D63D1"/>
    <w:rsid w:val="629A0F0A"/>
    <w:rsid w:val="62AA720C"/>
    <w:rsid w:val="62B6533F"/>
    <w:rsid w:val="62C57529"/>
    <w:rsid w:val="62CF1F5C"/>
    <w:rsid w:val="62EB157F"/>
    <w:rsid w:val="62F7467A"/>
    <w:rsid w:val="63003B4D"/>
    <w:rsid w:val="63033A1F"/>
    <w:rsid w:val="630371FA"/>
    <w:rsid w:val="63122CCF"/>
    <w:rsid w:val="63324298"/>
    <w:rsid w:val="63421082"/>
    <w:rsid w:val="634F56E0"/>
    <w:rsid w:val="63510EF4"/>
    <w:rsid w:val="6381737E"/>
    <w:rsid w:val="6391716C"/>
    <w:rsid w:val="63A37F5C"/>
    <w:rsid w:val="63B77A3C"/>
    <w:rsid w:val="63BA42E0"/>
    <w:rsid w:val="63D250CB"/>
    <w:rsid w:val="6401149B"/>
    <w:rsid w:val="64051441"/>
    <w:rsid w:val="643B3469"/>
    <w:rsid w:val="643E2230"/>
    <w:rsid w:val="644D5D2C"/>
    <w:rsid w:val="6451348B"/>
    <w:rsid w:val="64665196"/>
    <w:rsid w:val="64770511"/>
    <w:rsid w:val="647D3748"/>
    <w:rsid w:val="647E19A7"/>
    <w:rsid w:val="64A2019F"/>
    <w:rsid w:val="64A555F4"/>
    <w:rsid w:val="64B32A58"/>
    <w:rsid w:val="64B532FE"/>
    <w:rsid w:val="64C310A8"/>
    <w:rsid w:val="64CC1CD0"/>
    <w:rsid w:val="650D4750"/>
    <w:rsid w:val="651F5D00"/>
    <w:rsid w:val="654C4DC9"/>
    <w:rsid w:val="654C777A"/>
    <w:rsid w:val="65621015"/>
    <w:rsid w:val="656E1C80"/>
    <w:rsid w:val="657131AE"/>
    <w:rsid w:val="658073D4"/>
    <w:rsid w:val="65881E3C"/>
    <w:rsid w:val="658B00F4"/>
    <w:rsid w:val="658E5B0E"/>
    <w:rsid w:val="65B510EB"/>
    <w:rsid w:val="65D11E9E"/>
    <w:rsid w:val="65E13088"/>
    <w:rsid w:val="65EE47FE"/>
    <w:rsid w:val="65EE77B3"/>
    <w:rsid w:val="65FF7A2D"/>
    <w:rsid w:val="662134B8"/>
    <w:rsid w:val="66482F2B"/>
    <w:rsid w:val="666524F6"/>
    <w:rsid w:val="66687628"/>
    <w:rsid w:val="66921191"/>
    <w:rsid w:val="66964387"/>
    <w:rsid w:val="66BC4C24"/>
    <w:rsid w:val="66EC4AFD"/>
    <w:rsid w:val="66FB2863"/>
    <w:rsid w:val="670A1929"/>
    <w:rsid w:val="670E3486"/>
    <w:rsid w:val="67170B11"/>
    <w:rsid w:val="671C6AFE"/>
    <w:rsid w:val="672C5DBE"/>
    <w:rsid w:val="672E2863"/>
    <w:rsid w:val="67304519"/>
    <w:rsid w:val="67340937"/>
    <w:rsid w:val="67367361"/>
    <w:rsid w:val="67426FB7"/>
    <w:rsid w:val="67621A13"/>
    <w:rsid w:val="67705C4D"/>
    <w:rsid w:val="6774532B"/>
    <w:rsid w:val="6774551F"/>
    <w:rsid w:val="67903975"/>
    <w:rsid w:val="67AC0503"/>
    <w:rsid w:val="67AE2B5B"/>
    <w:rsid w:val="67DA1793"/>
    <w:rsid w:val="67DD4930"/>
    <w:rsid w:val="67F73E3E"/>
    <w:rsid w:val="67FE4BEE"/>
    <w:rsid w:val="6804014B"/>
    <w:rsid w:val="68296145"/>
    <w:rsid w:val="6846564E"/>
    <w:rsid w:val="6863353C"/>
    <w:rsid w:val="688C4318"/>
    <w:rsid w:val="689614D3"/>
    <w:rsid w:val="68D63C70"/>
    <w:rsid w:val="68E12510"/>
    <w:rsid w:val="68E70957"/>
    <w:rsid w:val="691D131C"/>
    <w:rsid w:val="69843120"/>
    <w:rsid w:val="69853E9E"/>
    <w:rsid w:val="698B48B5"/>
    <w:rsid w:val="698B568A"/>
    <w:rsid w:val="69923A8F"/>
    <w:rsid w:val="699C036C"/>
    <w:rsid w:val="69B819EB"/>
    <w:rsid w:val="69C47AD9"/>
    <w:rsid w:val="69CE0EBC"/>
    <w:rsid w:val="69CF5E40"/>
    <w:rsid w:val="69D25E58"/>
    <w:rsid w:val="69DB4E16"/>
    <w:rsid w:val="6A2420B3"/>
    <w:rsid w:val="6A2B171E"/>
    <w:rsid w:val="6A3744B2"/>
    <w:rsid w:val="6A632C60"/>
    <w:rsid w:val="6A6B2B0A"/>
    <w:rsid w:val="6A8A3A65"/>
    <w:rsid w:val="6A9C4C6A"/>
    <w:rsid w:val="6AA5410F"/>
    <w:rsid w:val="6AA65765"/>
    <w:rsid w:val="6AB17612"/>
    <w:rsid w:val="6ABF542D"/>
    <w:rsid w:val="6AD27081"/>
    <w:rsid w:val="6AD922E2"/>
    <w:rsid w:val="6AD97B7D"/>
    <w:rsid w:val="6AF83014"/>
    <w:rsid w:val="6AFC5F4F"/>
    <w:rsid w:val="6B0237CB"/>
    <w:rsid w:val="6B1F255E"/>
    <w:rsid w:val="6B3C306E"/>
    <w:rsid w:val="6B450E98"/>
    <w:rsid w:val="6B453927"/>
    <w:rsid w:val="6B4D0978"/>
    <w:rsid w:val="6B52616A"/>
    <w:rsid w:val="6B6E6517"/>
    <w:rsid w:val="6BAC56FD"/>
    <w:rsid w:val="6BB84F70"/>
    <w:rsid w:val="6BD8043B"/>
    <w:rsid w:val="6BF568E7"/>
    <w:rsid w:val="6BF73A7E"/>
    <w:rsid w:val="6BF872BA"/>
    <w:rsid w:val="6C0F7D30"/>
    <w:rsid w:val="6C1A431D"/>
    <w:rsid w:val="6C1C4DCB"/>
    <w:rsid w:val="6C2A0230"/>
    <w:rsid w:val="6C304CD8"/>
    <w:rsid w:val="6C3D35D9"/>
    <w:rsid w:val="6C4473AD"/>
    <w:rsid w:val="6C475E79"/>
    <w:rsid w:val="6C6D3F3C"/>
    <w:rsid w:val="6C6E736A"/>
    <w:rsid w:val="6C9108E3"/>
    <w:rsid w:val="6CD53F11"/>
    <w:rsid w:val="6CDA643C"/>
    <w:rsid w:val="6CFC2981"/>
    <w:rsid w:val="6D06067F"/>
    <w:rsid w:val="6D085F70"/>
    <w:rsid w:val="6D30192D"/>
    <w:rsid w:val="6D35271D"/>
    <w:rsid w:val="6D3A432A"/>
    <w:rsid w:val="6D3A48BF"/>
    <w:rsid w:val="6D6B3BC3"/>
    <w:rsid w:val="6D6C0BFB"/>
    <w:rsid w:val="6D721C7D"/>
    <w:rsid w:val="6D7F5F00"/>
    <w:rsid w:val="6D877068"/>
    <w:rsid w:val="6D91512D"/>
    <w:rsid w:val="6DAE0063"/>
    <w:rsid w:val="6DB04D9A"/>
    <w:rsid w:val="6DEE7A91"/>
    <w:rsid w:val="6E064722"/>
    <w:rsid w:val="6E4C7ACB"/>
    <w:rsid w:val="6E5B3617"/>
    <w:rsid w:val="6E8723DF"/>
    <w:rsid w:val="6E8E4C94"/>
    <w:rsid w:val="6E9109C8"/>
    <w:rsid w:val="6EC612C9"/>
    <w:rsid w:val="6EC85F72"/>
    <w:rsid w:val="6ECF630B"/>
    <w:rsid w:val="6ED051EE"/>
    <w:rsid w:val="6EE37CF5"/>
    <w:rsid w:val="6F02716B"/>
    <w:rsid w:val="6F0441E8"/>
    <w:rsid w:val="6F23487A"/>
    <w:rsid w:val="6F2474E3"/>
    <w:rsid w:val="6F34560B"/>
    <w:rsid w:val="6F407B6D"/>
    <w:rsid w:val="6F4E6FC9"/>
    <w:rsid w:val="6F5E47A3"/>
    <w:rsid w:val="6F636456"/>
    <w:rsid w:val="6F686B83"/>
    <w:rsid w:val="6F6D6D0B"/>
    <w:rsid w:val="6F8A58B2"/>
    <w:rsid w:val="6FA50BA3"/>
    <w:rsid w:val="6FB50527"/>
    <w:rsid w:val="6FBF6D4F"/>
    <w:rsid w:val="6FC36CFC"/>
    <w:rsid w:val="6FC426C3"/>
    <w:rsid w:val="6FC450B4"/>
    <w:rsid w:val="6FE17A5D"/>
    <w:rsid w:val="6FF55BB2"/>
    <w:rsid w:val="6FFD220E"/>
    <w:rsid w:val="6FFF153B"/>
    <w:rsid w:val="700822DB"/>
    <w:rsid w:val="70097B4D"/>
    <w:rsid w:val="700A0487"/>
    <w:rsid w:val="700D537A"/>
    <w:rsid w:val="701931D5"/>
    <w:rsid w:val="703062A7"/>
    <w:rsid w:val="7052239C"/>
    <w:rsid w:val="706051C3"/>
    <w:rsid w:val="707F48E7"/>
    <w:rsid w:val="708939FB"/>
    <w:rsid w:val="708E7806"/>
    <w:rsid w:val="709B0449"/>
    <w:rsid w:val="709B3CEC"/>
    <w:rsid w:val="70A7776D"/>
    <w:rsid w:val="70B342DC"/>
    <w:rsid w:val="70BD0BC5"/>
    <w:rsid w:val="70BD1520"/>
    <w:rsid w:val="70DE2EC7"/>
    <w:rsid w:val="70E12F6F"/>
    <w:rsid w:val="70F43F62"/>
    <w:rsid w:val="710A7C65"/>
    <w:rsid w:val="71221260"/>
    <w:rsid w:val="71265A0B"/>
    <w:rsid w:val="71336CF8"/>
    <w:rsid w:val="713A551A"/>
    <w:rsid w:val="71430906"/>
    <w:rsid w:val="716B0C82"/>
    <w:rsid w:val="717859F0"/>
    <w:rsid w:val="717A6BBE"/>
    <w:rsid w:val="717F1325"/>
    <w:rsid w:val="718B3A93"/>
    <w:rsid w:val="719357A8"/>
    <w:rsid w:val="71AA4E4C"/>
    <w:rsid w:val="71D15759"/>
    <w:rsid w:val="71F0781A"/>
    <w:rsid w:val="72071788"/>
    <w:rsid w:val="7207282C"/>
    <w:rsid w:val="7225363F"/>
    <w:rsid w:val="72490DB3"/>
    <w:rsid w:val="726B1F94"/>
    <w:rsid w:val="72715ADF"/>
    <w:rsid w:val="7283089D"/>
    <w:rsid w:val="72834520"/>
    <w:rsid w:val="728D4993"/>
    <w:rsid w:val="72A459CA"/>
    <w:rsid w:val="72AF56CE"/>
    <w:rsid w:val="72B354BC"/>
    <w:rsid w:val="72CF5A6B"/>
    <w:rsid w:val="72FB389D"/>
    <w:rsid w:val="73211FB3"/>
    <w:rsid w:val="732C6CCC"/>
    <w:rsid w:val="73385D1B"/>
    <w:rsid w:val="73397777"/>
    <w:rsid w:val="733C6403"/>
    <w:rsid w:val="73407C1D"/>
    <w:rsid w:val="734D57A9"/>
    <w:rsid w:val="73897E24"/>
    <w:rsid w:val="73A762F5"/>
    <w:rsid w:val="73B049E1"/>
    <w:rsid w:val="73C308A2"/>
    <w:rsid w:val="73C30A8F"/>
    <w:rsid w:val="73C60B68"/>
    <w:rsid w:val="73D658C4"/>
    <w:rsid w:val="73E7564B"/>
    <w:rsid w:val="73EB15BD"/>
    <w:rsid w:val="73FE3961"/>
    <w:rsid w:val="742E508B"/>
    <w:rsid w:val="743D5A1E"/>
    <w:rsid w:val="74411C34"/>
    <w:rsid w:val="746C61EA"/>
    <w:rsid w:val="748F08AC"/>
    <w:rsid w:val="749D2D63"/>
    <w:rsid w:val="74B42FF3"/>
    <w:rsid w:val="74D157B3"/>
    <w:rsid w:val="74D43894"/>
    <w:rsid w:val="74DA0B96"/>
    <w:rsid w:val="74DC4AE7"/>
    <w:rsid w:val="74E333F5"/>
    <w:rsid w:val="74E366DC"/>
    <w:rsid w:val="74E8638B"/>
    <w:rsid w:val="74EC0D40"/>
    <w:rsid w:val="74F51688"/>
    <w:rsid w:val="74FD05BA"/>
    <w:rsid w:val="74FF50CC"/>
    <w:rsid w:val="75304AE7"/>
    <w:rsid w:val="753A2367"/>
    <w:rsid w:val="75454EE9"/>
    <w:rsid w:val="75455C14"/>
    <w:rsid w:val="754A50F4"/>
    <w:rsid w:val="754D5E80"/>
    <w:rsid w:val="75546F0E"/>
    <w:rsid w:val="75735602"/>
    <w:rsid w:val="75890FF7"/>
    <w:rsid w:val="75BC6194"/>
    <w:rsid w:val="75C17884"/>
    <w:rsid w:val="75C66195"/>
    <w:rsid w:val="75C91244"/>
    <w:rsid w:val="75D94B83"/>
    <w:rsid w:val="75E25886"/>
    <w:rsid w:val="75E91D01"/>
    <w:rsid w:val="75ED57B4"/>
    <w:rsid w:val="7610256F"/>
    <w:rsid w:val="763B6C5A"/>
    <w:rsid w:val="76403213"/>
    <w:rsid w:val="765946A8"/>
    <w:rsid w:val="765A113A"/>
    <w:rsid w:val="76A87846"/>
    <w:rsid w:val="76C75F1C"/>
    <w:rsid w:val="76CF5F86"/>
    <w:rsid w:val="76DD1439"/>
    <w:rsid w:val="76E40D9D"/>
    <w:rsid w:val="770007F3"/>
    <w:rsid w:val="772F0900"/>
    <w:rsid w:val="772F32B3"/>
    <w:rsid w:val="77350758"/>
    <w:rsid w:val="77770F54"/>
    <w:rsid w:val="77863B5D"/>
    <w:rsid w:val="77AD3563"/>
    <w:rsid w:val="77CA0464"/>
    <w:rsid w:val="77CF5C8C"/>
    <w:rsid w:val="7807529B"/>
    <w:rsid w:val="78140B75"/>
    <w:rsid w:val="781F4071"/>
    <w:rsid w:val="786A21DB"/>
    <w:rsid w:val="7876184A"/>
    <w:rsid w:val="787972A8"/>
    <w:rsid w:val="78A31F63"/>
    <w:rsid w:val="78AB5C0F"/>
    <w:rsid w:val="78D8692F"/>
    <w:rsid w:val="78EE34BF"/>
    <w:rsid w:val="7907103F"/>
    <w:rsid w:val="790A7749"/>
    <w:rsid w:val="791E1989"/>
    <w:rsid w:val="792232BA"/>
    <w:rsid w:val="793605D2"/>
    <w:rsid w:val="795B2E98"/>
    <w:rsid w:val="7968710C"/>
    <w:rsid w:val="79773EF9"/>
    <w:rsid w:val="79822780"/>
    <w:rsid w:val="799A30BA"/>
    <w:rsid w:val="79A36D5A"/>
    <w:rsid w:val="79D815F5"/>
    <w:rsid w:val="79E70BCD"/>
    <w:rsid w:val="79EC1E4C"/>
    <w:rsid w:val="79EF79B4"/>
    <w:rsid w:val="79F00B9B"/>
    <w:rsid w:val="7A321CBC"/>
    <w:rsid w:val="7A335B12"/>
    <w:rsid w:val="7A3B23DA"/>
    <w:rsid w:val="7A4F5F1D"/>
    <w:rsid w:val="7A586EEC"/>
    <w:rsid w:val="7A636661"/>
    <w:rsid w:val="7A73105E"/>
    <w:rsid w:val="7A744A68"/>
    <w:rsid w:val="7A944FFF"/>
    <w:rsid w:val="7AA104B3"/>
    <w:rsid w:val="7AA25553"/>
    <w:rsid w:val="7AA62F42"/>
    <w:rsid w:val="7AA65922"/>
    <w:rsid w:val="7AA85E98"/>
    <w:rsid w:val="7AA939CC"/>
    <w:rsid w:val="7AAB36B0"/>
    <w:rsid w:val="7ADC7CB8"/>
    <w:rsid w:val="7AF56105"/>
    <w:rsid w:val="7AF60A46"/>
    <w:rsid w:val="7B1B6641"/>
    <w:rsid w:val="7B5B7D24"/>
    <w:rsid w:val="7BA93249"/>
    <w:rsid w:val="7BAB7C19"/>
    <w:rsid w:val="7BB76FFC"/>
    <w:rsid w:val="7BBA748A"/>
    <w:rsid w:val="7BC2077D"/>
    <w:rsid w:val="7BCE1278"/>
    <w:rsid w:val="7BE664F8"/>
    <w:rsid w:val="7BF15C34"/>
    <w:rsid w:val="7C0C7DAD"/>
    <w:rsid w:val="7C143877"/>
    <w:rsid w:val="7C302B79"/>
    <w:rsid w:val="7C4D4D3E"/>
    <w:rsid w:val="7C584EF5"/>
    <w:rsid w:val="7C5855EB"/>
    <w:rsid w:val="7C590BFC"/>
    <w:rsid w:val="7C6254E2"/>
    <w:rsid w:val="7C73265D"/>
    <w:rsid w:val="7C7A785C"/>
    <w:rsid w:val="7C811F9F"/>
    <w:rsid w:val="7C833A9B"/>
    <w:rsid w:val="7C8A72C8"/>
    <w:rsid w:val="7C9C28ED"/>
    <w:rsid w:val="7CAB16D5"/>
    <w:rsid w:val="7CB0178F"/>
    <w:rsid w:val="7CBE6A00"/>
    <w:rsid w:val="7CCC0A69"/>
    <w:rsid w:val="7CD76770"/>
    <w:rsid w:val="7CF238C6"/>
    <w:rsid w:val="7D1C2698"/>
    <w:rsid w:val="7D386C97"/>
    <w:rsid w:val="7D493485"/>
    <w:rsid w:val="7D515775"/>
    <w:rsid w:val="7D54233D"/>
    <w:rsid w:val="7D5D6ABA"/>
    <w:rsid w:val="7D777FCB"/>
    <w:rsid w:val="7D7F7537"/>
    <w:rsid w:val="7D893333"/>
    <w:rsid w:val="7D905F4B"/>
    <w:rsid w:val="7DA1062F"/>
    <w:rsid w:val="7DBD3A5F"/>
    <w:rsid w:val="7DD1510F"/>
    <w:rsid w:val="7DE06894"/>
    <w:rsid w:val="7DE914B2"/>
    <w:rsid w:val="7E262FF6"/>
    <w:rsid w:val="7E2968C4"/>
    <w:rsid w:val="7E6145B6"/>
    <w:rsid w:val="7E7B70C6"/>
    <w:rsid w:val="7E7E1F50"/>
    <w:rsid w:val="7E8B0DC6"/>
    <w:rsid w:val="7E9218B6"/>
    <w:rsid w:val="7E9B0B59"/>
    <w:rsid w:val="7EA00686"/>
    <w:rsid w:val="7EA47B56"/>
    <w:rsid w:val="7EC438E8"/>
    <w:rsid w:val="7ECE53CB"/>
    <w:rsid w:val="7EEC7280"/>
    <w:rsid w:val="7EFE16F5"/>
    <w:rsid w:val="7F1E0F41"/>
    <w:rsid w:val="7F2B02F3"/>
    <w:rsid w:val="7F435D76"/>
    <w:rsid w:val="7F4B6856"/>
    <w:rsid w:val="7F4E7925"/>
    <w:rsid w:val="7F5A516C"/>
    <w:rsid w:val="7F5F5AE6"/>
    <w:rsid w:val="7F5F6EE2"/>
    <w:rsid w:val="7F697A27"/>
    <w:rsid w:val="7F722E10"/>
    <w:rsid w:val="7F9733CB"/>
    <w:rsid w:val="7F9F23E4"/>
    <w:rsid w:val="7FA65CB1"/>
    <w:rsid w:val="7FAB7717"/>
    <w:rsid w:val="7FB33502"/>
    <w:rsid w:val="7FC34A00"/>
    <w:rsid w:val="7FEE10D1"/>
    <w:rsid w:val="7FF65FB4"/>
    <w:rsid w:val="EF3CE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qFormat="1" w:unhideWhenUsed="0" w:uiPriority="0" w:semiHidden="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99"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line="400" w:lineRule="exact"/>
      <w:outlineLvl w:val="0"/>
    </w:pPr>
    <w:rPr>
      <w:b/>
      <w:kern w:val="0"/>
      <w:sz w:val="44"/>
    </w:rPr>
  </w:style>
  <w:style w:type="paragraph" w:styleId="3">
    <w:name w:val="heading 2"/>
    <w:basedOn w:val="1"/>
    <w:next w:val="1"/>
    <w:autoRedefine/>
    <w:unhideWhenUsed/>
    <w:qFormat/>
    <w:uiPriority w:val="0"/>
    <w:pPr>
      <w:keepNext/>
      <w:keepLines/>
      <w:spacing w:line="415"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line="415" w:lineRule="auto"/>
      <w:outlineLvl w:val="2"/>
    </w:pPr>
    <w:rPr>
      <w:rFonts w:ascii="Times New Roman" w:hAnsi="Times New Roman" w:eastAsia="仿宋_GB2312"/>
      <w:b/>
      <w:sz w:val="28"/>
    </w:rPr>
  </w:style>
  <w:style w:type="paragraph" w:styleId="5">
    <w:name w:val="heading 4"/>
    <w:basedOn w:val="1"/>
    <w:next w:val="1"/>
    <w:unhideWhenUsed/>
    <w:qFormat/>
    <w:uiPriority w:val="0"/>
    <w:pPr>
      <w:keepNext/>
      <w:keepLines/>
      <w:spacing w:line="360" w:lineRule="auto"/>
      <w:outlineLvl w:val="3"/>
    </w:pPr>
    <w:rPr>
      <w:rFonts w:ascii="Arial" w:hAnsi="Arial"/>
      <w:b/>
      <w:bCs/>
      <w:szCs w:val="28"/>
    </w:rPr>
  </w:style>
  <w:style w:type="paragraph" w:styleId="6">
    <w:name w:val="heading 5"/>
    <w:basedOn w:val="1"/>
    <w:next w:val="1"/>
    <w:autoRedefine/>
    <w:unhideWhenUsed/>
    <w:qFormat/>
    <w:uiPriority w:val="0"/>
    <w:pPr>
      <w:keepNext/>
      <w:keepLines/>
      <w:spacing w:before="280" w:after="290" w:line="376" w:lineRule="auto"/>
      <w:outlineLvl w:val="4"/>
    </w:pPr>
    <w:rPr>
      <w:b/>
      <w:bCs/>
      <w:sz w:val="28"/>
      <w:szCs w:val="28"/>
    </w:rPr>
  </w:style>
  <w:style w:type="paragraph" w:styleId="7">
    <w:name w:val="heading 7"/>
    <w:basedOn w:val="1"/>
    <w:next w:val="1"/>
    <w:autoRedefine/>
    <w:qFormat/>
    <w:uiPriority w:val="1"/>
    <w:pPr>
      <w:ind w:left="398"/>
      <w:outlineLvl w:val="6"/>
    </w:pPr>
    <w:rPr>
      <w:rFonts w:ascii="宋体" w:hAnsi="宋体" w:eastAsia="宋体" w:cs="宋体"/>
      <w:b/>
      <w:bCs/>
      <w:sz w:val="28"/>
      <w:szCs w:val="28"/>
      <w:lang w:val="zh-CN" w:bidi="zh-CN"/>
    </w:rPr>
  </w:style>
  <w:style w:type="paragraph" w:styleId="8">
    <w:name w:val="heading 9"/>
    <w:basedOn w:val="1"/>
    <w:next w:val="1"/>
    <w:autoRedefine/>
    <w:qFormat/>
    <w:uiPriority w:val="1"/>
    <w:pPr>
      <w:ind w:left="398"/>
      <w:outlineLvl w:val="8"/>
    </w:pPr>
    <w:rPr>
      <w:rFonts w:ascii="宋体" w:hAnsi="宋体" w:eastAsia="宋体" w:cs="宋体"/>
      <w:b/>
      <w:bCs/>
      <w:szCs w:val="21"/>
      <w:lang w:val="zh-CN" w:bidi="zh-CN"/>
    </w:rPr>
  </w:style>
  <w:style w:type="character" w:default="1" w:styleId="29">
    <w:name w:val="Default Paragraph Font"/>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9">
    <w:name w:val="Normal Indent"/>
    <w:basedOn w:val="1"/>
    <w:autoRedefine/>
    <w:qFormat/>
    <w:uiPriority w:val="99"/>
    <w:pPr>
      <w:ind w:firstLine="420"/>
    </w:pPr>
    <w:rPr>
      <w:sz w:val="20"/>
      <w:szCs w:val="20"/>
    </w:rPr>
  </w:style>
  <w:style w:type="paragraph" w:styleId="10">
    <w:name w:val="Document Map"/>
    <w:basedOn w:val="1"/>
    <w:link w:val="56"/>
    <w:autoRedefine/>
    <w:qFormat/>
    <w:uiPriority w:val="0"/>
    <w:rPr>
      <w:rFonts w:ascii="宋体" w:eastAsia="宋体"/>
      <w:sz w:val="18"/>
      <w:szCs w:val="18"/>
    </w:rPr>
  </w:style>
  <w:style w:type="paragraph" w:styleId="11">
    <w:name w:val="annotation text"/>
    <w:basedOn w:val="1"/>
    <w:autoRedefine/>
    <w:qFormat/>
    <w:uiPriority w:val="0"/>
  </w:style>
  <w:style w:type="paragraph" w:styleId="12">
    <w:name w:val="Body Text"/>
    <w:basedOn w:val="1"/>
    <w:autoRedefine/>
    <w:qFormat/>
    <w:uiPriority w:val="0"/>
    <w:pPr>
      <w:autoSpaceDE w:val="0"/>
      <w:autoSpaceDN w:val="0"/>
      <w:adjustRightInd w:val="0"/>
      <w:spacing w:line="360" w:lineRule="exact"/>
    </w:pPr>
    <w:rPr>
      <w:rFonts w:ascii="方正仿宋简体" w:eastAsia="方正仿宋简体"/>
      <w:color w:val="000000"/>
      <w:kern w:val="0"/>
      <w:sz w:val="28"/>
    </w:rPr>
  </w:style>
  <w:style w:type="paragraph" w:styleId="13">
    <w:name w:val="Body Text Indent"/>
    <w:basedOn w:val="1"/>
    <w:autoRedefine/>
    <w:qFormat/>
    <w:uiPriority w:val="0"/>
    <w:pPr>
      <w:autoSpaceDE w:val="0"/>
      <w:autoSpaceDN w:val="0"/>
      <w:adjustRightInd w:val="0"/>
      <w:ind w:firstLine="645"/>
    </w:pPr>
    <w:rPr>
      <w:rFonts w:ascii="方正仿宋简体" w:eastAsia="方正仿宋简体"/>
      <w:color w:val="000000"/>
      <w:kern w:val="0"/>
      <w:sz w:val="30"/>
    </w:rPr>
  </w:style>
  <w:style w:type="paragraph" w:styleId="14">
    <w:name w:val="toc 3"/>
    <w:basedOn w:val="1"/>
    <w:next w:val="1"/>
    <w:autoRedefine/>
    <w:qFormat/>
    <w:uiPriority w:val="0"/>
    <w:pPr>
      <w:tabs>
        <w:tab w:val="right" w:leader="dot" w:pos="9060"/>
      </w:tabs>
      <w:spacing w:line="460" w:lineRule="exact"/>
      <w:ind w:firstLine="240" w:firstLineChars="100"/>
    </w:pPr>
    <w:rPr>
      <w:rFonts w:ascii="宋体" w:hAnsi="宋体"/>
      <w:kern w:val="0"/>
      <w:sz w:val="24"/>
    </w:rPr>
  </w:style>
  <w:style w:type="paragraph" w:styleId="15">
    <w:name w:val="Plain Text"/>
    <w:basedOn w:val="1"/>
    <w:link w:val="38"/>
    <w:autoRedefine/>
    <w:qFormat/>
    <w:uiPriority w:val="0"/>
    <w:pPr>
      <w:adjustRightInd w:val="0"/>
      <w:spacing w:line="312" w:lineRule="atLeast"/>
      <w:textAlignment w:val="baseline"/>
    </w:pPr>
    <w:rPr>
      <w:rFonts w:ascii="宋体" w:hAnsi="Courier New" w:eastAsia="宋体"/>
    </w:rPr>
  </w:style>
  <w:style w:type="paragraph" w:styleId="16">
    <w:name w:val="toc 8"/>
    <w:basedOn w:val="1"/>
    <w:next w:val="1"/>
    <w:autoRedefine/>
    <w:qFormat/>
    <w:uiPriority w:val="0"/>
    <w:pPr>
      <w:wordWrap w:val="0"/>
      <w:ind w:left="2550"/>
      <w:jc w:val="both"/>
    </w:pPr>
    <w:rPr>
      <w:rFonts w:ascii="Times New Roman" w:hAnsi="Times New Roman" w:eastAsia="宋体" w:cs="Times New Roman"/>
    </w:rPr>
  </w:style>
  <w:style w:type="paragraph" w:styleId="17">
    <w:name w:val="Date"/>
    <w:basedOn w:val="1"/>
    <w:next w:val="1"/>
    <w:autoRedefine/>
    <w:qFormat/>
    <w:uiPriority w:val="0"/>
    <w:rPr>
      <w:rFonts w:ascii="宋体"/>
      <w:color w:val="000000"/>
      <w:kern w:val="0"/>
      <w:sz w:val="30"/>
    </w:rPr>
  </w:style>
  <w:style w:type="paragraph" w:styleId="18">
    <w:name w:val="Body Text Indent 2"/>
    <w:basedOn w:val="1"/>
    <w:autoRedefine/>
    <w:qFormat/>
    <w:uiPriority w:val="99"/>
    <w:pPr>
      <w:spacing w:after="120" w:line="480" w:lineRule="auto"/>
      <w:ind w:left="420" w:leftChars="200"/>
    </w:pPr>
    <w:rPr>
      <w:sz w:val="24"/>
      <w:szCs w:val="24"/>
    </w:rPr>
  </w:style>
  <w:style w:type="paragraph" w:styleId="19">
    <w:name w:val="Balloon Text"/>
    <w:basedOn w:val="1"/>
    <w:link w:val="52"/>
    <w:autoRedefine/>
    <w:qFormat/>
    <w:uiPriority w:val="0"/>
    <w:rPr>
      <w:sz w:val="18"/>
      <w:szCs w:val="18"/>
    </w:rPr>
  </w:style>
  <w:style w:type="paragraph" w:styleId="20">
    <w:name w:val="footer"/>
    <w:basedOn w:val="1"/>
    <w:link w:val="60"/>
    <w:autoRedefine/>
    <w:qFormat/>
    <w:uiPriority w:val="99"/>
    <w:pPr>
      <w:tabs>
        <w:tab w:val="center" w:pos="4153"/>
        <w:tab w:val="right" w:pos="8306"/>
      </w:tabs>
      <w:snapToGrid w:val="0"/>
    </w:pPr>
    <w:rPr>
      <w:sz w:val="18"/>
    </w:rPr>
  </w:style>
  <w:style w:type="paragraph" w:styleId="2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22">
    <w:name w:val="toc 1"/>
    <w:basedOn w:val="1"/>
    <w:next w:val="1"/>
    <w:autoRedefine/>
    <w:qFormat/>
    <w:uiPriority w:val="39"/>
    <w:pPr>
      <w:tabs>
        <w:tab w:val="right" w:leader="dot" w:pos="9060"/>
      </w:tabs>
      <w:spacing w:line="460" w:lineRule="exact"/>
    </w:pPr>
    <w:rPr>
      <w:b/>
      <w:sz w:val="28"/>
    </w:rPr>
  </w:style>
  <w:style w:type="paragraph" w:styleId="23">
    <w:name w:val="Body Text Indent 3"/>
    <w:basedOn w:val="1"/>
    <w:link w:val="40"/>
    <w:autoRedefine/>
    <w:qFormat/>
    <w:uiPriority w:val="0"/>
    <w:pPr>
      <w:spacing w:after="120"/>
      <w:ind w:left="420" w:leftChars="200"/>
    </w:pPr>
    <w:rPr>
      <w:rFonts w:eastAsia="宋体"/>
      <w:sz w:val="16"/>
      <w:szCs w:val="16"/>
    </w:rPr>
  </w:style>
  <w:style w:type="paragraph" w:styleId="24">
    <w:name w:val="toc 2"/>
    <w:basedOn w:val="1"/>
    <w:next w:val="1"/>
    <w:autoRedefine/>
    <w:qFormat/>
    <w:uiPriority w:val="0"/>
    <w:pPr>
      <w:tabs>
        <w:tab w:val="right" w:leader="dot" w:pos="9060"/>
      </w:tabs>
      <w:ind w:left="210"/>
    </w:pPr>
    <w:rPr>
      <w:rFonts w:ascii="宋体" w:hAnsi="宋体"/>
      <w:smallCaps/>
      <w:kern w:val="0"/>
      <w:sz w:val="24"/>
    </w:rPr>
  </w:style>
  <w:style w:type="paragraph" w:styleId="25">
    <w:name w:val="Normal (Web)"/>
    <w:basedOn w:val="1"/>
    <w:autoRedefine/>
    <w:qFormat/>
    <w:uiPriority w:val="0"/>
    <w:pPr>
      <w:spacing w:beforeAutospacing="1" w:afterAutospacing="1"/>
    </w:pPr>
    <w:rPr>
      <w:kern w:val="0"/>
      <w:sz w:val="24"/>
    </w:rPr>
  </w:style>
  <w:style w:type="paragraph" w:styleId="26">
    <w:name w:val="index 1"/>
    <w:basedOn w:val="1"/>
    <w:next w:val="1"/>
    <w:autoRedefine/>
    <w:qFormat/>
    <w:uiPriority w:val="0"/>
  </w:style>
  <w:style w:type="table" w:styleId="28">
    <w:name w:val="Table Grid"/>
    <w:basedOn w:val="2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page number"/>
    <w:basedOn w:val="29"/>
    <w:autoRedefine/>
    <w:qFormat/>
    <w:uiPriority w:val="0"/>
  </w:style>
  <w:style w:type="character" w:styleId="31">
    <w:name w:val="Hyperlink"/>
    <w:basedOn w:val="29"/>
    <w:autoRedefine/>
    <w:qFormat/>
    <w:uiPriority w:val="99"/>
    <w:rPr>
      <w:color w:val="0000FF"/>
      <w:u w:val="single"/>
    </w:rPr>
  </w:style>
  <w:style w:type="paragraph" w:customStyle="1" w:styleId="32">
    <w:name w:val="font5"/>
    <w:basedOn w:val="1"/>
    <w:next w:val="16"/>
    <w:autoRedefine/>
    <w:qFormat/>
    <w:uiPriority w:val="0"/>
    <w:pPr>
      <w:spacing w:before="280" w:after="280"/>
    </w:pPr>
    <w:rPr>
      <w:rFonts w:ascii="宋体" w:eastAsia="宋体"/>
      <w:sz w:val="18"/>
    </w:rPr>
  </w:style>
  <w:style w:type="paragraph" w:customStyle="1" w:styleId="33">
    <w:name w:val="正文1"/>
    <w:basedOn w:val="1"/>
    <w:autoRedefine/>
    <w:qFormat/>
    <w:uiPriority w:val="0"/>
    <w:pPr>
      <w:adjustRightInd w:val="0"/>
      <w:spacing w:line="318" w:lineRule="atLeast"/>
      <w:ind w:left="369" w:firstLine="369"/>
      <w:textAlignment w:val="baseline"/>
    </w:pPr>
    <w:rPr>
      <w:szCs w:val="20"/>
    </w:rPr>
  </w:style>
  <w:style w:type="paragraph" w:styleId="34">
    <w:name w:val="Quote"/>
    <w:basedOn w:val="1"/>
    <w:next w:val="1"/>
    <w:autoRedefine/>
    <w:qFormat/>
    <w:uiPriority w:val="0"/>
    <w:rPr>
      <w:i/>
      <w:iCs/>
    </w:rPr>
  </w:style>
  <w:style w:type="paragraph" w:customStyle="1" w:styleId="35">
    <w:name w:val="表格文字"/>
    <w:basedOn w:val="1"/>
    <w:autoRedefine/>
    <w:qFormat/>
    <w:uiPriority w:val="99"/>
    <w:pPr>
      <w:spacing w:before="25" w:after="25"/>
    </w:pPr>
    <w:rPr>
      <w:bCs/>
      <w:spacing w:val="10"/>
      <w:kern w:val="0"/>
      <w:sz w:val="24"/>
    </w:rPr>
  </w:style>
  <w:style w:type="paragraph" w:customStyle="1" w:styleId="36">
    <w:name w:val="TOC 标题1"/>
    <w:basedOn w:val="2"/>
    <w:next w:val="1"/>
    <w:autoRedefine/>
    <w:qFormat/>
    <w:uiPriority w:val="39"/>
    <w:pPr>
      <w:spacing w:before="480" w:line="276" w:lineRule="auto"/>
      <w:outlineLvl w:val="9"/>
    </w:pPr>
    <w:rPr>
      <w:rFonts w:ascii="仿宋" w:hAnsi="仿宋" w:eastAsia="仿宋"/>
      <w:sz w:val="32"/>
      <w:szCs w:val="32"/>
    </w:rPr>
  </w:style>
  <w:style w:type="paragraph" w:customStyle="1" w:styleId="37">
    <w:name w:val="批注框文本 Char Char"/>
    <w:basedOn w:val="1"/>
    <w:autoRedefine/>
    <w:qFormat/>
    <w:uiPriority w:val="0"/>
    <w:rPr>
      <w:sz w:val="18"/>
    </w:rPr>
  </w:style>
  <w:style w:type="character" w:customStyle="1" w:styleId="38">
    <w:name w:val="纯文本 Char"/>
    <w:link w:val="15"/>
    <w:autoRedefine/>
    <w:qFormat/>
    <w:locked/>
    <w:uiPriority w:val="0"/>
    <w:rPr>
      <w:rFonts w:ascii="宋体" w:hAnsi="Courier New" w:eastAsia="宋体"/>
      <w:kern w:val="2"/>
      <w:sz w:val="21"/>
      <w:szCs w:val="22"/>
    </w:rPr>
  </w:style>
  <w:style w:type="character" w:customStyle="1" w:styleId="39">
    <w:name w:val="正文文本缩进 3 Char"/>
    <w:autoRedefine/>
    <w:qFormat/>
    <w:uiPriority w:val="0"/>
    <w:rPr>
      <w:rFonts w:eastAsia="宋体"/>
      <w:kern w:val="2"/>
      <w:sz w:val="16"/>
      <w:szCs w:val="16"/>
    </w:rPr>
  </w:style>
  <w:style w:type="character" w:customStyle="1" w:styleId="40">
    <w:name w:val="正文文本缩进 3 Char1"/>
    <w:basedOn w:val="29"/>
    <w:link w:val="23"/>
    <w:autoRedefine/>
    <w:qFormat/>
    <w:uiPriority w:val="0"/>
    <w:rPr>
      <w:kern w:val="2"/>
      <w:sz w:val="16"/>
      <w:szCs w:val="16"/>
    </w:rPr>
  </w:style>
  <w:style w:type="paragraph" w:customStyle="1" w:styleId="41">
    <w:name w:val="Blockquote"/>
    <w:basedOn w:val="1"/>
    <w:autoRedefine/>
    <w:qFormat/>
    <w:uiPriority w:val="0"/>
    <w:pPr>
      <w:autoSpaceDE w:val="0"/>
      <w:autoSpaceDN w:val="0"/>
      <w:adjustRightInd w:val="0"/>
      <w:spacing w:before="100" w:after="100"/>
      <w:ind w:left="360" w:right="360"/>
    </w:pPr>
    <w:rPr>
      <w:kern w:val="0"/>
      <w:sz w:val="24"/>
      <w:szCs w:val="20"/>
    </w:rPr>
  </w:style>
  <w:style w:type="paragraph" w:customStyle="1" w:styleId="42">
    <w:name w:val="_Style 1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Table Paragraph"/>
    <w:basedOn w:val="1"/>
    <w:autoRedefine/>
    <w:qFormat/>
    <w:uiPriority w:val="1"/>
    <w:rPr>
      <w:rFonts w:ascii="宋体" w:hAnsi="宋体" w:eastAsia="宋体" w:cs="宋体"/>
      <w:lang w:val="zh-CN" w:bidi="zh-CN"/>
    </w:rPr>
  </w:style>
  <w:style w:type="paragraph" w:styleId="44">
    <w:name w:val="List Paragraph"/>
    <w:basedOn w:val="1"/>
    <w:autoRedefine/>
    <w:qFormat/>
    <w:uiPriority w:val="1"/>
    <w:pPr>
      <w:ind w:left="758" w:firstLine="480"/>
    </w:pPr>
    <w:rPr>
      <w:rFonts w:ascii="宋体" w:hAnsi="宋体" w:eastAsia="宋体" w:cs="宋体"/>
      <w:lang w:val="zh-CN" w:bidi="zh-CN"/>
    </w:rPr>
  </w:style>
  <w:style w:type="paragraph" w:customStyle="1" w:styleId="45">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46">
    <w:name w:val="WPSOffice手动目录 1"/>
    <w:autoRedefine/>
    <w:qFormat/>
    <w:uiPriority w:val="0"/>
    <w:rPr>
      <w:rFonts w:ascii="Times New Roman" w:hAnsi="Times New Roman" w:eastAsia="宋体" w:cs="Times New Roman"/>
      <w:lang w:val="en-US" w:eastAsia="zh-CN" w:bidi="ar-SA"/>
    </w:rPr>
  </w:style>
  <w:style w:type="paragraph" w:customStyle="1" w:styleId="47">
    <w:name w:val="Normal_0"/>
    <w:autoRedefine/>
    <w:qFormat/>
    <w:uiPriority w:val="0"/>
    <w:pPr>
      <w:widowControl w:val="0"/>
      <w:jc w:val="both"/>
    </w:pPr>
    <w:rPr>
      <w:rFonts w:ascii="Times New Roman" w:hAnsi="Times New Roman" w:eastAsia="Times New Roman" w:cs="Times New Roman"/>
      <w:lang w:val="en-US" w:eastAsia="zh-CN" w:bidi="ar-SA"/>
    </w:rPr>
  </w:style>
  <w:style w:type="paragraph" w:customStyle="1" w:styleId="48">
    <w:name w:val="正文_3"/>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49">
    <w:name w:val="Normal_1"/>
    <w:autoRedefine/>
    <w:qFormat/>
    <w:uiPriority w:val="0"/>
    <w:pPr>
      <w:widowControl w:val="0"/>
      <w:jc w:val="both"/>
    </w:pPr>
    <w:rPr>
      <w:rFonts w:ascii="Times New Roman" w:hAnsi="Times New Roman" w:eastAsia="Times New Roman" w:cs="Times New Roman"/>
      <w:lang w:val="en-US" w:eastAsia="zh-CN" w:bidi="ar-SA"/>
    </w:rPr>
  </w:style>
  <w:style w:type="character" w:customStyle="1" w:styleId="50">
    <w:name w:val="15"/>
    <w:basedOn w:val="29"/>
    <w:autoRedefine/>
    <w:qFormat/>
    <w:uiPriority w:val="0"/>
    <w:rPr>
      <w:rFonts w:hint="default" w:ascii="Times New Roman" w:hAnsi="Times New Roman" w:cs="Times New Roman"/>
    </w:rPr>
  </w:style>
  <w:style w:type="character" w:customStyle="1" w:styleId="51">
    <w:name w:val="10"/>
    <w:basedOn w:val="29"/>
    <w:autoRedefine/>
    <w:qFormat/>
    <w:uiPriority w:val="0"/>
    <w:rPr>
      <w:rFonts w:hint="default" w:ascii="Times New Roman" w:hAnsi="Times New Roman" w:cs="Times New Roman"/>
    </w:rPr>
  </w:style>
  <w:style w:type="character" w:customStyle="1" w:styleId="52">
    <w:name w:val="批注框文本 Char"/>
    <w:basedOn w:val="29"/>
    <w:link w:val="19"/>
    <w:autoRedefine/>
    <w:qFormat/>
    <w:uiPriority w:val="0"/>
    <w:rPr>
      <w:rFonts w:asciiTheme="minorHAnsi" w:hAnsiTheme="minorHAnsi" w:eastAsiaTheme="minorEastAsia" w:cstheme="minorBidi"/>
      <w:kern w:val="2"/>
      <w:sz w:val="18"/>
      <w:szCs w:val="18"/>
    </w:rPr>
  </w:style>
  <w:style w:type="character" w:customStyle="1" w:styleId="53">
    <w:name w:val="NormalCharacter"/>
    <w:autoRedefine/>
    <w:qFormat/>
    <w:uiPriority w:val="0"/>
  </w:style>
  <w:style w:type="table" w:customStyle="1" w:styleId="54">
    <w:name w:val="Table Normal"/>
    <w:autoRedefine/>
    <w:unhideWhenUsed/>
    <w:qFormat/>
    <w:uiPriority w:val="0"/>
    <w:tblPr>
      <w:tblCellMar>
        <w:top w:w="0" w:type="dxa"/>
        <w:left w:w="0" w:type="dxa"/>
        <w:bottom w:w="0" w:type="dxa"/>
        <w:right w:w="0" w:type="dxa"/>
      </w:tblCellMar>
    </w:tblPr>
  </w:style>
  <w:style w:type="paragraph" w:customStyle="1" w:styleId="55">
    <w:name w:val="正文_0"/>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56">
    <w:name w:val="文档结构图 Char"/>
    <w:basedOn w:val="29"/>
    <w:link w:val="10"/>
    <w:autoRedefine/>
    <w:qFormat/>
    <w:uiPriority w:val="0"/>
    <w:rPr>
      <w:rFonts w:ascii="宋体" w:hAnsiTheme="minorHAnsi" w:cstheme="minorBidi"/>
      <w:kern w:val="2"/>
      <w:sz w:val="18"/>
      <w:szCs w:val="18"/>
    </w:rPr>
  </w:style>
  <w:style w:type="paragraph" w:customStyle="1" w:styleId="57">
    <w:name w:val="正文_2"/>
    <w:next w:val="58"/>
    <w:autoRedefine/>
    <w:qFormat/>
    <w:uiPriority w:val="0"/>
    <w:pPr>
      <w:widowControl w:val="0"/>
    </w:pPr>
    <w:rPr>
      <w:rFonts w:ascii="Times New Roman" w:hAnsi="Times New Roman" w:eastAsia="Times New Roman" w:cs="Times New Roman"/>
      <w:color w:val="000000"/>
      <w:sz w:val="24"/>
      <w:szCs w:val="24"/>
      <w:lang w:val="en-US" w:eastAsia="en-US" w:bidi="en-US"/>
    </w:rPr>
  </w:style>
  <w:style w:type="paragraph" w:customStyle="1" w:styleId="58">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table" w:customStyle="1" w:styleId="59">
    <w:name w:val="网格型1"/>
    <w:basedOn w:val="27"/>
    <w:autoRedefine/>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页脚 Char"/>
    <w:basedOn w:val="29"/>
    <w:link w:val="20"/>
    <w:autoRedefine/>
    <w:qFormat/>
    <w:uiPriority w:val="99"/>
    <w:rPr>
      <w:rFonts w:asciiTheme="minorHAnsi" w:hAnsiTheme="minorHAnsi" w:eastAsiaTheme="minorEastAsia" w:cstheme="minorBidi"/>
      <w:kern w:val="2"/>
      <w:sz w:val="18"/>
      <w:szCs w:val="22"/>
    </w:rPr>
  </w:style>
  <w:style w:type="paragraph" w:customStyle="1" w:styleId="61">
    <w:name w:val="1"/>
    <w:basedOn w:val="1"/>
    <w:next w:val="15"/>
    <w:autoRedefine/>
    <w:qFormat/>
    <w:uiPriority w:val="0"/>
    <w:rPr>
      <w:rFonts w:ascii="宋体" w:hAnsi="Courier New"/>
      <w:szCs w:val="20"/>
    </w:rPr>
  </w:style>
  <w:style w:type="paragraph" w:customStyle="1" w:styleId="62">
    <w:name w:val="首行缩进"/>
    <w:basedOn w:val="1"/>
    <w:autoRedefine/>
    <w:qFormat/>
    <w:uiPriority w:val="99"/>
    <w:pPr>
      <w:spacing w:line="360" w:lineRule="auto"/>
      <w:ind w:firstLine="480" w:firstLineChars="200"/>
    </w:pPr>
    <w:rPr>
      <w:rFonts w:ascii="宋体" w:hAnsi="宋体"/>
      <w:sz w:val="24"/>
    </w:rPr>
  </w:style>
  <w:style w:type="paragraph" w:customStyle="1" w:styleId="63">
    <w:name w:val="_Style 3"/>
    <w:basedOn w:val="2"/>
    <w:next w:val="1"/>
    <w:autoRedefine/>
    <w:qFormat/>
    <w:uiPriority w:val="0"/>
    <w:pPr>
      <w:outlineLvl w:val="9"/>
    </w:pPr>
  </w:style>
  <w:style w:type="character" w:customStyle="1" w:styleId="64">
    <w:name w:val="16"/>
    <w:basedOn w:val="29"/>
    <w:autoRedefine/>
    <w:qFormat/>
    <w:uiPriority w:val="0"/>
    <w:rPr>
      <w:rFonts w:hint="default" w:ascii="Times New Roman" w:hAnsi="Times New Roman" w:cs="Times New Roman"/>
      <w:color w:val="575656"/>
    </w:rPr>
  </w:style>
  <w:style w:type="paragraph" w:customStyle="1" w:styleId="65">
    <w:name w:val="Table Text"/>
    <w:basedOn w:val="1"/>
    <w:autoRedefine/>
    <w:semiHidden/>
    <w:qFormat/>
    <w:uiPriority w:val="0"/>
    <w:pPr>
      <w:kinsoku w:val="0"/>
      <w:autoSpaceDE w:val="0"/>
      <w:autoSpaceDN w:val="0"/>
      <w:adjustRightInd w:val="0"/>
      <w:snapToGrid w:val="0"/>
      <w:textAlignment w:val="baseline"/>
    </w:pPr>
    <w:rPr>
      <w:rFonts w:ascii="宋体" w:hAnsi="宋体" w:eastAsia="宋体" w:cs="宋体"/>
      <w:snapToGrid w:val="0"/>
      <w:color w:val="000000"/>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Company>
  <Pages>97</Pages>
  <Words>18708</Words>
  <Characters>20099</Characters>
  <Lines>448</Lines>
  <Paragraphs>126</Paragraphs>
  <TotalTime>0</TotalTime>
  <ScaleCrop>false</ScaleCrop>
  <LinksUpToDate>false</LinksUpToDate>
  <CharactersWithSpaces>21270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2024-05-19T06:51:00Z</dcterms:created>
  <dc:creator>Administrator</dc:creator>
  <cp:lastModifiedBy>Administrator</cp:lastModifiedBy>
  <cp:lastPrinted>2023-09-07T00:59:00Z</cp:lastPrinted>
  <dcterms:modified xsi:type="dcterms:W3CDTF">2026-09-14T09:51:04Z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6A9F307DEBB64E07A91F974DD38832C2_13</vt:lpwstr>
  </property>
  <property fmtid="{D5CDD505-2E9C-101B-9397-08002B2CF9AE}" pid="4" name="KSOTemplateDocerSaveRecord">
    <vt:lpwstr>eyJoZGlkIjoiODdjYzQ0OTY1NTFmMGYyNzJkNWNjMWFhOTEzY2M0ZDciLCJ1c2VySWQiOiIxMDQyNTk0NjY2In0=</vt:lpwstr>
  </property>
</Properties>
</file>