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F7C73">
      <w:pPr>
        <w:pStyle w:val="16"/>
        <w:shd w:val="clear"/>
        <w:rPr>
          <w:rFonts w:hint="eastAsia" w:ascii="宋体" w:hAnsi="宋体" w:eastAsia="宋体" w:cs="宋体"/>
        </w:rPr>
      </w:pPr>
    </w:p>
    <w:tbl>
      <w:tblPr>
        <w:tblStyle w:val="9"/>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14:paraId="54CB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35" w:type="dxa"/>
            <w:tcBorders>
              <w:top w:val="nil"/>
              <w:left w:val="nil"/>
              <w:bottom w:val="nil"/>
              <w:right w:val="nil"/>
            </w:tcBorders>
          </w:tcPr>
          <w:p w14:paraId="261947F9">
            <w:pPr>
              <w:pStyle w:val="16"/>
              <w:shd w:val="clear"/>
              <w:jc w:val="both"/>
              <w:rPr>
                <w:rFonts w:hint="eastAsia" w:ascii="宋体" w:hAnsi="宋体" w:eastAsia="宋体" w:cs="宋体"/>
                <w:color w:val="000000"/>
              </w:rPr>
            </w:pPr>
            <w:r>
              <w:rPr>
                <w:rFonts w:hint="eastAsia" w:ascii="宋体" w:hAnsi="宋体" w:eastAsia="宋体" w:cs="宋体"/>
                <w:b/>
                <w:color w:val="auto"/>
                <w:sz w:val="66"/>
                <w:szCs w:val="66"/>
                <w:lang w:eastAsia="zh-CN"/>
              </w:rPr>
              <w:drawing>
                <wp:anchor distT="0" distB="0" distL="114300" distR="114300" simplePos="0" relativeHeight="251659264" behindDoc="1" locked="0" layoutInCell="1" allowOverlap="1">
                  <wp:simplePos x="0" y="0"/>
                  <wp:positionH relativeFrom="column">
                    <wp:posOffset>1739900</wp:posOffset>
                  </wp:positionH>
                  <wp:positionV relativeFrom="paragraph">
                    <wp:posOffset>88900</wp:posOffset>
                  </wp:positionV>
                  <wp:extent cx="2196465" cy="1621790"/>
                  <wp:effectExtent l="0" t="0" r="13335" b="16510"/>
                  <wp:wrapTight wrapText="bothSides">
                    <wp:wrapPolygon>
                      <wp:start x="0" y="0"/>
                      <wp:lineTo x="0" y="21312"/>
                      <wp:lineTo x="21356" y="21312"/>
                      <wp:lineTo x="21356" y="0"/>
                      <wp:lineTo x="0" y="0"/>
                    </wp:wrapPolygon>
                  </wp:wrapTight>
                  <wp:docPr id="3" name="图片 15" descr="637e310d1b4ee9e51ae7f29781ed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descr="637e310d1b4ee9e51ae7f29781edcc0"/>
                          <pic:cNvPicPr>
                            <a:picLocks noChangeAspect="1"/>
                          </pic:cNvPicPr>
                        </pic:nvPicPr>
                        <pic:blipFill>
                          <a:blip r:embed="rId44"/>
                          <a:stretch>
                            <a:fillRect/>
                          </a:stretch>
                        </pic:blipFill>
                        <pic:spPr>
                          <a:xfrm>
                            <a:off x="0" y="0"/>
                            <a:ext cx="2196465" cy="1621790"/>
                          </a:xfrm>
                          <a:prstGeom prst="rect">
                            <a:avLst/>
                          </a:prstGeom>
                          <a:noFill/>
                          <a:ln>
                            <a:noFill/>
                          </a:ln>
                        </pic:spPr>
                      </pic:pic>
                    </a:graphicData>
                  </a:graphic>
                </wp:anchor>
              </w:drawing>
            </w:r>
          </w:p>
          <w:p w14:paraId="5A00A90C">
            <w:pPr>
              <w:pStyle w:val="16"/>
              <w:shd w:val="clear"/>
              <w:rPr>
                <w:rFonts w:hint="eastAsia" w:ascii="宋体" w:hAnsi="宋体" w:eastAsia="宋体" w:cs="宋体"/>
                <w:b/>
                <w:color w:val="000000"/>
              </w:rPr>
            </w:pPr>
          </w:p>
          <w:p w14:paraId="4B1AFAB9">
            <w:pPr>
              <w:pStyle w:val="16"/>
              <w:shd w:val="clear"/>
              <w:rPr>
                <w:rFonts w:hint="eastAsia" w:ascii="宋体" w:hAnsi="宋体" w:eastAsia="宋体" w:cs="宋体"/>
                <w:b/>
                <w:color w:val="000000"/>
              </w:rPr>
            </w:pPr>
          </w:p>
          <w:p w14:paraId="079B1507">
            <w:pPr>
              <w:pStyle w:val="16"/>
              <w:shd w:val="clear"/>
              <w:jc w:val="both"/>
              <w:rPr>
                <w:rFonts w:hint="eastAsia" w:ascii="宋体" w:hAnsi="宋体" w:eastAsia="宋体" w:cs="宋体"/>
                <w:b/>
                <w:color w:val="000000"/>
                <w:sz w:val="18"/>
                <w:szCs w:val="18"/>
              </w:rPr>
            </w:pPr>
          </w:p>
        </w:tc>
      </w:tr>
      <w:tr w14:paraId="6885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9135" w:type="dxa"/>
            <w:tcBorders>
              <w:top w:val="nil"/>
              <w:left w:val="nil"/>
              <w:bottom w:val="nil"/>
              <w:right w:val="nil"/>
            </w:tcBorders>
            <w:vAlign w:val="center"/>
          </w:tcPr>
          <w:p w14:paraId="76C9B11F">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44"/>
              </w:rPr>
            </w:pPr>
            <w:r>
              <w:rPr>
                <w:rFonts w:hint="eastAsia" w:ascii="宋体" w:hAnsi="宋体" w:eastAsia="宋体" w:cs="宋体"/>
                <w:b/>
                <w:color w:val="auto"/>
                <w:sz w:val="66"/>
                <w:szCs w:val="66"/>
                <w:highlight w:val="none"/>
                <w:lang w:val="en-US" w:eastAsia="zh-CN"/>
              </w:rPr>
              <w:t>广西辉腾</w:t>
            </w:r>
            <w:r>
              <w:rPr>
                <w:rFonts w:hint="eastAsia" w:ascii="宋体" w:hAnsi="宋体" w:eastAsia="宋体" w:cs="宋体"/>
                <w:b/>
                <w:color w:val="auto"/>
                <w:sz w:val="66"/>
                <w:szCs w:val="66"/>
                <w:highlight w:val="none"/>
              </w:rPr>
              <w:t>工程管理有限公司</w:t>
            </w:r>
          </w:p>
        </w:tc>
      </w:tr>
      <w:tr w14:paraId="723E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jc w:val="center"/>
        </w:trPr>
        <w:tc>
          <w:tcPr>
            <w:tcW w:w="9135" w:type="dxa"/>
            <w:tcBorders>
              <w:top w:val="nil"/>
              <w:left w:val="nil"/>
              <w:bottom w:val="nil"/>
              <w:right w:val="nil"/>
            </w:tcBorders>
          </w:tcPr>
          <w:p w14:paraId="743FC23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p>
          <w:p w14:paraId="7696A8F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r>
              <w:rPr>
                <w:rFonts w:hint="eastAsia" w:ascii="宋体" w:hAnsi="宋体" w:eastAsia="宋体" w:cs="宋体"/>
                <w:b/>
                <w:color w:val="auto"/>
                <w:sz w:val="66"/>
                <w:szCs w:val="66"/>
                <w:highlight w:val="none"/>
                <w:lang w:val="en-US" w:eastAsia="zh-CN"/>
              </w:rPr>
              <w:t>竞争性磋商文件</w:t>
            </w:r>
          </w:p>
          <w:p w14:paraId="3CE018A9">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p>
          <w:p w14:paraId="0E7C9AF5">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r>
              <w:rPr>
                <w:rFonts w:hint="eastAsia" w:ascii="宋体" w:hAnsi="宋体" w:eastAsia="宋体" w:cs="宋体"/>
                <w:b/>
                <w:color w:val="auto"/>
                <w:sz w:val="36"/>
                <w:szCs w:val="36"/>
                <w:highlight w:val="none"/>
                <w:lang w:val="en-US" w:eastAsia="zh-CN"/>
              </w:rPr>
              <w:t>（全流程电子化采购-远程异地评标）</w:t>
            </w:r>
          </w:p>
        </w:tc>
      </w:tr>
      <w:tr w14:paraId="0F97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135" w:type="dxa"/>
            <w:tcBorders>
              <w:top w:val="nil"/>
              <w:left w:val="nil"/>
              <w:bottom w:val="nil"/>
              <w:right w:val="nil"/>
            </w:tcBorders>
            <w:vAlign w:val="center"/>
          </w:tcPr>
          <w:p w14:paraId="01A3E38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项目名称：知识产权保护（快维）中心信息化建设项目</w:t>
            </w:r>
          </w:p>
        </w:tc>
      </w:tr>
      <w:tr w14:paraId="1321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135" w:type="dxa"/>
            <w:tcBorders>
              <w:top w:val="nil"/>
              <w:left w:val="nil"/>
              <w:bottom w:val="nil"/>
              <w:right w:val="nil"/>
            </w:tcBorders>
            <w:vAlign w:val="center"/>
          </w:tcPr>
          <w:p w14:paraId="450DA345">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项目编号：WZZC2026-C3-220104-GXHT</w:t>
            </w:r>
          </w:p>
        </w:tc>
      </w:tr>
      <w:tr w14:paraId="3D1E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135" w:type="dxa"/>
            <w:tcBorders>
              <w:top w:val="nil"/>
              <w:left w:val="nil"/>
              <w:bottom w:val="nil"/>
              <w:right w:val="nil"/>
            </w:tcBorders>
            <w:vAlign w:val="center"/>
          </w:tcPr>
          <w:p w14:paraId="3C6EC34B">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采 购 人：藤县市场监督管理局</w:t>
            </w:r>
          </w:p>
        </w:tc>
      </w:tr>
      <w:tr w14:paraId="1EBD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135" w:type="dxa"/>
            <w:tcBorders>
              <w:top w:val="nil"/>
              <w:left w:val="nil"/>
              <w:bottom w:val="nil"/>
              <w:right w:val="nil"/>
            </w:tcBorders>
            <w:vAlign w:val="center"/>
          </w:tcPr>
          <w:p w14:paraId="2433838E">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采购代理机构：广西辉腾工程管理有限公司</w:t>
            </w:r>
          </w:p>
        </w:tc>
      </w:tr>
    </w:tbl>
    <w:p w14:paraId="3448F934">
      <w:pPr>
        <w:shd w:val="clear"/>
        <w:spacing w:line="246" w:lineRule="auto"/>
        <w:rPr>
          <w:rFonts w:hint="eastAsia" w:ascii="宋体" w:hAnsi="宋体" w:eastAsia="宋体" w:cs="宋体"/>
          <w:sz w:val="21"/>
        </w:rPr>
      </w:pPr>
    </w:p>
    <w:p w14:paraId="443D09AA">
      <w:pPr>
        <w:shd w:val="clear"/>
        <w:spacing w:line="246" w:lineRule="auto"/>
        <w:rPr>
          <w:rFonts w:hint="eastAsia" w:ascii="宋体" w:hAnsi="宋体" w:eastAsia="宋体" w:cs="宋体"/>
          <w:sz w:val="21"/>
        </w:rPr>
      </w:pPr>
    </w:p>
    <w:p w14:paraId="448458B3">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r>
        <w:rPr>
          <w:rFonts w:hint="eastAsia" w:ascii="宋体" w:hAnsi="宋体" w:eastAsia="宋体" w:cs="宋体"/>
          <w:b/>
          <w:color w:val="auto"/>
          <w:sz w:val="36"/>
          <w:szCs w:val="36"/>
          <w:highlight w:val="none"/>
          <w:lang w:val="en-US" w:eastAsia="zh-CN"/>
        </w:rPr>
        <w:t>2026年 9 月</w:t>
      </w:r>
    </w:p>
    <w:p w14:paraId="6FC04D2C">
      <w:pPr>
        <w:shd w:val="clear"/>
        <w:spacing w:line="247" w:lineRule="auto"/>
        <w:rPr>
          <w:rFonts w:hint="eastAsia" w:ascii="宋体" w:hAnsi="宋体" w:eastAsia="宋体" w:cs="宋体"/>
          <w:sz w:val="21"/>
        </w:rPr>
      </w:pPr>
    </w:p>
    <w:p w14:paraId="1D79E28C">
      <w:pPr>
        <w:shd w:val="clear"/>
        <w:spacing w:line="247" w:lineRule="auto"/>
        <w:rPr>
          <w:rFonts w:hint="eastAsia" w:ascii="宋体" w:hAnsi="宋体" w:eastAsia="宋体" w:cs="宋体"/>
          <w:sz w:val="21"/>
        </w:rPr>
      </w:pPr>
    </w:p>
    <w:p w14:paraId="1601E3C0">
      <w:pPr>
        <w:shd w:val="clear"/>
        <w:spacing w:line="247" w:lineRule="auto"/>
        <w:rPr>
          <w:rFonts w:hint="eastAsia" w:ascii="宋体" w:hAnsi="宋体" w:eastAsia="宋体" w:cs="宋体"/>
          <w:sz w:val="21"/>
        </w:rPr>
        <w:sectPr>
          <w:headerReference r:id="rId5" w:type="default"/>
          <w:footerReference r:id="rId6" w:type="default"/>
          <w:pgSz w:w="11906" w:h="16839"/>
          <w:pgMar w:top="1440" w:right="1080" w:bottom="1440" w:left="1080" w:header="0" w:footer="1200" w:gutter="0"/>
          <w:pgNumType w:fmt="decimal"/>
          <w:cols w:space="720" w:num="1"/>
        </w:sectPr>
      </w:pPr>
    </w:p>
    <w:p w14:paraId="33A52DAE">
      <w:pPr>
        <w:shd w:val="clear"/>
        <w:spacing w:line="247" w:lineRule="auto"/>
        <w:rPr>
          <w:rFonts w:hint="eastAsia" w:ascii="宋体" w:hAnsi="宋体" w:eastAsia="宋体" w:cs="宋体"/>
          <w:sz w:val="21"/>
        </w:rPr>
      </w:pPr>
    </w:p>
    <w:p w14:paraId="5BE83444">
      <w:pPr>
        <w:shd w:val="clear"/>
        <w:spacing w:line="247" w:lineRule="auto"/>
        <w:rPr>
          <w:rFonts w:hint="eastAsia" w:ascii="宋体" w:hAnsi="宋体" w:eastAsia="宋体" w:cs="宋体"/>
          <w:sz w:val="21"/>
        </w:rPr>
      </w:pPr>
    </w:p>
    <w:p w14:paraId="424CE393">
      <w:pPr>
        <w:shd w:val="clear"/>
        <w:spacing w:line="247" w:lineRule="auto"/>
        <w:rPr>
          <w:rFonts w:hint="eastAsia" w:ascii="宋体" w:hAnsi="宋体" w:eastAsia="宋体" w:cs="宋体"/>
          <w:sz w:val="21"/>
        </w:rPr>
      </w:pPr>
    </w:p>
    <w:sdt>
      <w:sdtPr>
        <w:rPr>
          <w:rFonts w:hint="eastAsia" w:ascii="宋体" w:hAnsi="宋体" w:eastAsia="宋体" w:cs="宋体"/>
          <w:snapToGrid w:val="0"/>
          <w:color w:val="000000"/>
          <w:kern w:val="0"/>
          <w:sz w:val="21"/>
          <w:szCs w:val="21"/>
          <w:lang w:val="en-US" w:eastAsia="en-US" w:bidi="ar-SA"/>
        </w:rPr>
        <w:id w:val="147461009"/>
        <w15:color w:val="DBDBDB"/>
        <w:docPartObj>
          <w:docPartGallery w:val="Table of Contents"/>
          <w:docPartUnique/>
        </w:docPartObj>
      </w:sdtPr>
      <w:sdtEndPr>
        <w:rPr>
          <w:rFonts w:hint="eastAsia" w:ascii="宋体" w:hAnsi="宋体" w:eastAsia="宋体" w:cs="宋体"/>
          <w:snapToGrid w:val="0"/>
          <w:color w:val="000000"/>
          <w:kern w:val="0"/>
          <w:sz w:val="21"/>
          <w:szCs w:val="21"/>
          <w:lang w:val="en-US" w:eastAsia="en-US" w:bidi="ar-SA"/>
        </w:rPr>
      </w:sdtEndPr>
      <w:sdtContent>
        <w:p w14:paraId="39CE652F">
          <w:pPr>
            <w:shd w:val="clear"/>
            <w:spacing w:before="0" w:beforeLines="0" w:after="0" w:afterLines="0" w:line="240" w:lineRule="auto"/>
            <w:ind w:left="0" w:leftChars="0" w:right="0" w:rightChars="0" w:firstLine="0" w:firstLineChars="0"/>
            <w:jc w:val="center"/>
            <w:rPr>
              <w:rFonts w:hint="eastAsia" w:ascii="宋体" w:hAnsi="宋体" w:eastAsia="宋体" w:cs="宋体"/>
              <w:sz w:val="44"/>
              <w:szCs w:val="44"/>
            </w:rPr>
          </w:pPr>
          <w:r>
            <w:rPr>
              <w:rFonts w:hint="eastAsia" w:ascii="宋体" w:hAnsi="宋体" w:eastAsia="宋体" w:cs="宋体"/>
              <w:sz w:val="44"/>
              <w:szCs w:val="44"/>
            </w:rPr>
            <w:t>目录</w:t>
          </w:r>
        </w:p>
        <w:p w14:paraId="398EA511">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TOC \o "1-3" \h \u </w:instrText>
          </w:r>
          <w:r>
            <w:rPr>
              <w:rFonts w:hint="eastAsia" w:ascii="宋体" w:hAnsi="宋体" w:eastAsia="宋体" w:cs="宋体"/>
            </w:rPr>
            <w:fldChar w:fldCharType="separate"/>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_Toc3176 </w:instrText>
          </w:r>
          <w:r>
            <w:rPr>
              <w:rFonts w:hint="eastAsia" w:ascii="宋体" w:hAnsi="宋体" w:eastAsia="宋体" w:cs="宋体"/>
              <w:sz w:val="30"/>
              <w:szCs w:val="30"/>
            </w:rPr>
            <w:fldChar w:fldCharType="separate"/>
          </w:r>
          <w:r>
            <w:rPr>
              <w:rFonts w:hint="eastAsia" w:ascii="宋体" w:hAnsi="宋体" w:eastAsia="宋体" w:cs="宋体"/>
              <w:bCs/>
              <w:spacing w:val="-3"/>
              <w:sz w:val="30"/>
              <w:szCs w:val="30"/>
            </w:rPr>
            <w:t>第一章</w:t>
          </w:r>
          <w:r>
            <w:rPr>
              <w:rFonts w:hint="eastAsia" w:ascii="宋体" w:hAnsi="宋体" w:eastAsia="宋体" w:cs="宋体"/>
              <w:spacing w:val="55"/>
              <w:sz w:val="30"/>
              <w:szCs w:val="30"/>
            </w:rPr>
            <w:t xml:space="preserve"> </w:t>
          </w:r>
          <w:r>
            <w:rPr>
              <w:rFonts w:hint="eastAsia" w:ascii="宋体" w:hAnsi="宋体" w:eastAsia="宋体" w:cs="宋体"/>
              <w:bCs/>
              <w:spacing w:val="-3"/>
              <w:sz w:val="30"/>
              <w:szCs w:val="30"/>
            </w:rPr>
            <w:t>竞争性磋商公告</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_Toc3176 \h </w:instrText>
          </w:r>
          <w:r>
            <w:rPr>
              <w:rFonts w:hint="eastAsia" w:ascii="宋体" w:hAnsi="宋体" w:eastAsia="宋体" w:cs="宋体"/>
              <w:sz w:val="30"/>
              <w:szCs w:val="30"/>
            </w:rPr>
            <w:fldChar w:fldCharType="separate"/>
          </w:r>
          <w:r>
            <w:rPr>
              <w:rFonts w:hint="eastAsia" w:ascii="宋体" w:hAnsi="宋体" w:eastAsia="宋体" w:cs="宋体"/>
              <w:sz w:val="30"/>
              <w:szCs w:val="30"/>
            </w:rPr>
            <w:t>2</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32323C20">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_Toc29443 </w:instrText>
          </w:r>
          <w:r>
            <w:rPr>
              <w:rFonts w:hint="eastAsia" w:ascii="宋体" w:hAnsi="宋体" w:eastAsia="宋体" w:cs="宋体"/>
              <w:sz w:val="30"/>
              <w:szCs w:val="30"/>
            </w:rPr>
            <w:fldChar w:fldCharType="separate"/>
          </w:r>
          <w:r>
            <w:rPr>
              <w:rFonts w:hint="eastAsia" w:ascii="宋体" w:hAnsi="宋体" w:eastAsia="宋体" w:cs="宋体"/>
              <w:bCs/>
              <w:spacing w:val="-4"/>
              <w:sz w:val="30"/>
              <w:szCs w:val="30"/>
            </w:rPr>
            <w:t>第二章</w:t>
          </w:r>
          <w:r>
            <w:rPr>
              <w:rFonts w:hint="eastAsia" w:ascii="宋体" w:hAnsi="宋体" w:eastAsia="宋体" w:cs="宋体"/>
              <w:spacing w:val="43"/>
              <w:sz w:val="30"/>
              <w:szCs w:val="30"/>
            </w:rPr>
            <w:t xml:space="preserve"> </w:t>
          </w:r>
          <w:r>
            <w:rPr>
              <w:rFonts w:hint="eastAsia" w:ascii="宋体" w:hAnsi="宋体" w:eastAsia="宋体" w:cs="宋体"/>
              <w:bCs/>
              <w:spacing w:val="-4"/>
              <w:sz w:val="30"/>
              <w:szCs w:val="30"/>
            </w:rPr>
            <w:t>供应商须知</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_Toc29443 \h </w:instrText>
          </w:r>
          <w:r>
            <w:rPr>
              <w:rFonts w:hint="eastAsia" w:ascii="宋体" w:hAnsi="宋体" w:eastAsia="宋体" w:cs="宋体"/>
              <w:sz w:val="30"/>
              <w:szCs w:val="30"/>
            </w:rPr>
            <w:fldChar w:fldCharType="separate"/>
          </w:r>
          <w:r>
            <w:rPr>
              <w:rFonts w:hint="eastAsia" w:ascii="宋体" w:hAnsi="宋体" w:eastAsia="宋体" w:cs="宋体"/>
              <w:sz w:val="30"/>
              <w:szCs w:val="30"/>
            </w:rPr>
            <w:t>5</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37752CBB">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_Toc13924 </w:instrText>
          </w:r>
          <w:r>
            <w:rPr>
              <w:rFonts w:hint="eastAsia" w:ascii="宋体" w:hAnsi="宋体" w:eastAsia="宋体" w:cs="宋体"/>
              <w:sz w:val="30"/>
              <w:szCs w:val="30"/>
            </w:rPr>
            <w:fldChar w:fldCharType="separate"/>
          </w:r>
          <w:r>
            <w:rPr>
              <w:rFonts w:hint="eastAsia" w:ascii="宋体" w:hAnsi="宋体" w:eastAsia="宋体" w:cs="宋体"/>
              <w:bCs/>
              <w:spacing w:val="-6"/>
              <w:sz w:val="30"/>
              <w:szCs w:val="30"/>
            </w:rPr>
            <w:t>第三章</w:t>
          </w:r>
          <w:r>
            <w:rPr>
              <w:rFonts w:hint="eastAsia" w:ascii="宋体" w:hAnsi="宋体" w:eastAsia="宋体" w:cs="宋体"/>
              <w:spacing w:val="48"/>
              <w:sz w:val="30"/>
              <w:szCs w:val="30"/>
            </w:rPr>
            <w:t xml:space="preserve"> </w:t>
          </w:r>
          <w:r>
            <w:rPr>
              <w:rFonts w:hint="eastAsia" w:ascii="宋体" w:hAnsi="宋体" w:eastAsia="宋体" w:cs="宋体"/>
              <w:bCs/>
              <w:spacing w:val="-6"/>
              <w:sz w:val="30"/>
              <w:szCs w:val="30"/>
            </w:rPr>
            <w:t>采购需求</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_Toc13924 \h </w:instrText>
          </w:r>
          <w:r>
            <w:rPr>
              <w:rFonts w:hint="eastAsia" w:ascii="宋体" w:hAnsi="宋体" w:eastAsia="宋体" w:cs="宋体"/>
              <w:sz w:val="30"/>
              <w:szCs w:val="30"/>
            </w:rPr>
            <w:fldChar w:fldCharType="separate"/>
          </w:r>
          <w:r>
            <w:rPr>
              <w:rFonts w:hint="eastAsia" w:ascii="宋体" w:hAnsi="宋体" w:eastAsia="宋体" w:cs="宋体"/>
              <w:sz w:val="30"/>
              <w:szCs w:val="30"/>
            </w:rPr>
            <w:t>28</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1772428C">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_Toc13965 </w:instrText>
          </w:r>
          <w:r>
            <w:rPr>
              <w:rFonts w:hint="eastAsia" w:ascii="宋体" w:hAnsi="宋体" w:eastAsia="宋体" w:cs="宋体"/>
              <w:sz w:val="30"/>
              <w:szCs w:val="30"/>
            </w:rPr>
            <w:fldChar w:fldCharType="separate"/>
          </w:r>
          <w:r>
            <w:rPr>
              <w:rFonts w:hint="eastAsia" w:ascii="宋体" w:hAnsi="宋体" w:eastAsia="宋体" w:cs="宋体"/>
              <w:bCs/>
              <w:spacing w:val="4"/>
              <w:sz w:val="30"/>
              <w:szCs w:val="30"/>
            </w:rPr>
            <w:t>第四章</w:t>
          </w:r>
          <w:r>
            <w:rPr>
              <w:rFonts w:hint="eastAsia" w:ascii="宋体" w:hAnsi="宋体" w:eastAsia="宋体" w:cs="宋体"/>
              <w:spacing w:val="4"/>
              <w:sz w:val="30"/>
              <w:szCs w:val="30"/>
            </w:rPr>
            <w:t xml:space="preserve"> </w:t>
          </w:r>
          <w:r>
            <w:rPr>
              <w:rFonts w:hint="eastAsia" w:ascii="宋体" w:hAnsi="宋体" w:eastAsia="宋体" w:cs="宋体"/>
              <w:bCs/>
              <w:spacing w:val="4"/>
              <w:sz w:val="30"/>
              <w:szCs w:val="30"/>
            </w:rPr>
            <w:t>评审程序、评审方法和评审标准</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_Toc13965 \h </w:instrText>
          </w:r>
          <w:r>
            <w:rPr>
              <w:rFonts w:hint="eastAsia" w:ascii="宋体" w:hAnsi="宋体" w:eastAsia="宋体" w:cs="宋体"/>
              <w:sz w:val="30"/>
              <w:szCs w:val="30"/>
            </w:rPr>
            <w:fldChar w:fldCharType="separate"/>
          </w:r>
          <w:r>
            <w:rPr>
              <w:rFonts w:hint="eastAsia" w:ascii="宋体" w:hAnsi="宋体" w:eastAsia="宋体" w:cs="宋体"/>
              <w:sz w:val="30"/>
              <w:szCs w:val="30"/>
            </w:rPr>
            <w:t>58</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36305EC0">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_Toc19929 </w:instrText>
          </w:r>
          <w:r>
            <w:rPr>
              <w:rFonts w:hint="eastAsia" w:ascii="宋体" w:hAnsi="宋体" w:eastAsia="宋体" w:cs="宋体"/>
              <w:sz w:val="30"/>
              <w:szCs w:val="30"/>
            </w:rPr>
            <w:fldChar w:fldCharType="separate"/>
          </w:r>
          <w:r>
            <w:rPr>
              <w:rFonts w:hint="eastAsia" w:ascii="宋体" w:hAnsi="宋体" w:eastAsia="宋体" w:cs="宋体"/>
              <w:bCs/>
              <w:spacing w:val="-4"/>
              <w:sz w:val="30"/>
              <w:szCs w:val="30"/>
            </w:rPr>
            <w:t>第五章</w:t>
          </w:r>
          <w:r>
            <w:rPr>
              <w:rFonts w:hint="eastAsia" w:ascii="宋体" w:hAnsi="宋体" w:eastAsia="宋体" w:cs="宋体"/>
              <w:spacing w:val="54"/>
              <w:sz w:val="30"/>
              <w:szCs w:val="30"/>
            </w:rPr>
            <w:t xml:space="preserve"> </w:t>
          </w:r>
          <w:r>
            <w:rPr>
              <w:rFonts w:hint="eastAsia" w:ascii="宋体" w:hAnsi="宋体" w:eastAsia="宋体" w:cs="宋体"/>
              <w:bCs/>
              <w:spacing w:val="-4"/>
              <w:sz w:val="30"/>
              <w:szCs w:val="30"/>
            </w:rPr>
            <w:t>响应文件格式</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_Toc19929 \h </w:instrText>
          </w:r>
          <w:r>
            <w:rPr>
              <w:rFonts w:hint="eastAsia" w:ascii="宋体" w:hAnsi="宋体" w:eastAsia="宋体" w:cs="宋体"/>
              <w:sz w:val="30"/>
              <w:szCs w:val="30"/>
            </w:rPr>
            <w:fldChar w:fldCharType="separate"/>
          </w:r>
          <w:r>
            <w:rPr>
              <w:rFonts w:hint="eastAsia" w:ascii="宋体" w:hAnsi="宋体" w:eastAsia="宋体" w:cs="宋体"/>
              <w:sz w:val="30"/>
              <w:szCs w:val="30"/>
            </w:rPr>
            <w:t>69</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19A110C8">
          <w:pPr>
            <w:pStyle w:val="6"/>
            <w:shd w:val="clear"/>
            <w:tabs>
              <w:tab w:val="right" w:leader="dot" w:pos="9746"/>
            </w:tabs>
            <w:spacing w:line="360" w:lineRule="auto"/>
            <w:rPr>
              <w:rFonts w:hint="eastAsia" w:ascii="宋体" w:hAnsi="宋体" w:eastAsia="宋体" w:cs="宋体"/>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_Toc11343 </w:instrText>
          </w:r>
          <w:r>
            <w:rPr>
              <w:rFonts w:hint="eastAsia" w:ascii="宋体" w:hAnsi="宋体" w:eastAsia="宋体" w:cs="宋体"/>
              <w:sz w:val="30"/>
              <w:szCs w:val="30"/>
            </w:rPr>
            <w:fldChar w:fldCharType="separate"/>
          </w:r>
          <w:r>
            <w:rPr>
              <w:rFonts w:hint="eastAsia" w:ascii="宋体" w:hAnsi="宋体" w:eastAsia="宋体" w:cs="宋体"/>
              <w:bCs/>
              <w:spacing w:val="-7"/>
              <w:sz w:val="30"/>
              <w:szCs w:val="30"/>
            </w:rPr>
            <w:t>第六章</w:t>
          </w:r>
          <w:r>
            <w:rPr>
              <w:rFonts w:hint="eastAsia" w:ascii="宋体" w:hAnsi="宋体" w:eastAsia="宋体" w:cs="宋体"/>
              <w:spacing w:val="52"/>
              <w:sz w:val="30"/>
              <w:szCs w:val="30"/>
            </w:rPr>
            <w:t xml:space="preserve"> </w:t>
          </w:r>
          <w:r>
            <w:rPr>
              <w:rFonts w:hint="eastAsia" w:ascii="宋体" w:hAnsi="宋体" w:eastAsia="宋体" w:cs="宋体"/>
              <w:bCs/>
              <w:spacing w:val="-7"/>
              <w:sz w:val="30"/>
              <w:szCs w:val="30"/>
            </w:rPr>
            <w:t>合同文本</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_Toc11343 \h </w:instrText>
          </w:r>
          <w:r>
            <w:rPr>
              <w:rFonts w:hint="eastAsia" w:ascii="宋体" w:hAnsi="宋体" w:eastAsia="宋体" w:cs="宋体"/>
              <w:sz w:val="30"/>
              <w:szCs w:val="30"/>
            </w:rPr>
            <w:fldChar w:fldCharType="separate"/>
          </w:r>
          <w:r>
            <w:rPr>
              <w:rFonts w:hint="eastAsia" w:ascii="宋体" w:hAnsi="宋体" w:eastAsia="宋体" w:cs="宋体"/>
              <w:sz w:val="30"/>
              <w:szCs w:val="30"/>
            </w:rPr>
            <w:t>97</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54C6C682">
          <w:pPr>
            <w:shd w:val="clear"/>
            <w:spacing w:line="222" w:lineRule="auto"/>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rPr>
            <w:fldChar w:fldCharType="end"/>
          </w:r>
        </w:p>
      </w:sdtContent>
    </w:sdt>
    <w:p w14:paraId="44805F1C">
      <w:pPr>
        <w:shd w:val="clear"/>
        <w:spacing w:line="222" w:lineRule="auto"/>
        <w:rPr>
          <w:rFonts w:hint="eastAsia" w:ascii="宋体" w:hAnsi="宋体" w:eastAsia="宋体" w:cs="宋体"/>
          <w:snapToGrid w:val="0"/>
          <w:color w:val="000000"/>
          <w:kern w:val="0"/>
          <w:sz w:val="21"/>
          <w:szCs w:val="21"/>
          <w:lang w:val="en-US" w:eastAsia="en-US" w:bidi="ar-SA"/>
        </w:rPr>
        <w:sectPr>
          <w:footerReference r:id="rId7" w:type="default"/>
          <w:pgSz w:w="11906" w:h="16839"/>
          <w:pgMar w:top="1440" w:right="1080" w:bottom="1440" w:left="1080" w:header="0" w:footer="1200" w:gutter="0"/>
          <w:pgNumType w:fmt="decimal" w:start="1"/>
          <w:cols w:space="720" w:num="1"/>
        </w:sectPr>
      </w:pPr>
    </w:p>
    <w:p w14:paraId="7EDA2322">
      <w:pPr>
        <w:pStyle w:val="3"/>
        <w:shd w:val="clear"/>
        <w:spacing w:before="139" w:line="224" w:lineRule="auto"/>
        <w:ind w:left="2377"/>
        <w:outlineLvl w:val="0"/>
        <w:rPr>
          <w:rFonts w:hint="eastAsia" w:ascii="宋体" w:hAnsi="宋体" w:eastAsia="宋体" w:cs="宋体"/>
          <w:sz w:val="43"/>
          <w:szCs w:val="43"/>
        </w:rPr>
      </w:pPr>
      <w:bookmarkStart w:id="0" w:name="_Toc3176"/>
      <w:r>
        <w:rPr>
          <w:rFonts w:hint="eastAsia" w:ascii="宋体" w:hAnsi="宋体" w:eastAsia="宋体" w:cs="宋体"/>
          <w:b/>
          <w:bCs/>
          <w:spacing w:val="-3"/>
          <w:sz w:val="43"/>
          <w:szCs w:val="43"/>
        </w:rPr>
        <w:t>第一章</w:t>
      </w:r>
      <w:r>
        <w:rPr>
          <w:rFonts w:hint="eastAsia" w:ascii="宋体" w:hAnsi="宋体" w:eastAsia="宋体" w:cs="宋体"/>
          <w:spacing w:val="55"/>
          <w:sz w:val="43"/>
          <w:szCs w:val="43"/>
        </w:rPr>
        <w:t xml:space="preserve"> </w:t>
      </w:r>
      <w:r>
        <w:rPr>
          <w:rFonts w:hint="eastAsia" w:ascii="宋体" w:hAnsi="宋体" w:eastAsia="宋体" w:cs="宋体"/>
          <w:b/>
          <w:bCs/>
          <w:spacing w:val="-3"/>
          <w:sz w:val="43"/>
          <w:szCs w:val="43"/>
        </w:rPr>
        <w:t>竞争性磋商公告</w:t>
      </w:r>
      <w:bookmarkEnd w:id="0"/>
    </w:p>
    <w:p w14:paraId="28EADC63">
      <w:pPr>
        <w:shd w:val="clear"/>
        <w:spacing w:line="347" w:lineRule="auto"/>
        <w:rPr>
          <w:rFonts w:hint="eastAsia" w:ascii="宋体" w:hAnsi="宋体" w:eastAsia="宋体" w:cs="宋体"/>
          <w:sz w:val="21"/>
        </w:rPr>
      </w:pPr>
    </w:p>
    <w:p w14:paraId="4A30FBDF">
      <w:pPr>
        <w:shd w:val="clear"/>
        <w:spacing w:before="112"/>
        <w:rPr>
          <w:rFonts w:hint="eastAsia" w:ascii="宋体" w:hAnsi="宋体" w:eastAsia="宋体" w:cs="宋体"/>
        </w:rPr>
      </w:pPr>
    </w:p>
    <w:tbl>
      <w:tblPr>
        <w:tblStyle w:val="11"/>
        <w:tblW w:w="8952"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52"/>
      </w:tblGrid>
      <w:tr w14:paraId="13C77C4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089" w:hRule="atLeast"/>
          <w:jc w:val="center"/>
        </w:trPr>
        <w:tc>
          <w:tcPr>
            <w:tcW w:w="8952" w:type="dxa"/>
            <w:vAlign w:val="top"/>
          </w:tcPr>
          <w:p w14:paraId="575D7444">
            <w:pPr>
              <w:pStyle w:val="12"/>
              <w:shd w:val="clear"/>
              <w:spacing w:before="217" w:line="222" w:lineRule="auto"/>
              <w:ind w:left="603"/>
              <w:rPr>
                <w:rFonts w:hint="eastAsia" w:ascii="宋体" w:hAnsi="宋体" w:eastAsia="宋体" w:cs="宋体"/>
              </w:rPr>
            </w:pPr>
            <w:r>
              <w:rPr>
                <w:rFonts w:hint="eastAsia" w:ascii="宋体" w:hAnsi="宋体" w:eastAsia="宋体" w:cs="宋体"/>
                <w:spacing w:val="-5"/>
              </w:rPr>
              <w:t>项目概况</w:t>
            </w:r>
          </w:p>
          <w:p w14:paraId="6EC0AC6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rPr>
            </w:pPr>
            <w:r>
              <w:rPr>
                <w:rFonts w:hint="eastAsia"/>
                <w:sz w:val="24"/>
                <w:szCs w:val="24"/>
                <w:lang w:eastAsia="zh-CN"/>
              </w:rPr>
              <w:t>知识产权保护（快维）中心信息化建设项目</w:t>
            </w:r>
            <w:r>
              <w:rPr>
                <w:rFonts w:hint="eastAsia"/>
                <w:sz w:val="24"/>
                <w:szCs w:val="24"/>
              </w:rPr>
              <w:t>的潜在供应商应在广西政府采购云平台（</w:t>
            </w:r>
            <w:r>
              <w:rPr>
                <w:rFonts w:hint="eastAsia"/>
                <w:sz w:val="24"/>
                <w:szCs w:val="24"/>
              </w:rPr>
              <w:fldChar w:fldCharType="begin"/>
            </w:r>
            <w:r>
              <w:rPr>
                <w:rFonts w:hint="eastAsia"/>
                <w:sz w:val="24"/>
                <w:szCs w:val="24"/>
              </w:rPr>
              <w:instrText xml:space="preserve"> HYPERLINK "https://www.gcy.zfcg.gxzf.gov.cn/" </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)获取采购文件，并</w:t>
            </w:r>
            <w:r>
              <w:rPr>
                <w:rFonts w:hint="eastAsia"/>
                <w:color w:val="0000FF"/>
                <w:sz w:val="24"/>
                <w:szCs w:val="24"/>
              </w:rPr>
              <w:t xml:space="preserve">于 2026 年 </w:t>
            </w:r>
            <w:r>
              <w:rPr>
                <w:rFonts w:hint="eastAsia" w:eastAsia="宋体"/>
                <w:color w:val="0000FF"/>
                <w:sz w:val="24"/>
                <w:szCs w:val="24"/>
                <w:lang w:val="en-US" w:eastAsia="zh-CN"/>
              </w:rPr>
              <w:t>10</w:t>
            </w:r>
            <w:r>
              <w:rPr>
                <w:rFonts w:hint="eastAsia"/>
                <w:color w:val="0000FF"/>
                <w:sz w:val="24"/>
                <w:szCs w:val="24"/>
                <w:lang w:val="en-US" w:eastAsia="zh-CN"/>
              </w:rPr>
              <w:t xml:space="preserve">  </w:t>
            </w:r>
            <w:r>
              <w:rPr>
                <w:rFonts w:hint="eastAsia"/>
                <w:color w:val="0000FF"/>
                <w:sz w:val="24"/>
                <w:szCs w:val="24"/>
              </w:rPr>
              <w:t>月</w:t>
            </w:r>
            <w:r>
              <w:rPr>
                <w:rFonts w:hint="eastAsia" w:eastAsia="宋体"/>
                <w:color w:val="0000FF"/>
                <w:sz w:val="24"/>
                <w:szCs w:val="24"/>
                <w:lang w:val="en-US" w:eastAsia="zh-CN"/>
              </w:rPr>
              <w:t xml:space="preserve">  9</w:t>
            </w:r>
            <w:r>
              <w:rPr>
                <w:rFonts w:hint="eastAsia"/>
                <w:color w:val="0000FF"/>
                <w:sz w:val="24"/>
                <w:szCs w:val="24"/>
                <w:lang w:val="en-US" w:eastAsia="zh-CN"/>
              </w:rPr>
              <w:t xml:space="preserve">  </w:t>
            </w:r>
            <w:r>
              <w:rPr>
                <w:rFonts w:hint="eastAsia"/>
                <w:color w:val="0000FF"/>
                <w:sz w:val="24"/>
                <w:szCs w:val="24"/>
              </w:rPr>
              <w:t>日 09:00</w:t>
            </w:r>
            <w:r>
              <w:rPr>
                <w:rFonts w:hint="eastAsia"/>
                <w:sz w:val="24"/>
                <w:szCs w:val="24"/>
              </w:rPr>
              <w:t>（北京时间）前提交响应文件。</w:t>
            </w:r>
          </w:p>
        </w:tc>
      </w:tr>
    </w:tbl>
    <w:p w14:paraId="51B60B5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p>
    <w:p w14:paraId="0BD9803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一、项目基本情况</w:t>
      </w:r>
    </w:p>
    <w:p w14:paraId="1CC4C70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项目编号：WZZC2026-C3-220104-GXHT</w:t>
      </w:r>
    </w:p>
    <w:p w14:paraId="6FF2BD2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项目名称：</w:t>
      </w:r>
      <w:r>
        <w:rPr>
          <w:rFonts w:hint="eastAsia"/>
          <w:sz w:val="24"/>
          <w:szCs w:val="24"/>
          <w:lang w:eastAsia="zh-CN"/>
        </w:rPr>
        <w:t>知识产权保护（快维）中心信息化建设项目</w:t>
      </w:r>
    </w:p>
    <w:p w14:paraId="4524258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采购方式：竞争性磋商</w:t>
      </w:r>
    </w:p>
    <w:p w14:paraId="057A397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采购需求：</w:t>
      </w:r>
    </w:p>
    <w:p w14:paraId="04ACC96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标项名称:</w:t>
      </w:r>
      <w:r>
        <w:rPr>
          <w:rFonts w:hint="eastAsia"/>
          <w:sz w:val="24"/>
          <w:szCs w:val="24"/>
          <w:lang w:eastAsia="zh-CN"/>
        </w:rPr>
        <w:t>知识产权保护（快维）中心信息化建设项目</w:t>
      </w:r>
    </w:p>
    <w:p w14:paraId="4CF1E40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数量:1</w:t>
      </w:r>
    </w:p>
    <w:p w14:paraId="1DE43CE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预算金额（元）</w:t>
      </w:r>
      <w:r>
        <w:rPr>
          <w:rFonts w:hint="eastAsia" w:eastAsia="宋体"/>
          <w:sz w:val="24"/>
          <w:szCs w:val="24"/>
          <w:lang w:eastAsia="zh-CN"/>
        </w:rPr>
        <w:t>：</w:t>
      </w:r>
      <w:r>
        <w:rPr>
          <w:rFonts w:hint="eastAsia"/>
          <w:sz w:val="24"/>
          <w:szCs w:val="24"/>
        </w:rPr>
        <w:t>906218.00</w:t>
      </w:r>
    </w:p>
    <w:p w14:paraId="494B856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简要规格描述或项目基本概况介绍、用途：</w:t>
      </w:r>
      <w:r>
        <w:rPr>
          <w:rFonts w:hint="eastAsia"/>
          <w:sz w:val="24"/>
          <w:szCs w:val="24"/>
          <w:lang w:eastAsia="zh-CN"/>
        </w:rPr>
        <w:t>围绕知识产权快速预审、快速维权、纠纷调处、协同保护、专利检索与政务审批等核心业务，打造集信息化机房、专用网络、受理服务大厅、知识产权展厅、多媒体审理庭于一体的标准化、智能化、安全合规的信息化支撑体系，全面满足知识产权快维中心业务办理、公众服务、案件审理、数据安全、运维管理等全场景需求，保障中心高效、稳定、安全运行，实现知识产权保护服务数字化升级</w:t>
      </w:r>
      <w:r>
        <w:rPr>
          <w:rFonts w:hint="eastAsia"/>
          <w:sz w:val="24"/>
          <w:szCs w:val="24"/>
        </w:rPr>
        <w:t>；具体内容详见竞争性磋商文件。</w:t>
      </w:r>
    </w:p>
    <w:p w14:paraId="67C071F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最高限价（如有）：906218.00元</w:t>
      </w:r>
    </w:p>
    <w:p w14:paraId="7B37EA0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合同履约期限</w:t>
      </w:r>
      <w:r>
        <w:rPr>
          <w:rFonts w:hint="eastAsia" w:eastAsia="宋体"/>
          <w:sz w:val="24"/>
          <w:szCs w:val="24"/>
          <w:lang w:eastAsia="zh-CN"/>
        </w:rPr>
        <w:t>：</w:t>
      </w:r>
      <w:r>
        <w:rPr>
          <w:rFonts w:hint="eastAsia"/>
          <w:sz w:val="24"/>
          <w:szCs w:val="24"/>
          <w:lang w:eastAsia="zh-CN"/>
        </w:rPr>
        <w:t>自签订合同之日起</w:t>
      </w:r>
      <w:r>
        <w:rPr>
          <w:rFonts w:hint="eastAsia"/>
          <w:sz w:val="24"/>
          <w:szCs w:val="24"/>
          <w:lang w:val="en-US" w:eastAsia="zh-CN"/>
        </w:rPr>
        <w:t>6</w:t>
      </w:r>
      <w:r>
        <w:rPr>
          <w:rFonts w:hint="eastAsia"/>
          <w:sz w:val="24"/>
          <w:szCs w:val="24"/>
          <w:lang w:eastAsia="zh-CN"/>
        </w:rPr>
        <w:t>0日内完成设备的安装部署、调试和集成工作。</w:t>
      </w:r>
    </w:p>
    <w:p w14:paraId="61268E0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本标项（否）接受联合体竞标</w:t>
      </w:r>
      <w:r>
        <w:rPr>
          <w:rFonts w:hint="eastAsia"/>
          <w:sz w:val="24"/>
          <w:szCs w:val="24"/>
          <w:lang w:eastAsia="zh-CN"/>
        </w:rPr>
        <w:t>。</w:t>
      </w:r>
    </w:p>
    <w:p w14:paraId="328DAD0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二、申请人的资格要求：</w:t>
      </w:r>
    </w:p>
    <w:p w14:paraId="61117D6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1.满足《中华人民共和国政府采购法》第二十二条规定；</w:t>
      </w:r>
    </w:p>
    <w:p w14:paraId="794078A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2.落实政府采购政策需满足的资格要求：本项目非专门面向中小企业采购的项目。</w:t>
      </w:r>
    </w:p>
    <w:p w14:paraId="43E19BB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3.本项目的特定资格要求：/。</w:t>
      </w:r>
    </w:p>
    <w:p w14:paraId="30BD399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三、获取采购文件</w:t>
      </w:r>
    </w:p>
    <w:p w14:paraId="3CB596E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时间：2026年</w:t>
      </w:r>
      <w:r>
        <w:rPr>
          <w:rFonts w:hint="eastAsia" w:eastAsia="宋体"/>
          <w:sz w:val="24"/>
          <w:szCs w:val="24"/>
          <w:lang w:val="en-US" w:eastAsia="zh-CN"/>
        </w:rPr>
        <w:t xml:space="preserve"> 9  </w:t>
      </w:r>
      <w:r>
        <w:rPr>
          <w:rFonts w:hint="eastAsia"/>
          <w:sz w:val="24"/>
          <w:szCs w:val="24"/>
        </w:rPr>
        <w:t>月</w:t>
      </w:r>
      <w:r>
        <w:rPr>
          <w:rFonts w:hint="eastAsia" w:eastAsia="宋体"/>
          <w:sz w:val="24"/>
          <w:szCs w:val="24"/>
          <w:lang w:val="en-US" w:eastAsia="zh-CN"/>
        </w:rPr>
        <w:t xml:space="preserve"> 7  </w:t>
      </w:r>
      <w:r>
        <w:rPr>
          <w:rFonts w:hint="eastAsia"/>
          <w:sz w:val="24"/>
          <w:szCs w:val="24"/>
        </w:rPr>
        <w:t>日至2026年</w:t>
      </w:r>
      <w:r>
        <w:rPr>
          <w:rFonts w:hint="eastAsia" w:eastAsia="宋体"/>
          <w:sz w:val="24"/>
          <w:szCs w:val="24"/>
          <w:lang w:val="en-US" w:eastAsia="zh-CN"/>
        </w:rPr>
        <w:t>9</w:t>
      </w:r>
      <w:r>
        <w:rPr>
          <w:rFonts w:hint="eastAsia"/>
          <w:sz w:val="24"/>
          <w:szCs w:val="24"/>
        </w:rPr>
        <w:t>月</w:t>
      </w:r>
      <w:r>
        <w:rPr>
          <w:rFonts w:hint="eastAsia" w:eastAsia="宋体"/>
          <w:sz w:val="24"/>
          <w:szCs w:val="24"/>
          <w:lang w:val="en-US" w:eastAsia="zh-CN"/>
        </w:rPr>
        <w:t xml:space="preserve"> 14  </w:t>
      </w:r>
      <w:r>
        <w:rPr>
          <w:rFonts w:hint="eastAsia"/>
          <w:sz w:val="24"/>
          <w:szCs w:val="24"/>
        </w:rPr>
        <w:t>日，每天上午00:00至12:00，下午12:00至23:59（北京时间，法定节假日除外）</w:t>
      </w:r>
    </w:p>
    <w:p w14:paraId="7010896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地点（网址）：广西政府采购云平台（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w:t>
      </w:r>
    </w:p>
    <w:p w14:paraId="57246AE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方式：网上下载。本项目不提供纸质文件，潜在供应商需使用账号登录或者使用CA登录广西政府采购云平台（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4CFE1EF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售价（元）：0</w:t>
      </w:r>
    </w:p>
    <w:p w14:paraId="1DE05DB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四、响应文件提交</w:t>
      </w:r>
    </w:p>
    <w:p w14:paraId="1F3BAFA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截止时间：</w:t>
      </w:r>
      <w:r>
        <w:rPr>
          <w:rFonts w:hint="eastAsia"/>
          <w:color w:val="0000FF"/>
          <w:sz w:val="24"/>
          <w:szCs w:val="24"/>
        </w:rPr>
        <w:t>2026年</w:t>
      </w:r>
      <w:r>
        <w:rPr>
          <w:rFonts w:hint="eastAsia" w:eastAsia="宋体"/>
          <w:color w:val="0000FF"/>
          <w:sz w:val="24"/>
          <w:szCs w:val="24"/>
          <w:lang w:val="en-US" w:eastAsia="zh-CN"/>
        </w:rPr>
        <w:t xml:space="preserve">  10  </w:t>
      </w:r>
      <w:r>
        <w:rPr>
          <w:rFonts w:hint="eastAsia"/>
          <w:color w:val="0000FF"/>
          <w:sz w:val="24"/>
          <w:szCs w:val="24"/>
        </w:rPr>
        <w:t>月</w:t>
      </w:r>
      <w:r>
        <w:rPr>
          <w:rFonts w:hint="eastAsia" w:eastAsia="宋体"/>
          <w:color w:val="0000FF"/>
          <w:sz w:val="24"/>
          <w:szCs w:val="24"/>
          <w:lang w:val="en-US" w:eastAsia="zh-CN"/>
        </w:rPr>
        <w:t xml:space="preserve"> 9  </w:t>
      </w:r>
      <w:r>
        <w:rPr>
          <w:rFonts w:hint="eastAsia"/>
          <w:color w:val="0000FF"/>
          <w:sz w:val="24"/>
          <w:szCs w:val="24"/>
        </w:rPr>
        <w:t>日09:00（</w:t>
      </w:r>
      <w:r>
        <w:rPr>
          <w:rFonts w:hint="eastAsia"/>
          <w:sz w:val="24"/>
          <w:szCs w:val="24"/>
        </w:rPr>
        <w:t>北京时间）</w:t>
      </w:r>
    </w:p>
    <w:p w14:paraId="3D61565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地点（网址）：广西政府采购云平台（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w:t>
      </w:r>
    </w:p>
    <w:p w14:paraId="103F284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b/>
          <w:bCs/>
          <w:sz w:val="24"/>
          <w:szCs w:val="24"/>
        </w:rPr>
        <w:t>五、响应文件开启</w:t>
      </w:r>
    </w:p>
    <w:p w14:paraId="23FF44D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开启时间：</w:t>
      </w:r>
      <w:r>
        <w:rPr>
          <w:rFonts w:hint="eastAsia"/>
          <w:color w:val="0000FF"/>
          <w:sz w:val="24"/>
          <w:szCs w:val="24"/>
        </w:rPr>
        <w:t>2026年</w:t>
      </w:r>
      <w:r>
        <w:rPr>
          <w:rFonts w:hint="eastAsia" w:eastAsia="宋体"/>
          <w:color w:val="0000FF"/>
          <w:sz w:val="24"/>
          <w:szCs w:val="24"/>
          <w:lang w:val="en-US" w:eastAsia="zh-CN"/>
        </w:rPr>
        <w:t xml:space="preserve">   10 </w:t>
      </w:r>
      <w:r>
        <w:rPr>
          <w:rFonts w:hint="eastAsia"/>
          <w:color w:val="0000FF"/>
          <w:sz w:val="24"/>
          <w:szCs w:val="24"/>
        </w:rPr>
        <w:t>月</w:t>
      </w:r>
      <w:r>
        <w:rPr>
          <w:rFonts w:hint="eastAsia" w:eastAsia="宋体"/>
          <w:color w:val="0000FF"/>
          <w:sz w:val="24"/>
          <w:szCs w:val="24"/>
          <w:lang w:val="en-US" w:eastAsia="zh-CN"/>
        </w:rPr>
        <w:t xml:space="preserve"> 9</w:t>
      </w:r>
      <w:r>
        <w:rPr>
          <w:rFonts w:hint="eastAsia" w:eastAsia="宋体"/>
          <w:color w:val="0000FF"/>
          <w:sz w:val="24"/>
          <w:szCs w:val="24"/>
          <w:lang w:val="en-US" w:eastAsia="zh-CN"/>
        </w:rPr>
        <w:t xml:space="preserve">  </w:t>
      </w:r>
      <w:r>
        <w:rPr>
          <w:rFonts w:hint="eastAsia"/>
          <w:color w:val="0000FF"/>
          <w:sz w:val="24"/>
          <w:szCs w:val="24"/>
        </w:rPr>
        <w:t>日09:00</w:t>
      </w:r>
      <w:r>
        <w:rPr>
          <w:rFonts w:hint="eastAsia"/>
          <w:sz w:val="24"/>
          <w:szCs w:val="24"/>
        </w:rPr>
        <w:t>（北京时间）</w:t>
      </w:r>
    </w:p>
    <w:p w14:paraId="06608FC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地点：广西政府采购云平台（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w:t>
      </w:r>
    </w:p>
    <w:p w14:paraId="3AF56F6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b/>
          <w:bCs/>
          <w:sz w:val="24"/>
          <w:szCs w:val="24"/>
        </w:rPr>
        <w:t>六、公告期限</w:t>
      </w:r>
    </w:p>
    <w:p w14:paraId="0DAC4B8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自本公告发布之日起5个工作日。</w:t>
      </w:r>
    </w:p>
    <w:p w14:paraId="103EE95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七、其他补充事宜</w:t>
      </w:r>
    </w:p>
    <w:p w14:paraId="1F32A5F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1.网上查询地址</w:t>
      </w:r>
    </w:p>
    <w:p w14:paraId="7A266AE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fldChar w:fldCharType="begin"/>
      </w:r>
      <w:r>
        <w:rPr>
          <w:rFonts w:hint="eastAsia"/>
          <w:sz w:val="24"/>
          <w:szCs w:val="24"/>
        </w:rPr>
        <w:instrText xml:space="preserve">HYPERLINK"http://www.ccgp.gov.cn"</w:instrText>
      </w:r>
      <w:r>
        <w:rPr>
          <w:rFonts w:hint="eastAsia"/>
          <w:sz w:val="24"/>
          <w:szCs w:val="24"/>
        </w:rPr>
        <w:fldChar w:fldCharType="separate"/>
      </w:r>
      <w:r>
        <w:rPr>
          <w:rFonts w:hint="eastAsia"/>
          <w:sz w:val="24"/>
          <w:szCs w:val="24"/>
        </w:rPr>
        <w:t>http://www.ccgp.gov.cn</w:t>
      </w:r>
      <w:r>
        <w:rPr>
          <w:rFonts w:hint="eastAsia"/>
          <w:sz w:val="24"/>
          <w:szCs w:val="24"/>
        </w:rPr>
        <w:fldChar w:fldCharType="end"/>
      </w:r>
      <w:r>
        <w:rPr>
          <w:rFonts w:hint="eastAsia"/>
          <w:sz w:val="24"/>
          <w:szCs w:val="24"/>
        </w:rPr>
        <w:t>（中国政府采购网）、</w:t>
      </w:r>
      <w:r>
        <w:rPr>
          <w:rFonts w:hint="eastAsia"/>
          <w:sz w:val="24"/>
          <w:szCs w:val="24"/>
        </w:rPr>
        <w:fldChar w:fldCharType="begin"/>
      </w:r>
      <w:r>
        <w:rPr>
          <w:rFonts w:hint="eastAsia"/>
          <w:sz w:val="24"/>
          <w:szCs w:val="24"/>
        </w:rPr>
        <w:instrText xml:space="preserve">HYPERLINK"http://zfcg.gxzf.gov.cn"</w:instrText>
      </w:r>
      <w:r>
        <w:rPr>
          <w:rFonts w:hint="eastAsia"/>
          <w:sz w:val="24"/>
          <w:szCs w:val="24"/>
        </w:rPr>
        <w:fldChar w:fldCharType="separate"/>
      </w:r>
      <w:r>
        <w:rPr>
          <w:rFonts w:hint="eastAsia"/>
          <w:sz w:val="24"/>
          <w:szCs w:val="24"/>
        </w:rPr>
        <w:t>http://zfcg.gxzf.gov.cn</w:t>
      </w:r>
      <w:r>
        <w:rPr>
          <w:rFonts w:hint="eastAsia"/>
          <w:sz w:val="24"/>
          <w:szCs w:val="24"/>
        </w:rPr>
        <w:fldChar w:fldCharType="end"/>
      </w:r>
      <w:r>
        <w:rPr>
          <w:rFonts w:hint="eastAsia"/>
          <w:sz w:val="24"/>
          <w:szCs w:val="24"/>
        </w:rPr>
        <w:t>（广西壮族自治区政府采购网）、</w:t>
      </w:r>
      <w:r>
        <w:rPr>
          <w:rFonts w:hint="eastAsia"/>
          <w:sz w:val="24"/>
          <w:szCs w:val="24"/>
        </w:rPr>
        <w:fldChar w:fldCharType="begin"/>
      </w:r>
      <w:r>
        <w:rPr>
          <w:rFonts w:hint="eastAsia"/>
          <w:sz w:val="24"/>
          <w:szCs w:val="24"/>
        </w:rPr>
        <w:instrText xml:space="preserve">HYPERLINK"http://117.141.250.58:10030/web/cgw/index.ptl"</w:instrText>
      </w:r>
      <w:r>
        <w:rPr>
          <w:rFonts w:hint="eastAsia"/>
          <w:sz w:val="24"/>
          <w:szCs w:val="24"/>
        </w:rPr>
        <w:fldChar w:fldCharType="separate"/>
      </w:r>
      <w:r>
        <w:rPr>
          <w:rFonts w:hint="eastAsia"/>
          <w:sz w:val="24"/>
          <w:szCs w:val="24"/>
        </w:rPr>
        <w:t>http://117.141.250.58:10030/web/cgw/index.ptl</w:t>
      </w:r>
      <w:r>
        <w:rPr>
          <w:rFonts w:hint="eastAsia"/>
          <w:sz w:val="24"/>
          <w:szCs w:val="24"/>
        </w:rPr>
        <w:fldChar w:fldCharType="end"/>
      </w:r>
      <w:r>
        <w:rPr>
          <w:rFonts w:hint="eastAsia"/>
          <w:sz w:val="24"/>
          <w:szCs w:val="24"/>
        </w:rPr>
        <w:t>（梧州市政府采购网）、</w:t>
      </w:r>
      <w:r>
        <w:rPr>
          <w:rFonts w:hint="eastAsia"/>
          <w:sz w:val="24"/>
          <w:szCs w:val="24"/>
        </w:rPr>
        <w:fldChar w:fldCharType="begin"/>
      </w:r>
      <w:r>
        <w:rPr>
          <w:rFonts w:hint="eastAsia"/>
          <w:sz w:val="24"/>
          <w:szCs w:val="24"/>
        </w:rPr>
        <w:instrText xml:space="preserve">HYPERLINK"http://ggzy.jgswj.gxzf.gov.cn/txggzy/"</w:instrText>
      </w:r>
      <w:r>
        <w:rPr>
          <w:rFonts w:hint="eastAsia"/>
          <w:sz w:val="24"/>
          <w:szCs w:val="24"/>
        </w:rPr>
        <w:fldChar w:fldCharType="separate"/>
      </w:r>
      <w:r>
        <w:rPr>
          <w:rFonts w:hint="eastAsia"/>
          <w:sz w:val="24"/>
          <w:szCs w:val="24"/>
        </w:rPr>
        <w:t>http://ggzy.jgswj.gxzf.gov.cn/txggzy/</w:t>
      </w:r>
      <w:r>
        <w:rPr>
          <w:rFonts w:hint="eastAsia"/>
          <w:sz w:val="24"/>
          <w:szCs w:val="24"/>
        </w:rPr>
        <w:fldChar w:fldCharType="end"/>
      </w:r>
      <w:r>
        <w:rPr>
          <w:rFonts w:hint="eastAsia"/>
          <w:sz w:val="24"/>
          <w:szCs w:val="24"/>
        </w:rPr>
        <w:t>（全国公共资源交易平台（广西•藤县）。</w:t>
      </w:r>
    </w:p>
    <w:p w14:paraId="413F7B9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2.本项目需要落实的政府采购政策</w:t>
      </w:r>
    </w:p>
    <w:p w14:paraId="23D1409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（1）政府采购促进中小企业发展。</w:t>
      </w:r>
    </w:p>
    <w:p w14:paraId="0F6A799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（2）政府采购支持采用本国产品的政策。</w:t>
      </w:r>
    </w:p>
    <w:p w14:paraId="44EBBB6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（3）强制采购节能产品；优先采购节能产品、环境标志产品。</w:t>
      </w:r>
    </w:p>
    <w:p w14:paraId="3792BDA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（4）政府采购促进残疾人就业政策。</w:t>
      </w:r>
    </w:p>
    <w:p w14:paraId="1CFE233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（5）政府采购支持监狱企业发展。</w:t>
      </w:r>
    </w:p>
    <w:p w14:paraId="4AB9C2B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3.供应商竞标注意事项</w:t>
      </w:r>
    </w:p>
    <w:p w14:paraId="19CBC0F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本项目为全流程电子化采购项目，通过广西政府采购云平台（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7473EF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平台服务热线95763）。</w:t>
      </w:r>
    </w:p>
    <w:p w14:paraId="1C4937E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（3）CA证书在线解密：首次响应文件开启时，需携带制作响应文件时用来加密的有效数字证书（CA认证）登录广西政府采购云平台电子开标大厅现场按规定时间对加密的响应文件进行解密，否则后果自负。</w:t>
      </w:r>
    </w:p>
    <w:p w14:paraId="2464707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BACB2A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（4）供应商需要在具备有摄像头及语音功能且互联网网络状况良好的电脑登录广西政府采购云平台远程开标大厅参与本次磋商，否则后果自负。</w:t>
      </w:r>
    </w:p>
    <w:p w14:paraId="63991FD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）本项目采用远程异地评标。</w:t>
      </w:r>
    </w:p>
    <w:p w14:paraId="2FED37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八、凡对本次采购提出询问，请按以下方式联系。</w:t>
      </w:r>
    </w:p>
    <w:p w14:paraId="03B7E31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1.采购人信息</w:t>
      </w:r>
    </w:p>
    <w:p w14:paraId="081582C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名称：藤县市场监督管理局</w:t>
      </w:r>
    </w:p>
    <w:p w14:paraId="78F62A1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地址：藤县藤州镇政贤路 7 号</w:t>
      </w:r>
    </w:p>
    <w:p w14:paraId="1FB1331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default" w:eastAsia="宋体"/>
          <w:color w:val="auto"/>
          <w:sz w:val="24"/>
          <w:szCs w:val="24"/>
          <w:lang w:val="en-US" w:eastAsia="zh-CN"/>
        </w:rPr>
      </w:pPr>
      <w:r>
        <w:rPr>
          <w:rFonts w:hint="eastAsia"/>
          <w:color w:val="auto"/>
          <w:sz w:val="24"/>
          <w:szCs w:val="24"/>
        </w:rPr>
        <w:t>项目联系人：</w:t>
      </w:r>
      <w:r>
        <w:rPr>
          <w:rFonts w:hint="eastAsia" w:eastAsia="宋体"/>
          <w:color w:val="auto"/>
          <w:sz w:val="24"/>
          <w:szCs w:val="24"/>
          <w:lang w:val="en-US" w:eastAsia="zh-CN"/>
        </w:rPr>
        <w:t>黄孔华</w:t>
      </w:r>
    </w:p>
    <w:p w14:paraId="6FFAE2B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color w:val="auto"/>
          <w:sz w:val="24"/>
          <w:szCs w:val="24"/>
        </w:rPr>
      </w:pPr>
      <w:r>
        <w:rPr>
          <w:rFonts w:hint="eastAsia"/>
          <w:color w:val="auto"/>
          <w:sz w:val="24"/>
          <w:szCs w:val="24"/>
        </w:rPr>
        <w:t>项目联系方式：0774-7297028</w:t>
      </w:r>
    </w:p>
    <w:p w14:paraId="53A6EB2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2.采购代理机构信息</w:t>
      </w:r>
    </w:p>
    <w:p w14:paraId="0986D91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名称：</w:t>
      </w:r>
      <w:r>
        <w:rPr>
          <w:rFonts w:hint="eastAsia"/>
          <w:sz w:val="24"/>
          <w:szCs w:val="24"/>
          <w:lang w:eastAsia="zh-CN"/>
        </w:rPr>
        <w:t>广西辉腾工程管理有限公司</w:t>
      </w:r>
    </w:p>
    <w:p w14:paraId="28DAA49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地址：</w:t>
      </w:r>
      <w:r>
        <w:rPr>
          <w:rFonts w:hint="eastAsia"/>
          <w:sz w:val="24"/>
          <w:szCs w:val="24"/>
          <w:lang w:eastAsia="zh-CN"/>
        </w:rPr>
        <w:t>藤县藤州镇政贤三街99号</w:t>
      </w:r>
    </w:p>
    <w:p w14:paraId="0C8A42A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val="en-US" w:eastAsia="zh-CN"/>
        </w:rPr>
      </w:pPr>
      <w:r>
        <w:rPr>
          <w:rFonts w:hint="eastAsia"/>
          <w:sz w:val="24"/>
          <w:szCs w:val="24"/>
        </w:rPr>
        <w:t>项目联系人：</w:t>
      </w:r>
      <w:r>
        <w:rPr>
          <w:rFonts w:hint="eastAsia"/>
          <w:sz w:val="24"/>
          <w:szCs w:val="24"/>
          <w:lang w:val="en-US" w:eastAsia="zh-CN"/>
        </w:rPr>
        <w:t>陈艳、黄美华</w:t>
      </w:r>
    </w:p>
    <w:p w14:paraId="30BDBF2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val="en-US" w:eastAsia="zh-CN"/>
        </w:rPr>
      </w:pPr>
      <w:r>
        <w:rPr>
          <w:rFonts w:hint="eastAsia"/>
          <w:sz w:val="24"/>
          <w:szCs w:val="24"/>
        </w:rPr>
        <w:t>项目联系方式：0774-</w:t>
      </w:r>
      <w:r>
        <w:rPr>
          <w:rFonts w:hint="eastAsia"/>
          <w:sz w:val="24"/>
          <w:szCs w:val="24"/>
          <w:lang w:val="en-US" w:eastAsia="zh-CN"/>
        </w:rPr>
        <w:t>2832660</w:t>
      </w:r>
    </w:p>
    <w:p w14:paraId="15AB958E">
      <w:pPr>
        <w:shd w:val="clear"/>
        <w:spacing w:line="265" w:lineRule="auto"/>
        <w:rPr>
          <w:rFonts w:hint="eastAsia" w:ascii="宋体" w:hAnsi="宋体" w:eastAsia="宋体" w:cs="宋体"/>
          <w:sz w:val="21"/>
        </w:rPr>
      </w:pPr>
    </w:p>
    <w:p w14:paraId="20B3D255">
      <w:pPr>
        <w:shd w:val="clear"/>
        <w:spacing w:line="265" w:lineRule="auto"/>
        <w:rPr>
          <w:rFonts w:hint="eastAsia" w:ascii="宋体" w:hAnsi="宋体" w:eastAsia="宋体" w:cs="宋体"/>
          <w:sz w:val="21"/>
        </w:rPr>
      </w:pPr>
    </w:p>
    <w:p w14:paraId="1EA656E2">
      <w:pPr>
        <w:shd w:val="clear"/>
        <w:spacing w:line="265" w:lineRule="auto"/>
        <w:rPr>
          <w:rFonts w:hint="eastAsia" w:ascii="宋体" w:hAnsi="宋体" w:eastAsia="宋体" w:cs="宋体"/>
          <w:sz w:val="21"/>
        </w:rPr>
      </w:pPr>
    </w:p>
    <w:p w14:paraId="543CFD40">
      <w:pPr>
        <w:shd w:val="clear"/>
        <w:spacing w:line="265" w:lineRule="auto"/>
        <w:rPr>
          <w:rFonts w:hint="eastAsia" w:ascii="宋体" w:hAnsi="宋体" w:eastAsia="宋体" w:cs="宋体"/>
          <w:sz w:val="21"/>
        </w:rPr>
      </w:pPr>
    </w:p>
    <w:p w14:paraId="3B1AAD1E">
      <w:pPr>
        <w:shd w:val="clear"/>
        <w:spacing w:line="265" w:lineRule="auto"/>
        <w:rPr>
          <w:rFonts w:hint="eastAsia" w:ascii="宋体" w:hAnsi="宋体" w:eastAsia="宋体" w:cs="宋体"/>
          <w:sz w:val="21"/>
        </w:rPr>
      </w:pPr>
    </w:p>
    <w:p w14:paraId="3C4DFC7E">
      <w:pPr>
        <w:shd w:val="clear"/>
        <w:spacing w:line="265" w:lineRule="auto"/>
        <w:rPr>
          <w:rFonts w:hint="eastAsia" w:ascii="宋体" w:hAnsi="宋体" w:eastAsia="宋体" w:cs="宋体"/>
          <w:sz w:val="21"/>
        </w:rPr>
      </w:pPr>
    </w:p>
    <w:p w14:paraId="24C9B83C">
      <w:pPr>
        <w:pStyle w:val="3"/>
        <w:shd w:val="clear"/>
        <w:spacing w:before="140" w:line="226" w:lineRule="auto"/>
        <w:ind w:left="2626"/>
        <w:outlineLvl w:val="0"/>
        <w:rPr>
          <w:rFonts w:hint="eastAsia" w:ascii="宋体" w:hAnsi="宋体" w:eastAsia="宋体" w:cs="宋体"/>
          <w:sz w:val="43"/>
          <w:szCs w:val="43"/>
        </w:rPr>
      </w:pPr>
      <w:bookmarkStart w:id="1" w:name="bookmark7"/>
      <w:bookmarkEnd w:id="1"/>
      <w:bookmarkStart w:id="2" w:name="_Toc29443"/>
      <w:r>
        <w:rPr>
          <w:rFonts w:hint="eastAsia" w:ascii="宋体" w:hAnsi="宋体" w:eastAsia="宋体" w:cs="宋体"/>
          <w:b/>
          <w:bCs/>
          <w:spacing w:val="-4"/>
          <w:sz w:val="43"/>
          <w:szCs w:val="43"/>
        </w:rPr>
        <w:t>第二章</w:t>
      </w:r>
      <w:r>
        <w:rPr>
          <w:rFonts w:hint="eastAsia" w:ascii="宋体" w:hAnsi="宋体" w:eastAsia="宋体" w:cs="宋体"/>
          <w:spacing w:val="43"/>
          <w:sz w:val="43"/>
          <w:szCs w:val="43"/>
        </w:rPr>
        <w:t xml:space="preserve"> </w:t>
      </w:r>
      <w:r>
        <w:rPr>
          <w:rFonts w:hint="eastAsia" w:ascii="宋体" w:hAnsi="宋体" w:eastAsia="宋体" w:cs="宋体"/>
          <w:b/>
          <w:bCs/>
          <w:spacing w:val="-4"/>
          <w:sz w:val="43"/>
          <w:szCs w:val="43"/>
        </w:rPr>
        <w:t>供应商须知</w:t>
      </w:r>
      <w:bookmarkEnd w:id="2"/>
    </w:p>
    <w:p w14:paraId="2A16E33B">
      <w:pPr>
        <w:shd w:val="clear"/>
        <w:spacing w:line="342" w:lineRule="auto"/>
        <w:rPr>
          <w:rFonts w:hint="eastAsia" w:ascii="宋体" w:hAnsi="宋体" w:eastAsia="宋体" w:cs="宋体"/>
          <w:sz w:val="21"/>
        </w:rPr>
      </w:pPr>
    </w:p>
    <w:p w14:paraId="76F1922B">
      <w:pPr>
        <w:pStyle w:val="3"/>
        <w:shd w:val="clear"/>
        <w:spacing w:before="100" w:line="227" w:lineRule="auto"/>
        <w:ind w:left="3194" w:firstLine="319" w:firstLineChars="100"/>
        <w:jc w:val="both"/>
        <w:rPr>
          <w:rFonts w:hint="eastAsia" w:ascii="宋体" w:hAnsi="宋体" w:eastAsia="宋体" w:cs="宋体"/>
          <w:sz w:val="31"/>
          <w:szCs w:val="31"/>
        </w:rPr>
      </w:pPr>
      <w:r>
        <w:rPr>
          <w:rFonts w:hint="eastAsia" w:ascii="宋体" w:hAnsi="宋体" w:eastAsia="宋体" w:cs="宋体"/>
          <w:b/>
          <w:bCs/>
          <w:spacing w:val="4"/>
          <w:sz w:val="31"/>
          <w:szCs w:val="31"/>
        </w:rPr>
        <w:t>供应商须知前附表</w:t>
      </w:r>
    </w:p>
    <w:p w14:paraId="462652E1">
      <w:pPr>
        <w:shd w:val="clear"/>
        <w:spacing w:before="131"/>
        <w:rPr>
          <w:rFonts w:hint="eastAsia" w:ascii="宋体" w:hAnsi="宋体" w:eastAsia="宋体" w:cs="宋体"/>
        </w:rPr>
      </w:pPr>
    </w:p>
    <w:tbl>
      <w:tblPr>
        <w:tblStyle w:val="11"/>
        <w:tblW w:w="93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6"/>
        <w:gridCol w:w="8313"/>
      </w:tblGrid>
      <w:tr w14:paraId="619D7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1046" w:type="dxa"/>
            <w:vAlign w:val="top"/>
          </w:tcPr>
          <w:p w14:paraId="092A06E1">
            <w:pPr>
              <w:pStyle w:val="12"/>
              <w:keepNext w:val="0"/>
              <w:keepLines w:val="0"/>
              <w:pageBreakBefore w:val="0"/>
              <w:widowControl/>
              <w:shd w:val="clear"/>
              <w:kinsoku w:val="0"/>
              <w:wordWrap/>
              <w:overflowPunct/>
              <w:topLinePunct w:val="0"/>
              <w:autoSpaceDE w:val="0"/>
              <w:autoSpaceDN w:val="0"/>
              <w:bidi w:val="0"/>
              <w:adjustRightInd w:val="0"/>
              <w:snapToGrid w:val="0"/>
              <w:spacing w:before="120" w:line="240" w:lineRule="auto"/>
              <w:ind w:left="151"/>
              <w:textAlignment w:val="baseline"/>
              <w:rPr>
                <w:rFonts w:hint="eastAsia" w:ascii="宋体" w:hAnsi="宋体" w:eastAsia="宋体" w:cs="宋体"/>
                <w:sz w:val="24"/>
                <w:szCs w:val="24"/>
              </w:rPr>
            </w:pPr>
            <w:r>
              <w:rPr>
                <w:rFonts w:hint="eastAsia" w:ascii="宋体" w:hAnsi="宋体" w:eastAsia="宋体" w:cs="宋体"/>
                <w:b/>
                <w:bCs/>
                <w:spacing w:val="-8"/>
                <w:sz w:val="24"/>
                <w:szCs w:val="24"/>
              </w:rPr>
              <w:t>条款号</w:t>
            </w:r>
          </w:p>
        </w:tc>
        <w:tc>
          <w:tcPr>
            <w:tcW w:w="8313" w:type="dxa"/>
            <w:vAlign w:val="top"/>
          </w:tcPr>
          <w:p w14:paraId="30E2657B">
            <w:pPr>
              <w:pStyle w:val="12"/>
              <w:keepNext w:val="0"/>
              <w:keepLines w:val="0"/>
              <w:pageBreakBefore w:val="0"/>
              <w:widowControl/>
              <w:shd w:val="clear"/>
              <w:kinsoku w:val="0"/>
              <w:wordWrap/>
              <w:overflowPunct/>
              <w:topLinePunct w:val="0"/>
              <w:autoSpaceDE w:val="0"/>
              <w:autoSpaceDN w:val="0"/>
              <w:bidi w:val="0"/>
              <w:adjustRightInd w:val="0"/>
              <w:snapToGrid w:val="0"/>
              <w:spacing w:before="120" w:line="240" w:lineRule="auto"/>
              <w:ind w:left="3514"/>
              <w:textAlignment w:val="baseline"/>
              <w:rPr>
                <w:rFonts w:hint="eastAsia" w:ascii="宋体" w:hAnsi="宋体" w:eastAsia="宋体" w:cs="宋体"/>
                <w:sz w:val="24"/>
                <w:szCs w:val="24"/>
              </w:rPr>
            </w:pPr>
            <w:r>
              <w:rPr>
                <w:rFonts w:hint="eastAsia" w:ascii="宋体" w:hAnsi="宋体" w:eastAsia="宋体" w:cs="宋体"/>
                <w:b/>
                <w:bCs/>
                <w:spacing w:val="-26"/>
                <w:sz w:val="24"/>
                <w:szCs w:val="24"/>
              </w:rPr>
              <w:t>内</w:t>
            </w:r>
            <w:r>
              <w:rPr>
                <w:rFonts w:hint="eastAsia" w:ascii="宋体" w:hAnsi="宋体" w:eastAsia="宋体" w:cs="宋体"/>
                <w:spacing w:val="5"/>
                <w:sz w:val="24"/>
                <w:szCs w:val="24"/>
              </w:rPr>
              <w:t xml:space="preserve">    </w:t>
            </w:r>
            <w:r>
              <w:rPr>
                <w:rFonts w:hint="eastAsia" w:ascii="宋体" w:hAnsi="宋体" w:eastAsia="宋体" w:cs="宋体"/>
                <w:b/>
                <w:bCs/>
                <w:spacing w:val="-26"/>
                <w:sz w:val="24"/>
                <w:szCs w:val="24"/>
              </w:rPr>
              <w:t>容</w:t>
            </w:r>
          </w:p>
        </w:tc>
      </w:tr>
      <w:tr w14:paraId="7C6B5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4" w:hRule="atLeast"/>
          <w:jc w:val="center"/>
        </w:trPr>
        <w:tc>
          <w:tcPr>
            <w:tcW w:w="1046" w:type="dxa"/>
            <w:vAlign w:val="top"/>
          </w:tcPr>
          <w:p w14:paraId="22CF89FB">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2E40547">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7613B2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9636BEF">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6F22C0A8">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5AB3541">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7A8906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BBAA538">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448"/>
              <w:textAlignment w:val="baseline"/>
              <w:rPr>
                <w:rFonts w:hint="eastAsia" w:ascii="宋体" w:hAnsi="宋体" w:eastAsia="宋体" w:cs="宋体"/>
                <w:sz w:val="24"/>
                <w:szCs w:val="24"/>
              </w:rPr>
            </w:pPr>
            <w:r>
              <w:rPr>
                <w:rFonts w:hint="eastAsia" w:ascii="宋体" w:hAnsi="宋体" w:eastAsia="宋体" w:cs="宋体"/>
                <w:sz w:val="24"/>
                <w:szCs w:val="24"/>
              </w:rPr>
              <w:t>3</w:t>
            </w:r>
          </w:p>
        </w:tc>
        <w:tc>
          <w:tcPr>
            <w:tcW w:w="8313" w:type="dxa"/>
            <w:vAlign w:val="top"/>
          </w:tcPr>
          <w:p w14:paraId="5C208C7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1.供应商的资格条件：详见竞争性磋商公告</w:t>
            </w:r>
          </w:p>
          <w:p w14:paraId="7763754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2.供应商出现下列情形之一的，不得参加政府采购活动：</w:t>
            </w:r>
          </w:p>
          <w:p w14:paraId="7FF2084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2.1</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单位负责人为同一人或者存在直接控股、管理关系的</w:t>
            </w:r>
            <w:r>
              <w:rPr>
                <w:rFonts w:hint="eastAsia" w:ascii="宋体" w:hAnsi="宋体" w:eastAsia="宋体" w:cs="宋体"/>
                <w:spacing w:val="-5"/>
                <w:sz w:val="24"/>
                <w:szCs w:val="24"/>
              </w:rPr>
              <w:t>不同供应商，</w:t>
            </w:r>
            <w:r>
              <w:rPr>
                <w:rFonts w:hint="eastAsia" w:ascii="宋体" w:hAnsi="宋体" w:eastAsia="宋体" w:cs="宋体"/>
                <w:sz w:val="24"/>
                <w:szCs w:val="24"/>
              </w:rPr>
              <w:t>不得参加同一合同项下的政府采购活动。为本项目提供过整体设计、规范编制或者项目管理、监理、检测等服务的供应商，不得再参加本项目上述</w:t>
            </w:r>
            <w:r>
              <w:rPr>
                <w:rFonts w:hint="eastAsia" w:ascii="宋体" w:hAnsi="宋体" w:eastAsia="宋体" w:cs="宋体"/>
                <w:spacing w:val="-2"/>
                <w:sz w:val="24"/>
                <w:szCs w:val="24"/>
              </w:rPr>
              <w:t>服务以外的其他采购活动。</w:t>
            </w:r>
          </w:p>
          <w:p w14:paraId="00867FF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2.2</w:t>
            </w:r>
            <w:r>
              <w:rPr>
                <w:rFonts w:hint="eastAsia" w:ascii="宋体" w:hAnsi="宋体" w:eastAsia="宋体" w:cs="宋体"/>
                <w:spacing w:val="-32"/>
                <w:sz w:val="24"/>
                <w:szCs w:val="24"/>
              </w:rPr>
              <w:t xml:space="preserve"> </w:t>
            </w:r>
            <w:r>
              <w:rPr>
                <w:rFonts w:hint="eastAsia" w:ascii="宋体" w:hAnsi="宋体" w:eastAsia="宋体" w:cs="宋体"/>
                <w:spacing w:val="-2"/>
                <w:sz w:val="24"/>
                <w:szCs w:val="24"/>
              </w:rPr>
              <w:t>对在“信用中国”网站（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"https://www.creditchina.gov.cn" </w:instrText>
            </w:r>
            <w:r>
              <w:rPr>
                <w:rFonts w:hint="eastAsia" w:ascii="宋体" w:hAnsi="宋体" w:eastAsia="宋体" w:cs="宋体"/>
                <w:sz w:val="24"/>
                <w:szCs w:val="24"/>
              </w:rPr>
              <w:fldChar w:fldCharType="separate"/>
            </w:r>
            <w:r>
              <w:rPr>
                <w:rFonts w:hint="eastAsia" w:ascii="宋体" w:hAnsi="宋体" w:eastAsia="宋体" w:cs="宋体"/>
                <w:spacing w:val="-2"/>
                <w:sz w:val="24"/>
                <w:szCs w:val="24"/>
              </w:rPr>
              <w:t>www.creditchina.gov.cn</w:t>
            </w:r>
            <w:r>
              <w:rPr>
                <w:rFonts w:hint="eastAsia" w:ascii="宋体" w:hAnsi="宋体" w:eastAsia="宋体" w:cs="宋体"/>
                <w:spacing w:val="-2"/>
                <w:sz w:val="24"/>
                <w:szCs w:val="24"/>
              </w:rPr>
              <w:fldChar w:fldCharType="end"/>
            </w:r>
            <w:r>
              <w:rPr>
                <w:rFonts w:hint="eastAsia" w:ascii="宋体" w:hAnsi="宋体" w:eastAsia="宋体" w:cs="宋体"/>
                <w:spacing w:val="-2"/>
                <w:sz w:val="24"/>
                <w:szCs w:val="24"/>
              </w:rPr>
              <w:t>） 、中国政府</w:t>
            </w:r>
            <w:r>
              <w:rPr>
                <w:rFonts w:hint="eastAsia" w:ascii="宋体" w:hAnsi="宋体" w:eastAsia="宋体" w:cs="宋体"/>
                <w:spacing w:val="-7"/>
                <w:sz w:val="24"/>
                <w:szCs w:val="24"/>
              </w:rPr>
              <w:t>采购网（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"https://www.ccgp.gov.cn" </w:instrText>
            </w:r>
            <w:r>
              <w:rPr>
                <w:rFonts w:hint="eastAsia" w:ascii="宋体" w:hAnsi="宋体" w:eastAsia="宋体" w:cs="宋体"/>
                <w:sz w:val="24"/>
                <w:szCs w:val="24"/>
              </w:rPr>
              <w:fldChar w:fldCharType="separate"/>
            </w:r>
            <w:r>
              <w:rPr>
                <w:rFonts w:hint="eastAsia" w:ascii="宋体" w:hAnsi="宋体" w:eastAsia="宋体" w:cs="宋体"/>
                <w:spacing w:val="-7"/>
                <w:sz w:val="24"/>
                <w:szCs w:val="24"/>
              </w:rPr>
              <w:t>www.ccgp.gov.cn</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rPr>
              <w:t>）被列入失信被执行人、重大税收违法失信主体、</w:t>
            </w:r>
            <w:r>
              <w:rPr>
                <w:rFonts w:hint="eastAsia" w:ascii="宋体" w:hAnsi="宋体" w:eastAsia="宋体" w:cs="宋体"/>
                <w:sz w:val="24"/>
                <w:szCs w:val="24"/>
              </w:rPr>
              <w:t>政府采购严重违法失信行为记录名单及其他不符合《中华人民共和国</w:t>
            </w:r>
            <w:r>
              <w:rPr>
                <w:rFonts w:hint="eastAsia" w:ascii="宋体" w:hAnsi="宋体" w:eastAsia="宋体" w:cs="宋体"/>
                <w:spacing w:val="-1"/>
                <w:sz w:val="24"/>
                <w:szCs w:val="24"/>
              </w:rPr>
              <w:t>政府采购法》第二十二条规定条件的供应商，不得参与政府采购活动。</w:t>
            </w:r>
          </w:p>
        </w:tc>
      </w:tr>
      <w:tr w14:paraId="1EC26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046" w:type="dxa"/>
            <w:vAlign w:val="top"/>
          </w:tcPr>
          <w:p w14:paraId="74E9029F">
            <w:pPr>
              <w:pStyle w:val="12"/>
              <w:keepNext w:val="0"/>
              <w:keepLines w:val="0"/>
              <w:pageBreakBefore w:val="0"/>
              <w:widowControl/>
              <w:shd w:val="clear"/>
              <w:kinsoku w:val="0"/>
              <w:wordWrap/>
              <w:overflowPunct/>
              <w:topLinePunct w:val="0"/>
              <w:autoSpaceDE w:val="0"/>
              <w:autoSpaceDN w:val="0"/>
              <w:bidi w:val="0"/>
              <w:adjustRightInd w:val="0"/>
              <w:snapToGrid w:val="0"/>
              <w:spacing w:before="117" w:line="240" w:lineRule="auto"/>
              <w:ind w:left="328"/>
              <w:textAlignment w:val="baseline"/>
              <w:rPr>
                <w:rFonts w:hint="eastAsia" w:ascii="宋体" w:hAnsi="宋体" w:eastAsia="宋体" w:cs="宋体"/>
                <w:sz w:val="24"/>
                <w:szCs w:val="24"/>
              </w:rPr>
            </w:pPr>
            <w:r>
              <w:rPr>
                <w:rFonts w:hint="eastAsia" w:ascii="宋体" w:hAnsi="宋体" w:eastAsia="宋体" w:cs="宋体"/>
                <w:spacing w:val="-5"/>
                <w:sz w:val="24"/>
                <w:szCs w:val="24"/>
              </w:rPr>
              <w:t>5.1</w:t>
            </w:r>
          </w:p>
        </w:tc>
        <w:tc>
          <w:tcPr>
            <w:tcW w:w="8313" w:type="dxa"/>
            <w:vAlign w:val="top"/>
          </w:tcPr>
          <w:p w14:paraId="77E0283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是否接受联合体竞标: 详见竞争性磋商公告</w:t>
            </w:r>
          </w:p>
        </w:tc>
      </w:tr>
      <w:tr w14:paraId="29E5A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46" w:type="dxa"/>
            <w:vAlign w:val="top"/>
          </w:tcPr>
          <w:p w14:paraId="7EAD767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D8128E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9084C39">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2936A1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DEC8582">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57F9C79">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4D6C740">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195AC8E8">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676CB5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7E12D8C">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B4590C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F79D21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3CC1230">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328"/>
              <w:textAlignment w:val="baseline"/>
              <w:rPr>
                <w:rFonts w:hint="eastAsia" w:ascii="宋体" w:hAnsi="宋体" w:eastAsia="宋体" w:cs="宋体"/>
                <w:sz w:val="24"/>
                <w:szCs w:val="24"/>
              </w:rPr>
            </w:pPr>
            <w:r>
              <w:rPr>
                <w:rFonts w:hint="eastAsia" w:ascii="宋体" w:hAnsi="宋体" w:eastAsia="宋体" w:cs="宋体"/>
                <w:spacing w:val="-5"/>
                <w:sz w:val="24"/>
                <w:szCs w:val="24"/>
              </w:rPr>
              <w:t>5.2</w:t>
            </w:r>
          </w:p>
        </w:tc>
        <w:tc>
          <w:tcPr>
            <w:tcW w:w="8313" w:type="dxa"/>
            <w:vAlign w:val="top"/>
          </w:tcPr>
          <w:p w14:paraId="4890237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如接受联合体竞标，联合体竞标要求如下：</w:t>
            </w:r>
          </w:p>
          <w:p w14:paraId="147D75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1.两个以上供应商可以组成一个竞标联合体，以一个供应商的身份共同参加竞标。联合体竞标的，须提供《联合体竞标协议书》（格式后附）。</w:t>
            </w:r>
          </w:p>
          <w:p w14:paraId="5F60D8C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8E4401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联合体各方之间必须签订联合竞标协议，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5DA1EAD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4.以联合体形式参加政府采购活动的，联合体各方不得再单独参加或者与其他供应商另外组成联合体参加同一合同项下的政府采购活动。</w:t>
            </w:r>
          </w:p>
          <w:p w14:paraId="4762965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5.联合体中有同类资质的供应商按照联合体分工承担相同工作的，应当按照资质等级较低的供应商确定资质等级。</w:t>
            </w:r>
          </w:p>
          <w:p w14:paraId="53A954C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6.联合体竞标业绩、履约能力按照联合体各方中较高的一方认定并计算（磋商文件另有规定的除外）。</w:t>
            </w:r>
          </w:p>
          <w:p w14:paraId="6716C54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7.供应商为联合体的，可以由联合体中的一方或者多方共同交纳磋商保证金，其交纳的保证金对联合体各方均具有约束力。</w:t>
            </w:r>
          </w:p>
          <w:p w14:paraId="4745F01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8.联合体各方均应按照磋商文件的规定提交资格证明文件。</w:t>
            </w:r>
          </w:p>
        </w:tc>
      </w:tr>
      <w:tr w14:paraId="62915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jc w:val="center"/>
        </w:trPr>
        <w:tc>
          <w:tcPr>
            <w:tcW w:w="1046" w:type="dxa"/>
            <w:vAlign w:val="center"/>
          </w:tcPr>
          <w:p w14:paraId="41051F7E">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328"/>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6.2</w:t>
            </w:r>
          </w:p>
        </w:tc>
        <w:tc>
          <w:tcPr>
            <w:tcW w:w="8313" w:type="dxa"/>
            <w:vAlign w:val="top"/>
          </w:tcPr>
          <w:p w14:paraId="47D3A9C3">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23"/>
              <w:textAlignment w:val="baseline"/>
              <w:rPr>
                <w:rFonts w:hint="eastAsia" w:ascii="宋体" w:hAnsi="宋体" w:eastAsia="宋体" w:cs="宋体"/>
                <w:sz w:val="24"/>
                <w:szCs w:val="24"/>
              </w:rPr>
            </w:pPr>
            <w:r>
              <w:rPr>
                <w:rFonts w:hint="eastAsia" w:ascii="宋体" w:hAnsi="宋体" w:eastAsia="宋体" w:cs="宋体"/>
                <w:spacing w:val="-4"/>
                <w:sz w:val="24"/>
                <w:szCs w:val="24"/>
              </w:rPr>
              <w:t>☑不允许分包</w:t>
            </w:r>
          </w:p>
          <w:p w14:paraId="60566645">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38"/>
              <w:textAlignment w:val="baseline"/>
              <w:rPr>
                <w:rFonts w:hint="eastAsia" w:ascii="宋体" w:hAnsi="宋体" w:eastAsia="宋体" w:cs="宋体"/>
                <w:sz w:val="24"/>
                <w:szCs w:val="24"/>
              </w:rPr>
            </w:pPr>
            <w:r>
              <w:rPr>
                <w:rFonts w:hint="eastAsia" w:ascii="宋体" w:hAnsi="宋体" w:eastAsia="宋体" w:cs="宋体"/>
                <w:spacing w:val="-7"/>
                <w:sz w:val="24"/>
                <w:szCs w:val="24"/>
              </w:rPr>
              <w:t>□允许分包</w:t>
            </w:r>
          </w:p>
          <w:p w14:paraId="2CBCDFC7">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38"/>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分包内容：</w:t>
            </w:r>
            <w:r>
              <w:rPr>
                <w:rFonts w:hint="eastAsia" w:ascii="宋体" w:hAnsi="宋体" w:eastAsia="宋体" w:cs="宋体"/>
                <w:spacing w:val="-7"/>
                <w:sz w:val="24"/>
                <w:szCs w:val="24"/>
                <w:u w:val="single"/>
              </w:rPr>
              <w:t xml:space="preserve">                                  </w:t>
            </w:r>
            <w:r>
              <w:rPr>
                <w:rFonts w:hint="eastAsia" w:ascii="宋体" w:hAnsi="宋体" w:eastAsia="宋体" w:cs="宋体"/>
                <w:spacing w:val="-7"/>
                <w:sz w:val="24"/>
                <w:szCs w:val="24"/>
              </w:rPr>
              <w:t xml:space="preserve">   。</w:t>
            </w:r>
          </w:p>
          <w:p w14:paraId="525DAAC9">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38"/>
              <w:textAlignment w:val="baseline"/>
              <w:rPr>
                <w:rFonts w:hint="eastAsia" w:ascii="宋体" w:hAnsi="宋体" w:eastAsia="宋体" w:cs="宋体"/>
                <w:sz w:val="24"/>
                <w:szCs w:val="24"/>
              </w:rPr>
            </w:pPr>
            <w:r>
              <w:rPr>
                <w:rFonts w:hint="eastAsia" w:ascii="宋体" w:hAnsi="宋体" w:eastAsia="宋体" w:cs="宋体"/>
                <w:spacing w:val="-7"/>
                <w:sz w:val="24"/>
                <w:szCs w:val="24"/>
              </w:rPr>
              <w:t xml:space="preserve">分包金额或者比例： </w:t>
            </w:r>
            <w:r>
              <w:rPr>
                <w:rFonts w:hint="eastAsia" w:ascii="宋体" w:hAnsi="宋体" w:eastAsia="宋体" w:cs="宋体"/>
                <w:spacing w:val="-7"/>
                <w:sz w:val="24"/>
                <w:szCs w:val="24"/>
                <w:u w:val="single"/>
              </w:rPr>
              <w:t xml:space="preserve">                           </w:t>
            </w:r>
            <w:r>
              <w:rPr>
                <w:rFonts w:hint="eastAsia" w:ascii="宋体" w:hAnsi="宋体" w:eastAsia="宋体" w:cs="宋体"/>
                <w:spacing w:val="-7"/>
                <w:sz w:val="24"/>
                <w:szCs w:val="24"/>
              </w:rPr>
              <w:t xml:space="preserve"> 。</w:t>
            </w:r>
          </w:p>
        </w:tc>
      </w:tr>
      <w:tr w14:paraId="586D7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1046" w:type="dxa"/>
            <w:vAlign w:val="center"/>
          </w:tcPr>
          <w:p w14:paraId="0C495803">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jc w:val="center"/>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12.1.1</w:t>
            </w:r>
          </w:p>
        </w:tc>
        <w:tc>
          <w:tcPr>
            <w:tcW w:w="8313" w:type="dxa"/>
            <w:vAlign w:val="top"/>
          </w:tcPr>
          <w:p w14:paraId="245F7CF5">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612"/>
              <w:textAlignment w:val="baseline"/>
              <w:rPr>
                <w:rFonts w:hint="eastAsia" w:ascii="宋体" w:hAnsi="宋体" w:eastAsia="宋体" w:cs="宋体"/>
                <w:sz w:val="24"/>
                <w:szCs w:val="24"/>
              </w:rPr>
            </w:pPr>
            <w:r>
              <w:rPr>
                <w:rFonts w:hint="eastAsia" w:ascii="宋体" w:hAnsi="宋体" w:eastAsia="宋体" w:cs="宋体"/>
                <w:b/>
                <w:bCs/>
                <w:spacing w:val="-7"/>
                <w:sz w:val="24"/>
                <w:szCs w:val="24"/>
              </w:rPr>
              <w:t>资格证明文件</w:t>
            </w:r>
          </w:p>
          <w:p w14:paraId="6A292FE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eastAsia="宋体" w:cs="宋体"/>
                <w:b/>
                <w:bCs/>
                <w:spacing w:val="-2"/>
                <w:sz w:val="24"/>
                <w:szCs w:val="24"/>
              </w:rPr>
              <w:t>（必须提供，否则响应文件按无效响应处理）</w:t>
            </w:r>
          </w:p>
          <w:p w14:paraId="08BEF8D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2.供应商依法缴纳税收的相关材料（近半年内任意 1 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eastAsia="宋体" w:cs="宋体"/>
                <w:b/>
                <w:bCs/>
                <w:spacing w:val="-2"/>
                <w:sz w:val="24"/>
                <w:szCs w:val="24"/>
              </w:rPr>
              <w:t>（必须提供，否则响应文件按无效响应处理）</w:t>
            </w:r>
          </w:p>
          <w:p w14:paraId="35EFCB8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3.供应商依法缴纳社会保障资金的相关材料[近半年内任意 1 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eastAsia="宋体" w:cs="宋体"/>
                <w:b/>
                <w:bCs/>
                <w:spacing w:val="-2"/>
                <w:sz w:val="24"/>
                <w:szCs w:val="24"/>
              </w:rPr>
              <w:t>（必须提供，否则响应文件按无效响应处理）</w:t>
            </w:r>
          </w:p>
          <w:p w14:paraId="0AA7C3E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4.供应商财务状况报告【2024 年度或 2025 年度的财务状况报告复印件。对于从取得营业执照时间起到截标时间为止不足 1 年的供应商，只需提交截标时间前 1 个月的财务状况报告复印件。】；上述财务状况报告包括：供应商执行《企业会计准则》的，提供资产负债表、利润表、现金流量表、所有者权益变动表及其附注（以下称“ 四表一注 ”）；供应商执行《小企业会计准则》的，提供资产负债表、利润表、现金流量表及其附注（以下称“三表一注”）；供应商执行《政府会计制度》的，提供资产负债表、收入费用表和净资产变动表及其附注)]；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bCs/>
                <w:spacing w:val="-2"/>
                <w:sz w:val="24"/>
                <w:szCs w:val="24"/>
              </w:rPr>
              <w:t>（必须提供，否则响应文件按无效响应处理）</w:t>
            </w:r>
          </w:p>
          <w:p w14:paraId="778EA0D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5.供应商直接控股、管理关系信息表（格式后附）；</w:t>
            </w:r>
            <w:r>
              <w:rPr>
                <w:rFonts w:hint="eastAsia" w:ascii="宋体" w:hAnsi="宋体" w:eastAsia="宋体" w:cs="宋体"/>
                <w:b/>
                <w:bCs/>
                <w:spacing w:val="-2"/>
                <w:sz w:val="24"/>
                <w:szCs w:val="24"/>
              </w:rPr>
              <w:t>（必须提供，否则响应文件按无效响应处理）</w:t>
            </w:r>
          </w:p>
          <w:p w14:paraId="449CE63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6.竞标声明（格式后附）；</w:t>
            </w:r>
            <w:r>
              <w:rPr>
                <w:rFonts w:hint="eastAsia" w:ascii="宋体" w:hAnsi="宋体" w:eastAsia="宋体" w:cs="宋体"/>
                <w:b/>
                <w:bCs/>
                <w:spacing w:val="-2"/>
                <w:sz w:val="24"/>
                <w:szCs w:val="24"/>
              </w:rPr>
              <w:t>（必须提供，否则响应文件按无效响应处理）</w:t>
            </w:r>
          </w:p>
          <w:p w14:paraId="146D18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7.联合体竞标协议书（格式后附）；</w:t>
            </w:r>
            <w:r>
              <w:rPr>
                <w:rFonts w:hint="eastAsia" w:ascii="宋体" w:hAnsi="宋体" w:eastAsia="宋体" w:cs="宋体"/>
                <w:b/>
                <w:bCs/>
                <w:spacing w:val="-2"/>
                <w:sz w:val="24"/>
                <w:szCs w:val="24"/>
              </w:rPr>
              <w:t>（联合体竞标时必须提供，否则响应文件按无效响应处理）</w:t>
            </w:r>
          </w:p>
          <w:p w14:paraId="6D6D8F6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8.供应商需提供《中小企业声明函》或《残疾人福利性单位声明函》或属于监狱企业的证明文件;</w:t>
            </w:r>
            <w:r>
              <w:rPr>
                <w:rFonts w:hint="eastAsia" w:ascii="宋体" w:hAnsi="宋体" w:eastAsia="宋体" w:cs="宋体"/>
                <w:b/>
                <w:bCs/>
                <w:spacing w:val="-2"/>
                <w:sz w:val="24"/>
                <w:szCs w:val="24"/>
              </w:rPr>
              <w:t>（</w:t>
            </w:r>
            <w:r>
              <w:rPr>
                <w:rFonts w:hint="eastAsia" w:ascii="宋体" w:hAnsi="宋体" w:eastAsia="宋体" w:cs="宋体"/>
                <w:b/>
                <w:bCs/>
                <w:spacing w:val="-2"/>
                <w:sz w:val="24"/>
                <w:szCs w:val="24"/>
                <w:lang w:val="en-US" w:eastAsia="zh-CN"/>
              </w:rPr>
              <w:t>如有</w:t>
            </w:r>
            <w:r>
              <w:rPr>
                <w:rFonts w:hint="eastAsia" w:ascii="宋体" w:hAnsi="宋体" w:eastAsia="宋体" w:cs="宋体"/>
                <w:b/>
                <w:bCs/>
                <w:spacing w:val="-2"/>
                <w:sz w:val="24"/>
                <w:szCs w:val="24"/>
              </w:rPr>
              <w:t>）</w:t>
            </w:r>
          </w:p>
          <w:p w14:paraId="3397BD7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lang w:val="en-US" w:eastAsia="zh-CN"/>
              </w:rPr>
            </w:pPr>
            <w:r>
              <w:rPr>
                <w:rFonts w:hint="eastAsia" w:ascii="宋体" w:hAnsi="宋体" w:eastAsia="宋体" w:cs="宋体"/>
                <w:spacing w:val="-2"/>
                <w:sz w:val="24"/>
                <w:szCs w:val="24"/>
                <w:lang w:val="en-US" w:eastAsia="zh-CN"/>
              </w:rPr>
              <w:t>9.分公司参与投标的，供应商须提供总公司出具的授权其参与本项目的授权文件或制度；</w:t>
            </w:r>
            <w:r>
              <w:rPr>
                <w:rFonts w:hint="eastAsia" w:ascii="宋体" w:hAnsi="宋体" w:eastAsia="宋体" w:cs="宋体"/>
                <w:b/>
                <w:bCs/>
                <w:spacing w:val="-2"/>
                <w:sz w:val="24"/>
                <w:szCs w:val="24"/>
                <w:lang w:val="en-US" w:eastAsia="zh-CN"/>
              </w:rPr>
              <w:t>（分公司参与投标的，必须提供）</w:t>
            </w:r>
          </w:p>
          <w:p w14:paraId="2FE7F80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rPr>
              <w:t>.除磋商文件规定必须提供以外，供应商认为需要提供的其他证明材料；（如有请提供）</w:t>
            </w:r>
          </w:p>
          <w:p w14:paraId="32373E4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注：</w:t>
            </w:r>
          </w:p>
          <w:p w14:paraId="6C84943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以上标明“必须提供 ”的材料属于复印件的，必须加盖供应商电子签章，否则响应文件按无效处理。</w:t>
            </w:r>
          </w:p>
        </w:tc>
      </w:tr>
      <w:tr w14:paraId="05422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jc w:val="center"/>
        </w:trPr>
        <w:tc>
          <w:tcPr>
            <w:tcW w:w="1046" w:type="dxa"/>
            <w:vAlign w:val="center"/>
          </w:tcPr>
          <w:p w14:paraId="57F6C3B0">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161" w:leftChars="0"/>
              <w:jc w:val="both"/>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12.1.2</w:t>
            </w:r>
          </w:p>
        </w:tc>
        <w:tc>
          <w:tcPr>
            <w:tcW w:w="8313" w:type="dxa"/>
            <w:vAlign w:val="top"/>
          </w:tcPr>
          <w:p w14:paraId="3967BEAC">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120"/>
              <w:textAlignment w:val="baseline"/>
              <w:rPr>
                <w:rFonts w:hint="eastAsia" w:ascii="宋体" w:hAnsi="宋体" w:eastAsia="宋体" w:cs="宋体"/>
                <w:sz w:val="24"/>
                <w:szCs w:val="24"/>
              </w:rPr>
            </w:pPr>
            <w:r>
              <w:rPr>
                <w:rFonts w:hint="eastAsia" w:ascii="宋体" w:hAnsi="宋体" w:eastAsia="宋体" w:cs="宋体"/>
                <w:b/>
                <w:bCs/>
                <w:spacing w:val="-6"/>
                <w:sz w:val="24"/>
                <w:szCs w:val="24"/>
              </w:rPr>
              <w:t>报价文件</w:t>
            </w:r>
          </w:p>
          <w:p w14:paraId="33A5A10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1.竞标报价表（格式后附</w:t>
            </w:r>
            <w:r>
              <w:rPr>
                <w:rFonts w:hint="eastAsia" w:ascii="宋体" w:hAnsi="宋体" w:eastAsia="宋体" w:cs="宋体"/>
                <w:spacing w:val="-12"/>
                <w:sz w:val="24"/>
                <w:szCs w:val="24"/>
              </w:rPr>
              <w:t>）；（</w:t>
            </w:r>
            <w:r>
              <w:rPr>
                <w:rFonts w:hint="eastAsia" w:ascii="宋体" w:hAnsi="宋体" w:eastAsia="宋体" w:cs="宋体"/>
                <w:b/>
                <w:bCs/>
                <w:sz w:val="24"/>
                <w:szCs w:val="24"/>
              </w:rPr>
              <w:t>必须提供</w:t>
            </w:r>
            <w:r>
              <w:rPr>
                <w:rFonts w:hint="eastAsia" w:ascii="宋体" w:hAnsi="宋体" w:eastAsia="宋体" w:cs="宋体"/>
                <w:sz w:val="24"/>
                <w:szCs w:val="24"/>
              </w:rPr>
              <w:t>）</w:t>
            </w:r>
          </w:p>
          <w:p w14:paraId="098B18C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b/>
                <w:bCs/>
                <w:spacing w:val="-5"/>
                <w:sz w:val="24"/>
                <w:szCs w:val="24"/>
              </w:rPr>
            </w:pPr>
            <w:r>
              <w:rPr>
                <w:rFonts w:hint="eastAsia" w:ascii="宋体" w:hAnsi="宋体" w:eastAsia="宋体" w:cs="宋体"/>
                <w:spacing w:val="-1"/>
                <w:sz w:val="24"/>
                <w:szCs w:val="24"/>
              </w:rPr>
              <w:t>2.供应商认为需要提供的其他有关资料。</w:t>
            </w:r>
          </w:p>
        </w:tc>
      </w:tr>
      <w:tr w14:paraId="6B814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046" w:type="dxa"/>
            <w:vAlign w:val="top"/>
          </w:tcPr>
          <w:p w14:paraId="1F87573B">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F0B70E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BEB8041">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7016389">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9D4ECEC">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3CEFE8A">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161" w:leftChars="0"/>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12.1.3</w:t>
            </w:r>
          </w:p>
        </w:tc>
        <w:tc>
          <w:tcPr>
            <w:tcW w:w="8313" w:type="dxa"/>
            <w:vAlign w:val="top"/>
          </w:tcPr>
          <w:p w14:paraId="679D3385">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608"/>
              <w:textAlignment w:val="baseline"/>
              <w:rPr>
                <w:rFonts w:hint="eastAsia" w:ascii="宋体" w:hAnsi="宋体" w:eastAsia="宋体" w:cs="宋体"/>
                <w:sz w:val="24"/>
                <w:szCs w:val="24"/>
              </w:rPr>
            </w:pPr>
            <w:r>
              <w:rPr>
                <w:rFonts w:hint="eastAsia" w:ascii="宋体" w:hAnsi="宋体" w:eastAsia="宋体" w:cs="宋体"/>
                <w:b/>
                <w:bCs/>
                <w:spacing w:val="-6"/>
                <w:sz w:val="24"/>
                <w:szCs w:val="24"/>
              </w:rPr>
              <w:t>商务技术文件</w:t>
            </w:r>
          </w:p>
          <w:p w14:paraId="3837940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1.无串通竞标行为的承诺函（格式后附）；</w:t>
            </w:r>
            <w:r>
              <w:rPr>
                <w:rFonts w:hint="eastAsia" w:ascii="宋体" w:hAnsi="宋体" w:eastAsia="宋体" w:cs="宋体"/>
                <w:b/>
                <w:bCs/>
                <w:spacing w:val="-2"/>
                <w:sz w:val="24"/>
                <w:szCs w:val="24"/>
              </w:rPr>
              <w:t>（必须提供，否则响应文件按无效响应处理）</w:t>
            </w:r>
          </w:p>
          <w:p w14:paraId="7B16F57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2.法定代表人身份证明书及法定代表人有效身份证正反面复印件（格式后附）；</w:t>
            </w:r>
            <w:r>
              <w:rPr>
                <w:rFonts w:hint="eastAsia" w:ascii="宋体" w:hAnsi="宋体" w:eastAsia="宋体" w:cs="宋体"/>
                <w:b/>
                <w:bCs/>
                <w:spacing w:val="-2"/>
                <w:sz w:val="24"/>
                <w:szCs w:val="24"/>
              </w:rPr>
              <w:t>（除自然人竞标外必须提供，否则响应文件按无效响应处理）</w:t>
            </w:r>
          </w:p>
          <w:p w14:paraId="773D5E7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3.授权委托书及委托代理人有效身份证正反面复印件（格式后附）；</w:t>
            </w:r>
            <w:r>
              <w:rPr>
                <w:rFonts w:hint="eastAsia" w:ascii="宋体" w:hAnsi="宋体" w:eastAsia="宋体" w:cs="宋体"/>
                <w:b/>
                <w:bCs/>
                <w:spacing w:val="-2"/>
                <w:sz w:val="24"/>
                <w:szCs w:val="24"/>
              </w:rPr>
              <w:t>（委托时必须提供，否则响应文件按无效响应处理）</w:t>
            </w:r>
          </w:p>
          <w:p w14:paraId="7663BE4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4.竞标保证金递交凭证；</w:t>
            </w:r>
            <w:r>
              <w:rPr>
                <w:rFonts w:hint="eastAsia" w:ascii="宋体" w:hAnsi="宋体" w:eastAsia="宋体" w:cs="宋体"/>
                <w:b/>
                <w:bCs/>
                <w:spacing w:val="-2"/>
                <w:sz w:val="24"/>
                <w:szCs w:val="24"/>
              </w:rPr>
              <w:t>（必须提供，否则响应文件按无效响应处理）</w:t>
            </w:r>
          </w:p>
          <w:p w14:paraId="6B00E8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5.商务要求偏离表（格式后附）；</w:t>
            </w:r>
            <w:r>
              <w:rPr>
                <w:rFonts w:hint="eastAsia" w:ascii="宋体" w:hAnsi="宋体" w:eastAsia="宋体" w:cs="宋体"/>
                <w:b/>
                <w:bCs/>
                <w:spacing w:val="-2"/>
                <w:sz w:val="24"/>
                <w:szCs w:val="24"/>
              </w:rPr>
              <w:t>（必须提供，否则响应文件按无效响应处理）</w:t>
            </w:r>
          </w:p>
          <w:p w14:paraId="17202A1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6.售后服务方案（格式自拟）；</w:t>
            </w:r>
            <w:r>
              <w:rPr>
                <w:rFonts w:hint="eastAsia" w:ascii="宋体" w:hAnsi="宋体" w:eastAsia="宋体" w:cs="宋体"/>
                <w:b/>
                <w:bCs/>
                <w:spacing w:val="-2"/>
                <w:sz w:val="24"/>
                <w:szCs w:val="24"/>
              </w:rPr>
              <w:t>（必须提供，否则响应文件按无效响应处理）</w:t>
            </w:r>
          </w:p>
          <w:p w14:paraId="70368FF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7.技术要求偏离表（格式后附）；</w:t>
            </w:r>
            <w:r>
              <w:rPr>
                <w:rFonts w:hint="eastAsia" w:ascii="宋体" w:hAnsi="宋体" w:eastAsia="宋体" w:cs="宋体"/>
                <w:b/>
                <w:bCs/>
                <w:spacing w:val="-2"/>
                <w:sz w:val="24"/>
                <w:szCs w:val="24"/>
              </w:rPr>
              <w:t>（必须提供，否则响应文件按无效响应处理）</w:t>
            </w:r>
          </w:p>
          <w:p w14:paraId="03E17E9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8.项目技术方案</w:t>
            </w:r>
            <w:r>
              <w:rPr>
                <w:rFonts w:hint="eastAsia" w:ascii="宋体" w:hAnsi="宋体" w:eastAsia="宋体" w:cs="宋体"/>
                <w:b/>
                <w:bCs/>
                <w:spacing w:val="-2"/>
                <w:sz w:val="24"/>
                <w:szCs w:val="24"/>
              </w:rPr>
              <w:t>（根据项目需求结合评标办法进行编制，格式自拟）</w:t>
            </w:r>
            <w:r>
              <w:rPr>
                <w:rFonts w:hint="eastAsia" w:ascii="宋体" w:hAnsi="宋体" w:eastAsia="宋体" w:cs="宋体"/>
                <w:spacing w:val="-2"/>
                <w:sz w:val="24"/>
                <w:szCs w:val="24"/>
              </w:rPr>
              <w:t>；</w:t>
            </w:r>
          </w:p>
          <w:p w14:paraId="7AAEAA7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9.项目实施人员一览表（格式后附）；</w:t>
            </w:r>
            <w:r>
              <w:rPr>
                <w:rFonts w:hint="eastAsia" w:ascii="宋体" w:hAnsi="宋体" w:eastAsia="宋体" w:cs="宋体"/>
                <w:b/>
                <w:bCs/>
                <w:spacing w:val="-2"/>
                <w:sz w:val="24"/>
                <w:szCs w:val="24"/>
              </w:rPr>
              <w:t>（如有请提供）</w:t>
            </w:r>
          </w:p>
          <w:p w14:paraId="22ADF38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lang w:eastAsia="zh-CN"/>
              </w:rPr>
            </w:pP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rPr>
              <w:t>对应采购需求的技术要求、商务要求提供的其他文件资料</w:t>
            </w:r>
            <w:r>
              <w:rPr>
                <w:rFonts w:hint="eastAsia" w:ascii="宋体" w:hAnsi="宋体" w:eastAsia="宋体" w:cs="宋体"/>
                <w:b/>
                <w:bCs/>
                <w:spacing w:val="-2"/>
                <w:sz w:val="24"/>
                <w:szCs w:val="24"/>
              </w:rPr>
              <w:t>（格式自拟）</w:t>
            </w:r>
            <w:r>
              <w:rPr>
                <w:rFonts w:hint="eastAsia" w:ascii="宋体" w:hAnsi="宋体" w:eastAsia="宋体" w:cs="宋体"/>
                <w:b/>
                <w:bCs/>
                <w:spacing w:val="-2"/>
                <w:sz w:val="24"/>
                <w:szCs w:val="24"/>
                <w:lang w:eastAsia="zh-CN"/>
              </w:rPr>
              <w:t>；</w:t>
            </w:r>
          </w:p>
          <w:p w14:paraId="5771CBA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1</w:t>
            </w:r>
            <w:r>
              <w:rPr>
                <w:rFonts w:hint="eastAsia" w:ascii="宋体" w:hAnsi="宋体" w:eastAsia="宋体" w:cs="宋体"/>
                <w:spacing w:val="-2"/>
                <w:sz w:val="24"/>
                <w:szCs w:val="24"/>
              </w:rPr>
              <w:t>.除竞争性磋商文件规定必须提供以外，供应商需要说明的其他文件和说明（格式自拟）。</w:t>
            </w:r>
          </w:p>
          <w:p w14:paraId="6041FF3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注：以上标明“必须提供 ”的材料属于复印件的，必须加盖供应商电子签章，否则响应文件按无效响应处理。</w:t>
            </w:r>
          </w:p>
          <w:p w14:paraId="166923C1">
            <w:pPr>
              <w:pStyle w:val="12"/>
              <w:keepNext w:val="0"/>
              <w:keepLines w:val="0"/>
              <w:pageBreakBefore w:val="0"/>
              <w:widowControl/>
              <w:shd w:val="clear"/>
              <w:kinsoku w:val="0"/>
              <w:wordWrap/>
              <w:overflowPunct/>
              <w:topLinePunct w:val="0"/>
              <w:autoSpaceDE w:val="0"/>
              <w:autoSpaceDN w:val="0"/>
              <w:bidi w:val="0"/>
              <w:adjustRightInd w:val="0"/>
              <w:snapToGrid w:val="0"/>
              <w:spacing w:line="240" w:lineRule="auto"/>
              <w:jc w:val="right"/>
              <w:textAlignment w:val="baseline"/>
              <w:rPr>
                <w:rFonts w:hint="eastAsia" w:ascii="宋体" w:hAnsi="宋体" w:eastAsia="宋体" w:cs="宋体"/>
                <w:spacing w:val="-1"/>
                <w:sz w:val="24"/>
                <w:szCs w:val="24"/>
              </w:rPr>
            </w:pPr>
          </w:p>
        </w:tc>
      </w:tr>
      <w:tr w14:paraId="052D7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6" w:hRule="atLeast"/>
          <w:jc w:val="center"/>
        </w:trPr>
        <w:tc>
          <w:tcPr>
            <w:tcW w:w="1046" w:type="dxa"/>
            <w:vAlign w:val="top"/>
          </w:tcPr>
          <w:p w14:paraId="252A81A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BB39D20">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1D13418">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81" w:leftChars="0"/>
              <w:textAlignment w:val="baseline"/>
              <w:rPr>
                <w:rFonts w:hint="eastAsia" w:ascii="宋体" w:hAnsi="宋体" w:eastAsia="宋体" w:cs="宋体"/>
                <w:spacing w:val="-5"/>
                <w:sz w:val="24"/>
                <w:szCs w:val="24"/>
              </w:rPr>
            </w:pPr>
            <w:r>
              <w:rPr>
                <w:rFonts w:hint="eastAsia" w:ascii="宋体" w:hAnsi="宋体" w:eastAsia="宋体" w:cs="宋体"/>
                <w:spacing w:val="-7"/>
                <w:sz w:val="24"/>
                <w:szCs w:val="24"/>
              </w:rPr>
              <w:t>15.2</w:t>
            </w:r>
          </w:p>
        </w:tc>
        <w:tc>
          <w:tcPr>
            <w:tcW w:w="8313" w:type="dxa"/>
            <w:vAlign w:val="top"/>
          </w:tcPr>
          <w:p w14:paraId="2EB722E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1"/>
                <w:sz w:val="24"/>
                <w:szCs w:val="24"/>
              </w:rPr>
            </w:pPr>
            <w:r>
              <w:rPr>
                <w:rFonts w:hint="eastAsia" w:ascii="宋体" w:hAnsi="宋体" w:eastAsia="宋体" w:cs="宋体"/>
                <w:spacing w:val="-2"/>
                <w:sz w:val="24"/>
                <w:szCs w:val="24"/>
              </w:rPr>
              <w:t>竞标</w:t>
            </w:r>
            <w:r>
              <w:rPr>
                <w:rFonts w:hint="eastAsia" w:ascii="宋体" w:hAnsi="宋体" w:eastAsia="宋体" w:cs="宋体"/>
                <w:sz w:val="24"/>
                <w:szCs w:val="24"/>
              </w:rPr>
              <w:t>报价为履行合同的最终价格，即满足全部采购需</w:t>
            </w:r>
            <w:r>
              <w:rPr>
                <w:rFonts w:hint="eastAsia" w:ascii="宋体" w:hAnsi="宋体" w:eastAsia="宋体" w:cs="宋体"/>
                <w:spacing w:val="-1"/>
                <w:sz w:val="24"/>
                <w:szCs w:val="24"/>
              </w:rPr>
              <w:t>求所需提供服务</w:t>
            </w:r>
            <w:r>
              <w:rPr>
                <w:rFonts w:hint="eastAsia" w:ascii="宋体" w:hAnsi="宋体" w:eastAsia="宋体" w:cs="宋体"/>
                <w:spacing w:val="-5"/>
                <w:sz w:val="24"/>
                <w:szCs w:val="24"/>
              </w:rPr>
              <w:t>的总价，包含服务费、保险费、交通费、税费、耗材费、资料费、人工费、</w:t>
            </w:r>
            <w:r>
              <w:rPr>
                <w:rFonts w:hint="eastAsia" w:ascii="宋体" w:hAnsi="宋体" w:eastAsia="宋体" w:cs="宋体"/>
                <w:sz w:val="24"/>
                <w:szCs w:val="24"/>
              </w:rPr>
              <w:t>验收费用等所有相关费用。对于本文件中明确列明须报价的服务，供应商若存在漏报，将导致磋商无效；对于本文件未列明但供应商认为必需的费用，也需纳入总报价。合同实施期间，采购人将不予支付成交人未列入总</w:t>
            </w:r>
            <w:r>
              <w:rPr>
                <w:rFonts w:hint="eastAsia" w:ascii="宋体" w:hAnsi="宋体" w:eastAsia="宋体" w:cs="宋体"/>
                <w:spacing w:val="-1"/>
                <w:sz w:val="24"/>
                <w:szCs w:val="24"/>
              </w:rPr>
              <w:t>报价的项目费用，并视为该费用已包含在磋商总报价中。</w:t>
            </w:r>
          </w:p>
        </w:tc>
      </w:tr>
      <w:tr w14:paraId="1A408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1046" w:type="dxa"/>
            <w:vAlign w:val="top"/>
          </w:tcPr>
          <w:p w14:paraId="5232F479">
            <w:pPr>
              <w:pStyle w:val="12"/>
              <w:keepNext w:val="0"/>
              <w:keepLines w:val="0"/>
              <w:pageBreakBefore w:val="0"/>
              <w:widowControl/>
              <w:shd w:val="clear"/>
              <w:kinsoku w:val="0"/>
              <w:wordWrap/>
              <w:overflowPunct/>
              <w:topLinePunct w:val="0"/>
              <w:autoSpaceDE w:val="0"/>
              <w:autoSpaceDN w:val="0"/>
              <w:bidi w:val="0"/>
              <w:adjustRightInd w:val="0"/>
              <w:snapToGrid w:val="0"/>
              <w:spacing w:before="117" w:line="240" w:lineRule="auto"/>
              <w:ind w:left="281" w:leftChars="0"/>
              <w:textAlignment w:val="baseline"/>
              <w:rPr>
                <w:rFonts w:hint="eastAsia" w:ascii="宋体" w:hAnsi="宋体" w:eastAsia="宋体" w:cs="宋体"/>
                <w:spacing w:val="-5"/>
                <w:sz w:val="24"/>
                <w:szCs w:val="24"/>
              </w:rPr>
            </w:pPr>
            <w:r>
              <w:rPr>
                <w:rFonts w:hint="eastAsia" w:ascii="宋体" w:hAnsi="宋体" w:eastAsia="宋体" w:cs="宋体"/>
                <w:spacing w:val="-7"/>
                <w:sz w:val="24"/>
                <w:szCs w:val="24"/>
              </w:rPr>
              <w:t>16.2</w:t>
            </w:r>
          </w:p>
        </w:tc>
        <w:tc>
          <w:tcPr>
            <w:tcW w:w="8313" w:type="dxa"/>
            <w:vAlign w:val="top"/>
          </w:tcPr>
          <w:p w14:paraId="7ECDC9C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spacing w:val="-1"/>
                <w:sz w:val="24"/>
                <w:szCs w:val="24"/>
              </w:rPr>
            </w:pPr>
            <w:r>
              <w:rPr>
                <w:rFonts w:hint="eastAsia" w:ascii="宋体" w:hAnsi="宋体" w:eastAsia="宋体" w:cs="宋体"/>
                <w:spacing w:val="-6"/>
                <w:sz w:val="24"/>
                <w:szCs w:val="24"/>
              </w:rPr>
              <w:t>竞标有效期：</w:t>
            </w:r>
            <w:r>
              <w:rPr>
                <w:rFonts w:hint="eastAsia" w:ascii="宋体" w:hAnsi="宋体" w:eastAsia="宋体" w:cs="宋体"/>
                <w:spacing w:val="-59"/>
                <w:sz w:val="24"/>
                <w:szCs w:val="24"/>
              </w:rPr>
              <w:t xml:space="preserve"> </w:t>
            </w:r>
            <w:r>
              <w:rPr>
                <w:rFonts w:hint="eastAsia" w:ascii="宋体" w:hAnsi="宋体" w:eastAsia="宋体" w:cs="宋体"/>
                <w:spacing w:val="-6"/>
                <w:sz w:val="24"/>
                <w:szCs w:val="24"/>
              </w:rPr>
              <w:t>自首次响应文件提交截止之日起</w:t>
            </w:r>
            <w:r>
              <w:rPr>
                <w:rFonts w:hint="eastAsia" w:ascii="宋体" w:hAnsi="宋体" w:eastAsia="宋体" w:cs="宋体"/>
                <w:spacing w:val="-6"/>
                <w:sz w:val="24"/>
                <w:szCs w:val="24"/>
                <w:u w:val="single" w:color="auto"/>
              </w:rPr>
              <w:t xml:space="preserve"> 60</w:t>
            </w:r>
            <w:r>
              <w:rPr>
                <w:rFonts w:hint="eastAsia" w:ascii="宋体" w:hAnsi="宋体" w:eastAsia="宋体" w:cs="宋体"/>
                <w:spacing w:val="-60"/>
                <w:sz w:val="24"/>
                <w:szCs w:val="24"/>
                <w:u w:val="single" w:color="auto"/>
              </w:rPr>
              <w:t xml:space="preserve"> </w:t>
            </w:r>
            <w:r>
              <w:rPr>
                <w:rFonts w:hint="eastAsia" w:ascii="宋体" w:hAnsi="宋体" w:eastAsia="宋体" w:cs="宋体"/>
                <w:spacing w:val="-53"/>
                <w:sz w:val="24"/>
                <w:szCs w:val="24"/>
              </w:rPr>
              <w:t xml:space="preserve"> </w:t>
            </w:r>
            <w:r>
              <w:rPr>
                <w:rFonts w:hint="eastAsia" w:ascii="宋体" w:hAnsi="宋体" w:eastAsia="宋体" w:cs="宋体"/>
                <w:spacing w:val="-7"/>
                <w:sz w:val="24"/>
                <w:szCs w:val="24"/>
              </w:rPr>
              <w:t>日。</w:t>
            </w:r>
          </w:p>
        </w:tc>
      </w:tr>
      <w:tr w14:paraId="65205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1046" w:type="dxa"/>
            <w:vAlign w:val="center"/>
          </w:tcPr>
          <w:p w14:paraId="34C09FCB">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160A2290">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0214748">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56604E6C">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3B138A1">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5B15F49B">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444BD4D2">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971FBC6">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1CED42AA">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2E0D39DC">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6826FF38">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4C36A848">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3A9B5F0">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2AD2E5BA">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10E3A08B">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7073F730">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6409C143">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81" w:leftChars="0"/>
              <w:jc w:val="center"/>
              <w:textAlignment w:val="baseline"/>
              <w:rPr>
                <w:rFonts w:hint="eastAsia" w:ascii="宋体" w:hAnsi="宋体" w:eastAsia="宋体" w:cs="宋体"/>
                <w:spacing w:val="-5"/>
                <w:sz w:val="24"/>
                <w:szCs w:val="24"/>
              </w:rPr>
            </w:pPr>
            <w:r>
              <w:rPr>
                <w:rFonts w:hint="eastAsia" w:ascii="宋体" w:hAnsi="宋体" w:eastAsia="宋体" w:cs="宋体"/>
                <w:spacing w:val="-7"/>
                <w:sz w:val="24"/>
                <w:szCs w:val="24"/>
              </w:rPr>
              <w:t>17.1</w:t>
            </w:r>
          </w:p>
        </w:tc>
        <w:tc>
          <w:tcPr>
            <w:tcW w:w="8313" w:type="dxa"/>
            <w:vAlign w:val="top"/>
          </w:tcPr>
          <w:p w14:paraId="4494E139">
            <w:pPr>
              <w:pStyle w:val="12"/>
              <w:keepNext w:val="0"/>
              <w:keepLines w:val="0"/>
              <w:pageBreakBefore w:val="0"/>
              <w:widowControl/>
              <w:shd w:val="clear"/>
              <w:kinsoku w:val="0"/>
              <w:wordWrap/>
              <w:overflowPunct/>
              <w:topLinePunct w:val="0"/>
              <w:autoSpaceDE w:val="0"/>
              <w:autoSpaceDN w:val="0"/>
              <w:bidi w:val="0"/>
              <w:adjustRightInd w:val="0"/>
              <w:snapToGrid w:val="0"/>
              <w:spacing w:before="107" w:line="240" w:lineRule="auto"/>
              <w:ind w:left="138"/>
              <w:textAlignment w:val="baseline"/>
              <w:rPr>
                <w:rFonts w:hint="eastAsia" w:ascii="宋体" w:hAnsi="宋体" w:eastAsia="宋体" w:cs="宋体"/>
                <w:sz w:val="24"/>
                <w:szCs w:val="24"/>
              </w:rPr>
            </w:pPr>
            <w:r>
              <w:rPr>
                <w:rFonts w:hint="eastAsia" w:ascii="宋体" w:hAnsi="宋体" w:eastAsia="宋体" w:cs="宋体"/>
                <w:spacing w:val="-3"/>
                <w:sz w:val="24"/>
                <w:szCs w:val="24"/>
              </w:rPr>
              <w:t>□本项目不收取竞标保证金。</w:t>
            </w:r>
          </w:p>
          <w:p w14:paraId="22719D5C">
            <w:pPr>
              <w:pStyle w:val="12"/>
              <w:keepNext w:val="0"/>
              <w:keepLines w:val="0"/>
              <w:pageBreakBefore w:val="0"/>
              <w:widowControl/>
              <w:shd w:val="clear"/>
              <w:kinsoku w:val="0"/>
              <w:wordWrap/>
              <w:overflowPunct/>
              <w:topLinePunct w:val="0"/>
              <w:autoSpaceDE w:val="0"/>
              <w:autoSpaceDN w:val="0"/>
              <w:bidi w:val="0"/>
              <w:adjustRightInd w:val="0"/>
              <w:snapToGrid w:val="0"/>
              <w:spacing w:before="159" w:line="240" w:lineRule="auto"/>
              <w:ind w:left="123"/>
              <w:textAlignment w:val="baseline"/>
              <w:rPr>
                <w:rFonts w:hint="eastAsia" w:ascii="宋体" w:hAnsi="宋体" w:eastAsia="宋体" w:cs="宋体"/>
                <w:sz w:val="24"/>
                <w:szCs w:val="24"/>
              </w:rPr>
            </w:pPr>
            <w:r>
              <w:rPr>
                <w:rFonts w:hint="eastAsia" w:ascii="宋体" w:hAnsi="宋体" w:eastAsia="宋体" w:cs="宋体"/>
                <w:spacing w:val="-1"/>
                <w:sz w:val="24"/>
                <w:szCs w:val="24"/>
              </w:rPr>
              <w:t>☑本项目收取竞标保证金，具体规定如下：</w:t>
            </w:r>
          </w:p>
          <w:p w14:paraId="0679D467">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61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1、竞标保证金人民币</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u w:val="single" w:color="auto"/>
                <w:lang w:val="en-US" w:eastAsia="zh-CN"/>
              </w:rPr>
              <w:t>8</w:t>
            </w:r>
            <w:r>
              <w:rPr>
                <w:rFonts w:hint="eastAsia" w:ascii="宋体" w:hAnsi="宋体" w:eastAsia="宋体" w:cs="宋体"/>
                <w:color w:val="auto"/>
                <w:spacing w:val="-3"/>
                <w:sz w:val="24"/>
                <w:szCs w:val="24"/>
                <w:u w:val="single" w:color="auto"/>
              </w:rPr>
              <w:t>000.00</w:t>
            </w:r>
            <w:r>
              <w:rPr>
                <w:rFonts w:hint="eastAsia" w:ascii="宋体" w:hAnsi="宋体" w:eastAsia="宋体" w:cs="宋体"/>
                <w:color w:val="auto"/>
                <w:spacing w:val="-25"/>
                <w:sz w:val="24"/>
                <w:szCs w:val="24"/>
                <w:u w:val="single" w:color="auto"/>
              </w:rPr>
              <w:t xml:space="preserve"> </w:t>
            </w:r>
            <w:r>
              <w:rPr>
                <w:rFonts w:hint="eastAsia" w:ascii="宋体" w:hAnsi="宋体" w:eastAsia="宋体" w:cs="宋体"/>
                <w:color w:val="auto"/>
                <w:spacing w:val="-3"/>
                <w:sz w:val="24"/>
                <w:szCs w:val="24"/>
              </w:rPr>
              <w:t>元。</w:t>
            </w:r>
          </w:p>
          <w:p w14:paraId="2657710C">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595"/>
              <w:textAlignment w:val="baseline"/>
              <w:rPr>
                <w:rFonts w:hint="eastAsia" w:ascii="宋体" w:hAnsi="宋体" w:eastAsia="宋体" w:cs="宋体"/>
                <w:sz w:val="24"/>
                <w:szCs w:val="24"/>
              </w:rPr>
            </w:pPr>
            <w:r>
              <w:rPr>
                <w:rFonts w:hint="eastAsia" w:ascii="宋体" w:hAnsi="宋体" w:eastAsia="宋体" w:cs="宋体"/>
                <w:spacing w:val="-2"/>
                <w:sz w:val="24"/>
                <w:szCs w:val="24"/>
              </w:rPr>
              <w:t>2、竞标保证金指定账户</w:t>
            </w:r>
          </w:p>
          <w:p w14:paraId="75439DA5">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597"/>
              <w:textAlignment w:val="baseline"/>
              <w:rPr>
                <w:rFonts w:hint="eastAsia" w:ascii="宋体" w:hAnsi="宋体" w:eastAsia="宋体" w:cs="宋体"/>
                <w:sz w:val="24"/>
                <w:szCs w:val="24"/>
              </w:rPr>
            </w:pPr>
            <w:r>
              <w:rPr>
                <w:rFonts w:hint="eastAsia" w:ascii="宋体" w:hAnsi="宋体" w:eastAsia="宋体" w:cs="宋体"/>
                <w:spacing w:val="-1"/>
                <w:sz w:val="24"/>
                <w:szCs w:val="24"/>
              </w:rPr>
              <w:t>账户名称：藤县公共资源交易中心</w:t>
            </w:r>
          </w:p>
          <w:p w14:paraId="142EC667">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597"/>
              <w:textAlignment w:val="baseline"/>
              <w:rPr>
                <w:rFonts w:hint="eastAsia" w:ascii="宋体" w:hAnsi="宋体" w:eastAsia="宋体" w:cs="宋体"/>
                <w:sz w:val="24"/>
                <w:szCs w:val="24"/>
              </w:rPr>
            </w:pPr>
            <w:r>
              <w:rPr>
                <w:rFonts w:hint="eastAsia" w:ascii="宋体" w:hAnsi="宋体" w:eastAsia="宋体" w:cs="宋体"/>
                <w:spacing w:val="-1"/>
                <w:sz w:val="24"/>
                <w:szCs w:val="24"/>
              </w:rPr>
              <w:t>账户银行：广西藤县桂银村镇银行有限公司</w:t>
            </w:r>
          </w:p>
          <w:p w14:paraId="765AC76B">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610"/>
              <w:textAlignment w:val="baseline"/>
              <w:rPr>
                <w:rFonts w:hint="eastAsia" w:ascii="宋体" w:hAnsi="宋体" w:eastAsia="宋体" w:cs="宋体"/>
                <w:sz w:val="24"/>
                <w:szCs w:val="24"/>
              </w:rPr>
            </w:pPr>
            <w:r>
              <w:rPr>
                <w:rFonts w:hint="eastAsia" w:ascii="宋体" w:hAnsi="宋体" w:eastAsia="宋体" w:cs="宋体"/>
                <w:spacing w:val="-2"/>
                <w:sz w:val="24"/>
                <w:szCs w:val="24"/>
              </w:rPr>
              <w:t>帐号：6666 0008 5802</w:t>
            </w:r>
            <w:r>
              <w:rPr>
                <w:rFonts w:hint="eastAsia" w:ascii="宋体" w:hAnsi="宋体" w:eastAsia="宋体" w:cs="宋体"/>
                <w:spacing w:val="9"/>
                <w:sz w:val="24"/>
                <w:szCs w:val="24"/>
              </w:rPr>
              <w:t xml:space="preserve"> </w:t>
            </w:r>
            <w:r>
              <w:rPr>
                <w:rFonts w:hint="eastAsia" w:ascii="宋体" w:hAnsi="宋体" w:eastAsia="宋体" w:cs="宋体"/>
                <w:spacing w:val="-2"/>
                <w:sz w:val="24"/>
                <w:szCs w:val="24"/>
              </w:rPr>
              <w:t>9000</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10-</w:t>
            </w:r>
            <w:r>
              <w:rPr>
                <w:rFonts w:hint="eastAsia" w:ascii="宋体" w:hAnsi="宋体" w:eastAsia="宋体" w:cs="宋体"/>
                <w:spacing w:val="-3"/>
                <w:sz w:val="24"/>
                <w:szCs w:val="24"/>
              </w:rPr>
              <w:t>00000</w:t>
            </w:r>
          </w:p>
          <w:p w14:paraId="21134E8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3、竞标保证金的交纳方式：银行转账、支票、汇票、本票或者银行、</w:t>
            </w:r>
            <w:r>
              <w:rPr>
                <w:rFonts w:hint="eastAsia" w:ascii="宋体" w:hAnsi="宋体" w:eastAsia="宋体" w:cs="宋体"/>
                <w:sz w:val="24"/>
                <w:szCs w:val="24"/>
              </w:rPr>
              <w:t>保险机构出具的保函，禁止采用现钞方式。采用银行转账方式的，</w:t>
            </w:r>
            <w:r>
              <w:rPr>
                <w:rFonts w:hint="eastAsia" w:ascii="宋体" w:hAnsi="宋体" w:eastAsia="宋体" w:cs="宋体"/>
                <w:spacing w:val="-1"/>
                <w:sz w:val="24"/>
                <w:szCs w:val="24"/>
              </w:rPr>
              <w:t>在竞标</w:t>
            </w:r>
            <w:r>
              <w:rPr>
                <w:rFonts w:hint="eastAsia" w:ascii="宋体" w:hAnsi="宋体" w:eastAsia="宋体" w:cs="宋体"/>
                <w:sz w:val="24"/>
                <w:szCs w:val="24"/>
              </w:rPr>
              <w:t>截止时间前交至指定账户并且到账；采用支票、汇票、本票或者保函等方式的，在竞标截止时间前，供应商必须递交单独密封的支票、汇票</w:t>
            </w:r>
            <w:r>
              <w:rPr>
                <w:rFonts w:hint="eastAsia" w:ascii="宋体" w:hAnsi="宋体" w:eastAsia="宋体" w:cs="宋体"/>
                <w:spacing w:val="-1"/>
                <w:sz w:val="24"/>
                <w:szCs w:val="24"/>
              </w:rPr>
              <w:t>、本票或者保函原件。否则视为无效竞标保证金。</w:t>
            </w:r>
          </w:p>
          <w:p w14:paraId="0AD2A14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4、相关要求：</w:t>
            </w:r>
          </w:p>
          <w:p w14:paraId="4821E06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（1）竞标保证金采用银行转账交纳方式的，在竞标截止时间前交至指定账户并且到账，供应商应将银行转账底单的复印件作为竞标保证金提交凭证，放置于商务文件中，否则竞标无效。</w:t>
            </w:r>
          </w:p>
          <w:p w14:paraId="5269C11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竞标保证金采用支票、汇票、本票或者银行、保险机构出具的保函交纳方式的，供应商应将支票、汇票、本票或者银行、保险机构出具的保函的复印件作为竞标保证金提交凭证，放置于商务文件中，否则竞标无效。</w:t>
            </w:r>
          </w:p>
          <w:p w14:paraId="2BADDC1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竞标保证金采用支票、汇票、本票或者银行、保险机构出具的保函交纳方式的，供应商必须在竞标截止时间前采用现场或邮寄方式将单独密封的支票、汇票、本票或者银行、保险机构出具的保函原件提交给藤县公共资源交易中心（现场提交地址：藤县公共资源交易中心（藤县新源大道 2 号（新政务中心大楼）9 楼开标厅，具体详见开标当天 2 楼走廊大屏幕指引）,联系人：财务人员；采用邮寄的风险由供应商自行承担）。</w:t>
            </w:r>
          </w:p>
          <w:p w14:paraId="3A9A47D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（3）供应商为联合体的，可以由联合体中的一方或者多方共同交纳竞标保证金，其交纳的保证金对联合体各方均具有约束力。</w:t>
            </w:r>
          </w:p>
          <w:p w14:paraId="79211D4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（4）供应商为联合体的，可以由联合体中的一方或者多方共同交纳竞标保证金，其交纳的保证金对联合体各方均具有约束力。</w:t>
            </w:r>
          </w:p>
          <w:p w14:paraId="50BD676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6" w:firstLineChars="200"/>
              <w:textAlignment w:val="baseline"/>
              <w:rPr>
                <w:rFonts w:hint="eastAsia" w:ascii="宋体" w:hAnsi="宋体" w:eastAsia="宋体" w:cs="宋体"/>
                <w:sz w:val="24"/>
                <w:szCs w:val="24"/>
              </w:rPr>
            </w:pPr>
            <w:r>
              <w:rPr>
                <w:rFonts w:hint="eastAsia" w:ascii="宋体" w:hAnsi="宋体" w:eastAsia="宋体" w:cs="宋体"/>
                <w:b/>
                <w:bCs/>
                <w:spacing w:val="-9"/>
                <w:sz w:val="24"/>
                <w:szCs w:val="24"/>
              </w:rPr>
              <w:t>备注：</w:t>
            </w:r>
          </w:p>
          <w:p w14:paraId="72350A6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（1）竞标保证金在竞标截止时间后提交的，或者不按规定交纳方式交纳的，或者未足额交纳的（包含保函额度不足的），视为无效竞标保证金。</w:t>
            </w:r>
          </w:p>
          <w:p w14:paraId="598AB16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（2）供应商采用现钞方式或者从个人账户（ 自然人竞标除外）转出的竞标保证金，视为无效竞标保证金。</w:t>
            </w:r>
          </w:p>
          <w:p w14:paraId="661F3AC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（3）支票、汇票或者本票出现无效或者背书情形的，视为无效竞标保证金。</w:t>
            </w:r>
          </w:p>
          <w:p w14:paraId="540B021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（4）保函有效期低于竞标有效期的，视为无效竞标保证金。</w:t>
            </w:r>
          </w:p>
          <w:p w14:paraId="6546F76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spacing w:val="-1"/>
                <w:sz w:val="24"/>
                <w:szCs w:val="24"/>
              </w:rPr>
            </w:pPr>
            <w:r>
              <w:rPr>
                <w:rFonts w:hint="eastAsia" w:ascii="宋体" w:hAnsi="宋体" w:eastAsia="宋体" w:cs="宋体"/>
                <w:b/>
                <w:bCs/>
                <w:spacing w:val="-2"/>
                <w:sz w:val="24"/>
                <w:szCs w:val="24"/>
              </w:rPr>
              <w:t>（5）采用银行、保险机构出具保函的，必须为无条件保函，否则视为无效竞标保证金。</w:t>
            </w:r>
          </w:p>
        </w:tc>
      </w:tr>
      <w:tr w14:paraId="45E1B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1046" w:type="dxa"/>
            <w:vAlign w:val="top"/>
          </w:tcPr>
          <w:p w14:paraId="428D505F">
            <w:pPr>
              <w:pStyle w:val="12"/>
              <w:keepNext w:val="0"/>
              <w:keepLines w:val="0"/>
              <w:pageBreakBefore w:val="0"/>
              <w:widowControl/>
              <w:shd w:val="clear"/>
              <w:kinsoku w:val="0"/>
              <w:wordWrap/>
              <w:overflowPunct/>
              <w:topLinePunct w:val="0"/>
              <w:autoSpaceDE w:val="0"/>
              <w:autoSpaceDN w:val="0"/>
              <w:bidi w:val="0"/>
              <w:adjustRightInd w:val="0"/>
              <w:snapToGrid w:val="0"/>
              <w:spacing w:before="119" w:line="240" w:lineRule="auto"/>
              <w:ind w:left="401" w:leftChars="0"/>
              <w:textAlignment w:val="baseline"/>
              <w:rPr>
                <w:rFonts w:hint="eastAsia" w:ascii="宋体" w:hAnsi="宋体" w:eastAsia="宋体" w:cs="宋体"/>
                <w:spacing w:val="-7"/>
                <w:sz w:val="24"/>
                <w:szCs w:val="24"/>
              </w:rPr>
            </w:pPr>
            <w:r>
              <w:rPr>
                <w:rFonts w:hint="eastAsia" w:ascii="宋体" w:hAnsi="宋体" w:eastAsia="宋体" w:cs="宋体"/>
                <w:spacing w:val="-14"/>
                <w:sz w:val="24"/>
                <w:szCs w:val="24"/>
              </w:rPr>
              <w:t>19</w:t>
            </w:r>
          </w:p>
        </w:tc>
        <w:tc>
          <w:tcPr>
            <w:tcW w:w="8313" w:type="dxa"/>
            <w:vAlign w:val="top"/>
          </w:tcPr>
          <w:p w14:paraId="5B440FC2">
            <w:pPr>
              <w:pStyle w:val="12"/>
              <w:keepNext w:val="0"/>
              <w:keepLines w:val="0"/>
              <w:pageBreakBefore w:val="0"/>
              <w:widowControl/>
              <w:shd w:val="clear"/>
              <w:kinsoku w:val="0"/>
              <w:wordWrap/>
              <w:overflowPunct/>
              <w:topLinePunct w:val="0"/>
              <w:autoSpaceDE w:val="0"/>
              <w:autoSpaceDN w:val="0"/>
              <w:bidi w:val="0"/>
              <w:adjustRightInd w:val="0"/>
              <w:snapToGrid w:val="0"/>
              <w:spacing w:before="158" w:line="240" w:lineRule="auto"/>
              <w:ind w:left="121" w:leftChars="0"/>
              <w:textAlignment w:val="baseline"/>
              <w:rPr>
                <w:rFonts w:hint="eastAsia" w:ascii="宋体" w:hAnsi="宋体" w:eastAsia="宋体" w:cs="宋体"/>
                <w:b/>
                <w:bCs/>
                <w:spacing w:val="1"/>
                <w:sz w:val="24"/>
                <w:szCs w:val="24"/>
                <w:lang w:val="en-US" w:eastAsia="zh-CN"/>
              </w:rPr>
            </w:pPr>
            <w:r>
              <w:rPr>
                <w:rFonts w:hint="eastAsia" w:ascii="宋体" w:hAnsi="宋体" w:eastAsia="宋体" w:cs="宋体"/>
                <w:spacing w:val="-2"/>
                <w:sz w:val="24"/>
                <w:szCs w:val="24"/>
              </w:rPr>
              <w:t>本项目不接受电子备份响应文件</w:t>
            </w:r>
            <w:r>
              <w:rPr>
                <w:rFonts w:hint="eastAsia" w:ascii="宋体" w:hAnsi="宋体" w:eastAsia="宋体" w:cs="宋体"/>
                <w:spacing w:val="-2"/>
                <w:sz w:val="24"/>
                <w:szCs w:val="24"/>
                <w:lang w:eastAsia="zh-CN"/>
              </w:rPr>
              <w:t>。</w:t>
            </w:r>
          </w:p>
        </w:tc>
      </w:tr>
      <w:tr w14:paraId="4AFF3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jc w:val="center"/>
        </w:trPr>
        <w:tc>
          <w:tcPr>
            <w:tcW w:w="1046" w:type="dxa"/>
            <w:vAlign w:val="top"/>
          </w:tcPr>
          <w:p w14:paraId="147E7E11">
            <w:pPr>
              <w:pStyle w:val="12"/>
              <w:keepNext w:val="0"/>
              <w:keepLines w:val="0"/>
              <w:pageBreakBefore w:val="0"/>
              <w:widowControl/>
              <w:shd w:val="clear"/>
              <w:kinsoku w:val="0"/>
              <w:wordWrap/>
              <w:overflowPunct/>
              <w:topLinePunct w:val="0"/>
              <w:autoSpaceDE w:val="0"/>
              <w:autoSpaceDN w:val="0"/>
              <w:bidi w:val="0"/>
              <w:adjustRightInd w:val="0"/>
              <w:snapToGrid w:val="0"/>
              <w:spacing w:before="304" w:line="240" w:lineRule="auto"/>
              <w:ind w:left="266" w:leftChars="0"/>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20.1</w:t>
            </w:r>
          </w:p>
        </w:tc>
        <w:tc>
          <w:tcPr>
            <w:tcW w:w="8313" w:type="dxa"/>
            <w:vAlign w:val="top"/>
          </w:tcPr>
          <w:p w14:paraId="38BEA3DC">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127"/>
              <w:textAlignment w:val="baseline"/>
              <w:rPr>
                <w:rFonts w:hint="eastAsia" w:ascii="宋体" w:hAnsi="宋体" w:eastAsia="宋体" w:cs="宋体"/>
                <w:sz w:val="24"/>
                <w:szCs w:val="24"/>
              </w:rPr>
            </w:pPr>
            <w:r>
              <w:rPr>
                <w:rFonts w:hint="eastAsia" w:ascii="宋体" w:hAnsi="宋体" w:eastAsia="宋体" w:cs="宋体"/>
                <w:spacing w:val="-2"/>
                <w:sz w:val="24"/>
                <w:szCs w:val="24"/>
              </w:rPr>
              <w:t>响应文件提交截止时间：详见竞争性磋商公告。</w:t>
            </w:r>
          </w:p>
          <w:p w14:paraId="2F925D7F">
            <w:pPr>
              <w:pStyle w:val="12"/>
              <w:keepNext w:val="0"/>
              <w:keepLines w:val="0"/>
              <w:pageBreakBefore w:val="0"/>
              <w:widowControl/>
              <w:shd w:val="clear"/>
              <w:kinsoku w:val="0"/>
              <w:wordWrap/>
              <w:overflowPunct/>
              <w:topLinePunct w:val="0"/>
              <w:autoSpaceDE w:val="0"/>
              <w:autoSpaceDN w:val="0"/>
              <w:bidi w:val="0"/>
              <w:adjustRightInd w:val="0"/>
              <w:snapToGrid w:val="0"/>
              <w:spacing w:before="134" w:line="240" w:lineRule="auto"/>
              <w:ind w:left="127" w:leftChars="0"/>
              <w:textAlignment w:val="baseline"/>
              <w:rPr>
                <w:rFonts w:hint="eastAsia" w:ascii="宋体" w:hAnsi="宋体" w:eastAsia="宋体" w:cs="宋体"/>
                <w:b/>
                <w:bCs/>
                <w:spacing w:val="1"/>
                <w:sz w:val="24"/>
                <w:szCs w:val="24"/>
              </w:rPr>
            </w:pPr>
            <w:r>
              <w:rPr>
                <w:rFonts w:hint="eastAsia" w:ascii="宋体" w:hAnsi="宋体" w:eastAsia="宋体" w:cs="宋体"/>
                <w:spacing w:val="-2"/>
                <w:sz w:val="24"/>
                <w:szCs w:val="24"/>
              </w:rPr>
              <w:t>响应文件提交地点：详见竞争性磋商公告。</w:t>
            </w:r>
          </w:p>
        </w:tc>
      </w:tr>
      <w:tr w14:paraId="6299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1046" w:type="dxa"/>
            <w:vAlign w:val="top"/>
          </w:tcPr>
          <w:p w14:paraId="4919DC77">
            <w:pPr>
              <w:pStyle w:val="12"/>
              <w:keepNext w:val="0"/>
              <w:keepLines w:val="0"/>
              <w:pageBreakBefore w:val="0"/>
              <w:widowControl/>
              <w:shd w:val="clear"/>
              <w:kinsoku w:val="0"/>
              <w:wordWrap/>
              <w:overflowPunct/>
              <w:topLinePunct w:val="0"/>
              <w:autoSpaceDE w:val="0"/>
              <w:autoSpaceDN w:val="0"/>
              <w:bidi w:val="0"/>
              <w:adjustRightInd w:val="0"/>
              <w:snapToGrid w:val="0"/>
              <w:spacing w:before="155" w:line="240" w:lineRule="auto"/>
              <w:ind w:left="266" w:leftChars="0"/>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24.1</w:t>
            </w:r>
          </w:p>
        </w:tc>
        <w:tc>
          <w:tcPr>
            <w:tcW w:w="8313" w:type="dxa"/>
            <w:vAlign w:val="top"/>
          </w:tcPr>
          <w:p w14:paraId="0B2E07DA">
            <w:pPr>
              <w:pStyle w:val="12"/>
              <w:keepNext w:val="0"/>
              <w:keepLines w:val="0"/>
              <w:pageBreakBefore w:val="0"/>
              <w:widowControl/>
              <w:shd w:val="clear"/>
              <w:kinsoku w:val="0"/>
              <w:wordWrap/>
              <w:overflowPunct/>
              <w:topLinePunct w:val="0"/>
              <w:autoSpaceDE w:val="0"/>
              <w:autoSpaceDN w:val="0"/>
              <w:bidi w:val="0"/>
              <w:adjustRightInd w:val="0"/>
              <w:snapToGrid w:val="0"/>
              <w:spacing w:before="193" w:line="240" w:lineRule="auto"/>
              <w:ind w:left="119" w:leftChars="0"/>
              <w:textAlignment w:val="baseline"/>
              <w:rPr>
                <w:rFonts w:hint="eastAsia" w:ascii="宋体" w:hAnsi="宋体" w:eastAsia="宋体" w:cs="宋体"/>
                <w:b/>
                <w:bCs/>
                <w:spacing w:val="1"/>
                <w:sz w:val="24"/>
                <w:szCs w:val="24"/>
              </w:rPr>
            </w:pPr>
            <w:r>
              <w:rPr>
                <w:rFonts w:hint="eastAsia" w:ascii="宋体" w:hAnsi="宋体" w:eastAsia="宋体" w:cs="宋体"/>
                <w:spacing w:val="-2"/>
                <w:sz w:val="24"/>
                <w:szCs w:val="24"/>
              </w:rPr>
              <w:t>磋商小组的人数：采购人代表</w:t>
            </w:r>
            <w:r>
              <w:rPr>
                <w:rFonts w:hint="eastAsia" w:ascii="宋体" w:hAnsi="宋体" w:eastAsia="宋体" w:cs="宋体"/>
                <w:spacing w:val="-31"/>
                <w:sz w:val="24"/>
                <w:szCs w:val="24"/>
              </w:rPr>
              <w:t xml:space="preserve"> </w:t>
            </w:r>
            <w:r>
              <w:rPr>
                <w:rFonts w:hint="eastAsia" w:ascii="宋体" w:hAnsi="宋体" w:eastAsia="宋体" w:cs="宋体"/>
                <w:spacing w:val="-2"/>
                <w:sz w:val="24"/>
                <w:szCs w:val="24"/>
              </w:rPr>
              <w:t>1</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人和评审专家2</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人，共</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人组成。</w:t>
            </w:r>
          </w:p>
        </w:tc>
      </w:tr>
      <w:tr w14:paraId="1968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jc w:val="center"/>
        </w:trPr>
        <w:tc>
          <w:tcPr>
            <w:tcW w:w="1046" w:type="dxa"/>
            <w:vAlign w:val="top"/>
          </w:tcPr>
          <w:p w14:paraId="0E173CC8">
            <w:pPr>
              <w:pStyle w:val="12"/>
              <w:keepNext w:val="0"/>
              <w:keepLines w:val="0"/>
              <w:pageBreakBefore w:val="0"/>
              <w:widowControl/>
              <w:shd w:val="clear"/>
              <w:kinsoku w:val="0"/>
              <w:wordWrap/>
              <w:overflowPunct/>
              <w:topLinePunct w:val="0"/>
              <w:autoSpaceDE w:val="0"/>
              <w:autoSpaceDN w:val="0"/>
              <w:bidi w:val="0"/>
              <w:adjustRightInd w:val="0"/>
              <w:snapToGrid w:val="0"/>
              <w:spacing w:before="304" w:line="240" w:lineRule="auto"/>
              <w:ind w:left="386" w:leftChars="0"/>
              <w:textAlignment w:val="baseline"/>
              <w:rPr>
                <w:rFonts w:hint="eastAsia" w:ascii="宋体" w:hAnsi="宋体" w:eastAsia="宋体" w:cs="宋体"/>
                <w:spacing w:val="-7"/>
                <w:sz w:val="24"/>
                <w:szCs w:val="24"/>
              </w:rPr>
            </w:pPr>
            <w:r>
              <w:rPr>
                <w:rFonts w:hint="eastAsia" w:ascii="宋体" w:hAnsi="宋体" w:eastAsia="宋体" w:cs="宋体"/>
                <w:spacing w:val="-6"/>
                <w:sz w:val="24"/>
                <w:szCs w:val="24"/>
              </w:rPr>
              <w:t>25</w:t>
            </w:r>
          </w:p>
        </w:tc>
        <w:tc>
          <w:tcPr>
            <w:tcW w:w="8313" w:type="dxa"/>
            <w:vAlign w:val="top"/>
          </w:tcPr>
          <w:p w14:paraId="18EE86FF">
            <w:pPr>
              <w:pStyle w:val="12"/>
              <w:keepNext w:val="0"/>
              <w:keepLines w:val="0"/>
              <w:pageBreakBefore w:val="0"/>
              <w:widowControl/>
              <w:shd w:val="clear"/>
              <w:kinsoku w:val="0"/>
              <w:wordWrap/>
              <w:overflowPunct/>
              <w:topLinePunct w:val="0"/>
              <w:autoSpaceDE w:val="0"/>
              <w:autoSpaceDN w:val="0"/>
              <w:bidi w:val="0"/>
              <w:adjustRightInd w:val="0"/>
              <w:snapToGrid w:val="0"/>
              <w:spacing w:before="134" w:line="240" w:lineRule="auto"/>
              <w:ind w:left="127"/>
              <w:textAlignment w:val="baseline"/>
              <w:rPr>
                <w:rFonts w:hint="eastAsia" w:ascii="宋体" w:hAnsi="宋体" w:eastAsia="宋体" w:cs="宋体"/>
                <w:sz w:val="24"/>
                <w:szCs w:val="24"/>
              </w:rPr>
            </w:pPr>
            <w:r>
              <w:rPr>
                <w:rFonts w:hint="eastAsia" w:ascii="宋体" w:hAnsi="宋体" w:eastAsia="宋体" w:cs="宋体"/>
                <w:spacing w:val="2"/>
                <w:sz w:val="24"/>
                <w:szCs w:val="24"/>
              </w:rPr>
              <w:t>首次响应文件开启时间详见“竞争性磋商公告</w:t>
            </w:r>
            <w:r>
              <w:rPr>
                <w:rFonts w:hint="eastAsia" w:ascii="宋体" w:hAnsi="宋体" w:eastAsia="宋体" w:cs="宋体"/>
                <w:spacing w:val="-72"/>
                <w:sz w:val="24"/>
                <w:szCs w:val="24"/>
              </w:rPr>
              <w:t xml:space="preserve"> </w:t>
            </w:r>
            <w:r>
              <w:rPr>
                <w:rFonts w:hint="eastAsia" w:ascii="宋体" w:hAnsi="宋体" w:eastAsia="宋体" w:cs="宋体"/>
                <w:spacing w:val="2"/>
                <w:sz w:val="24"/>
                <w:szCs w:val="24"/>
              </w:rPr>
              <w:t>”</w:t>
            </w:r>
          </w:p>
          <w:p w14:paraId="2707A895">
            <w:pPr>
              <w:pStyle w:val="12"/>
              <w:keepNext w:val="0"/>
              <w:keepLines w:val="0"/>
              <w:pageBreakBefore w:val="0"/>
              <w:widowControl/>
              <w:shd w:val="clear"/>
              <w:kinsoku w:val="0"/>
              <w:wordWrap/>
              <w:overflowPunct/>
              <w:topLinePunct w:val="0"/>
              <w:autoSpaceDE w:val="0"/>
              <w:autoSpaceDN w:val="0"/>
              <w:bidi w:val="0"/>
              <w:adjustRightInd w:val="0"/>
              <w:snapToGrid w:val="0"/>
              <w:spacing w:before="134" w:line="240" w:lineRule="auto"/>
              <w:ind w:left="127" w:leftChars="0"/>
              <w:textAlignment w:val="baseline"/>
              <w:rPr>
                <w:rFonts w:hint="eastAsia" w:ascii="宋体" w:hAnsi="宋体" w:eastAsia="宋体" w:cs="宋体"/>
                <w:b/>
                <w:bCs/>
                <w:spacing w:val="1"/>
                <w:sz w:val="24"/>
                <w:szCs w:val="24"/>
              </w:rPr>
            </w:pPr>
            <w:r>
              <w:rPr>
                <w:rFonts w:hint="eastAsia" w:ascii="宋体" w:hAnsi="宋体" w:eastAsia="宋体" w:cs="宋体"/>
                <w:spacing w:val="-2"/>
                <w:sz w:val="24"/>
                <w:szCs w:val="24"/>
              </w:rPr>
              <w:t>首次响应文件解密时间：</w:t>
            </w:r>
            <w:r>
              <w:rPr>
                <w:rFonts w:hint="eastAsia" w:ascii="宋体" w:hAnsi="宋体" w:eastAsia="宋体" w:cs="宋体"/>
                <w:spacing w:val="-2"/>
                <w:sz w:val="24"/>
                <w:szCs w:val="24"/>
                <w:u w:val="single" w:color="auto"/>
              </w:rPr>
              <w:t xml:space="preserve">30 </w:t>
            </w:r>
            <w:r>
              <w:rPr>
                <w:rFonts w:hint="eastAsia" w:ascii="宋体" w:hAnsi="宋体" w:eastAsia="宋体" w:cs="宋体"/>
                <w:spacing w:val="-2"/>
                <w:sz w:val="24"/>
                <w:szCs w:val="24"/>
              </w:rPr>
              <w:t>分钟</w:t>
            </w:r>
          </w:p>
        </w:tc>
      </w:tr>
      <w:tr w14:paraId="1D7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046" w:type="dxa"/>
            <w:vAlign w:val="center"/>
          </w:tcPr>
          <w:p w14:paraId="37B08EEF">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jc w:val="center"/>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26.3</w:t>
            </w:r>
          </w:p>
        </w:tc>
        <w:tc>
          <w:tcPr>
            <w:tcW w:w="8313" w:type="dxa"/>
            <w:vAlign w:val="center"/>
          </w:tcPr>
          <w:p w14:paraId="16EFEDB8">
            <w:pPr>
              <w:pStyle w:val="12"/>
              <w:keepNext w:val="0"/>
              <w:keepLines w:val="0"/>
              <w:pageBreakBefore w:val="0"/>
              <w:widowControl/>
              <w:shd w:val="clear"/>
              <w:kinsoku w:val="0"/>
              <w:wordWrap/>
              <w:overflowPunct/>
              <w:topLinePunct w:val="0"/>
              <w:autoSpaceDE w:val="0"/>
              <w:autoSpaceDN w:val="0"/>
              <w:bidi w:val="0"/>
              <w:adjustRightInd w:val="0"/>
              <w:snapToGrid w:val="0"/>
              <w:spacing w:before="193" w:line="240" w:lineRule="auto"/>
              <w:ind w:left="119" w:leftChars="0"/>
              <w:jc w:val="both"/>
              <w:textAlignment w:val="baseline"/>
              <w:rPr>
                <w:rFonts w:hint="eastAsia" w:ascii="宋体" w:hAnsi="宋体" w:eastAsia="宋体" w:cs="宋体"/>
                <w:b/>
                <w:bCs/>
                <w:spacing w:val="1"/>
                <w:sz w:val="24"/>
                <w:szCs w:val="24"/>
                <w:lang w:eastAsia="zh-CN"/>
              </w:rPr>
            </w:pPr>
            <w:r>
              <w:rPr>
                <w:rFonts w:hint="eastAsia" w:ascii="宋体" w:hAnsi="宋体" w:eastAsia="宋体" w:cs="宋体"/>
                <w:spacing w:val="-2"/>
                <w:sz w:val="24"/>
                <w:szCs w:val="24"/>
              </w:rPr>
              <w:t>商务要求评审中允许负偏离的条款数为</w:t>
            </w:r>
            <w:r>
              <w:rPr>
                <w:rFonts w:hint="eastAsia" w:ascii="宋体" w:hAnsi="宋体" w:eastAsia="宋体" w:cs="宋体"/>
                <w:spacing w:val="-2"/>
                <w:sz w:val="24"/>
                <w:szCs w:val="24"/>
                <w:u w:val="single" w:color="auto"/>
              </w:rPr>
              <w:t xml:space="preserve"> 0</w:t>
            </w:r>
            <w:r>
              <w:rPr>
                <w:rFonts w:hint="eastAsia" w:ascii="宋体" w:hAnsi="宋体" w:eastAsia="宋体" w:cs="宋体"/>
                <w:spacing w:val="-44"/>
                <w:sz w:val="24"/>
                <w:szCs w:val="24"/>
                <w:u w:val="single" w:color="auto"/>
              </w:rPr>
              <w:t xml:space="preserve"> </w:t>
            </w:r>
            <w:r>
              <w:rPr>
                <w:rFonts w:hint="eastAsia" w:ascii="宋体" w:hAnsi="宋体" w:eastAsia="宋体" w:cs="宋体"/>
                <w:spacing w:val="-2"/>
                <w:sz w:val="24"/>
                <w:szCs w:val="24"/>
              </w:rPr>
              <w:t>项</w:t>
            </w:r>
            <w:r>
              <w:rPr>
                <w:rFonts w:hint="eastAsia" w:ascii="宋体" w:hAnsi="宋体" w:eastAsia="宋体" w:cs="宋体"/>
                <w:spacing w:val="-2"/>
                <w:sz w:val="24"/>
                <w:szCs w:val="24"/>
                <w:lang w:eastAsia="zh-CN"/>
              </w:rPr>
              <w:t>。</w:t>
            </w:r>
          </w:p>
        </w:tc>
      </w:tr>
      <w:tr w14:paraId="7E547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46" w:type="dxa"/>
            <w:vAlign w:val="top"/>
          </w:tcPr>
          <w:p w14:paraId="2B9F38A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767106C">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6" w:leftChars="0"/>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28.1</w:t>
            </w:r>
          </w:p>
        </w:tc>
        <w:tc>
          <w:tcPr>
            <w:tcW w:w="8313" w:type="dxa"/>
            <w:vAlign w:val="top"/>
          </w:tcPr>
          <w:p w14:paraId="6843267D">
            <w:pPr>
              <w:pStyle w:val="12"/>
              <w:keepNext w:val="0"/>
              <w:keepLines w:val="0"/>
              <w:pageBreakBefore w:val="0"/>
              <w:widowControl/>
              <w:shd w:val="clear"/>
              <w:kinsoku w:val="0"/>
              <w:wordWrap/>
              <w:overflowPunct/>
              <w:topLinePunct w:val="0"/>
              <w:autoSpaceDE w:val="0"/>
              <w:autoSpaceDN w:val="0"/>
              <w:bidi w:val="0"/>
              <w:adjustRightInd w:val="0"/>
              <w:snapToGrid w:val="0"/>
              <w:spacing w:before="108" w:line="240" w:lineRule="auto"/>
              <w:ind w:left="618"/>
              <w:textAlignment w:val="baseline"/>
              <w:rPr>
                <w:rFonts w:hint="eastAsia" w:ascii="宋体" w:hAnsi="宋体" w:eastAsia="宋体" w:cs="宋体"/>
                <w:sz w:val="24"/>
                <w:szCs w:val="24"/>
              </w:rPr>
            </w:pPr>
            <w:r>
              <w:rPr>
                <w:rFonts w:hint="eastAsia" w:ascii="宋体" w:hAnsi="宋体" w:eastAsia="宋体" w:cs="宋体"/>
                <w:spacing w:val="-3"/>
                <w:sz w:val="24"/>
                <w:szCs w:val="24"/>
              </w:rPr>
              <w:t>□本项目不收取履约保证金。</w:t>
            </w:r>
          </w:p>
          <w:p w14:paraId="410480AE">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603"/>
              <w:textAlignment w:val="baseline"/>
              <w:rPr>
                <w:rFonts w:hint="eastAsia" w:ascii="宋体" w:hAnsi="宋体" w:eastAsia="宋体" w:cs="宋体"/>
                <w:sz w:val="24"/>
                <w:szCs w:val="24"/>
              </w:rPr>
            </w:pPr>
            <w:r>
              <w:rPr>
                <w:rFonts w:hint="eastAsia" w:ascii="宋体" w:hAnsi="宋体" w:eastAsia="宋体" w:cs="宋体"/>
                <w:spacing w:val="-1"/>
                <w:sz w:val="24"/>
                <w:szCs w:val="24"/>
              </w:rPr>
              <w:t>☑本项目收取履约保证金，具体规定如下：</w:t>
            </w:r>
          </w:p>
          <w:p w14:paraId="00779AC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履约保证金金额：按成交金额的 5 %【小型和微型企业按2%】（注：履约保证金不超过政府采购合同金额的5%）。</w:t>
            </w:r>
          </w:p>
          <w:p w14:paraId="27FC3BB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履约保证金递交方式：银行转账、支票、汇票、本票或者银行、保险机构出具的保函等非现金方式（参照投标保证金）</w:t>
            </w:r>
          </w:p>
          <w:p w14:paraId="0DAF0B6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pacing w:val="-2"/>
                <w:sz w:val="24"/>
                <w:szCs w:val="24"/>
              </w:rPr>
            </w:pPr>
            <w:r>
              <w:rPr>
                <w:rFonts w:hint="eastAsia"/>
                <w:sz w:val="24"/>
                <w:szCs w:val="24"/>
              </w:rPr>
              <w:t>履约</w:t>
            </w:r>
            <w:r>
              <w:rPr>
                <w:rFonts w:hint="eastAsia" w:ascii="宋体" w:hAnsi="宋体" w:eastAsia="宋体" w:cs="宋体"/>
                <w:spacing w:val="-2"/>
                <w:sz w:val="24"/>
                <w:szCs w:val="24"/>
              </w:rPr>
              <w:t>保证金退付方式、时间及条件：退还履约保证金时中标人需向藤县公共资源交易中心提供以下资料：</w:t>
            </w:r>
          </w:p>
          <w:p w14:paraId="15811D5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 《履约保证金退付审批表》一式一份</w:t>
            </w:r>
          </w:p>
          <w:p w14:paraId="454C56A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2.附履约保证金凭据原件。</w:t>
            </w:r>
          </w:p>
          <w:p w14:paraId="7AD252D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3.附政府采购验收单。</w:t>
            </w:r>
          </w:p>
          <w:p w14:paraId="339421B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4.合同书。</w:t>
            </w:r>
          </w:p>
          <w:p w14:paraId="475D0D90">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6BD4837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履约保证金指定账户：</w:t>
            </w:r>
          </w:p>
          <w:p w14:paraId="17A53F0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开户名称：藤县公共资源交易中心</w:t>
            </w:r>
          </w:p>
          <w:p w14:paraId="5843408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账号：6666 0008 5802 9000 10-00000</w:t>
            </w:r>
          </w:p>
          <w:p w14:paraId="7FAA0C0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开户行：广西藤县桂银村镇银行有限公司</w:t>
            </w:r>
          </w:p>
          <w:p w14:paraId="099D3FB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成交人必须在转账单备注栏上注明：“项目名称和项目编号、履约保证金字样。 ”；</w:t>
            </w:r>
          </w:p>
          <w:p w14:paraId="522FA8F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50" w:firstLineChars="200"/>
              <w:textAlignment w:val="baseline"/>
              <w:rPr>
                <w:rFonts w:hint="eastAsia" w:ascii="宋体" w:hAnsi="宋体" w:eastAsia="宋体" w:cs="宋体"/>
                <w:sz w:val="24"/>
                <w:szCs w:val="24"/>
              </w:rPr>
            </w:pPr>
            <w:r>
              <w:rPr>
                <w:rFonts w:hint="eastAsia" w:ascii="宋体" w:hAnsi="宋体" w:eastAsia="宋体" w:cs="宋体"/>
                <w:b/>
                <w:bCs/>
                <w:spacing w:val="-8"/>
                <w:sz w:val="24"/>
                <w:szCs w:val="24"/>
              </w:rPr>
              <w:t>备注</w:t>
            </w:r>
            <w:r>
              <w:rPr>
                <w:rFonts w:hint="eastAsia" w:ascii="宋体" w:hAnsi="宋体" w:eastAsia="宋体" w:cs="宋体"/>
                <w:spacing w:val="-8"/>
                <w:sz w:val="24"/>
                <w:szCs w:val="24"/>
              </w:rPr>
              <w:t>：</w:t>
            </w:r>
          </w:p>
          <w:p w14:paraId="3F6DB99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6" w:firstLineChars="200"/>
              <w:textAlignment w:val="baseline"/>
              <w:rPr>
                <w:rFonts w:hint="eastAsia" w:ascii="宋体" w:hAnsi="宋体" w:eastAsia="宋体" w:cs="宋体"/>
                <w:sz w:val="24"/>
                <w:szCs w:val="24"/>
              </w:rPr>
            </w:pPr>
            <w:r>
              <w:rPr>
                <w:rFonts w:hint="eastAsia" w:ascii="宋体" w:hAnsi="宋体" w:eastAsia="宋体" w:cs="宋体"/>
                <w:b/>
                <w:bCs/>
                <w:spacing w:val="1"/>
                <w:sz w:val="24"/>
                <w:szCs w:val="24"/>
              </w:rPr>
              <w:t>1.</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根据《广西壮族自治区财政厅关于贯彻落实政府采购优化营商环</w:t>
            </w:r>
            <w:r>
              <w:rPr>
                <w:rFonts w:hint="eastAsia" w:ascii="宋体" w:hAnsi="宋体" w:eastAsia="宋体" w:cs="宋体"/>
                <w:b/>
                <w:bCs/>
                <w:spacing w:val="-15"/>
                <w:sz w:val="24"/>
                <w:szCs w:val="24"/>
              </w:rPr>
              <w:t>境百日攻坚行动方案的通知》（桂财采〔2020〕49</w:t>
            </w:r>
            <w:r>
              <w:rPr>
                <w:rFonts w:hint="eastAsia" w:ascii="宋体" w:hAnsi="宋体" w:eastAsia="宋体" w:cs="宋体"/>
                <w:spacing w:val="-38"/>
                <w:sz w:val="24"/>
                <w:szCs w:val="24"/>
              </w:rPr>
              <w:t xml:space="preserve"> </w:t>
            </w:r>
            <w:r>
              <w:rPr>
                <w:rFonts w:hint="eastAsia" w:ascii="宋体" w:hAnsi="宋体" w:eastAsia="宋体" w:cs="宋体"/>
                <w:b/>
                <w:bCs/>
                <w:spacing w:val="-15"/>
                <w:sz w:val="24"/>
                <w:szCs w:val="24"/>
              </w:rPr>
              <w:t>号）规定及桂财采〔2022〕</w:t>
            </w:r>
            <w:r>
              <w:rPr>
                <w:rFonts w:hint="eastAsia" w:ascii="宋体" w:hAnsi="宋体" w:eastAsia="宋体" w:cs="宋体"/>
                <w:sz w:val="24"/>
                <w:szCs w:val="24"/>
              </w:rPr>
              <w:t xml:space="preserve"> </w:t>
            </w:r>
            <w:r>
              <w:rPr>
                <w:rFonts w:hint="eastAsia" w:ascii="宋体" w:hAnsi="宋体" w:eastAsia="宋体" w:cs="宋体"/>
                <w:b/>
                <w:bCs/>
                <w:spacing w:val="-1"/>
                <w:sz w:val="24"/>
                <w:szCs w:val="24"/>
              </w:rPr>
              <w:t>30</w:t>
            </w:r>
            <w:r>
              <w:rPr>
                <w:rFonts w:hint="eastAsia" w:ascii="宋体" w:hAnsi="宋体" w:eastAsia="宋体" w:cs="宋体"/>
                <w:spacing w:val="-38"/>
                <w:sz w:val="24"/>
                <w:szCs w:val="24"/>
              </w:rPr>
              <w:t xml:space="preserve"> </w:t>
            </w:r>
            <w:r>
              <w:rPr>
                <w:rFonts w:hint="eastAsia" w:ascii="宋体" w:hAnsi="宋体" w:eastAsia="宋体" w:cs="宋体"/>
                <w:b/>
                <w:bCs/>
                <w:spacing w:val="-1"/>
                <w:sz w:val="24"/>
                <w:szCs w:val="24"/>
              </w:rPr>
              <w:t>号</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广西壮族自治区财政厅关于进一步发挥政府</w:t>
            </w:r>
            <w:r>
              <w:rPr>
                <w:rFonts w:hint="eastAsia" w:ascii="宋体" w:hAnsi="宋体" w:eastAsia="宋体" w:cs="宋体"/>
                <w:b/>
                <w:bCs/>
                <w:spacing w:val="-2"/>
                <w:sz w:val="24"/>
                <w:szCs w:val="24"/>
              </w:rPr>
              <w:t>采购政策功能促进企业</w:t>
            </w:r>
            <w:r>
              <w:rPr>
                <w:rFonts w:hint="eastAsia" w:ascii="宋体" w:hAnsi="宋体" w:eastAsia="宋体" w:cs="宋体"/>
                <w:b/>
                <w:bCs/>
                <w:spacing w:val="-5"/>
                <w:sz w:val="24"/>
                <w:szCs w:val="24"/>
              </w:rPr>
              <w:t>发展的通知，履约保证金数额不得超过政府采购合同金额的</w:t>
            </w:r>
            <w:r>
              <w:rPr>
                <w:rFonts w:hint="eastAsia" w:ascii="宋体" w:hAnsi="宋体" w:eastAsia="宋体" w:cs="宋体"/>
                <w:spacing w:val="-38"/>
                <w:sz w:val="24"/>
                <w:szCs w:val="24"/>
              </w:rPr>
              <w:t xml:space="preserve"> </w:t>
            </w:r>
            <w:r>
              <w:rPr>
                <w:rFonts w:hint="eastAsia" w:ascii="宋体" w:hAnsi="宋体" w:eastAsia="宋体" w:cs="宋体"/>
                <w:b/>
                <w:bCs/>
                <w:spacing w:val="-5"/>
                <w:sz w:val="24"/>
                <w:szCs w:val="24"/>
              </w:rPr>
              <w:t>5%，对中小企</w:t>
            </w:r>
            <w:r>
              <w:rPr>
                <w:rFonts w:hint="eastAsia" w:ascii="宋体" w:hAnsi="宋体" w:eastAsia="宋体" w:cs="宋体"/>
                <w:b/>
                <w:bCs/>
                <w:spacing w:val="-3"/>
                <w:sz w:val="24"/>
                <w:szCs w:val="24"/>
              </w:rPr>
              <w:t>业收取的履约保证金数额不得超过政府采购合同金额的2%。采购人可根据供应商的资信等情况减免履约保证金。</w:t>
            </w:r>
          </w:p>
          <w:p w14:paraId="0696E55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sz w:val="24"/>
                <w:szCs w:val="24"/>
              </w:rPr>
              <w:t xml:space="preserve"> </w:t>
            </w:r>
            <w:r>
              <w:rPr>
                <w:rFonts w:hint="eastAsia" w:ascii="宋体" w:hAnsi="宋体" w:eastAsia="宋体" w:cs="宋体"/>
                <w:b/>
                <w:bCs/>
                <w:sz w:val="24"/>
                <w:szCs w:val="24"/>
              </w:rPr>
              <w:t>履约保证金不足额缴纳的（包含保函额度不足的</w:t>
            </w:r>
            <w:r>
              <w:rPr>
                <w:rFonts w:hint="eastAsia" w:ascii="宋体" w:hAnsi="宋体" w:eastAsia="宋体" w:cs="宋体"/>
                <w:b/>
                <w:bCs/>
                <w:spacing w:val="20"/>
                <w:sz w:val="24"/>
                <w:szCs w:val="24"/>
              </w:rPr>
              <w:t>），</w:t>
            </w:r>
            <w:r>
              <w:rPr>
                <w:rFonts w:hint="eastAsia" w:ascii="宋体" w:hAnsi="宋体" w:eastAsia="宋体" w:cs="宋体"/>
                <w:b/>
                <w:bCs/>
                <w:sz w:val="24"/>
                <w:szCs w:val="24"/>
              </w:rPr>
              <w:t>或者不按规定提</w:t>
            </w:r>
            <w:r>
              <w:rPr>
                <w:rFonts w:hint="eastAsia" w:ascii="宋体" w:hAnsi="宋体" w:eastAsia="宋体" w:cs="宋体"/>
                <w:b/>
                <w:bCs/>
                <w:spacing w:val="-3"/>
                <w:sz w:val="24"/>
                <w:szCs w:val="24"/>
              </w:rPr>
              <w:t>交方式提交的，或者保函有效期低于合同履行期限（即合同中规定的当事人履行自己的义务，如交付标的物、价款或者报酬，履行劳务、完成工作</w:t>
            </w:r>
            <w:r>
              <w:rPr>
                <w:rFonts w:hint="eastAsia" w:ascii="宋体" w:hAnsi="宋体" w:eastAsia="宋体" w:cs="宋体"/>
                <w:b/>
                <w:bCs/>
                <w:spacing w:val="-4"/>
                <w:sz w:val="24"/>
                <w:szCs w:val="24"/>
              </w:rPr>
              <w:t>的时间界限）的，不予签订合同。</w:t>
            </w:r>
          </w:p>
          <w:p w14:paraId="34299C0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3.采用银行、保险机构出具的保函的，必须为无条件保函，否则不予签订</w:t>
            </w:r>
            <w:r>
              <w:rPr>
                <w:rFonts w:hint="eastAsia" w:ascii="宋体" w:hAnsi="宋体" w:eastAsia="宋体" w:cs="宋体"/>
                <w:b/>
                <w:bCs/>
                <w:spacing w:val="-11"/>
                <w:sz w:val="24"/>
                <w:szCs w:val="24"/>
              </w:rPr>
              <w:t>合同。</w:t>
            </w:r>
          </w:p>
          <w:p w14:paraId="325FC21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6" w:firstLineChars="200"/>
              <w:textAlignment w:val="baseline"/>
              <w:rPr>
                <w:rFonts w:hint="eastAsia" w:ascii="宋体" w:hAnsi="宋体" w:eastAsia="宋体" w:cs="宋体"/>
                <w:b/>
                <w:bCs/>
                <w:spacing w:val="1"/>
                <w:sz w:val="24"/>
                <w:szCs w:val="24"/>
              </w:rPr>
            </w:pPr>
            <w:r>
              <w:rPr>
                <w:rFonts w:hint="eastAsia" w:ascii="宋体" w:hAnsi="宋体" w:eastAsia="宋体" w:cs="宋体"/>
                <w:b/>
                <w:bCs/>
                <w:spacing w:val="-4"/>
                <w:sz w:val="24"/>
                <w:szCs w:val="24"/>
              </w:rPr>
              <w:t>4.供应商为联合体的，由联合体其中一方按规定提交的履约保证金，视为有效履约保证金。</w:t>
            </w:r>
          </w:p>
        </w:tc>
      </w:tr>
      <w:tr w14:paraId="40962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jc w:val="center"/>
        </w:trPr>
        <w:tc>
          <w:tcPr>
            <w:tcW w:w="1046" w:type="dxa"/>
            <w:vAlign w:val="center"/>
          </w:tcPr>
          <w:p w14:paraId="3A9B7C30">
            <w:pPr>
              <w:pStyle w:val="12"/>
              <w:keepNext w:val="0"/>
              <w:keepLines w:val="0"/>
              <w:pageBreakBefore w:val="0"/>
              <w:widowControl/>
              <w:shd w:val="clear"/>
              <w:kinsoku w:val="0"/>
              <w:wordWrap/>
              <w:overflowPunct/>
              <w:topLinePunct w:val="0"/>
              <w:autoSpaceDE w:val="0"/>
              <w:autoSpaceDN w:val="0"/>
              <w:bidi w:val="0"/>
              <w:adjustRightInd w:val="0"/>
              <w:snapToGrid w:val="0"/>
              <w:spacing w:before="305" w:line="240" w:lineRule="auto"/>
              <w:ind w:left="266" w:leftChars="0"/>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29.1</w:t>
            </w:r>
          </w:p>
        </w:tc>
        <w:tc>
          <w:tcPr>
            <w:tcW w:w="8313" w:type="dxa"/>
            <w:vAlign w:val="top"/>
          </w:tcPr>
          <w:p w14:paraId="65AF1BA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签订合同携带的证明材料：</w:t>
            </w:r>
          </w:p>
          <w:p w14:paraId="3AF1C85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委托</w:t>
            </w:r>
            <w:r>
              <w:rPr>
                <w:rFonts w:hint="eastAsia" w:ascii="宋体" w:hAnsi="宋体" w:eastAsia="宋体" w:cs="宋体"/>
                <w:sz w:val="24"/>
                <w:szCs w:val="24"/>
              </w:rPr>
              <w:t>代理人负责签订合同的，须携带授权委托</w:t>
            </w:r>
            <w:r>
              <w:rPr>
                <w:rFonts w:hint="eastAsia" w:ascii="宋体" w:hAnsi="宋体" w:eastAsia="宋体" w:cs="宋体"/>
                <w:spacing w:val="-1"/>
                <w:sz w:val="24"/>
                <w:szCs w:val="24"/>
              </w:rPr>
              <w:t>书及委托代理人身份证</w:t>
            </w:r>
            <w:r>
              <w:rPr>
                <w:rFonts w:hint="eastAsia" w:ascii="宋体" w:hAnsi="宋体" w:eastAsia="宋体" w:cs="宋体"/>
                <w:spacing w:val="-3"/>
                <w:sz w:val="24"/>
                <w:szCs w:val="24"/>
              </w:rPr>
              <w:t>原件等其他资格证件。</w:t>
            </w:r>
          </w:p>
          <w:p w14:paraId="6A8A1EB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b/>
                <w:bCs/>
                <w:spacing w:val="-4"/>
                <w:sz w:val="24"/>
                <w:szCs w:val="24"/>
              </w:rPr>
            </w:pPr>
            <w:r>
              <w:rPr>
                <w:rFonts w:hint="eastAsia" w:ascii="宋体" w:hAnsi="宋体" w:eastAsia="宋体" w:cs="宋体"/>
                <w:sz w:val="24"/>
                <w:szCs w:val="24"/>
              </w:rPr>
              <w:t>法定代表人负责签订合同的，须携带法定代表人身</w:t>
            </w:r>
            <w:r>
              <w:rPr>
                <w:rFonts w:hint="eastAsia" w:ascii="宋体" w:hAnsi="宋体" w:eastAsia="宋体" w:cs="宋体"/>
                <w:spacing w:val="-1"/>
                <w:sz w:val="24"/>
                <w:szCs w:val="24"/>
              </w:rPr>
              <w:t>份证明原件及身份</w:t>
            </w:r>
            <w:r>
              <w:rPr>
                <w:rFonts w:hint="eastAsia" w:ascii="宋体" w:hAnsi="宋体" w:eastAsia="宋体" w:cs="宋体"/>
                <w:spacing w:val="-2"/>
                <w:sz w:val="24"/>
                <w:szCs w:val="24"/>
              </w:rPr>
              <w:t>证原件等其他证明材料。</w:t>
            </w:r>
          </w:p>
        </w:tc>
      </w:tr>
      <w:tr w14:paraId="0D4F7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5" w:hRule="atLeast"/>
          <w:jc w:val="center"/>
        </w:trPr>
        <w:tc>
          <w:tcPr>
            <w:tcW w:w="1046" w:type="dxa"/>
            <w:vAlign w:val="top"/>
          </w:tcPr>
          <w:p w14:paraId="12A4E96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F21C6EF">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782ABE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7FCDAD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9121842">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3"/>
                <w:sz w:val="24"/>
                <w:szCs w:val="24"/>
              </w:rPr>
            </w:pPr>
            <w:r>
              <w:rPr>
                <w:rFonts w:hint="eastAsia" w:ascii="宋体" w:hAnsi="宋体" w:eastAsia="宋体" w:cs="宋体"/>
                <w:spacing w:val="-4"/>
                <w:sz w:val="24"/>
                <w:szCs w:val="24"/>
              </w:rPr>
              <w:t>31.2</w:t>
            </w:r>
          </w:p>
        </w:tc>
        <w:tc>
          <w:tcPr>
            <w:tcW w:w="8313" w:type="dxa"/>
            <w:vAlign w:val="top"/>
          </w:tcPr>
          <w:p w14:paraId="7293E12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接收质疑函方式：以书面形式。</w:t>
            </w:r>
          </w:p>
          <w:p w14:paraId="2B7D329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rPr>
              <w:t>质疑联系部门及联系方式：</w:t>
            </w:r>
            <w:r>
              <w:rPr>
                <w:rFonts w:hint="eastAsia" w:ascii="宋体" w:hAnsi="宋体" w:eastAsia="宋体" w:cs="宋体"/>
                <w:spacing w:val="-1"/>
                <w:sz w:val="24"/>
                <w:szCs w:val="24"/>
                <w:lang w:eastAsia="zh-CN"/>
              </w:rPr>
              <w:t>广西辉腾工程管理有限公司</w:t>
            </w:r>
          </w:p>
          <w:p w14:paraId="1D88360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1"/>
                <w:sz w:val="24"/>
                <w:szCs w:val="24"/>
              </w:rPr>
              <w:t>联系人及电话：</w:t>
            </w:r>
            <w:r>
              <w:rPr>
                <w:rFonts w:hint="eastAsia" w:ascii="宋体" w:hAnsi="宋体" w:eastAsia="宋体" w:cs="宋体"/>
                <w:spacing w:val="-1"/>
                <w:sz w:val="24"/>
                <w:szCs w:val="24"/>
                <w:lang w:val="en-US" w:eastAsia="zh-CN"/>
              </w:rPr>
              <w:t>陈艳、黄美华</w:t>
            </w:r>
            <w:r>
              <w:rPr>
                <w:rFonts w:hint="eastAsia" w:ascii="宋体" w:hAnsi="宋体" w:eastAsia="宋体" w:cs="宋体"/>
                <w:spacing w:val="-1"/>
                <w:sz w:val="24"/>
                <w:szCs w:val="24"/>
              </w:rPr>
              <w:t>，0774-</w:t>
            </w:r>
            <w:r>
              <w:rPr>
                <w:rFonts w:hint="eastAsia" w:ascii="宋体" w:hAnsi="宋体" w:eastAsia="宋体" w:cs="宋体"/>
                <w:spacing w:val="-1"/>
                <w:sz w:val="24"/>
                <w:szCs w:val="24"/>
                <w:lang w:val="en-US" w:eastAsia="zh-CN"/>
              </w:rPr>
              <w:t>2832660</w:t>
            </w:r>
          </w:p>
          <w:p w14:paraId="0ED1E95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4" w:firstLineChars="200"/>
              <w:textAlignment w:val="baseline"/>
              <w:rPr>
                <w:rFonts w:hint="eastAsia" w:ascii="宋体" w:hAnsi="宋体" w:eastAsia="宋体" w:cs="宋体"/>
                <w:sz w:val="24"/>
                <w:szCs w:val="24"/>
                <w:lang w:eastAsia="zh-CN"/>
              </w:rPr>
            </w:pPr>
            <w:r>
              <w:rPr>
                <w:rFonts w:hint="eastAsia" w:ascii="宋体" w:hAnsi="宋体" w:eastAsia="宋体" w:cs="宋体"/>
                <w:spacing w:val="-4"/>
                <w:sz w:val="24"/>
                <w:szCs w:val="24"/>
              </w:rPr>
              <w:t>通讯地址：</w:t>
            </w:r>
            <w:r>
              <w:rPr>
                <w:rFonts w:hint="eastAsia" w:ascii="宋体" w:hAnsi="宋体" w:eastAsia="宋体" w:cs="宋体"/>
                <w:spacing w:val="-4"/>
                <w:sz w:val="24"/>
                <w:szCs w:val="24"/>
                <w:lang w:eastAsia="zh-CN"/>
              </w:rPr>
              <w:t>藤县藤州镇政贤三街99号</w:t>
            </w:r>
          </w:p>
          <w:p w14:paraId="6E5FAF3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32"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业务时间：每天上午8</w:t>
            </w:r>
            <w:r>
              <w:rPr>
                <w:rFonts w:hint="eastAsia" w:ascii="宋体" w:hAnsi="宋体" w:eastAsia="宋体" w:cs="宋体"/>
                <w:spacing w:val="-26"/>
                <w:sz w:val="24"/>
                <w:szCs w:val="24"/>
              </w:rPr>
              <w:t xml:space="preserve"> </w:t>
            </w:r>
            <w:r>
              <w:rPr>
                <w:rFonts w:hint="eastAsia" w:ascii="宋体" w:hAnsi="宋体" w:eastAsia="宋体" w:cs="宋体"/>
                <w:spacing w:val="-12"/>
                <w:sz w:val="24"/>
                <w:szCs w:val="24"/>
              </w:rPr>
              <w:t>时</w:t>
            </w:r>
            <w:r>
              <w:rPr>
                <w:rFonts w:hint="eastAsia" w:ascii="宋体" w:hAnsi="宋体" w:eastAsia="宋体" w:cs="宋体"/>
                <w:spacing w:val="-57"/>
                <w:sz w:val="24"/>
                <w:szCs w:val="24"/>
              </w:rPr>
              <w:t xml:space="preserve"> </w:t>
            </w:r>
            <w:r>
              <w:rPr>
                <w:rFonts w:hint="eastAsia" w:ascii="宋体" w:hAnsi="宋体" w:eastAsia="宋体" w:cs="宋体"/>
                <w:spacing w:val="-12"/>
                <w:sz w:val="24"/>
                <w:szCs w:val="24"/>
              </w:rPr>
              <w:t>00</w:t>
            </w:r>
            <w:r>
              <w:rPr>
                <w:rFonts w:hint="eastAsia" w:ascii="宋体" w:hAnsi="宋体" w:eastAsia="宋体" w:cs="宋体"/>
                <w:spacing w:val="-49"/>
                <w:sz w:val="24"/>
                <w:szCs w:val="24"/>
              </w:rPr>
              <w:t xml:space="preserve"> </w:t>
            </w:r>
            <w:r>
              <w:rPr>
                <w:rFonts w:hint="eastAsia" w:ascii="宋体" w:hAnsi="宋体" w:eastAsia="宋体" w:cs="宋体"/>
                <w:spacing w:val="-12"/>
                <w:sz w:val="24"/>
                <w:szCs w:val="24"/>
              </w:rPr>
              <w:t>分到</w:t>
            </w:r>
            <w:r>
              <w:rPr>
                <w:rFonts w:hint="eastAsia" w:ascii="宋体" w:hAnsi="宋体" w:eastAsia="宋体" w:cs="宋体"/>
                <w:spacing w:val="-41"/>
                <w:sz w:val="24"/>
                <w:szCs w:val="24"/>
              </w:rPr>
              <w:t xml:space="preserve"> </w:t>
            </w:r>
            <w:r>
              <w:rPr>
                <w:rFonts w:hint="eastAsia" w:ascii="宋体" w:hAnsi="宋体" w:eastAsia="宋体" w:cs="宋体"/>
                <w:spacing w:val="-12"/>
                <w:sz w:val="24"/>
                <w:szCs w:val="24"/>
              </w:rPr>
              <w:t>12</w:t>
            </w:r>
            <w:r>
              <w:rPr>
                <w:rFonts w:hint="eastAsia" w:ascii="宋体" w:hAnsi="宋体" w:eastAsia="宋体" w:cs="宋体"/>
                <w:spacing w:val="-34"/>
                <w:sz w:val="24"/>
                <w:szCs w:val="24"/>
              </w:rPr>
              <w:t xml:space="preserve"> </w:t>
            </w:r>
            <w:r>
              <w:rPr>
                <w:rFonts w:hint="eastAsia" w:ascii="宋体" w:hAnsi="宋体" w:eastAsia="宋体" w:cs="宋体"/>
                <w:spacing w:val="-12"/>
                <w:sz w:val="24"/>
                <w:szCs w:val="24"/>
              </w:rPr>
              <w:t>时</w:t>
            </w:r>
            <w:r>
              <w:rPr>
                <w:rFonts w:hint="eastAsia" w:ascii="宋体" w:hAnsi="宋体" w:eastAsia="宋体" w:cs="宋体"/>
                <w:spacing w:val="-57"/>
                <w:sz w:val="24"/>
                <w:szCs w:val="24"/>
              </w:rPr>
              <w:t xml:space="preserve"> </w:t>
            </w:r>
            <w:r>
              <w:rPr>
                <w:rFonts w:hint="eastAsia" w:ascii="宋体" w:hAnsi="宋体" w:eastAsia="宋体" w:cs="宋体"/>
                <w:spacing w:val="-12"/>
                <w:sz w:val="24"/>
                <w:szCs w:val="24"/>
              </w:rPr>
              <w:t>00</w:t>
            </w:r>
            <w:r>
              <w:rPr>
                <w:rFonts w:hint="eastAsia" w:ascii="宋体" w:hAnsi="宋体" w:eastAsia="宋体" w:cs="宋体"/>
                <w:spacing w:val="-49"/>
                <w:sz w:val="24"/>
                <w:szCs w:val="24"/>
              </w:rPr>
              <w:t xml:space="preserve"> </w:t>
            </w:r>
            <w:r>
              <w:rPr>
                <w:rFonts w:hint="eastAsia" w:ascii="宋体" w:hAnsi="宋体" w:eastAsia="宋体" w:cs="宋体"/>
                <w:spacing w:val="-12"/>
                <w:sz w:val="24"/>
                <w:szCs w:val="24"/>
              </w:rPr>
              <w:t>分，下午</w:t>
            </w:r>
            <w:r>
              <w:rPr>
                <w:rFonts w:hint="eastAsia" w:ascii="宋体" w:hAnsi="宋体" w:eastAsia="宋体" w:cs="宋体"/>
                <w:spacing w:val="-54"/>
                <w:sz w:val="24"/>
                <w:szCs w:val="24"/>
              </w:rPr>
              <w:t xml:space="preserve"> </w:t>
            </w:r>
            <w:r>
              <w:rPr>
                <w:rFonts w:hint="eastAsia" w:ascii="宋体" w:hAnsi="宋体" w:eastAsia="宋体" w:cs="宋体"/>
                <w:spacing w:val="-12"/>
                <w:sz w:val="24"/>
                <w:szCs w:val="24"/>
              </w:rPr>
              <w:t>3</w:t>
            </w:r>
            <w:r>
              <w:rPr>
                <w:rFonts w:hint="eastAsia" w:ascii="宋体" w:hAnsi="宋体" w:eastAsia="宋体" w:cs="宋体"/>
                <w:spacing w:val="-36"/>
                <w:sz w:val="24"/>
                <w:szCs w:val="24"/>
              </w:rPr>
              <w:t xml:space="preserve"> </w:t>
            </w:r>
            <w:r>
              <w:rPr>
                <w:rFonts w:hint="eastAsia" w:ascii="宋体" w:hAnsi="宋体" w:eastAsia="宋体" w:cs="宋体"/>
                <w:spacing w:val="-12"/>
                <w:sz w:val="24"/>
                <w:szCs w:val="24"/>
              </w:rPr>
              <w:t>时</w:t>
            </w:r>
            <w:r>
              <w:rPr>
                <w:rFonts w:hint="eastAsia" w:ascii="宋体" w:hAnsi="宋体" w:eastAsia="宋体" w:cs="宋体"/>
                <w:spacing w:val="-55"/>
                <w:sz w:val="24"/>
                <w:szCs w:val="24"/>
              </w:rPr>
              <w:t xml:space="preserve"> </w:t>
            </w:r>
            <w:r>
              <w:rPr>
                <w:rFonts w:hint="eastAsia" w:ascii="宋体" w:hAnsi="宋体" w:eastAsia="宋体" w:cs="宋体"/>
                <w:spacing w:val="-12"/>
                <w:sz w:val="24"/>
                <w:szCs w:val="24"/>
              </w:rPr>
              <w:t>00</w:t>
            </w:r>
            <w:r>
              <w:rPr>
                <w:rFonts w:hint="eastAsia" w:ascii="宋体" w:hAnsi="宋体" w:eastAsia="宋体" w:cs="宋体"/>
                <w:spacing w:val="-51"/>
                <w:sz w:val="24"/>
                <w:szCs w:val="24"/>
              </w:rPr>
              <w:t xml:space="preserve"> </w:t>
            </w:r>
            <w:r>
              <w:rPr>
                <w:rFonts w:hint="eastAsia" w:ascii="宋体" w:hAnsi="宋体" w:eastAsia="宋体" w:cs="宋体"/>
                <w:spacing w:val="-12"/>
                <w:sz w:val="24"/>
                <w:szCs w:val="24"/>
              </w:rPr>
              <w:t>分到6</w:t>
            </w:r>
            <w:r>
              <w:rPr>
                <w:rFonts w:hint="eastAsia" w:ascii="宋体" w:hAnsi="宋体" w:eastAsia="宋体" w:cs="宋体"/>
                <w:spacing w:val="-34"/>
                <w:sz w:val="24"/>
                <w:szCs w:val="24"/>
              </w:rPr>
              <w:t xml:space="preserve"> </w:t>
            </w:r>
            <w:r>
              <w:rPr>
                <w:rFonts w:hint="eastAsia" w:ascii="宋体" w:hAnsi="宋体" w:eastAsia="宋体" w:cs="宋体"/>
                <w:spacing w:val="-12"/>
                <w:sz w:val="24"/>
                <w:szCs w:val="24"/>
              </w:rPr>
              <w:t>时 00</w:t>
            </w:r>
            <w:r>
              <w:rPr>
                <w:rFonts w:hint="eastAsia" w:ascii="宋体" w:hAnsi="宋体" w:eastAsia="宋体" w:cs="宋体"/>
                <w:spacing w:val="-2"/>
                <w:sz w:val="24"/>
                <w:szCs w:val="24"/>
              </w:rPr>
              <w:t>分，双休日和法定节假日不办理业务。</w:t>
            </w:r>
          </w:p>
        </w:tc>
      </w:tr>
      <w:tr w14:paraId="42B8B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3" w:hRule="atLeast"/>
          <w:jc w:val="center"/>
        </w:trPr>
        <w:tc>
          <w:tcPr>
            <w:tcW w:w="1046" w:type="dxa"/>
            <w:vAlign w:val="top"/>
          </w:tcPr>
          <w:p w14:paraId="480F638F">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291FB5E">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688FA97">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0B02671">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F1C45D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3DAAC6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3B683F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C8FC30D">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500CC7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9B0230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29F71B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15D41A3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2F0D6B8">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3"/>
                <w:sz w:val="24"/>
                <w:szCs w:val="24"/>
              </w:rPr>
            </w:pPr>
            <w:r>
              <w:rPr>
                <w:rFonts w:hint="eastAsia" w:ascii="宋体" w:hAnsi="宋体" w:eastAsia="宋体" w:cs="宋体"/>
                <w:spacing w:val="-4"/>
                <w:sz w:val="24"/>
                <w:szCs w:val="24"/>
              </w:rPr>
              <w:t>32.1</w:t>
            </w:r>
          </w:p>
        </w:tc>
        <w:tc>
          <w:tcPr>
            <w:tcW w:w="8313" w:type="dxa"/>
            <w:vAlign w:val="top"/>
          </w:tcPr>
          <w:p w14:paraId="6CDC13E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8"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1.采购代理费支付方式：</w:t>
            </w:r>
          </w:p>
          <w:p w14:paraId="3EA76CA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☑本项目代理服务费由</w:t>
            </w:r>
            <w:r>
              <w:rPr>
                <w:rFonts w:hint="eastAsia" w:ascii="宋体" w:hAnsi="宋体" w:eastAsia="宋体" w:cs="宋体"/>
                <w:sz w:val="24"/>
                <w:szCs w:val="24"/>
                <w:u w:val="single" w:color="auto"/>
              </w:rPr>
              <w:t>成交人</w:t>
            </w:r>
            <w:r>
              <w:rPr>
                <w:rFonts w:hint="eastAsia" w:ascii="宋体" w:hAnsi="宋体" w:eastAsia="宋体" w:cs="宋体"/>
                <w:sz w:val="24"/>
                <w:szCs w:val="24"/>
              </w:rPr>
              <w:t>在领取成交通知书前，一次性向</w:t>
            </w:r>
            <w:r>
              <w:rPr>
                <w:rFonts w:hint="eastAsia" w:ascii="宋体" w:hAnsi="宋体" w:eastAsia="宋体" w:cs="宋体"/>
                <w:spacing w:val="-1"/>
                <w:sz w:val="24"/>
                <w:szCs w:val="24"/>
              </w:rPr>
              <w:t>采购代</w:t>
            </w:r>
            <w:r>
              <w:rPr>
                <w:rFonts w:hint="eastAsia" w:ascii="宋体" w:hAnsi="宋体" w:eastAsia="宋体" w:cs="宋体"/>
                <w:spacing w:val="-3"/>
                <w:sz w:val="24"/>
                <w:szCs w:val="24"/>
              </w:rPr>
              <w:t>理机构支付。</w:t>
            </w:r>
          </w:p>
          <w:p w14:paraId="7F7E77A1">
            <w:pPr>
              <w:pStyle w:val="12"/>
              <w:keepNext w:val="0"/>
              <w:keepLines w:val="0"/>
              <w:pageBreakBefore w:val="0"/>
              <w:widowControl/>
              <w:shd w:val="clear"/>
              <w:kinsoku w:val="0"/>
              <w:wordWrap/>
              <w:overflowPunct/>
              <w:topLinePunct w:val="0"/>
              <w:autoSpaceDE w:val="0"/>
              <w:autoSpaceDN w:val="0"/>
              <w:bidi w:val="0"/>
              <w:adjustRightInd w:val="0"/>
              <w:snapToGrid w:val="0"/>
              <w:spacing w:line="240" w:lineRule="auto"/>
              <w:ind w:left="618"/>
              <w:textAlignment w:val="baseline"/>
              <w:rPr>
                <w:rFonts w:hint="eastAsia" w:ascii="宋体" w:hAnsi="宋体" w:eastAsia="宋体" w:cs="宋体"/>
                <w:sz w:val="24"/>
                <w:szCs w:val="24"/>
              </w:rPr>
            </w:pPr>
            <w:r>
              <w:rPr>
                <w:rFonts w:hint="eastAsia" w:ascii="宋体" w:hAnsi="宋体" w:eastAsia="宋体" w:cs="宋体"/>
                <w:spacing w:val="-5"/>
                <w:sz w:val="24"/>
                <w:szCs w:val="24"/>
              </w:rPr>
              <w:t>□采购人支付。</w:t>
            </w:r>
          </w:p>
          <w:p w14:paraId="4B06671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2.采购代理费收取标准：</w:t>
            </w:r>
          </w:p>
          <w:p w14:paraId="48655AD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☑以分标 (☑成交金额/□采购预算/□</w:t>
            </w:r>
            <w:r>
              <w:rPr>
                <w:rFonts w:hint="eastAsia" w:ascii="宋体" w:hAnsi="宋体" w:eastAsia="宋体" w:cs="宋体"/>
                <w:spacing w:val="-2"/>
                <w:sz w:val="24"/>
                <w:szCs w:val="24"/>
              </w:rPr>
              <w:t>暂定成交金额/□其他</w:t>
            </w:r>
            <w:r>
              <w:rPr>
                <w:rFonts w:hint="eastAsia" w:ascii="宋体" w:hAnsi="宋体" w:eastAsia="宋体" w:cs="宋体"/>
                <w:spacing w:val="-118"/>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）为</w:t>
            </w:r>
            <w:r>
              <w:rPr>
                <w:rFonts w:hint="eastAsia" w:ascii="宋体" w:hAnsi="宋体" w:eastAsia="宋体" w:cs="宋体"/>
                <w:spacing w:val="1"/>
                <w:sz w:val="24"/>
                <w:szCs w:val="24"/>
              </w:rPr>
              <w:t>计费额，按本须知正文第32.2</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条规定的收费计算标准 (□货物招标/☑服</w:t>
            </w:r>
            <w:r>
              <w:rPr>
                <w:rFonts w:hint="eastAsia" w:ascii="宋体" w:hAnsi="宋体" w:eastAsia="宋体" w:cs="宋体"/>
                <w:spacing w:val="-4"/>
                <w:sz w:val="24"/>
                <w:szCs w:val="24"/>
              </w:rPr>
              <w:t>务招标/□工程招标）采用差额定率累进法计算出收费基准价格，采购代理</w:t>
            </w:r>
            <w:r>
              <w:rPr>
                <w:rFonts w:hint="eastAsia" w:ascii="宋体" w:hAnsi="宋体" w:eastAsia="宋体" w:cs="宋体"/>
                <w:spacing w:val="10"/>
                <w:sz w:val="24"/>
                <w:szCs w:val="24"/>
              </w:rPr>
              <w:t>收费以 (☑收费基准价格/□收费基准价格下浮</w:t>
            </w:r>
            <w:r>
              <w:rPr>
                <w:rFonts w:hint="eastAsia" w:ascii="宋体" w:hAnsi="宋体" w:eastAsia="宋体" w:cs="宋体"/>
                <w:spacing w:val="-103"/>
                <w:sz w:val="24"/>
                <w:szCs w:val="24"/>
              </w:rPr>
              <w:t xml:space="preserve"> </w:t>
            </w:r>
            <w:r>
              <w:rPr>
                <w:rFonts w:hint="eastAsia" w:ascii="宋体" w:hAnsi="宋体" w:eastAsia="宋体" w:cs="宋体"/>
                <w:spacing w:val="10"/>
                <w:sz w:val="24"/>
                <w:szCs w:val="24"/>
                <w:u w:val="single" w:color="auto"/>
              </w:rPr>
              <w:t xml:space="preserve">  %</w:t>
            </w:r>
            <w:r>
              <w:rPr>
                <w:rFonts w:hint="eastAsia" w:ascii="宋体" w:hAnsi="宋体" w:eastAsia="宋体" w:cs="宋体"/>
                <w:spacing w:val="10"/>
                <w:sz w:val="24"/>
                <w:szCs w:val="24"/>
              </w:rPr>
              <w:t>/□收费基准价格上</w:t>
            </w:r>
            <w:r>
              <w:rPr>
                <w:rFonts w:hint="eastAsia" w:ascii="宋体" w:hAnsi="宋体" w:eastAsia="宋体" w:cs="宋体"/>
                <w:spacing w:val="-2"/>
                <w:sz w:val="24"/>
                <w:szCs w:val="24"/>
              </w:rPr>
              <w:t>浮</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）收取。</w:t>
            </w:r>
          </w:p>
          <w:p w14:paraId="7F46639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□固定采购代理收费</w:t>
            </w:r>
            <w:r>
              <w:rPr>
                <w:rFonts w:hint="eastAsia" w:ascii="宋体" w:hAnsi="宋体" w:eastAsia="宋体" w:cs="宋体"/>
                <w:spacing w:val="-1"/>
                <w:sz w:val="24"/>
                <w:szCs w:val="24"/>
                <w:u w:val="single" w:color="auto"/>
              </w:rPr>
              <w:t xml:space="preserve">   /。</w:t>
            </w:r>
          </w:p>
          <w:p w14:paraId="512F5A2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3.采购代理费收取银行账户</w:t>
            </w:r>
          </w:p>
          <w:p w14:paraId="7E60467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户名：广西辉腾工程管理有限公司</w:t>
            </w:r>
          </w:p>
          <w:p w14:paraId="4638C0C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开户行：梧州市区农村信用合作联社新兴分社</w:t>
            </w:r>
          </w:p>
          <w:p w14:paraId="42BF172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账号：4588 1201 0103 2180 73</w:t>
            </w:r>
          </w:p>
        </w:tc>
      </w:tr>
      <w:tr w14:paraId="383B0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3" w:hRule="atLeast"/>
          <w:jc w:val="center"/>
        </w:trPr>
        <w:tc>
          <w:tcPr>
            <w:tcW w:w="1046" w:type="dxa"/>
            <w:vAlign w:val="top"/>
          </w:tcPr>
          <w:p w14:paraId="12FAA8A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11873FD">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08BA595">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33.1</w:t>
            </w:r>
          </w:p>
        </w:tc>
        <w:tc>
          <w:tcPr>
            <w:tcW w:w="8313" w:type="dxa"/>
            <w:vAlign w:val="top"/>
          </w:tcPr>
          <w:p w14:paraId="657F7E5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pacing w:val="-2"/>
                <w:sz w:val="24"/>
                <w:szCs w:val="24"/>
              </w:rPr>
            </w:pPr>
            <w:r>
              <w:rPr>
                <w:rFonts w:hint="eastAsia" w:ascii="宋体" w:hAnsi="宋体" w:eastAsia="宋体" w:cs="宋体"/>
                <w:sz w:val="24"/>
                <w:szCs w:val="24"/>
              </w:rPr>
              <w:t>解释：构成本磋商文件的各组成文件应互为解释、互为说明；</w:t>
            </w:r>
            <w:r>
              <w:rPr>
                <w:rFonts w:hint="eastAsia" w:ascii="宋体" w:hAnsi="宋体" w:eastAsia="宋体" w:cs="宋体"/>
                <w:spacing w:val="-1"/>
                <w:sz w:val="24"/>
                <w:szCs w:val="24"/>
              </w:rPr>
              <w:t>除磋商</w:t>
            </w:r>
            <w:r>
              <w:rPr>
                <w:rFonts w:hint="eastAsia" w:ascii="宋体" w:hAnsi="宋体" w:eastAsia="宋体" w:cs="宋体"/>
                <w:spacing w:val="-12"/>
                <w:sz w:val="24"/>
                <w:szCs w:val="24"/>
              </w:rPr>
              <w:t>文件另有特别规定外，仅适用于竞标阶段的规定，按更正公告（澄清公告）、</w:t>
            </w:r>
            <w:r>
              <w:rPr>
                <w:rFonts w:hint="eastAsia" w:ascii="宋体" w:hAnsi="宋体" w:eastAsia="宋体" w:cs="宋体"/>
                <w:sz w:val="24"/>
                <w:szCs w:val="24"/>
              </w:rPr>
              <w:t>竞争性磋商公告、供应商须知、采购需求、评审程序、评审方法和评审标准、响应文件格式、合同文本的先后顺序进行解释；同一组成文件中就同一事项的规定或约定不一致的，以编排顺序靠后的内容为准；同一组成文</w:t>
            </w:r>
            <w:r>
              <w:rPr>
                <w:rFonts w:hint="eastAsia" w:ascii="宋体" w:hAnsi="宋体" w:eastAsia="宋体" w:cs="宋体"/>
                <w:spacing w:val="-7"/>
                <w:sz w:val="24"/>
                <w:szCs w:val="24"/>
              </w:rPr>
              <w:t>件不同版本之间存在不一致的，以形成时间较晚</w:t>
            </w:r>
            <w:r>
              <w:rPr>
                <w:rFonts w:hint="eastAsia" w:ascii="宋体" w:hAnsi="宋体" w:eastAsia="宋体" w:cs="宋体"/>
                <w:spacing w:val="-8"/>
                <w:sz w:val="24"/>
                <w:szCs w:val="24"/>
              </w:rPr>
              <w:t>的版本为准；更正公告（澄</w:t>
            </w:r>
            <w:r>
              <w:rPr>
                <w:rFonts w:hint="eastAsia" w:ascii="宋体" w:hAnsi="宋体" w:eastAsia="宋体" w:cs="宋体"/>
                <w:spacing w:val="-5"/>
                <w:sz w:val="24"/>
                <w:szCs w:val="24"/>
              </w:rPr>
              <w:t>清公告）与同步更新的磋商文件不一致时，以更正公告（澄清公告）为准。</w:t>
            </w:r>
            <w:r>
              <w:rPr>
                <w:rFonts w:hint="eastAsia" w:ascii="宋体" w:hAnsi="宋体" w:eastAsia="宋体" w:cs="宋体"/>
                <w:sz w:val="24"/>
                <w:szCs w:val="24"/>
              </w:rPr>
              <w:t>若按本款前述规定仍无法形成明确结论的，由采购人或采购代理机构负责</w:t>
            </w:r>
            <w:r>
              <w:rPr>
                <w:rFonts w:hint="eastAsia" w:ascii="宋体" w:hAnsi="宋体" w:eastAsia="宋体" w:cs="宋体"/>
                <w:spacing w:val="-6"/>
                <w:sz w:val="24"/>
                <w:szCs w:val="24"/>
              </w:rPr>
              <w:t>解释。</w:t>
            </w:r>
          </w:p>
        </w:tc>
      </w:tr>
      <w:tr w14:paraId="6BBD3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3" w:hRule="atLeast"/>
          <w:jc w:val="center"/>
        </w:trPr>
        <w:tc>
          <w:tcPr>
            <w:tcW w:w="1046" w:type="dxa"/>
            <w:vAlign w:val="top"/>
          </w:tcPr>
          <w:p w14:paraId="22A04C25">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6E1D3487">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19DF045D">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54C84917">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4B09F15D">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33.2</w:t>
            </w:r>
          </w:p>
        </w:tc>
        <w:tc>
          <w:tcPr>
            <w:tcW w:w="8313" w:type="dxa"/>
            <w:vAlign w:val="top"/>
          </w:tcPr>
          <w:p w14:paraId="1A29FE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0" w:firstLineChars="200"/>
              <w:textAlignment w:val="baseline"/>
              <w:rPr>
                <w:rFonts w:hint="eastAsia" w:ascii="宋体" w:hAnsi="宋体" w:eastAsia="宋体" w:cs="宋体"/>
                <w:sz w:val="24"/>
                <w:szCs w:val="24"/>
              </w:rPr>
            </w:pPr>
            <w:r>
              <w:rPr>
                <w:rFonts w:hint="eastAsia" w:ascii="宋体" w:hAnsi="宋体" w:eastAsia="宋体" w:cs="宋体"/>
                <w:spacing w:val="-10"/>
                <w:sz w:val="24"/>
                <w:szCs w:val="24"/>
              </w:rPr>
              <w:t>1. 本磋商文件中所述供应商的“公章</w:t>
            </w:r>
            <w:r>
              <w:rPr>
                <w:rFonts w:hint="eastAsia" w:ascii="宋体" w:hAnsi="宋体" w:eastAsia="宋体" w:cs="宋体"/>
                <w:spacing w:val="-88"/>
                <w:sz w:val="24"/>
                <w:szCs w:val="24"/>
              </w:rPr>
              <w:t xml:space="preserve"> </w:t>
            </w:r>
            <w:r>
              <w:rPr>
                <w:rFonts w:hint="eastAsia" w:ascii="宋体" w:hAnsi="宋体" w:eastAsia="宋体" w:cs="宋体"/>
                <w:spacing w:val="-10"/>
                <w:sz w:val="24"/>
                <w:szCs w:val="24"/>
              </w:rPr>
              <w:t>”，是指依</w:t>
            </w:r>
            <w:r>
              <w:rPr>
                <w:rFonts w:hint="eastAsia" w:ascii="宋体" w:hAnsi="宋体" w:eastAsia="宋体" w:cs="宋体"/>
                <w:spacing w:val="-11"/>
                <w:sz w:val="24"/>
                <w:szCs w:val="24"/>
              </w:rPr>
              <w:t>据我国公章管理规定，</w:t>
            </w:r>
            <w:r>
              <w:rPr>
                <w:rFonts w:hint="eastAsia" w:ascii="宋体" w:hAnsi="宋体" w:eastAsia="宋体" w:cs="宋体"/>
                <w:sz w:val="24"/>
                <w:szCs w:val="24"/>
              </w:rPr>
              <w:t>以供应商法定主体名称制作的印章。除本磋商文件另有特殊规定外，供应</w:t>
            </w:r>
            <w:r>
              <w:rPr>
                <w:rFonts w:hint="eastAsia" w:ascii="宋体" w:hAnsi="宋体" w:eastAsia="宋体" w:cs="宋体"/>
                <w:spacing w:val="-4"/>
                <w:sz w:val="24"/>
                <w:szCs w:val="24"/>
              </w:rPr>
              <w:t>商的财务章、部门章、分公司章、工会章、合同章、竞标/投标专用章、业</w:t>
            </w:r>
            <w:r>
              <w:rPr>
                <w:rFonts w:hint="eastAsia" w:ascii="宋体" w:hAnsi="宋体" w:eastAsia="宋体" w:cs="宋体"/>
                <w:spacing w:val="1"/>
                <w:sz w:val="24"/>
                <w:szCs w:val="24"/>
              </w:rPr>
              <w:t>务专用章，以及银行转账章、现金收讫章、现金付讫章等其他形式印章，</w:t>
            </w:r>
            <w:r>
              <w:rPr>
                <w:rFonts w:hint="eastAsia" w:ascii="宋体" w:hAnsi="宋体" w:eastAsia="宋体" w:cs="宋体"/>
                <w:spacing w:val="-2"/>
                <w:sz w:val="24"/>
                <w:szCs w:val="24"/>
              </w:rPr>
              <w:t>均不得替代公章。</w:t>
            </w:r>
          </w:p>
          <w:p w14:paraId="3A31891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52"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rPr>
              <w:t>2. 本磋商文件所称的“</w:t>
            </w:r>
            <w:r>
              <w:rPr>
                <w:rFonts w:hint="eastAsia" w:ascii="宋体" w:hAnsi="宋体" w:eastAsia="宋体" w:cs="宋体"/>
                <w:spacing w:val="-78"/>
                <w:sz w:val="24"/>
                <w:szCs w:val="24"/>
              </w:rPr>
              <w:t xml:space="preserve"> </w:t>
            </w:r>
            <w:r>
              <w:rPr>
                <w:rFonts w:hint="eastAsia" w:ascii="宋体" w:hAnsi="宋体" w:eastAsia="宋体" w:cs="宋体"/>
                <w:spacing w:val="-7"/>
                <w:sz w:val="24"/>
                <w:szCs w:val="24"/>
              </w:rPr>
              <w:t>电子签章</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”“电子签名</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”，是指经广西政府采</w:t>
            </w:r>
            <w:r>
              <w:rPr>
                <w:rFonts w:hint="eastAsia" w:ascii="宋体" w:hAnsi="宋体" w:eastAsia="宋体" w:cs="宋体"/>
                <w:spacing w:val="-4"/>
                <w:sz w:val="24"/>
                <w:szCs w:val="24"/>
              </w:rPr>
              <w:t>购云平台认可、以</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CA</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认证电子签名数据为</w:t>
            </w:r>
            <w:r>
              <w:rPr>
                <w:rFonts w:hint="eastAsia" w:ascii="宋体" w:hAnsi="宋体" w:eastAsia="宋体" w:cs="宋体"/>
                <w:spacing w:val="-5"/>
                <w:sz w:val="24"/>
                <w:szCs w:val="24"/>
              </w:rPr>
              <w:t>表现形式的印章，可用于签署电</w:t>
            </w:r>
            <w:r>
              <w:rPr>
                <w:rFonts w:hint="eastAsia" w:ascii="宋体" w:hAnsi="宋体" w:eastAsia="宋体" w:cs="宋体"/>
                <w:sz w:val="24"/>
                <w:szCs w:val="24"/>
              </w:rPr>
              <w:t>子响应文件。电子印章与实物印章具有同等法律效力，其电子化表现形式</w:t>
            </w:r>
            <w:r>
              <w:rPr>
                <w:rFonts w:hint="eastAsia" w:ascii="宋体" w:hAnsi="宋体" w:eastAsia="宋体" w:cs="宋体"/>
                <w:spacing w:val="-2"/>
                <w:sz w:val="24"/>
                <w:szCs w:val="24"/>
              </w:rPr>
              <w:t>不影响法律效力的认定。</w:t>
            </w:r>
          </w:p>
          <w:p w14:paraId="55F7A5D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0" w:firstLineChars="200"/>
              <w:textAlignment w:val="baseline"/>
              <w:rPr>
                <w:rFonts w:hint="eastAsia" w:ascii="宋体" w:hAnsi="宋体" w:eastAsia="宋体" w:cs="宋体"/>
                <w:sz w:val="24"/>
                <w:szCs w:val="24"/>
              </w:rPr>
            </w:pPr>
            <w:r>
              <w:rPr>
                <w:rFonts w:hint="eastAsia" w:ascii="宋体" w:hAnsi="宋体" w:eastAsia="宋体" w:cs="宋体"/>
                <w:spacing w:val="-10"/>
                <w:sz w:val="24"/>
                <w:szCs w:val="24"/>
              </w:rPr>
              <w:t>3. 若供应商为其他组织或自然人，本磋商文件中“法定代表人</w:t>
            </w:r>
            <w:r>
              <w:rPr>
                <w:rFonts w:hint="eastAsia" w:ascii="宋体" w:hAnsi="宋体" w:eastAsia="宋体" w:cs="宋体"/>
                <w:spacing w:val="-85"/>
                <w:sz w:val="24"/>
                <w:szCs w:val="24"/>
              </w:rPr>
              <w:t xml:space="preserve"> </w:t>
            </w:r>
            <w:r>
              <w:rPr>
                <w:rFonts w:hint="eastAsia" w:ascii="宋体" w:hAnsi="宋体" w:eastAsia="宋体" w:cs="宋体"/>
                <w:spacing w:val="-10"/>
                <w:sz w:val="24"/>
                <w:szCs w:val="24"/>
              </w:rPr>
              <w:t>”一词，</w:t>
            </w:r>
            <w:r>
              <w:rPr>
                <w:rFonts w:hint="eastAsia" w:ascii="宋体" w:hAnsi="宋体" w:eastAsia="宋体" w:cs="宋体"/>
                <w:sz w:val="24"/>
                <w:szCs w:val="24"/>
              </w:rPr>
              <w:t>对于其他组织指其营业执照或执业许可证等证照载明的负责人，对</w:t>
            </w:r>
            <w:r>
              <w:rPr>
                <w:rFonts w:hint="eastAsia" w:ascii="宋体" w:hAnsi="宋体" w:eastAsia="宋体" w:cs="宋体"/>
                <w:spacing w:val="-1"/>
                <w:sz w:val="24"/>
                <w:szCs w:val="24"/>
              </w:rPr>
              <w:t>于自然</w:t>
            </w:r>
            <w:r>
              <w:rPr>
                <w:rFonts w:hint="eastAsia" w:ascii="宋体" w:hAnsi="宋体" w:eastAsia="宋体" w:cs="宋体"/>
                <w:spacing w:val="-2"/>
                <w:sz w:val="24"/>
                <w:szCs w:val="24"/>
              </w:rPr>
              <w:t>人则指参与竞标的自然人本人。其中，</w:t>
            </w:r>
            <w:r>
              <w:rPr>
                <w:rFonts w:hint="eastAsia" w:ascii="宋体" w:hAnsi="宋体" w:eastAsia="宋体" w:cs="宋体"/>
                <w:spacing w:val="-57"/>
                <w:sz w:val="24"/>
                <w:szCs w:val="24"/>
              </w:rPr>
              <w:t xml:space="preserve"> </w:t>
            </w:r>
            <w:r>
              <w:rPr>
                <w:rFonts w:hint="eastAsia" w:ascii="宋体" w:hAnsi="宋体" w:eastAsia="宋体" w:cs="宋体"/>
                <w:spacing w:val="-2"/>
                <w:sz w:val="24"/>
                <w:szCs w:val="24"/>
              </w:rPr>
              <w:t>自然人须具备独立承担民事责</w:t>
            </w:r>
            <w:r>
              <w:rPr>
                <w:rFonts w:hint="eastAsia" w:ascii="宋体" w:hAnsi="宋体" w:eastAsia="宋体" w:cs="宋体"/>
                <w:spacing w:val="-3"/>
                <w:sz w:val="24"/>
                <w:szCs w:val="24"/>
              </w:rPr>
              <w:t>任的</w:t>
            </w:r>
            <w:r>
              <w:rPr>
                <w:rFonts w:hint="eastAsia" w:ascii="宋体" w:hAnsi="宋体" w:eastAsia="宋体" w:cs="宋体"/>
                <w:spacing w:val="-7"/>
                <w:sz w:val="24"/>
                <w:szCs w:val="24"/>
              </w:rPr>
              <w:t>能力，应为年满</w:t>
            </w:r>
            <w:r>
              <w:rPr>
                <w:rFonts w:hint="eastAsia" w:ascii="宋体" w:hAnsi="宋体" w:eastAsia="宋体" w:cs="宋体"/>
                <w:spacing w:val="-33"/>
                <w:sz w:val="24"/>
                <w:szCs w:val="24"/>
              </w:rPr>
              <w:t xml:space="preserve"> </w:t>
            </w:r>
            <w:r>
              <w:rPr>
                <w:rFonts w:hint="eastAsia" w:ascii="宋体" w:hAnsi="宋体" w:eastAsia="宋体" w:cs="宋体"/>
                <w:spacing w:val="-7"/>
                <w:sz w:val="24"/>
                <w:szCs w:val="24"/>
              </w:rPr>
              <w:t>18</w:t>
            </w:r>
            <w:r>
              <w:rPr>
                <w:rFonts w:hint="eastAsia" w:ascii="宋体" w:hAnsi="宋体" w:eastAsia="宋体" w:cs="宋体"/>
                <w:spacing w:val="-42"/>
                <w:sz w:val="24"/>
                <w:szCs w:val="24"/>
              </w:rPr>
              <w:t xml:space="preserve"> </w:t>
            </w:r>
            <w:r>
              <w:rPr>
                <w:rFonts w:hint="eastAsia" w:ascii="宋体" w:hAnsi="宋体" w:eastAsia="宋体" w:cs="宋体"/>
                <w:spacing w:val="-7"/>
                <w:sz w:val="24"/>
                <w:szCs w:val="24"/>
              </w:rPr>
              <w:t>周岁的成年人（十六周岁以上、以</w:t>
            </w:r>
            <w:r>
              <w:rPr>
                <w:rFonts w:hint="eastAsia" w:ascii="宋体" w:hAnsi="宋体" w:eastAsia="宋体" w:cs="宋体"/>
                <w:spacing w:val="-59"/>
                <w:sz w:val="24"/>
                <w:szCs w:val="24"/>
              </w:rPr>
              <w:t xml:space="preserve"> </w:t>
            </w:r>
            <w:r>
              <w:rPr>
                <w:rFonts w:hint="eastAsia" w:ascii="宋体" w:hAnsi="宋体" w:eastAsia="宋体" w:cs="宋体"/>
                <w:spacing w:val="-7"/>
                <w:sz w:val="24"/>
                <w:szCs w:val="24"/>
              </w:rPr>
              <w:t>自己劳动收入为主要</w:t>
            </w:r>
            <w:r>
              <w:rPr>
                <w:rFonts w:hint="eastAsia" w:ascii="宋体" w:hAnsi="宋体" w:eastAsia="宋体" w:cs="宋体"/>
                <w:spacing w:val="-1"/>
                <w:sz w:val="24"/>
                <w:szCs w:val="24"/>
              </w:rPr>
              <w:t>生活来源的未成年人，视为完全民事行为能力人）。</w:t>
            </w:r>
          </w:p>
          <w:p w14:paraId="28EFB8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4. 本磋商文件中所述供应商的“签字</w:t>
            </w:r>
            <w:r>
              <w:rPr>
                <w:rFonts w:hint="eastAsia" w:ascii="宋体" w:hAnsi="宋体" w:eastAsia="宋体" w:cs="宋体"/>
                <w:spacing w:val="-75"/>
                <w:sz w:val="24"/>
                <w:szCs w:val="24"/>
              </w:rPr>
              <w:t xml:space="preserve"> </w:t>
            </w:r>
            <w:r>
              <w:rPr>
                <w:rFonts w:hint="eastAsia" w:ascii="宋体" w:hAnsi="宋体" w:eastAsia="宋体" w:cs="宋体"/>
                <w:spacing w:val="-5"/>
                <w:sz w:val="24"/>
                <w:szCs w:val="24"/>
              </w:rPr>
              <w:t>”，是指供应商法定代表人或委</w:t>
            </w:r>
            <w:r>
              <w:rPr>
                <w:rFonts w:hint="eastAsia" w:ascii="宋体" w:hAnsi="宋体" w:eastAsia="宋体" w:cs="宋体"/>
                <w:sz w:val="24"/>
                <w:szCs w:val="24"/>
              </w:rPr>
              <w:t>托代理人在文件规定签署处亲笔书写个人姓名的行为。私章、签字章、印</w:t>
            </w:r>
            <w:r>
              <w:rPr>
                <w:rFonts w:hint="eastAsia" w:ascii="宋体" w:hAnsi="宋体" w:eastAsia="宋体" w:cs="宋体"/>
                <w:spacing w:val="-1"/>
                <w:sz w:val="24"/>
                <w:szCs w:val="24"/>
              </w:rPr>
              <w:t>鉴、影印等其他形式，均不得替代</w:t>
            </w:r>
            <w:r>
              <w:rPr>
                <w:rFonts w:hint="eastAsia"/>
                <w:sz w:val="24"/>
                <w:szCs w:val="24"/>
              </w:rPr>
              <w:t>亲笔</w:t>
            </w:r>
            <w:r>
              <w:rPr>
                <w:rFonts w:hint="eastAsia" w:ascii="宋体" w:hAnsi="宋体" w:eastAsia="宋体" w:cs="宋体"/>
                <w:spacing w:val="-1"/>
                <w:sz w:val="24"/>
                <w:szCs w:val="24"/>
              </w:rPr>
              <w:t>签字。</w:t>
            </w:r>
          </w:p>
          <w:p w14:paraId="6CDE8E7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4"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rPr>
              <w:t>5. 本磋商文件中“</w:t>
            </w:r>
            <w:r>
              <w:rPr>
                <w:rFonts w:hint="eastAsia" w:ascii="宋体" w:hAnsi="宋体" w:eastAsia="宋体" w:cs="宋体"/>
                <w:spacing w:val="-80"/>
                <w:sz w:val="24"/>
                <w:szCs w:val="24"/>
              </w:rPr>
              <w:t xml:space="preserve"> </w:t>
            </w:r>
            <w:r>
              <w:rPr>
                <w:rFonts w:hint="eastAsia" w:ascii="宋体" w:hAnsi="宋体" w:eastAsia="宋体" w:cs="宋体"/>
                <w:spacing w:val="-9"/>
                <w:sz w:val="24"/>
                <w:szCs w:val="24"/>
              </w:rPr>
              <w:t>以上</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”“以下</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”“以内</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”“届满</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”的表述均包含本</w:t>
            </w:r>
            <w:r>
              <w:rPr>
                <w:rFonts w:hint="eastAsia" w:ascii="宋体" w:hAnsi="宋体" w:eastAsia="宋体" w:cs="宋体"/>
                <w:spacing w:val="-7"/>
                <w:sz w:val="24"/>
                <w:szCs w:val="24"/>
              </w:rPr>
              <w:t>数；“不满</w:t>
            </w:r>
            <w:r>
              <w:rPr>
                <w:rFonts w:hint="eastAsia" w:ascii="宋体" w:hAnsi="宋体" w:eastAsia="宋体" w:cs="宋体"/>
                <w:spacing w:val="-73"/>
                <w:sz w:val="24"/>
                <w:szCs w:val="24"/>
              </w:rPr>
              <w:t xml:space="preserve"> </w:t>
            </w:r>
            <w:r>
              <w:rPr>
                <w:rFonts w:hint="eastAsia" w:ascii="宋体" w:hAnsi="宋体" w:eastAsia="宋体" w:cs="宋体"/>
                <w:spacing w:val="-7"/>
                <w:sz w:val="24"/>
                <w:szCs w:val="24"/>
              </w:rPr>
              <w:t>”“超过</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w:t>
            </w:r>
            <w:r>
              <w:rPr>
                <w:rFonts w:hint="eastAsia" w:ascii="宋体" w:hAnsi="宋体" w:eastAsia="宋体" w:cs="宋体"/>
                <w:spacing w:val="-80"/>
                <w:sz w:val="24"/>
                <w:szCs w:val="24"/>
              </w:rPr>
              <w:t xml:space="preserve"> </w:t>
            </w:r>
            <w:r>
              <w:rPr>
                <w:rFonts w:hint="eastAsia" w:ascii="宋体" w:hAnsi="宋体" w:eastAsia="宋体" w:cs="宋体"/>
                <w:spacing w:val="-7"/>
                <w:sz w:val="24"/>
                <w:szCs w:val="24"/>
              </w:rPr>
              <w:t>以外</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”的表述均不包含本数。</w:t>
            </w:r>
          </w:p>
          <w:p w14:paraId="0BE6BD1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6.</w:t>
            </w:r>
            <w:r>
              <w:rPr>
                <w:rFonts w:hint="eastAsia" w:ascii="宋体" w:hAnsi="宋体" w:eastAsia="宋体" w:cs="宋体"/>
                <w:spacing w:val="40"/>
                <w:sz w:val="24"/>
                <w:szCs w:val="24"/>
              </w:rPr>
              <w:t xml:space="preserve"> </w:t>
            </w:r>
            <w:r>
              <w:rPr>
                <w:rFonts w:hint="eastAsia" w:ascii="宋体" w:hAnsi="宋体" w:eastAsia="宋体" w:cs="宋体"/>
                <w:b/>
                <w:bCs/>
                <w:spacing w:val="-3"/>
                <w:sz w:val="24"/>
                <w:szCs w:val="24"/>
              </w:rPr>
              <w:t>因项目存档需要，成交供应商须按以下</w:t>
            </w:r>
            <w:r>
              <w:rPr>
                <w:rFonts w:hint="eastAsia" w:ascii="宋体" w:hAnsi="宋体" w:eastAsia="宋体" w:cs="宋体"/>
                <w:b/>
                <w:bCs/>
                <w:spacing w:val="-4"/>
                <w:sz w:val="24"/>
                <w:szCs w:val="24"/>
              </w:rPr>
              <w:t>要求提供纸质响应文件：</w:t>
            </w:r>
          </w:p>
          <w:p w14:paraId="18755F6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成交供应商在领取成交通知书时，须同时向招标代理机构提交三套本项目纸质版响应文件（含报价文件、资格证明文件、商务技术文件，需按</w:t>
            </w:r>
            <w:r>
              <w:rPr>
                <w:rFonts w:hint="eastAsia" w:ascii="宋体" w:hAnsi="宋体" w:eastAsia="宋体" w:cs="宋体"/>
                <w:b/>
                <w:bCs/>
                <w:spacing w:val="-5"/>
                <w:sz w:val="24"/>
                <w:szCs w:val="24"/>
              </w:rPr>
              <w:t>要求加盖公章）。</w:t>
            </w:r>
          </w:p>
          <w:p w14:paraId="766479C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成交供应商提交的纸质版响应文件内容，必须与上传至广西政府采购云平台的电子响应文件完全一致，不得篡改。若项目验收时，因纸质响应文件与评标所用</w:t>
            </w:r>
          </w:p>
        </w:tc>
      </w:tr>
    </w:tbl>
    <w:p w14:paraId="138F30C5">
      <w:pPr>
        <w:shd w:val="clear"/>
        <w:rPr>
          <w:rFonts w:hint="eastAsia" w:ascii="宋体" w:hAnsi="宋体" w:eastAsia="宋体" w:cs="宋体"/>
          <w:sz w:val="21"/>
        </w:rPr>
      </w:pPr>
    </w:p>
    <w:p w14:paraId="40D0DA6D">
      <w:pPr>
        <w:shd w:val="clear"/>
        <w:rPr>
          <w:rFonts w:hint="eastAsia" w:ascii="宋体" w:hAnsi="宋体" w:eastAsia="宋体" w:cs="宋体"/>
          <w:sz w:val="21"/>
          <w:szCs w:val="21"/>
        </w:rPr>
        <w:sectPr>
          <w:footerReference r:id="rId8" w:type="default"/>
          <w:pgSz w:w="11906" w:h="16839"/>
          <w:pgMar w:top="1440" w:right="1080" w:bottom="1440" w:left="1080" w:header="0" w:footer="1200" w:gutter="0"/>
          <w:pgNumType w:fmt="decimal"/>
          <w:cols w:space="720" w:num="1"/>
        </w:sectPr>
      </w:pPr>
    </w:p>
    <w:p w14:paraId="0F758093">
      <w:pPr>
        <w:pStyle w:val="3"/>
        <w:shd w:val="clear"/>
        <w:spacing w:before="101" w:line="229" w:lineRule="auto"/>
        <w:ind w:left="3420"/>
        <w:rPr>
          <w:rFonts w:hint="eastAsia" w:ascii="宋体" w:hAnsi="宋体" w:eastAsia="宋体" w:cs="宋体"/>
          <w:sz w:val="31"/>
          <w:szCs w:val="31"/>
        </w:rPr>
      </w:pPr>
      <w:r>
        <w:rPr>
          <w:rFonts w:hint="eastAsia" w:ascii="宋体" w:hAnsi="宋体" w:eastAsia="宋体" w:cs="宋体"/>
          <w:b/>
          <w:bCs/>
          <w:spacing w:val="4"/>
          <w:sz w:val="31"/>
          <w:szCs w:val="31"/>
        </w:rPr>
        <w:t>供应商须知正文</w:t>
      </w:r>
    </w:p>
    <w:p w14:paraId="24EC811D">
      <w:pPr>
        <w:shd w:val="clear"/>
        <w:spacing w:line="315" w:lineRule="auto"/>
        <w:rPr>
          <w:rFonts w:hint="eastAsia" w:ascii="宋体" w:hAnsi="宋体" w:eastAsia="宋体" w:cs="宋体"/>
          <w:sz w:val="21"/>
        </w:rPr>
      </w:pPr>
    </w:p>
    <w:p w14:paraId="069E382A">
      <w:pPr>
        <w:pStyle w:val="3"/>
        <w:shd w:val="clear"/>
        <w:spacing w:before="101" w:line="229" w:lineRule="auto"/>
        <w:ind w:left="3903"/>
        <w:rPr>
          <w:rFonts w:hint="eastAsia" w:ascii="宋体" w:hAnsi="宋体" w:eastAsia="宋体" w:cs="宋体"/>
          <w:sz w:val="31"/>
          <w:szCs w:val="31"/>
        </w:rPr>
      </w:pPr>
      <w:r>
        <w:rPr>
          <w:rFonts w:hint="eastAsia" w:ascii="宋体" w:hAnsi="宋体" w:eastAsia="宋体" w:cs="宋体"/>
          <w:b/>
          <w:bCs/>
          <w:spacing w:val="1"/>
          <w:sz w:val="31"/>
          <w:szCs w:val="31"/>
        </w:rPr>
        <w:t>一、总则</w:t>
      </w:r>
    </w:p>
    <w:p w14:paraId="10AAC4B0">
      <w:pPr>
        <w:shd w:val="clear"/>
        <w:spacing w:before="177" w:line="223" w:lineRule="auto"/>
        <w:ind w:left="486"/>
        <w:rPr>
          <w:rFonts w:hint="eastAsia" w:ascii="宋体" w:hAnsi="宋体" w:eastAsia="宋体" w:cs="宋体"/>
          <w:sz w:val="24"/>
          <w:szCs w:val="24"/>
        </w:rPr>
      </w:pPr>
      <w:r>
        <w:rPr>
          <w:rFonts w:hint="eastAsia" w:ascii="宋体" w:hAnsi="宋体" w:eastAsia="宋体" w:cs="宋体"/>
          <w:b/>
          <w:bCs/>
          <w:spacing w:val="-6"/>
          <w:sz w:val="24"/>
          <w:szCs w:val="24"/>
        </w:rPr>
        <w:t>1.适用范围</w:t>
      </w:r>
    </w:p>
    <w:p w14:paraId="159AF0D1">
      <w:pPr>
        <w:pStyle w:val="3"/>
        <w:shd w:val="clear"/>
        <w:spacing w:before="230" w:line="400" w:lineRule="auto"/>
        <w:ind w:right="12" w:firstLine="490"/>
        <w:rPr>
          <w:rFonts w:hint="eastAsia" w:ascii="宋体" w:hAnsi="宋体" w:eastAsia="宋体" w:cs="宋体"/>
        </w:rPr>
      </w:pPr>
      <w:r>
        <w:rPr>
          <w:rFonts w:hint="eastAsia" w:ascii="宋体" w:hAnsi="宋体" w:eastAsia="宋体" w:cs="宋体"/>
          <w:spacing w:val="-1"/>
        </w:rPr>
        <w:t>1.1</w:t>
      </w:r>
      <w:r>
        <w:rPr>
          <w:rFonts w:hint="eastAsia" w:ascii="宋体" w:hAnsi="宋体" w:eastAsia="宋体" w:cs="宋体"/>
          <w:spacing w:val="-39"/>
        </w:rPr>
        <w:t xml:space="preserve"> </w:t>
      </w:r>
      <w:r>
        <w:rPr>
          <w:rFonts w:hint="eastAsia" w:ascii="宋体" w:hAnsi="宋体" w:eastAsia="宋体" w:cs="宋体"/>
          <w:spacing w:val="-1"/>
        </w:rPr>
        <w:t>本项目采购人、采购代理机构、供应商、磋商小组的相关行为均受《中华人民</w:t>
      </w:r>
      <w:r>
        <w:rPr>
          <w:rFonts w:hint="eastAsia" w:ascii="宋体" w:hAnsi="宋体" w:eastAsia="宋体" w:cs="宋体"/>
          <w:spacing w:val="-2"/>
        </w:rPr>
        <w:t>共和国政府采购法》《中华人民共和国政府采购法实施条例》《政府采购竞争性磋商采购方式管理暂行办法》《财政部关于政府采购竞争性磋商采购方式管理暂行办法有关问</w:t>
      </w:r>
      <w:r>
        <w:rPr>
          <w:rFonts w:hint="eastAsia" w:ascii="宋体" w:hAnsi="宋体" w:eastAsia="宋体" w:cs="宋体"/>
          <w:spacing w:val="-1"/>
        </w:rPr>
        <w:t>题的补充通知》及本项目本级和上级财政部门政府采购有关规定的约束和保护。</w:t>
      </w:r>
    </w:p>
    <w:p w14:paraId="5293E9F2">
      <w:pPr>
        <w:pStyle w:val="3"/>
        <w:shd w:val="clear"/>
        <w:spacing w:line="400" w:lineRule="auto"/>
        <w:ind w:firstLine="491"/>
        <w:rPr>
          <w:rFonts w:hint="eastAsia" w:ascii="宋体" w:hAnsi="宋体" w:eastAsia="宋体" w:cs="宋体"/>
        </w:rPr>
      </w:pPr>
      <w:r>
        <w:rPr>
          <w:rFonts w:hint="eastAsia" w:ascii="宋体" w:hAnsi="宋体" w:eastAsia="宋体" w:cs="宋体"/>
          <w:spacing w:val="-13"/>
        </w:rPr>
        <w:t>1.2</w:t>
      </w:r>
      <w:r>
        <w:rPr>
          <w:rFonts w:hint="eastAsia" w:ascii="宋体" w:hAnsi="宋体" w:eastAsia="宋体" w:cs="宋体"/>
          <w:spacing w:val="-37"/>
        </w:rPr>
        <w:t xml:space="preserve"> </w:t>
      </w:r>
      <w:r>
        <w:rPr>
          <w:rFonts w:hint="eastAsia" w:ascii="宋体" w:hAnsi="宋体" w:eastAsia="宋体" w:cs="宋体"/>
          <w:spacing w:val="-13"/>
        </w:rPr>
        <w:t>本竞争性磋商文件（以下简称磋商文件）适用于本项目的所有采购程序和环节（法</w:t>
      </w:r>
      <w:r>
        <w:rPr>
          <w:rFonts w:hint="eastAsia" w:ascii="宋体" w:hAnsi="宋体" w:eastAsia="宋体" w:cs="宋体"/>
          <w:spacing w:val="-12"/>
        </w:rPr>
        <w:t>律、法规另有规定的，从其规定）。</w:t>
      </w:r>
    </w:p>
    <w:p w14:paraId="4AF4D2E5">
      <w:pPr>
        <w:shd w:val="clear"/>
        <w:spacing w:line="223" w:lineRule="auto"/>
        <w:ind w:left="472"/>
        <w:rPr>
          <w:rFonts w:hint="eastAsia" w:ascii="宋体" w:hAnsi="宋体" w:eastAsia="宋体" w:cs="宋体"/>
          <w:sz w:val="24"/>
          <w:szCs w:val="24"/>
        </w:rPr>
      </w:pPr>
      <w:r>
        <w:rPr>
          <w:rFonts w:hint="eastAsia" w:ascii="宋体" w:hAnsi="宋体" w:eastAsia="宋体" w:cs="宋体"/>
          <w:b/>
          <w:bCs/>
          <w:spacing w:val="-4"/>
          <w:sz w:val="24"/>
          <w:szCs w:val="24"/>
        </w:rPr>
        <w:t>2.定义</w:t>
      </w:r>
    </w:p>
    <w:p w14:paraId="64FA9399">
      <w:pPr>
        <w:pStyle w:val="3"/>
        <w:shd w:val="clear"/>
        <w:spacing w:before="231" w:line="222" w:lineRule="auto"/>
        <w:ind w:left="476"/>
        <w:rPr>
          <w:rFonts w:hint="eastAsia" w:ascii="宋体" w:hAnsi="宋体" w:eastAsia="宋体" w:cs="宋体"/>
        </w:rPr>
      </w:pPr>
      <w:r>
        <w:rPr>
          <w:rFonts w:hint="eastAsia" w:ascii="宋体" w:hAnsi="宋体" w:eastAsia="宋体" w:cs="宋体"/>
          <w:spacing w:val="-2"/>
        </w:rPr>
        <w:t>2.1“采购人</w:t>
      </w:r>
      <w:r>
        <w:rPr>
          <w:rFonts w:hint="eastAsia" w:ascii="宋体" w:hAnsi="宋体" w:eastAsia="宋体" w:cs="宋体"/>
          <w:spacing w:val="-89"/>
        </w:rPr>
        <w:t xml:space="preserve"> </w:t>
      </w:r>
      <w:r>
        <w:rPr>
          <w:rFonts w:hint="eastAsia" w:ascii="宋体" w:hAnsi="宋体" w:eastAsia="宋体" w:cs="宋体"/>
          <w:spacing w:val="-2"/>
        </w:rPr>
        <w:t>”是</w:t>
      </w:r>
      <w:r>
        <w:rPr>
          <w:rFonts w:hint="eastAsia" w:ascii="宋体" w:hAnsi="宋体" w:eastAsia="宋体" w:cs="宋体"/>
          <w:spacing w:val="-2"/>
          <w:lang w:eastAsia="zh-CN"/>
        </w:rPr>
        <w:t>藤县市场监督管理局</w:t>
      </w:r>
      <w:r>
        <w:rPr>
          <w:rFonts w:hint="eastAsia" w:ascii="宋体" w:hAnsi="宋体" w:eastAsia="宋体" w:cs="宋体"/>
          <w:spacing w:val="-2"/>
        </w:rPr>
        <w:t>。</w:t>
      </w:r>
    </w:p>
    <w:p w14:paraId="5B05AADB">
      <w:pPr>
        <w:pStyle w:val="3"/>
        <w:shd w:val="clear"/>
        <w:spacing w:before="230" w:line="222" w:lineRule="auto"/>
        <w:ind w:left="476"/>
        <w:rPr>
          <w:rFonts w:hint="eastAsia" w:ascii="宋体" w:hAnsi="宋体" w:eastAsia="宋体" w:cs="宋体"/>
        </w:rPr>
      </w:pPr>
      <w:r>
        <w:rPr>
          <w:rFonts w:hint="eastAsia" w:ascii="宋体" w:hAnsi="宋体" w:eastAsia="宋体" w:cs="宋体"/>
          <w:spacing w:val="-2"/>
        </w:rPr>
        <w:t>2.2“采购代理机构</w:t>
      </w:r>
      <w:r>
        <w:rPr>
          <w:rFonts w:hint="eastAsia" w:ascii="宋体" w:hAnsi="宋体" w:eastAsia="宋体" w:cs="宋体"/>
          <w:spacing w:val="-81"/>
        </w:rPr>
        <w:t xml:space="preserve"> </w:t>
      </w:r>
      <w:r>
        <w:rPr>
          <w:rFonts w:hint="eastAsia" w:ascii="宋体" w:hAnsi="宋体" w:eastAsia="宋体" w:cs="宋体"/>
          <w:spacing w:val="-2"/>
        </w:rPr>
        <w:t>”是指</w:t>
      </w:r>
      <w:r>
        <w:rPr>
          <w:rFonts w:hint="eastAsia" w:ascii="宋体" w:hAnsi="宋体" w:eastAsia="宋体" w:cs="宋体"/>
          <w:spacing w:val="-2"/>
          <w:lang w:eastAsia="zh-CN"/>
        </w:rPr>
        <w:t>广西辉腾工程管理有限公司</w:t>
      </w:r>
      <w:r>
        <w:rPr>
          <w:rFonts w:hint="eastAsia" w:ascii="宋体" w:hAnsi="宋体" w:eastAsia="宋体" w:cs="宋体"/>
          <w:spacing w:val="-2"/>
        </w:rPr>
        <w:t>。</w:t>
      </w:r>
    </w:p>
    <w:p w14:paraId="5287B123">
      <w:pPr>
        <w:pStyle w:val="3"/>
        <w:shd w:val="clear"/>
        <w:spacing w:before="230" w:line="400" w:lineRule="auto"/>
        <w:ind w:left="4" w:right="12" w:firstLine="471"/>
        <w:rPr>
          <w:rFonts w:hint="eastAsia" w:ascii="宋体" w:hAnsi="宋体" w:eastAsia="宋体" w:cs="宋体"/>
        </w:rPr>
      </w:pPr>
      <w:r>
        <w:rPr>
          <w:rFonts w:hint="eastAsia" w:ascii="宋体" w:hAnsi="宋体" w:eastAsia="宋体" w:cs="宋体"/>
          <w:spacing w:val="1"/>
        </w:rPr>
        <w:t>2.3“供应商</w:t>
      </w:r>
      <w:r>
        <w:rPr>
          <w:rFonts w:hint="eastAsia" w:ascii="宋体" w:hAnsi="宋体" w:eastAsia="宋体" w:cs="宋体"/>
          <w:spacing w:val="-86"/>
        </w:rPr>
        <w:t xml:space="preserve"> </w:t>
      </w:r>
      <w:r>
        <w:rPr>
          <w:rFonts w:hint="eastAsia" w:ascii="宋体" w:hAnsi="宋体" w:eastAsia="宋体" w:cs="宋体"/>
          <w:spacing w:val="1"/>
        </w:rPr>
        <w:t>”是指向采购人提供货物、工程或者服务</w:t>
      </w:r>
      <w:r>
        <w:rPr>
          <w:rFonts w:hint="eastAsia" w:ascii="宋体" w:hAnsi="宋体" w:eastAsia="宋体" w:cs="宋体"/>
        </w:rPr>
        <w:t>的法人、其他组织或者自然</w:t>
      </w:r>
      <w:r>
        <w:rPr>
          <w:rFonts w:hint="eastAsia" w:ascii="宋体" w:hAnsi="宋体" w:eastAsia="宋体" w:cs="宋体"/>
          <w:spacing w:val="-10"/>
        </w:rPr>
        <w:t>人。</w:t>
      </w:r>
    </w:p>
    <w:p w14:paraId="539E7C4A">
      <w:pPr>
        <w:pStyle w:val="3"/>
        <w:shd w:val="clear"/>
        <w:spacing w:before="2" w:line="220" w:lineRule="auto"/>
        <w:ind w:left="476"/>
        <w:rPr>
          <w:rFonts w:hint="eastAsia" w:ascii="宋体" w:hAnsi="宋体" w:eastAsia="宋体" w:cs="宋体"/>
        </w:rPr>
      </w:pPr>
      <w:r>
        <w:rPr>
          <w:rFonts w:hint="eastAsia" w:ascii="宋体" w:hAnsi="宋体" w:eastAsia="宋体" w:cs="宋体"/>
          <w:spacing w:val="-2"/>
        </w:rPr>
        <w:t>2.4“服务</w:t>
      </w:r>
      <w:r>
        <w:rPr>
          <w:rFonts w:hint="eastAsia" w:ascii="宋体" w:hAnsi="宋体" w:eastAsia="宋体" w:cs="宋体"/>
          <w:spacing w:val="-79"/>
        </w:rPr>
        <w:t xml:space="preserve"> </w:t>
      </w:r>
      <w:r>
        <w:rPr>
          <w:rFonts w:hint="eastAsia" w:ascii="宋体" w:hAnsi="宋体" w:eastAsia="宋体" w:cs="宋体"/>
          <w:spacing w:val="-2"/>
        </w:rPr>
        <w:t>”是指除货物和工程以外的其他政府采购对象。</w:t>
      </w:r>
    </w:p>
    <w:p w14:paraId="58EC6028">
      <w:pPr>
        <w:pStyle w:val="3"/>
        <w:shd w:val="clear"/>
        <w:spacing w:before="232" w:line="400" w:lineRule="auto"/>
        <w:ind w:left="9" w:right="9" w:firstLine="466"/>
        <w:rPr>
          <w:rFonts w:hint="eastAsia" w:ascii="宋体" w:hAnsi="宋体" w:eastAsia="宋体" w:cs="宋体"/>
        </w:rPr>
      </w:pPr>
      <w:r>
        <w:rPr>
          <w:rFonts w:hint="eastAsia" w:ascii="宋体" w:hAnsi="宋体" w:eastAsia="宋体" w:cs="宋体"/>
          <w:spacing w:val="1"/>
        </w:rPr>
        <w:t>2.5“竞标</w:t>
      </w:r>
      <w:r>
        <w:rPr>
          <w:rFonts w:hint="eastAsia" w:ascii="宋体" w:hAnsi="宋体" w:eastAsia="宋体" w:cs="宋体"/>
          <w:spacing w:val="-86"/>
        </w:rPr>
        <w:t xml:space="preserve"> </w:t>
      </w:r>
      <w:r>
        <w:rPr>
          <w:rFonts w:hint="eastAsia" w:ascii="宋体" w:hAnsi="宋体" w:eastAsia="宋体" w:cs="宋体"/>
          <w:spacing w:val="1"/>
        </w:rPr>
        <w:t>”是指供应商按照本项目竞争性磋商公告或者邀</w:t>
      </w:r>
      <w:r>
        <w:rPr>
          <w:rFonts w:hint="eastAsia" w:ascii="宋体" w:hAnsi="宋体" w:eastAsia="宋体" w:cs="宋体"/>
        </w:rPr>
        <w:t>请函规定的方式获取磋</w:t>
      </w:r>
      <w:r>
        <w:rPr>
          <w:rFonts w:hint="eastAsia" w:ascii="宋体" w:hAnsi="宋体" w:eastAsia="宋体" w:cs="宋体"/>
          <w:spacing w:val="-2"/>
        </w:rPr>
        <w:t>商文件、提交响应文件并希望获得标的的行为。</w:t>
      </w:r>
    </w:p>
    <w:p w14:paraId="1A08065F">
      <w:pPr>
        <w:pStyle w:val="3"/>
        <w:shd w:val="clear"/>
        <w:spacing w:before="2" w:line="400" w:lineRule="auto"/>
        <w:ind w:left="1" w:right="12" w:firstLine="474"/>
        <w:rPr>
          <w:rFonts w:hint="eastAsia" w:ascii="宋体" w:hAnsi="宋体" w:eastAsia="宋体" w:cs="宋体"/>
        </w:rPr>
      </w:pPr>
      <w:r>
        <w:rPr>
          <w:rFonts w:hint="eastAsia" w:ascii="宋体" w:hAnsi="宋体" w:eastAsia="宋体" w:cs="宋体"/>
        </w:rPr>
        <w:t>2.6“</w:t>
      </w:r>
      <w:r>
        <w:rPr>
          <w:rFonts w:hint="eastAsia" w:ascii="宋体" w:hAnsi="宋体" w:eastAsia="宋体" w:cs="宋体"/>
          <w:spacing w:val="-91"/>
        </w:rPr>
        <w:t xml:space="preserve"> </w:t>
      </w:r>
      <w:r>
        <w:rPr>
          <w:rFonts w:hint="eastAsia" w:ascii="宋体" w:hAnsi="宋体" w:eastAsia="宋体" w:cs="宋体"/>
        </w:rPr>
        <w:t>书面形式</w:t>
      </w:r>
      <w:r>
        <w:rPr>
          <w:rFonts w:hint="eastAsia" w:ascii="宋体" w:hAnsi="宋体" w:eastAsia="宋体" w:cs="宋体"/>
          <w:spacing w:val="-88"/>
        </w:rPr>
        <w:t xml:space="preserve"> </w:t>
      </w:r>
      <w:r>
        <w:rPr>
          <w:rFonts w:hint="eastAsia" w:ascii="宋体" w:hAnsi="宋体" w:eastAsia="宋体" w:cs="宋体"/>
        </w:rPr>
        <w:t>”是指合同书、信件和数据电文（包括电报、电传、传真、电</w:t>
      </w:r>
      <w:r>
        <w:rPr>
          <w:rFonts w:hint="eastAsia" w:ascii="宋体" w:hAnsi="宋体" w:eastAsia="宋体" w:cs="宋体"/>
          <w:spacing w:val="-1"/>
        </w:rPr>
        <w:t>子数据交换和电子邮件）等可以有形地表现所载内容的形式。</w:t>
      </w:r>
    </w:p>
    <w:p w14:paraId="7D77812F">
      <w:pPr>
        <w:pStyle w:val="3"/>
        <w:shd w:val="clear"/>
        <w:spacing w:before="2" w:line="399" w:lineRule="auto"/>
        <w:ind w:left="1" w:firstLine="474"/>
        <w:rPr>
          <w:rFonts w:hint="eastAsia" w:ascii="宋体" w:hAnsi="宋体" w:eastAsia="宋体" w:cs="宋体"/>
        </w:rPr>
      </w:pPr>
      <w:r>
        <w:rPr>
          <w:rFonts w:hint="eastAsia" w:ascii="宋体" w:hAnsi="宋体" w:eastAsia="宋体" w:cs="宋体"/>
          <w:spacing w:val="-11"/>
        </w:rPr>
        <w:t>2.7“响应文件</w:t>
      </w:r>
      <w:r>
        <w:rPr>
          <w:rFonts w:hint="eastAsia" w:ascii="宋体" w:hAnsi="宋体" w:eastAsia="宋体" w:cs="宋体"/>
          <w:spacing w:val="-88"/>
        </w:rPr>
        <w:t xml:space="preserve"> </w:t>
      </w:r>
      <w:r>
        <w:rPr>
          <w:rFonts w:hint="eastAsia" w:ascii="宋体" w:hAnsi="宋体" w:eastAsia="宋体" w:cs="宋体"/>
          <w:spacing w:val="-11"/>
        </w:rPr>
        <w:t>”是指：供应商根据本磋商文件要求，编制</w:t>
      </w:r>
      <w:r>
        <w:rPr>
          <w:rFonts w:hint="eastAsia" w:ascii="宋体" w:hAnsi="宋体" w:eastAsia="宋体" w:cs="宋体"/>
          <w:spacing w:val="-12"/>
        </w:rPr>
        <w:t>包含资格证明、报价、商务技术等所有内容的文件。</w:t>
      </w:r>
    </w:p>
    <w:p w14:paraId="02306ABC">
      <w:pPr>
        <w:pStyle w:val="3"/>
        <w:shd w:val="clear"/>
        <w:spacing w:before="2" w:line="399" w:lineRule="auto"/>
        <w:ind w:left="3" w:right="12" w:firstLine="472"/>
        <w:rPr>
          <w:rFonts w:hint="eastAsia" w:ascii="宋体" w:hAnsi="宋体" w:eastAsia="宋体" w:cs="宋体"/>
        </w:rPr>
      </w:pPr>
      <w:r>
        <w:rPr>
          <w:rFonts w:hint="eastAsia" w:ascii="宋体" w:hAnsi="宋体" w:eastAsia="宋体" w:cs="宋体"/>
          <w:spacing w:val="1"/>
        </w:rPr>
        <w:t>2.8“实质性要求</w:t>
      </w:r>
      <w:r>
        <w:rPr>
          <w:rFonts w:hint="eastAsia" w:ascii="宋体" w:hAnsi="宋体" w:eastAsia="宋体" w:cs="宋体"/>
          <w:spacing w:val="-88"/>
        </w:rPr>
        <w:t xml:space="preserve"> </w:t>
      </w:r>
      <w:r>
        <w:rPr>
          <w:rFonts w:hint="eastAsia" w:ascii="宋体" w:hAnsi="宋体" w:eastAsia="宋体" w:cs="宋体"/>
          <w:spacing w:val="1"/>
        </w:rPr>
        <w:t>”是指磋商文件中已经指明不满足则响应</w:t>
      </w:r>
      <w:r>
        <w:rPr>
          <w:rFonts w:hint="eastAsia" w:ascii="宋体" w:hAnsi="宋体" w:eastAsia="宋体" w:cs="宋体"/>
        </w:rPr>
        <w:t>文件按无效响应处理的</w:t>
      </w:r>
      <w:r>
        <w:rPr>
          <w:rFonts w:hint="eastAsia" w:ascii="宋体" w:hAnsi="宋体" w:eastAsia="宋体" w:cs="宋体"/>
          <w:spacing w:val="-2"/>
        </w:rPr>
        <w:t>条款，或者不能负偏离的条款，或者采购需求中带“★</w:t>
      </w:r>
      <w:r>
        <w:rPr>
          <w:rFonts w:hint="eastAsia" w:ascii="宋体" w:hAnsi="宋体" w:eastAsia="宋体" w:cs="宋体"/>
          <w:spacing w:val="-82"/>
        </w:rPr>
        <w:t xml:space="preserve"> </w:t>
      </w:r>
      <w:r>
        <w:rPr>
          <w:rFonts w:hint="eastAsia" w:ascii="宋体" w:hAnsi="宋体" w:eastAsia="宋体" w:cs="宋体"/>
          <w:spacing w:val="-2"/>
        </w:rPr>
        <w:t>”的条款。</w:t>
      </w:r>
    </w:p>
    <w:p w14:paraId="18DD1580">
      <w:pPr>
        <w:pStyle w:val="3"/>
        <w:shd w:val="clear"/>
        <w:spacing w:before="1" w:line="400" w:lineRule="auto"/>
        <w:ind w:left="5" w:right="12" w:firstLine="470"/>
        <w:rPr>
          <w:rFonts w:hint="eastAsia" w:ascii="宋体" w:hAnsi="宋体" w:eastAsia="宋体" w:cs="宋体"/>
        </w:rPr>
      </w:pPr>
      <w:r>
        <w:rPr>
          <w:rFonts w:hint="eastAsia" w:ascii="宋体" w:hAnsi="宋体" w:eastAsia="宋体" w:cs="宋体"/>
        </w:rPr>
        <w:t>2.9“正偏离</w:t>
      </w:r>
      <w:r>
        <w:rPr>
          <w:rFonts w:hint="eastAsia" w:ascii="宋体" w:hAnsi="宋体" w:eastAsia="宋体" w:cs="宋体"/>
          <w:spacing w:val="-86"/>
        </w:rPr>
        <w:t xml:space="preserve"> </w:t>
      </w:r>
      <w:r>
        <w:rPr>
          <w:rFonts w:hint="eastAsia" w:ascii="宋体" w:hAnsi="宋体" w:eastAsia="宋体" w:cs="宋体"/>
        </w:rPr>
        <w:t>”，是指响应文件对磋商文件“采购需求</w:t>
      </w:r>
      <w:r>
        <w:rPr>
          <w:rFonts w:hint="eastAsia" w:ascii="宋体" w:hAnsi="宋体" w:eastAsia="宋体" w:cs="宋体"/>
          <w:spacing w:val="-88"/>
        </w:rPr>
        <w:t xml:space="preserve"> </w:t>
      </w:r>
      <w:r>
        <w:rPr>
          <w:rFonts w:hint="eastAsia" w:ascii="宋体" w:hAnsi="宋体" w:eastAsia="宋体" w:cs="宋体"/>
        </w:rPr>
        <w:t>”中有关条</w:t>
      </w:r>
      <w:r>
        <w:rPr>
          <w:rFonts w:hint="eastAsia" w:ascii="宋体" w:hAnsi="宋体" w:eastAsia="宋体" w:cs="宋体"/>
          <w:spacing w:val="-1"/>
        </w:rPr>
        <w:t>款作出的响应优</w:t>
      </w:r>
      <w:r>
        <w:rPr>
          <w:rFonts w:hint="eastAsia" w:ascii="宋体" w:hAnsi="宋体" w:eastAsia="宋体" w:cs="宋体"/>
          <w:spacing w:val="-2"/>
        </w:rPr>
        <w:t>于条款要求并有利于采购人的情形。</w:t>
      </w:r>
    </w:p>
    <w:p w14:paraId="30E0BDBC">
      <w:pPr>
        <w:pStyle w:val="3"/>
        <w:shd w:val="clear"/>
        <w:spacing w:before="1" w:line="400" w:lineRule="auto"/>
        <w:ind w:left="5" w:right="12" w:firstLine="470"/>
        <w:rPr>
          <w:rFonts w:hint="eastAsia" w:ascii="宋体" w:hAnsi="宋体" w:eastAsia="宋体" w:cs="宋体"/>
        </w:rPr>
      </w:pPr>
      <w:r>
        <w:rPr>
          <w:rFonts w:hint="eastAsia" w:ascii="宋体" w:hAnsi="宋体" w:eastAsia="宋体" w:cs="宋体"/>
          <w:spacing w:val="-3"/>
        </w:rPr>
        <w:t>2.10“负偏离</w:t>
      </w:r>
      <w:r>
        <w:rPr>
          <w:rFonts w:hint="eastAsia" w:ascii="宋体" w:hAnsi="宋体" w:eastAsia="宋体" w:cs="宋体"/>
          <w:spacing w:val="-88"/>
        </w:rPr>
        <w:t xml:space="preserve"> </w:t>
      </w:r>
      <w:r>
        <w:rPr>
          <w:rFonts w:hint="eastAsia" w:ascii="宋体" w:hAnsi="宋体" w:eastAsia="宋体" w:cs="宋体"/>
          <w:spacing w:val="-3"/>
        </w:rPr>
        <w:t>”，是指响应文件对磋商文件“采购需求</w:t>
      </w:r>
      <w:r>
        <w:rPr>
          <w:rFonts w:hint="eastAsia" w:ascii="宋体" w:hAnsi="宋体" w:eastAsia="宋体" w:cs="宋体"/>
          <w:spacing w:val="-88"/>
        </w:rPr>
        <w:t xml:space="preserve"> </w:t>
      </w:r>
      <w:r>
        <w:rPr>
          <w:rFonts w:hint="eastAsia" w:ascii="宋体" w:hAnsi="宋体" w:eastAsia="宋体" w:cs="宋体"/>
          <w:spacing w:val="-3"/>
        </w:rPr>
        <w:t>”</w:t>
      </w:r>
      <w:r>
        <w:rPr>
          <w:rFonts w:hint="eastAsia" w:ascii="宋体" w:hAnsi="宋体" w:eastAsia="宋体" w:cs="宋体"/>
          <w:spacing w:val="-4"/>
        </w:rPr>
        <w:t>中有关条款作出的响应不</w:t>
      </w:r>
      <w:r>
        <w:rPr>
          <w:rFonts w:hint="eastAsia" w:ascii="宋体" w:hAnsi="宋体" w:eastAsia="宋体" w:cs="宋体"/>
          <w:spacing w:val="-1"/>
        </w:rPr>
        <w:t>满足条款要求，导致采购人要求不能得到满足的情形。</w:t>
      </w:r>
    </w:p>
    <w:p w14:paraId="6BFC513F">
      <w:pPr>
        <w:pStyle w:val="3"/>
        <w:shd w:val="clear"/>
        <w:spacing w:before="232" w:line="220" w:lineRule="auto"/>
        <w:ind w:left="475"/>
        <w:rPr>
          <w:rFonts w:hint="eastAsia" w:ascii="宋体" w:hAnsi="宋体" w:eastAsia="宋体" w:cs="宋体"/>
        </w:rPr>
      </w:pPr>
      <w:r>
        <w:rPr>
          <w:rFonts w:hint="eastAsia" w:ascii="宋体" w:hAnsi="宋体" w:eastAsia="宋体" w:cs="宋体"/>
          <w:spacing w:val="-2"/>
        </w:rPr>
        <w:t>2.11“允许负偏离的条款</w:t>
      </w:r>
      <w:r>
        <w:rPr>
          <w:rFonts w:hint="eastAsia" w:ascii="宋体" w:hAnsi="宋体" w:eastAsia="宋体" w:cs="宋体"/>
          <w:spacing w:val="-88"/>
        </w:rPr>
        <w:t xml:space="preserve"> </w:t>
      </w:r>
      <w:r>
        <w:rPr>
          <w:rFonts w:hint="eastAsia" w:ascii="宋体" w:hAnsi="宋体" w:eastAsia="宋体" w:cs="宋体"/>
          <w:spacing w:val="-2"/>
        </w:rPr>
        <w:t>”是指采购需求中的不属于“实质性要求</w:t>
      </w:r>
      <w:r>
        <w:rPr>
          <w:rFonts w:hint="eastAsia" w:ascii="宋体" w:hAnsi="宋体" w:eastAsia="宋体" w:cs="宋体"/>
          <w:spacing w:val="-88"/>
        </w:rPr>
        <w:t xml:space="preserve"> </w:t>
      </w:r>
      <w:r>
        <w:rPr>
          <w:rFonts w:hint="eastAsia" w:ascii="宋体" w:hAnsi="宋体" w:eastAsia="宋体" w:cs="宋体"/>
          <w:spacing w:val="-3"/>
        </w:rPr>
        <w:t>”的条款。</w:t>
      </w:r>
    </w:p>
    <w:p w14:paraId="5D48D109">
      <w:pPr>
        <w:pStyle w:val="3"/>
        <w:shd w:val="clear"/>
        <w:spacing w:before="235" w:line="222" w:lineRule="auto"/>
        <w:ind w:left="475"/>
        <w:rPr>
          <w:rFonts w:hint="eastAsia" w:ascii="宋体" w:hAnsi="宋体" w:eastAsia="宋体" w:cs="宋体"/>
        </w:rPr>
      </w:pPr>
      <w:r>
        <w:rPr>
          <w:rFonts w:hint="eastAsia" w:ascii="宋体" w:hAnsi="宋体" w:eastAsia="宋体" w:cs="宋体"/>
          <w:spacing w:val="-2"/>
        </w:rPr>
        <w:t>2.12“首次报价</w:t>
      </w:r>
      <w:r>
        <w:rPr>
          <w:rFonts w:hint="eastAsia" w:ascii="宋体" w:hAnsi="宋体" w:eastAsia="宋体" w:cs="宋体"/>
          <w:spacing w:val="-75"/>
        </w:rPr>
        <w:t xml:space="preserve"> </w:t>
      </w:r>
      <w:r>
        <w:rPr>
          <w:rFonts w:hint="eastAsia" w:ascii="宋体" w:hAnsi="宋体" w:eastAsia="宋体" w:cs="宋体"/>
          <w:spacing w:val="-2"/>
        </w:rPr>
        <w:t>”是指供应商提交的首次响应文件中的报价。</w:t>
      </w:r>
    </w:p>
    <w:p w14:paraId="56395BBF">
      <w:pPr>
        <w:shd w:val="clear"/>
        <w:spacing w:before="228" w:line="222" w:lineRule="auto"/>
        <w:ind w:left="473"/>
        <w:rPr>
          <w:rFonts w:hint="eastAsia" w:ascii="宋体" w:hAnsi="宋体" w:eastAsia="宋体" w:cs="宋体"/>
          <w:sz w:val="24"/>
          <w:szCs w:val="24"/>
        </w:rPr>
      </w:pPr>
      <w:r>
        <w:rPr>
          <w:rFonts w:hint="eastAsia" w:ascii="宋体" w:hAnsi="宋体" w:eastAsia="宋体" w:cs="宋体"/>
          <w:b/>
          <w:bCs/>
          <w:spacing w:val="-3"/>
          <w:sz w:val="24"/>
          <w:szCs w:val="24"/>
        </w:rPr>
        <w:t>3.供应商的资格条件</w:t>
      </w:r>
    </w:p>
    <w:p w14:paraId="27999BF9">
      <w:pPr>
        <w:pStyle w:val="3"/>
        <w:shd w:val="clear"/>
        <w:spacing w:before="232" w:line="221" w:lineRule="auto"/>
        <w:ind w:left="480"/>
        <w:rPr>
          <w:rFonts w:hint="eastAsia" w:ascii="宋体" w:hAnsi="宋体" w:eastAsia="宋体" w:cs="宋体"/>
        </w:rPr>
      </w:pPr>
      <w:r>
        <w:rPr>
          <w:rFonts w:hint="eastAsia" w:ascii="宋体" w:hAnsi="宋体" w:eastAsia="宋体" w:cs="宋体"/>
          <w:spacing w:val="-1"/>
        </w:rPr>
        <w:t>供应商的资格条件详见“供应商须知前附表</w:t>
      </w:r>
      <w:r>
        <w:rPr>
          <w:rFonts w:hint="eastAsia" w:ascii="宋体" w:hAnsi="宋体" w:eastAsia="宋体" w:cs="宋体"/>
          <w:spacing w:val="-83"/>
        </w:rPr>
        <w:t xml:space="preserve"> </w:t>
      </w:r>
      <w:r>
        <w:rPr>
          <w:rFonts w:hint="eastAsia" w:ascii="宋体" w:hAnsi="宋体" w:eastAsia="宋体" w:cs="宋体"/>
          <w:spacing w:val="-1"/>
        </w:rPr>
        <w:t>”。</w:t>
      </w:r>
    </w:p>
    <w:p w14:paraId="4493CB58">
      <w:pPr>
        <w:shd w:val="clear"/>
        <w:spacing w:before="233" w:line="222" w:lineRule="auto"/>
        <w:ind w:left="467"/>
        <w:rPr>
          <w:rFonts w:hint="eastAsia" w:ascii="宋体" w:hAnsi="宋体" w:eastAsia="宋体" w:cs="宋体"/>
          <w:sz w:val="24"/>
          <w:szCs w:val="24"/>
        </w:rPr>
      </w:pPr>
      <w:r>
        <w:rPr>
          <w:rFonts w:hint="eastAsia" w:ascii="宋体" w:hAnsi="宋体" w:eastAsia="宋体" w:cs="宋体"/>
          <w:b/>
          <w:bCs/>
          <w:spacing w:val="-3"/>
          <w:sz w:val="24"/>
          <w:szCs w:val="24"/>
        </w:rPr>
        <w:t>4.竞标费用</w:t>
      </w:r>
    </w:p>
    <w:p w14:paraId="325FF39D">
      <w:pPr>
        <w:pStyle w:val="3"/>
        <w:shd w:val="clear"/>
        <w:spacing w:before="231" w:line="400" w:lineRule="auto"/>
        <w:ind w:firstLine="480"/>
        <w:jc w:val="both"/>
        <w:rPr>
          <w:rFonts w:hint="eastAsia" w:ascii="宋体" w:hAnsi="宋体" w:eastAsia="宋体" w:cs="宋体"/>
        </w:rPr>
      </w:pPr>
      <w:r>
        <w:rPr>
          <w:rFonts w:hint="eastAsia" w:ascii="宋体" w:hAnsi="宋体" w:eastAsia="宋体" w:cs="宋体"/>
          <w:spacing w:val="-2"/>
        </w:rPr>
        <w:t>供应商应承担参与本次采购活动有关的所有费用，包括但不限于获取磋商文件、勘查现场、编制和提交响应文件、参加磋商与应答、签订合同等，不论竞标结果如何，均</w:t>
      </w:r>
      <w:r>
        <w:rPr>
          <w:rFonts w:hint="eastAsia" w:ascii="宋体" w:hAnsi="宋体" w:eastAsia="宋体" w:cs="宋体"/>
          <w:spacing w:val="-3"/>
        </w:rPr>
        <w:t>应自行承担。</w:t>
      </w:r>
    </w:p>
    <w:p w14:paraId="4C9893FF">
      <w:pPr>
        <w:shd w:val="clear"/>
        <w:spacing w:line="221" w:lineRule="auto"/>
        <w:ind w:left="468"/>
        <w:rPr>
          <w:rFonts w:hint="eastAsia" w:ascii="宋体" w:hAnsi="宋体" w:eastAsia="宋体" w:cs="宋体"/>
          <w:sz w:val="24"/>
          <w:szCs w:val="24"/>
        </w:rPr>
      </w:pPr>
      <w:r>
        <w:rPr>
          <w:rFonts w:hint="eastAsia" w:ascii="宋体" w:hAnsi="宋体" w:eastAsia="宋体" w:cs="宋体"/>
          <w:b/>
          <w:bCs/>
          <w:spacing w:val="-3"/>
          <w:sz w:val="24"/>
          <w:szCs w:val="24"/>
        </w:rPr>
        <w:t>5.联合体竞标</w:t>
      </w:r>
    </w:p>
    <w:p w14:paraId="6368A1CC">
      <w:pPr>
        <w:pStyle w:val="3"/>
        <w:shd w:val="clear"/>
        <w:spacing w:before="233" w:line="221" w:lineRule="auto"/>
        <w:ind w:left="477"/>
        <w:rPr>
          <w:rFonts w:hint="eastAsia" w:ascii="宋体" w:hAnsi="宋体" w:eastAsia="宋体" w:cs="宋体"/>
        </w:rPr>
      </w:pPr>
      <w:r>
        <w:rPr>
          <w:rFonts w:hint="eastAsia" w:ascii="宋体" w:hAnsi="宋体" w:eastAsia="宋体" w:cs="宋体"/>
          <w:spacing w:val="-1"/>
        </w:rPr>
        <w:t>5.1</w:t>
      </w:r>
      <w:r>
        <w:rPr>
          <w:rFonts w:hint="eastAsia" w:ascii="宋体" w:hAnsi="宋体" w:eastAsia="宋体" w:cs="宋体"/>
          <w:spacing w:val="-44"/>
        </w:rPr>
        <w:t xml:space="preserve"> </w:t>
      </w:r>
      <w:r>
        <w:rPr>
          <w:rFonts w:hint="eastAsia" w:ascii="宋体" w:hAnsi="宋体" w:eastAsia="宋体" w:cs="宋体"/>
          <w:spacing w:val="-1"/>
        </w:rPr>
        <w:t>本项目是否接受联合体竞标，详见“供应商须知前附表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14001A95">
      <w:pPr>
        <w:pStyle w:val="3"/>
        <w:shd w:val="clear"/>
        <w:spacing w:before="234" w:line="221" w:lineRule="auto"/>
        <w:ind w:left="477"/>
        <w:rPr>
          <w:rFonts w:hint="eastAsia" w:ascii="宋体" w:hAnsi="宋体" w:eastAsia="宋体" w:cs="宋体"/>
        </w:rPr>
      </w:pPr>
      <w:r>
        <w:rPr>
          <w:rFonts w:hint="eastAsia" w:ascii="宋体" w:hAnsi="宋体" w:eastAsia="宋体" w:cs="宋体"/>
          <w:spacing w:val="-1"/>
        </w:rPr>
        <w:t>5.2</w:t>
      </w:r>
      <w:r>
        <w:rPr>
          <w:rFonts w:hint="eastAsia" w:ascii="宋体" w:hAnsi="宋体" w:eastAsia="宋体" w:cs="宋体"/>
          <w:spacing w:val="-41"/>
        </w:rPr>
        <w:t xml:space="preserve"> </w:t>
      </w:r>
      <w:r>
        <w:rPr>
          <w:rFonts w:hint="eastAsia" w:ascii="宋体" w:hAnsi="宋体" w:eastAsia="宋体" w:cs="宋体"/>
          <w:spacing w:val="-1"/>
        </w:rPr>
        <w:t>如接受联合体竞标，联合体竞标要求详见“供应商须知前附表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6B2C3298">
      <w:pPr>
        <w:pStyle w:val="3"/>
        <w:shd w:val="clear"/>
        <w:spacing w:before="231" w:line="400" w:lineRule="auto"/>
        <w:ind w:left="1" w:firstLine="475"/>
        <w:rPr>
          <w:rFonts w:hint="eastAsia" w:ascii="宋体" w:hAnsi="宋体" w:eastAsia="宋体" w:cs="宋体"/>
        </w:rPr>
      </w:pPr>
      <w:r>
        <w:rPr>
          <w:rFonts w:hint="eastAsia" w:ascii="宋体" w:hAnsi="宋体" w:eastAsia="宋体" w:cs="宋体"/>
          <w:spacing w:val="-2"/>
        </w:rPr>
        <w:t>5.3</w:t>
      </w:r>
      <w:r>
        <w:rPr>
          <w:rFonts w:hint="eastAsia" w:ascii="宋体" w:hAnsi="宋体" w:eastAsia="宋体" w:cs="宋体"/>
          <w:spacing w:val="-43"/>
        </w:rPr>
        <w:t xml:space="preserve"> </w:t>
      </w:r>
      <w:r>
        <w:rPr>
          <w:rFonts w:hint="eastAsia" w:ascii="宋体" w:hAnsi="宋体" w:eastAsia="宋体" w:cs="宋体"/>
          <w:spacing w:val="-2"/>
        </w:rPr>
        <w:t>根据《政府采购促进中小企业发展管</w:t>
      </w:r>
      <w:r>
        <w:rPr>
          <w:rFonts w:hint="eastAsia" w:ascii="宋体" w:hAnsi="宋体" w:eastAsia="宋体" w:cs="宋体"/>
          <w:spacing w:val="-3"/>
        </w:rPr>
        <w:t>理办法》（财库〔2020〕46</w:t>
      </w:r>
      <w:r>
        <w:rPr>
          <w:rFonts w:hint="eastAsia" w:ascii="宋体" w:hAnsi="宋体" w:eastAsia="宋体" w:cs="宋体"/>
          <w:spacing w:val="-39"/>
        </w:rPr>
        <w:t xml:space="preserve"> </w:t>
      </w:r>
      <w:r>
        <w:rPr>
          <w:rFonts w:hint="eastAsia" w:ascii="宋体" w:hAnsi="宋体" w:eastAsia="宋体" w:cs="宋体"/>
          <w:spacing w:val="-3"/>
        </w:rPr>
        <w:t>号）第九条第</w:t>
      </w:r>
      <w:r>
        <w:rPr>
          <w:rFonts w:hint="eastAsia" w:ascii="宋体" w:hAnsi="宋体" w:eastAsia="宋体" w:cs="宋体"/>
          <w:spacing w:val="5"/>
        </w:rPr>
        <w:t>二款及《广西壮族自治区财政厅关于进一步发挥政府采购</w:t>
      </w:r>
      <w:r>
        <w:rPr>
          <w:rFonts w:hint="eastAsia" w:ascii="宋体" w:hAnsi="宋体" w:eastAsia="宋体" w:cs="宋体"/>
          <w:spacing w:val="4"/>
        </w:rPr>
        <w:t>政策功能促进企业发展的通</w:t>
      </w:r>
      <w:r>
        <w:rPr>
          <w:rFonts w:hint="eastAsia" w:ascii="宋体" w:hAnsi="宋体" w:eastAsia="宋体" w:cs="宋体"/>
          <w:spacing w:val="-4"/>
        </w:rPr>
        <w:t>知》（桂财采〔2022〕30</w:t>
      </w:r>
      <w:r>
        <w:rPr>
          <w:rFonts w:hint="eastAsia" w:ascii="宋体" w:hAnsi="宋体" w:eastAsia="宋体" w:cs="宋体"/>
          <w:spacing w:val="-23"/>
        </w:rPr>
        <w:t xml:space="preserve"> </w:t>
      </w:r>
      <w:r>
        <w:rPr>
          <w:rFonts w:hint="eastAsia" w:ascii="宋体" w:hAnsi="宋体" w:eastAsia="宋体" w:cs="宋体"/>
          <w:spacing w:val="-4"/>
        </w:rPr>
        <w:t>号）的规定，接受大中型企业与小微企业组成联合体或者允许</w:t>
      </w:r>
      <w:r>
        <w:rPr>
          <w:rFonts w:hint="eastAsia" w:ascii="宋体" w:hAnsi="宋体" w:eastAsia="宋体" w:cs="宋体"/>
          <w:spacing w:val="-2"/>
        </w:rPr>
        <w:t>大中型企业向一家或者多家小微企业分包的采购项目，对于联合协议或者分包意向协议</w:t>
      </w:r>
      <w:r>
        <w:rPr>
          <w:rFonts w:hint="eastAsia" w:ascii="宋体" w:hAnsi="宋体" w:eastAsia="宋体" w:cs="宋体"/>
          <w:spacing w:val="-1"/>
        </w:rPr>
        <w:t>约定小微企业的合同份额占到合同总金额</w:t>
      </w:r>
      <w:r>
        <w:rPr>
          <w:rFonts w:hint="eastAsia" w:ascii="宋体" w:hAnsi="宋体" w:eastAsia="宋体" w:cs="宋体"/>
          <w:spacing w:val="-28"/>
        </w:rPr>
        <w:t xml:space="preserve"> </w:t>
      </w:r>
      <w:r>
        <w:rPr>
          <w:rFonts w:hint="eastAsia" w:ascii="宋体" w:hAnsi="宋体" w:eastAsia="宋体" w:cs="宋体"/>
          <w:spacing w:val="-1"/>
        </w:rPr>
        <w:t>30%以上的，采购人、采购代理机构应当对联</w:t>
      </w:r>
      <w:r>
        <w:rPr>
          <w:rFonts w:hint="eastAsia" w:ascii="宋体" w:hAnsi="宋体" w:eastAsia="宋体" w:cs="宋体"/>
          <w:spacing w:val="1"/>
        </w:rPr>
        <w:t>合体或者大中型企业的报价给予4%-6%的扣除，用扣除后的价格参加评审。</w:t>
      </w:r>
    </w:p>
    <w:p w14:paraId="44BA08C1">
      <w:pPr>
        <w:shd w:val="clear"/>
        <w:spacing w:line="221" w:lineRule="auto"/>
        <w:ind w:left="472"/>
        <w:rPr>
          <w:rFonts w:hint="eastAsia" w:ascii="宋体" w:hAnsi="宋体" w:eastAsia="宋体" w:cs="宋体"/>
          <w:sz w:val="24"/>
          <w:szCs w:val="24"/>
        </w:rPr>
      </w:pPr>
      <w:r>
        <w:rPr>
          <w:rFonts w:hint="eastAsia" w:ascii="宋体" w:hAnsi="宋体" w:eastAsia="宋体" w:cs="宋体"/>
          <w:b/>
          <w:bCs/>
          <w:spacing w:val="-3"/>
          <w:sz w:val="24"/>
          <w:szCs w:val="24"/>
        </w:rPr>
        <w:t>6.转包与分包</w:t>
      </w:r>
    </w:p>
    <w:p w14:paraId="3FD5781F">
      <w:pPr>
        <w:pStyle w:val="3"/>
        <w:shd w:val="clear"/>
        <w:spacing w:before="233" w:line="219" w:lineRule="auto"/>
        <w:ind w:left="474"/>
        <w:outlineLvl w:val="1"/>
        <w:rPr>
          <w:rFonts w:hint="eastAsia" w:ascii="宋体" w:hAnsi="宋体" w:eastAsia="宋体" w:cs="宋体"/>
        </w:rPr>
      </w:pPr>
      <w:bookmarkStart w:id="3" w:name="_Toc3132"/>
      <w:r>
        <w:rPr>
          <w:rFonts w:hint="eastAsia" w:ascii="宋体" w:hAnsi="宋体" w:eastAsia="宋体" w:cs="宋体"/>
          <w:spacing w:val="-3"/>
        </w:rPr>
        <w:t>6.1</w:t>
      </w:r>
      <w:r>
        <w:rPr>
          <w:rFonts w:hint="eastAsia" w:ascii="宋体" w:hAnsi="宋体" w:eastAsia="宋体" w:cs="宋体"/>
          <w:spacing w:val="-36"/>
        </w:rPr>
        <w:t xml:space="preserve"> </w:t>
      </w:r>
      <w:r>
        <w:rPr>
          <w:rFonts w:hint="eastAsia" w:ascii="宋体" w:hAnsi="宋体" w:eastAsia="宋体" w:cs="宋体"/>
          <w:spacing w:val="-3"/>
        </w:rPr>
        <w:t>本项目不允许转包。</w:t>
      </w:r>
      <w:bookmarkEnd w:id="3"/>
    </w:p>
    <w:p w14:paraId="4858DD82">
      <w:pPr>
        <w:pStyle w:val="3"/>
        <w:shd w:val="clear"/>
        <w:spacing w:before="233" w:line="219" w:lineRule="auto"/>
        <w:ind w:left="474"/>
        <w:outlineLvl w:val="1"/>
        <w:rPr>
          <w:rFonts w:hint="eastAsia" w:ascii="宋体" w:hAnsi="宋体" w:eastAsia="宋体" w:cs="宋体"/>
        </w:rPr>
      </w:pPr>
      <w:bookmarkStart w:id="4" w:name="_Toc18406"/>
      <w:r>
        <w:rPr>
          <w:rFonts w:hint="eastAsia" w:ascii="宋体" w:hAnsi="宋体" w:eastAsia="宋体" w:cs="宋体"/>
          <w:spacing w:val="-1"/>
        </w:rPr>
        <w:t>6.2</w:t>
      </w:r>
      <w:r>
        <w:rPr>
          <w:rFonts w:hint="eastAsia" w:ascii="宋体" w:hAnsi="宋体" w:eastAsia="宋体" w:cs="宋体"/>
          <w:spacing w:val="-43"/>
        </w:rPr>
        <w:t xml:space="preserve"> </w:t>
      </w:r>
      <w:r>
        <w:rPr>
          <w:rFonts w:hint="eastAsia" w:ascii="宋体" w:hAnsi="宋体" w:eastAsia="宋体" w:cs="宋体"/>
          <w:spacing w:val="-1"/>
        </w:rPr>
        <w:t>本项目是否允许分包详见“供应商须知前附表</w:t>
      </w:r>
      <w:r>
        <w:rPr>
          <w:rFonts w:hint="eastAsia" w:ascii="宋体" w:hAnsi="宋体" w:eastAsia="宋体" w:cs="宋体"/>
          <w:spacing w:val="-88"/>
        </w:rPr>
        <w:t xml:space="preserve"> </w:t>
      </w:r>
      <w:r>
        <w:rPr>
          <w:rFonts w:hint="eastAsia" w:ascii="宋体" w:hAnsi="宋体" w:eastAsia="宋体" w:cs="宋体"/>
          <w:spacing w:val="-1"/>
        </w:rPr>
        <w:t>”，</w:t>
      </w:r>
      <w:r>
        <w:rPr>
          <w:rFonts w:hint="eastAsia" w:ascii="宋体" w:hAnsi="宋体" w:eastAsia="宋体" w:cs="宋体"/>
          <w:spacing w:val="-2"/>
        </w:rPr>
        <w:t>本项目不允许违法分包。允</w:t>
      </w:r>
      <w:bookmarkEnd w:id="4"/>
    </w:p>
    <w:p w14:paraId="69456CCB">
      <w:pPr>
        <w:pStyle w:val="3"/>
        <w:shd w:val="clear"/>
        <w:spacing w:before="231" w:line="400" w:lineRule="auto"/>
        <w:ind w:left="2"/>
        <w:jc w:val="both"/>
        <w:rPr>
          <w:rFonts w:hint="eastAsia" w:ascii="宋体" w:hAnsi="宋体" w:eastAsia="宋体" w:cs="宋体"/>
        </w:rPr>
      </w:pPr>
      <w:r>
        <w:rPr>
          <w:rFonts w:hint="eastAsia" w:ascii="宋体" w:hAnsi="宋体" w:eastAsia="宋体" w:cs="宋体"/>
          <w:spacing w:val="-2"/>
        </w:rPr>
        <w:t>许分包的非主体、非关键性工作，根据法律法规规定承担该工作需要行政许可的，如该工作由供应商自行承担，供应商应具备相应的行政许可，如供应商不具备相应的行政许</w:t>
      </w:r>
      <w:r>
        <w:rPr>
          <w:rFonts w:hint="eastAsia" w:ascii="宋体" w:hAnsi="宋体" w:eastAsia="宋体" w:cs="宋体"/>
          <w:spacing w:val="-1"/>
        </w:rPr>
        <w:t>可必须采用分包的方式，但分包供应商应具备相应行政许可。</w:t>
      </w:r>
    </w:p>
    <w:p w14:paraId="502C8DD6">
      <w:pPr>
        <w:pStyle w:val="3"/>
        <w:shd w:val="clear"/>
        <w:spacing w:before="233" w:line="400" w:lineRule="auto"/>
        <w:ind w:firstLine="479"/>
        <w:rPr>
          <w:rFonts w:hint="eastAsia" w:ascii="宋体" w:hAnsi="宋体" w:eastAsia="宋体" w:cs="宋体"/>
        </w:rPr>
      </w:pPr>
      <w:r>
        <w:rPr>
          <w:rFonts w:hint="eastAsia" w:ascii="宋体" w:hAnsi="宋体" w:eastAsia="宋体" w:cs="宋体"/>
        </w:rPr>
        <w:t>6.3</w:t>
      </w:r>
      <w:r>
        <w:rPr>
          <w:rFonts w:hint="eastAsia" w:ascii="宋体" w:hAnsi="宋体" w:eastAsia="宋体" w:cs="宋体"/>
          <w:spacing w:val="-43"/>
        </w:rPr>
        <w:t xml:space="preserve"> </w:t>
      </w:r>
      <w:r>
        <w:rPr>
          <w:rFonts w:hint="eastAsia" w:ascii="宋体" w:hAnsi="宋体" w:eastAsia="宋体" w:cs="宋体"/>
        </w:rPr>
        <w:t>供应商根据磋商文件的规定和采购项目</w:t>
      </w:r>
      <w:r>
        <w:rPr>
          <w:rFonts w:hint="eastAsia" w:ascii="宋体" w:hAnsi="宋体" w:eastAsia="宋体" w:cs="宋体"/>
          <w:spacing w:val="-1"/>
        </w:rPr>
        <w:t>的实际情况，拟在成交后将成交项目的</w:t>
      </w:r>
      <w:r>
        <w:rPr>
          <w:rFonts w:hint="eastAsia" w:ascii="宋体" w:hAnsi="宋体" w:eastAsia="宋体" w:cs="宋体"/>
          <w:spacing w:val="-2"/>
        </w:rPr>
        <w:t>非主体、非关键性工作分包的，应当在响应文件中载明分包承担主体，分包承担主体应</w:t>
      </w:r>
      <w:r>
        <w:rPr>
          <w:rFonts w:hint="eastAsia" w:ascii="宋体" w:hAnsi="宋体" w:eastAsia="宋体" w:cs="宋体"/>
          <w:spacing w:val="-3"/>
        </w:rPr>
        <w:t>当具备相应资质条件且不得再次分包。</w:t>
      </w:r>
    </w:p>
    <w:p w14:paraId="4116A5BC">
      <w:pPr>
        <w:shd w:val="clear"/>
        <w:spacing w:before="232" w:line="221" w:lineRule="auto"/>
        <w:ind w:left="475"/>
        <w:rPr>
          <w:rFonts w:hint="eastAsia" w:ascii="宋体" w:hAnsi="宋体" w:eastAsia="宋体" w:cs="宋体"/>
          <w:sz w:val="24"/>
          <w:szCs w:val="24"/>
        </w:rPr>
      </w:pPr>
      <w:r>
        <w:rPr>
          <w:rFonts w:hint="eastAsia" w:ascii="宋体" w:hAnsi="宋体" w:eastAsia="宋体" w:cs="宋体"/>
          <w:b/>
          <w:bCs/>
          <w:spacing w:val="-4"/>
          <w:sz w:val="24"/>
          <w:szCs w:val="24"/>
        </w:rPr>
        <w:t>7.特别说明</w:t>
      </w:r>
    </w:p>
    <w:p w14:paraId="381C7ED9">
      <w:pPr>
        <w:pStyle w:val="3"/>
        <w:shd w:val="clear"/>
        <w:spacing w:before="233" w:line="400" w:lineRule="auto"/>
        <w:ind w:firstLine="479"/>
        <w:rPr>
          <w:rFonts w:hint="eastAsia" w:ascii="宋体" w:hAnsi="宋体" w:eastAsia="宋体" w:cs="宋体"/>
        </w:rPr>
      </w:pPr>
      <w:r>
        <w:rPr>
          <w:rFonts w:hint="eastAsia" w:ascii="宋体" w:hAnsi="宋体" w:eastAsia="宋体" w:cs="宋体"/>
          <w:spacing w:val="-1"/>
        </w:rPr>
        <w:t>7.1</w:t>
      </w:r>
      <w:r>
        <w:rPr>
          <w:rFonts w:hint="eastAsia" w:ascii="宋体" w:hAnsi="宋体" w:eastAsia="宋体" w:cs="宋体"/>
          <w:spacing w:val="-27"/>
        </w:rPr>
        <w:t xml:space="preserve"> </w:t>
      </w:r>
      <w:r>
        <w:rPr>
          <w:rFonts w:hint="eastAsia" w:ascii="宋体" w:hAnsi="宋体" w:eastAsia="宋体" w:cs="宋体"/>
          <w:spacing w:val="-1"/>
        </w:rPr>
        <w:t>如果本磋商文件要求提供供应商或制造商的资格、信誉、荣誉、业绩与企业认</w:t>
      </w:r>
      <w:r>
        <w:rPr>
          <w:rFonts w:hint="eastAsia" w:ascii="宋体" w:hAnsi="宋体" w:eastAsia="宋体" w:cs="宋体"/>
          <w:spacing w:val="-2"/>
        </w:rPr>
        <w:t>证等材料的，资格、信誉、荣誉、业绩与企业认证等必须为供应商或者制造商所拥有或</w:t>
      </w:r>
      <w:r>
        <w:rPr>
          <w:rFonts w:hint="eastAsia" w:ascii="宋体" w:hAnsi="宋体" w:eastAsia="宋体" w:cs="宋体"/>
          <w:spacing w:val="-3"/>
        </w:rPr>
        <w:t>自身获得 。</w:t>
      </w:r>
    </w:p>
    <w:p w14:paraId="3778E239">
      <w:pPr>
        <w:pStyle w:val="3"/>
        <w:shd w:val="clear"/>
        <w:spacing w:before="1" w:line="398" w:lineRule="auto"/>
        <w:ind w:left="3" w:right="54" w:firstLine="475"/>
        <w:rPr>
          <w:rFonts w:hint="eastAsia" w:ascii="宋体" w:hAnsi="宋体" w:eastAsia="宋体" w:cs="宋体"/>
        </w:rPr>
      </w:pPr>
      <w:r>
        <w:rPr>
          <w:rFonts w:hint="eastAsia" w:ascii="宋体" w:hAnsi="宋体" w:eastAsia="宋体" w:cs="宋体"/>
          <w:spacing w:val="-2"/>
        </w:rPr>
        <w:t>7.2</w:t>
      </w:r>
      <w:r>
        <w:rPr>
          <w:rFonts w:hint="eastAsia" w:ascii="宋体" w:hAnsi="宋体" w:eastAsia="宋体" w:cs="宋体"/>
          <w:spacing w:val="-44"/>
        </w:rPr>
        <w:t xml:space="preserve"> </w:t>
      </w:r>
      <w:r>
        <w:rPr>
          <w:rFonts w:hint="eastAsia" w:ascii="宋体" w:hAnsi="宋体" w:eastAsia="宋体" w:cs="宋体"/>
          <w:spacing w:val="-2"/>
        </w:rPr>
        <w:t>供应商应仔细阅读磋商文件的所有内容，按照磋商文件的要求提交响应文件，</w:t>
      </w:r>
      <w:r>
        <w:rPr>
          <w:rFonts w:hint="eastAsia" w:ascii="宋体" w:hAnsi="宋体" w:eastAsia="宋体" w:cs="宋体"/>
          <w:spacing w:val="-1"/>
        </w:rPr>
        <w:t>并对所提供的全部资料的真实性承担法律责任。</w:t>
      </w:r>
    </w:p>
    <w:p w14:paraId="6FCFBB1A">
      <w:pPr>
        <w:pStyle w:val="3"/>
        <w:shd w:val="clear"/>
        <w:spacing w:before="1" w:line="400" w:lineRule="auto"/>
        <w:ind w:left="7" w:firstLine="471"/>
        <w:rPr>
          <w:rFonts w:hint="eastAsia" w:ascii="宋体" w:hAnsi="宋体" w:eastAsia="宋体" w:cs="宋体"/>
        </w:rPr>
      </w:pPr>
      <w:r>
        <w:rPr>
          <w:rFonts w:hint="eastAsia" w:ascii="宋体" w:hAnsi="宋体" w:eastAsia="宋体" w:cs="宋体"/>
          <w:spacing w:val="-1"/>
        </w:rPr>
        <w:t>7.3</w:t>
      </w:r>
      <w:r>
        <w:rPr>
          <w:rFonts w:hint="eastAsia" w:ascii="宋体" w:hAnsi="宋体" w:eastAsia="宋体" w:cs="宋体"/>
          <w:spacing w:val="-27"/>
        </w:rPr>
        <w:t xml:space="preserve"> </w:t>
      </w:r>
      <w:r>
        <w:rPr>
          <w:rFonts w:hint="eastAsia" w:ascii="宋体" w:hAnsi="宋体" w:eastAsia="宋体" w:cs="宋体"/>
          <w:spacing w:val="-1"/>
        </w:rPr>
        <w:t>供应商在竞标活动中提供任何疑似虚假材料，将报监管部门查处；签订合同后</w:t>
      </w:r>
      <w:r>
        <w:rPr>
          <w:rFonts w:hint="eastAsia" w:ascii="宋体" w:hAnsi="宋体" w:eastAsia="宋体" w:cs="宋体"/>
          <w:spacing w:val="-2"/>
        </w:rPr>
        <w:t>发现的，成交供应商须依照《中华人民共和国消费者权益保护法》规定赔偿采购人，且</w:t>
      </w:r>
      <w:r>
        <w:rPr>
          <w:rFonts w:hint="eastAsia" w:ascii="宋体" w:hAnsi="宋体" w:eastAsia="宋体" w:cs="宋体"/>
          <w:spacing w:val="-1"/>
        </w:rPr>
        <w:t>民事赔偿并不免除违法供应商的行政与刑事责</w:t>
      </w:r>
      <w:r>
        <w:rPr>
          <w:rFonts w:hint="eastAsia" w:ascii="宋体" w:hAnsi="宋体" w:eastAsia="宋体" w:cs="宋体"/>
          <w:spacing w:val="-2"/>
        </w:rPr>
        <w:t>任。</w:t>
      </w:r>
    </w:p>
    <w:p w14:paraId="42BCEF02">
      <w:pPr>
        <w:pStyle w:val="3"/>
        <w:shd w:val="clear"/>
        <w:spacing w:before="1" w:line="400" w:lineRule="auto"/>
        <w:ind w:left="26" w:firstLine="452"/>
        <w:rPr>
          <w:rFonts w:hint="eastAsia" w:ascii="宋体" w:hAnsi="宋体" w:eastAsia="宋体" w:cs="宋体"/>
        </w:rPr>
      </w:pPr>
      <w:r>
        <w:rPr>
          <w:rFonts w:hint="eastAsia" w:ascii="宋体" w:hAnsi="宋体" w:eastAsia="宋体" w:cs="宋体"/>
          <w:spacing w:val="-1"/>
        </w:rPr>
        <w:t>7.4</w:t>
      </w:r>
      <w:r>
        <w:rPr>
          <w:rFonts w:hint="eastAsia" w:ascii="宋体" w:hAnsi="宋体" w:eastAsia="宋体" w:cs="宋体"/>
          <w:spacing w:val="-27"/>
        </w:rPr>
        <w:t xml:space="preserve"> </w:t>
      </w:r>
      <w:r>
        <w:rPr>
          <w:rFonts w:hint="eastAsia" w:ascii="宋体" w:hAnsi="宋体" w:eastAsia="宋体" w:cs="宋体"/>
          <w:spacing w:val="-1"/>
        </w:rPr>
        <w:t>在政府采购活动中，采购人员及相关人员与供应商有下列利害关系之一的，应</w:t>
      </w:r>
      <w:r>
        <w:rPr>
          <w:rFonts w:hint="eastAsia" w:ascii="宋体" w:hAnsi="宋体" w:eastAsia="宋体" w:cs="宋体"/>
          <w:spacing w:val="-11"/>
        </w:rPr>
        <w:t>当回避：</w:t>
      </w:r>
    </w:p>
    <w:p w14:paraId="3FA4483E">
      <w:pPr>
        <w:pStyle w:val="3"/>
        <w:shd w:val="clear"/>
        <w:spacing w:line="219" w:lineRule="auto"/>
        <w:ind w:left="485"/>
        <w:rPr>
          <w:rFonts w:hint="eastAsia" w:ascii="宋体" w:hAnsi="宋体" w:eastAsia="宋体" w:cs="宋体"/>
        </w:rPr>
      </w:pPr>
      <w:r>
        <w:rPr>
          <w:rFonts w:hint="eastAsia" w:ascii="宋体" w:hAnsi="宋体" w:eastAsia="宋体" w:cs="宋体"/>
        </w:rPr>
        <w:t>（1）参加采购活动前3</w:t>
      </w:r>
      <w:r>
        <w:rPr>
          <w:rFonts w:hint="eastAsia" w:ascii="宋体" w:hAnsi="宋体" w:eastAsia="宋体" w:cs="宋体"/>
          <w:spacing w:val="-22"/>
        </w:rPr>
        <w:t xml:space="preserve"> </w:t>
      </w:r>
      <w:r>
        <w:rPr>
          <w:rFonts w:hint="eastAsia" w:ascii="宋体" w:hAnsi="宋体" w:eastAsia="宋体" w:cs="宋体"/>
        </w:rPr>
        <w:t>年内与供应商存在劳动关系；</w:t>
      </w:r>
    </w:p>
    <w:p w14:paraId="76B44779">
      <w:pPr>
        <w:pStyle w:val="3"/>
        <w:shd w:val="clear"/>
        <w:spacing w:before="235" w:line="222" w:lineRule="auto"/>
        <w:ind w:left="485"/>
        <w:rPr>
          <w:rFonts w:hint="eastAsia" w:ascii="宋体" w:hAnsi="宋体" w:eastAsia="宋体" w:cs="宋体"/>
        </w:rPr>
      </w:pPr>
      <w:r>
        <w:rPr>
          <w:rFonts w:hint="eastAsia" w:ascii="宋体" w:hAnsi="宋体" w:eastAsia="宋体" w:cs="宋体"/>
        </w:rPr>
        <w:t>（2）参加采购活动前3</w:t>
      </w:r>
      <w:r>
        <w:rPr>
          <w:rFonts w:hint="eastAsia" w:ascii="宋体" w:hAnsi="宋体" w:eastAsia="宋体" w:cs="宋体"/>
          <w:spacing w:val="-22"/>
        </w:rPr>
        <w:t xml:space="preserve"> </w:t>
      </w:r>
      <w:r>
        <w:rPr>
          <w:rFonts w:hint="eastAsia" w:ascii="宋体" w:hAnsi="宋体" w:eastAsia="宋体" w:cs="宋体"/>
        </w:rPr>
        <w:t>年内担任供应商的董事、监事；</w:t>
      </w:r>
    </w:p>
    <w:p w14:paraId="0CE15BDD">
      <w:pPr>
        <w:pStyle w:val="3"/>
        <w:shd w:val="clear"/>
        <w:spacing w:before="232" w:line="222" w:lineRule="auto"/>
        <w:ind w:left="485"/>
        <w:rPr>
          <w:rFonts w:hint="eastAsia" w:ascii="宋体" w:hAnsi="宋体" w:eastAsia="宋体" w:cs="宋体"/>
        </w:rPr>
      </w:pPr>
      <w:r>
        <w:rPr>
          <w:rFonts w:hint="eastAsia" w:ascii="宋体" w:hAnsi="宋体" w:eastAsia="宋体" w:cs="宋体"/>
        </w:rPr>
        <w:t>（3）参加采购活动前3</w:t>
      </w:r>
      <w:r>
        <w:rPr>
          <w:rFonts w:hint="eastAsia" w:ascii="宋体" w:hAnsi="宋体" w:eastAsia="宋体" w:cs="宋体"/>
          <w:spacing w:val="-22"/>
        </w:rPr>
        <w:t xml:space="preserve"> </w:t>
      </w:r>
      <w:r>
        <w:rPr>
          <w:rFonts w:hint="eastAsia" w:ascii="宋体" w:hAnsi="宋体" w:eastAsia="宋体" w:cs="宋体"/>
        </w:rPr>
        <w:t>年内是供应商的控股股东或者实际控制人；</w:t>
      </w:r>
    </w:p>
    <w:p w14:paraId="17166CC6">
      <w:pPr>
        <w:pStyle w:val="3"/>
        <w:shd w:val="clear"/>
        <w:spacing w:before="230" w:line="401" w:lineRule="auto"/>
        <w:ind w:left="4" w:firstLine="481"/>
        <w:rPr>
          <w:rFonts w:hint="eastAsia" w:ascii="宋体" w:hAnsi="宋体" w:eastAsia="宋体" w:cs="宋体"/>
        </w:rPr>
      </w:pPr>
      <w:r>
        <w:rPr>
          <w:rFonts w:hint="eastAsia" w:ascii="宋体" w:hAnsi="宋体" w:eastAsia="宋体" w:cs="宋体"/>
          <w:spacing w:val="1"/>
        </w:rPr>
        <w:t>（4）与供应商的法定代表人或者负责人有夫妻、直系血亲、三代以内旁系血亲或</w:t>
      </w:r>
      <w:r>
        <w:rPr>
          <w:rFonts w:hint="eastAsia" w:ascii="宋体" w:hAnsi="宋体" w:eastAsia="宋体" w:cs="宋体"/>
          <w:spacing w:val="-3"/>
        </w:rPr>
        <w:t>者近姻亲关系；</w:t>
      </w:r>
    </w:p>
    <w:p w14:paraId="4D966BB3">
      <w:pPr>
        <w:pStyle w:val="3"/>
        <w:shd w:val="clear"/>
        <w:spacing w:before="1" w:line="220" w:lineRule="auto"/>
        <w:ind w:left="485"/>
        <w:rPr>
          <w:rFonts w:hint="eastAsia" w:ascii="宋体" w:hAnsi="宋体" w:eastAsia="宋体" w:cs="宋体"/>
        </w:rPr>
      </w:pPr>
      <w:r>
        <w:rPr>
          <w:rFonts w:hint="eastAsia" w:ascii="宋体" w:hAnsi="宋体" w:eastAsia="宋体" w:cs="宋体"/>
          <w:spacing w:val="-1"/>
        </w:rPr>
        <w:t>（5）与供应商有其他可能影响政府采购活动公平、公正进行的关系。</w:t>
      </w:r>
    </w:p>
    <w:p w14:paraId="5D2EB208">
      <w:pPr>
        <w:pStyle w:val="3"/>
        <w:shd w:val="clear"/>
        <w:spacing w:before="231" w:line="400" w:lineRule="auto"/>
        <w:ind w:firstLine="480"/>
        <w:jc w:val="both"/>
        <w:rPr>
          <w:rFonts w:hint="eastAsia" w:ascii="宋体" w:hAnsi="宋体" w:eastAsia="宋体" w:cs="宋体"/>
        </w:rPr>
      </w:pPr>
      <w:r>
        <w:rPr>
          <w:rFonts w:hint="eastAsia" w:ascii="宋体" w:hAnsi="宋体" w:eastAsia="宋体" w:cs="宋体"/>
          <w:spacing w:val="-2"/>
        </w:rPr>
        <w:t>供应商认为采购人员及相关人员与其他供应商有利害关系的，可以向采购人或者采购代理机构书面提出回避申请，并说明理由。采购人或者采购代理机构应当及时询问被</w:t>
      </w:r>
      <w:r>
        <w:rPr>
          <w:rFonts w:hint="eastAsia" w:ascii="宋体" w:hAnsi="宋体" w:eastAsia="宋体" w:cs="宋体"/>
          <w:spacing w:val="-1"/>
        </w:rPr>
        <w:t>申请回避人员，有利害关系的被申请回避人员应当回避。</w:t>
      </w:r>
    </w:p>
    <w:p w14:paraId="398CA476">
      <w:pPr>
        <w:pStyle w:val="3"/>
        <w:shd w:val="clear"/>
        <w:spacing w:before="1" w:line="219" w:lineRule="auto"/>
        <w:ind w:left="479"/>
        <w:rPr>
          <w:rFonts w:hint="eastAsia" w:ascii="宋体" w:hAnsi="宋体" w:eastAsia="宋体" w:cs="宋体"/>
        </w:rPr>
      </w:pPr>
      <w:r>
        <w:rPr>
          <w:rFonts w:hint="eastAsia" w:ascii="宋体" w:hAnsi="宋体" w:eastAsia="宋体" w:cs="宋体"/>
          <w:spacing w:val="-1"/>
        </w:rPr>
        <w:t>7.5</w:t>
      </w:r>
      <w:r>
        <w:rPr>
          <w:rFonts w:hint="eastAsia" w:ascii="宋体" w:hAnsi="宋体" w:eastAsia="宋体" w:cs="宋体"/>
          <w:spacing w:val="-42"/>
        </w:rPr>
        <w:t xml:space="preserve"> </w:t>
      </w:r>
      <w:r>
        <w:rPr>
          <w:rFonts w:hint="eastAsia" w:ascii="宋体" w:hAnsi="宋体" w:eastAsia="宋体" w:cs="宋体"/>
          <w:spacing w:val="-1"/>
        </w:rPr>
        <w:t>有下列情形之一的视为供应商相互串通竞标，响应文件将被视为无效：</w:t>
      </w:r>
    </w:p>
    <w:p w14:paraId="5CA8476B">
      <w:pPr>
        <w:pStyle w:val="3"/>
        <w:shd w:val="clear"/>
        <w:spacing w:before="235" w:line="221" w:lineRule="auto"/>
        <w:ind w:left="485"/>
        <w:rPr>
          <w:rFonts w:hint="eastAsia" w:ascii="宋体" w:hAnsi="宋体" w:eastAsia="宋体" w:cs="宋体"/>
        </w:rPr>
      </w:pPr>
      <w:r>
        <w:rPr>
          <w:rFonts w:hint="eastAsia" w:ascii="宋体" w:hAnsi="宋体" w:eastAsia="宋体" w:cs="宋体"/>
          <w:spacing w:val="-1"/>
        </w:rPr>
        <w:t>（1）不同供应商的响应文件由同一单位或者个人编制；</w:t>
      </w:r>
    </w:p>
    <w:p w14:paraId="24F60C9A">
      <w:pPr>
        <w:pStyle w:val="3"/>
        <w:shd w:val="clear"/>
        <w:spacing w:before="234" w:line="221" w:lineRule="auto"/>
        <w:ind w:left="485"/>
        <w:rPr>
          <w:rFonts w:hint="eastAsia" w:ascii="宋体" w:hAnsi="宋体" w:eastAsia="宋体" w:cs="宋体"/>
        </w:rPr>
      </w:pPr>
      <w:r>
        <w:rPr>
          <w:rFonts w:hint="eastAsia" w:ascii="宋体" w:hAnsi="宋体" w:eastAsia="宋体" w:cs="宋体"/>
          <w:spacing w:val="-1"/>
        </w:rPr>
        <w:t>（2）不同供应商委托同一单位或者个人办理竞标事宜；</w:t>
      </w:r>
    </w:p>
    <w:p w14:paraId="28CE9ABD">
      <w:pPr>
        <w:pStyle w:val="3"/>
        <w:shd w:val="clear"/>
        <w:spacing w:before="231" w:line="222" w:lineRule="auto"/>
        <w:ind w:left="485"/>
        <w:rPr>
          <w:rFonts w:hint="eastAsia" w:ascii="宋体" w:hAnsi="宋体" w:eastAsia="宋体" w:cs="宋体"/>
        </w:rPr>
      </w:pPr>
      <w:r>
        <w:rPr>
          <w:rFonts w:hint="eastAsia" w:ascii="宋体" w:hAnsi="宋体" w:eastAsia="宋体" w:cs="宋体"/>
          <w:spacing w:val="-1"/>
        </w:rPr>
        <w:t>（3）不同的供应商的响应文件载明的项目管理员为同一个人；</w:t>
      </w:r>
    </w:p>
    <w:p w14:paraId="379ADC74">
      <w:pPr>
        <w:pStyle w:val="3"/>
        <w:shd w:val="clear"/>
        <w:spacing w:before="232" w:line="220" w:lineRule="auto"/>
        <w:ind w:left="485"/>
        <w:rPr>
          <w:rFonts w:hint="eastAsia" w:ascii="宋体" w:hAnsi="宋体" w:eastAsia="宋体" w:cs="宋体"/>
          <w:spacing w:val="-1"/>
        </w:rPr>
      </w:pPr>
      <w:r>
        <w:rPr>
          <w:rFonts w:hint="eastAsia" w:ascii="宋体" w:hAnsi="宋体" w:eastAsia="宋体" w:cs="宋体"/>
          <w:spacing w:val="-1"/>
        </w:rPr>
        <w:t>（4）不同供应商的响应文件异常一致或者报价呈规律性差异；</w:t>
      </w:r>
    </w:p>
    <w:p w14:paraId="6990B401">
      <w:pPr>
        <w:pStyle w:val="3"/>
        <w:shd w:val="clear"/>
        <w:spacing w:before="231" w:line="222" w:lineRule="auto"/>
        <w:ind w:left="485"/>
        <w:rPr>
          <w:rFonts w:hint="eastAsia" w:ascii="宋体" w:hAnsi="宋体" w:eastAsia="宋体" w:cs="宋体"/>
        </w:rPr>
      </w:pPr>
      <w:r>
        <w:rPr>
          <w:rFonts w:hint="eastAsia" w:ascii="宋体" w:hAnsi="宋体" w:eastAsia="宋体" w:cs="宋体"/>
          <w:spacing w:val="-2"/>
        </w:rPr>
        <w:t>（5）不同供应商的响应文件相互混装；</w:t>
      </w:r>
    </w:p>
    <w:p w14:paraId="7C1BC30D">
      <w:pPr>
        <w:pStyle w:val="3"/>
        <w:shd w:val="clear"/>
        <w:spacing w:before="232" w:line="219" w:lineRule="auto"/>
        <w:ind w:left="485"/>
        <w:rPr>
          <w:rFonts w:hint="eastAsia" w:ascii="宋体" w:hAnsi="宋体" w:eastAsia="宋体" w:cs="宋体"/>
        </w:rPr>
      </w:pPr>
      <w:r>
        <w:rPr>
          <w:rFonts w:hint="eastAsia" w:ascii="宋体" w:hAnsi="宋体" w:eastAsia="宋体" w:cs="宋体"/>
          <w:spacing w:val="-1"/>
        </w:rPr>
        <w:t>（6）不同供应商的磋商保证金从同一单位或者个人账户转出。</w:t>
      </w:r>
    </w:p>
    <w:p w14:paraId="41DA5E72">
      <w:pPr>
        <w:pStyle w:val="3"/>
        <w:shd w:val="clear"/>
        <w:spacing w:before="237" w:line="219" w:lineRule="auto"/>
        <w:ind w:left="479"/>
        <w:rPr>
          <w:rFonts w:hint="eastAsia" w:ascii="宋体" w:hAnsi="宋体" w:eastAsia="宋体" w:cs="宋体"/>
        </w:rPr>
      </w:pPr>
      <w:r>
        <w:rPr>
          <w:rFonts w:hint="eastAsia" w:ascii="宋体" w:hAnsi="宋体" w:eastAsia="宋体" w:cs="宋体"/>
          <w:spacing w:val="-1"/>
        </w:rPr>
        <w:t>7.6</w:t>
      </w:r>
      <w:r>
        <w:rPr>
          <w:rFonts w:hint="eastAsia" w:ascii="宋体" w:hAnsi="宋体" w:eastAsia="宋体" w:cs="宋体"/>
          <w:spacing w:val="-41"/>
        </w:rPr>
        <w:t xml:space="preserve"> </w:t>
      </w:r>
      <w:r>
        <w:rPr>
          <w:rFonts w:hint="eastAsia" w:ascii="宋体" w:hAnsi="宋体" w:eastAsia="宋体" w:cs="宋体"/>
          <w:spacing w:val="-1"/>
        </w:rPr>
        <w:t>供应商有下列情形之一的，属于恶意串通行为，将报同级监督管理部门：</w:t>
      </w:r>
    </w:p>
    <w:p w14:paraId="0DD6845B">
      <w:pPr>
        <w:pStyle w:val="3"/>
        <w:shd w:val="clear"/>
        <w:spacing w:before="231" w:line="401" w:lineRule="auto"/>
        <w:ind w:left="12" w:firstLine="472"/>
        <w:rPr>
          <w:rFonts w:hint="eastAsia" w:ascii="宋体" w:hAnsi="宋体" w:eastAsia="宋体" w:cs="宋体"/>
        </w:rPr>
      </w:pPr>
      <w:r>
        <w:rPr>
          <w:rFonts w:hint="eastAsia" w:ascii="宋体" w:hAnsi="宋体" w:eastAsia="宋体" w:cs="宋体"/>
          <w:spacing w:val="1"/>
        </w:rPr>
        <w:t>（1）供应商直接或者间接从采购人或者采购代理机构处获得其他供应商的相关信</w:t>
      </w:r>
      <w:r>
        <w:rPr>
          <w:rFonts w:hint="eastAsia" w:ascii="宋体" w:hAnsi="宋体" w:eastAsia="宋体" w:cs="宋体"/>
          <w:spacing w:val="-3"/>
        </w:rPr>
        <w:t>息并修改其响应文件；</w:t>
      </w:r>
    </w:p>
    <w:p w14:paraId="42F6C18E">
      <w:pPr>
        <w:pStyle w:val="3"/>
        <w:shd w:val="clear"/>
        <w:spacing w:line="222" w:lineRule="auto"/>
        <w:ind w:left="485"/>
        <w:rPr>
          <w:rFonts w:hint="eastAsia" w:ascii="宋体" w:hAnsi="宋体" w:eastAsia="宋体" w:cs="宋体"/>
        </w:rPr>
      </w:pPr>
      <w:r>
        <w:rPr>
          <w:rFonts w:hint="eastAsia" w:ascii="宋体" w:hAnsi="宋体" w:eastAsia="宋体" w:cs="宋体"/>
          <w:spacing w:val="-1"/>
        </w:rPr>
        <w:t>（2）供应商按照采购人或者采购代理机构的授意撤换、修改响应文件；</w:t>
      </w:r>
    </w:p>
    <w:p w14:paraId="1092B1B4">
      <w:pPr>
        <w:pStyle w:val="3"/>
        <w:shd w:val="clear"/>
        <w:spacing w:before="229" w:line="220" w:lineRule="auto"/>
        <w:ind w:left="485"/>
        <w:rPr>
          <w:rFonts w:hint="eastAsia" w:ascii="宋体" w:hAnsi="宋体" w:eastAsia="宋体" w:cs="宋体"/>
        </w:rPr>
      </w:pPr>
      <w:r>
        <w:rPr>
          <w:rFonts w:hint="eastAsia" w:ascii="宋体" w:hAnsi="宋体" w:eastAsia="宋体" w:cs="宋体"/>
          <w:spacing w:val="-1"/>
        </w:rPr>
        <w:t>（3）供应商之间协商报价、技术方案等响应文件或者响应文件的实质性内容；</w:t>
      </w:r>
    </w:p>
    <w:p w14:paraId="43DBEA4E">
      <w:pPr>
        <w:pStyle w:val="3"/>
        <w:shd w:val="clear"/>
        <w:spacing w:before="234" w:line="400" w:lineRule="auto"/>
        <w:ind w:left="1" w:firstLine="484"/>
        <w:rPr>
          <w:rFonts w:hint="eastAsia" w:ascii="宋体" w:hAnsi="宋体" w:eastAsia="宋体" w:cs="宋体"/>
        </w:rPr>
      </w:pPr>
      <w:r>
        <w:rPr>
          <w:rFonts w:hint="eastAsia" w:ascii="宋体" w:hAnsi="宋体" w:eastAsia="宋体" w:cs="宋体"/>
          <w:spacing w:val="1"/>
        </w:rPr>
        <w:t>（4）属于同一集团、协会、商会等组织成员的供应商按照该组织要求协同参加政</w:t>
      </w:r>
      <w:r>
        <w:rPr>
          <w:rFonts w:hint="eastAsia" w:ascii="宋体" w:hAnsi="宋体" w:eastAsia="宋体" w:cs="宋体"/>
          <w:spacing w:val="-3"/>
        </w:rPr>
        <w:t>府采购活动；</w:t>
      </w:r>
    </w:p>
    <w:p w14:paraId="00B4EC33">
      <w:pPr>
        <w:pStyle w:val="3"/>
        <w:shd w:val="clear"/>
        <w:spacing w:line="400" w:lineRule="auto"/>
        <w:ind w:firstLine="485"/>
        <w:rPr>
          <w:rFonts w:hint="eastAsia" w:ascii="宋体" w:hAnsi="宋体" w:eastAsia="宋体" w:cs="宋体"/>
        </w:rPr>
      </w:pPr>
      <w:r>
        <w:rPr>
          <w:rFonts w:hint="eastAsia" w:ascii="宋体" w:hAnsi="宋体" w:eastAsia="宋体" w:cs="宋体"/>
          <w:spacing w:val="1"/>
        </w:rPr>
        <w:t>（5）供应商之间事先约定一致抬高或者压低报价，或者在政府采购活动中事先约</w:t>
      </w:r>
      <w:r>
        <w:rPr>
          <w:rFonts w:hint="eastAsia" w:ascii="宋体" w:hAnsi="宋体" w:eastAsia="宋体" w:cs="宋体"/>
          <w:spacing w:val="-2"/>
        </w:rPr>
        <w:t>定轮流以高价位或者低价位成交，或者事先约定由某一特定供应商成交，然后再参加竞</w:t>
      </w:r>
      <w:r>
        <w:rPr>
          <w:rFonts w:hint="eastAsia" w:ascii="宋体" w:hAnsi="宋体" w:eastAsia="宋体" w:cs="宋体"/>
          <w:spacing w:val="-8"/>
        </w:rPr>
        <w:t>标；</w:t>
      </w:r>
    </w:p>
    <w:p w14:paraId="6EA0EFF8">
      <w:pPr>
        <w:pStyle w:val="3"/>
        <w:shd w:val="clear"/>
        <w:spacing w:before="1" w:line="222" w:lineRule="auto"/>
        <w:ind w:left="485"/>
        <w:rPr>
          <w:rFonts w:hint="eastAsia" w:ascii="宋体" w:hAnsi="宋体" w:eastAsia="宋体" w:cs="宋体"/>
        </w:rPr>
      </w:pPr>
      <w:r>
        <w:rPr>
          <w:rFonts w:hint="eastAsia" w:ascii="宋体" w:hAnsi="宋体" w:eastAsia="宋体" w:cs="宋体"/>
          <w:spacing w:val="-1"/>
        </w:rPr>
        <w:t>（6）供应商之间商定部分供应商放弃参加政府采购活动或者放弃成交；</w:t>
      </w:r>
    </w:p>
    <w:p w14:paraId="0FC9E7EA">
      <w:pPr>
        <w:pStyle w:val="3"/>
        <w:shd w:val="clear"/>
        <w:spacing w:before="232" w:line="400" w:lineRule="auto"/>
        <w:ind w:left="9" w:firstLine="476"/>
        <w:rPr>
          <w:rFonts w:hint="eastAsia" w:ascii="宋体" w:hAnsi="宋体" w:eastAsia="宋体" w:cs="宋体"/>
          <w:spacing w:val="1"/>
        </w:rPr>
      </w:pPr>
      <w:r>
        <w:rPr>
          <w:rFonts w:hint="eastAsia" w:ascii="宋体" w:hAnsi="宋体" w:eastAsia="宋体" w:cs="宋体"/>
          <w:spacing w:val="1"/>
        </w:rPr>
        <w:t>（7）供应商与采购人或者采购代理机构之间、供应商相互之间，为谋求特定供应商成交或者排斥其他供应商的其他串通行为。</w:t>
      </w:r>
    </w:p>
    <w:p w14:paraId="7F2154A7">
      <w:pPr>
        <w:pStyle w:val="3"/>
        <w:shd w:val="clear"/>
        <w:spacing w:before="232" w:line="400" w:lineRule="auto"/>
        <w:ind w:left="9" w:firstLine="476"/>
        <w:rPr>
          <w:rFonts w:hint="eastAsia" w:ascii="宋体" w:hAnsi="宋体" w:eastAsia="宋体" w:cs="宋体"/>
          <w:spacing w:val="-2"/>
        </w:rPr>
      </w:pPr>
      <w:r>
        <w:rPr>
          <w:rFonts w:hint="eastAsia" w:ascii="宋体" w:hAnsi="宋体" w:eastAsia="宋体" w:cs="宋体"/>
          <w:spacing w:val="1"/>
        </w:rPr>
        <w:t>7.7根据《国务院办公厅关于在政府采购中实施本国产品标准及相关政策的通知》（国办发〔20</w:t>
      </w:r>
      <w:r>
        <w:rPr>
          <w:rFonts w:hint="eastAsia" w:ascii="宋体" w:hAnsi="宋体" w:eastAsia="宋体" w:cs="宋体"/>
          <w:spacing w:val="-2"/>
        </w:rPr>
        <w:t>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B5ACD5">
      <w:pPr>
        <w:pStyle w:val="3"/>
        <w:shd w:val="clear"/>
        <w:spacing w:before="232" w:line="400" w:lineRule="auto"/>
        <w:ind w:left="9" w:firstLine="476"/>
        <w:rPr>
          <w:rFonts w:hint="eastAsia" w:ascii="宋体" w:hAnsi="宋体" w:eastAsia="宋体" w:cs="宋体"/>
          <w:spacing w:val="-2"/>
        </w:rPr>
      </w:pPr>
      <w:r>
        <w:rPr>
          <w:rFonts w:hint="eastAsia" w:ascii="宋体" w:hAnsi="宋体" w:eastAsia="宋体" w:cs="宋体"/>
          <w:spacing w:val="-2"/>
        </w:rPr>
        <w:t>产品在中国境内生产的组件成本占比应当达到规定比例，计算公式为：</w:t>
      </w:r>
    </w:p>
    <w:p w14:paraId="7A1AD6DA">
      <w:pPr>
        <w:pStyle w:val="3"/>
        <w:shd w:val="clear"/>
        <w:spacing w:before="232" w:line="400" w:lineRule="auto"/>
        <w:ind w:left="9" w:firstLine="476"/>
        <w:rPr>
          <w:rFonts w:hint="eastAsia" w:ascii="宋体" w:hAnsi="宋体" w:eastAsia="宋体" w:cs="宋体"/>
          <w:spacing w:val="-2"/>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1079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5"/>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sz w:val="24"/>
          <w:highlight w:val="none"/>
        </w:rPr>
        <w:fldChar w:fldCharType="end"/>
      </w:r>
    </w:p>
    <w:p w14:paraId="4B1D7762">
      <w:pPr>
        <w:pStyle w:val="3"/>
        <w:shd w:val="clear"/>
        <w:spacing w:before="232" w:line="400" w:lineRule="auto"/>
        <w:ind w:left="9" w:firstLine="476"/>
        <w:rPr>
          <w:rFonts w:hint="eastAsia" w:ascii="宋体" w:hAnsi="宋体" w:eastAsia="宋体" w:cs="宋体"/>
          <w:spacing w:val="-2"/>
        </w:rPr>
      </w:pPr>
      <w:r>
        <w:rPr>
          <w:rFonts w:hint="eastAsia" w:ascii="宋体" w:hAnsi="宋体" w:eastAsia="宋体" w:cs="宋体"/>
          <w:spacing w:val="-2"/>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A51F5E7">
      <w:pPr>
        <w:pStyle w:val="2"/>
        <w:widowControl w:val="0"/>
        <w:kinsoku/>
        <w:autoSpaceDE/>
        <w:autoSpaceDN/>
        <w:adjustRightInd/>
        <w:snapToGrid/>
        <w:spacing w:line="360" w:lineRule="auto"/>
        <w:jc w:val="both"/>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政府采购活动中既有本国产品又有非本国产品参与竞争的，依法对本国产品给予价格评审优惠，对本国产品的报价给予20%的价格扣除，用扣除后的价格参与评审。</w:t>
      </w:r>
    </w:p>
    <w:p w14:paraId="43E4BDAC">
      <w:pPr>
        <w:pStyle w:val="2"/>
        <w:widowControl w:val="0"/>
        <w:kinsoku/>
        <w:autoSpaceDE/>
        <w:autoSpaceDN/>
        <w:adjustRightInd/>
        <w:snapToGrid/>
        <w:spacing w:line="360" w:lineRule="auto"/>
        <w:jc w:val="both"/>
        <w:textAlignment w:val="auto"/>
        <w:rPr>
          <w:rFonts w:hint="eastAsia" w:ascii="宋体" w:hAnsi="宋体" w:eastAsia="宋体" w:cs="宋体"/>
          <w:spacing w:val="-2"/>
          <w:sz w:val="24"/>
          <w:szCs w:val="24"/>
        </w:rPr>
      </w:pPr>
      <w:r>
        <w:rPr>
          <w:rFonts w:hint="eastAsia" w:ascii="宋体" w:hAnsi="宋体" w:eastAsia="宋体" w:cs="宋体"/>
          <w:spacing w:val="-1"/>
          <w:sz w:val="24"/>
          <w:szCs w:val="24"/>
        </w:rPr>
        <w:t>当采</w:t>
      </w:r>
      <w:r>
        <w:rPr>
          <w:rFonts w:hint="eastAsia" w:ascii="宋体" w:hAnsi="宋体" w:eastAsia="宋体" w:cs="宋体"/>
          <w:spacing w:val="-2"/>
          <w:sz w:val="24"/>
          <w:szCs w:val="24"/>
        </w:rPr>
        <w:t>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024E780">
      <w:pPr>
        <w:shd w:val="clear"/>
        <w:spacing w:line="307" w:lineRule="auto"/>
        <w:rPr>
          <w:rFonts w:hint="eastAsia" w:ascii="宋体" w:hAnsi="宋体" w:eastAsia="宋体" w:cs="宋体"/>
          <w:sz w:val="21"/>
        </w:rPr>
      </w:pPr>
    </w:p>
    <w:p w14:paraId="0F35B76C">
      <w:pPr>
        <w:pStyle w:val="3"/>
        <w:shd w:val="clear"/>
        <w:spacing w:before="101" w:line="228" w:lineRule="auto"/>
        <w:ind w:left="3589"/>
        <w:rPr>
          <w:rFonts w:hint="eastAsia" w:ascii="宋体" w:hAnsi="宋体" w:eastAsia="宋体" w:cs="宋体"/>
          <w:sz w:val="31"/>
          <w:szCs w:val="31"/>
        </w:rPr>
      </w:pPr>
      <w:r>
        <w:rPr>
          <w:rFonts w:hint="eastAsia" w:ascii="宋体" w:hAnsi="宋体" w:eastAsia="宋体" w:cs="宋体"/>
          <w:b/>
          <w:bCs/>
          <w:spacing w:val="2"/>
          <w:sz w:val="31"/>
          <w:szCs w:val="31"/>
        </w:rPr>
        <w:t>二、磋商文件</w:t>
      </w:r>
    </w:p>
    <w:p w14:paraId="780BBD6A">
      <w:pPr>
        <w:shd w:val="clear"/>
        <w:spacing w:before="297" w:line="222" w:lineRule="auto"/>
        <w:ind w:left="471"/>
        <w:rPr>
          <w:rFonts w:hint="eastAsia" w:ascii="宋体" w:hAnsi="宋体" w:eastAsia="宋体" w:cs="宋体"/>
          <w:sz w:val="24"/>
          <w:szCs w:val="24"/>
        </w:rPr>
      </w:pPr>
      <w:r>
        <w:rPr>
          <w:rFonts w:hint="eastAsia" w:ascii="宋体" w:hAnsi="宋体" w:eastAsia="宋体" w:cs="宋体"/>
          <w:b/>
          <w:bCs/>
          <w:spacing w:val="-3"/>
          <w:sz w:val="24"/>
          <w:szCs w:val="24"/>
        </w:rPr>
        <w:t>8.磋商文件的构成</w:t>
      </w:r>
    </w:p>
    <w:p w14:paraId="3E6A8AF5">
      <w:pPr>
        <w:pStyle w:val="3"/>
        <w:shd w:val="clear"/>
        <w:spacing w:before="233" w:line="220" w:lineRule="auto"/>
        <w:ind w:left="485"/>
        <w:rPr>
          <w:rFonts w:hint="eastAsia" w:ascii="宋体" w:hAnsi="宋体" w:eastAsia="宋体" w:cs="宋体"/>
        </w:rPr>
      </w:pPr>
      <w:r>
        <w:rPr>
          <w:rFonts w:hint="eastAsia" w:ascii="宋体" w:hAnsi="宋体" w:eastAsia="宋体" w:cs="宋体"/>
          <w:spacing w:val="-2"/>
        </w:rPr>
        <w:t>（1）竞争性磋商公告/竞标邀请函；</w:t>
      </w:r>
    </w:p>
    <w:p w14:paraId="3D97B53C">
      <w:pPr>
        <w:pStyle w:val="3"/>
        <w:shd w:val="clear"/>
        <w:spacing w:before="235" w:line="222" w:lineRule="auto"/>
        <w:ind w:left="485"/>
        <w:rPr>
          <w:rFonts w:hint="eastAsia" w:ascii="宋体" w:hAnsi="宋体" w:eastAsia="宋体" w:cs="宋体"/>
        </w:rPr>
      </w:pPr>
      <w:r>
        <w:rPr>
          <w:rFonts w:hint="eastAsia" w:ascii="宋体" w:hAnsi="宋体" w:eastAsia="宋体" w:cs="宋体"/>
          <w:spacing w:val="-3"/>
        </w:rPr>
        <w:t>（2）供应商须知；</w:t>
      </w:r>
    </w:p>
    <w:p w14:paraId="25C835E7">
      <w:pPr>
        <w:pStyle w:val="3"/>
        <w:shd w:val="clear"/>
        <w:spacing w:before="230" w:line="222" w:lineRule="auto"/>
        <w:ind w:left="485"/>
        <w:rPr>
          <w:rFonts w:hint="eastAsia" w:ascii="宋体" w:hAnsi="宋体" w:eastAsia="宋体" w:cs="宋体"/>
        </w:rPr>
      </w:pPr>
      <w:r>
        <w:rPr>
          <w:rFonts w:hint="eastAsia" w:ascii="宋体" w:hAnsi="宋体" w:eastAsia="宋体" w:cs="宋体"/>
          <w:spacing w:val="-3"/>
        </w:rPr>
        <w:t>（3）采购需求；</w:t>
      </w:r>
    </w:p>
    <w:p w14:paraId="29331E26">
      <w:pPr>
        <w:pStyle w:val="3"/>
        <w:shd w:val="clear"/>
        <w:spacing w:before="232" w:line="222" w:lineRule="auto"/>
        <w:ind w:left="485"/>
        <w:rPr>
          <w:rFonts w:hint="eastAsia" w:ascii="宋体" w:hAnsi="宋体" w:eastAsia="宋体" w:cs="宋体"/>
        </w:rPr>
      </w:pPr>
      <w:r>
        <w:rPr>
          <w:rFonts w:hint="eastAsia" w:ascii="宋体" w:hAnsi="宋体" w:eastAsia="宋体" w:cs="宋体"/>
          <w:spacing w:val="-2"/>
        </w:rPr>
        <w:t>（4）评审程序、评审方法和评审标准；</w:t>
      </w:r>
    </w:p>
    <w:p w14:paraId="70335653">
      <w:pPr>
        <w:pStyle w:val="3"/>
        <w:shd w:val="clear"/>
        <w:spacing w:before="232" w:line="222" w:lineRule="auto"/>
        <w:ind w:left="485"/>
        <w:rPr>
          <w:rFonts w:hint="eastAsia" w:ascii="宋体" w:hAnsi="宋体" w:eastAsia="宋体" w:cs="宋体"/>
        </w:rPr>
      </w:pPr>
      <w:r>
        <w:rPr>
          <w:rFonts w:hint="eastAsia" w:ascii="宋体" w:hAnsi="宋体" w:eastAsia="宋体" w:cs="宋体"/>
          <w:spacing w:val="-3"/>
        </w:rPr>
        <w:t>（5）响应文件格式；</w:t>
      </w:r>
    </w:p>
    <w:p w14:paraId="4D4305BD">
      <w:pPr>
        <w:pStyle w:val="3"/>
        <w:shd w:val="clear"/>
        <w:spacing w:before="230" w:line="222" w:lineRule="auto"/>
        <w:ind w:left="485"/>
        <w:rPr>
          <w:rFonts w:hint="eastAsia" w:ascii="宋体" w:hAnsi="宋体" w:eastAsia="宋体" w:cs="宋体"/>
        </w:rPr>
      </w:pPr>
      <w:r>
        <w:rPr>
          <w:rFonts w:hint="eastAsia" w:ascii="宋体" w:hAnsi="宋体" w:eastAsia="宋体" w:cs="宋体"/>
          <w:spacing w:val="-3"/>
        </w:rPr>
        <w:t>（6）合同文本。</w:t>
      </w:r>
    </w:p>
    <w:p w14:paraId="66F67D8B">
      <w:pPr>
        <w:shd w:val="clear"/>
        <w:spacing w:before="231" w:line="222" w:lineRule="auto"/>
        <w:ind w:left="467"/>
        <w:rPr>
          <w:rFonts w:hint="eastAsia" w:ascii="宋体" w:hAnsi="宋体" w:eastAsia="宋体" w:cs="宋体"/>
          <w:sz w:val="24"/>
          <w:szCs w:val="24"/>
        </w:rPr>
      </w:pPr>
      <w:r>
        <w:rPr>
          <w:rFonts w:hint="eastAsia" w:ascii="宋体" w:hAnsi="宋体" w:eastAsia="宋体" w:cs="宋体"/>
          <w:b/>
          <w:bCs/>
          <w:spacing w:val="-2"/>
          <w:sz w:val="24"/>
          <w:szCs w:val="24"/>
        </w:rPr>
        <w:t>9.供应商的询问</w:t>
      </w:r>
    </w:p>
    <w:p w14:paraId="5A9971BE">
      <w:pPr>
        <w:pStyle w:val="3"/>
        <w:shd w:val="clear"/>
        <w:spacing w:before="231" w:line="400" w:lineRule="auto"/>
        <w:ind w:firstLine="480"/>
        <w:jc w:val="both"/>
        <w:rPr>
          <w:rFonts w:hint="eastAsia" w:ascii="宋体" w:hAnsi="宋体" w:eastAsia="宋体" w:cs="宋体"/>
          <w:sz w:val="21"/>
        </w:rPr>
      </w:pPr>
      <w:r>
        <w:rPr>
          <w:rFonts w:hint="eastAsia" w:ascii="宋体" w:hAnsi="宋体" w:eastAsia="宋体" w:cs="宋体"/>
          <w:spacing w:val="-2"/>
        </w:rPr>
        <w:t>供应商应认真阅读磋商文件的采购需求，如供应商对磋商文件有疑问的，如要求采</w:t>
      </w:r>
    </w:p>
    <w:p w14:paraId="5828126C">
      <w:pPr>
        <w:pStyle w:val="3"/>
        <w:shd w:val="clear"/>
        <w:spacing w:before="78" w:line="401" w:lineRule="auto"/>
        <w:ind w:left="30" w:right="65" w:hanging="30"/>
        <w:rPr>
          <w:rFonts w:hint="eastAsia" w:ascii="宋体" w:hAnsi="宋体" w:eastAsia="宋体" w:cs="宋体"/>
        </w:rPr>
      </w:pPr>
      <w:r>
        <w:rPr>
          <w:rFonts w:hint="eastAsia" w:ascii="宋体" w:hAnsi="宋体" w:eastAsia="宋体" w:cs="宋体"/>
          <w:spacing w:val="-2"/>
        </w:rPr>
        <w:t>购人作出澄清或者修改的，供应商尽可能在提交首次响应文件截止之日前，以书面形式</w:t>
      </w:r>
      <w:r>
        <w:rPr>
          <w:rFonts w:hint="eastAsia" w:ascii="宋体" w:hAnsi="宋体" w:eastAsia="宋体" w:cs="宋体"/>
          <w:spacing w:val="-4"/>
        </w:rPr>
        <w:t>向采购人、采购代理机构提出。</w:t>
      </w:r>
    </w:p>
    <w:p w14:paraId="6B9F3DC2">
      <w:pPr>
        <w:shd w:val="clear"/>
        <w:spacing w:line="221" w:lineRule="auto"/>
        <w:ind w:left="485"/>
        <w:rPr>
          <w:rFonts w:hint="eastAsia" w:ascii="宋体" w:hAnsi="宋体" w:eastAsia="宋体" w:cs="宋体"/>
          <w:sz w:val="24"/>
          <w:szCs w:val="24"/>
        </w:rPr>
      </w:pPr>
      <w:r>
        <w:rPr>
          <w:rFonts w:hint="eastAsia" w:ascii="宋体" w:hAnsi="宋体" w:eastAsia="宋体" w:cs="宋体"/>
          <w:b/>
          <w:bCs/>
          <w:spacing w:val="-4"/>
          <w:sz w:val="24"/>
          <w:szCs w:val="24"/>
        </w:rPr>
        <w:t>10.磋商文件的澄清和修改</w:t>
      </w:r>
    </w:p>
    <w:p w14:paraId="1196F2DE">
      <w:pPr>
        <w:pStyle w:val="3"/>
        <w:shd w:val="clear"/>
        <w:spacing w:before="231" w:line="400" w:lineRule="auto"/>
        <w:ind w:firstLine="480"/>
        <w:jc w:val="both"/>
        <w:rPr>
          <w:rFonts w:hint="eastAsia" w:ascii="宋体" w:hAnsi="宋体" w:eastAsia="宋体" w:cs="宋体"/>
        </w:rPr>
      </w:pPr>
      <w:r>
        <w:rPr>
          <w:rFonts w:hint="eastAsia" w:ascii="宋体" w:hAnsi="宋体" w:eastAsia="宋体" w:cs="宋体"/>
          <w:spacing w:val="-2"/>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Pr>
          <w:rFonts w:hint="eastAsia" w:ascii="宋体" w:hAnsi="宋体" w:eastAsia="宋体" w:cs="宋体"/>
          <w:spacing w:val="1"/>
        </w:rPr>
        <w:t>。</w:t>
      </w:r>
    </w:p>
    <w:p w14:paraId="2728C549">
      <w:pPr>
        <w:shd w:val="clear"/>
        <w:spacing w:line="308" w:lineRule="auto"/>
        <w:rPr>
          <w:rFonts w:hint="eastAsia" w:ascii="宋体" w:hAnsi="宋体" w:eastAsia="宋体" w:cs="宋体"/>
          <w:sz w:val="21"/>
        </w:rPr>
      </w:pPr>
    </w:p>
    <w:p w14:paraId="264AA3EA">
      <w:pPr>
        <w:pStyle w:val="3"/>
        <w:shd w:val="clear"/>
        <w:spacing w:before="100" w:line="227" w:lineRule="auto"/>
        <w:ind w:left="3105"/>
        <w:rPr>
          <w:rFonts w:hint="eastAsia" w:ascii="宋体" w:hAnsi="宋体" w:eastAsia="宋体" w:cs="宋体"/>
          <w:sz w:val="31"/>
          <w:szCs w:val="31"/>
        </w:rPr>
      </w:pPr>
      <w:r>
        <w:rPr>
          <w:rFonts w:hint="eastAsia" w:ascii="宋体" w:hAnsi="宋体" w:eastAsia="宋体" w:cs="宋体"/>
          <w:b/>
          <w:bCs/>
          <w:spacing w:val="4"/>
          <w:sz w:val="31"/>
          <w:szCs w:val="31"/>
        </w:rPr>
        <w:t>三、响应文件的编制</w:t>
      </w:r>
    </w:p>
    <w:p w14:paraId="4E7184D0">
      <w:pPr>
        <w:shd w:val="clear"/>
        <w:spacing w:before="301" w:line="221" w:lineRule="auto"/>
        <w:ind w:left="485"/>
        <w:rPr>
          <w:rFonts w:hint="eastAsia" w:ascii="宋体" w:hAnsi="宋体" w:eastAsia="宋体" w:cs="宋体"/>
          <w:sz w:val="24"/>
          <w:szCs w:val="24"/>
        </w:rPr>
      </w:pPr>
      <w:r>
        <w:rPr>
          <w:rFonts w:hint="eastAsia" w:ascii="宋体" w:hAnsi="宋体" w:eastAsia="宋体" w:cs="宋体"/>
          <w:b/>
          <w:bCs/>
          <w:spacing w:val="-4"/>
          <w:sz w:val="24"/>
          <w:szCs w:val="24"/>
        </w:rPr>
        <w:t>11.响应文件的编制原则</w:t>
      </w:r>
    </w:p>
    <w:p w14:paraId="7C2C8611">
      <w:pPr>
        <w:pStyle w:val="3"/>
        <w:shd w:val="clear"/>
        <w:spacing w:before="230" w:line="401" w:lineRule="auto"/>
        <w:ind w:left="6" w:right="60" w:firstLine="474"/>
        <w:rPr>
          <w:rFonts w:hint="eastAsia" w:ascii="宋体" w:hAnsi="宋体" w:eastAsia="宋体" w:cs="宋体"/>
        </w:rPr>
      </w:pPr>
      <w:r>
        <w:rPr>
          <w:rFonts w:hint="eastAsia" w:ascii="宋体" w:hAnsi="宋体" w:eastAsia="宋体" w:cs="宋体"/>
          <w:spacing w:val="-2"/>
        </w:rPr>
        <w:t>供应商必须按照磋商文件的要求编制响应文件，并对其提交的响应文件的真实性、</w:t>
      </w:r>
      <w:r>
        <w:rPr>
          <w:rFonts w:hint="eastAsia" w:ascii="宋体" w:hAnsi="宋体" w:eastAsia="宋体" w:cs="宋体"/>
          <w:spacing w:val="-1"/>
        </w:rPr>
        <w:t>合法性承担法律责任。响应文件必须对磋商文件作出实质性响应。</w:t>
      </w:r>
    </w:p>
    <w:p w14:paraId="6AA2E228">
      <w:pPr>
        <w:shd w:val="clear"/>
        <w:spacing w:before="1" w:line="221" w:lineRule="auto"/>
        <w:ind w:left="485"/>
        <w:rPr>
          <w:rFonts w:hint="eastAsia" w:ascii="宋体" w:hAnsi="宋体" w:eastAsia="宋体" w:cs="宋体"/>
          <w:sz w:val="24"/>
          <w:szCs w:val="24"/>
        </w:rPr>
      </w:pPr>
      <w:r>
        <w:rPr>
          <w:rFonts w:hint="eastAsia" w:ascii="宋体" w:hAnsi="宋体" w:eastAsia="宋体" w:cs="宋体"/>
          <w:b/>
          <w:bCs/>
          <w:spacing w:val="-4"/>
          <w:sz w:val="24"/>
          <w:szCs w:val="24"/>
        </w:rPr>
        <w:t>12.响应文件的组成</w:t>
      </w:r>
    </w:p>
    <w:p w14:paraId="2194CE5E">
      <w:pPr>
        <w:pStyle w:val="3"/>
        <w:shd w:val="clear"/>
        <w:spacing w:before="231" w:line="222" w:lineRule="auto"/>
        <w:ind w:left="490"/>
        <w:rPr>
          <w:rFonts w:hint="eastAsia" w:ascii="宋体" w:hAnsi="宋体" w:eastAsia="宋体" w:cs="宋体"/>
        </w:rPr>
      </w:pPr>
      <w:r>
        <w:rPr>
          <w:rFonts w:hint="eastAsia" w:ascii="宋体" w:hAnsi="宋体" w:eastAsia="宋体" w:cs="宋体"/>
          <w:spacing w:val="-2"/>
        </w:rPr>
        <w:t>12.1</w:t>
      </w:r>
      <w:r>
        <w:rPr>
          <w:rFonts w:hint="eastAsia" w:ascii="宋体" w:hAnsi="宋体" w:eastAsia="宋体" w:cs="宋体"/>
          <w:spacing w:val="-22"/>
        </w:rPr>
        <w:t xml:space="preserve"> </w:t>
      </w:r>
      <w:r>
        <w:rPr>
          <w:rFonts w:hint="eastAsia" w:ascii="宋体" w:hAnsi="宋体" w:eastAsia="宋体" w:cs="宋体"/>
          <w:spacing w:val="-2"/>
        </w:rPr>
        <w:t>响应文件由资格证明文件、报价文件、商务技术文件三部分组成。</w:t>
      </w:r>
    </w:p>
    <w:p w14:paraId="2DB2B164">
      <w:pPr>
        <w:pStyle w:val="3"/>
        <w:shd w:val="clear"/>
        <w:spacing w:before="231" w:line="221" w:lineRule="auto"/>
        <w:ind w:left="490"/>
        <w:rPr>
          <w:rFonts w:hint="eastAsia" w:ascii="宋体" w:hAnsi="宋体" w:eastAsia="宋体" w:cs="宋体"/>
        </w:rPr>
      </w:pPr>
      <w:r>
        <w:rPr>
          <w:rFonts w:hint="eastAsia" w:ascii="宋体" w:hAnsi="宋体" w:eastAsia="宋体" w:cs="宋体"/>
          <w:spacing w:val="1"/>
        </w:rPr>
        <w:t>12.1.1</w:t>
      </w:r>
      <w:r>
        <w:rPr>
          <w:rFonts w:hint="eastAsia" w:ascii="宋体" w:hAnsi="宋体" w:eastAsia="宋体" w:cs="宋体"/>
          <w:spacing w:val="-30"/>
        </w:rPr>
        <w:t xml:space="preserve"> </w:t>
      </w:r>
      <w:r>
        <w:rPr>
          <w:rFonts w:hint="eastAsia" w:ascii="宋体" w:hAnsi="宋体" w:eastAsia="宋体" w:cs="宋体"/>
          <w:spacing w:val="1"/>
        </w:rPr>
        <w:t>资格证明文件：详见“供应商须知前附表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69729998">
      <w:pPr>
        <w:pStyle w:val="3"/>
        <w:shd w:val="clear"/>
        <w:spacing w:before="234" w:line="221" w:lineRule="auto"/>
        <w:ind w:left="490"/>
        <w:rPr>
          <w:rFonts w:hint="eastAsia" w:ascii="宋体" w:hAnsi="宋体" w:eastAsia="宋体" w:cs="宋体"/>
        </w:rPr>
      </w:pPr>
      <w:r>
        <w:rPr>
          <w:rFonts w:hint="eastAsia" w:ascii="宋体" w:hAnsi="宋体" w:eastAsia="宋体" w:cs="宋体"/>
          <w:spacing w:val="1"/>
        </w:rPr>
        <w:t>12.1.2</w:t>
      </w:r>
      <w:r>
        <w:rPr>
          <w:rFonts w:hint="eastAsia" w:ascii="宋体" w:hAnsi="宋体" w:eastAsia="宋体" w:cs="宋体"/>
          <w:spacing w:val="-28"/>
        </w:rPr>
        <w:t xml:space="preserve"> </w:t>
      </w:r>
      <w:r>
        <w:rPr>
          <w:rFonts w:hint="eastAsia" w:ascii="宋体" w:hAnsi="宋体" w:eastAsia="宋体" w:cs="宋体"/>
          <w:spacing w:val="1"/>
        </w:rPr>
        <w:t>报价文件：详见“供应商须知前附表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316D0171">
      <w:pPr>
        <w:pStyle w:val="3"/>
        <w:shd w:val="clear"/>
        <w:spacing w:before="231" w:line="221" w:lineRule="auto"/>
        <w:ind w:left="490"/>
        <w:rPr>
          <w:rFonts w:hint="eastAsia" w:ascii="宋体" w:hAnsi="宋体" w:eastAsia="宋体" w:cs="宋体"/>
        </w:rPr>
      </w:pPr>
      <w:r>
        <w:rPr>
          <w:rFonts w:hint="eastAsia" w:ascii="宋体" w:hAnsi="宋体" w:eastAsia="宋体" w:cs="宋体"/>
          <w:spacing w:val="1"/>
        </w:rPr>
        <w:t>12.1.3</w:t>
      </w:r>
      <w:r>
        <w:rPr>
          <w:rFonts w:hint="eastAsia" w:ascii="宋体" w:hAnsi="宋体" w:eastAsia="宋体" w:cs="宋体"/>
          <w:spacing w:val="-30"/>
        </w:rPr>
        <w:t xml:space="preserve"> </w:t>
      </w:r>
      <w:r>
        <w:rPr>
          <w:rFonts w:hint="eastAsia" w:ascii="宋体" w:hAnsi="宋体" w:eastAsia="宋体" w:cs="宋体"/>
          <w:spacing w:val="1"/>
        </w:rPr>
        <w:t>商务技术文件：详见“供应商须知前附表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1A3BC160">
      <w:pPr>
        <w:shd w:val="clear"/>
        <w:spacing w:before="234" w:line="222" w:lineRule="auto"/>
        <w:ind w:left="485"/>
        <w:rPr>
          <w:rFonts w:hint="eastAsia" w:ascii="宋体" w:hAnsi="宋体" w:eastAsia="宋体" w:cs="宋体"/>
          <w:sz w:val="24"/>
          <w:szCs w:val="24"/>
        </w:rPr>
      </w:pPr>
      <w:r>
        <w:rPr>
          <w:rFonts w:hint="eastAsia" w:ascii="宋体" w:hAnsi="宋体" w:eastAsia="宋体" w:cs="宋体"/>
          <w:b/>
          <w:bCs/>
          <w:spacing w:val="-5"/>
          <w:sz w:val="24"/>
          <w:szCs w:val="24"/>
        </w:rPr>
        <w:t>13.计量单位</w:t>
      </w:r>
    </w:p>
    <w:p w14:paraId="512C838C">
      <w:pPr>
        <w:pStyle w:val="3"/>
        <w:shd w:val="clear"/>
        <w:spacing w:before="232" w:line="399" w:lineRule="auto"/>
        <w:ind w:right="72" w:firstLine="479"/>
        <w:rPr>
          <w:rFonts w:hint="eastAsia" w:ascii="宋体" w:hAnsi="宋体" w:eastAsia="宋体" w:cs="宋体"/>
        </w:rPr>
      </w:pPr>
      <w:r>
        <w:rPr>
          <w:rFonts w:hint="eastAsia" w:ascii="宋体" w:hAnsi="宋体" w:eastAsia="宋体" w:cs="宋体"/>
          <w:spacing w:val="-2"/>
        </w:rPr>
        <w:t>磋商文件已有明确规定的，使用磋商文件规定的计量单位；磋商文件没有规定的，</w:t>
      </w:r>
      <w:r>
        <w:rPr>
          <w:rFonts w:hint="eastAsia" w:ascii="宋体" w:hAnsi="宋体" w:eastAsia="宋体" w:cs="宋体"/>
          <w:spacing w:val="-1"/>
        </w:rPr>
        <w:t>应采用中华人民共和国法定计量单位，货币种类为人民币，</w:t>
      </w:r>
      <w:r>
        <w:rPr>
          <w:rFonts w:hint="eastAsia" w:ascii="宋体" w:hAnsi="宋体" w:eastAsia="宋体" w:cs="宋体"/>
          <w:b/>
          <w:bCs/>
          <w:spacing w:val="-1"/>
        </w:rPr>
        <w:t>否则视同未响应</w:t>
      </w:r>
      <w:r>
        <w:rPr>
          <w:rFonts w:hint="eastAsia" w:ascii="宋体" w:hAnsi="宋体" w:eastAsia="宋体" w:cs="宋体"/>
          <w:spacing w:val="-1"/>
        </w:rPr>
        <w:t>。</w:t>
      </w:r>
    </w:p>
    <w:p w14:paraId="0CD61754">
      <w:pPr>
        <w:shd w:val="clear"/>
        <w:spacing w:before="1" w:line="222" w:lineRule="auto"/>
        <w:ind w:left="485"/>
        <w:rPr>
          <w:rFonts w:hint="eastAsia" w:ascii="宋体" w:hAnsi="宋体" w:eastAsia="宋体" w:cs="宋体"/>
          <w:sz w:val="24"/>
          <w:szCs w:val="24"/>
        </w:rPr>
      </w:pPr>
      <w:r>
        <w:rPr>
          <w:rFonts w:hint="eastAsia" w:ascii="宋体" w:hAnsi="宋体" w:eastAsia="宋体" w:cs="宋体"/>
          <w:b/>
          <w:bCs/>
          <w:spacing w:val="-5"/>
          <w:sz w:val="24"/>
          <w:szCs w:val="24"/>
        </w:rPr>
        <w:t>14.竞标的风险</w:t>
      </w:r>
    </w:p>
    <w:p w14:paraId="24859A97">
      <w:pPr>
        <w:pStyle w:val="3"/>
        <w:shd w:val="clear"/>
        <w:spacing w:before="232" w:line="399" w:lineRule="auto"/>
        <w:ind w:left="3" w:right="65" w:firstLine="477"/>
        <w:rPr>
          <w:rFonts w:hint="eastAsia" w:ascii="宋体" w:hAnsi="宋体" w:eastAsia="宋体" w:cs="宋体"/>
        </w:rPr>
      </w:pPr>
      <w:r>
        <w:rPr>
          <w:rFonts w:hint="eastAsia" w:ascii="宋体" w:hAnsi="宋体" w:eastAsia="宋体" w:cs="宋体"/>
          <w:spacing w:val="-2"/>
        </w:rPr>
        <w:t>供应商没有按照磋商文件要求提供全部资料，或者供应商没有对磋商文件在各方面</w:t>
      </w:r>
      <w:r>
        <w:rPr>
          <w:rFonts w:hint="eastAsia" w:ascii="宋体" w:hAnsi="宋体" w:eastAsia="宋体" w:cs="宋体"/>
          <w:spacing w:val="-1"/>
        </w:rPr>
        <w:t>作出实质性响应可能导致其</w:t>
      </w:r>
      <w:r>
        <w:rPr>
          <w:rFonts w:hint="eastAsia" w:ascii="宋体" w:hAnsi="宋体" w:eastAsia="宋体" w:cs="宋体"/>
          <w:b/>
          <w:bCs/>
          <w:spacing w:val="-1"/>
        </w:rPr>
        <w:t>响应无效</w:t>
      </w:r>
      <w:r>
        <w:rPr>
          <w:rFonts w:hint="eastAsia" w:ascii="宋体" w:hAnsi="宋体" w:eastAsia="宋体" w:cs="宋体"/>
          <w:spacing w:val="-1"/>
        </w:rPr>
        <w:t>，是供应商应当考虑的风险。</w:t>
      </w:r>
    </w:p>
    <w:p w14:paraId="1681B75E">
      <w:pPr>
        <w:shd w:val="clear"/>
        <w:spacing w:before="2" w:line="222" w:lineRule="auto"/>
        <w:ind w:left="485"/>
        <w:rPr>
          <w:rFonts w:hint="eastAsia" w:ascii="宋体" w:hAnsi="宋体" w:eastAsia="宋体" w:cs="宋体"/>
          <w:sz w:val="24"/>
          <w:szCs w:val="24"/>
        </w:rPr>
      </w:pPr>
      <w:r>
        <w:rPr>
          <w:rFonts w:hint="eastAsia" w:ascii="宋体" w:hAnsi="宋体" w:eastAsia="宋体" w:cs="宋体"/>
          <w:b/>
          <w:bCs/>
          <w:spacing w:val="-5"/>
          <w:sz w:val="24"/>
          <w:szCs w:val="24"/>
        </w:rPr>
        <w:t>15.竞标报价</w:t>
      </w:r>
    </w:p>
    <w:p w14:paraId="4E50E025">
      <w:pPr>
        <w:pStyle w:val="3"/>
        <w:shd w:val="clear"/>
        <w:spacing w:before="233" w:line="222" w:lineRule="auto"/>
        <w:ind w:left="490"/>
        <w:rPr>
          <w:rFonts w:hint="eastAsia" w:ascii="宋体" w:hAnsi="宋体" w:eastAsia="宋体" w:cs="宋体"/>
        </w:rPr>
      </w:pPr>
      <w:r>
        <w:rPr>
          <w:rFonts w:hint="eastAsia" w:ascii="宋体" w:hAnsi="宋体" w:eastAsia="宋体" w:cs="宋体"/>
          <w:spacing w:val="-3"/>
        </w:rPr>
        <w:t>15.1</w:t>
      </w:r>
      <w:r>
        <w:rPr>
          <w:rFonts w:hint="eastAsia" w:ascii="宋体" w:hAnsi="宋体" w:eastAsia="宋体" w:cs="宋体"/>
          <w:spacing w:val="-38"/>
        </w:rPr>
        <w:t xml:space="preserve"> </w:t>
      </w:r>
      <w:r>
        <w:rPr>
          <w:rFonts w:hint="eastAsia" w:ascii="宋体" w:hAnsi="宋体" w:eastAsia="宋体" w:cs="宋体"/>
          <w:spacing w:val="-3"/>
        </w:rPr>
        <w:t>竞标报价应按磋商文件中“竞标报价表</w:t>
      </w:r>
      <w:r>
        <w:rPr>
          <w:rFonts w:hint="eastAsia" w:ascii="宋体" w:hAnsi="宋体" w:eastAsia="宋体" w:cs="宋体"/>
          <w:spacing w:val="-89"/>
        </w:rPr>
        <w:t xml:space="preserve"> </w:t>
      </w:r>
      <w:r>
        <w:rPr>
          <w:rFonts w:hint="eastAsia" w:ascii="宋体" w:hAnsi="宋体" w:eastAsia="宋体" w:cs="宋体"/>
          <w:spacing w:val="-3"/>
        </w:rPr>
        <w:t>”格式填写。</w:t>
      </w:r>
    </w:p>
    <w:p w14:paraId="47CE5DE4">
      <w:pPr>
        <w:pStyle w:val="3"/>
        <w:shd w:val="clear"/>
        <w:spacing w:before="78" w:line="222" w:lineRule="auto"/>
        <w:ind w:left="486"/>
        <w:rPr>
          <w:rFonts w:hint="eastAsia" w:ascii="宋体" w:hAnsi="宋体" w:eastAsia="宋体" w:cs="宋体"/>
        </w:rPr>
      </w:pPr>
      <w:r>
        <w:rPr>
          <w:rFonts w:hint="eastAsia" w:ascii="宋体" w:hAnsi="宋体" w:eastAsia="宋体" w:cs="宋体"/>
          <w:spacing w:val="-2"/>
        </w:rPr>
        <w:t>15.2</w:t>
      </w:r>
      <w:r>
        <w:rPr>
          <w:rFonts w:hint="eastAsia" w:ascii="宋体" w:hAnsi="宋体" w:eastAsia="宋体" w:cs="宋体"/>
          <w:spacing w:val="-38"/>
        </w:rPr>
        <w:t xml:space="preserve"> </w:t>
      </w:r>
      <w:r>
        <w:rPr>
          <w:rFonts w:hint="eastAsia" w:ascii="宋体" w:hAnsi="宋体" w:eastAsia="宋体" w:cs="宋体"/>
          <w:spacing w:val="-2"/>
        </w:rPr>
        <w:t>竞标报价的内容见“供应商须知前附表</w:t>
      </w:r>
      <w:r>
        <w:rPr>
          <w:rFonts w:hint="eastAsia" w:ascii="宋体" w:hAnsi="宋体" w:eastAsia="宋体" w:cs="宋体"/>
          <w:spacing w:val="-88"/>
        </w:rPr>
        <w:t xml:space="preserve"> </w:t>
      </w:r>
      <w:r>
        <w:rPr>
          <w:rFonts w:hint="eastAsia" w:ascii="宋体" w:hAnsi="宋体" w:eastAsia="宋体" w:cs="宋体"/>
          <w:spacing w:val="-3"/>
        </w:rPr>
        <w:t>”。</w:t>
      </w:r>
    </w:p>
    <w:p w14:paraId="5D83C226">
      <w:pPr>
        <w:pStyle w:val="3"/>
        <w:shd w:val="clear"/>
        <w:spacing w:before="233" w:line="222" w:lineRule="auto"/>
        <w:ind w:left="486"/>
        <w:rPr>
          <w:rFonts w:hint="eastAsia" w:ascii="宋体" w:hAnsi="宋体" w:eastAsia="宋体" w:cs="宋体"/>
        </w:rPr>
      </w:pPr>
      <w:r>
        <w:rPr>
          <w:rFonts w:hint="eastAsia" w:ascii="宋体" w:hAnsi="宋体" w:eastAsia="宋体" w:cs="宋体"/>
          <w:spacing w:val="-5"/>
        </w:rPr>
        <w:t>15.3</w:t>
      </w:r>
      <w:r>
        <w:rPr>
          <w:rFonts w:hint="eastAsia" w:ascii="宋体" w:hAnsi="宋体" w:eastAsia="宋体" w:cs="宋体"/>
          <w:spacing w:val="-38"/>
        </w:rPr>
        <w:t xml:space="preserve"> </w:t>
      </w:r>
      <w:r>
        <w:rPr>
          <w:rFonts w:hint="eastAsia" w:ascii="宋体" w:hAnsi="宋体" w:eastAsia="宋体" w:cs="宋体"/>
          <w:spacing w:val="-5"/>
        </w:rPr>
        <w:t>竞标报价要求</w:t>
      </w:r>
    </w:p>
    <w:p w14:paraId="7DAF1273">
      <w:pPr>
        <w:pStyle w:val="3"/>
        <w:shd w:val="clear"/>
        <w:spacing w:before="231" w:line="221" w:lineRule="auto"/>
        <w:ind w:left="486"/>
        <w:rPr>
          <w:rFonts w:hint="eastAsia" w:ascii="宋体" w:hAnsi="宋体" w:eastAsia="宋体" w:cs="宋体"/>
        </w:rPr>
      </w:pPr>
      <w:r>
        <w:rPr>
          <w:rFonts w:hint="eastAsia" w:ascii="宋体" w:hAnsi="宋体" w:eastAsia="宋体" w:cs="宋体"/>
          <w:spacing w:val="-1"/>
        </w:rPr>
        <w:t>15.3.1</w:t>
      </w:r>
      <w:r>
        <w:rPr>
          <w:rFonts w:hint="eastAsia" w:ascii="宋体" w:hAnsi="宋体" w:eastAsia="宋体" w:cs="宋体"/>
          <w:spacing w:val="-44"/>
        </w:rPr>
        <w:t xml:space="preserve"> </w:t>
      </w:r>
      <w:r>
        <w:rPr>
          <w:rFonts w:hint="eastAsia" w:ascii="宋体" w:hAnsi="宋体" w:eastAsia="宋体" w:cs="宋体"/>
          <w:spacing w:val="-1"/>
        </w:rPr>
        <w:t>供应商的竞标报价应符合以下要求，否则响应文件</w:t>
      </w:r>
      <w:r>
        <w:rPr>
          <w:rFonts w:hint="eastAsia" w:ascii="宋体" w:hAnsi="宋体" w:eastAsia="宋体" w:cs="宋体"/>
          <w:spacing w:val="-2"/>
        </w:rPr>
        <w:t>按无效响应处理：</w:t>
      </w:r>
    </w:p>
    <w:p w14:paraId="65C3AF47">
      <w:pPr>
        <w:pStyle w:val="3"/>
        <w:shd w:val="clear"/>
        <w:spacing w:before="231" w:line="400" w:lineRule="auto"/>
        <w:ind w:left="6" w:firstLine="474"/>
        <w:rPr>
          <w:rFonts w:hint="eastAsia" w:ascii="宋体" w:hAnsi="宋体" w:eastAsia="宋体" w:cs="宋体"/>
        </w:rPr>
      </w:pPr>
      <w:r>
        <w:rPr>
          <w:rFonts w:hint="eastAsia" w:ascii="宋体" w:hAnsi="宋体" w:eastAsia="宋体" w:cs="宋体"/>
        </w:rPr>
        <w:t>（1）供应商必须就“采购需求</w:t>
      </w:r>
      <w:r>
        <w:rPr>
          <w:rFonts w:hint="eastAsia" w:ascii="宋体" w:hAnsi="宋体" w:eastAsia="宋体" w:cs="宋体"/>
          <w:spacing w:val="-71"/>
        </w:rPr>
        <w:t xml:space="preserve"> </w:t>
      </w:r>
      <w:r>
        <w:rPr>
          <w:rFonts w:hint="eastAsia" w:ascii="宋体" w:hAnsi="宋体" w:eastAsia="宋体" w:cs="宋体"/>
        </w:rPr>
        <w:t>”中所竞标的每个分标的全部内容分别作完整唯一</w:t>
      </w:r>
      <w:r>
        <w:rPr>
          <w:rFonts w:hint="eastAsia" w:ascii="宋体" w:hAnsi="宋体" w:eastAsia="宋体" w:cs="宋体"/>
          <w:spacing w:val="-2"/>
        </w:rPr>
        <w:t>总价报价，不得存在漏项报价；</w:t>
      </w:r>
    </w:p>
    <w:p w14:paraId="04395181">
      <w:pPr>
        <w:pStyle w:val="3"/>
        <w:shd w:val="clear"/>
        <w:spacing w:before="1" w:line="220" w:lineRule="auto"/>
        <w:ind w:left="481"/>
        <w:rPr>
          <w:rFonts w:hint="eastAsia" w:ascii="宋体" w:hAnsi="宋体" w:eastAsia="宋体" w:cs="宋体"/>
        </w:rPr>
      </w:pPr>
      <w:r>
        <w:rPr>
          <w:rFonts w:hint="eastAsia" w:ascii="宋体" w:hAnsi="宋体" w:eastAsia="宋体" w:cs="宋体"/>
          <w:spacing w:val="-1"/>
        </w:rPr>
        <w:t>（2）供应商必须就所竞标的分标的单项内容作唯一报价。</w:t>
      </w:r>
    </w:p>
    <w:p w14:paraId="56F0CC3D">
      <w:pPr>
        <w:pStyle w:val="3"/>
        <w:shd w:val="clear"/>
        <w:spacing w:before="231" w:line="401" w:lineRule="auto"/>
        <w:ind w:left="2" w:firstLine="483"/>
        <w:rPr>
          <w:rFonts w:hint="eastAsia" w:ascii="宋体" w:hAnsi="宋体" w:eastAsia="宋体" w:cs="宋体"/>
        </w:rPr>
      </w:pPr>
      <w:r>
        <w:rPr>
          <w:rFonts w:hint="eastAsia" w:ascii="宋体" w:hAnsi="宋体" w:eastAsia="宋体" w:cs="宋体"/>
          <w:spacing w:val="-4"/>
        </w:rPr>
        <w:t>15.3.2</w:t>
      </w:r>
      <w:r>
        <w:rPr>
          <w:rFonts w:hint="eastAsia" w:ascii="宋体" w:hAnsi="宋体" w:eastAsia="宋体" w:cs="宋体"/>
          <w:spacing w:val="-38"/>
        </w:rPr>
        <w:t xml:space="preserve"> </w:t>
      </w:r>
      <w:r>
        <w:rPr>
          <w:rFonts w:hint="eastAsia" w:ascii="宋体" w:hAnsi="宋体" w:eastAsia="宋体" w:cs="宋体"/>
          <w:spacing w:val="-4"/>
        </w:rPr>
        <w:t>竞标报价（包含首次报价、最后报价）超过所竞标规定的采购预算金额</w:t>
      </w:r>
      <w:r>
        <w:rPr>
          <w:rFonts w:hint="eastAsia" w:ascii="宋体" w:hAnsi="宋体" w:eastAsia="宋体" w:cs="宋体"/>
          <w:spacing w:val="-5"/>
        </w:rPr>
        <w:t>或者</w:t>
      </w:r>
      <w:r>
        <w:rPr>
          <w:rFonts w:hint="eastAsia" w:ascii="宋体" w:hAnsi="宋体" w:eastAsia="宋体" w:cs="宋体"/>
          <w:spacing w:val="-3"/>
        </w:rPr>
        <w:t>最高限价的，</w:t>
      </w:r>
      <w:r>
        <w:rPr>
          <w:rFonts w:hint="eastAsia" w:ascii="宋体" w:hAnsi="宋体" w:eastAsia="宋体" w:cs="宋体"/>
          <w:b/>
          <w:bCs/>
          <w:spacing w:val="-3"/>
        </w:rPr>
        <w:t>其响应文件将按无效处理。</w:t>
      </w:r>
    </w:p>
    <w:p w14:paraId="0E2AEBD1">
      <w:pPr>
        <w:pStyle w:val="3"/>
        <w:shd w:val="clear"/>
        <w:spacing w:before="2" w:line="399" w:lineRule="auto"/>
        <w:ind w:left="3" w:firstLine="482"/>
        <w:rPr>
          <w:rFonts w:hint="eastAsia" w:ascii="宋体" w:hAnsi="宋体" w:eastAsia="宋体" w:cs="宋体"/>
        </w:rPr>
      </w:pPr>
      <w:r>
        <w:rPr>
          <w:rFonts w:hint="eastAsia" w:ascii="宋体" w:hAnsi="宋体" w:eastAsia="宋体" w:cs="宋体"/>
          <w:spacing w:val="1"/>
        </w:rPr>
        <w:t>15.3.3 分项竞标报价（包含首次报价、最后报价）超过分项采购预算金额或者最</w:t>
      </w:r>
      <w:r>
        <w:rPr>
          <w:rFonts w:hint="eastAsia" w:ascii="宋体" w:hAnsi="宋体" w:eastAsia="宋体" w:cs="宋体"/>
          <w:spacing w:val="-3"/>
        </w:rPr>
        <w:t>高限价的，</w:t>
      </w:r>
      <w:r>
        <w:rPr>
          <w:rFonts w:hint="eastAsia" w:ascii="宋体" w:hAnsi="宋体" w:eastAsia="宋体" w:cs="宋体"/>
          <w:b/>
          <w:bCs/>
          <w:spacing w:val="-3"/>
        </w:rPr>
        <w:t>其响应文件将按无效处理。</w:t>
      </w:r>
    </w:p>
    <w:p w14:paraId="0EA6926C">
      <w:pPr>
        <w:shd w:val="clear"/>
        <w:spacing w:before="1" w:line="220" w:lineRule="auto"/>
        <w:ind w:left="481"/>
        <w:rPr>
          <w:rFonts w:hint="eastAsia" w:ascii="宋体" w:hAnsi="宋体" w:eastAsia="宋体" w:cs="宋体"/>
          <w:sz w:val="24"/>
          <w:szCs w:val="24"/>
        </w:rPr>
      </w:pPr>
      <w:r>
        <w:rPr>
          <w:rFonts w:hint="eastAsia" w:ascii="宋体" w:hAnsi="宋体" w:eastAsia="宋体" w:cs="宋体"/>
          <w:b/>
          <w:bCs/>
          <w:spacing w:val="-5"/>
          <w:sz w:val="24"/>
          <w:szCs w:val="24"/>
        </w:rPr>
        <w:t>16.竞标有效期</w:t>
      </w:r>
    </w:p>
    <w:p w14:paraId="1572DAE0">
      <w:pPr>
        <w:pStyle w:val="3"/>
        <w:shd w:val="clear"/>
        <w:spacing w:before="233" w:line="400" w:lineRule="auto"/>
        <w:ind w:firstLine="486"/>
        <w:rPr>
          <w:rFonts w:hint="eastAsia" w:ascii="宋体" w:hAnsi="宋体" w:eastAsia="宋体" w:cs="宋体"/>
        </w:rPr>
      </w:pPr>
      <w:r>
        <w:rPr>
          <w:rFonts w:hint="eastAsia" w:ascii="宋体" w:hAnsi="宋体" w:eastAsia="宋体" w:cs="宋体"/>
          <w:spacing w:val="-4"/>
        </w:rPr>
        <w:t>16.1</w:t>
      </w:r>
      <w:r>
        <w:rPr>
          <w:rFonts w:hint="eastAsia" w:ascii="宋体" w:hAnsi="宋体" w:eastAsia="宋体" w:cs="宋体"/>
          <w:spacing w:val="-38"/>
        </w:rPr>
        <w:t xml:space="preserve"> </w:t>
      </w:r>
      <w:r>
        <w:rPr>
          <w:rFonts w:hint="eastAsia" w:ascii="宋体" w:hAnsi="宋体" w:eastAsia="宋体" w:cs="宋体"/>
          <w:spacing w:val="-4"/>
        </w:rPr>
        <w:t>竞标有效期是指为保证采购人有足够的时间在提交响应文件后完</w:t>
      </w:r>
      <w:r>
        <w:rPr>
          <w:rFonts w:hint="eastAsia" w:ascii="宋体" w:hAnsi="宋体" w:eastAsia="宋体" w:cs="宋体"/>
          <w:spacing w:val="-5"/>
        </w:rPr>
        <w:t>成评审、确定</w:t>
      </w:r>
      <w:r>
        <w:rPr>
          <w:rFonts w:hint="eastAsia" w:ascii="宋体" w:hAnsi="宋体" w:eastAsia="宋体" w:cs="宋体"/>
          <w:spacing w:val="-2"/>
        </w:rPr>
        <w:t>成交供应商、合同签订等工作而要求供应商提交的响应文件在一定时间内保持有效的期</w:t>
      </w:r>
      <w:r>
        <w:rPr>
          <w:rFonts w:hint="eastAsia" w:ascii="宋体" w:hAnsi="宋体" w:eastAsia="宋体" w:cs="宋体"/>
          <w:spacing w:val="-10"/>
        </w:rPr>
        <w:t>限。</w:t>
      </w:r>
    </w:p>
    <w:p w14:paraId="7FBB4D02">
      <w:pPr>
        <w:pStyle w:val="3"/>
        <w:shd w:val="clear"/>
        <w:spacing w:before="1" w:line="220" w:lineRule="auto"/>
        <w:ind w:left="486"/>
        <w:rPr>
          <w:rFonts w:hint="eastAsia" w:ascii="宋体" w:hAnsi="宋体" w:eastAsia="宋体" w:cs="宋体"/>
        </w:rPr>
      </w:pPr>
      <w:r>
        <w:rPr>
          <w:rFonts w:hint="eastAsia" w:ascii="宋体" w:hAnsi="宋体" w:eastAsia="宋体" w:cs="宋体"/>
          <w:spacing w:val="-2"/>
        </w:rPr>
        <w:t>16.2 竞标有效期应由供应商按“供应商须知前附表</w:t>
      </w:r>
      <w:r>
        <w:rPr>
          <w:rFonts w:hint="eastAsia" w:ascii="宋体" w:hAnsi="宋体" w:eastAsia="宋体" w:cs="宋体"/>
          <w:spacing w:val="-76"/>
        </w:rPr>
        <w:t xml:space="preserve"> </w:t>
      </w:r>
      <w:r>
        <w:rPr>
          <w:rFonts w:hint="eastAsia" w:ascii="宋体" w:hAnsi="宋体" w:eastAsia="宋体" w:cs="宋体"/>
          <w:spacing w:val="-2"/>
        </w:rPr>
        <w:t>”规定的期限作出响应。</w:t>
      </w:r>
    </w:p>
    <w:p w14:paraId="034EE1C5">
      <w:pPr>
        <w:pStyle w:val="3"/>
        <w:shd w:val="clear"/>
        <w:spacing w:before="232" w:line="219" w:lineRule="auto"/>
        <w:ind w:left="486"/>
        <w:rPr>
          <w:rFonts w:hint="eastAsia" w:ascii="宋体" w:hAnsi="宋体" w:eastAsia="宋体" w:cs="宋体"/>
        </w:rPr>
      </w:pPr>
      <w:r>
        <w:rPr>
          <w:rFonts w:hint="eastAsia" w:ascii="宋体" w:hAnsi="宋体" w:eastAsia="宋体" w:cs="宋体"/>
          <w:spacing w:val="-2"/>
        </w:rPr>
        <w:t>16.3</w:t>
      </w:r>
      <w:r>
        <w:rPr>
          <w:rFonts w:hint="eastAsia" w:ascii="宋体" w:hAnsi="宋体" w:eastAsia="宋体" w:cs="宋体"/>
          <w:spacing w:val="-38"/>
        </w:rPr>
        <w:t xml:space="preserve"> </w:t>
      </w:r>
      <w:r>
        <w:rPr>
          <w:rFonts w:hint="eastAsia" w:ascii="宋体" w:hAnsi="宋体" w:eastAsia="宋体" w:cs="宋体"/>
          <w:spacing w:val="-2"/>
        </w:rPr>
        <w:t>供应商的响应文件在竞标有效期内均保持有效。</w:t>
      </w:r>
    </w:p>
    <w:p w14:paraId="676620F8">
      <w:pPr>
        <w:shd w:val="clear"/>
        <w:spacing w:before="235" w:line="222" w:lineRule="auto"/>
        <w:ind w:left="481"/>
        <w:rPr>
          <w:rFonts w:hint="eastAsia" w:ascii="宋体" w:hAnsi="宋体" w:eastAsia="宋体" w:cs="宋体"/>
          <w:sz w:val="24"/>
          <w:szCs w:val="24"/>
        </w:rPr>
      </w:pPr>
      <w:r>
        <w:rPr>
          <w:rFonts w:hint="eastAsia" w:ascii="宋体" w:hAnsi="宋体" w:eastAsia="宋体" w:cs="宋体"/>
          <w:b/>
          <w:bCs/>
          <w:spacing w:val="-5"/>
          <w:sz w:val="24"/>
          <w:szCs w:val="24"/>
        </w:rPr>
        <w:t>17.磋商保证金</w:t>
      </w:r>
    </w:p>
    <w:p w14:paraId="585400F3">
      <w:pPr>
        <w:pStyle w:val="3"/>
        <w:shd w:val="clear"/>
        <w:spacing w:before="233" w:line="221" w:lineRule="auto"/>
        <w:ind w:left="486"/>
        <w:rPr>
          <w:rFonts w:hint="eastAsia" w:ascii="宋体" w:hAnsi="宋体" w:eastAsia="宋体" w:cs="宋体"/>
        </w:rPr>
      </w:pPr>
      <w:r>
        <w:rPr>
          <w:rFonts w:hint="eastAsia" w:ascii="宋体" w:hAnsi="宋体" w:eastAsia="宋体" w:cs="宋体"/>
          <w:spacing w:val="-3"/>
        </w:rPr>
        <w:t>17.1</w:t>
      </w:r>
      <w:r>
        <w:rPr>
          <w:rFonts w:hint="eastAsia" w:ascii="宋体" w:hAnsi="宋体" w:eastAsia="宋体" w:cs="宋体"/>
          <w:spacing w:val="-30"/>
        </w:rPr>
        <w:t xml:space="preserve"> </w:t>
      </w:r>
      <w:r>
        <w:rPr>
          <w:rFonts w:hint="eastAsia" w:ascii="宋体" w:hAnsi="宋体" w:eastAsia="宋体" w:cs="宋体"/>
          <w:spacing w:val="-3"/>
        </w:rPr>
        <w:t>供应商须按“供应商须知前附表</w:t>
      </w:r>
      <w:r>
        <w:rPr>
          <w:rFonts w:hint="eastAsia" w:ascii="宋体" w:hAnsi="宋体" w:eastAsia="宋体" w:cs="宋体"/>
          <w:spacing w:val="-88"/>
        </w:rPr>
        <w:t xml:space="preserve"> </w:t>
      </w:r>
      <w:r>
        <w:rPr>
          <w:rFonts w:hint="eastAsia" w:ascii="宋体" w:hAnsi="宋体" w:eastAsia="宋体" w:cs="宋体"/>
          <w:spacing w:val="-3"/>
        </w:rPr>
        <w:t>”的规定提交磋商保证金。</w:t>
      </w:r>
    </w:p>
    <w:p w14:paraId="6E18F6B9">
      <w:pPr>
        <w:pStyle w:val="3"/>
        <w:shd w:val="clear"/>
        <w:spacing w:before="231" w:line="221" w:lineRule="auto"/>
        <w:ind w:left="486"/>
        <w:rPr>
          <w:rFonts w:hint="eastAsia" w:ascii="宋体" w:hAnsi="宋体" w:eastAsia="宋体" w:cs="宋体"/>
        </w:rPr>
      </w:pPr>
      <w:r>
        <w:rPr>
          <w:rFonts w:hint="eastAsia" w:ascii="宋体" w:hAnsi="宋体" w:eastAsia="宋体" w:cs="宋体"/>
          <w:spacing w:val="-4"/>
        </w:rPr>
        <w:t>17.2</w:t>
      </w:r>
      <w:r>
        <w:rPr>
          <w:rFonts w:hint="eastAsia" w:ascii="宋体" w:hAnsi="宋体" w:eastAsia="宋体" w:cs="宋体"/>
          <w:spacing w:val="-40"/>
        </w:rPr>
        <w:t xml:space="preserve"> </w:t>
      </w:r>
      <w:r>
        <w:rPr>
          <w:rFonts w:hint="eastAsia" w:ascii="宋体" w:hAnsi="宋体" w:eastAsia="宋体" w:cs="宋体"/>
          <w:spacing w:val="-4"/>
        </w:rPr>
        <w:t>磋商保证金的退还</w:t>
      </w:r>
    </w:p>
    <w:p w14:paraId="738B27E7">
      <w:pPr>
        <w:pStyle w:val="3"/>
        <w:shd w:val="clear"/>
        <w:spacing w:before="233" w:line="400" w:lineRule="auto"/>
        <w:ind w:left="10" w:firstLine="467"/>
        <w:rPr>
          <w:rFonts w:hint="eastAsia" w:ascii="宋体" w:hAnsi="宋体" w:eastAsia="宋体" w:cs="宋体"/>
        </w:rPr>
      </w:pPr>
      <w:r>
        <w:rPr>
          <w:rFonts w:hint="eastAsia" w:ascii="宋体" w:hAnsi="宋体" w:eastAsia="宋体" w:cs="宋体"/>
          <w:spacing w:val="-9"/>
        </w:rPr>
        <w:t>未成交供应商的竞标保证金自成交通知书发出之日起</w:t>
      </w:r>
      <w:r>
        <w:rPr>
          <w:rFonts w:hint="eastAsia" w:ascii="宋体" w:hAnsi="宋体" w:eastAsia="宋体" w:cs="宋体"/>
          <w:spacing w:val="-46"/>
        </w:rPr>
        <w:t xml:space="preserve"> </w:t>
      </w:r>
      <w:r>
        <w:rPr>
          <w:rFonts w:hint="eastAsia" w:ascii="宋体" w:hAnsi="宋体" w:eastAsia="宋体" w:cs="宋体"/>
          <w:spacing w:val="-9"/>
        </w:rPr>
        <w:t>4</w:t>
      </w:r>
      <w:r>
        <w:rPr>
          <w:rFonts w:hint="eastAsia" w:ascii="宋体" w:hAnsi="宋体" w:eastAsia="宋体" w:cs="宋体"/>
          <w:spacing w:val="-48"/>
        </w:rPr>
        <w:t xml:space="preserve"> </w:t>
      </w:r>
      <w:r>
        <w:rPr>
          <w:rFonts w:hint="eastAsia" w:ascii="宋体" w:hAnsi="宋体" w:eastAsia="宋体" w:cs="宋体"/>
          <w:spacing w:val="-9"/>
        </w:rPr>
        <w:t>个工作日内退还；成交供应商</w:t>
      </w:r>
      <w:r>
        <w:rPr>
          <w:rFonts w:hint="eastAsia" w:ascii="宋体" w:hAnsi="宋体" w:eastAsia="宋体" w:cs="宋体"/>
          <w:spacing w:val="-3"/>
        </w:rPr>
        <w:t>的磋商保证金自签订合同之日起</w:t>
      </w:r>
      <w:r>
        <w:rPr>
          <w:rFonts w:hint="eastAsia" w:ascii="宋体" w:hAnsi="宋体" w:eastAsia="宋体" w:cs="宋体"/>
          <w:spacing w:val="-39"/>
        </w:rPr>
        <w:t xml:space="preserve"> </w:t>
      </w:r>
      <w:r>
        <w:rPr>
          <w:rFonts w:hint="eastAsia" w:ascii="宋体" w:hAnsi="宋体" w:eastAsia="宋体" w:cs="宋体"/>
          <w:spacing w:val="-3"/>
        </w:rPr>
        <w:t>4</w:t>
      </w:r>
      <w:r>
        <w:rPr>
          <w:rFonts w:hint="eastAsia" w:ascii="宋体" w:hAnsi="宋体" w:eastAsia="宋体" w:cs="宋体"/>
          <w:spacing w:val="-44"/>
        </w:rPr>
        <w:t xml:space="preserve"> </w:t>
      </w:r>
      <w:r>
        <w:rPr>
          <w:rFonts w:hint="eastAsia" w:ascii="宋体" w:hAnsi="宋体" w:eastAsia="宋体" w:cs="宋体"/>
          <w:spacing w:val="-3"/>
        </w:rPr>
        <w:t>个工作日内退还。</w:t>
      </w:r>
    </w:p>
    <w:p w14:paraId="37F39807">
      <w:pPr>
        <w:pStyle w:val="3"/>
        <w:shd w:val="clear"/>
        <w:spacing w:before="1" w:line="220" w:lineRule="auto"/>
        <w:ind w:left="486"/>
        <w:rPr>
          <w:rFonts w:hint="eastAsia" w:ascii="宋体" w:hAnsi="宋体" w:eastAsia="宋体" w:cs="宋体"/>
        </w:rPr>
      </w:pPr>
      <w:r>
        <w:rPr>
          <w:rFonts w:hint="eastAsia" w:ascii="宋体" w:hAnsi="宋体" w:eastAsia="宋体" w:cs="宋体"/>
          <w:spacing w:val="-4"/>
        </w:rPr>
        <w:t>17.3</w:t>
      </w:r>
      <w:r>
        <w:rPr>
          <w:rFonts w:hint="eastAsia" w:ascii="宋体" w:hAnsi="宋体" w:eastAsia="宋体" w:cs="宋体"/>
          <w:spacing w:val="-36"/>
        </w:rPr>
        <w:t xml:space="preserve"> </w:t>
      </w:r>
      <w:r>
        <w:rPr>
          <w:rFonts w:hint="eastAsia" w:ascii="宋体" w:hAnsi="宋体" w:eastAsia="宋体" w:cs="宋体"/>
          <w:spacing w:val="-4"/>
        </w:rPr>
        <w:t>磋商保证金不计息。</w:t>
      </w:r>
    </w:p>
    <w:p w14:paraId="3D1E885B">
      <w:pPr>
        <w:pStyle w:val="3"/>
        <w:shd w:val="clear"/>
        <w:spacing w:before="234" w:line="222" w:lineRule="auto"/>
        <w:ind w:left="486"/>
        <w:rPr>
          <w:rFonts w:hint="eastAsia" w:ascii="宋体" w:hAnsi="宋体" w:eastAsia="宋体" w:cs="宋体"/>
        </w:rPr>
      </w:pPr>
      <w:r>
        <w:rPr>
          <w:rFonts w:hint="eastAsia" w:ascii="宋体" w:hAnsi="宋体" w:eastAsia="宋体" w:cs="宋体"/>
          <w:spacing w:val="-2"/>
        </w:rPr>
        <w:t>17.4</w:t>
      </w:r>
      <w:r>
        <w:rPr>
          <w:rFonts w:hint="eastAsia" w:ascii="宋体" w:hAnsi="宋体" w:eastAsia="宋体" w:cs="宋体"/>
          <w:spacing w:val="-43"/>
        </w:rPr>
        <w:t xml:space="preserve"> </w:t>
      </w:r>
      <w:r>
        <w:rPr>
          <w:rFonts w:hint="eastAsia" w:ascii="宋体" w:hAnsi="宋体" w:eastAsia="宋体" w:cs="宋体"/>
          <w:spacing w:val="-2"/>
        </w:rPr>
        <w:t>供应商有下列情形之一的，</w:t>
      </w:r>
      <w:r>
        <w:rPr>
          <w:rFonts w:hint="eastAsia" w:ascii="宋体" w:hAnsi="宋体" w:eastAsia="宋体" w:cs="宋体"/>
          <w:b/>
          <w:bCs/>
          <w:spacing w:val="-2"/>
        </w:rPr>
        <w:t>磋商保证金</w:t>
      </w:r>
      <w:r>
        <w:rPr>
          <w:rFonts w:hint="eastAsia" w:ascii="宋体" w:hAnsi="宋体" w:eastAsia="宋体" w:cs="宋体"/>
          <w:b/>
          <w:bCs/>
          <w:spacing w:val="-3"/>
        </w:rPr>
        <w:t>将不予退还</w:t>
      </w:r>
      <w:r>
        <w:rPr>
          <w:rFonts w:hint="eastAsia" w:ascii="宋体" w:hAnsi="宋体" w:eastAsia="宋体" w:cs="宋体"/>
          <w:spacing w:val="-3"/>
        </w:rPr>
        <w:t>：</w:t>
      </w:r>
    </w:p>
    <w:p w14:paraId="1B712B27">
      <w:pPr>
        <w:pStyle w:val="3"/>
        <w:shd w:val="clear"/>
        <w:spacing w:before="233" w:line="219" w:lineRule="auto"/>
        <w:ind w:left="481"/>
        <w:rPr>
          <w:rFonts w:hint="eastAsia" w:ascii="宋体" w:hAnsi="宋体" w:eastAsia="宋体" w:cs="宋体"/>
        </w:rPr>
      </w:pPr>
      <w:r>
        <w:rPr>
          <w:rFonts w:hint="eastAsia" w:ascii="宋体" w:hAnsi="宋体" w:eastAsia="宋体" w:cs="宋体"/>
          <w:spacing w:val="-1"/>
        </w:rPr>
        <w:t>（1）供应商在提交响应文件截止时间后撤回响应文件的；</w:t>
      </w:r>
    </w:p>
    <w:p w14:paraId="59D44D1F">
      <w:pPr>
        <w:pStyle w:val="3"/>
        <w:shd w:val="clear"/>
        <w:spacing w:before="232" w:line="221" w:lineRule="auto"/>
        <w:ind w:left="481"/>
        <w:rPr>
          <w:rFonts w:hint="eastAsia" w:ascii="宋体" w:hAnsi="宋体" w:eastAsia="宋体" w:cs="宋体"/>
        </w:rPr>
      </w:pPr>
      <w:r>
        <w:rPr>
          <w:rFonts w:hint="eastAsia" w:ascii="宋体" w:hAnsi="宋体" w:eastAsia="宋体" w:cs="宋体"/>
          <w:spacing w:val="-2"/>
        </w:rPr>
        <w:t>（2）未按规定提交履约保证金的；</w:t>
      </w:r>
    </w:p>
    <w:p w14:paraId="01066D01">
      <w:pPr>
        <w:pStyle w:val="3"/>
        <w:shd w:val="clear"/>
        <w:spacing w:before="235" w:line="219" w:lineRule="auto"/>
        <w:ind w:left="481"/>
        <w:rPr>
          <w:rFonts w:hint="eastAsia" w:ascii="宋体" w:hAnsi="宋体" w:eastAsia="宋体" w:cs="宋体"/>
        </w:rPr>
      </w:pPr>
      <w:r>
        <w:rPr>
          <w:rFonts w:hint="eastAsia" w:ascii="宋体" w:hAnsi="宋体" w:eastAsia="宋体" w:cs="宋体"/>
          <w:spacing w:val="-2"/>
        </w:rPr>
        <w:t>（3）供应商在响应文件中提供虚假材料的；</w:t>
      </w:r>
    </w:p>
    <w:p w14:paraId="7091F554">
      <w:pPr>
        <w:pStyle w:val="3"/>
        <w:shd w:val="clear"/>
        <w:spacing w:before="235" w:line="219" w:lineRule="auto"/>
        <w:ind w:left="481"/>
        <w:rPr>
          <w:rFonts w:hint="eastAsia" w:ascii="宋体" w:hAnsi="宋体" w:eastAsia="宋体" w:cs="宋体"/>
        </w:rPr>
      </w:pPr>
      <w:r>
        <w:rPr>
          <w:rFonts w:hint="eastAsia" w:ascii="宋体" w:hAnsi="宋体" w:eastAsia="宋体" w:cs="宋体"/>
          <w:spacing w:val="1"/>
        </w:rPr>
        <w:t>（4）除因不可抗力或者磋商文件认可的情形以外，成交供应商不与采购人签订合</w:t>
      </w:r>
      <w:r>
        <w:rPr>
          <w:rFonts w:hint="eastAsia" w:ascii="宋体" w:hAnsi="宋体" w:eastAsia="宋体" w:cs="宋体"/>
          <w:spacing w:val="-15"/>
        </w:rPr>
        <w:t>同的；</w:t>
      </w:r>
    </w:p>
    <w:p w14:paraId="616B76BB">
      <w:pPr>
        <w:pStyle w:val="3"/>
        <w:shd w:val="clear"/>
        <w:spacing w:before="235" w:line="219" w:lineRule="auto"/>
        <w:ind w:left="481"/>
        <w:rPr>
          <w:rFonts w:hint="eastAsia" w:ascii="宋体" w:hAnsi="宋体" w:eastAsia="宋体" w:cs="宋体"/>
        </w:rPr>
      </w:pPr>
      <w:r>
        <w:rPr>
          <w:rFonts w:hint="eastAsia" w:ascii="宋体" w:hAnsi="宋体" w:eastAsia="宋体" w:cs="宋体"/>
          <w:spacing w:val="-1"/>
        </w:rPr>
        <w:t>（5）供应商与采购人、其他供应商或者采购代理机构恶意串通的；</w:t>
      </w:r>
    </w:p>
    <w:p w14:paraId="4D364A33">
      <w:pPr>
        <w:pStyle w:val="3"/>
        <w:shd w:val="clear"/>
        <w:spacing w:before="232" w:line="222" w:lineRule="auto"/>
        <w:ind w:left="492"/>
        <w:rPr>
          <w:rFonts w:hint="eastAsia" w:ascii="宋体" w:hAnsi="宋体" w:eastAsia="宋体" w:cs="宋体"/>
        </w:rPr>
      </w:pPr>
      <w:r>
        <w:rPr>
          <w:rFonts w:hint="eastAsia" w:ascii="宋体" w:hAnsi="宋体" w:eastAsia="宋体" w:cs="宋体"/>
          <w:spacing w:val="-2"/>
        </w:rPr>
        <w:t>（6）法律法规规定的其他情形。</w:t>
      </w:r>
    </w:p>
    <w:p w14:paraId="7703BC7B">
      <w:pPr>
        <w:shd w:val="clear"/>
        <w:spacing w:before="232" w:line="221" w:lineRule="auto"/>
        <w:ind w:left="493"/>
        <w:rPr>
          <w:rFonts w:hint="eastAsia" w:ascii="宋体" w:hAnsi="宋体" w:eastAsia="宋体" w:cs="宋体"/>
          <w:sz w:val="24"/>
          <w:szCs w:val="24"/>
        </w:rPr>
      </w:pPr>
      <w:r>
        <w:rPr>
          <w:rFonts w:hint="eastAsia" w:ascii="宋体" w:hAnsi="宋体" w:eastAsia="宋体" w:cs="宋体"/>
          <w:b/>
          <w:bCs/>
          <w:spacing w:val="-4"/>
          <w:sz w:val="24"/>
          <w:szCs w:val="24"/>
        </w:rPr>
        <w:t>18.响应文件编制的要求</w:t>
      </w:r>
    </w:p>
    <w:p w14:paraId="56E0491B">
      <w:pPr>
        <w:pStyle w:val="3"/>
        <w:shd w:val="clear"/>
        <w:spacing w:before="232" w:line="400" w:lineRule="auto"/>
        <w:ind w:left="7" w:right="83" w:firstLine="490"/>
        <w:rPr>
          <w:rFonts w:hint="eastAsia" w:ascii="宋体" w:hAnsi="宋体" w:eastAsia="宋体" w:cs="宋体"/>
        </w:rPr>
      </w:pPr>
      <w:r>
        <w:rPr>
          <w:rFonts w:hint="eastAsia" w:ascii="宋体" w:hAnsi="宋体" w:eastAsia="宋体" w:cs="宋体"/>
          <w:spacing w:val="-5"/>
        </w:rPr>
        <w:t>18.1</w:t>
      </w:r>
      <w:r>
        <w:rPr>
          <w:rFonts w:hint="eastAsia" w:ascii="宋体" w:hAnsi="宋体" w:eastAsia="宋体" w:cs="宋体"/>
          <w:spacing w:val="-38"/>
        </w:rPr>
        <w:t xml:space="preserve"> </w:t>
      </w:r>
      <w:r>
        <w:rPr>
          <w:rFonts w:hint="eastAsia" w:ascii="宋体" w:hAnsi="宋体" w:eastAsia="宋体" w:cs="宋体"/>
          <w:spacing w:val="-5"/>
        </w:rPr>
        <w:t>供应商应先安装“广西政府采购云平台电子交易客户端</w:t>
      </w:r>
      <w:r>
        <w:rPr>
          <w:rFonts w:hint="eastAsia" w:ascii="宋体" w:hAnsi="宋体" w:eastAsia="宋体" w:cs="宋体"/>
          <w:spacing w:val="-88"/>
        </w:rPr>
        <w:t xml:space="preserve"> </w:t>
      </w:r>
      <w:r>
        <w:rPr>
          <w:rFonts w:hint="eastAsia" w:ascii="宋体" w:hAnsi="宋体" w:eastAsia="宋体" w:cs="宋体"/>
          <w:spacing w:val="-5"/>
        </w:rPr>
        <w:t>”（请自行前往“广西</w:t>
      </w:r>
      <w:r>
        <w:rPr>
          <w:rFonts w:hint="eastAsia" w:ascii="宋体" w:hAnsi="宋体" w:eastAsia="宋体" w:cs="宋体"/>
          <w:spacing w:val="-2"/>
        </w:rPr>
        <w:t>政府采购云平台</w:t>
      </w:r>
      <w:r>
        <w:rPr>
          <w:rFonts w:hint="eastAsia" w:ascii="宋体" w:hAnsi="宋体" w:eastAsia="宋体" w:cs="宋体"/>
          <w:spacing w:val="-87"/>
        </w:rPr>
        <w:t xml:space="preserve"> </w:t>
      </w:r>
      <w:r>
        <w:rPr>
          <w:rFonts w:hint="eastAsia" w:ascii="宋体" w:hAnsi="宋体" w:eastAsia="宋体" w:cs="宋体"/>
          <w:spacing w:val="-2"/>
        </w:rPr>
        <w:t>”进行下载</w:t>
      </w:r>
      <w:r>
        <w:rPr>
          <w:rFonts w:hint="eastAsia" w:ascii="宋体" w:hAnsi="宋体" w:eastAsia="宋体" w:cs="宋体"/>
          <w:spacing w:val="-8"/>
        </w:rPr>
        <w:t>），</w:t>
      </w:r>
      <w:r>
        <w:rPr>
          <w:rFonts w:hint="eastAsia" w:ascii="宋体" w:hAnsi="宋体" w:eastAsia="宋体" w:cs="宋体"/>
          <w:spacing w:val="-2"/>
        </w:rPr>
        <w:t>并按照本项目磋商文件规定的格</w:t>
      </w:r>
      <w:r>
        <w:rPr>
          <w:rFonts w:hint="eastAsia" w:ascii="宋体" w:hAnsi="宋体" w:eastAsia="宋体" w:cs="宋体"/>
          <w:spacing w:val="-3"/>
        </w:rPr>
        <w:t>式和顺序和广西政府采</w:t>
      </w:r>
      <w:r>
        <w:rPr>
          <w:rFonts w:hint="eastAsia" w:ascii="宋体" w:hAnsi="宋体" w:eastAsia="宋体" w:cs="宋体"/>
          <w:spacing w:val="-2"/>
        </w:rPr>
        <w:t>购云平台的要求编制并加密。响应文件内容不完整、编排混乱导致响应文件被误读、漏读或者查找不到相关内容的，</w:t>
      </w:r>
      <w:r>
        <w:rPr>
          <w:rFonts w:hint="eastAsia" w:ascii="宋体" w:hAnsi="宋体" w:eastAsia="宋体" w:cs="宋体"/>
          <w:b/>
          <w:bCs/>
          <w:spacing w:val="-2"/>
        </w:rPr>
        <w:t>由此引发的后果由供应商承担</w:t>
      </w:r>
      <w:r>
        <w:rPr>
          <w:rFonts w:hint="eastAsia" w:ascii="宋体" w:hAnsi="宋体" w:eastAsia="宋体" w:cs="宋体"/>
          <w:spacing w:val="-2"/>
        </w:rPr>
        <w:t>。</w:t>
      </w:r>
    </w:p>
    <w:p w14:paraId="697EBDF5">
      <w:pPr>
        <w:pStyle w:val="3"/>
        <w:shd w:val="clear"/>
        <w:spacing w:line="400" w:lineRule="auto"/>
        <w:ind w:left="6" w:right="83" w:firstLine="491"/>
        <w:rPr>
          <w:rFonts w:hint="eastAsia" w:ascii="宋体" w:hAnsi="宋体" w:eastAsia="宋体" w:cs="宋体"/>
        </w:rPr>
      </w:pPr>
      <w:r>
        <w:rPr>
          <w:rFonts w:hint="eastAsia" w:ascii="宋体" w:hAnsi="宋体" w:eastAsia="宋体" w:cs="宋体"/>
          <w:spacing w:val="-4"/>
        </w:rPr>
        <w:t>18.2</w:t>
      </w:r>
      <w:r>
        <w:rPr>
          <w:rFonts w:hint="eastAsia" w:ascii="宋体" w:hAnsi="宋体" w:eastAsia="宋体" w:cs="宋体"/>
          <w:spacing w:val="-36"/>
        </w:rPr>
        <w:t xml:space="preserve"> </w:t>
      </w:r>
      <w:r>
        <w:rPr>
          <w:rFonts w:hint="eastAsia" w:ascii="宋体" w:hAnsi="宋体" w:eastAsia="宋体" w:cs="宋体"/>
          <w:spacing w:val="-4"/>
        </w:rPr>
        <w:t>为确保网上操作合法、有效和安全，供应商应当在提交响应</w:t>
      </w:r>
      <w:r>
        <w:rPr>
          <w:rFonts w:hint="eastAsia" w:ascii="宋体" w:hAnsi="宋体" w:eastAsia="宋体" w:cs="宋体"/>
          <w:spacing w:val="-5"/>
        </w:rPr>
        <w:t>文件截止时间前完</w:t>
      </w:r>
      <w:r>
        <w:rPr>
          <w:rFonts w:hint="eastAsia" w:ascii="宋体" w:hAnsi="宋体" w:eastAsia="宋体" w:cs="宋体"/>
          <w:spacing w:val="-2"/>
        </w:rPr>
        <w:t>成在广西政府采购云平台的身份认证，确保在电子竞标过程中能够对相关数据电文进行加密和使用电子签章。</w:t>
      </w:r>
    </w:p>
    <w:p w14:paraId="30FCF978">
      <w:pPr>
        <w:pStyle w:val="3"/>
        <w:shd w:val="clear"/>
        <w:spacing w:before="2" w:line="400" w:lineRule="auto"/>
        <w:ind w:left="7" w:right="83" w:firstLine="490"/>
        <w:rPr>
          <w:rFonts w:hint="eastAsia" w:ascii="宋体" w:hAnsi="宋体" w:eastAsia="宋体" w:cs="宋体"/>
        </w:rPr>
      </w:pPr>
      <w:r>
        <w:rPr>
          <w:rFonts w:hint="eastAsia" w:ascii="宋体" w:hAnsi="宋体" w:eastAsia="宋体" w:cs="宋体"/>
          <w:spacing w:val="-4"/>
        </w:rPr>
        <w:t>18.3</w:t>
      </w:r>
      <w:r>
        <w:rPr>
          <w:rFonts w:hint="eastAsia" w:ascii="宋体" w:hAnsi="宋体" w:eastAsia="宋体" w:cs="宋体"/>
          <w:spacing w:val="-37"/>
        </w:rPr>
        <w:t xml:space="preserve"> </w:t>
      </w:r>
      <w:r>
        <w:rPr>
          <w:rFonts w:hint="eastAsia" w:ascii="宋体" w:hAnsi="宋体" w:eastAsia="宋体" w:cs="宋体"/>
          <w:spacing w:val="-4"/>
        </w:rPr>
        <w:t>响应文件须由供应商在规定位置签字、盖章（具体以供应商须</w:t>
      </w:r>
      <w:r>
        <w:rPr>
          <w:rFonts w:hint="eastAsia" w:ascii="宋体" w:hAnsi="宋体" w:eastAsia="宋体" w:cs="宋体"/>
          <w:spacing w:val="-5"/>
        </w:rPr>
        <w:t>知前附表或响应</w:t>
      </w:r>
      <w:r>
        <w:rPr>
          <w:rFonts w:hint="eastAsia" w:ascii="宋体" w:hAnsi="宋体" w:eastAsia="宋体" w:cs="宋体"/>
          <w:spacing w:val="-3"/>
        </w:rPr>
        <w:t>文件格式规定为准</w:t>
      </w:r>
      <w:r>
        <w:rPr>
          <w:rFonts w:hint="eastAsia" w:ascii="宋体" w:hAnsi="宋体" w:eastAsia="宋体" w:cs="宋体"/>
          <w:spacing w:val="10"/>
        </w:rPr>
        <w:t>），</w:t>
      </w:r>
      <w:r>
        <w:rPr>
          <w:rFonts w:hint="eastAsia" w:ascii="宋体" w:hAnsi="宋体" w:eastAsia="宋体" w:cs="宋体"/>
          <w:b/>
          <w:bCs/>
          <w:spacing w:val="-3"/>
        </w:rPr>
        <w:t>否则按无效响应处理</w:t>
      </w:r>
      <w:r>
        <w:rPr>
          <w:rFonts w:hint="eastAsia" w:ascii="宋体" w:hAnsi="宋体" w:eastAsia="宋体" w:cs="宋体"/>
          <w:spacing w:val="-3"/>
        </w:rPr>
        <w:t>。</w:t>
      </w:r>
    </w:p>
    <w:p w14:paraId="4F4AA475">
      <w:pPr>
        <w:pStyle w:val="3"/>
        <w:shd w:val="clear"/>
        <w:spacing w:before="3" w:line="399" w:lineRule="auto"/>
        <w:ind w:left="11" w:right="83" w:firstLine="486"/>
        <w:rPr>
          <w:rFonts w:hint="eastAsia" w:ascii="宋体" w:hAnsi="宋体" w:eastAsia="宋体" w:cs="宋体"/>
        </w:rPr>
      </w:pPr>
      <w:r>
        <w:rPr>
          <w:rFonts w:hint="eastAsia" w:ascii="宋体" w:hAnsi="宋体" w:eastAsia="宋体" w:cs="宋体"/>
          <w:spacing w:val="-4"/>
        </w:rPr>
        <w:t>18.4</w:t>
      </w:r>
      <w:r>
        <w:rPr>
          <w:rFonts w:hint="eastAsia" w:ascii="宋体" w:hAnsi="宋体" w:eastAsia="宋体" w:cs="宋体"/>
          <w:spacing w:val="-37"/>
        </w:rPr>
        <w:t xml:space="preserve"> </w:t>
      </w:r>
      <w:r>
        <w:rPr>
          <w:rFonts w:hint="eastAsia" w:ascii="宋体" w:hAnsi="宋体" w:eastAsia="宋体" w:cs="宋体"/>
          <w:spacing w:val="-4"/>
        </w:rPr>
        <w:t>响应文件中标注的供应商名称应与主体资格证明（如营业执照</w:t>
      </w:r>
      <w:r>
        <w:rPr>
          <w:rFonts w:hint="eastAsia" w:ascii="宋体" w:hAnsi="宋体" w:eastAsia="宋体" w:cs="宋体"/>
          <w:spacing w:val="-5"/>
        </w:rPr>
        <w:t>或者事业单位法</w:t>
      </w:r>
      <w:r>
        <w:rPr>
          <w:rFonts w:hint="eastAsia" w:ascii="宋体" w:hAnsi="宋体" w:eastAsia="宋体" w:cs="宋体"/>
          <w:spacing w:val="-2"/>
        </w:rPr>
        <w:t>人证书或者执业许可证或者登记证书等）及公章一致，供应商为自然人的，标注的供应商名称应与身份证姓名及签名一致，</w:t>
      </w:r>
      <w:r>
        <w:rPr>
          <w:rFonts w:hint="eastAsia" w:ascii="宋体" w:hAnsi="宋体" w:eastAsia="宋体" w:cs="宋体"/>
          <w:b/>
          <w:bCs/>
          <w:spacing w:val="-2"/>
        </w:rPr>
        <w:t>否则其响应文件按无效响应处理</w:t>
      </w:r>
      <w:r>
        <w:rPr>
          <w:rFonts w:hint="eastAsia" w:ascii="宋体" w:hAnsi="宋体" w:eastAsia="宋体" w:cs="宋体"/>
          <w:spacing w:val="-2"/>
        </w:rPr>
        <w:t>。</w:t>
      </w:r>
    </w:p>
    <w:p w14:paraId="07C87C22">
      <w:pPr>
        <w:pStyle w:val="3"/>
        <w:shd w:val="clear"/>
        <w:spacing w:before="4" w:line="399" w:lineRule="auto"/>
        <w:ind w:right="83" w:firstLine="497"/>
        <w:rPr>
          <w:rFonts w:hint="eastAsia" w:ascii="宋体" w:hAnsi="宋体" w:eastAsia="宋体" w:cs="宋体"/>
        </w:rPr>
      </w:pPr>
      <w:r>
        <w:rPr>
          <w:rFonts w:hint="eastAsia" w:ascii="宋体" w:hAnsi="宋体" w:eastAsia="宋体" w:cs="宋体"/>
          <w:spacing w:val="-4"/>
        </w:rPr>
        <w:t>18.5</w:t>
      </w:r>
      <w:r>
        <w:rPr>
          <w:rFonts w:hint="eastAsia" w:ascii="宋体" w:hAnsi="宋体" w:eastAsia="宋体" w:cs="宋体"/>
          <w:spacing w:val="-37"/>
        </w:rPr>
        <w:t xml:space="preserve"> </w:t>
      </w:r>
      <w:r>
        <w:rPr>
          <w:rFonts w:hint="eastAsia" w:ascii="宋体" w:hAnsi="宋体" w:eastAsia="宋体" w:cs="宋体"/>
          <w:spacing w:val="-4"/>
        </w:rPr>
        <w:t>响应文件应尽量避免涂改、行间插字或者删除。如果出现上述</w:t>
      </w:r>
      <w:r>
        <w:rPr>
          <w:rFonts w:hint="eastAsia" w:ascii="宋体" w:hAnsi="宋体" w:eastAsia="宋体" w:cs="宋体"/>
          <w:spacing w:val="-5"/>
        </w:rPr>
        <w:t>情况，改动之处</w:t>
      </w:r>
      <w:r>
        <w:rPr>
          <w:rFonts w:hint="eastAsia" w:ascii="宋体" w:hAnsi="宋体" w:eastAsia="宋体" w:cs="宋体"/>
          <w:spacing w:val="-2"/>
        </w:rPr>
        <w:t>应由供应商的法定代表人或者其委托代理人签字（或者电子签名）或者加盖公章或者加盖电子签章。响应文件因涂改、行间插字或者删除导致字迹潦草或者表达不清所引起的</w:t>
      </w:r>
      <w:r>
        <w:rPr>
          <w:rFonts w:hint="eastAsia" w:ascii="宋体" w:hAnsi="宋体" w:eastAsia="宋体" w:cs="宋体"/>
          <w:b/>
          <w:bCs/>
          <w:spacing w:val="-3"/>
        </w:rPr>
        <w:t>后果由供应商承担</w:t>
      </w:r>
      <w:r>
        <w:rPr>
          <w:rFonts w:hint="eastAsia" w:ascii="宋体" w:hAnsi="宋体" w:eastAsia="宋体" w:cs="宋体"/>
          <w:spacing w:val="-3"/>
        </w:rPr>
        <w:t>。</w:t>
      </w:r>
    </w:p>
    <w:p w14:paraId="3D749ED5">
      <w:pPr>
        <w:shd w:val="clear"/>
        <w:spacing w:before="1" w:line="221" w:lineRule="auto"/>
        <w:ind w:left="493"/>
        <w:rPr>
          <w:rFonts w:hint="eastAsia" w:ascii="宋体" w:hAnsi="宋体" w:eastAsia="宋体" w:cs="宋体"/>
          <w:sz w:val="24"/>
          <w:szCs w:val="24"/>
        </w:rPr>
      </w:pPr>
      <w:r>
        <w:rPr>
          <w:rFonts w:hint="eastAsia" w:ascii="宋体" w:hAnsi="宋体" w:eastAsia="宋体" w:cs="宋体"/>
          <w:b/>
          <w:bCs/>
          <w:spacing w:val="-4"/>
          <w:sz w:val="24"/>
          <w:szCs w:val="24"/>
        </w:rPr>
        <w:t>19.电子备份响应文件</w:t>
      </w:r>
    </w:p>
    <w:p w14:paraId="45A37C48">
      <w:pPr>
        <w:pStyle w:val="3"/>
        <w:shd w:val="clear"/>
        <w:spacing w:before="232" w:line="400" w:lineRule="auto"/>
        <w:ind w:left="10" w:firstLine="503"/>
        <w:rPr>
          <w:rFonts w:hint="eastAsia" w:ascii="宋体" w:hAnsi="宋体" w:eastAsia="宋体" w:cs="宋体"/>
        </w:rPr>
      </w:pPr>
      <w:r>
        <w:rPr>
          <w:rFonts w:hint="eastAsia" w:ascii="宋体" w:hAnsi="宋体" w:eastAsia="宋体" w:cs="宋体"/>
          <w:spacing w:val="-3"/>
        </w:rPr>
        <w:t>电子备份响应文件是指通过“广西政府采购云</w:t>
      </w:r>
      <w:r>
        <w:rPr>
          <w:rFonts w:hint="eastAsia" w:ascii="宋体" w:hAnsi="宋体" w:eastAsia="宋体" w:cs="宋体"/>
          <w:spacing w:val="-4"/>
        </w:rPr>
        <w:t>平台电子交易客户端</w:t>
      </w:r>
      <w:r>
        <w:rPr>
          <w:rFonts w:hint="eastAsia" w:ascii="宋体" w:hAnsi="宋体" w:eastAsia="宋体" w:cs="宋体"/>
          <w:spacing w:val="-88"/>
        </w:rPr>
        <w:t xml:space="preserve"> </w:t>
      </w:r>
      <w:r>
        <w:rPr>
          <w:rFonts w:hint="eastAsia" w:ascii="宋体" w:hAnsi="宋体" w:eastAsia="宋体" w:cs="宋体"/>
          <w:spacing w:val="-4"/>
        </w:rPr>
        <w:t>”在线编制生成</w:t>
      </w:r>
      <w:r>
        <w:rPr>
          <w:rFonts w:hint="eastAsia" w:ascii="宋体" w:hAnsi="宋体" w:eastAsia="宋体" w:cs="宋体"/>
          <w:spacing w:val="-7"/>
        </w:rPr>
        <w:t>且后缀名为“bfbs</w:t>
      </w:r>
      <w:r>
        <w:rPr>
          <w:rFonts w:hint="eastAsia" w:ascii="宋体" w:hAnsi="宋体" w:eastAsia="宋体" w:cs="宋体"/>
          <w:spacing w:val="-88"/>
        </w:rPr>
        <w:t xml:space="preserve"> </w:t>
      </w:r>
      <w:r>
        <w:rPr>
          <w:rFonts w:hint="eastAsia" w:ascii="宋体" w:hAnsi="宋体" w:eastAsia="宋体" w:cs="宋体"/>
          <w:spacing w:val="-7"/>
        </w:rPr>
        <w:t>”的文件，是否接受电子备份响应文件详见在“供应商须知前附表</w:t>
      </w:r>
      <w:r>
        <w:rPr>
          <w:rFonts w:hint="eastAsia" w:ascii="宋体" w:hAnsi="宋体" w:eastAsia="宋体" w:cs="宋体"/>
          <w:spacing w:val="-88"/>
        </w:rPr>
        <w:t xml:space="preserve"> </w:t>
      </w:r>
      <w:r>
        <w:rPr>
          <w:rFonts w:hint="eastAsia" w:ascii="宋体" w:hAnsi="宋体" w:eastAsia="宋体" w:cs="宋体"/>
          <w:spacing w:val="-8"/>
        </w:rPr>
        <w:t>”。</w:t>
      </w:r>
    </w:p>
    <w:p w14:paraId="66CE5534">
      <w:pPr>
        <w:shd w:val="clear"/>
        <w:spacing w:before="1" w:line="221" w:lineRule="auto"/>
        <w:ind w:left="479"/>
        <w:rPr>
          <w:rFonts w:hint="eastAsia" w:ascii="宋体" w:hAnsi="宋体" w:eastAsia="宋体" w:cs="宋体"/>
          <w:sz w:val="24"/>
          <w:szCs w:val="24"/>
        </w:rPr>
      </w:pPr>
      <w:r>
        <w:rPr>
          <w:rFonts w:hint="eastAsia" w:ascii="宋体" w:hAnsi="宋体" w:eastAsia="宋体" w:cs="宋体"/>
          <w:b/>
          <w:bCs/>
          <w:spacing w:val="-3"/>
          <w:sz w:val="24"/>
          <w:szCs w:val="24"/>
        </w:rPr>
        <w:t>20.响应文件的提交</w:t>
      </w:r>
    </w:p>
    <w:p w14:paraId="0B33F71B">
      <w:pPr>
        <w:pStyle w:val="3"/>
        <w:shd w:val="clear"/>
        <w:spacing w:before="4" w:line="399" w:lineRule="auto"/>
        <w:ind w:right="83" w:firstLine="497"/>
        <w:rPr>
          <w:rFonts w:hint="eastAsia" w:ascii="宋体" w:hAnsi="宋体" w:eastAsia="宋体" w:cs="宋体"/>
        </w:rPr>
      </w:pPr>
      <w:r>
        <w:rPr>
          <w:rFonts w:hint="eastAsia" w:ascii="宋体" w:hAnsi="宋体" w:eastAsia="宋体" w:cs="宋体"/>
          <w:spacing w:val="-4"/>
        </w:rPr>
        <w:t>20.1</w:t>
      </w:r>
      <w:r>
        <w:rPr>
          <w:rFonts w:hint="eastAsia" w:ascii="宋体" w:hAnsi="宋体" w:eastAsia="宋体" w:cs="宋体"/>
          <w:spacing w:val="-43"/>
        </w:rPr>
        <w:t xml:space="preserve"> </w:t>
      </w:r>
      <w:r>
        <w:rPr>
          <w:rFonts w:hint="eastAsia" w:ascii="宋体" w:hAnsi="宋体" w:eastAsia="宋体" w:cs="宋体"/>
          <w:spacing w:val="-4"/>
        </w:rPr>
        <w:t>供应商必须按“供应商须知前附表</w:t>
      </w:r>
      <w:r>
        <w:rPr>
          <w:rFonts w:hint="eastAsia" w:ascii="宋体" w:hAnsi="宋体" w:eastAsia="宋体" w:cs="宋体"/>
          <w:spacing w:val="-88"/>
        </w:rPr>
        <w:t xml:space="preserve"> </w:t>
      </w:r>
      <w:r>
        <w:rPr>
          <w:rFonts w:hint="eastAsia" w:ascii="宋体" w:hAnsi="宋体" w:eastAsia="宋体" w:cs="宋体"/>
          <w:spacing w:val="-4"/>
        </w:rPr>
        <w:t>”</w:t>
      </w:r>
      <w:r>
        <w:rPr>
          <w:rFonts w:hint="eastAsia" w:ascii="宋体" w:hAnsi="宋体" w:eastAsia="宋体" w:cs="宋体"/>
          <w:spacing w:val="-5"/>
        </w:rPr>
        <w:t>规定的时间及地点提交响应文件。电子响</w:t>
      </w:r>
      <w:r>
        <w:rPr>
          <w:rFonts w:hint="eastAsia" w:ascii="宋体" w:hAnsi="宋体" w:eastAsia="宋体" w:cs="宋体"/>
          <w:spacing w:val="-4"/>
        </w:rPr>
        <w:t>应文件应在制作完成后，在提交响应文件截止时间前通过有效数字证书（CA</w:t>
      </w:r>
      <w:r>
        <w:rPr>
          <w:rFonts w:hint="eastAsia" w:ascii="宋体" w:hAnsi="宋体" w:eastAsia="宋体" w:cs="宋体"/>
          <w:spacing w:val="-29"/>
        </w:rPr>
        <w:t xml:space="preserve"> </w:t>
      </w:r>
      <w:r>
        <w:rPr>
          <w:rFonts w:hint="eastAsia" w:ascii="宋体" w:hAnsi="宋体" w:eastAsia="宋体" w:cs="宋体"/>
          <w:spacing w:val="-4"/>
        </w:rPr>
        <w:t>认证锁）进</w:t>
      </w:r>
      <w:r>
        <w:rPr>
          <w:rFonts w:hint="eastAsia" w:ascii="宋体" w:hAnsi="宋体" w:eastAsia="宋体" w:cs="宋体"/>
          <w:spacing w:val="-1"/>
        </w:rPr>
        <w:t>行电子签章、加密，然后通过网络将加密的电</w:t>
      </w:r>
      <w:r>
        <w:rPr>
          <w:rFonts w:hint="eastAsia" w:ascii="宋体" w:hAnsi="宋体" w:eastAsia="宋体" w:cs="宋体"/>
          <w:spacing w:val="-2"/>
        </w:rPr>
        <w:t>子响应文件提交至广西政府采购云平台。</w:t>
      </w:r>
    </w:p>
    <w:p w14:paraId="61F62292">
      <w:pPr>
        <w:shd w:val="clear"/>
        <w:spacing w:before="1" w:line="399" w:lineRule="auto"/>
        <w:ind w:right="27" w:firstLine="479"/>
        <w:rPr>
          <w:rFonts w:hint="eastAsia" w:ascii="宋体" w:hAnsi="宋体" w:eastAsia="宋体" w:cs="宋体"/>
          <w:sz w:val="24"/>
          <w:szCs w:val="24"/>
        </w:rPr>
      </w:pPr>
      <w:r>
        <w:rPr>
          <w:rFonts w:hint="eastAsia" w:ascii="宋体" w:hAnsi="宋体" w:eastAsia="宋体" w:cs="宋体"/>
          <w:b/>
          <w:bCs/>
          <w:spacing w:val="1"/>
          <w:sz w:val="24"/>
          <w:szCs w:val="24"/>
        </w:rPr>
        <w:t>20.2</w:t>
      </w:r>
      <w:r>
        <w:rPr>
          <w:rFonts w:hint="eastAsia" w:ascii="宋体" w:hAnsi="宋体" w:eastAsia="宋体" w:cs="宋体"/>
          <w:spacing w:val="-49"/>
          <w:sz w:val="24"/>
          <w:szCs w:val="24"/>
        </w:rPr>
        <w:t xml:space="preserve"> </w:t>
      </w:r>
      <w:r>
        <w:rPr>
          <w:rFonts w:hint="eastAsia" w:ascii="宋体" w:hAnsi="宋体" w:eastAsia="宋体" w:cs="宋体"/>
          <w:b/>
          <w:bCs/>
          <w:spacing w:val="1"/>
          <w:sz w:val="24"/>
          <w:szCs w:val="24"/>
        </w:rPr>
        <w:t>未在规定时间内提交或者未按照磋</w:t>
      </w:r>
      <w:r>
        <w:rPr>
          <w:rFonts w:hint="eastAsia" w:ascii="宋体" w:hAnsi="宋体" w:eastAsia="宋体" w:cs="宋体"/>
          <w:b/>
          <w:bCs/>
          <w:sz w:val="24"/>
          <w:szCs w:val="24"/>
        </w:rPr>
        <w:t>商文件要求加密的电子响应文件，广西政</w:t>
      </w:r>
      <w:r>
        <w:rPr>
          <w:rFonts w:hint="eastAsia" w:ascii="宋体" w:hAnsi="宋体" w:eastAsia="宋体" w:cs="宋体"/>
          <w:b/>
          <w:bCs/>
          <w:spacing w:val="-3"/>
          <w:sz w:val="24"/>
          <w:szCs w:val="24"/>
        </w:rPr>
        <w:t>府采购云平台将拒收。</w:t>
      </w:r>
    </w:p>
    <w:p w14:paraId="01A5FC37">
      <w:pPr>
        <w:shd w:val="clear"/>
        <w:spacing w:line="221" w:lineRule="auto"/>
        <w:ind w:left="479"/>
        <w:rPr>
          <w:rFonts w:hint="eastAsia" w:ascii="宋体" w:hAnsi="宋体" w:eastAsia="宋体" w:cs="宋体"/>
          <w:sz w:val="24"/>
          <w:szCs w:val="24"/>
        </w:rPr>
      </w:pPr>
      <w:r>
        <w:rPr>
          <w:rFonts w:hint="eastAsia" w:ascii="宋体" w:hAnsi="宋体" w:eastAsia="宋体" w:cs="宋体"/>
          <w:b/>
          <w:bCs/>
          <w:spacing w:val="-3"/>
          <w:sz w:val="24"/>
          <w:szCs w:val="24"/>
        </w:rPr>
        <w:t>21.首次响应文件的补充、修改与撤回</w:t>
      </w:r>
    </w:p>
    <w:p w14:paraId="779DE2C5">
      <w:pPr>
        <w:pStyle w:val="3"/>
        <w:shd w:val="clear"/>
        <w:spacing w:before="231" w:line="400" w:lineRule="auto"/>
        <w:ind w:left="7" w:firstLine="475"/>
        <w:rPr>
          <w:rFonts w:hint="eastAsia" w:ascii="宋体" w:hAnsi="宋体" w:eastAsia="宋体" w:cs="宋体"/>
        </w:rPr>
      </w:pPr>
      <w:r>
        <w:rPr>
          <w:rFonts w:hint="eastAsia" w:ascii="宋体" w:hAnsi="宋体" w:eastAsia="宋体" w:cs="宋体"/>
          <w:spacing w:val="-2"/>
        </w:rPr>
        <w:t>21.1</w:t>
      </w:r>
      <w:r>
        <w:rPr>
          <w:rFonts w:hint="eastAsia" w:ascii="宋体" w:hAnsi="宋体" w:eastAsia="宋体" w:cs="宋体"/>
          <w:spacing w:val="-42"/>
        </w:rPr>
        <w:t xml:space="preserve"> </w:t>
      </w:r>
      <w:r>
        <w:rPr>
          <w:rFonts w:hint="eastAsia" w:ascii="宋体" w:hAnsi="宋体" w:eastAsia="宋体" w:cs="宋体"/>
          <w:spacing w:val="-2"/>
        </w:rPr>
        <w:t>供应商应当在提交响应文件截止时间前完成电子</w:t>
      </w:r>
      <w:r>
        <w:rPr>
          <w:rFonts w:hint="eastAsia" w:ascii="宋体" w:hAnsi="宋体" w:eastAsia="宋体" w:cs="宋体"/>
          <w:spacing w:val="-3"/>
        </w:rPr>
        <w:t>响应文件的提交（上传</w:t>
      </w:r>
      <w:r>
        <w:rPr>
          <w:rFonts w:hint="eastAsia" w:ascii="宋体" w:hAnsi="宋体" w:eastAsia="宋体" w:cs="宋体"/>
          <w:spacing w:val="-28"/>
        </w:rPr>
        <w:t>），</w:t>
      </w:r>
      <w:r>
        <w:rPr>
          <w:rFonts w:hint="eastAsia" w:ascii="宋体" w:hAnsi="宋体" w:eastAsia="宋体" w:cs="宋体"/>
          <w:spacing w:val="-3"/>
        </w:rPr>
        <w:t>提</w:t>
      </w:r>
      <w:r>
        <w:rPr>
          <w:rFonts w:hint="eastAsia" w:ascii="宋体" w:hAnsi="宋体" w:eastAsia="宋体" w:cs="宋体"/>
          <w:spacing w:val="-1"/>
        </w:rPr>
        <w:t>交响应文件截止时间前可以补充、修改或者撤回响应文件。补充或者修改响应文件的，</w:t>
      </w:r>
      <w:r>
        <w:rPr>
          <w:rFonts w:hint="eastAsia" w:ascii="宋体" w:hAnsi="宋体" w:eastAsia="宋体" w:cs="宋体"/>
          <w:spacing w:val="-2"/>
        </w:rPr>
        <w:t>应当先行撤回原响应文件，补充、修改后重新提交（上传</w:t>
      </w:r>
      <w:r>
        <w:rPr>
          <w:rFonts w:hint="eastAsia" w:ascii="宋体" w:hAnsi="宋体" w:eastAsia="宋体" w:cs="宋体"/>
          <w:spacing w:val="3"/>
        </w:rPr>
        <w:t>），</w:t>
      </w:r>
      <w:r>
        <w:rPr>
          <w:rFonts w:hint="eastAsia" w:ascii="宋体" w:hAnsi="宋体" w:eastAsia="宋体" w:cs="宋体"/>
          <w:spacing w:val="-2"/>
        </w:rPr>
        <w:t>提交响应文件截止时间前</w:t>
      </w:r>
      <w:r>
        <w:rPr>
          <w:rFonts w:hint="eastAsia" w:ascii="宋体" w:hAnsi="宋体" w:eastAsia="宋体" w:cs="宋体"/>
          <w:spacing w:val="-1"/>
        </w:rPr>
        <w:t>未完成提交（上传）的，视为撤回响应文件。提交响应文件截止时间以后提交（上传）</w:t>
      </w:r>
      <w:r>
        <w:rPr>
          <w:rFonts w:hint="eastAsia" w:ascii="宋体" w:hAnsi="宋体" w:eastAsia="宋体" w:cs="宋体"/>
          <w:spacing w:val="-2"/>
        </w:rPr>
        <w:t>的响应文件，广西政府采购云平台将予以拒收。（补充、修改或者撤回方式可登陆广西政府采购云平台，进入“服务中心</w:t>
      </w:r>
      <w:r>
        <w:rPr>
          <w:rFonts w:hint="eastAsia" w:ascii="宋体" w:hAnsi="宋体" w:eastAsia="宋体" w:cs="宋体"/>
          <w:spacing w:val="-88"/>
        </w:rPr>
        <w:t xml:space="preserve"> </w:t>
      </w:r>
      <w:r>
        <w:rPr>
          <w:rFonts w:hint="eastAsia" w:ascii="宋体" w:hAnsi="宋体" w:eastAsia="宋体" w:cs="宋体"/>
          <w:spacing w:val="-2"/>
        </w:rPr>
        <w:t>”中查看</w:t>
      </w:r>
      <w:r>
        <w:rPr>
          <w:rFonts w:hint="eastAsia" w:ascii="宋体" w:hAnsi="宋体" w:eastAsia="宋体" w:cs="宋体"/>
          <w:spacing w:val="-3"/>
        </w:rPr>
        <w:t xml:space="preserve"> “</w:t>
      </w:r>
      <w:r>
        <w:rPr>
          <w:rFonts w:hint="eastAsia" w:ascii="宋体" w:hAnsi="宋体" w:eastAsia="宋体" w:cs="宋体"/>
          <w:spacing w:val="-77"/>
        </w:rPr>
        <w:t xml:space="preserve"> </w:t>
      </w:r>
      <w:r>
        <w:rPr>
          <w:rFonts w:hint="eastAsia" w:ascii="宋体" w:hAnsi="宋体" w:eastAsia="宋体" w:cs="宋体"/>
          <w:spacing w:val="-3"/>
        </w:rPr>
        <w:t>电子响应文件制作与投送教程</w:t>
      </w:r>
      <w:r>
        <w:rPr>
          <w:rFonts w:hint="eastAsia" w:ascii="宋体" w:hAnsi="宋体" w:eastAsia="宋体" w:cs="宋体"/>
          <w:spacing w:val="-89"/>
        </w:rPr>
        <w:t xml:space="preserve"> </w:t>
      </w:r>
      <w:r>
        <w:rPr>
          <w:rFonts w:hint="eastAsia" w:ascii="宋体" w:hAnsi="宋体" w:eastAsia="宋体" w:cs="宋体"/>
          <w:spacing w:val="-3"/>
        </w:rPr>
        <w:t>”）</w:t>
      </w:r>
    </w:p>
    <w:p w14:paraId="065FF801">
      <w:pPr>
        <w:pStyle w:val="3"/>
        <w:shd w:val="clear"/>
        <w:spacing w:before="2" w:line="399" w:lineRule="auto"/>
        <w:ind w:left="12" w:right="27" w:firstLine="470"/>
        <w:rPr>
          <w:rFonts w:hint="eastAsia" w:ascii="宋体" w:hAnsi="宋体" w:eastAsia="宋体" w:cs="宋体"/>
        </w:rPr>
      </w:pPr>
      <w:r>
        <w:rPr>
          <w:rFonts w:hint="eastAsia" w:ascii="宋体" w:hAnsi="宋体" w:eastAsia="宋体" w:cs="宋体"/>
          <w:spacing w:val="-4"/>
        </w:rPr>
        <w:t>21.2</w:t>
      </w:r>
      <w:r>
        <w:rPr>
          <w:rFonts w:hint="eastAsia" w:ascii="宋体" w:hAnsi="宋体" w:eastAsia="宋体" w:cs="宋体"/>
          <w:spacing w:val="-29"/>
        </w:rPr>
        <w:t xml:space="preserve"> </w:t>
      </w:r>
      <w:r>
        <w:rPr>
          <w:rFonts w:hint="eastAsia" w:ascii="宋体" w:hAnsi="宋体" w:eastAsia="宋体" w:cs="宋体"/>
          <w:spacing w:val="-4"/>
        </w:rPr>
        <w:t>在提交响应文件截止时间前，除供应商补充、修改或者撤回响应文件外，任何</w:t>
      </w:r>
      <w:r>
        <w:rPr>
          <w:rFonts w:hint="eastAsia" w:ascii="宋体" w:hAnsi="宋体" w:eastAsia="宋体" w:cs="宋体"/>
          <w:spacing w:val="-2"/>
        </w:rPr>
        <w:t>单位和个人不得解密或提取响应文件。</w:t>
      </w:r>
    </w:p>
    <w:p w14:paraId="33C09EFA">
      <w:pPr>
        <w:shd w:val="clear"/>
        <w:spacing w:before="1" w:line="222" w:lineRule="auto"/>
        <w:ind w:left="479"/>
        <w:rPr>
          <w:rFonts w:hint="eastAsia" w:ascii="宋体" w:hAnsi="宋体" w:eastAsia="宋体" w:cs="宋体"/>
          <w:sz w:val="24"/>
          <w:szCs w:val="24"/>
        </w:rPr>
      </w:pPr>
      <w:r>
        <w:rPr>
          <w:rFonts w:hint="eastAsia" w:ascii="宋体" w:hAnsi="宋体" w:eastAsia="宋体" w:cs="宋体"/>
          <w:b/>
          <w:bCs/>
          <w:spacing w:val="-3"/>
          <w:sz w:val="24"/>
          <w:szCs w:val="24"/>
        </w:rPr>
        <w:t>22.响应文件的退回</w:t>
      </w:r>
    </w:p>
    <w:p w14:paraId="4EDAE5C9">
      <w:pPr>
        <w:pStyle w:val="3"/>
        <w:shd w:val="clear"/>
        <w:spacing w:before="233" w:line="222" w:lineRule="auto"/>
        <w:ind w:left="489"/>
        <w:rPr>
          <w:rFonts w:hint="eastAsia" w:ascii="宋体" w:hAnsi="宋体" w:eastAsia="宋体" w:cs="宋体"/>
        </w:rPr>
      </w:pPr>
      <w:r>
        <w:rPr>
          <w:rFonts w:hint="eastAsia" w:ascii="宋体" w:hAnsi="宋体" w:eastAsia="宋体" w:cs="宋体"/>
          <w:spacing w:val="-1"/>
        </w:rPr>
        <w:t>采购人和采购代理机构对已提交的响应文件概不退回。</w:t>
      </w:r>
    </w:p>
    <w:p w14:paraId="0C729143">
      <w:pPr>
        <w:shd w:val="clear"/>
        <w:spacing w:before="230" w:line="220" w:lineRule="auto"/>
        <w:ind w:left="479"/>
        <w:rPr>
          <w:rFonts w:hint="eastAsia" w:ascii="宋体" w:hAnsi="宋体" w:eastAsia="宋体" w:cs="宋体"/>
          <w:sz w:val="24"/>
          <w:szCs w:val="24"/>
        </w:rPr>
      </w:pPr>
      <w:r>
        <w:rPr>
          <w:rFonts w:hint="eastAsia" w:ascii="宋体" w:hAnsi="宋体" w:eastAsia="宋体" w:cs="宋体"/>
          <w:b/>
          <w:bCs/>
          <w:spacing w:val="-3"/>
          <w:sz w:val="24"/>
          <w:szCs w:val="24"/>
        </w:rPr>
        <w:t>23.截止时间后的撤回</w:t>
      </w:r>
    </w:p>
    <w:p w14:paraId="66A122B3">
      <w:pPr>
        <w:pStyle w:val="3"/>
        <w:shd w:val="clear"/>
        <w:spacing w:before="234" w:line="401" w:lineRule="auto"/>
        <w:ind w:left="21" w:right="27" w:firstLine="466"/>
        <w:rPr>
          <w:rFonts w:hint="eastAsia" w:ascii="宋体" w:hAnsi="宋体" w:eastAsia="宋体" w:cs="宋体"/>
        </w:rPr>
      </w:pPr>
      <w:r>
        <w:rPr>
          <w:rFonts w:hint="eastAsia" w:ascii="宋体" w:hAnsi="宋体" w:eastAsia="宋体" w:cs="宋体"/>
          <w:spacing w:val="-2"/>
        </w:rPr>
        <w:t>供应商在响应文件提交截止时间后向采购人、采购代理机构书面申请撤回响应文件</w:t>
      </w:r>
      <w:r>
        <w:rPr>
          <w:rFonts w:hint="eastAsia" w:ascii="宋体" w:hAnsi="宋体" w:eastAsia="宋体" w:cs="宋体"/>
          <w:spacing w:val="-4"/>
        </w:rPr>
        <w:t>的，将根据本须知正文</w:t>
      </w:r>
      <w:r>
        <w:rPr>
          <w:rFonts w:hint="eastAsia" w:ascii="宋体" w:hAnsi="宋体" w:eastAsia="宋体" w:cs="宋体"/>
          <w:spacing w:val="-25"/>
        </w:rPr>
        <w:t xml:space="preserve"> </w:t>
      </w:r>
      <w:r>
        <w:rPr>
          <w:rFonts w:hint="eastAsia" w:ascii="宋体" w:hAnsi="宋体" w:eastAsia="宋体" w:cs="宋体"/>
          <w:spacing w:val="-4"/>
        </w:rPr>
        <w:t>17.4</w:t>
      </w:r>
      <w:r>
        <w:rPr>
          <w:rFonts w:hint="eastAsia" w:ascii="宋体" w:hAnsi="宋体" w:eastAsia="宋体" w:cs="宋体"/>
          <w:spacing w:val="-30"/>
        </w:rPr>
        <w:t xml:space="preserve"> </w:t>
      </w:r>
      <w:r>
        <w:rPr>
          <w:rFonts w:hint="eastAsia" w:ascii="宋体" w:hAnsi="宋体" w:eastAsia="宋体" w:cs="宋体"/>
          <w:spacing w:val="-4"/>
        </w:rPr>
        <w:t>的规定</w:t>
      </w:r>
      <w:r>
        <w:rPr>
          <w:rFonts w:hint="eastAsia" w:ascii="宋体" w:hAnsi="宋体" w:eastAsia="宋体" w:cs="宋体"/>
          <w:b/>
          <w:bCs/>
          <w:spacing w:val="-4"/>
        </w:rPr>
        <w:t>不予退还其磋商保证金</w:t>
      </w:r>
      <w:r>
        <w:rPr>
          <w:rFonts w:hint="eastAsia" w:ascii="宋体" w:hAnsi="宋体" w:eastAsia="宋体" w:cs="宋体"/>
          <w:spacing w:val="-4"/>
        </w:rPr>
        <w:t>。</w:t>
      </w:r>
    </w:p>
    <w:p w14:paraId="27D25145">
      <w:pPr>
        <w:shd w:val="clear"/>
        <w:spacing w:line="358" w:lineRule="auto"/>
        <w:rPr>
          <w:rFonts w:hint="eastAsia" w:ascii="宋体" w:hAnsi="宋体" w:eastAsia="宋体" w:cs="宋体"/>
          <w:sz w:val="21"/>
        </w:rPr>
      </w:pPr>
    </w:p>
    <w:p w14:paraId="11699083">
      <w:pPr>
        <w:pStyle w:val="3"/>
        <w:shd w:val="clear"/>
        <w:spacing w:before="101" w:line="228" w:lineRule="auto"/>
        <w:ind w:left="3883"/>
        <w:rPr>
          <w:rFonts w:hint="eastAsia" w:ascii="宋体" w:hAnsi="宋体" w:eastAsia="宋体" w:cs="宋体"/>
          <w:sz w:val="31"/>
          <w:szCs w:val="31"/>
        </w:rPr>
      </w:pPr>
      <w:r>
        <w:rPr>
          <w:rFonts w:hint="eastAsia" w:ascii="宋体" w:hAnsi="宋体" w:eastAsia="宋体" w:cs="宋体"/>
          <w:b/>
          <w:bCs/>
          <w:spacing w:val="-1"/>
          <w:sz w:val="31"/>
          <w:szCs w:val="31"/>
        </w:rPr>
        <w:t>四、评审及磋商</w:t>
      </w:r>
    </w:p>
    <w:p w14:paraId="4AE5B79C">
      <w:pPr>
        <w:shd w:val="clear"/>
        <w:spacing w:before="297" w:line="222" w:lineRule="auto"/>
        <w:ind w:left="479"/>
        <w:rPr>
          <w:rFonts w:hint="eastAsia" w:ascii="宋体" w:hAnsi="宋体" w:eastAsia="宋体" w:cs="宋体"/>
          <w:sz w:val="24"/>
          <w:szCs w:val="24"/>
        </w:rPr>
      </w:pPr>
      <w:r>
        <w:rPr>
          <w:rFonts w:hint="eastAsia" w:ascii="宋体" w:hAnsi="宋体" w:eastAsia="宋体" w:cs="宋体"/>
          <w:b/>
          <w:bCs/>
          <w:spacing w:val="-3"/>
          <w:sz w:val="24"/>
          <w:szCs w:val="24"/>
        </w:rPr>
        <w:t>24.磋商小组成立</w:t>
      </w:r>
    </w:p>
    <w:p w14:paraId="6B57EBB7">
      <w:pPr>
        <w:pStyle w:val="3"/>
        <w:shd w:val="clear"/>
        <w:spacing w:before="233" w:line="400" w:lineRule="auto"/>
        <w:ind w:left="3" w:firstLine="474"/>
        <w:rPr>
          <w:rFonts w:hint="eastAsia" w:ascii="宋体" w:hAnsi="宋体" w:eastAsia="宋体" w:cs="宋体"/>
        </w:rPr>
      </w:pPr>
      <w:r>
        <w:rPr>
          <w:rFonts w:hint="eastAsia" w:ascii="宋体" w:hAnsi="宋体" w:eastAsia="宋体" w:cs="宋体"/>
          <w:spacing w:val="-3"/>
        </w:rPr>
        <w:t>24.1</w:t>
      </w:r>
      <w:r>
        <w:rPr>
          <w:rFonts w:hint="eastAsia" w:ascii="宋体" w:hAnsi="宋体" w:eastAsia="宋体" w:cs="宋体"/>
          <w:spacing w:val="-26"/>
        </w:rPr>
        <w:t xml:space="preserve"> </w:t>
      </w:r>
      <w:r>
        <w:rPr>
          <w:rFonts w:hint="eastAsia" w:ascii="宋体" w:hAnsi="宋体" w:eastAsia="宋体" w:cs="宋体"/>
          <w:spacing w:val="-3"/>
        </w:rPr>
        <w:t>磋商小组由采购人代表和评审专家共3</w:t>
      </w:r>
      <w:r>
        <w:rPr>
          <w:rFonts w:hint="eastAsia" w:ascii="宋体" w:hAnsi="宋体" w:eastAsia="宋体" w:cs="宋体"/>
          <w:spacing w:val="-41"/>
        </w:rPr>
        <w:t xml:space="preserve"> </w:t>
      </w:r>
      <w:r>
        <w:rPr>
          <w:rFonts w:hint="eastAsia" w:ascii="宋体" w:hAnsi="宋体" w:eastAsia="宋体" w:cs="宋体"/>
          <w:spacing w:val="-3"/>
        </w:rPr>
        <w:t>人以上单数组成，具体人数见“供应商</w:t>
      </w:r>
      <w:r>
        <w:rPr>
          <w:rFonts w:hint="eastAsia" w:ascii="宋体" w:hAnsi="宋体" w:eastAsia="宋体" w:cs="宋体"/>
          <w:spacing w:val="1"/>
        </w:rPr>
        <w:t>须知前附表</w:t>
      </w:r>
      <w:r>
        <w:rPr>
          <w:rFonts w:hint="eastAsia" w:ascii="宋体" w:hAnsi="宋体" w:eastAsia="宋体" w:cs="宋体"/>
          <w:spacing w:val="-88"/>
        </w:rPr>
        <w:t xml:space="preserve"> </w:t>
      </w:r>
      <w:r>
        <w:rPr>
          <w:rFonts w:hint="eastAsia" w:ascii="宋体" w:hAnsi="宋体" w:eastAsia="宋体" w:cs="宋体"/>
          <w:spacing w:val="1"/>
        </w:rPr>
        <w:t>”，其中评审专家人数不得少于磋商小组</w:t>
      </w:r>
      <w:r>
        <w:rPr>
          <w:rFonts w:hint="eastAsia" w:ascii="宋体" w:hAnsi="宋体" w:eastAsia="宋体" w:cs="宋体"/>
        </w:rPr>
        <w:t>成员总数的2/3。采购人代表不得</w:t>
      </w:r>
      <w:r>
        <w:rPr>
          <w:rFonts w:hint="eastAsia" w:ascii="宋体" w:hAnsi="宋体" w:eastAsia="宋体" w:cs="宋体"/>
          <w:spacing w:val="-2"/>
        </w:rPr>
        <w:t>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Pr>
          <w:rFonts w:hint="eastAsia" w:ascii="宋体" w:hAnsi="宋体" w:eastAsia="宋体" w:cs="宋体"/>
          <w:spacing w:val="-4"/>
        </w:rPr>
        <w:t>5</w:t>
      </w:r>
      <w:r>
        <w:rPr>
          <w:rFonts w:hint="eastAsia" w:ascii="宋体" w:hAnsi="宋体" w:eastAsia="宋体" w:cs="宋体"/>
          <w:spacing w:val="-39"/>
        </w:rPr>
        <w:t xml:space="preserve"> </w:t>
      </w:r>
      <w:r>
        <w:rPr>
          <w:rFonts w:hint="eastAsia" w:ascii="宋体" w:hAnsi="宋体" w:eastAsia="宋体" w:cs="宋体"/>
          <w:spacing w:val="-4"/>
        </w:rPr>
        <w:t>人以上单数组成。</w:t>
      </w:r>
    </w:p>
    <w:p w14:paraId="4AFEAB3E">
      <w:pPr>
        <w:pStyle w:val="3"/>
        <w:shd w:val="clear"/>
        <w:spacing w:before="233" w:line="400" w:lineRule="auto"/>
        <w:ind w:left="3" w:firstLine="474"/>
        <w:rPr>
          <w:rFonts w:hint="eastAsia" w:ascii="宋体" w:hAnsi="宋体" w:eastAsia="宋体" w:cs="宋体"/>
        </w:rPr>
      </w:pPr>
      <w:r>
        <w:rPr>
          <w:rFonts w:hint="eastAsia" w:ascii="宋体" w:hAnsi="宋体" w:eastAsia="宋体" w:cs="宋体"/>
          <w:spacing w:val="-4"/>
        </w:rPr>
        <w:t>24.2</w:t>
      </w:r>
      <w:r>
        <w:rPr>
          <w:rFonts w:hint="eastAsia" w:ascii="宋体" w:hAnsi="宋体" w:eastAsia="宋体" w:cs="宋体"/>
          <w:spacing w:val="-29"/>
        </w:rPr>
        <w:t xml:space="preserve"> </w:t>
      </w:r>
      <w:r>
        <w:rPr>
          <w:rFonts w:hint="eastAsia" w:ascii="宋体" w:hAnsi="宋体" w:eastAsia="宋体" w:cs="宋体"/>
          <w:spacing w:val="-4"/>
        </w:rPr>
        <w:t>评审专家应当从政府采购评审专家库内相关专业的专家名单中随机抽取。市场</w:t>
      </w:r>
      <w:r>
        <w:rPr>
          <w:rFonts w:hint="eastAsia" w:ascii="宋体" w:hAnsi="宋体" w:eastAsia="宋体" w:cs="宋体"/>
          <w:spacing w:val="-2"/>
        </w:rPr>
        <w:t>竞争不充分的科研项目，以及需要扶持的科技成果转化项目，以及情况特殊、通过随机</w:t>
      </w:r>
      <w:r>
        <w:rPr>
          <w:rFonts w:hint="eastAsia" w:ascii="宋体" w:hAnsi="宋体" w:eastAsia="宋体" w:cs="宋体"/>
          <w:spacing w:val="-1"/>
        </w:rPr>
        <w:t>方式难以确定合适的评审专家的项目，经主管预</w:t>
      </w:r>
      <w:r>
        <w:rPr>
          <w:rFonts w:hint="eastAsia" w:ascii="宋体" w:hAnsi="宋体" w:eastAsia="宋体" w:cs="宋体"/>
          <w:spacing w:val="-2"/>
        </w:rPr>
        <w:t>算单位同意，可以自行选定评审专家。技术复杂、专业性强的采购项目，评审专家中应当包含</w:t>
      </w:r>
      <w:r>
        <w:rPr>
          <w:rFonts w:hint="eastAsia" w:ascii="宋体" w:hAnsi="宋体" w:eastAsia="宋体" w:cs="宋体"/>
          <w:spacing w:val="-33"/>
        </w:rPr>
        <w:t xml:space="preserve"> </w:t>
      </w:r>
      <w:r>
        <w:rPr>
          <w:rFonts w:hint="eastAsia" w:ascii="宋体" w:hAnsi="宋体" w:eastAsia="宋体" w:cs="宋体"/>
          <w:spacing w:val="-2"/>
        </w:rPr>
        <w:t>1</w:t>
      </w:r>
      <w:r>
        <w:rPr>
          <w:rFonts w:hint="eastAsia" w:ascii="宋体" w:hAnsi="宋体" w:eastAsia="宋体" w:cs="宋体"/>
          <w:spacing w:val="-43"/>
        </w:rPr>
        <w:t xml:space="preserve"> </w:t>
      </w:r>
      <w:r>
        <w:rPr>
          <w:rFonts w:hint="eastAsia" w:ascii="宋体" w:hAnsi="宋体" w:eastAsia="宋体" w:cs="宋体"/>
          <w:spacing w:val="-2"/>
        </w:rPr>
        <w:t>名法律专家。</w:t>
      </w:r>
    </w:p>
    <w:p w14:paraId="76449EA5">
      <w:pPr>
        <w:pStyle w:val="3"/>
        <w:shd w:val="clear"/>
        <w:spacing w:line="221" w:lineRule="auto"/>
        <w:ind w:left="478"/>
        <w:rPr>
          <w:rFonts w:hint="eastAsia" w:ascii="宋体" w:hAnsi="宋体" w:eastAsia="宋体" w:cs="宋体"/>
        </w:rPr>
      </w:pPr>
      <w:r>
        <w:rPr>
          <w:rFonts w:hint="eastAsia" w:ascii="宋体" w:hAnsi="宋体" w:eastAsia="宋体" w:cs="宋体"/>
          <w:spacing w:val="-1"/>
        </w:rPr>
        <w:t>24.3</w:t>
      </w:r>
      <w:r>
        <w:rPr>
          <w:rFonts w:hint="eastAsia" w:ascii="宋体" w:hAnsi="宋体" w:eastAsia="宋体" w:cs="宋体"/>
          <w:spacing w:val="-40"/>
        </w:rPr>
        <w:t xml:space="preserve"> </w:t>
      </w:r>
      <w:r>
        <w:rPr>
          <w:rFonts w:hint="eastAsia" w:ascii="宋体" w:hAnsi="宋体" w:eastAsia="宋体" w:cs="宋体"/>
          <w:spacing w:val="-1"/>
        </w:rPr>
        <w:t>采购代理机构应当基于广西政府采购云平台抽（选）取评审专家。</w:t>
      </w:r>
    </w:p>
    <w:p w14:paraId="28924815">
      <w:pPr>
        <w:shd w:val="clear"/>
        <w:spacing w:before="231" w:line="221" w:lineRule="auto"/>
        <w:ind w:left="474"/>
        <w:rPr>
          <w:rFonts w:hint="eastAsia" w:ascii="宋体" w:hAnsi="宋体" w:eastAsia="宋体" w:cs="宋体"/>
          <w:sz w:val="24"/>
          <w:szCs w:val="24"/>
        </w:rPr>
      </w:pPr>
      <w:r>
        <w:rPr>
          <w:rFonts w:hint="eastAsia" w:ascii="宋体" w:hAnsi="宋体" w:eastAsia="宋体" w:cs="宋体"/>
          <w:b/>
          <w:bCs/>
          <w:spacing w:val="-3"/>
          <w:sz w:val="24"/>
          <w:szCs w:val="24"/>
        </w:rPr>
        <w:t>25.首次响应文件的开启和解密</w:t>
      </w:r>
    </w:p>
    <w:p w14:paraId="6098A9A6">
      <w:pPr>
        <w:pStyle w:val="3"/>
        <w:shd w:val="clear"/>
        <w:spacing w:before="237" w:line="398" w:lineRule="auto"/>
        <w:ind w:left="2" w:right="11" w:firstLine="481"/>
        <w:jc w:val="both"/>
        <w:rPr>
          <w:rFonts w:hint="eastAsia" w:ascii="宋体" w:hAnsi="宋体" w:eastAsia="宋体" w:cs="宋体"/>
        </w:rPr>
      </w:pPr>
      <w:r>
        <w:rPr>
          <w:rFonts w:hint="eastAsia" w:ascii="宋体" w:hAnsi="宋体" w:eastAsia="宋体" w:cs="宋体"/>
          <w:spacing w:val="-3"/>
        </w:rPr>
        <w:t>采购代理机构将在“供应商须知前附表</w:t>
      </w:r>
      <w:r>
        <w:rPr>
          <w:rFonts w:hint="eastAsia" w:ascii="宋体" w:hAnsi="宋体" w:eastAsia="宋体" w:cs="宋体"/>
          <w:spacing w:val="-79"/>
        </w:rPr>
        <w:t xml:space="preserve"> </w:t>
      </w:r>
      <w:r>
        <w:rPr>
          <w:rFonts w:hint="eastAsia" w:ascii="宋体" w:hAnsi="宋体" w:eastAsia="宋体" w:cs="宋体"/>
          <w:spacing w:val="-3"/>
        </w:rPr>
        <w:t>”规定的时间通过电子交易平台组织响应文</w:t>
      </w:r>
      <w:r>
        <w:rPr>
          <w:rFonts w:hint="eastAsia" w:ascii="宋体" w:hAnsi="宋体" w:eastAsia="宋体" w:cs="宋体"/>
          <w:spacing w:val="3"/>
        </w:rPr>
        <w:t>件开启，供应商的法定代表人或其委托代理人须携带加密时</w:t>
      </w:r>
      <w:r>
        <w:rPr>
          <w:rFonts w:hint="eastAsia" w:ascii="宋体" w:hAnsi="宋体" w:eastAsia="宋体" w:cs="宋体"/>
          <w:spacing w:val="2"/>
        </w:rPr>
        <w:t>所用的</w:t>
      </w:r>
      <w:r>
        <w:rPr>
          <w:rFonts w:hint="eastAsia" w:ascii="宋体" w:hAnsi="宋体" w:eastAsia="宋体" w:cs="宋体"/>
        </w:rPr>
        <w:t>CA</w:t>
      </w:r>
      <w:r>
        <w:rPr>
          <w:rFonts w:hint="eastAsia" w:ascii="宋体" w:hAnsi="宋体" w:eastAsia="宋体" w:cs="宋体"/>
          <w:spacing w:val="-43"/>
        </w:rPr>
        <w:t xml:space="preserve"> </w:t>
      </w:r>
      <w:r>
        <w:rPr>
          <w:rFonts w:hint="eastAsia" w:ascii="宋体" w:hAnsi="宋体" w:eastAsia="宋体" w:cs="宋体"/>
          <w:spacing w:val="2"/>
        </w:rPr>
        <w:t>锁，按平台提示</w:t>
      </w:r>
      <w:r>
        <w:rPr>
          <w:rFonts w:hint="eastAsia" w:ascii="宋体" w:hAnsi="宋体" w:eastAsia="宋体" w:cs="宋体"/>
          <w:spacing w:val="-2"/>
        </w:rPr>
        <w:t>和磋商文件的规定登录到广西政府采购云平台电子开标大厅签到，采购代理机构依托广</w:t>
      </w:r>
      <w:r>
        <w:rPr>
          <w:rFonts w:hint="eastAsia" w:ascii="宋体" w:hAnsi="宋体" w:eastAsia="宋体" w:cs="宋体"/>
          <w:spacing w:val="-8"/>
        </w:rPr>
        <w:t>西政府采购云平台向各供应商发出电子加密响应文件【开始解密】通知，由供应商按“供</w:t>
      </w:r>
      <w:r>
        <w:rPr>
          <w:rFonts w:hint="eastAsia" w:ascii="宋体" w:hAnsi="宋体" w:eastAsia="宋体" w:cs="宋体"/>
          <w:spacing w:val="-3"/>
        </w:rPr>
        <w:t>应商须知前附表</w:t>
      </w:r>
      <w:r>
        <w:rPr>
          <w:rFonts w:hint="eastAsia" w:ascii="宋体" w:hAnsi="宋体" w:eastAsia="宋体" w:cs="宋体"/>
          <w:spacing w:val="-88"/>
        </w:rPr>
        <w:t xml:space="preserve"> </w:t>
      </w:r>
      <w:r>
        <w:rPr>
          <w:rFonts w:hint="eastAsia" w:ascii="宋体" w:hAnsi="宋体" w:eastAsia="宋体" w:cs="宋体"/>
          <w:spacing w:val="-3"/>
        </w:rPr>
        <w:t>”规定的时间内自行进行响应文件</w:t>
      </w:r>
      <w:r>
        <w:rPr>
          <w:rFonts w:hint="eastAsia" w:ascii="宋体" w:hAnsi="宋体" w:eastAsia="宋体" w:cs="宋体"/>
          <w:spacing w:val="-4"/>
        </w:rPr>
        <w:t>解密。</w:t>
      </w:r>
      <w:r>
        <w:rPr>
          <w:rFonts w:hint="eastAsia" w:ascii="宋体" w:hAnsi="宋体" w:eastAsia="宋体" w:cs="宋体"/>
          <w:b/>
          <w:bCs/>
          <w:spacing w:val="-4"/>
        </w:rPr>
        <w:t>供应商未在规定的时间内解密</w:t>
      </w:r>
      <w:r>
        <w:rPr>
          <w:rFonts w:hint="eastAsia" w:ascii="宋体" w:hAnsi="宋体" w:eastAsia="宋体" w:cs="宋体"/>
          <w:b/>
          <w:bCs/>
          <w:spacing w:val="-3"/>
        </w:rPr>
        <w:t>响应文件或者解密失败的，供应商的响应文件作无效处理。</w:t>
      </w:r>
    </w:p>
    <w:p w14:paraId="225DD99F">
      <w:pPr>
        <w:shd w:val="clear"/>
        <w:spacing w:before="12" w:line="221" w:lineRule="auto"/>
        <w:ind w:left="474"/>
        <w:rPr>
          <w:rFonts w:hint="eastAsia" w:ascii="宋体" w:hAnsi="宋体" w:eastAsia="宋体" w:cs="宋体"/>
          <w:sz w:val="24"/>
          <w:szCs w:val="24"/>
        </w:rPr>
      </w:pPr>
      <w:r>
        <w:rPr>
          <w:rFonts w:hint="eastAsia" w:ascii="宋体" w:hAnsi="宋体" w:eastAsia="宋体" w:cs="宋体"/>
          <w:b/>
          <w:bCs/>
          <w:spacing w:val="-3"/>
          <w:sz w:val="24"/>
          <w:szCs w:val="24"/>
        </w:rPr>
        <w:t>26.评审程序、评审方法和评审标准</w:t>
      </w:r>
    </w:p>
    <w:p w14:paraId="1A32D4CD">
      <w:pPr>
        <w:pStyle w:val="3"/>
        <w:shd w:val="clear"/>
        <w:spacing w:before="234" w:line="222" w:lineRule="auto"/>
        <w:ind w:left="478"/>
        <w:rPr>
          <w:rFonts w:hint="eastAsia" w:ascii="宋体" w:hAnsi="宋体" w:eastAsia="宋体" w:cs="宋体"/>
        </w:rPr>
      </w:pPr>
      <w:r>
        <w:rPr>
          <w:rFonts w:hint="eastAsia" w:ascii="宋体" w:hAnsi="宋体" w:eastAsia="宋体" w:cs="宋体"/>
          <w:spacing w:val="-2"/>
        </w:rPr>
        <w:t>26.1</w:t>
      </w:r>
      <w:r>
        <w:rPr>
          <w:rFonts w:hint="eastAsia" w:ascii="宋体" w:hAnsi="宋体" w:eastAsia="宋体" w:cs="宋体"/>
          <w:spacing w:val="-35"/>
        </w:rPr>
        <w:t xml:space="preserve"> </w:t>
      </w:r>
      <w:r>
        <w:rPr>
          <w:rFonts w:hint="eastAsia" w:ascii="宋体" w:hAnsi="宋体" w:eastAsia="宋体" w:cs="宋体"/>
          <w:spacing w:val="-2"/>
        </w:rPr>
        <w:t>本项目的评审方法为综合评分法。</w:t>
      </w:r>
    </w:p>
    <w:p w14:paraId="1112A604">
      <w:pPr>
        <w:pStyle w:val="3"/>
        <w:shd w:val="clear"/>
        <w:spacing w:before="228" w:line="401" w:lineRule="auto"/>
        <w:ind w:left="27" w:right="11" w:firstLine="450"/>
        <w:rPr>
          <w:rFonts w:hint="eastAsia" w:ascii="宋体" w:hAnsi="宋体" w:eastAsia="宋体" w:cs="宋体"/>
        </w:rPr>
      </w:pPr>
      <w:r>
        <w:rPr>
          <w:rFonts w:hint="eastAsia" w:ascii="宋体" w:hAnsi="宋体" w:eastAsia="宋体" w:cs="宋体"/>
          <w:spacing w:val="-1"/>
        </w:rPr>
        <w:t>26.2</w:t>
      </w:r>
      <w:r>
        <w:rPr>
          <w:rFonts w:hint="eastAsia" w:ascii="宋体" w:hAnsi="宋体" w:eastAsia="宋体" w:cs="宋体"/>
          <w:spacing w:val="-45"/>
        </w:rPr>
        <w:t xml:space="preserve"> </w:t>
      </w:r>
      <w:r>
        <w:rPr>
          <w:rFonts w:hint="eastAsia" w:ascii="宋体" w:hAnsi="宋体" w:eastAsia="宋体" w:cs="宋体"/>
          <w:spacing w:val="-1"/>
        </w:rPr>
        <w:t>磋商小组按照“第四章 评审程序、评审方法和评审标</w:t>
      </w:r>
      <w:r>
        <w:rPr>
          <w:rFonts w:hint="eastAsia" w:ascii="宋体" w:hAnsi="宋体" w:eastAsia="宋体" w:cs="宋体"/>
          <w:spacing w:val="-2"/>
        </w:rPr>
        <w:t>准</w:t>
      </w:r>
      <w:r>
        <w:rPr>
          <w:rFonts w:hint="eastAsia" w:ascii="宋体" w:hAnsi="宋体" w:eastAsia="宋体" w:cs="宋体"/>
          <w:spacing w:val="-88"/>
        </w:rPr>
        <w:t xml:space="preserve"> </w:t>
      </w:r>
      <w:r>
        <w:rPr>
          <w:rFonts w:hint="eastAsia" w:ascii="宋体" w:hAnsi="宋体" w:eastAsia="宋体" w:cs="宋体"/>
          <w:spacing w:val="-2"/>
        </w:rPr>
        <w:t>”规定的方法、评审</w:t>
      </w:r>
      <w:r>
        <w:rPr>
          <w:rFonts w:hint="eastAsia" w:ascii="宋体" w:hAnsi="宋体" w:eastAsia="宋体" w:cs="宋体"/>
          <w:spacing w:val="-3"/>
        </w:rPr>
        <w:t>因素、标准和程序对响应文件进行评审。</w:t>
      </w:r>
    </w:p>
    <w:p w14:paraId="3AC706A5">
      <w:pPr>
        <w:pStyle w:val="3"/>
        <w:shd w:val="clear"/>
        <w:spacing w:before="1" w:line="220" w:lineRule="auto"/>
        <w:ind w:left="478"/>
        <w:rPr>
          <w:rFonts w:hint="eastAsia" w:ascii="宋体" w:hAnsi="宋体" w:eastAsia="宋体" w:cs="宋体"/>
        </w:rPr>
      </w:pPr>
      <w:r>
        <w:rPr>
          <w:rFonts w:hint="eastAsia" w:ascii="宋体" w:hAnsi="宋体" w:eastAsia="宋体" w:cs="宋体"/>
        </w:rPr>
        <w:t>26.3 商务/技术要求允许负偏离的条款数详见</w:t>
      </w:r>
      <w:r>
        <w:rPr>
          <w:rFonts w:hint="eastAsia" w:ascii="宋体" w:hAnsi="宋体" w:eastAsia="宋体" w:cs="宋体"/>
          <w:spacing w:val="-1"/>
        </w:rPr>
        <w:t>“供应商须知前附表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656AA3A1">
      <w:pPr>
        <w:pStyle w:val="3"/>
        <w:shd w:val="clear"/>
        <w:spacing w:before="232" w:line="400" w:lineRule="auto"/>
        <w:ind w:left="11" w:right="11" w:firstLine="466"/>
        <w:rPr>
          <w:rFonts w:hint="eastAsia" w:ascii="宋体" w:hAnsi="宋体" w:eastAsia="宋体" w:cs="宋体"/>
        </w:rPr>
      </w:pPr>
      <w:r>
        <w:rPr>
          <w:rFonts w:hint="eastAsia" w:ascii="宋体" w:hAnsi="宋体" w:eastAsia="宋体" w:cs="宋体"/>
          <w:spacing w:val="-4"/>
        </w:rPr>
        <w:t>26.4</w:t>
      </w:r>
      <w:r>
        <w:rPr>
          <w:rFonts w:hint="eastAsia" w:ascii="宋体" w:hAnsi="宋体" w:eastAsia="宋体" w:cs="宋体"/>
          <w:spacing w:val="-29"/>
        </w:rPr>
        <w:t xml:space="preserve"> </w:t>
      </w:r>
      <w:r>
        <w:rPr>
          <w:rFonts w:hint="eastAsia" w:ascii="宋体" w:hAnsi="宋体" w:eastAsia="宋体" w:cs="宋体"/>
          <w:spacing w:val="-4"/>
        </w:rPr>
        <w:t>磋商小组成员要依法独立评审，并对评审意见承担个人责任。磋商小组成员对</w:t>
      </w:r>
      <w:r>
        <w:rPr>
          <w:rFonts w:hint="eastAsia" w:ascii="宋体" w:hAnsi="宋体" w:eastAsia="宋体" w:cs="宋体"/>
          <w:spacing w:val="-2"/>
        </w:rPr>
        <w:t>需要共同认定的事项存在争议的，按照少数服从多数的原则做出结论。持不同意见的磋</w:t>
      </w:r>
      <w:r>
        <w:rPr>
          <w:rFonts w:hint="eastAsia" w:ascii="宋体" w:hAnsi="宋体" w:eastAsia="宋体" w:cs="宋体"/>
          <w:spacing w:val="-1"/>
        </w:rPr>
        <w:t>商小组成员应当在评审报告上签署不同意见并说明理由，否则视为同意。</w:t>
      </w:r>
    </w:p>
    <w:p w14:paraId="43B0B84E">
      <w:pPr>
        <w:pStyle w:val="3"/>
        <w:shd w:val="clear"/>
        <w:spacing w:before="1" w:line="400" w:lineRule="auto"/>
        <w:ind w:left="4" w:right="11" w:firstLine="473"/>
        <w:rPr>
          <w:rFonts w:hint="eastAsia" w:ascii="宋体" w:hAnsi="宋体" w:eastAsia="宋体" w:cs="宋体"/>
        </w:rPr>
      </w:pPr>
      <w:r>
        <w:rPr>
          <w:rFonts w:hint="eastAsia" w:ascii="宋体" w:hAnsi="宋体" w:eastAsia="宋体" w:cs="宋体"/>
          <w:spacing w:val="-5"/>
        </w:rPr>
        <w:t>26.5 电子交易活动的中止。采购过程中出现以下情形，导致电子交易平台无法正常</w:t>
      </w:r>
      <w:r>
        <w:rPr>
          <w:rFonts w:hint="eastAsia" w:ascii="宋体" w:hAnsi="宋体" w:eastAsia="宋体" w:cs="宋体"/>
          <w:spacing w:val="-2"/>
        </w:rPr>
        <w:t>运行，或者无法保证电子交易的公平、公正和安全时，采购机构可中止电子交易活动：</w:t>
      </w:r>
    </w:p>
    <w:p w14:paraId="0B5B8AEE">
      <w:pPr>
        <w:pStyle w:val="3"/>
        <w:shd w:val="clear"/>
        <w:spacing w:before="1" w:line="220" w:lineRule="auto"/>
        <w:ind w:left="487"/>
        <w:rPr>
          <w:rFonts w:hint="eastAsia" w:ascii="宋体" w:hAnsi="宋体" w:eastAsia="宋体" w:cs="宋体"/>
        </w:rPr>
      </w:pPr>
      <w:r>
        <w:rPr>
          <w:rFonts w:hint="eastAsia" w:ascii="宋体" w:hAnsi="宋体" w:eastAsia="宋体" w:cs="宋体"/>
          <w:spacing w:val="-1"/>
        </w:rPr>
        <w:t>（1）电子交易平台发生故障而无法登录访问的；</w:t>
      </w:r>
    </w:p>
    <w:p w14:paraId="4BA8B96D">
      <w:pPr>
        <w:pStyle w:val="3"/>
        <w:shd w:val="clear"/>
        <w:spacing w:before="232" w:line="220" w:lineRule="auto"/>
        <w:ind w:left="487"/>
        <w:rPr>
          <w:rFonts w:hint="eastAsia" w:ascii="宋体" w:hAnsi="宋体" w:eastAsia="宋体" w:cs="宋体"/>
        </w:rPr>
      </w:pPr>
      <w:r>
        <w:rPr>
          <w:rFonts w:hint="eastAsia" w:ascii="宋体" w:hAnsi="宋体" w:eastAsia="宋体" w:cs="宋体"/>
          <w:spacing w:val="-1"/>
        </w:rPr>
        <w:t>（2）电子交易平台应用或数据库出现错误，不能进行正常操作的；</w:t>
      </w:r>
    </w:p>
    <w:p w14:paraId="75D432C0">
      <w:pPr>
        <w:pStyle w:val="3"/>
        <w:shd w:val="clear"/>
        <w:spacing w:before="235" w:line="219" w:lineRule="auto"/>
        <w:ind w:left="487"/>
        <w:rPr>
          <w:rFonts w:hint="eastAsia" w:ascii="宋体" w:hAnsi="宋体" w:eastAsia="宋体" w:cs="宋体"/>
        </w:rPr>
      </w:pPr>
      <w:r>
        <w:rPr>
          <w:rFonts w:hint="eastAsia" w:ascii="宋体" w:hAnsi="宋体" w:eastAsia="宋体" w:cs="宋体"/>
          <w:spacing w:val="-1"/>
        </w:rPr>
        <w:t>（3）电子交易平台发现严重安全漏洞，有潜在泄密危险的；</w:t>
      </w:r>
    </w:p>
    <w:p w14:paraId="27821F48">
      <w:pPr>
        <w:pStyle w:val="3"/>
        <w:shd w:val="clear"/>
        <w:spacing w:before="232" w:line="220" w:lineRule="auto"/>
        <w:ind w:left="487"/>
        <w:rPr>
          <w:rFonts w:hint="eastAsia" w:ascii="宋体" w:hAnsi="宋体" w:eastAsia="宋体" w:cs="宋体"/>
        </w:rPr>
      </w:pPr>
      <w:r>
        <w:rPr>
          <w:rFonts w:hint="eastAsia" w:ascii="宋体" w:hAnsi="宋体" w:eastAsia="宋体" w:cs="宋体"/>
          <w:spacing w:val="-2"/>
        </w:rPr>
        <w:t>（4）病毒发作导致不能进行正常操作的；</w:t>
      </w:r>
    </w:p>
    <w:p w14:paraId="1F8A2482">
      <w:pPr>
        <w:pStyle w:val="3"/>
        <w:shd w:val="clear"/>
        <w:spacing w:before="234" w:line="221" w:lineRule="auto"/>
        <w:ind w:left="487"/>
        <w:rPr>
          <w:rFonts w:hint="eastAsia" w:ascii="宋体" w:hAnsi="宋体" w:eastAsia="宋体" w:cs="宋体"/>
        </w:rPr>
      </w:pPr>
      <w:r>
        <w:rPr>
          <w:rFonts w:hint="eastAsia" w:ascii="宋体" w:hAnsi="宋体" w:eastAsia="宋体" w:cs="宋体"/>
          <w:spacing w:val="-1"/>
        </w:rPr>
        <w:t>（5）其他无法保证电子交易的公平、公正和安全的情况。</w:t>
      </w:r>
    </w:p>
    <w:p w14:paraId="7A3FA31D">
      <w:pPr>
        <w:pStyle w:val="3"/>
        <w:shd w:val="clear"/>
        <w:spacing w:before="232" w:line="400" w:lineRule="auto"/>
        <w:ind w:left="3" w:right="11" w:firstLine="474"/>
        <w:jc w:val="both"/>
        <w:rPr>
          <w:rFonts w:hint="eastAsia" w:ascii="宋体" w:hAnsi="宋体" w:eastAsia="宋体" w:cs="宋体"/>
        </w:rPr>
      </w:pPr>
      <w:r>
        <w:rPr>
          <w:rFonts w:hint="eastAsia" w:ascii="宋体" w:hAnsi="宋体" w:eastAsia="宋体" w:cs="宋体"/>
          <w:spacing w:val="-5"/>
        </w:rPr>
        <w:t>26.6 出现以上情形，不影响采购公平、公正性的，采购组织机构可以待上述情形消</w:t>
      </w:r>
      <w:r>
        <w:rPr>
          <w:rFonts w:hint="eastAsia" w:ascii="宋体" w:hAnsi="宋体" w:eastAsia="宋体" w:cs="宋体"/>
          <w:spacing w:val="-2"/>
        </w:rPr>
        <w:t>除后继续组织电子交易活动；影响或可能影响采购公平、公正性的，经采购代理机构确认，报采购人同意后，应当重新采购。采购代理机构必须对原有的资料及信息作出妥善保密处理，并报财政部门备案。</w:t>
      </w:r>
    </w:p>
    <w:p w14:paraId="0C3F742E">
      <w:pPr>
        <w:shd w:val="clear"/>
        <w:spacing w:line="221" w:lineRule="auto"/>
        <w:ind w:left="474"/>
        <w:rPr>
          <w:rFonts w:hint="eastAsia" w:ascii="宋体" w:hAnsi="宋体" w:eastAsia="宋体" w:cs="宋体"/>
          <w:sz w:val="24"/>
          <w:szCs w:val="24"/>
        </w:rPr>
      </w:pPr>
      <w:r>
        <w:rPr>
          <w:rFonts w:hint="eastAsia" w:ascii="宋体" w:hAnsi="宋体" w:eastAsia="宋体" w:cs="宋体"/>
          <w:b/>
          <w:bCs/>
          <w:spacing w:val="-3"/>
          <w:sz w:val="24"/>
          <w:szCs w:val="24"/>
        </w:rPr>
        <w:t>27.确定成交供应商及结果公告</w:t>
      </w:r>
    </w:p>
    <w:p w14:paraId="5349EA4B">
      <w:pPr>
        <w:pStyle w:val="3"/>
        <w:shd w:val="clear"/>
        <w:spacing w:before="231" w:line="400" w:lineRule="auto"/>
        <w:ind w:firstLine="478"/>
        <w:rPr>
          <w:rFonts w:hint="eastAsia" w:ascii="宋体" w:hAnsi="宋体" w:eastAsia="宋体" w:cs="宋体"/>
        </w:rPr>
      </w:pPr>
      <w:r>
        <w:rPr>
          <w:rFonts w:hint="eastAsia" w:ascii="宋体" w:hAnsi="宋体" w:eastAsia="宋体" w:cs="宋体"/>
          <w:spacing w:val="1"/>
        </w:rPr>
        <w:t>27.1 采购代理机构应当在评审结束后</w:t>
      </w:r>
      <w:r>
        <w:rPr>
          <w:rFonts w:hint="eastAsia" w:ascii="宋体" w:hAnsi="宋体" w:eastAsia="宋体" w:cs="宋体"/>
          <w:spacing w:val="-46"/>
        </w:rPr>
        <w:t xml:space="preserve"> </w:t>
      </w:r>
      <w:r>
        <w:rPr>
          <w:rFonts w:hint="eastAsia" w:ascii="宋体" w:hAnsi="宋体" w:eastAsia="宋体" w:cs="宋体"/>
          <w:spacing w:val="1"/>
        </w:rPr>
        <w:t>2</w:t>
      </w:r>
      <w:r>
        <w:rPr>
          <w:rFonts w:hint="eastAsia" w:ascii="宋体" w:hAnsi="宋体" w:eastAsia="宋体" w:cs="宋体"/>
          <w:spacing w:val="-41"/>
        </w:rPr>
        <w:t xml:space="preserve"> </w:t>
      </w:r>
      <w:r>
        <w:rPr>
          <w:rFonts w:hint="eastAsia" w:ascii="宋体" w:hAnsi="宋体" w:eastAsia="宋体" w:cs="宋体"/>
          <w:spacing w:val="1"/>
        </w:rPr>
        <w:t>个工作日内将</w:t>
      </w:r>
      <w:r>
        <w:rPr>
          <w:rFonts w:hint="eastAsia" w:ascii="宋体" w:hAnsi="宋体" w:eastAsia="宋体" w:cs="宋体"/>
        </w:rPr>
        <w:t>评审报告送采购人确认。采</w:t>
      </w:r>
      <w:r>
        <w:rPr>
          <w:rFonts w:hint="eastAsia" w:ascii="宋体" w:hAnsi="宋体" w:eastAsia="宋体" w:cs="宋体"/>
          <w:spacing w:val="-1"/>
        </w:rPr>
        <w:t>购人应当在收到评审报告后5</w:t>
      </w:r>
      <w:r>
        <w:rPr>
          <w:rFonts w:hint="eastAsia" w:ascii="宋体" w:hAnsi="宋体" w:eastAsia="宋体" w:cs="宋体"/>
          <w:spacing w:val="-25"/>
        </w:rPr>
        <w:t xml:space="preserve"> </w:t>
      </w:r>
      <w:r>
        <w:rPr>
          <w:rFonts w:hint="eastAsia" w:ascii="宋体" w:hAnsi="宋体" w:eastAsia="宋体" w:cs="宋体"/>
          <w:spacing w:val="-1"/>
        </w:rPr>
        <w:t>个工作日内，从评审报告提出的成交候选供应商中，按照排序由高到低的原则确定成交供应商，也可以书面授权</w:t>
      </w:r>
      <w:r>
        <w:rPr>
          <w:rFonts w:hint="eastAsia" w:ascii="宋体" w:hAnsi="宋体" w:eastAsia="宋体" w:cs="宋体"/>
          <w:spacing w:val="-2"/>
        </w:rPr>
        <w:t>磋商小组直接确定成交供应商。采购人逾期未确定成交供应商且不提出异议的，视为确定评审报告提出的排序第一的供应商为成交供应商。</w:t>
      </w:r>
    </w:p>
    <w:p w14:paraId="4BAF28A2">
      <w:pPr>
        <w:pStyle w:val="3"/>
        <w:shd w:val="clear"/>
        <w:spacing w:before="1" w:line="400" w:lineRule="auto"/>
        <w:ind w:left="1" w:right="11" w:firstLine="476"/>
        <w:rPr>
          <w:rFonts w:hint="eastAsia" w:ascii="宋体" w:hAnsi="宋体" w:eastAsia="宋体" w:cs="宋体"/>
        </w:rPr>
      </w:pPr>
      <w:r>
        <w:rPr>
          <w:rFonts w:hint="eastAsia" w:ascii="宋体" w:hAnsi="宋体" w:eastAsia="宋体" w:cs="宋体"/>
          <w:spacing w:val="-2"/>
        </w:rPr>
        <w:t>27.2</w:t>
      </w:r>
      <w:r>
        <w:rPr>
          <w:rFonts w:hint="eastAsia" w:ascii="宋体" w:hAnsi="宋体" w:eastAsia="宋体" w:cs="宋体"/>
          <w:spacing w:val="-43"/>
        </w:rPr>
        <w:t xml:space="preserve"> </w:t>
      </w:r>
      <w:r>
        <w:rPr>
          <w:rFonts w:hint="eastAsia" w:ascii="宋体" w:hAnsi="宋体" w:eastAsia="宋体" w:cs="宋体"/>
          <w:spacing w:val="-2"/>
        </w:rPr>
        <w:t>采购代理机构应当在成交供应商确</w:t>
      </w:r>
      <w:r>
        <w:rPr>
          <w:rFonts w:hint="eastAsia" w:ascii="宋体" w:hAnsi="宋体" w:eastAsia="宋体" w:cs="宋体"/>
          <w:spacing w:val="-3"/>
        </w:rPr>
        <w:t>定后2</w:t>
      </w:r>
      <w:r>
        <w:rPr>
          <w:rFonts w:hint="eastAsia" w:ascii="宋体" w:hAnsi="宋体" w:eastAsia="宋体" w:cs="宋体"/>
          <w:spacing w:val="-43"/>
        </w:rPr>
        <w:t xml:space="preserve"> </w:t>
      </w:r>
      <w:r>
        <w:rPr>
          <w:rFonts w:hint="eastAsia" w:ascii="宋体" w:hAnsi="宋体" w:eastAsia="宋体" w:cs="宋体"/>
          <w:spacing w:val="-3"/>
        </w:rPr>
        <w:t>个工作日内，在省级以上财政部门指</w:t>
      </w:r>
      <w:r>
        <w:rPr>
          <w:rFonts w:hint="eastAsia" w:ascii="宋体" w:hAnsi="宋体" w:eastAsia="宋体" w:cs="宋体"/>
          <w:spacing w:val="-2"/>
        </w:rPr>
        <w:t>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w:t>
      </w:r>
      <w:r>
        <w:rPr>
          <w:rFonts w:hint="eastAsia" w:ascii="宋体" w:hAnsi="宋体" w:eastAsia="宋体" w:cs="宋体"/>
          <w:spacing w:val="-4"/>
        </w:rPr>
        <w:t>管理办法》（财库〔2020〕46</w:t>
      </w:r>
      <w:r>
        <w:rPr>
          <w:rFonts w:hint="eastAsia" w:ascii="宋体" w:hAnsi="宋体" w:eastAsia="宋体" w:cs="宋体"/>
          <w:spacing w:val="-21"/>
        </w:rPr>
        <w:t xml:space="preserve"> </w:t>
      </w:r>
      <w:r>
        <w:rPr>
          <w:rFonts w:hint="eastAsia" w:ascii="宋体" w:hAnsi="宋体" w:eastAsia="宋体" w:cs="宋体"/>
          <w:spacing w:val="-4"/>
        </w:rPr>
        <w:t>号）规定的中小企业扶持政策的，采购人、采购代理机构</w:t>
      </w:r>
      <w:r>
        <w:rPr>
          <w:rFonts w:hint="eastAsia" w:ascii="宋体" w:hAnsi="宋体" w:eastAsia="宋体" w:cs="宋体"/>
          <w:spacing w:val="-1"/>
        </w:rPr>
        <w:t>应当随成交结果公开成交供应商的《中小企业声明函》。</w:t>
      </w:r>
    </w:p>
    <w:p w14:paraId="5DBA148F">
      <w:pPr>
        <w:pStyle w:val="3"/>
        <w:shd w:val="clear"/>
        <w:spacing w:before="1" w:line="399" w:lineRule="auto"/>
        <w:ind w:left="5" w:right="11" w:firstLine="472"/>
        <w:rPr>
          <w:rFonts w:hint="eastAsia" w:ascii="宋体" w:hAnsi="宋体" w:eastAsia="宋体" w:cs="宋体"/>
        </w:rPr>
      </w:pPr>
      <w:r>
        <w:rPr>
          <w:rFonts w:hint="eastAsia" w:ascii="宋体" w:hAnsi="宋体" w:eastAsia="宋体" w:cs="宋体"/>
          <w:spacing w:val="2"/>
        </w:rPr>
        <w:t>27.3 出现下列情形之一的，采购人或者采</w:t>
      </w:r>
      <w:r>
        <w:rPr>
          <w:rFonts w:hint="eastAsia" w:ascii="宋体" w:hAnsi="宋体" w:eastAsia="宋体" w:cs="宋体"/>
          <w:spacing w:val="1"/>
        </w:rPr>
        <w:t>购代理机构应当终止竞争性磋商采购活</w:t>
      </w:r>
      <w:r>
        <w:rPr>
          <w:rFonts w:hint="eastAsia" w:ascii="宋体" w:hAnsi="宋体" w:eastAsia="宋体" w:cs="宋体"/>
          <w:spacing w:val="-1"/>
        </w:rPr>
        <w:t>动，发布项目终止公告并说明原因，重新开展采购活动：</w:t>
      </w:r>
    </w:p>
    <w:p w14:paraId="5EBCFCA3">
      <w:pPr>
        <w:pStyle w:val="3"/>
        <w:shd w:val="clear"/>
        <w:spacing w:before="1" w:line="399" w:lineRule="auto"/>
        <w:ind w:left="5" w:right="11" w:firstLine="472"/>
        <w:rPr>
          <w:rFonts w:hint="eastAsia" w:ascii="宋体" w:hAnsi="宋体" w:eastAsia="宋体" w:cs="宋体"/>
        </w:rPr>
      </w:pPr>
      <w:r>
        <w:rPr>
          <w:rFonts w:hint="eastAsia" w:ascii="宋体" w:hAnsi="宋体" w:eastAsia="宋体" w:cs="宋体"/>
          <w:spacing w:val="-1"/>
        </w:rPr>
        <w:t>（1）因情况变化，不再符合规定的竞争性磋商采购方式适用情形的；</w:t>
      </w:r>
    </w:p>
    <w:p w14:paraId="4BAEF648">
      <w:pPr>
        <w:pStyle w:val="3"/>
        <w:shd w:val="clear"/>
        <w:spacing w:before="1" w:line="399" w:lineRule="auto"/>
        <w:ind w:left="5" w:right="11" w:firstLine="472"/>
        <w:rPr>
          <w:rFonts w:hint="eastAsia" w:ascii="宋体" w:hAnsi="宋体" w:eastAsia="宋体" w:cs="宋体"/>
        </w:rPr>
      </w:pPr>
      <w:r>
        <w:rPr>
          <w:rFonts w:hint="eastAsia" w:ascii="宋体" w:hAnsi="宋体" w:eastAsia="宋体" w:cs="宋体"/>
          <w:spacing w:val="-1"/>
        </w:rPr>
        <w:t>（2）出现影响采购公正的违法、违规行为的；</w:t>
      </w:r>
    </w:p>
    <w:p w14:paraId="77194B8C">
      <w:pPr>
        <w:pStyle w:val="3"/>
        <w:shd w:val="clear"/>
        <w:spacing w:before="78" w:line="401" w:lineRule="auto"/>
        <w:ind w:right="83" w:firstLine="485"/>
        <w:rPr>
          <w:rFonts w:hint="eastAsia" w:ascii="宋体" w:hAnsi="宋体" w:eastAsia="宋体" w:cs="宋体"/>
        </w:rPr>
      </w:pPr>
      <w:r>
        <w:rPr>
          <w:rFonts w:hint="eastAsia" w:ascii="宋体" w:hAnsi="宋体" w:eastAsia="宋体" w:cs="宋体"/>
          <w:spacing w:val="-3"/>
        </w:rPr>
        <w:t>（3）除“第四章 评审程序、评审方法和评审标准</w:t>
      </w:r>
      <w:r>
        <w:rPr>
          <w:rFonts w:hint="eastAsia" w:ascii="宋体" w:hAnsi="宋体" w:eastAsia="宋体" w:cs="宋体"/>
          <w:spacing w:val="-89"/>
        </w:rPr>
        <w:t xml:space="preserve"> </w:t>
      </w:r>
      <w:r>
        <w:rPr>
          <w:rFonts w:hint="eastAsia" w:ascii="宋体" w:hAnsi="宋体" w:eastAsia="宋体" w:cs="宋体"/>
          <w:spacing w:val="-3"/>
        </w:rPr>
        <w:t>”</w:t>
      </w:r>
      <w:r>
        <w:rPr>
          <w:rFonts w:hint="eastAsia" w:ascii="宋体" w:hAnsi="宋体" w:eastAsia="宋体" w:cs="宋体"/>
          <w:spacing w:val="-4"/>
        </w:rPr>
        <w:t>第</w:t>
      </w:r>
      <w:r>
        <w:rPr>
          <w:rFonts w:hint="eastAsia" w:ascii="宋体" w:hAnsi="宋体" w:eastAsia="宋体" w:cs="宋体"/>
          <w:spacing w:val="-52"/>
        </w:rPr>
        <w:t xml:space="preserve"> </w:t>
      </w:r>
      <w:r>
        <w:rPr>
          <w:rFonts w:hint="eastAsia" w:ascii="宋体" w:hAnsi="宋体" w:eastAsia="宋体" w:cs="宋体"/>
          <w:spacing w:val="-4"/>
        </w:rPr>
        <w:t>4.3</w:t>
      </w:r>
      <w:r>
        <w:rPr>
          <w:rFonts w:hint="eastAsia" w:ascii="宋体" w:hAnsi="宋体" w:eastAsia="宋体" w:cs="宋体"/>
          <w:spacing w:val="-41"/>
        </w:rPr>
        <w:t xml:space="preserve"> </w:t>
      </w:r>
      <w:r>
        <w:rPr>
          <w:rFonts w:hint="eastAsia" w:ascii="宋体" w:hAnsi="宋体" w:eastAsia="宋体" w:cs="宋体"/>
          <w:spacing w:val="-4"/>
        </w:rPr>
        <w:t>条规定的情形外，在采</w:t>
      </w:r>
      <w:r>
        <w:rPr>
          <w:rFonts w:hint="eastAsia" w:ascii="宋体" w:hAnsi="宋体" w:eastAsia="宋体" w:cs="宋体"/>
          <w:spacing w:val="1"/>
        </w:rPr>
        <w:t>购过程中符合要求的供应商或者报价未超过采购预算的</w:t>
      </w:r>
      <w:r>
        <w:rPr>
          <w:rFonts w:hint="eastAsia" w:ascii="宋体" w:hAnsi="宋体" w:eastAsia="宋体" w:cs="宋体"/>
        </w:rPr>
        <w:t>供应商不足3</w:t>
      </w:r>
      <w:r>
        <w:rPr>
          <w:rFonts w:hint="eastAsia" w:ascii="宋体" w:hAnsi="宋体" w:eastAsia="宋体" w:cs="宋体"/>
          <w:spacing w:val="-41"/>
        </w:rPr>
        <w:t xml:space="preserve"> </w:t>
      </w:r>
      <w:r>
        <w:rPr>
          <w:rFonts w:hint="eastAsia" w:ascii="宋体" w:hAnsi="宋体" w:eastAsia="宋体" w:cs="宋体"/>
        </w:rPr>
        <w:t>家的。</w:t>
      </w:r>
    </w:p>
    <w:p w14:paraId="3D247E5E">
      <w:pPr>
        <w:pStyle w:val="3"/>
        <w:shd w:val="clear"/>
        <w:spacing w:line="400" w:lineRule="auto"/>
        <w:ind w:left="1" w:right="83" w:firstLine="474"/>
        <w:jc w:val="both"/>
        <w:rPr>
          <w:rFonts w:hint="eastAsia" w:ascii="宋体" w:hAnsi="宋体" w:eastAsia="宋体" w:cs="宋体"/>
        </w:rPr>
      </w:pPr>
      <w:r>
        <w:rPr>
          <w:rFonts w:hint="eastAsia" w:ascii="宋体" w:hAnsi="宋体" w:eastAsia="宋体" w:cs="宋体"/>
          <w:spacing w:val="2"/>
        </w:rPr>
        <w:t>27.4 在采购活动中因重大变故，采购任务</w:t>
      </w:r>
      <w:r>
        <w:rPr>
          <w:rFonts w:hint="eastAsia" w:ascii="宋体" w:hAnsi="宋体" w:eastAsia="宋体" w:cs="宋体"/>
          <w:spacing w:val="1"/>
        </w:rPr>
        <w:t>取消的，采购人或者采购代理机构应当</w:t>
      </w:r>
      <w:r>
        <w:rPr>
          <w:rFonts w:hint="eastAsia" w:ascii="宋体" w:hAnsi="宋体" w:eastAsia="宋体" w:cs="宋体"/>
          <w:spacing w:val="-2"/>
        </w:rPr>
        <w:t>终止采购活动，通知所有参加采购活动的供应商，并将项目实施情况和采购任务取消原因报送本级财政部门。</w:t>
      </w:r>
    </w:p>
    <w:p w14:paraId="3009F137">
      <w:pPr>
        <w:shd w:val="clear"/>
        <w:spacing w:line="221" w:lineRule="auto"/>
        <w:ind w:left="472"/>
        <w:rPr>
          <w:rFonts w:hint="eastAsia" w:ascii="宋体" w:hAnsi="宋体" w:eastAsia="宋体" w:cs="宋体"/>
          <w:sz w:val="24"/>
          <w:szCs w:val="24"/>
        </w:rPr>
      </w:pPr>
      <w:r>
        <w:rPr>
          <w:rFonts w:hint="eastAsia" w:ascii="宋体" w:hAnsi="宋体" w:eastAsia="宋体" w:cs="宋体"/>
          <w:b/>
          <w:bCs/>
          <w:spacing w:val="-3"/>
          <w:sz w:val="24"/>
          <w:szCs w:val="24"/>
        </w:rPr>
        <w:t>28.履约保证金</w:t>
      </w:r>
    </w:p>
    <w:p w14:paraId="767FB2AE">
      <w:pPr>
        <w:pStyle w:val="3"/>
        <w:shd w:val="clear"/>
        <w:spacing w:before="229" w:line="401" w:lineRule="auto"/>
        <w:ind w:left="4" w:firstLine="471"/>
        <w:rPr>
          <w:rFonts w:hint="eastAsia" w:ascii="宋体" w:hAnsi="宋体" w:eastAsia="宋体" w:cs="宋体"/>
        </w:rPr>
      </w:pPr>
      <w:r>
        <w:rPr>
          <w:rFonts w:hint="eastAsia" w:ascii="宋体" w:hAnsi="宋体" w:eastAsia="宋体" w:cs="宋体"/>
          <w:spacing w:val="-9"/>
        </w:rPr>
        <w:t>28.1 履约保证金的金额、提交方式、退付的时间和条件详见“</w:t>
      </w:r>
      <w:r>
        <w:rPr>
          <w:rFonts w:hint="eastAsia" w:ascii="宋体" w:hAnsi="宋体" w:eastAsia="宋体" w:cs="宋体"/>
          <w:spacing w:val="-10"/>
        </w:rPr>
        <w:t>供应商须知前附表</w:t>
      </w:r>
      <w:r>
        <w:rPr>
          <w:rFonts w:hint="eastAsia" w:ascii="宋体" w:hAnsi="宋体" w:eastAsia="宋体" w:cs="宋体"/>
          <w:spacing w:val="-88"/>
        </w:rPr>
        <w:t xml:space="preserve"> </w:t>
      </w:r>
      <w:r>
        <w:rPr>
          <w:rFonts w:hint="eastAsia" w:ascii="宋体" w:hAnsi="宋体" w:eastAsia="宋体" w:cs="宋体"/>
          <w:spacing w:val="-10"/>
        </w:rPr>
        <w:t>”。</w:t>
      </w:r>
      <w:r>
        <w:rPr>
          <w:rFonts w:hint="eastAsia" w:ascii="宋体" w:hAnsi="宋体" w:eastAsia="宋体" w:cs="宋体"/>
          <w:spacing w:val="-1"/>
        </w:rPr>
        <w:t>成交供应商未按规定提交履约保证金的，视为拒绝与采购人签订合同。</w:t>
      </w:r>
    </w:p>
    <w:p w14:paraId="141A793B">
      <w:pPr>
        <w:pStyle w:val="3"/>
        <w:shd w:val="clear"/>
        <w:spacing w:before="3" w:line="399" w:lineRule="auto"/>
        <w:ind w:left="2" w:right="83" w:firstLine="473"/>
        <w:rPr>
          <w:rFonts w:hint="eastAsia" w:ascii="宋体" w:hAnsi="宋体" w:eastAsia="宋体" w:cs="宋体"/>
        </w:rPr>
      </w:pPr>
      <w:r>
        <w:rPr>
          <w:rFonts w:hint="eastAsia" w:ascii="宋体" w:hAnsi="宋体" w:eastAsia="宋体" w:cs="宋体"/>
          <w:spacing w:val="-4"/>
        </w:rPr>
        <w:t>28.2</w:t>
      </w:r>
      <w:r>
        <w:rPr>
          <w:rFonts w:hint="eastAsia" w:ascii="宋体" w:hAnsi="宋体" w:eastAsia="宋体" w:cs="宋体"/>
          <w:spacing w:val="-29"/>
        </w:rPr>
        <w:t xml:space="preserve"> </w:t>
      </w:r>
      <w:r>
        <w:rPr>
          <w:rFonts w:hint="eastAsia" w:ascii="宋体" w:hAnsi="宋体" w:eastAsia="宋体" w:cs="宋体"/>
          <w:spacing w:val="-4"/>
        </w:rPr>
        <w:t>在履约保证金退还日期前，若成交供应商的开户名称、开户银行、账号有变动</w:t>
      </w:r>
      <w:r>
        <w:rPr>
          <w:rFonts w:hint="eastAsia" w:ascii="宋体" w:hAnsi="宋体" w:eastAsia="宋体" w:cs="宋体"/>
          <w:spacing w:val="-2"/>
        </w:rPr>
        <w:t>的，请以书面形式通知履约保证金收取单位，否则由此产生的后果由成交供应商自行承</w:t>
      </w:r>
      <w:r>
        <w:rPr>
          <w:rFonts w:hint="eastAsia" w:ascii="宋体" w:hAnsi="宋体" w:eastAsia="宋体" w:cs="宋体"/>
          <w:spacing w:val="-9"/>
        </w:rPr>
        <w:t>担。</w:t>
      </w:r>
    </w:p>
    <w:p w14:paraId="6BD2CE93">
      <w:pPr>
        <w:shd w:val="clear"/>
        <w:spacing w:line="223" w:lineRule="auto"/>
        <w:ind w:left="472"/>
        <w:rPr>
          <w:rFonts w:hint="eastAsia" w:ascii="宋体" w:hAnsi="宋体" w:eastAsia="宋体" w:cs="宋体"/>
          <w:sz w:val="24"/>
          <w:szCs w:val="24"/>
        </w:rPr>
      </w:pPr>
      <w:r>
        <w:rPr>
          <w:rFonts w:hint="eastAsia" w:ascii="宋体" w:hAnsi="宋体" w:eastAsia="宋体" w:cs="宋体"/>
          <w:b/>
          <w:bCs/>
          <w:spacing w:val="-3"/>
          <w:sz w:val="24"/>
          <w:szCs w:val="24"/>
        </w:rPr>
        <w:t>29.签订合同</w:t>
      </w:r>
    </w:p>
    <w:p w14:paraId="7CF9278D">
      <w:pPr>
        <w:pStyle w:val="3"/>
        <w:shd w:val="clear"/>
        <w:spacing w:before="229" w:line="400" w:lineRule="auto"/>
        <w:ind w:left="1" w:right="6" w:firstLine="474"/>
        <w:jc w:val="both"/>
        <w:rPr>
          <w:rFonts w:hint="eastAsia" w:ascii="宋体" w:hAnsi="宋体" w:eastAsia="宋体" w:cs="宋体"/>
        </w:rPr>
      </w:pPr>
      <w:r>
        <w:rPr>
          <w:rFonts w:hint="eastAsia" w:ascii="宋体" w:hAnsi="宋体" w:eastAsia="宋体" w:cs="宋体"/>
          <w:spacing w:val="-8"/>
        </w:rPr>
        <w:t>29.1</w:t>
      </w:r>
      <w:r>
        <w:rPr>
          <w:rFonts w:hint="eastAsia" w:ascii="宋体" w:hAnsi="宋体" w:eastAsia="宋体" w:cs="宋体"/>
          <w:spacing w:val="-32"/>
        </w:rPr>
        <w:t xml:space="preserve"> </w:t>
      </w:r>
      <w:r>
        <w:rPr>
          <w:rFonts w:hint="eastAsia" w:ascii="宋体" w:hAnsi="宋体" w:eastAsia="宋体" w:cs="宋体"/>
          <w:spacing w:val="-8"/>
        </w:rPr>
        <w:t>签订电子采购合同：成交供应商领取电子成交通知书后，在规定的日期、时间、</w:t>
      </w:r>
      <w:r>
        <w:rPr>
          <w:rFonts w:hint="eastAsia" w:ascii="宋体" w:hAnsi="宋体" w:eastAsia="宋体" w:cs="宋体"/>
          <w:spacing w:val="-2"/>
        </w:rPr>
        <w:t>地点，由法定代表人或其授权代表与采购人代表签订电子采购合同。如成交供应商为联</w:t>
      </w:r>
      <w:r>
        <w:rPr>
          <w:rFonts w:hint="eastAsia" w:ascii="宋体" w:hAnsi="宋体" w:eastAsia="宋体" w:cs="宋体"/>
          <w:spacing w:val="-1"/>
        </w:rPr>
        <w:t>合体的，由联合体成员各方法定代表人或其授权代表与采购人代表签订合同。</w:t>
      </w:r>
    </w:p>
    <w:p w14:paraId="641ED324">
      <w:pPr>
        <w:pStyle w:val="3"/>
        <w:shd w:val="clear"/>
        <w:spacing w:before="1" w:line="400" w:lineRule="auto"/>
        <w:ind w:right="83" w:firstLine="487"/>
        <w:rPr>
          <w:rFonts w:hint="eastAsia" w:ascii="宋体" w:hAnsi="宋体" w:eastAsia="宋体" w:cs="宋体"/>
        </w:rPr>
      </w:pPr>
      <w:r>
        <w:rPr>
          <w:rFonts w:hint="eastAsia" w:ascii="宋体" w:hAnsi="宋体" w:eastAsia="宋体" w:cs="宋体"/>
          <w:spacing w:val="-3"/>
        </w:rPr>
        <w:t>线下签订纸质合同：供应商领取成交通知书后，按“供应商须知前附表</w:t>
      </w:r>
      <w:r>
        <w:rPr>
          <w:rFonts w:hint="eastAsia" w:ascii="宋体" w:hAnsi="宋体" w:eastAsia="宋体" w:cs="宋体"/>
          <w:spacing w:val="-85"/>
        </w:rPr>
        <w:t xml:space="preserve"> </w:t>
      </w:r>
      <w:r>
        <w:rPr>
          <w:rFonts w:hint="eastAsia" w:ascii="宋体" w:hAnsi="宋体" w:eastAsia="宋体" w:cs="宋体"/>
          <w:spacing w:val="-3"/>
        </w:rPr>
        <w:t>”规定向采</w:t>
      </w:r>
      <w:r>
        <w:rPr>
          <w:rFonts w:hint="eastAsia" w:ascii="宋体" w:hAnsi="宋体" w:eastAsia="宋体" w:cs="宋体"/>
          <w:spacing w:val="-1"/>
        </w:rPr>
        <w:t>购人出示相关证明材料，经采购人核验合格后方可签订合同。</w:t>
      </w:r>
    </w:p>
    <w:p w14:paraId="1CFB8781">
      <w:pPr>
        <w:pStyle w:val="3"/>
        <w:shd w:val="clear"/>
        <w:spacing w:before="1" w:line="222" w:lineRule="auto"/>
        <w:ind w:left="476"/>
        <w:rPr>
          <w:rFonts w:hint="eastAsia" w:ascii="宋体" w:hAnsi="宋体" w:eastAsia="宋体" w:cs="宋体"/>
        </w:rPr>
      </w:pPr>
      <w:r>
        <w:rPr>
          <w:rFonts w:hint="eastAsia" w:ascii="宋体" w:hAnsi="宋体" w:eastAsia="宋体" w:cs="宋体"/>
          <w:spacing w:val="-1"/>
        </w:rPr>
        <w:t>29.2</w:t>
      </w:r>
      <w:r>
        <w:rPr>
          <w:rFonts w:hint="eastAsia" w:ascii="宋体" w:hAnsi="宋体" w:eastAsia="宋体" w:cs="宋体"/>
          <w:spacing w:val="-39"/>
        </w:rPr>
        <w:t xml:space="preserve"> </w:t>
      </w:r>
      <w:r>
        <w:rPr>
          <w:rFonts w:hint="eastAsia" w:ascii="宋体" w:hAnsi="宋体" w:eastAsia="宋体" w:cs="宋体"/>
          <w:spacing w:val="-1"/>
        </w:rPr>
        <w:t>签订合同时间：按成交通知书规定的时间与采购人签订</w:t>
      </w:r>
      <w:r>
        <w:rPr>
          <w:rFonts w:hint="eastAsia" w:ascii="宋体" w:hAnsi="宋体" w:eastAsia="宋体" w:cs="宋体"/>
          <w:spacing w:val="-2"/>
        </w:rPr>
        <w:t>合同。</w:t>
      </w:r>
    </w:p>
    <w:p w14:paraId="17E07AA4">
      <w:pPr>
        <w:pStyle w:val="3"/>
        <w:shd w:val="clear"/>
        <w:spacing w:before="230" w:line="400" w:lineRule="auto"/>
        <w:ind w:left="5" w:right="83" w:firstLine="470"/>
        <w:rPr>
          <w:rFonts w:hint="eastAsia" w:ascii="宋体" w:hAnsi="宋体" w:eastAsia="宋体" w:cs="宋体"/>
        </w:rPr>
      </w:pPr>
      <w:r>
        <w:rPr>
          <w:rFonts w:hint="eastAsia" w:ascii="宋体" w:hAnsi="宋体" w:eastAsia="宋体" w:cs="宋体"/>
          <w:spacing w:val="-4"/>
        </w:rPr>
        <w:t>29.3</w:t>
      </w:r>
      <w:r>
        <w:rPr>
          <w:rFonts w:hint="eastAsia" w:ascii="宋体" w:hAnsi="宋体" w:eastAsia="宋体" w:cs="宋体"/>
          <w:spacing w:val="-29"/>
        </w:rPr>
        <w:t xml:space="preserve"> </w:t>
      </w:r>
      <w:r>
        <w:rPr>
          <w:rFonts w:hint="eastAsia" w:ascii="宋体" w:hAnsi="宋体" w:eastAsia="宋体" w:cs="宋体"/>
          <w:spacing w:val="-4"/>
        </w:rPr>
        <w:t>成交供应商拒绝签订政府采购合同（包括但不限于放弃成交、因不可抗力不能</w:t>
      </w:r>
      <w:r>
        <w:rPr>
          <w:rFonts w:hint="eastAsia" w:ascii="宋体" w:hAnsi="宋体" w:eastAsia="宋体" w:cs="宋体"/>
          <w:spacing w:val="-2"/>
        </w:rPr>
        <w:t>履行合同而放弃签订合同</w:t>
      </w:r>
      <w:r>
        <w:rPr>
          <w:rFonts w:hint="eastAsia" w:ascii="宋体" w:hAnsi="宋体" w:eastAsia="宋体" w:cs="宋体"/>
          <w:spacing w:val="1"/>
        </w:rPr>
        <w:t>），</w:t>
      </w:r>
      <w:r>
        <w:rPr>
          <w:rFonts w:hint="eastAsia" w:ascii="宋体" w:hAnsi="宋体" w:eastAsia="宋体" w:cs="宋体"/>
          <w:spacing w:val="-2"/>
        </w:rPr>
        <w:t>采购人可以按照评审报告推荐的成交候选人名单排序，确定下一候选人为成交供应商，也可以重新开展政府采购活动。如采购人无正当理由拒签</w:t>
      </w:r>
      <w:r>
        <w:rPr>
          <w:rFonts w:hint="eastAsia" w:ascii="宋体" w:hAnsi="宋体" w:eastAsia="宋体" w:cs="宋体"/>
          <w:spacing w:val="-1"/>
        </w:rPr>
        <w:t>合同的，给成交供应商造成损失的，成交供应商可追究采购人承担相应的法律责任。</w:t>
      </w:r>
    </w:p>
    <w:p w14:paraId="626C3DFA">
      <w:pPr>
        <w:pStyle w:val="3"/>
        <w:shd w:val="clear"/>
        <w:spacing w:before="231" w:line="400" w:lineRule="auto"/>
        <w:ind w:left="3" w:right="65" w:firstLine="472"/>
        <w:rPr>
          <w:rFonts w:hint="eastAsia" w:ascii="宋体" w:hAnsi="宋体" w:eastAsia="宋体" w:cs="宋体"/>
        </w:rPr>
      </w:pPr>
      <w:r>
        <w:rPr>
          <w:rFonts w:hint="eastAsia" w:ascii="宋体" w:hAnsi="宋体" w:eastAsia="宋体" w:cs="宋体"/>
          <w:spacing w:val="-4"/>
        </w:rPr>
        <w:t>29.4</w:t>
      </w:r>
      <w:r>
        <w:rPr>
          <w:rFonts w:hint="eastAsia" w:ascii="宋体" w:hAnsi="宋体" w:eastAsia="宋体" w:cs="宋体"/>
          <w:spacing w:val="-29"/>
        </w:rPr>
        <w:t xml:space="preserve"> </w:t>
      </w:r>
      <w:r>
        <w:rPr>
          <w:rFonts w:hint="eastAsia" w:ascii="宋体" w:hAnsi="宋体" w:eastAsia="宋体" w:cs="宋体"/>
          <w:spacing w:val="-4"/>
        </w:rPr>
        <w:t>政府采购合同是政府采购项目验收的依据，成交供应商和采购人应当按照采购</w:t>
      </w:r>
      <w:r>
        <w:rPr>
          <w:rFonts w:hint="eastAsia" w:ascii="宋体" w:hAnsi="宋体" w:eastAsia="宋体" w:cs="宋体"/>
          <w:spacing w:val="-2"/>
        </w:rPr>
        <w:t>合同约定的各自的权利和义务全面履行合同。任何一方当事人在履行合同过程中均不得</w:t>
      </w:r>
      <w:r>
        <w:rPr>
          <w:rFonts w:hint="eastAsia" w:ascii="宋体" w:hAnsi="宋体" w:eastAsia="宋体" w:cs="宋体"/>
          <w:spacing w:val="-6"/>
        </w:rPr>
        <w:t>擅自变更、中止或终止合同。政府采购合同继续履行将损害国家利益和社会公</w:t>
      </w:r>
      <w:r>
        <w:rPr>
          <w:rFonts w:hint="eastAsia" w:ascii="宋体" w:hAnsi="宋体" w:eastAsia="宋体" w:cs="宋体"/>
          <w:spacing w:val="-7"/>
        </w:rPr>
        <w:t>共利益的，</w:t>
      </w:r>
      <w:r>
        <w:rPr>
          <w:rFonts w:hint="eastAsia" w:ascii="宋体" w:hAnsi="宋体" w:eastAsia="宋体" w:cs="宋体"/>
          <w:spacing w:val="-2"/>
        </w:rPr>
        <w:t>双方当事人应当变更、中止或终止合同。有过错的一方应当承担赔偿责任，双方都有过错的，各自承担相应的责任。</w:t>
      </w:r>
    </w:p>
    <w:p w14:paraId="4A4B7BE6">
      <w:pPr>
        <w:pStyle w:val="3"/>
        <w:shd w:val="clear"/>
        <w:spacing w:before="231" w:line="400" w:lineRule="auto"/>
        <w:ind w:left="3" w:right="65" w:firstLine="472"/>
        <w:rPr>
          <w:rFonts w:hint="eastAsia" w:ascii="宋体" w:hAnsi="宋体" w:eastAsia="宋体" w:cs="宋体"/>
        </w:rPr>
      </w:pPr>
      <w:r>
        <w:rPr>
          <w:rFonts w:hint="eastAsia" w:ascii="宋体" w:hAnsi="宋体" w:eastAsia="宋体" w:cs="宋体"/>
          <w:spacing w:val="3"/>
        </w:rPr>
        <w:t>29.5</w:t>
      </w:r>
      <w:r>
        <w:rPr>
          <w:rFonts w:hint="eastAsia" w:ascii="宋体" w:hAnsi="宋体" w:eastAsia="宋体" w:cs="宋体"/>
          <w:spacing w:val="-37"/>
        </w:rPr>
        <w:t xml:space="preserve"> </w:t>
      </w:r>
      <w:r>
        <w:rPr>
          <w:rFonts w:hint="eastAsia" w:ascii="宋体" w:hAnsi="宋体" w:eastAsia="宋体" w:cs="宋体"/>
          <w:spacing w:val="3"/>
        </w:rPr>
        <w:t>采购人或成交供应商不得单方面向合同另</w:t>
      </w:r>
      <w:r>
        <w:rPr>
          <w:rFonts w:hint="eastAsia" w:ascii="宋体" w:hAnsi="宋体" w:eastAsia="宋体" w:cs="宋体"/>
          <w:spacing w:val="2"/>
        </w:rPr>
        <w:t>一方提出任何磋商文件没有约定的</w:t>
      </w:r>
      <w:r>
        <w:rPr>
          <w:rFonts w:hint="eastAsia" w:ascii="宋体" w:hAnsi="宋体" w:eastAsia="宋体" w:cs="宋体"/>
          <w:spacing w:val="-2"/>
        </w:rPr>
        <w:t>条件或不合理的要求，作为签订合同的条件；也不得协商另行订立背离磋商文件和合同</w:t>
      </w:r>
      <w:r>
        <w:rPr>
          <w:rFonts w:hint="eastAsia" w:ascii="宋体" w:hAnsi="宋体" w:eastAsia="宋体" w:cs="宋体"/>
          <w:spacing w:val="-3"/>
        </w:rPr>
        <w:t>实质性内容的协议。</w:t>
      </w:r>
    </w:p>
    <w:p w14:paraId="7F784314">
      <w:pPr>
        <w:pStyle w:val="3"/>
        <w:shd w:val="clear"/>
        <w:spacing w:line="400" w:lineRule="auto"/>
        <w:ind w:left="2" w:right="65" w:firstLine="473"/>
        <w:rPr>
          <w:rFonts w:hint="eastAsia" w:ascii="宋体" w:hAnsi="宋体" w:eastAsia="宋体" w:cs="宋体"/>
        </w:rPr>
      </w:pPr>
      <w:r>
        <w:rPr>
          <w:rFonts w:hint="eastAsia" w:ascii="宋体" w:hAnsi="宋体" w:eastAsia="宋体" w:cs="宋体"/>
          <w:spacing w:val="-4"/>
        </w:rPr>
        <w:t>29.6</w:t>
      </w:r>
      <w:r>
        <w:rPr>
          <w:rFonts w:hint="eastAsia" w:ascii="宋体" w:hAnsi="宋体" w:eastAsia="宋体" w:cs="宋体"/>
          <w:spacing w:val="-29"/>
        </w:rPr>
        <w:t xml:space="preserve"> </w:t>
      </w:r>
      <w:r>
        <w:rPr>
          <w:rFonts w:hint="eastAsia" w:ascii="宋体" w:hAnsi="宋体" w:eastAsia="宋体" w:cs="宋体"/>
          <w:spacing w:val="-4"/>
        </w:rPr>
        <w:t>如签订合同并生效后，供应商无故拒绝或延期，除按照合同条款处理外，将承</w:t>
      </w:r>
      <w:r>
        <w:rPr>
          <w:rFonts w:hint="eastAsia" w:ascii="宋体" w:hAnsi="宋体" w:eastAsia="宋体" w:cs="宋体"/>
          <w:spacing w:val="-2"/>
        </w:rPr>
        <w:t>担相应的法律责任。</w:t>
      </w:r>
    </w:p>
    <w:p w14:paraId="67FC57EA">
      <w:pPr>
        <w:pStyle w:val="3"/>
        <w:shd w:val="clear"/>
        <w:spacing w:before="3" w:line="399" w:lineRule="auto"/>
        <w:ind w:left="2" w:firstLine="473"/>
        <w:rPr>
          <w:rFonts w:hint="eastAsia" w:ascii="宋体" w:hAnsi="宋体" w:eastAsia="宋体" w:cs="宋体"/>
        </w:rPr>
      </w:pPr>
      <w:r>
        <w:rPr>
          <w:rFonts w:hint="eastAsia" w:ascii="宋体" w:hAnsi="宋体" w:eastAsia="宋体" w:cs="宋体"/>
          <w:spacing w:val="-8"/>
        </w:rPr>
        <w:t>29.7</w:t>
      </w:r>
      <w:r>
        <w:rPr>
          <w:rFonts w:hint="eastAsia" w:ascii="宋体" w:hAnsi="宋体" w:eastAsia="宋体" w:cs="宋体"/>
          <w:spacing w:val="-43"/>
        </w:rPr>
        <w:t xml:space="preserve"> </w:t>
      </w:r>
      <w:r>
        <w:rPr>
          <w:rFonts w:hint="eastAsia" w:ascii="宋体" w:hAnsi="宋体" w:eastAsia="宋体" w:cs="宋体"/>
          <w:spacing w:val="-8"/>
        </w:rPr>
        <w:t>政府采购合同履行中，采购人需追加与合同标的相同的货物、工程或者服务的，</w:t>
      </w:r>
      <w:r>
        <w:rPr>
          <w:rFonts w:hint="eastAsia" w:ascii="宋体" w:hAnsi="宋体" w:eastAsia="宋体" w:cs="宋体"/>
          <w:spacing w:val="-2"/>
        </w:rPr>
        <w:t>在不改变合同其他条款的前提下，可以与供应商协商签订补充合同，但所有补充合同的</w:t>
      </w:r>
      <w:r>
        <w:rPr>
          <w:rFonts w:hint="eastAsia" w:ascii="宋体" w:hAnsi="宋体" w:eastAsia="宋体" w:cs="宋体"/>
          <w:spacing w:val="-3"/>
        </w:rPr>
        <w:t>采购金额不得超过原合同采购金额的</w:t>
      </w:r>
      <w:r>
        <w:rPr>
          <w:rFonts w:hint="eastAsia" w:ascii="宋体" w:hAnsi="宋体" w:eastAsia="宋体" w:cs="宋体"/>
          <w:spacing w:val="-19"/>
        </w:rPr>
        <w:t xml:space="preserve"> </w:t>
      </w:r>
      <w:r>
        <w:rPr>
          <w:rFonts w:hint="eastAsia" w:ascii="宋体" w:hAnsi="宋体" w:eastAsia="宋体" w:cs="宋体"/>
          <w:spacing w:val="-3"/>
        </w:rPr>
        <w:t>10%。</w:t>
      </w:r>
    </w:p>
    <w:p w14:paraId="0F4329C8">
      <w:pPr>
        <w:shd w:val="clear"/>
        <w:spacing w:line="223" w:lineRule="auto"/>
        <w:ind w:left="474"/>
        <w:rPr>
          <w:rFonts w:hint="eastAsia" w:ascii="宋体" w:hAnsi="宋体" w:eastAsia="宋体" w:cs="宋体"/>
          <w:sz w:val="24"/>
          <w:szCs w:val="24"/>
        </w:rPr>
      </w:pPr>
      <w:r>
        <w:rPr>
          <w:rFonts w:hint="eastAsia" w:ascii="宋体" w:hAnsi="宋体" w:eastAsia="宋体" w:cs="宋体"/>
          <w:b/>
          <w:bCs/>
          <w:spacing w:val="-3"/>
          <w:sz w:val="24"/>
          <w:szCs w:val="24"/>
        </w:rPr>
        <w:t>30.政府采购合同公告</w:t>
      </w:r>
    </w:p>
    <w:p w14:paraId="6147A07F">
      <w:pPr>
        <w:pStyle w:val="3"/>
        <w:shd w:val="clear"/>
        <w:spacing w:before="230" w:line="400" w:lineRule="auto"/>
        <w:ind w:right="65" w:firstLine="481"/>
        <w:jc w:val="both"/>
        <w:rPr>
          <w:rFonts w:hint="eastAsia" w:ascii="宋体" w:hAnsi="宋体" w:eastAsia="宋体" w:cs="宋体"/>
        </w:rPr>
      </w:pPr>
      <w:r>
        <w:rPr>
          <w:rFonts w:hint="eastAsia" w:ascii="宋体" w:hAnsi="宋体" w:eastAsia="宋体" w:cs="宋体"/>
          <w:spacing w:val="-2"/>
        </w:rPr>
        <w:t>根据《中华人民共和国政府采购法实施条例》第五十条规定，采购人应当自政府采</w:t>
      </w:r>
      <w:r>
        <w:rPr>
          <w:rFonts w:hint="eastAsia" w:ascii="宋体" w:hAnsi="宋体" w:eastAsia="宋体" w:cs="宋体"/>
          <w:spacing w:val="-1"/>
        </w:rPr>
        <w:t>购合同签订之日起2</w:t>
      </w:r>
      <w:r>
        <w:rPr>
          <w:rFonts w:hint="eastAsia" w:ascii="宋体" w:hAnsi="宋体" w:eastAsia="宋体" w:cs="宋体"/>
          <w:spacing w:val="-27"/>
        </w:rPr>
        <w:t xml:space="preserve"> </w:t>
      </w:r>
      <w:r>
        <w:rPr>
          <w:rFonts w:hint="eastAsia" w:ascii="宋体" w:hAnsi="宋体" w:eastAsia="宋体" w:cs="宋体"/>
          <w:spacing w:val="-1"/>
        </w:rPr>
        <w:t>个工作日内，将政府采购合同在省级以上人民政府财政部门指定的媒体上公告，但政府采购合同中涉及国家秘密、商业秘密的内容除外。</w:t>
      </w:r>
    </w:p>
    <w:p w14:paraId="567F7513">
      <w:pPr>
        <w:shd w:val="clear"/>
        <w:spacing w:before="1" w:line="220" w:lineRule="auto"/>
        <w:ind w:left="474"/>
        <w:rPr>
          <w:rFonts w:hint="eastAsia" w:ascii="宋体" w:hAnsi="宋体" w:eastAsia="宋体" w:cs="宋体"/>
          <w:sz w:val="24"/>
          <w:szCs w:val="24"/>
        </w:rPr>
      </w:pPr>
      <w:r>
        <w:rPr>
          <w:rFonts w:hint="eastAsia" w:ascii="宋体" w:hAnsi="宋体" w:eastAsia="宋体" w:cs="宋体"/>
          <w:b/>
          <w:bCs/>
          <w:spacing w:val="-3"/>
          <w:sz w:val="24"/>
          <w:szCs w:val="24"/>
        </w:rPr>
        <w:t>31.</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询问、质疑和投诉</w:t>
      </w:r>
    </w:p>
    <w:p w14:paraId="5C478C3A">
      <w:pPr>
        <w:pStyle w:val="3"/>
        <w:shd w:val="clear"/>
        <w:spacing w:before="234" w:line="400" w:lineRule="auto"/>
        <w:ind w:left="2" w:firstLine="475"/>
        <w:rPr>
          <w:rFonts w:hint="eastAsia" w:ascii="宋体" w:hAnsi="宋体" w:eastAsia="宋体" w:cs="宋体"/>
        </w:rPr>
      </w:pPr>
      <w:r>
        <w:rPr>
          <w:rFonts w:hint="eastAsia" w:ascii="宋体" w:hAnsi="宋体" w:eastAsia="宋体" w:cs="宋体"/>
          <w:spacing w:val="-8"/>
        </w:rPr>
        <w:t>31.1</w:t>
      </w:r>
      <w:r>
        <w:rPr>
          <w:rFonts w:hint="eastAsia" w:ascii="宋体" w:hAnsi="宋体" w:eastAsia="宋体" w:cs="宋体"/>
          <w:spacing w:val="-43"/>
        </w:rPr>
        <w:t xml:space="preserve"> </w:t>
      </w:r>
      <w:r>
        <w:rPr>
          <w:rFonts w:hint="eastAsia" w:ascii="宋体" w:hAnsi="宋体" w:eastAsia="宋体" w:cs="宋体"/>
          <w:spacing w:val="-8"/>
        </w:rPr>
        <w:t>供应商对政府采购活动事项有疑问的，可以向采购人、采购代理机构提出询</w:t>
      </w:r>
      <w:r>
        <w:rPr>
          <w:rFonts w:hint="eastAsia" w:ascii="宋体" w:hAnsi="宋体" w:eastAsia="宋体" w:cs="宋体"/>
          <w:spacing w:val="-9"/>
        </w:rPr>
        <w:t>问，</w:t>
      </w:r>
      <w:r>
        <w:rPr>
          <w:rFonts w:hint="eastAsia" w:ascii="宋体" w:hAnsi="宋体" w:eastAsia="宋体" w:cs="宋体"/>
          <w:spacing w:val="-1"/>
        </w:rPr>
        <w:t>采购人或者采购代理机构应当在3</w:t>
      </w:r>
      <w:r>
        <w:rPr>
          <w:rFonts w:hint="eastAsia" w:ascii="宋体" w:hAnsi="宋体" w:eastAsia="宋体" w:cs="宋体"/>
          <w:spacing w:val="-29"/>
        </w:rPr>
        <w:t xml:space="preserve"> </w:t>
      </w:r>
      <w:r>
        <w:rPr>
          <w:rFonts w:hint="eastAsia" w:ascii="宋体" w:hAnsi="宋体" w:eastAsia="宋体" w:cs="宋体"/>
          <w:spacing w:val="-1"/>
        </w:rPr>
        <w:t>个工作日内对供应商依法提出的询问作出答复，但答</w:t>
      </w:r>
      <w:r>
        <w:rPr>
          <w:rFonts w:hint="eastAsia" w:ascii="宋体" w:hAnsi="宋体" w:eastAsia="宋体" w:cs="宋体"/>
          <w:spacing w:val="-2"/>
        </w:rPr>
        <w:t>复的内容不得涉及商业秘密。</w:t>
      </w:r>
    </w:p>
    <w:p w14:paraId="074857B8">
      <w:pPr>
        <w:pStyle w:val="3"/>
        <w:shd w:val="clear"/>
        <w:spacing w:before="4" w:line="399" w:lineRule="auto"/>
        <w:ind w:right="12" w:firstLine="477"/>
        <w:rPr>
          <w:rFonts w:hint="eastAsia" w:ascii="宋体" w:hAnsi="宋体" w:eastAsia="宋体" w:cs="宋体"/>
        </w:rPr>
      </w:pPr>
      <w:r>
        <w:rPr>
          <w:rFonts w:hint="eastAsia" w:ascii="宋体" w:hAnsi="宋体" w:eastAsia="宋体" w:cs="宋体"/>
          <w:spacing w:val="-2"/>
        </w:rPr>
        <w:t>31.2</w:t>
      </w:r>
      <w:r>
        <w:rPr>
          <w:rFonts w:hint="eastAsia" w:ascii="宋体" w:hAnsi="宋体" w:eastAsia="宋体" w:cs="宋体"/>
          <w:spacing w:val="-43"/>
        </w:rPr>
        <w:t xml:space="preserve"> </w:t>
      </w:r>
      <w:r>
        <w:rPr>
          <w:rFonts w:hint="eastAsia" w:ascii="宋体" w:hAnsi="宋体" w:eastAsia="宋体" w:cs="宋体"/>
          <w:spacing w:val="-2"/>
        </w:rPr>
        <w:t>供应商认为磋商文件、采购过程或者成交结果使自己的</w:t>
      </w:r>
      <w:r>
        <w:rPr>
          <w:rFonts w:hint="eastAsia" w:ascii="宋体" w:hAnsi="宋体" w:eastAsia="宋体" w:cs="宋体"/>
          <w:spacing w:val="-3"/>
        </w:rPr>
        <w:t>合法权益受到损害的，应当在知道或者应知其权益受到损害之日起</w:t>
      </w:r>
      <w:r>
        <w:rPr>
          <w:rFonts w:hint="eastAsia" w:ascii="宋体" w:hAnsi="宋体" w:eastAsia="宋体" w:cs="宋体"/>
          <w:spacing w:val="-28"/>
        </w:rPr>
        <w:t xml:space="preserve"> </w:t>
      </w:r>
      <w:r>
        <w:rPr>
          <w:rFonts w:hint="eastAsia" w:ascii="宋体" w:hAnsi="宋体" w:eastAsia="宋体" w:cs="宋体"/>
          <w:spacing w:val="-3"/>
        </w:rPr>
        <w:t>7</w:t>
      </w:r>
      <w:r>
        <w:rPr>
          <w:rFonts w:hint="eastAsia" w:ascii="宋体" w:hAnsi="宋体" w:eastAsia="宋体" w:cs="宋体"/>
          <w:spacing w:val="-43"/>
        </w:rPr>
        <w:t xml:space="preserve"> </w:t>
      </w:r>
      <w:r>
        <w:rPr>
          <w:rFonts w:hint="eastAsia" w:ascii="宋体" w:hAnsi="宋体" w:eastAsia="宋体" w:cs="宋体"/>
          <w:spacing w:val="-3"/>
        </w:rPr>
        <w:t>个工作日内，以书面形式向采购人、采购</w:t>
      </w:r>
      <w:r>
        <w:rPr>
          <w:rFonts w:hint="eastAsia" w:ascii="宋体" w:hAnsi="宋体" w:eastAsia="宋体" w:cs="宋体"/>
          <w:spacing w:val="-8"/>
        </w:rPr>
        <w:t>代理机构提出质疑，接收质疑函的方式、联系部门、联系电话和通讯地址等信息详见“供</w:t>
      </w:r>
      <w:r>
        <w:rPr>
          <w:rFonts w:hint="eastAsia" w:ascii="宋体" w:hAnsi="宋体" w:eastAsia="宋体" w:cs="宋体"/>
          <w:spacing w:val="-3"/>
        </w:rPr>
        <w:t>应商须知前附表</w:t>
      </w:r>
      <w:r>
        <w:rPr>
          <w:rFonts w:hint="eastAsia" w:ascii="宋体" w:hAnsi="宋体" w:eastAsia="宋体" w:cs="宋体"/>
          <w:spacing w:val="-77"/>
        </w:rPr>
        <w:t xml:space="preserve"> </w:t>
      </w:r>
      <w:r>
        <w:rPr>
          <w:rFonts w:hint="eastAsia" w:ascii="宋体" w:hAnsi="宋体" w:eastAsia="宋体" w:cs="宋体"/>
          <w:spacing w:val="-3"/>
        </w:rPr>
        <w:t>”。具体质疑起算时间如下：</w:t>
      </w:r>
    </w:p>
    <w:p w14:paraId="05A4CE4C">
      <w:pPr>
        <w:pStyle w:val="3"/>
        <w:shd w:val="clear"/>
        <w:spacing w:before="2" w:line="400" w:lineRule="auto"/>
        <w:ind w:right="65" w:firstLine="485"/>
        <w:rPr>
          <w:rFonts w:hint="eastAsia" w:ascii="宋体" w:hAnsi="宋体" w:eastAsia="宋体" w:cs="宋体"/>
        </w:rPr>
      </w:pPr>
      <w:r>
        <w:rPr>
          <w:rFonts w:hint="eastAsia" w:ascii="宋体" w:hAnsi="宋体" w:eastAsia="宋体" w:cs="宋体"/>
          <w:spacing w:val="1"/>
        </w:rPr>
        <w:t>（1）对可以质疑的磋商文件提出质疑的，为收到磋商文件之日或者竞争性磋商公</w:t>
      </w:r>
      <w:r>
        <w:rPr>
          <w:rFonts w:hint="eastAsia" w:ascii="宋体" w:hAnsi="宋体" w:eastAsia="宋体" w:cs="宋体"/>
          <w:spacing w:val="-2"/>
        </w:rPr>
        <w:t>告期限届满之日；</w:t>
      </w:r>
    </w:p>
    <w:p w14:paraId="0D46FBA4">
      <w:pPr>
        <w:pStyle w:val="3"/>
        <w:shd w:val="clear"/>
        <w:spacing w:before="2" w:line="400" w:lineRule="auto"/>
        <w:ind w:right="65" w:firstLine="485"/>
        <w:rPr>
          <w:rFonts w:hint="eastAsia" w:ascii="宋体" w:hAnsi="宋体" w:eastAsia="宋体" w:cs="宋体"/>
          <w:spacing w:val="1"/>
        </w:rPr>
      </w:pPr>
      <w:r>
        <w:rPr>
          <w:rFonts w:hint="eastAsia" w:ascii="宋体" w:hAnsi="宋体" w:eastAsia="宋体" w:cs="宋体"/>
          <w:spacing w:val="1"/>
        </w:rPr>
        <w:t>（2）对采购过程提出质疑的，为各采购程序环节结束之日；</w:t>
      </w:r>
    </w:p>
    <w:p w14:paraId="731E7173">
      <w:pPr>
        <w:pStyle w:val="3"/>
        <w:shd w:val="clear"/>
        <w:spacing w:before="2" w:line="400" w:lineRule="auto"/>
        <w:ind w:right="65" w:firstLine="485"/>
        <w:rPr>
          <w:rFonts w:hint="eastAsia" w:ascii="宋体" w:hAnsi="宋体" w:eastAsia="宋体" w:cs="宋体"/>
          <w:spacing w:val="1"/>
        </w:rPr>
      </w:pPr>
      <w:r>
        <w:rPr>
          <w:rFonts w:hint="eastAsia" w:ascii="宋体" w:hAnsi="宋体" w:eastAsia="宋体" w:cs="宋体"/>
          <w:spacing w:val="1"/>
        </w:rPr>
        <w:t>（3）对成交结果提出质疑的，为成交结果公告期限届满之日。</w:t>
      </w:r>
    </w:p>
    <w:p w14:paraId="6304B0B7">
      <w:pPr>
        <w:pStyle w:val="3"/>
        <w:shd w:val="clear"/>
        <w:spacing w:before="2" w:line="400" w:lineRule="auto"/>
        <w:ind w:right="65" w:firstLine="485"/>
        <w:rPr>
          <w:rFonts w:hint="eastAsia" w:ascii="宋体" w:hAnsi="宋体" w:eastAsia="宋体" w:cs="宋体"/>
          <w:spacing w:val="1"/>
        </w:rPr>
      </w:pPr>
      <w:r>
        <w:rPr>
          <w:rFonts w:hint="eastAsia" w:ascii="宋体" w:hAnsi="宋体" w:eastAsia="宋体" w:cs="宋体"/>
          <w:spacing w:val="1"/>
        </w:rPr>
        <w:t>31.3 供应商提出的询问或者质疑超出采购人对采购代理机构委托授权范围的，采购代理机构应当告知供应商向采购人提出。政府采购评审专家应当配合采购人或者采购代理机构答复供应商的询问和质疑。</w:t>
      </w:r>
    </w:p>
    <w:p w14:paraId="694E17A4">
      <w:pPr>
        <w:pStyle w:val="3"/>
        <w:shd w:val="clear"/>
        <w:spacing w:line="398" w:lineRule="auto"/>
        <w:ind w:left="14" w:right="21" w:firstLine="463"/>
        <w:rPr>
          <w:rFonts w:hint="eastAsia" w:ascii="宋体" w:hAnsi="宋体" w:eastAsia="宋体" w:cs="宋体"/>
        </w:rPr>
      </w:pPr>
      <w:r>
        <w:rPr>
          <w:rFonts w:hint="eastAsia" w:ascii="宋体" w:hAnsi="宋体" w:eastAsia="宋体" w:cs="宋体"/>
          <w:spacing w:val="2"/>
        </w:rPr>
        <w:t>31.4 供应商提出质疑应当提交质疑函</w:t>
      </w:r>
      <w:r>
        <w:rPr>
          <w:rFonts w:hint="eastAsia" w:ascii="宋体" w:hAnsi="宋体" w:eastAsia="宋体" w:cs="宋体"/>
          <w:spacing w:val="1"/>
        </w:rPr>
        <w:t>和必要的证明材料，针对同一采购程序环节</w:t>
      </w:r>
      <w:r>
        <w:rPr>
          <w:rFonts w:hint="eastAsia" w:ascii="宋体" w:hAnsi="宋体" w:eastAsia="宋体" w:cs="宋体"/>
          <w:spacing w:val="-3"/>
        </w:rPr>
        <w:t>的质疑必须在法定质疑期内一次性提出。质疑函应当包括</w:t>
      </w:r>
      <w:r>
        <w:rPr>
          <w:rFonts w:hint="eastAsia" w:ascii="宋体" w:hAnsi="宋体" w:eastAsia="宋体" w:cs="宋体"/>
          <w:spacing w:val="-4"/>
        </w:rPr>
        <w:t>下列内容（质疑函格式后附</w:t>
      </w:r>
      <w:r>
        <w:rPr>
          <w:rFonts w:hint="eastAsia" w:ascii="宋体" w:hAnsi="宋体" w:eastAsia="宋体" w:cs="宋体"/>
          <w:spacing w:val="-68"/>
        </w:rPr>
        <w:t>）：</w:t>
      </w:r>
    </w:p>
    <w:p w14:paraId="241009C9">
      <w:pPr>
        <w:pStyle w:val="3"/>
        <w:shd w:val="clear"/>
        <w:spacing w:before="3" w:line="221" w:lineRule="auto"/>
        <w:ind w:left="485"/>
        <w:rPr>
          <w:rFonts w:hint="eastAsia" w:ascii="宋体" w:hAnsi="宋体" w:eastAsia="宋体" w:cs="宋体"/>
        </w:rPr>
      </w:pPr>
      <w:r>
        <w:rPr>
          <w:rFonts w:hint="eastAsia" w:ascii="宋体" w:hAnsi="宋体" w:eastAsia="宋体" w:cs="宋体"/>
          <w:spacing w:val="-1"/>
        </w:rPr>
        <w:t>（1）供应商的姓名或者名称、地址、邮编、联系人及联系电话；</w:t>
      </w:r>
    </w:p>
    <w:p w14:paraId="2A3FDC3E">
      <w:pPr>
        <w:pStyle w:val="3"/>
        <w:shd w:val="clear"/>
        <w:spacing w:before="233" w:line="221" w:lineRule="auto"/>
        <w:ind w:left="485"/>
        <w:rPr>
          <w:rFonts w:hint="eastAsia" w:ascii="宋体" w:hAnsi="宋体" w:eastAsia="宋体" w:cs="宋体"/>
        </w:rPr>
      </w:pPr>
      <w:r>
        <w:rPr>
          <w:rFonts w:hint="eastAsia" w:ascii="宋体" w:hAnsi="宋体" w:eastAsia="宋体" w:cs="宋体"/>
          <w:spacing w:val="-2"/>
        </w:rPr>
        <w:t>（2）质疑项目的名称、编号；</w:t>
      </w:r>
    </w:p>
    <w:p w14:paraId="11DC7F28">
      <w:pPr>
        <w:pStyle w:val="3"/>
        <w:shd w:val="clear"/>
        <w:spacing w:before="232" w:line="220" w:lineRule="auto"/>
        <w:ind w:left="485"/>
        <w:rPr>
          <w:rFonts w:hint="eastAsia" w:ascii="宋体" w:hAnsi="宋体" w:eastAsia="宋体" w:cs="宋体"/>
        </w:rPr>
      </w:pPr>
      <w:r>
        <w:rPr>
          <w:rFonts w:hint="eastAsia" w:ascii="宋体" w:hAnsi="宋体" w:eastAsia="宋体" w:cs="宋体"/>
          <w:spacing w:val="-1"/>
        </w:rPr>
        <w:t>（3）具体、明确的质疑事项和与质疑事项相关的请求；</w:t>
      </w:r>
    </w:p>
    <w:p w14:paraId="0ED33EB0">
      <w:pPr>
        <w:pStyle w:val="3"/>
        <w:shd w:val="clear"/>
        <w:spacing w:before="235" w:line="222" w:lineRule="auto"/>
        <w:ind w:left="485"/>
        <w:rPr>
          <w:rFonts w:hint="eastAsia" w:ascii="宋体" w:hAnsi="宋体" w:eastAsia="宋体" w:cs="宋体"/>
        </w:rPr>
      </w:pPr>
      <w:r>
        <w:rPr>
          <w:rFonts w:hint="eastAsia" w:ascii="宋体" w:hAnsi="宋体" w:eastAsia="宋体" w:cs="宋体"/>
          <w:spacing w:val="-3"/>
        </w:rPr>
        <w:t>（4）事实依据；</w:t>
      </w:r>
    </w:p>
    <w:p w14:paraId="5BCC5540">
      <w:pPr>
        <w:pStyle w:val="3"/>
        <w:shd w:val="clear"/>
        <w:spacing w:before="232" w:line="222" w:lineRule="auto"/>
        <w:ind w:left="485"/>
        <w:rPr>
          <w:rFonts w:hint="eastAsia" w:ascii="宋体" w:hAnsi="宋体" w:eastAsia="宋体" w:cs="宋体"/>
        </w:rPr>
      </w:pPr>
      <w:r>
        <w:rPr>
          <w:rFonts w:hint="eastAsia" w:ascii="宋体" w:hAnsi="宋体" w:eastAsia="宋体" w:cs="宋体"/>
          <w:spacing w:val="-2"/>
        </w:rPr>
        <w:t>（5）必要的法律依据；</w:t>
      </w:r>
    </w:p>
    <w:p w14:paraId="48678F78">
      <w:pPr>
        <w:pStyle w:val="3"/>
        <w:shd w:val="clear"/>
        <w:spacing w:before="229" w:line="223" w:lineRule="auto"/>
        <w:ind w:left="485"/>
        <w:rPr>
          <w:rFonts w:hint="eastAsia" w:ascii="宋体" w:hAnsi="宋体" w:eastAsia="宋体" w:cs="宋体"/>
        </w:rPr>
      </w:pPr>
      <w:r>
        <w:rPr>
          <w:rFonts w:hint="eastAsia" w:ascii="宋体" w:hAnsi="宋体" w:eastAsia="宋体" w:cs="宋体"/>
          <w:spacing w:val="-8"/>
        </w:rPr>
        <w:t>（6）提出质疑的</w:t>
      </w:r>
      <w:r>
        <w:rPr>
          <w:rFonts w:hint="eastAsia" w:ascii="宋体" w:hAnsi="宋体" w:eastAsia="宋体" w:cs="宋体"/>
          <w:spacing w:val="-54"/>
        </w:rPr>
        <w:t xml:space="preserve"> </w:t>
      </w:r>
      <w:r>
        <w:rPr>
          <w:rFonts w:hint="eastAsia" w:ascii="宋体" w:hAnsi="宋体" w:eastAsia="宋体" w:cs="宋体"/>
          <w:spacing w:val="-8"/>
        </w:rPr>
        <w:t>日期。</w:t>
      </w:r>
    </w:p>
    <w:p w14:paraId="2145C839">
      <w:pPr>
        <w:pStyle w:val="3"/>
        <w:shd w:val="clear"/>
        <w:spacing w:before="230" w:line="400" w:lineRule="auto"/>
        <w:ind w:left="5" w:right="83" w:firstLine="476"/>
        <w:rPr>
          <w:rFonts w:hint="eastAsia" w:ascii="宋体" w:hAnsi="宋体" w:eastAsia="宋体" w:cs="宋体"/>
        </w:rPr>
      </w:pPr>
      <w:r>
        <w:rPr>
          <w:rFonts w:hint="eastAsia" w:ascii="宋体" w:hAnsi="宋体" w:eastAsia="宋体" w:cs="宋体"/>
          <w:spacing w:val="-2"/>
        </w:rPr>
        <w:t>供应商为自然人的，应当由本人签字；供应商为法人或者其他组织的，应当由法定</w:t>
      </w:r>
      <w:r>
        <w:rPr>
          <w:rFonts w:hint="eastAsia" w:ascii="宋体" w:hAnsi="宋体" w:eastAsia="宋体" w:cs="宋体"/>
          <w:spacing w:val="-1"/>
        </w:rPr>
        <w:t>代表人、主要负责人，或者其委托代理人签字或者盖章，并加盖公章。</w:t>
      </w:r>
    </w:p>
    <w:p w14:paraId="2AA9A347">
      <w:pPr>
        <w:pStyle w:val="3"/>
        <w:shd w:val="clear"/>
        <w:spacing w:line="400" w:lineRule="auto"/>
        <w:ind w:left="3" w:right="83" w:firstLine="474"/>
        <w:jc w:val="both"/>
        <w:rPr>
          <w:rFonts w:hint="eastAsia" w:ascii="宋体" w:hAnsi="宋体" w:eastAsia="宋体" w:cs="宋体"/>
        </w:rPr>
      </w:pPr>
      <w:r>
        <w:rPr>
          <w:rFonts w:hint="eastAsia" w:ascii="宋体" w:hAnsi="宋体" w:eastAsia="宋体" w:cs="宋体"/>
          <w:spacing w:val="-4"/>
        </w:rPr>
        <w:t>31.5</w:t>
      </w:r>
      <w:r>
        <w:rPr>
          <w:rFonts w:hint="eastAsia" w:ascii="宋体" w:hAnsi="宋体" w:eastAsia="宋体" w:cs="宋体"/>
          <w:spacing w:val="-31"/>
        </w:rPr>
        <w:t xml:space="preserve"> </w:t>
      </w:r>
      <w:r>
        <w:rPr>
          <w:rFonts w:hint="eastAsia" w:ascii="宋体" w:hAnsi="宋体" w:eastAsia="宋体" w:cs="宋体"/>
          <w:spacing w:val="-4"/>
        </w:rPr>
        <w:t>采购人、采购代理机构认为供应商质疑不成立，或者成立但未对成交结果构成</w:t>
      </w:r>
      <w:r>
        <w:rPr>
          <w:rFonts w:hint="eastAsia" w:ascii="宋体" w:hAnsi="宋体" w:eastAsia="宋体" w:cs="宋体"/>
          <w:spacing w:val="-2"/>
        </w:rPr>
        <w:t>影响的，继续开展采购活动；认为供应商质疑成立且影响或者可能影响成交结果的，按</w:t>
      </w:r>
      <w:r>
        <w:rPr>
          <w:rFonts w:hint="eastAsia" w:ascii="宋体" w:hAnsi="宋体" w:eastAsia="宋体" w:cs="宋体"/>
          <w:spacing w:val="-3"/>
        </w:rPr>
        <w:t>照下列情况处理：</w:t>
      </w:r>
    </w:p>
    <w:p w14:paraId="721292CB">
      <w:pPr>
        <w:pStyle w:val="3"/>
        <w:shd w:val="clear"/>
        <w:spacing w:before="4" w:line="399" w:lineRule="auto"/>
        <w:ind w:left="1" w:right="83" w:firstLine="484"/>
        <w:rPr>
          <w:rFonts w:hint="eastAsia" w:ascii="宋体" w:hAnsi="宋体" w:eastAsia="宋体" w:cs="宋体"/>
        </w:rPr>
      </w:pPr>
      <w:r>
        <w:rPr>
          <w:rFonts w:hint="eastAsia" w:ascii="宋体" w:hAnsi="宋体" w:eastAsia="宋体" w:cs="宋体"/>
          <w:spacing w:val="-2"/>
        </w:rPr>
        <w:t>（一）对采购文件提出的质疑，依法通过澄清或者修改可以继续开展采购活动的，澄清或者修改采购文件后继续开展采购活动；否则应当修改采购文件后重新开展采购活</w:t>
      </w:r>
      <w:r>
        <w:rPr>
          <w:rFonts w:hint="eastAsia" w:ascii="宋体" w:hAnsi="宋体" w:eastAsia="宋体" w:cs="宋体"/>
          <w:spacing w:val="-9"/>
        </w:rPr>
        <w:t>动。</w:t>
      </w:r>
    </w:p>
    <w:p w14:paraId="08B9E8FF">
      <w:pPr>
        <w:pStyle w:val="3"/>
        <w:shd w:val="clear"/>
        <w:spacing w:line="400" w:lineRule="auto"/>
        <w:ind w:left="7" w:right="83" w:firstLine="478"/>
        <w:rPr>
          <w:rFonts w:hint="eastAsia" w:ascii="宋体" w:hAnsi="宋体" w:eastAsia="宋体" w:cs="宋体"/>
        </w:rPr>
      </w:pPr>
      <w:r>
        <w:rPr>
          <w:rFonts w:hint="eastAsia" w:ascii="宋体" w:hAnsi="宋体" w:eastAsia="宋体" w:cs="宋体"/>
          <w:spacing w:val="-2"/>
        </w:rPr>
        <w:t>（二）对采购过程或者成交结果提出的质疑，合格供应商符合法定数量时，可以从合格的成交候选人中另行确定成交供应商的，应当依法另行确定成交供应商；否则应当</w:t>
      </w:r>
      <w:r>
        <w:rPr>
          <w:rFonts w:hint="eastAsia" w:ascii="宋体" w:hAnsi="宋体" w:eastAsia="宋体" w:cs="宋体"/>
          <w:spacing w:val="-3"/>
        </w:rPr>
        <w:t>重新开展采购活动。</w:t>
      </w:r>
    </w:p>
    <w:p w14:paraId="5768E147">
      <w:pPr>
        <w:pStyle w:val="3"/>
        <w:shd w:val="clear"/>
        <w:spacing w:before="2" w:line="400" w:lineRule="auto"/>
        <w:ind w:left="1" w:right="83" w:firstLine="484"/>
        <w:rPr>
          <w:rFonts w:hint="eastAsia" w:ascii="宋体" w:hAnsi="宋体" w:eastAsia="宋体" w:cs="宋体"/>
        </w:rPr>
      </w:pPr>
      <w:r>
        <w:rPr>
          <w:rFonts w:hint="eastAsia" w:ascii="宋体" w:hAnsi="宋体" w:eastAsia="宋体" w:cs="宋体"/>
          <w:spacing w:val="-2"/>
        </w:rPr>
        <w:t>质疑答复导致成交结果改变的，采购人或者采购代理机构应当将有关情况书面报告</w:t>
      </w:r>
      <w:r>
        <w:rPr>
          <w:rFonts w:hint="eastAsia" w:ascii="宋体" w:hAnsi="宋体" w:eastAsia="宋体" w:cs="宋体"/>
          <w:spacing w:val="-3"/>
        </w:rPr>
        <w:t>本级财政部门。</w:t>
      </w:r>
    </w:p>
    <w:p w14:paraId="24EBCDDD">
      <w:pPr>
        <w:pStyle w:val="3"/>
        <w:shd w:val="clear"/>
        <w:spacing w:line="400" w:lineRule="auto"/>
        <w:ind w:firstLine="478"/>
        <w:jc w:val="both"/>
        <w:rPr>
          <w:rFonts w:hint="eastAsia" w:ascii="宋体" w:hAnsi="宋体" w:eastAsia="宋体" w:cs="宋体"/>
        </w:rPr>
      </w:pPr>
      <w:r>
        <w:rPr>
          <w:rFonts w:hint="eastAsia" w:ascii="宋体" w:hAnsi="宋体" w:eastAsia="宋体" w:cs="宋体"/>
          <w:spacing w:val="-4"/>
        </w:rPr>
        <w:t>31.6</w:t>
      </w:r>
      <w:r>
        <w:rPr>
          <w:rFonts w:hint="eastAsia" w:ascii="宋体" w:hAnsi="宋体" w:eastAsia="宋体" w:cs="宋体"/>
          <w:spacing w:val="-31"/>
        </w:rPr>
        <w:t xml:space="preserve"> </w:t>
      </w:r>
      <w:r>
        <w:rPr>
          <w:rFonts w:hint="eastAsia" w:ascii="宋体" w:hAnsi="宋体" w:eastAsia="宋体" w:cs="宋体"/>
          <w:spacing w:val="-4"/>
        </w:rPr>
        <w:t>质疑供应商对采购人、采购代理机构的答复不满意，或者采购人、采购代理机</w:t>
      </w:r>
      <w:r>
        <w:rPr>
          <w:rFonts w:hint="eastAsia" w:ascii="宋体" w:hAnsi="宋体" w:eastAsia="宋体" w:cs="宋体"/>
          <w:spacing w:val="-1"/>
        </w:rPr>
        <w:t>构未在规定时间内作出答复的，可以在答复期满后</w:t>
      </w:r>
      <w:r>
        <w:rPr>
          <w:rFonts w:hint="eastAsia" w:ascii="宋体" w:hAnsi="宋体" w:eastAsia="宋体" w:cs="宋体"/>
          <w:spacing w:val="-29"/>
        </w:rPr>
        <w:t xml:space="preserve"> </w:t>
      </w:r>
      <w:r>
        <w:rPr>
          <w:rFonts w:hint="eastAsia" w:ascii="宋体" w:hAnsi="宋体" w:eastAsia="宋体" w:cs="宋体"/>
          <w:spacing w:val="-1"/>
        </w:rPr>
        <w:t>15</w:t>
      </w:r>
      <w:r>
        <w:rPr>
          <w:rFonts w:hint="eastAsia" w:ascii="宋体" w:hAnsi="宋体" w:eastAsia="宋体" w:cs="宋体"/>
          <w:spacing w:val="-41"/>
        </w:rPr>
        <w:t xml:space="preserve"> </w:t>
      </w:r>
      <w:r>
        <w:rPr>
          <w:rFonts w:hint="eastAsia" w:ascii="宋体" w:hAnsi="宋体" w:eastAsia="宋体" w:cs="宋体"/>
          <w:spacing w:val="-1"/>
        </w:rPr>
        <w:t>个工作日内</w:t>
      </w:r>
      <w:r>
        <w:rPr>
          <w:rFonts w:hint="eastAsia" w:ascii="宋体" w:hAnsi="宋体" w:eastAsia="宋体" w:cs="宋体"/>
          <w:spacing w:val="-70"/>
        </w:rPr>
        <w:t xml:space="preserve"> </w:t>
      </w:r>
      <w:r>
        <w:rPr>
          <w:rFonts w:hint="eastAsia" w:ascii="宋体" w:hAnsi="宋体" w:eastAsia="宋体" w:cs="宋体"/>
          <w:spacing w:val="-1"/>
        </w:rPr>
        <w:t>向《政府采</w:t>
      </w:r>
      <w:r>
        <w:rPr>
          <w:rFonts w:hint="eastAsia" w:ascii="宋体" w:hAnsi="宋体" w:eastAsia="宋体" w:cs="宋体"/>
          <w:spacing w:val="-2"/>
        </w:rPr>
        <w:t>购质疑和投诉办法》（财政部令第94</w:t>
      </w:r>
      <w:r>
        <w:rPr>
          <w:rFonts w:hint="eastAsia" w:ascii="宋体" w:hAnsi="宋体" w:eastAsia="宋体" w:cs="宋体"/>
          <w:spacing w:val="-24"/>
        </w:rPr>
        <w:t xml:space="preserve"> </w:t>
      </w:r>
      <w:r>
        <w:rPr>
          <w:rFonts w:hint="eastAsia" w:ascii="宋体" w:hAnsi="宋体" w:eastAsia="宋体" w:cs="宋体"/>
          <w:spacing w:val="-2"/>
        </w:rPr>
        <w:t>号）第六条规定的财政部门提起投诉（投诉书格式后附）。</w:t>
      </w:r>
    </w:p>
    <w:p w14:paraId="07361887">
      <w:pPr>
        <w:pStyle w:val="3"/>
        <w:shd w:val="clear"/>
        <w:spacing w:line="400" w:lineRule="auto"/>
        <w:ind w:firstLine="478"/>
        <w:jc w:val="both"/>
        <w:rPr>
          <w:rFonts w:hint="eastAsia" w:ascii="宋体" w:hAnsi="宋体" w:eastAsia="宋体" w:cs="宋体"/>
          <w:sz w:val="24"/>
          <w:szCs w:val="24"/>
        </w:rPr>
      </w:pPr>
      <w:r>
        <w:rPr>
          <w:rFonts w:hint="eastAsia" w:ascii="宋体" w:hAnsi="宋体" w:eastAsia="宋体" w:cs="宋体"/>
          <w:b/>
          <w:bCs/>
          <w:spacing w:val="-3"/>
          <w:sz w:val="24"/>
          <w:szCs w:val="24"/>
        </w:rPr>
        <w:t>32.代理服务费</w:t>
      </w:r>
    </w:p>
    <w:p w14:paraId="236A8FCE">
      <w:pPr>
        <w:pStyle w:val="3"/>
        <w:shd w:val="clear"/>
        <w:spacing w:line="400" w:lineRule="auto"/>
        <w:ind w:firstLine="478"/>
        <w:jc w:val="both"/>
        <w:rPr>
          <w:rFonts w:hint="eastAsia" w:ascii="宋体" w:hAnsi="宋体" w:eastAsia="宋体" w:cs="宋体"/>
        </w:rPr>
      </w:pPr>
      <w:r>
        <w:rPr>
          <w:rFonts w:hint="eastAsia" w:ascii="宋体" w:hAnsi="宋体" w:eastAsia="宋体" w:cs="宋体"/>
          <w:spacing w:val="-9"/>
        </w:rPr>
        <w:t>32.1</w:t>
      </w:r>
      <w:r>
        <w:rPr>
          <w:rFonts w:hint="eastAsia" w:ascii="宋体" w:hAnsi="宋体" w:eastAsia="宋体" w:cs="宋体"/>
          <w:spacing w:val="-38"/>
        </w:rPr>
        <w:t xml:space="preserve"> </w:t>
      </w:r>
      <w:r>
        <w:rPr>
          <w:rFonts w:hint="eastAsia" w:ascii="宋体" w:hAnsi="宋体" w:eastAsia="宋体" w:cs="宋体"/>
          <w:spacing w:val="-9"/>
        </w:rPr>
        <w:t>代理服务收取标准及缴费账户详见“供应商须知前附表</w:t>
      </w:r>
      <w:r>
        <w:rPr>
          <w:rFonts w:hint="eastAsia" w:ascii="宋体" w:hAnsi="宋体" w:eastAsia="宋体" w:cs="宋体"/>
          <w:spacing w:val="-88"/>
        </w:rPr>
        <w:t xml:space="preserve"> </w:t>
      </w:r>
      <w:r>
        <w:rPr>
          <w:rFonts w:hint="eastAsia" w:ascii="宋体" w:hAnsi="宋体" w:eastAsia="宋体" w:cs="宋体"/>
          <w:spacing w:val="-9"/>
        </w:rPr>
        <w:t>”，供应商为联合体的，</w:t>
      </w:r>
    </w:p>
    <w:p w14:paraId="75BE63A6">
      <w:pPr>
        <w:pStyle w:val="3"/>
        <w:shd w:val="clear"/>
        <w:spacing w:before="181" w:line="222" w:lineRule="auto"/>
        <w:ind w:left="1"/>
        <w:rPr>
          <w:rFonts w:hint="eastAsia" w:ascii="宋体" w:hAnsi="宋体" w:eastAsia="宋体" w:cs="宋体"/>
        </w:rPr>
      </w:pPr>
      <w:r>
        <w:rPr>
          <w:rFonts w:hint="eastAsia" w:ascii="宋体" w:hAnsi="宋体" w:eastAsia="宋体" w:cs="宋体"/>
          <w:spacing w:val="-1"/>
        </w:rPr>
        <w:t>可以由联合体中的一方或者多方共同交纳代理服务费。</w:t>
      </w:r>
    </w:p>
    <w:p w14:paraId="6248222C">
      <w:pPr>
        <w:pStyle w:val="3"/>
        <w:shd w:val="clear"/>
        <w:spacing w:before="179" w:line="222" w:lineRule="auto"/>
        <w:ind w:left="475"/>
        <w:outlineLvl w:val="1"/>
        <w:rPr>
          <w:rFonts w:hint="eastAsia" w:ascii="宋体" w:hAnsi="宋体" w:eastAsia="宋体" w:cs="宋体"/>
        </w:rPr>
      </w:pPr>
      <w:bookmarkStart w:id="5" w:name="_Toc29592"/>
      <w:r>
        <w:rPr>
          <w:rFonts w:hint="eastAsia" w:ascii="宋体" w:hAnsi="宋体" w:eastAsia="宋体" w:cs="宋体"/>
          <w:spacing w:val="-3"/>
        </w:rPr>
        <w:t>32.2</w:t>
      </w:r>
      <w:r>
        <w:rPr>
          <w:rFonts w:hint="eastAsia" w:ascii="宋体" w:hAnsi="宋体" w:eastAsia="宋体" w:cs="宋体"/>
          <w:spacing w:val="-36"/>
        </w:rPr>
        <w:t xml:space="preserve"> </w:t>
      </w:r>
      <w:r>
        <w:rPr>
          <w:rFonts w:hint="eastAsia" w:ascii="宋体" w:hAnsi="宋体" w:eastAsia="宋体" w:cs="宋体"/>
          <w:spacing w:val="-3"/>
        </w:rPr>
        <w:t>代理服务收费标准：</w:t>
      </w:r>
      <w:bookmarkEnd w:id="5"/>
    </w:p>
    <w:p w14:paraId="3254962A">
      <w:pPr>
        <w:shd w:val="clear"/>
        <w:spacing w:line="64" w:lineRule="exact"/>
        <w:rPr>
          <w:rFonts w:hint="eastAsia" w:ascii="宋体" w:hAnsi="宋体" w:eastAsia="宋体" w:cs="宋体"/>
        </w:rPr>
      </w:pPr>
    </w:p>
    <w:tbl>
      <w:tblPr>
        <w:tblStyle w:val="11"/>
        <w:tblW w:w="8083" w:type="dxa"/>
        <w:tblInd w:w="4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38"/>
        <w:gridCol w:w="2645"/>
      </w:tblGrid>
      <w:tr w14:paraId="4CBE1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38" w:type="dxa"/>
            <w:tcBorders>
              <w:tl2br w:val="single" w:color="000000" w:sz="4" w:space="0"/>
            </w:tcBorders>
            <w:vAlign w:val="top"/>
          </w:tcPr>
          <w:p w14:paraId="6DB083A0">
            <w:pPr>
              <w:pStyle w:val="12"/>
              <w:shd w:val="clear"/>
              <w:spacing w:before="118" w:line="314" w:lineRule="auto"/>
              <w:ind w:left="154" w:right="405" w:firstLine="4416"/>
              <w:rPr>
                <w:rFonts w:hint="eastAsia" w:ascii="宋体" w:hAnsi="宋体" w:eastAsia="宋体" w:cs="宋体"/>
              </w:rPr>
            </w:pPr>
            <w:r>
              <w:rPr>
                <w:rFonts w:hint="eastAsia" w:ascii="宋体" w:hAnsi="宋体" w:eastAsia="宋体" w:cs="宋体"/>
                <w:spacing w:val="-12"/>
              </w:rPr>
              <w:t>费率中标金额</w:t>
            </w:r>
          </w:p>
        </w:tc>
        <w:tc>
          <w:tcPr>
            <w:tcW w:w="2645" w:type="dxa"/>
            <w:vAlign w:val="top"/>
          </w:tcPr>
          <w:p w14:paraId="53725214">
            <w:pPr>
              <w:shd w:val="clear"/>
              <w:spacing w:line="275" w:lineRule="auto"/>
              <w:rPr>
                <w:rFonts w:hint="eastAsia" w:ascii="宋体" w:hAnsi="宋体" w:eastAsia="宋体" w:cs="宋体"/>
                <w:sz w:val="21"/>
              </w:rPr>
            </w:pPr>
          </w:p>
          <w:p w14:paraId="7F84716D">
            <w:pPr>
              <w:pStyle w:val="12"/>
              <w:shd w:val="clear"/>
              <w:spacing w:before="78" w:line="222" w:lineRule="auto"/>
              <w:ind w:left="840"/>
              <w:rPr>
                <w:rFonts w:hint="eastAsia" w:ascii="宋体" w:hAnsi="宋体" w:eastAsia="宋体" w:cs="宋体"/>
              </w:rPr>
            </w:pPr>
            <w:r>
              <w:rPr>
                <w:rFonts w:hint="eastAsia" w:ascii="宋体" w:hAnsi="宋体" w:eastAsia="宋体" w:cs="宋体"/>
                <w:spacing w:val="-4"/>
              </w:rPr>
              <w:t>服务招标</w:t>
            </w:r>
          </w:p>
        </w:tc>
      </w:tr>
      <w:tr w14:paraId="7D452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05D4E4E6">
            <w:pPr>
              <w:pStyle w:val="12"/>
              <w:shd w:val="clear"/>
              <w:spacing w:before="115" w:line="222" w:lineRule="auto"/>
              <w:ind w:left="133"/>
              <w:rPr>
                <w:rFonts w:hint="eastAsia" w:ascii="宋体" w:hAnsi="宋体" w:eastAsia="宋体" w:cs="宋体"/>
              </w:rPr>
            </w:pPr>
            <w:r>
              <w:rPr>
                <w:rFonts w:hint="eastAsia" w:ascii="宋体" w:hAnsi="宋体" w:eastAsia="宋体" w:cs="宋体"/>
                <w:spacing w:val="-7"/>
              </w:rPr>
              <w:t>100</w:t>
            </w:r>
            <w:r>
              <w:rPr>
                <w:rFonts w:hint="eastAsia" w:ascii="宋体" w:hAnsi="宋体" w:eastAsia="宋体" w:cs="宋体"/>
                <w:spacing w:val="-39"/>
              </w:rPr>
              <w:t xml:space="preserve"> </w:t>
            </w:r>
            <w:r>
              <w:rPr>
                <w:rFonts w:hint="eastAsia" w:ascii="宋体" w:hAnsi="宋体" w:eastAsia="宋体" w:cs="宋体"/>
                <w:spacing w:val="-7"/>
              </w:rPr>
              <w:t>万元以下</w:t>
            </w:r>
          </w:p>
        </w:tc>
        <w:tc>
          <w:tcPr>
            <w:tcW w:w="2645" w:type="dxa"/>
            <w:vAlign w:val="top"/>
          </w:tcPr>
          <w:p w14:paraId="48A761C3">
            <w:pPr>
              <w:pStyle w:val="12"/>
              <w:shd w:val="clear"/>
              <w:spacing w:before="115"/>
              <w:ind w:left="371"/>
              <w:rPr>
                <w:rFonts w:hint="eastAsia" w:ascii="宋体" w:hAnsi="宋体" w:eastAsia="宋体" w:cs="宋体"/>
              </w:rPr>
            </w:pPr>
            <w:r>
              <w:rPr>
                <w:rFonts w:hint="eastAsia" w:ascii="宋体" w:hAnsi="宋体" w:eastAsia="宋体" w:cs="宋体"/>
                <w:spacing w:val="-7"/>
              </w:rPr>
              <w:t>1.5%</w:t>
            </w:r>
          </w:p>
        </w:tc>
      </w:tr>
      <w:tr w14:paraId="0A309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49A48BAB">
            <w:pPr>
              <w:pStyle w:val="12"/>
              <w:shd w:val="clear"/>
              <w:spacing w:before="114" w:line="226" w:lineRule="auto"/>
              <w:ind w:left="133"/>
              <w:rPr>
                <w:rFonts w:hint="eastAsia" w:ascii="宋体" w:hAnsi="宋体" w:eastAsia="宋体" w:cs="宋体"/>
              </w:rPr>
            </w:pPr>
            <w:r>
              <w:rPr>
                <w:rFonts w:hint="eastAsia" w:ascii="宋体" w:hAnsi="宋体" w:eastAsia="宋体" w:cs="宋体"/>
                <w:spacing w:val="-5"/>
              </w:rPr>
              <w:t>100～500</w:t>
            </w:r>
            <w:r>
              <w:rPr>
                <w:rFonts w:hint="eastAsia" w:ascii="宋体" w:hAnsi="宋体" w:eastAsia="宋体" w:cs="宋体"/>
                <w:spacing w:val="-43"/>
              </w:rPr>
              <w:t xml:space="preserve"> </w:t>
            </w:r>
            <w:r>
              <w:rPr>
                <w:rFonts w:hint="eastAsia" w:ascii="宋体" w:hAnsi="宋体" w:eastAsia="宋体" w:cs="宋体"/>
                <w:spacing w:val="-5"/>
              </w:rPr>
              <w:t>万元</w:t>
            </w:r>
          </w:p>
        </w:tc>
        <w:tc>
          <w:tcPr>
            <w:tcW w:w="2645" w:type="dxa"/>
            <w:vAlign w:val="top"/>
          </w:tcPr>
          <w:p w14:paraId="650C4564">
            <w:pPr>
              <w:pStyle w:val="12"/>
              <w:shd w:val="clear"/>
              <w:spacing w:before="115"/>
              <w:ind w:left="355"/>
              <w:rPr>
                <w:rFonts w:hint="eastAsia" w:ascii="宋体" w:hAnsi="宋体" w:eastAsia="宋体" w:cs="宋体"/>
              </w:rPr>
            </w:pPr>
            <w:r>
              <w:rPr>
                <w:rFonts w:hint="eastAsia" w:ascii="宋体" w:hAnsi="宋体" w:eastAsia="宋体" w:cs="宋体"/>
                <w:spacing w:val="-3"/>
              </w:rPr>
              <w:t>0.8%</w:t>
            </w:r>
          </w:p>
        </w:tc>
      </w:tr>
      <w:tr w14:paraId="5FD42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035EAAC3">
            <w:pPr>
              <w:pStyle w:val="12"/>
              <w:shd w:val="clear"/>
              <w:spacing w:before="116" w:line="226" w:lineRule="auto"/>
              <w:ind w:left="120"/>
              <w:rPr>
                <w:rFonts w:hint="eastAsia" w:ascii="宋体" w:hAnsi="宋体" w:eastAsia="宋体" w:cs="宋体"/>
              </w:rPr>
            </w:pPr>
            <w:r>
              <w:rPr>
                <w:rFonts w:hint="eastAsia" w:ascii="宋体" w:hAnsi="宋体" w:eastAsia="宋体" w:cs="宋体"/>
                <w:spacing w:val="-4"/>
              </w:rPr>
              <w:t>500～1000</w:t>
            </w:r>
            <w:r>
              <w:rPr>
                <w:rFonts w:hint="eastAsia" w:ascii="宋体" w:hAnsi="宋体" w:eastAsia="宋体" w:cs="宋体"/>
                <w:spacing w:val="-35"/>
              </w:rPr>
              <w:t xml:space="preserve"> </w:t>
            </w:r>
            <w:r>
              <w:rPr>
                <w:rFonts w:hint="eastAsia" w:ascii="宋体" w:hAnsi="宋体" w:eastAsia="宋体" w:cs="宋体"/>
                <w:spacing w:val="-4"/>
              </w:rPr>
              <w:t>万元</w:t>
            </w:r>
          </w:p>
        </w:tc>
        <w:tc>
          <w:tcPr>
            <w:tcW w:w="2645" w:type="dxa"/>
            <w:vAlign w:val="top"/>
          </w:tcPr>
          <w:p w14:paraId="188AAEB3">
            <w:pPr>
              <w:pStyle w:val="12"/>
              <w:shd w:val="clear"/>
              <w:spacing w:before="117"/>
              <w:ind w:left="355"/>
              <w:rPr>
                <w:rFonts w:hint="eastAsia" w:ascii="宋体" w:hAnsi="宋体" w:eastAsia="宋体" w:cs="宋体"/>
              </w:rPr>
            </w:pPr>
            <w:r>
              <w:rPr>
                <w:rFonts w:hint="eastAsia" w:ascii="宋体" w:hAnsi="宋体" w:eastAsia="宋体" w:cs="宋体"/>
                <w:spacing w:val="-3"/>
              </w:rPr>
              <w:t>0.45%</w:t>
            </w:r>
          </w:p>
        </w:tc>
      </w:tr>
      <w:tr w14:paraId="46512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2F71A7BF">
            <w:pPr>
              <w:pStyle w:val="12"/>
              <w:shd w:val="clear"/>
              <w:spacing w:before="117" w:line="226" w:lineRule="auto"/>
              <w:ind w:left="133"/>
              <w:rPr>
                <w:rFonts w:hint="eastAsia" w:ascii="宋体" w:hAnsi="宋体" w:eastAsia="宋体" w:cs="宋体"/>
              </w:rPr>
            </w:pPr>
            <w:r>
              <w:rPr>
                <w:rFonts w:hint="eastAsia" w:ascii="宋体" w:hAnsi="宋体" w:eastAsia="宋体" w:cs="宋体"/>
                <w:spacing w:val="-4"/>
              </w:rPr>
              <w:t>1000～5000</w:t>
            </w:r>
            <w:r>
              <w:rPr>
                <w:rFonts w:hint="eastAsia" w:ascii="宋体" w:hAnsi="宋体" w:eastAsia="宋体" w:cs="宋体"/>
                <w:spacing w:val="-43"/>
              </w:rPr>
              <w:t xml:space="preserve"> </w:t>
            </w:r>
            <w:r>
              <w:rPr>
                <w:rFonts w:hint="eastAsia" w:ascii="宋体" w:hAnsi="宋体" w:eastAsia="宋体" w:cs="宋体"/>
                <w:spacing w:val="-4"/>
              </w:rPr>
              <w:t>万元</w:t>
            </w:r>
          </w:p>
        </w:tc>
        <w:tc>
          <w:tcPr>
            <w:tcW w:w="2645" w:type="dxa"/>
            <w:vAlign w:val="top"/>
          </w:tcPr>
          <w:p w14:paraId="42DB9174">
            <w:pPr>
              <w:pStyle w:val="12"/>
              <w:shd w:val="clear"/>
              <w:spacing w:before="117"/>
              <w:ind w:left="355"/>
              <w:rPr>
                <w:rFonts w:hint="eastAsia" w:ascii="宋体" w:hAnsi="宋体" w:eastAsia="宋体" w:cs="宋体"/>
              </w:rPr>
            </w:pPr>
            <w:r>
              <w:rPr>
                <w:rFonts w:hint="eastAsia" w:ascii="宋体" w:hAnsi="宋体" w:eastAsia="宋体" w:cs="宋体"/>
                <w:spacing w:val="-3"/>
              </w:rPr>
              <w:t>0.25%</w:t>
            </w:r>
          </w:p>
        </w:tc>
      </w:tr>
      <w:tr w14:paraId="1ED9F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1194F9C9">
            <w:pPr>
              <w:pStyle w:val="12"/>
              <w:shd w:val="clear"/>
              <w:spacing w:before="118" w:line="222" w:lineRule="auto"/>
              <w:ind w:left="120"/>
              <w:rPr>
                <w:rFonts w:hint="eastAsia" w:ascii="宋体" w:hAnsi="宋体" w:eastAsia="宋体" w:cs="宋体"/>
              </w:rPr>
            </w:pPr>
            <w:r>
              <w:rPr>
                <w:rFonts w:hint="eastAsia" w:ascii="宋体" w:hAnsi="宋体" w:eastAsia="宋体" w:cs="宋体"/>
                <w:spacing w:val="-5"/>
              </w:rPr>
              <w:t>5000</w:t>
            </w:r>
            <w:r>
              <w:rPr>
                <w:rFonts w:hint="eastAsia" w:ascii="宋体" w:hAnsi="宋体" w:eastAsia="宋体" w:cs="宋体"/>
                <w:spacing w:val="-43"/>
              </w:rPr>
              <w:t xml:space="preserve"> </w:t>
            </w:r>
            <w:r>
              <w:rPr>
                <w:rFonts w:hint="eastAsia" w:ascii="宋体" w:hAnsi="宋体" w:eastAsia="宋体" w:cs="宋体"/>
                <w:spacing w:val="-5"/>
              </w:rPr>
              <w:t>万元～1</w:t>
            </w:r>
            <w:r>
              <w:rPr>
                <w:rFonts w:hint="eastAsia" w:ascii="宋体" w:hAnsi="宋体" w:eastAsia="宋体" w:cs="宋体"/>
                <w:spacing w:val="-42"/>
              </w:rPr>
              <w:t xml:space="preserve"> </w:t>
            </w:r>
            <w:r>
              <w:rPr>
                <w:rFonts w:hint="eastAsia" w:ascii="宋体" w:hAnsi="宋体" w:eastAsia="宋体" w:cs="宋体"/>
                <w:spacing w:val="-5"/>
              </w:rPr>
              <w:t>亿元</w:t>
            </w:r>
          </w:p>
        </w:tc>
        <w:tc>
          <w:tcPr>
            <w:tcW w:w="2645" w:type="dxa"/>
            <w:vAlign w:val="top"/>
          </w:tcPr>
          <w:p w14:paraId="0393AF0D">
            <w:pPr>
              <w:pStyle w:val="12"/>
              <w:shd w:val="clear"/>
              <w:spacing w:before="118"/>
              <w:ind w:left="355"/>
              <w:rPr>
                <w:rFonts w:hint="eastAsia" w:ascii="宋体" w:hAnsi="宋体" w:eastAsia="宋体" w:cs="宋体"/>
              </w:rPr>
            </w:pPr>
            <w:r>
              <w:rPr>
                <w:rFonts w:hint="eastAsia" w:ascii="宋体" w:hAnsi="宋体" w:eastAsia="宋体" w:cs="宋体"/>
                <w:spacing w:val="-3"/>
              </w:rPr>
              <w:t>0.1%</w:t>
            </w:r>
          </w:p>
        </w:tc>
      </w:tr>
      <w:tr w14:paraId="66BA7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3D8C8722">
            <w:pPr>
              <w:pStyle w:val="12"/>
              <w:shd w:val="clear"/>
              <w:spacing w:before="117" w:line="222" w:lineRule="auto"/>
              <w:ind w:left="133"/>
              <w:rPr>
                <w:rFonts w:hint="eastAsia" w:ascii="宋体" w:hAnsi="宋体" w:eastAsia="宋体" w:cs="宋体"/>
              </w:rPr>
            </w:pPr>
            <w:r>
              <w:rPr>
                <w:rFonts w:hint="eastAsia" w:ascii="宋体" w:hAnsi="宋体" w:eastAsia="宋体" w:cs="宋体"/>
                <w:spacing w:val="-9"/>
              </w:rPr>
              <w:t>1～5</w:t>
            </w:r>
            <w:r>
              <w:rPr>
                <w:rFonts w:hint="eastAsia" w:ascii="宋体" w:hAnsi="宋体" w:eastAsia="宋体" w:cs="宋体"/>
                <w:spacing w:val="-42"/>
              </w:rPr>
              <w:t xml:space="preserve"> </w:t>
            </w:r>
            <w:r>
              <w:rPr>
                <w:rFonts w:hint="eastAsia" w:ascii="宋体" w:hAnsi="宋体" w:eastAsia="宋体" w:cs="宋体"/>
                <w:spacing w:val="-9"/>
              </w:rPr>
              <w:t>亿元</w:t>
            </w:r>
          </w:p>
        </w:tc>
        <w:tc>
          <w:tcPr>
            <w:tcW w:w="2645" w:type="dxa"/>
            <w:vAlign w:val="top"/>
          </w:tcPr>
          <w:p w14:paraId="0731C5FB">
            <w:pPr>
              <w:pStyle w:val="12"/>
              <w:shd w:val="clear"/>
              <w:spacing w:before="117"/>
              <w:ind w:left="355"/>
              <w:rPr>
                <w:rFonts w:hint="eastAsia" w:ascii="宋体" w:hAnsi="宋体" w:eastAsia="宋体" w:cs="宋体"/>
              </w:rPr>
            </w:pPr>
            <w:r>
              <w:rPr>
                <w:rFonts w:hint="eastAsia" w:ascii="宋体" w:hAnsi="宋体" w:eastAsia="宋体" w:cs="宋体"/>
                <w:spacing w:val="-3"/>
              </w:rPr>
              <w:t>0.05%</w:t>
            </w:r>
          </w:p>
        </w:tc>
      </w:tr>
      <w:tr w14:paraId="685E1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358CCB55">
            <w:pPr>
              <w:pStyle w:val="12"/>
              <w:shd w:val="clear"/>
              <w:spacing w:before="118" w:line="222" w:lineRule="auto"/>
              <w:ind w:left="120"/>
              <w:rPr>
                <w:rFonts w:hint="eastAsia" w:ascii="宋体" w:hAnsi="宋体" w:eastAsia="宋体" w:cs="宋体"/>
              </w:rPr>
            </w:pPr>
            <w:r>
              <w:rPr>
                <w:rFonts w:hint="eastAsia" w:ascii="宋体" w:hAnsi="宋体" w:eastAsia="宋体" w:cs="宋体"/>
                <w:spacing w:val="-6"/>
              </w:rPr>
              <w:t>5～10</w:t>
            </w:r>
            <w:r>
              <w:rPr>
                <w:rFonts w:hint="eastAsia" w:ascii="宋体" w:hAnsi="宋体" w:eastAsia="宋体" w:cs="宋体"/>
                <w:spacing w:val="-39"/>
              </w:rPr>
              <w:t xml:space="preserve"> </w:t>
            </w:r>
            <w:r>
              <w:rPr>
                <w:rFonts w:hint="eastAsia" w:ascii="宋体" w:hAnsi="宋体" w:eastAsia="宋体" w:cs="宋体"/>
                <w:spacing w:val="-6"/>
              </w:rPr>
              <w:t>亿元</w:t>
            </w:r>
          </w:p>
        </w:tc>
        <w:tc>
          <w:tcPr>
            <w:tcW w:w="2645" w:type="dxa"/>
            <w:vAlign w:val="top"/>
          </w:tcPr>
          <w:p w14:paraId="03F5A746">
            <w:pPr>
              <w:pStyle w:val="12"/>
              <w:shd w:val="clear"/>
              <w:spacing w:before="118"/>
              <w:ind w:left="355"/>
              <w:rPr>
                <w:rFonts w:hint="eastAsia" w:ascii="宋体" w:hAnsi="宋体" w:eastAsia="宋体" w:cs="宋体"/>
              </w:rPr>
            </w:pPr>
            <w:r>
              <w:rPr>
                <w:rFonts w:hint="eastAsia" w:ascii="宋体" w:hAnsi="宋体" w:eastAsia="宋体" w:cs="宋体"/>
                <w:spacing w:val="-2"/>
              </w:rPr>
              <w:t>0.035%</w:t>
            </w:r>
          </w:p>
        </w:tc>
      </w:tr>
      <w:tr w14:paraId="35D28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7C26550E">
            <w:pPr>
              <w:pStyle w:val="12"/>
              <w:shd w:val="clear"/>
              <w:spacing w:before="119" w:line="222" w:lineRule="auto"/>
              <w:ind w:left="133"/>
              <w:rPr>
                <w:rFonts w:hint="eastAsia" w:ascii="宋体" w:hAnsi="宋体" w:eastAsia="宋体" w:cs="宋体"/>
              </w:rPr>
            </w:pPr>
            <w:r>
              <w:rPr>
                <w:rFonts w:hint="eastAsia" w:ascii="宋体" w:hAnsi="宋体" w:eastAsia="宋体" w:cs="宋体"/>
                <w:spacing w:val="-7"/>
              </w:rPr>
              <w:t>10～50</w:t>
            </w:r>
            <w:r>
              <w:rPr>
                <w:rFonts w:hint="eastAsia" w:ascii="宋体" w:hAnsi="宋体" w:eastAsia="宋体" w:cs="宋体"/>
                <w:spacing w:val="-39"/>
              </w:rPr>
              <w:t xml:space="preserve"> </w:t>
            </w:r>
            <w:r>
              <w:rPr>
                <w:rFonts w:hint="eastAsia" w:ascii="宋体" w:hAnsi="宋体" w:eastAsia="宋体" w:cs="宋体"/>
                <w:spacing w:val="-7"/>
              </w:rPr>
              <w:t>亿元</w:t>
            </w:r>
          </w:p>
        </w:tc>
        <w:tc>
          <w:tcPr>
            <w:tcW w:w="2645" w:type="dxa"/>
            <w:vAlign w:val="top"/>
          </w:tcPr>
          <w:p w14:paraId="0BC81FEF">
            <w:pPr>
              <w:pStyle w:val="12"/>
              <w:shd w:val="clear"/>
              <w:spacing w:before="119"/>
              <w:ind w:left="355"/>
              <w:rPr>
                <w:rFonts w:hint="eastAsia" w:ascii="宋体" w:hAnsi="宋体" w:eastAsia="宋体" w:cs="宋体"/>
              </w:rPr>
            </w:pPr>
            <w:r>
              <w:rPr>
                <w:rFonts w:hint="eastAsia" w:ascii="宋体" w:hAnsi="宋体" w:eastAsia="宋体" w:cs="宋体"/>
                <w:spacing w:val="-2"/>
              </w:rPr>
              <w:t>0.008%</w:t>
            </w:r>
          </w:p>
        </w:tc>
      </w:tr>
      <w:tr w14:paraId="6B13F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1BA12E86">
            <w:pPr>
              <w:pStyle w:val="12"/>
              <w:shd w:val="clear"/>
              <w:spacing w:before="121" w:line="222" w:lineRule="auto"/>
              <w:ind w:left="120"/>
              <w:rPr>
                <w:rFonts w:hint="eastAsia" w:ascii="宋体" w:hAnsi="宋体" w:eastAsia="宋体" w:cs="宋体"/>
              </w:rPr>
            </w:pPr>
            <w:r>
              <w:rPr>
                <w:rFonts w:hint="eastAsia" w:ascii="宋体" w:hAnsi="宋体" w:eastAsia="宋体" w:cs="宋体"/>
                <w:spacing w:val="-4"/>
              </w:rPr>
              <w:t>50～100</w:t>
            </w:r>
            <w:r>
              <w:rPr>
                <w:rFonts w:hint="eastAsia" w:ascii="宋体" w:hAnsi="宋体" w:eastAsia="宋体" w:cs="宋体"/>
                <w:spacing w:val="-42"/>
              </w:rPr>
              <w:t xml:space="preserve"> </w:t>
            </w:r>
            <w:r>
              <w:rPr>
                <w:rFonts w:hint="eastAsia" w:ascii="宋体" w:hAnsi="宋体" w:eastAsia="宋体" w:cs="宋体"/>
                <w:spacing w:val="-4"/>
              </w:rPr>
              <w:t>亿元</w:t>
            </w:r>
          </w:p>
        </w:tc>
        <w:tc>
          <w:tcPr>
            <w:tcW w:w="2645" w:type="dxa"/>
            <w:vAlign w:val="top"/>
          </w:tcPr>
          <w:p w14:paraId="06DA0BC4">
            <w:pPr>
              <w:pStyle w:val="12"/>
              <w:shd w:val="clear"/>
              <w:spacing w:before="121"/>
              <w:ind w:left="355"/>
              <w:rPr>
                <w:rFonts w:hint="eastAsia" w:ascii="宋体" w:hAnsi="宋体" w:eastAsia="宋体" w:cs="宋体"/>
              </w:rPr>
            </w:pPr>
            <w:r>
              <w:rPr>
                <w:rFonts w:hint="eastAsia" w:ascii="宋体" w:hAnsi="宋体" w:eastAsia="宋体" w:cs="宋体"/>
                <w:spacing w:val="-2"/>
              </w:rPr>
              <w:t>0.006%</w:t>
            </w:r>
          </w:p>
        </w:tc>
      </w:tr>
      <w:tr w14:paraId="7B136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5438" w:type="dxa"/>
            <w:vAlign w:val="top"/>
          </w:tcPr>
          <w:p w14:paraId="1F73D953">
            <w:pPr>
              <w:pStyle w:val="12"/>
              <w:shd w:val="clear"/>
              <w:spacing w:before="120" w:line="222" w:lineRule="auto"/>
              <w:ind w:left="133"/>
              <w:rPr>
                <w:rFonts w:hint="eastAsia" w:ascii="宋体" w:hAnsi="宋体" w:eastAsia="宋体" w:cs="宋体"/>
              </w:rPr>
            </w:pPr>
            <w:r>
              <w:rPr>
                <w:rFonts w:hint="eastAsia" w:ascii="宋体" w:hAnsi="宋体" w:eastAsia="宋体" w:cs="宋体"/>
                <w:spacing w:val="-8"/>
              </w:rPr>
              <w:t>100</w:t>
            </w:r>
            <w:r>
              <w:rPr>
                <w:rFonts w:hint="eastAsia" w:ascii="宋体" w:hAnsi="宋体" w:eastAsia="宋体" w:cs="宋体"/>
                <w:spacing w:val="-40"/>
              </w:rPr>
              <w:t xml:space="preserve"> </w:t>
            </w:r>
            <w:r>
              <w:rPr>
                <w:rFonts w:hint="eastAsia" w:ascii="宋体" w:hAnsi="宋体" w:eastAsia="宋体" w:cs="宋体"/>
                <w:spacing w:val="-8"/>
              </w:rPr>
              <w:t>亿以上</w:t>
            </w:r>
          </w:p>
        </w:tc>
        <w:tc>
          <w:tcPr>
            <w:tcW w:w="2645" w:type="dxa"/>
            <w:vAlign w:val="top"/>
          </w:tcPr>
          <w:p w14:paraId="3FBF7F12">
            <w:pPr>
              <w:pStyle w:val="12"/>
              <w:shd w:val="clear"/>
              <w:spacing w:before="120"/>
              <w:ind w:left="355"/>
              <w:rPr>
                <w:rFonts w:hint="eastAsia" w:ascii="宋体" w:hAnsi="宋体" w:eastAsia="宋体" w:cs="宋体"/>
              </w:rPr>
            </w:pPr>
            <w:r>
              <w:rPr>
                <w:rFonts w:hint="eastAsia" w:ascii="宋体" w:hAnsi="宋体" w:eastAsia="宋体" w:cs="宋体"/>
                <w:spacing w:val="-2"/>
              </w:rPr>
              <w:t>0.004%</w:t>
            </w:r>
          </w:p>
        </w:tc>
      </w:tr>
    </w:tbl>
    <w:p w14:paraId="017EF464">
      <w:pPr>
        <w:pStyle w:val="3"/>
        <w:shd w:val="clear"/>
        <w:spacing w:before="115" w:line="230" w:lineRule="auto"/>
        <w:ind w:left="484"/>
        <w:rPr>
          <w:rFonts w:hint="eastAsia" w:ascii="宋体" w:hAnsi="宋体" w:eastAsia="宋体" w:cs="宋体"/>
        </w:rPr>
      </w:pPr>
      <w:r>
        <w:rPr>
          <w:rFonts w:hint="eastAsia" w:ascii="宋体" w:hAnsi="宋体" w:eastAsia="宋体" w:cs="宋体"/>
          <w:spacing w:val="5"/>
        </w:rPr>
        <w:t>注:</w:t>
      </w:r>
    </w:p>
    <w:p w14:paraId="502BA107">
      <w:pPr>
        <w:pStyle w:val="3"/>
        <w:shd w:val="clear"/>
        <w:spacing w:before="168" w:line="222" w:lineRule="auto"/>
        <w:ind w:left="483"/>
        <w:rPr>
          <w:rFonts w:hint="eastAsia" w:ascii="宋体" w:hAnsi="宋体" w:eastAsia="宋体" w:cs="宋体"/>
        </w:rPr>
      </w:pPr>
      <w:r>
        <w:rPr>
          <w:rFonts w:hint="eastAsia" w:ascii="宋体" w:hAnsi="宋体" w:eastAsia="宋体" w:cs="宋体"/>
          <w:spacing w:val="-1"/>
        </w:rPr>
        <w:t>（1）按本表费率计算的收费为采购代理的收费基准价格；</w:t>
      </w:r>
    </w:p>
    <w:p w14:paraId="0E9C1DF8">
      <w:pPr>
        <w:pStyle w:val="3"/>
        <w:shd w:val="clear"/>
        <w:spacing w:before="180" w:line="222" w:lineRule="auto"/>
        <w:ind w:left="483"/>
        <w:rPr>
          <w:rFonts w:hint="eastAsia" w:ascii="宋体" w:hAnsi="宋体" w:eastAsia="宋体" w:cs="宋体"/>
        </w:rPr>
      </w:pPr>
      <w:r>
        <w:rPr>
          <w:rFonts w:hint="eastAsia" w:ascii="宋体" w:hAnsi="宋体" w:eastAsia="宋体" w:cs="宋体"/>
          <w:spacing w:val="-2"/>
        </w:rPr>
        <w:t>（2）采购代理收费按差额定率累进法计算。</w:t>
      </w:r>
    </w:p>
    <w:p w14:paraId="2F77030A">
      <w:pPr>
        <w:pStyle w:val="3"/>
        <w:shd w:val="clear"/>
        <w:spacing w:before="179" w:line="222" w:lineRule="auto"/>
        <w:ind w:left="477"/>
        <w:rPr>
          <w:rFonts w:hint="eastAsia" w:ascii="宋体" w:hAnsi="宋体" w:eastAsia="宋体" w:cs="宋体"/>
        </w:rPr>
      </w:pPr>
      <w:r>
        <w:rPr>
          <w:rFonts w:hint="eastAsia" w:ascii="宋体" w:hAnsi="宋体" w:eastAsia="宋体" w:cs="宋体"/>
          <w:spacing w:val="-1"/>
        </w:rPr>
        <w:t>例如：某服务采购代理业务中标金额或者暂定价为200</w:t>
      </w:r>
      <w:r>
        <w:rPr>
          <w:rFonts w:hint="eastAsia" w:ascii="宋体" w:hAnsi="宋体" w:eastAsia="宋体" w:cs="宋体"/>
          <w:spacing w:val="-28"/>
        </w:rPr>
        <w:t xml:space="preserve"> </w:t>
      </w:r>
      <w:r>
        <w:rPr>
          <w:rFonts w:hint="eastAsia" w:ascii="宋体" w:hAnsi="宋体" w:eastAsia="宋体" w:cs="宋体"/>
          <w:spacing w:val="-1"/>
        </w:rPr>
        <w:t>万元，计算采购代理收费额</w:t>
      </w:r>
    </w:p>
    <w:p w14:paraId="6FB80B4C">
      <w:pPr>
        <w:pStyle w:val="3"/>
        <w:shd w:val="clear"/>
        <w:spacing w:before="180" w:line="222" w:lineRule="auto"/>
        <w:rPr>
          <w:rFonts w:hint="eastAsia" w:ascii="宋体" w:hAnsi="宋体" w:eastAsia="宋体" w:cs="宋体"/>
        </w:rPr>
      </w:pPr>
      <w:r>
        <w:rPr>
          <w:rFonts w:hint="eastAsia" w:ascii="宋体" w:hAnsi="宋体" w:eastAsia="宋体" w:cs="宋体"/>
          <w:spacing w:val="-6"/>
        </w:rPr>
        <w:t>如下：</w:t>
      </w:r>
    </w:p>
    <w:p w14:paraId="487AE088">
      <w:pPr>
        <w:pStyle w:val="3"/>
        <w:shd w:val="clear"/>
        <w:spacing w:before="179" w:line="226" w:lineRule="auto"/>
        <w:ind w:left="488"/>
        <w:rPr>
          <w:rFonts w:hint="eastAsia" w:ascii="宋体" w:hAnsi="宋体" w:eastAsia="宋体" w:cs="宋体"/>
        </w:rPr>
      </w:pPr>
      <w:r>
        <w:rPr>
          <w:rFonts w:hint="eastAsia" w:ascii="宋体" w:hAnsi="宋体" w:eastAsia="宋体" w:cs="宋体"/>
          <w:spacing w:val="-5"/>
        </w:rPr>
        <w:t>100 万元×l.5</w:t>
      </w:r>
      <w:r>
        <w:rPr>
          <w:rFonts w:hint="eastAsia" w:ascii="宋体" w:hAnsi="宋体" w:eastAsia="宋体" w:cs="宋体"/>
          <w:spacing w:val="13"/>
        </w:rPr>
        <w:t xml:space="preserve"> </w:t>
      </w:r>
      <w:r>
        <w:rPr>
          <w:rFonts w:hint="eastAsia" w:ascii="宋体" w:hAnsi="宋体" w:eastAsia="宋体" w:cs="宋体"/>
          <w:spacing w:val="-5"/>
        </w:rPr>
        <w:t>%＝</w:t>
      </w:r>
      <w:r>
        <w:rPr>
          <w:rFonts w:hint="eastAsia" w:ascii="宋体" w:hAnsi="宋体" w:eastAsia="宋体" w:cs="宋体"/>
          <w:spacing w:val="27"/>
        </w:rPr>
        <w:t xml:space="preserve"> </w:t>
      </w:r>
      <w:r>
        <w:rPr>
          <w:rFonts w:hint="eastAsia" w:ascii="宋体" w:hAnsi="宋体" w:eastAsia="宋体" w:cs="宋体"/>
          <w:spacing w:val="-5"/>
        </w:rPr>
        <w:t>1.5</w:t>
      </w:r>
      <w:r>
        <w:rPr>
          <w:rFonts w:hint="eastAsia" w:ascii="宋体" w:hAnsi="宋体" w:eastAsia="宋体" w:cs="宋体"/>
          <w:spacing w:val="17"/>
        </w:rPr>
        <w:t xml:space="preserve"> </w:t>
      </w:r>
      <w:r>
        <w:rPr>
          <w:rFonts w:hint="eastAsia" w:ascii="宋体" w:hAnsi="宋体" w:eastAsia="宋体" w:cs="宋体"/>
          <w:spacing w:val="-5"/>
        </w:rPr>
        <w:t>万元</w:t>
      </w:r>
    </w:p>
    <w:p w14:paraId="189F9645">
      <w:pPr>
        <w:pStyle w:val="3"/>
        <w:shd w:val="clear"/>
        <w:spacing w:before="174" w:line="226" w:lineRule="auto"/>
        <w:ind w:left="483"/>
        <w:rPr>
          <w:rFonts w:hint="eastAsia" w:ascii="宋体" w:hAnsi="宋体" w:eastAsia="宋体" w:cs="宋体"/>
        </w:rPr>
      </w:pPr>
      <w:r>
        <w:rPr>
          <w:rFonts w:hint="eastAsia" w:ascii="宋体" w:hAnsi="宋体" w:eastAsia="宋体" w:cs="宋体"/>
          <w:spacing w:val="-8"/>
        </w:rPr>
        <w:t>（ 200</w:t>
      </w:r>
      <w:r>
        <w:rPr>
          <w:rFonts w:hint="eastAsia" w:ascii="宋体" w:hAnsi="宋体" w:eastAsia="宋体" w:cs="宋体"/>
          <w:spacing w:val="38"/>
        </w:rPr>
        <w:t xml:space="preserve"> </w:t>
      </w:r>
      <w:r>
        <w:rPr>
          <w:rFonts w:hint="eastAsia" w:ascii="宋体" w:hAnsi="宋体" w:eastAsia="宋体" w:cs="宋体"/>
          <w:spacing w:val="-8"/>
        </w:rPr>
        <w:t>－</w:t>
      </w:r>
      <w:r>
        <w:rPr>
          <w:rFonts w:hint="eastAsia" w:ascii="宋体" w:hAnsi="宋体" w:eastAsia="宋体" w:cs="宋体"/>
          <w:spacing w:val="26"/>
        </w:rPr>
        <w:t xml:space="preserve"> </w:t>
      </w:r>
      <w:r>
        <w:rPr>
          <w:rFonts w:hint="eastAsia" w:ascii="宋体" w:hAnsi="宋体" w:eastAsia="宋体" w:cs="宋体"/>
          <w:spacing w:val="-8"/>
        </w:rPr>
        <w:t>100</w:t>
      </w:r>
      <w:r>
        <w:rPr>
          <w:rFonts w:hint="eastAsia" w:ascii="宋体" w:hAnsi="宋体" w:eastAsia="宋体" w:cs="宋体"/>
          <w:spacing w:val="35"/>
        </w:rPr>
        <w:t xml:space="preserve"> </w:t>
      </w:r>
      <w:r>
        <w:rPr>
          <w:rFonts w:hint="eastAsia" w:ascii="宋体" w:hAnsi="宋体" w:eastAsia="宋体" w:cs="宋体"/>
          <w:spacing w:val="-8"/>
        </w:rPr>
        <w:t>）万元</w:t>
      </w:r>
      <w:r>
        <w:rPr>
          <w:rFonts w:hint="eastAsia" w:ascii="宋体" w:hAnsi="宋体" w:eastAsia="宋体" w:cs="宋体"/>
          <w:spacing w:val="45"/>
        </w:rPr>
        <w:t xml:space="preserve"> </w:t>
      </w:r>
      <w:r>
        <w:rPr>
          <w:rFonts w:hint="eastAsia" w:ascii="宋体" w:hAnsi="宋体" w:eastAsia="宋体" w:cs="宋体"/>
          <w:spacing w:val="-8"/>
        </w:rPr>
        <w:t>×0.8%＝0.8</w:t>
      </w:r>
      <w:r>
        <w:rPr>
          <w:rFonts w:hint="eastAsia" w:ascii="宋体" w:hAnsi="宋体" w:eastAsia="宋体" w:cs="宋体"/>
          <w:spacing w:val="-42"/>
        </w:rPr>
        <w:t xml:space="preserve"> </w:t>
      </w:r>
      <w:r>
        <w:rPr>
          <w:rFonts w:hint="eastAsia" w:ascii="宋体" w:hAnsi="宋体" w:eastAsia="宋体" w:cs="宋体"/>
          <w:spacing w:val="-8"/>
        </w:rPr>
        <w:t>万元</w:t>
      </w:r>
    </w:p>
    <w:p w14:paraId="0F90782C">
      <w:pPr>
        <w:pStyle w:val="3"/>
        <w:shd w:val="clear"/>
        <w:spacing w:before="271" w:line="222" w:lineRule="auto"/>
        <w:ind w:left="484"/>
        <w:rPr>
          <w:rFonts w:hint="eastAsia" w:ascii="宋体" w:hAnsi="宋体" w:eastAsia="宋体" w:cs="宋体"/>
        </w:rPr>
      </w:pPr>
      <w:r>
        <w:rPr>
          <w:rFonts w:hint="eastAsia" w:ascii="宋体" w:hAnsi="宋体" w:eastAsia="宋体" w:cs="宋体"/>
          <w:spacing w:val="-2"/>
        </w:rPr>
        <w:t>合计收费＝ 1.5+0.8＝</w:t>
      </w:r>
      <w:r>
        <w:rPr>
          <w:rFonts w:hint="eastAsia" w:ascii="宋体" w:hAnsi="宋体" w:eastAsia="宋体" w:cs="宋体"/>
          <w:spacing w:val="18"/>
        </w:rPr>
        <w:t xml:space="preserve"> </w:t>
      </w:r>
      <w:r>
        <w:rPr>
          <w:rFonts w:hint="eastAsia" w:ascii="宋体" w:hAnsi="宋体" w:eastAsia="宋体" w:cs="宋体"/>
          <w:spacing w:val="-2"/>
        </w:rPr>
        <w:t>2.3（万元）</w:t>
      </w:r>
    </w:p>
    <w:p w14:paraId="7A38EC01">
      <w:pPr>
        <w:shd w:val="clear"/>
        <w:spacing w:before="232" w:line="222" w:lineRule="auto"/>
        <w:ind w:left="471"/>
        <w:rPr>
          <w:rFonts w:hint="eastAsia" w:ascii="宋体" w:hAnsi="宋体" w:eastAsia="宋体" w:cs="宋体"/>
          <w:sz w:val="24"/>
          <w:szCs w:val="24"/>
        </w:rPr>
      </w:pPr>
      <w:r>
        <w:rPr>
          <w:rFonts w:hint="eastAsia" w:ascii="宋体" w:hAnsi="宋体" w:eastAsia="宋体" w:cs="宋体"/>
          <w:b/>
          <w:bCs/>
          <w:spacing w:val="-3"/>
          <w:sz w:val="24"/>
          <w:szCs w:val="24"/>
        </w:rPr>
        <w:t>33.需要补充的其他内容</w:t>
      </w:r>
    </w:p>
    <w:p w14:paraId="068A5C8B">
      <w:pPr>
        <w:pStyle w:val="3"/>
        <w:shd w:val="clear"/>
        <w:spacing w:before="160" w:line="221" w:lineRule="auto"/>
        <w:ind w:left="475"/>
        <w:rPr>
          <w:rFonts w:hint="eastAsia" w:ascii="宋体" w:hAnsi="宋体" w:eastAsia="宋体" w:cs="宋体"/>
        </w:rPr>
      </w:pPr>
      <w:r>
        <w:rPr>
          <w:rFonts w:hint="eastAsia" w:ascii="宋体" w:hAnsi="宋体" w:eastAsia="宋体" w:cs="宋体"/>
          <w:spacing w:val="-1"/>
        </w:rPr>
        <w:t>33.1</w:t>
      </w:r>
      <w:r>
        <w:rPr>
          <w:rFonts w:hint="eastAsia" w:ascii="宋体" w:hAnsi="宋体" w:eastAsia="宋体" w:cs="宋体"/>
          <w:spacing w:val="-43"/>
        </w:rPr>
        <w:t xml:space="preserve"> </w:t>
      </w:r>
      <w:r>
        <w:rPr>
          <w:rFonts w:hint="eastAsia" w:ascii="宋体" w:hAnsi="宋体" w:eastAsia="宋体" w:cs="宋体"/>
          <w:spacing w:val="-1"/>
        </w:rPr>
        <w:t>本磋商文件解释规则详见“供应商须知前</w:t>
      </w:r>
      <w:r>
        <w:rPr>
          <w:rFonts w:hint="eastAsia" w:ascii="宋体" w:hAnsi="宋体" w:eastAsia="宋体" w:cs="宋体"/>
          <w:spacing w:val="-2"/>
        </w:rPr>
        <w:t>附表</w:t>
      </w:r>
      <w:r>
        <w:rPr>
          <w:rFonts w:hint="eastAsia" w:ascii="宋体" w:hAnsi="宋体" w:eastAsia="宋体" w:cs="宋体"/>
          <w:spacing w:val="-88"/>
        </w:rPr>
        <w:t xml:space="preserve"> </w:t>
      </w:r>
      <w:r>
        <w:rPr>
          <w:rFonts w:hint="eastAsia" w:ascii="宋体" w:hAnsi="宋体" w:eastAsia="宋体" w:cs="宋体"/>
          <w:spacing w:val="-2"/>
        </w:rPr>
        <w:t>”。</w:t>
      </w:r>
    </w:p>
    <w:p w14:paraId="515FF4EA">
      <w:pPr>
        <w:pStyle w:val="3"/>
        <w:shd w:val="clear"/>
        <w:spacing w:before="233" w:line="221" w:lineRule="auto"/>
        <w:ind w:left="475"/>
        <w:rPr>
          <w:rFonts w:hint="eastAsia" w:ascii="宋体" w:hAnsi="宋体" w:eastAsia="宋体" w:cs="宋体"/>
        </w:rPr>
      </w:pPr>
      <w:r>
        <w:rPr>
          <w:rFonts w:hint="eastAsia" w:ascii="宋体" w:hAnsi="宋体" w:eastAsia="宋体" w:cs="宋体"/>
          <w:spacing w:val="-1"/>
        </w:rPr>
        <w:t>33.2 其他事项详见“供应商须知前附表</w:t>
      </w:r>
      <w:r>
        <w:rPr>
          <w:rFonts w:hint="eastAsia" w:ascii="宋体" w:hAnsi="宋体" w:eastAsia="宋体" w:cs="宋体"/>
          <w:spacing w:val="-79"/>
        </w:rPr>
        <w:t xml:space="preserve"> </w:t>
      </w:r>
      <w:r>
        <w:rPr>
          <w:rFonts w:hint="eastAsia" w:ascii="宋体" w:hAnsi="宋体" w:eastAsia="宋体" w:cs="宋体"/>
          <w:spacing w:val="-1"/>
        </w:rPr>
        <w:t>”。</w:t>
      </w:r>
    </w:p>
    <w:p w14:paraId="5E339464">
      <w:pPr>
        <w:pStyle w:val="3"/>
        <w:shd w:val="clear"/>
        <w:spacing w:before="68" w:line="400" w:lineRule="auto"/>
        <w:ind w:left="33" w:right="65" w:firstLine="454"/>
        <w:rPr>
          <w:rFonts w:hint="eastAsia" w:ascii="宋体" w:hAnsi="宋体" w:eastAsia="宋体" w:cs="宋体"/>
        </w:rPr>
      </w:pPr>
      <w:r>
        <w:rPr>
          <w:rFonts w:hint="eastAsia" w:ascii="宋体" w:hAnsi="宋体" w:eastAsia="宋体" w:cs="宋体"/>
          <w:spacing w:val="-4"/>
        </w:rPr>
        <w:t>33.3</w:t>
      </w:r>
      <w:r>
        <w:rPr>
          <w:rFonts w:hint="eastAsia" w:ascii="宋体" w:hAnsi="宋体" w:eastAsia="宋体" w:cs="宋体"/>
          <w:spacing w:val="-31"/>
        </w:rPr>
        <w:t xml:space="preserve"> </w:t>
      </w:r>
      <w:r>
        <w:rPr>
          <w:rFonts w:hint="eastAsia" w:ascii="宋体" w:hAnsi="宋体" w:eastAsia="宋体" w:cs="宋体"/>
          <w:spacing w:val="-4"/>
        </w:rPr>
        <w:t>本磋商文件所称中小企业，是指在中华人民共和国境内依法设立，依据国务院</w:t>
      </w:r>
      <w:r>
        <w:rPr>
          <w:rFonts w:hint="eastAsia" w:ascii="宋体" w:hAnsi="宋体" w:eastAsia="宋体" w:cs="宋体"/>
          <w:spacing w:val="-2"/>
        </w:rPr>
        <w:t>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w:t>
      </w:r>
      <w:r>
        <w:rPr>
          <w:rFonts w:hint="eastAsia" w:ascii="宋体" w:hAnsi="宋体" w:eastAsia="宋体" w:cs="宋体"/>
          <w:spacing w:val="-1"/>
        </w:rPr>
        <w:t>工程或者服务符合下列情形的，享受本磋商文件规定的中小企业扶持政策：</w:t>
      </w:r>
    </w:p>
    <w:p w14:paraId="0E28BAF7">
      <w:pPr>
        <w:pStyle w:val="3"/>
        <w:shd w:val="clear"/>
        <w:spacing w:before="68" w:line="400" w:lineRule="auto"/>
        <w:ind w:left="33" w:right="65" w:firstLine="454"/>
        <w:rPr>
          <w:rFonts w:hint="eastAsia" w:ascii="宋体" w:hAnsi="宋体" w:eastAsia="宋体" w:cs="宋体"/>
        </w:rPr>
      </w:pPr>
      <w:r>
        <w:rPr>
          <w:rFonts w:hint="eastAsia" w:ascii="宋体" w:hAnsi="宋体" w:eastAsia="宋体" w:cs="宋体"/>
          <w:spacing w:val="1"/>
        </w:rPr>
        <w:t>（1）在货物采购项目中，货物由中小企业制造，即货物由中小企业生产且使用该</w:t>
      </w:r>
      <w:r>
        <w:rPr>
          <w:rFonts w:hint="eastAsia" w:ascii="宋体" w:hAnsi="宋体" w:eastAsia="宋体" w:cs="宋体"/>
          <w:spacing w:val="-1"/>
        </w:rPr>
        <w:t>中小企业商号或者注册商标，不对其中涉及的工程承建商和</w:t>
      </w:r>
      <w:r>
        <w:rPr>
          <w:rFonts w:hint="eastAsia" w:ascii="宋体" w:hAnsi="宋体" w:eastAsia="宋体" w:cs="宋体"/>
          <w:spacing w:val="-2"/>
        </w:rPr>
        <w:t>服务的承接商作出要求；</w:t>
      </w:r>
    </w:p>
    <w:p w14:paraId="2EA84BD4">
      <w:pPr>
        <w:pStyle w:val="3"/>
        <w:shd w:val="clear"/>
        <w:spacing w:before="1" w:line="400" w:lineRule="auto"/>
        <w:ind w:left="4" w:right="65" w:firstLine="483"/>
        <w:rPr>
          <w:rFonts w:hint="eastAsia" w:ascii="宋体" w:hAnsi="宋体" w:eastAsia="宋体" w:cs="宋体"/>
        </w:rPr>
      </w:pPr>
      <w:r>
        <w:rPr>
          <w:rFonts w:hint="eastAsia" w:ascii="宋体" w:hAnsi="宋体" w:eastAsia="宋体" w:cs="宋体"/>
          <w:spacing w:val="1"/>
        </w:rPr>
        <w:t>（2）在工程采购项目中，工程由中小企业承建，即工程施工单位为中小企业，不</w:t>
      </w:r>
      <w:r>
        <w:rPr>
          <w:rFonts w:hint="eastAsia" w:ascii="宋体" w:hAnsi="宋体" w:eastAsia="宋体" w:cs="宋体"/>
          <w:spacing w:val="-1"/>
        </w:rPr>
        <w:t>对其中涉及的货物的制造商和服务的承接商作出要求；</w:t>
      </w:r>
    </w:p>
    <w:p w14:paraId="72D2E7F5">
      <w:pPr>
        <w:pStyle w:val="3"/>
        <w:shd w:val="clear"/>
        <w:spacing w:before="2" w:line="399" w:lineRule="auto"/>
        <w:ind w:left="1" w:right="65" w:firstLine="485"/>
        <w:rPr>
          <w:rFonts w:hint="eastAsia" w:ascii="宋体" w:hAnsi="宋体" w:eastAsia="宋体" w:cs="宋体"/>
        </w:rPr>
      </w:pPr>
      <w:r>
        <w:rPr>
          <w:rFonts w:hint="eastAsia" w:ascii="宋体" w:hAnsi="宋体" w:eastAsia="宋体" w:cs="宋体"/>
          <w:spacing w:val="1"/>
        </w:rPr>
        <w:t>（3）在服务采购项目中，服务由中小企业承接，即提供服务的人员为中小企业依</w:t>
      </w:r>
      <w:r>
        <w:rPr>
          <w:rFonts w:hint="eastAsia" w:ascii="宋体" w:hAnsi="宋体" w:eastAsia="宋体" w:cs="宋体"/>
          <w:spacing w:val="-2"/>
        </w:rPr>
        <w:t>照《中华人民共和国劳动合同法》订立劳动合同的从业人员，不对其中涉及的货物的制造商和工程承建商作出要求。</w:t>
      </w:r>
    </w:p>
    <w:p w14:paraId="7271DF56">
      <w:pPr>
        <w:pStyle w:val="3"/>
        <w:shd w:val="clear"/>
        <w:spacing w:before="5" w:line="399" w:lineRule="auto"/>
        <w:ind w:firstLine="484"/>
        <w:jc w:val="both"/>
        <w:rPr>
          <w:rFonts w:hint="eastAsia" w:ascii="宋体" w:hAnsi="宋体" w:eastAsia="宋体" w:cs="宋体"/>
        </w:rPr>
      </w:pPr>
      <w:r>
        <w:rPr>
          <w:rFonts w:hint="eastAsia" w:ascii="宋体" w:hAnsi="宋体" w:eastAsia="宋体" w:cs="宋体"/>
          <w:spacing w:val="-2"/>
        </w:rPr>
        <w:t>在货物采购项目中，供应商提供的货物既有中小企业制造货物，也有大型企业制造</w:t>
      </w:r>
      <w:r>
        <w:rPr>
          <w:rFonts w:hint="eastAsia" w:ascii="宋体" w:hAnsi="宋体" w:eastAsia="宋体" w:cs="宋体"/>
          <w:spacing w:val="-6"/>
        </w:rPr>
        <w:t>货物的，不享受本磋商文件规定的中小企业扶持政策。以联合体形式参加政府采购</w:t>
      </w:r>
      <w:r>
        <w:rPr>
          <w:rFonts w:hint="eastAsia" w:ascii="宋体" w:hAnsi="宋体" w:eastAsia="宋体" w:cs="宋体"/>
          <w:spacing w:val="-7"/>
        </w:rPr>
        <w:t>活动，</w:t>
      </w:r>
      <w:r>
        <w:rPr>
          <w:rFonts w:hint="eastAsia" w:ascii="宋体" w:hAnsi="宋体" w:eastAsia="宋体" w:cs="宋体"/>
          <w:spacing w:val="-6"/>
        </w:rPr>
        <w:t>联合体各方均为中小企业的，联合体视同中小企业。其中，联合体各方均为小微企</w:t>
      </w:r>
      <w:r>
        <w:rPr>
          <w:rFonts w:hint="eastAsia" w:ascii="宋体" w:hAnsi="宋体" w:eastAsia="宋体" w:cs="宋体"/>
          <w:spacing w:val="-7"/>
        </w:rPr>
        <w:t>业的，</w:t>
      </w:r>
      <w:r>
        <w:rPr>
          <w:rFonts w:hint="eastAsia" w:ascii="宋体" w:hAnsi="宋体" w:eastAsia="宋体" w:cs="宋体"/>
          <w:spacing w:val="-2"/>
        </w:rPr>
        <w:t>联合体视同小微企业。</w:t>
      </w:r>
    </w:p>
    <w:p w14:paraId="3FEB07A6">
      <w:pPr>
        <w:pStyle w:val="3"/>
        <w:shd w:val="clear"/>
        <w:spacing w:before="1" w:line="401" w:lineRule="auto"/>
        <w:ind w:left="4" w:right="65" w:firstLine="479"/>
        <w:rPr>
          <w:rFonts w:hint="eastAsia" w:ascii="宋体" w:hAnsi="宋体" w:eastAsia="宋体" w:cs="宋体"/>
        </w:rPr>
      </w:pPr>
      <w:r>
        <w:rPr>
          <w:rFonts w:hint="eastAsia" w:ascii="宋体" w:hAnsi="宋体" w:eastAsia="宋体" w:cs="宋体"/>
          <w:spacing w:val="-2"/>
        </w:rPr>
        <w:t>依据本磋商文件规定享受扶持政策获得政府采购合同的，小微企业不得将合同分包</w:t>
      </w:r>
      <w:r>
        <w:rPr>
          <w:rFonts w:hint="eastAsia" w:ascii="宋体" w:hAnsi="宋体" w:eastAsia="宋体" w:cs="宋体"/>
          <w:spacing w:val="-1"/>
        </w:rPr>
        <w:t>给大中型企业，中型企业不得将合同分包给大型企业。</w:t>
      </w:r>
    </w:p>
    <w:p w14:paraId="5135F267">
      <w:pPr>
        <w:shd w:val="clear"/>
        <w:spacing w:line="401" w:lineRule="auto"/>
        <w:rPr>
          <w:rFonts w:hint="eastAsia" w:ascii="宋体" w:hAnsi="宋体" w:eastAsia="宋体" w:cs="宋体"/>
        </w:rPr>
        <w:sectPr>
          <w:footerReference r:id="rId9" w:type="default"/>
          <w:pgSz w:w="11906" w:h="16839"/>
          <w:pgMar w:top="1440" w:right="1080" w:bottom="1440" w:left="1080" w:header="0" w:footer="1200" w:gutter="0"/>
          <w:pgNumType w:fmt="decimal"/>
          <w:cols w:space="720" w:num="1"/>
        </w:sectPr>
      </w:pPr>
    </w:p>
    <w:p w14:paraId="5A41D2BF">
      <w:pPr>
        <w:pStyle w:val="3"/>
        <w:shd w:val="clear"/>
        <w:spacing w:before="139" w:line="226" w:lineRule="auto"/>
        <w:ind w:left="2312" w:firstLine="839" w:firstLineChars="200"/>
        <w:jc w:val="both"/>
        <w:outlineLvl w:val="0"/>
        <w:rPr>
          <w:rFonts w:hint="eastAsia" w:ascii="宋体" w:hAnsi="宋体" w:eastAsia="宋体" w:cs="宋体"/>
          <w:sz w:val="43"/>
          <w:szCs w:val="43"/>
        </w:rPr>
      </w:pPr>
      <w:bookmarkStart w:id="6" w:name="_Toc13924"/>
      <w:r>
        <w:rPr>
          <w:rFonts w:hint="eastAsia" w:ascii="宋体" w:hAnsi="宋体" w:eastAsia="宋体" w:cs="宋体"/>
          <w:b/>
          <w:bCs/>
          <w:spacing w:val="-6"/>
          <w:sz w:val="43"/>
          <w:szCs w:val="43"/>
        </w:rPr>
        <w:t>第三章</w:t>
      </w:r>
      <w:r>
        <w:rPr>
          <w:rFonts w:hint="eastAsia" w:ascii="宋体" w:hAnsi="宋体" w:eastAsia="宋体" w:cs="宋体"/>
          <w:spacing w:val="48"/>
          <w:sz w:val="43"/>
          <w:szCs w:val="43"/>
        </w:rPr>
        <w:t xml:space="preserve"> </w:t>
      </w:r>
      <w:r>
        <w:rPr>
          <w:rFonts w:hint="eastAsia" w:ascii="宋体" w:hAnsi="宋体" w:eastAsia="宋体" w:cs="宋体"/>
          <w:b/>
          <w:bCs/>
          <w:spacing w:val="-6"/>
          <w:sz w:val="43"/>
          <w:szCs w:val="43"/>
        </w:rPr>
        <w:t>采购需求</w:t>
      </w:r>
      <w:bookmarkEnd w:id="6"/>
    </w:p>
    <w:p w14:paraId="30FB45A4">
      <w:pPr>
        <w:shd w:val="clear"/>
        <w:spacing w:line="426" w:lineRule="auto"/>
        <w:rPr>
          <w:rFonts w:hint="eastAsia" w:ascii="宋体" w:hAnsi="宋体" w:eastAsia="宋体" w:cs="宋体"/>
          <w:sz w:val="21"/>
        </w:rPr>
      </w:pPr>
    </w:p>
    <w:p w14:paraId="3E146A0D">
      <w:pPr>
        <w:pStyle w:val="3"/>
        <w:shd w:val="clear"/>
        <w:spacing w:before="78" w:line="224" w:lineRule="auto"/>
        <w:ind w:left="1"/>
        <w:rPr>
          <w:rFonts w:hint="eastAsia" w:ascii="宋体" w:hAnsi="宋体" w:eastAsia="宋体" w:cs="宋体"/>
        </w:rPr>
      </w:pPr>
      <w:r>
        <w:rPr>
          <w:rFonts w:hint="eastAsia" w:ascii="宋体" w:hAnsi="宋体" w:eastAsia="宋体" w:cs="宋体"/>
          <w:spacing w:val="-6"/>
        </w:rPr>
        <w:t>说明：</w:t>
      </w:r>
    </w:p>
    <w:p w14:paraId="10AC9568">
      <w:pPr>
        <w:pStyle w:val="3"/>
        <w:shd w:val="clear"/>
        <w:spacing w:before="177" w:line="222" w:lineRule="auto"/>
        <w:ind w:left="491"/>
        <w:rPr>
          <w:rFonts w:hint="eastAsia" w:ascii="宋体" w:hAnsi="宋体" w:eastAsia="宋体" w:cs="宋体"/>
        </w:rPr>
      </w:pPr>
      <w:r>
        <w:rPr>
          <w:rFonts w:hint="eastAsia" w:ascii="宋体" w:hAnsi="宋体" w:eastAsia="宋体" w:cs="宋体"/>
          <w:spacing w:val="-2"/>
        </w:rPr>
        <w:t>1. 为落实政府采购政策需满足的要求</w:t>
      </w:r>
    </w:p>
    <w:p w14:paraId="173D8A20">
      <w:pPr>
        <w:pStyle w:val="3"/>
        <w:shd w:val="clear"/>
        <w:spacing w:before="179" w:line="360" w:lineRule="auto"/>
        <w:ind w:left="13" w:right="148" w:firstLine="471"/>
        <w:rPr>
          <w:rFonts w:hint="eastAsia" w:ascii="宋体" w:hAnsi="宋体" w:eastAsia="宋体" w:cs="宋体"/>
        </w:rPr>
      </w:pPr>
      <w:r>
        <w:rPr>
          <w:rFonts w:hint="eastAsia" w:ascii="宋体" w:hAnsi="宋体" w:eastAsia="宋体" w:cs="宋体"/>
          <w:spacing w:val="-1"/>
        </w:rPr>
        <w:t>（1）本竞争性磋商采购文件所称中小企业必须符合《政府采购促进中小企业发展</w:t>
      </w:r>
      <w:r>
        <w:rPr>
          <w:rFonts w:hint="eastAsia" w:ascii="宋体" w:hAnsi="宋体" w:eastAsia="宋体" w:cs="宋体"/>
          <w:spacing w:val="-3"/>
        </w:rPr>
        <w:t>管理办法》（财库〔2020〕46</w:t>
      </w:r>
      <w:r>
        <w:rPr>
          <w:rFonts w:hint="eastAsia" w:ascii="宋体" w:hAnsi="宋体" w:eastAsia="宋体" w:cs="宋体"/>
          <w:spacing w:val="-25"/>
        </w:rPr>
        <w:t xml:space="preserve"> </w:t>
      </w:r>
      <w:r>
        <w:rPr>
          <w:rFonts w:hint="eastAsia" w:ascii="宋体" w:hAnsi="宋体" w:eastAsia="宋体" w:cs="宋体"/>
          <w:spacing w:val="-3"/>
        </w:rPr>
        <w:t>号）的规定。</w:t>
      </w:r>
    </w:p>
    <w:p w14:paraId="3C211847">
      <w:pPr>
        <w:pStyle w:val="3"/>
        <w:shd w:val="clear"/>
        <w:spacing w:before="4" w:line="359" w:lineRule="auto"/>
        <w:ind w:left="4" w:right="76" w:firstLine="476"/>
        <w:rPr>
          <w:rFonts w:hint="eastAsia" w:ascii="宋体" w:hAnsi="宋体" w:eastAsia="宋体" w:cs="宋体"/>
          <w:b/>
          <w:bCs/>
          <w:color w:val="0000FF"/>
          <w:lang w:val="en-US" w:eastAsia="zh-CN"/>
        </w:rPr>
      </w:pPr>
      <w:r>
        <w:rPr>
          <w:rFonts w:hint="eastAsia" w:ascii="宋体" w:hAnsi="宋体" w:eastAsia="宋体" w:cs="宋体"/>
          <w:spacing w:val="-1"/>
        </w:rPr>
        <w:t>2. “实质性要求</w:t>
      </w:r>
      <w:r>
        <w:rPr>
          <w:rFonts w:hint="eastAsia" w:ascii="宋体" w:hAnsi="宋体" w:eastAsia="宋体" w:cs="宋体"/>
          <w:spacing w:val="-88"/>
        </w:rPr>
        <w:t xml:space="preserve"> </w:t>
      </w:r>
      <w:r>
        <w:rPr>
          <w:rFonts w:hint="eastAsia" w:ascii="宋体" w:hAnsi="宋体" w:eastAsia="宋体" w:cs="宋体"/>
          <w:spacing w:val="-1"/>
        </w:rPr>
        <w:t>”是指竞争性磋商文件中已经指明不满足则竞</w:t>
      </w:r>
      <w:r>
        <w:rPr>
          <w:rFonts w:hint="eastAsia" w:ascii="宋体" w:hAnsi="宋体" w:eastAsia="宋体" w:cs="宋体"/>
          <w:spacing w:val="-2"/>
        </w:rPr>
        <w:t>标无效的条款，或</w:t>
      </w:r>
      <w:r>
        <w:rPr>
          <w:rFonts w:hint="eastAsia" w:ascii="宋体" w:hAnsi="宋体" w:eastAsia="宋体" w:cs="宋体"/>
          <w:spacing w:val="-4"/>
        </w:rPr>
        <w:t>者不能负偏离的条款，或者采购需求中带“★</w:t>
      </w:r>
      <w:r>
        <w:rPr>
          <w:rFonts w:hint="eastAsia" w:ascii="宋体" w:hAnsi="宋体" w:eastAsia="宋体" w:cs="宋体"/>
          <w:spacing w:val="-70"/>
        </w:rPr>
        <w:t xml:space="preserve"> </w:t>
      </w:r>
      <w:r>
        <w:rPr>
          <w:rFonts w:hint="eastAsia" w:ascii="宋体" w:hAnsi="宋体" w:eastAsia="宋体" w:cs="宋体"/>
          <w:spacing w:val="-4"/>
        </w:rPr>
        <w:t>”的条款</w:t>
      </w:r>
      <w:r>
        <w:rPr>
          <w:rFonts w:hint="eastAsia" w:ascii="宋体" w:hAnsi="宋体" w:eastAsia="宋体" w:cs="宋体"/>
          <w:spacing w:val="-7"/>
        </w:rPr>
        <w:t>。</w:t>
      </w:r>
      <w:r>
        <w:rPr>
          <w:rFonts w:hint="eastAsia" w:ascii="宋体" w:hAnsi="宋体" w:eastAsia="宋体" w:cs="宋体"/>
          <w:b/>
          <w:bCs/>
          <w:spacing w:val="-7"/>
        </w:rPr>
        <w:t>本项目带▲参数不属于投标否决项，仅作为评审扣分依据</w:t>
      </w:r>
      <w:r>
        <w:rPr>
          <w:rFonts w:hint="eastAsia" w:ascii="宋体" w:hAnsi="宋体" w:eastAsia="宋体" w:cs="宋体"/>
          <w:b/>
          <w:bCs/>
          <w:color w:val="0000FF"/>
          <w:spacing w:val="-3"/>
        </w:rPr>
        <w:t>。</w:t>
      </w:r>
    </w:p>
    <w:p w14:paraId="5AECC258">
      <w:pPr>
        <w:pStyle w:val="3"/>
        <w:shd w:val="clear"/>
        <w:spacing w:before="96" w:line="400" w:lineRule="auto"/>
        <w:ind w:firstLine="478"/>
        <w:rPr>
          <w:rFonts w:hint="eastAsia" w:ascii="宋体" w:hAnsi="宋体" w:eastAsia="宋体" w:cs="宋体"/>
        </w:rPr>
      </w:pPr>
      <w:r>
        <w:rPr>
          <w:rFonts w:hint="eastAsia" w:ascii="宋体" w:hAnsi="宋体" w:eastAsia="宋体" w:cs="宋体"/>
          <w:spacing w:val="-2"/>
        </w:rPr>
        <w:t>3.采购需求中出现的品牌、型号、服务标准或者生产厂家仅起参考作用，不属于指定品牌、型号或者生产厂家的情形。供应商可参照或者选用其他相当的品牌、型号或者生产厂家替代，但选用的竞标产品参数性能必须满足实质性要求。各项技术标准或服务要求应符合国家强制性标准，不要求某一特定的专利、商标、名称、设计、原产地或生产供应者，采购需求中如有尺寸要求未作可偏离区间范围要求的，则在应标及供货时满</w:t>
      </w:r>
      <w:r>
        <w:rPr>
          <w:rFonts w:hint="eastAsia" w:ascii="宋体" w:hAnsi="宋体" w:eastAsia="宋体" w:cs="宋体"/>
          <w:spacing w:val="-6"/>
        </w:rPr>
        <w:t>足国家相关验收标准即可。采购需求中各类设备的技术、材质或服务要求如无特别规定，</w:t>
      </w:r>
      <w:r>
        <w:rPr>
          <w:rFonts w:hint="eastAsia" w:ascii="宋体" w:hAnsi="宋体" w:eastAsia="宋体" w:cs="宋体"/>
          <w:spacing w:val="-2"/>
        </w:rPr>
        <w:t>均为最低要求，接受更优技术或材质设备或更有利于项目实施的服务应标。如涉及相关</w:t>
      </w:r>
      <w:r>
        <w:rPr>
          <w:rFonts w:hint="eastAsia" w:ascii="宋体" w:hAnsi="宋体" w:eastAsia="宋体" w:cs="宋体"/>
          <w:spacing w:val="-6"/>
        </w:rPr>
        <w:t>强制性标准存在更新版本的，以更新后版本作为要求及验收标准，采用更新后标准产品、</w:t>
      </w:r>
      <w:r>
        <w:rPr>
          <w:rFonts w:hint="eastAsia" w:ascii="宋体" w:hAnsi="宋体" w:eastAsia="宋体" w:cs="宋体"/>
          <w:spacing w:val="-1"/>
        </w:rPr>
        <w:t>服务进行应标的，不作负偏离认定。</w:t>
      </w:r>
    </w:p>
    <w:p w14:paraId="5D7732BC">
      <w:pPr>
        <w:pStyle w:val="3"/>
        <w:shd w:val="clear"/>
        <w:spacing w:before="1" w:line="400" w:lineRule="auto"/>
        <w:ind w:right="76" w:firstLine="477"/>
        <w:rPr>
          <w:rFonts w:hint="eastAsia" w:ascii="宋体" w:hAnsi="宋体" w:eastAsia="宋体" w:cs="宋体"/>
        </w:rPr>
      </w:pPr>
      <w:r>
        <w:rPr>
          <w:rFonts w:hint="eastAsia" w:ascii="宋体" w:hAnsi="宋体" w:eastAsia="宋体" w:cs="宋体"/>
          <w:spacing w:val="5"/>
          <w:lang w:val="en-US" w:eastAsia="zh-CN"/>
        </w:rPr>
        <w:t>4</w:t>
      </w:r>
      <w:r>
        <w:rPr>
          <w:rFonts w:hint="eastAsia" w:ascii="宋体" w:hAnsi="宋体" w:eastAsia="宋体" w:cs="宋体"/>
          <w:spacing w:val="5"/>
        </w:rPr>
        <w:t>.供应商必须自行为其竞标产品侵犯他人的知识产权或者专利成果的行为</w:t>
      </w:r>
      <w:r>
        <w:rPr>
          <w:rFonts w:hint="eastAsia" w:ascii="宋体" w:hAnsi="宋体" w:eastAsia="宋体" w:cs="宋体"/>
          <w:spacing w:val="4"/>
        </w:rPr>
        <w:t>承担相</w:t>
      </w:r>
      <w:r>
        <w:rPr>
          <w:rFonts w:hint="eastAsia" w:ascii="宋体" w:hAnsi="宋体" w:eastAsia="宋体" w:cs="宋体"/>
          <w:spacing w:val="-3"/>
        </w:rPr>
        <w:t>应法律责任。</w:t>
      </w:r>
    </w:p>
    <w:p w14:paraId="3F8CC351">
      <w:pPr>
        <w:pStyle w:val="3"/>
        <w:shd w:val="clear"/>
        <w:spacing w:before="1" w:line="400" w:lineRule="auto"/>
        <w:ind w:right="76" w:firstLine="477"/>
        <w:rPr>
          <w:rFonts w:hint="eastAsia" w:ascii="宋体" w:hAnsi="宋体" w:eastAsia="宋体" w:cs="宋体"/>
        </w:rPr>
      </w:pPr>
      <w:r>
        <w:rPr>
          <w:rFonts w:hint="eastAsia" w:ascii="宋体" w:hAnsi="宋体" w:eastAsia="宋体" w:cs="宋体"/>
          <w:spacing w:val="1"/>
          <w:lang w:val="en-US" w:eastAsia="zh-CN"/>
        </w:rPr>
        <w:t>5</w:t>
      </w:r>
      <w:r>
        <w:rPr>
          <w:rFonts w:hint="eastAsia" w:ascii="宋体" w:hAnsi="宋体" w:eastAsia="宋体" w:cs="宋体"/>
          <w:spacing w:val="1"/>
        </w:rPr>
        <w:t>. 本项目属于政府采购服务类项目；本项目中小企业划分标准所属行业为：</w:t>
      </w:r>
      <w:r>
        <w:rPr>
          <w:rFonts w:hint="eastAsia" w:ascii="宋体" w:hAnsi="宋体" w:eastAsia="宋体" w:cs="宋体"/>
          <w:b/>
          <w:bCs/>
          <w:spacing w:val="1"/>
          <w:u w:val="single" w:color="auto"/>
        </w:rPr>
        <w:t>软件和信息技术服务业</w:t>
      </w:r>
      <w:r>
        <w:rPr>
          <w:rFonts w:hint="eastAsia" w:ascii="宋体" w:hAnsi="宋体" w:eastAsia="宋体" w:cs="宋体"/>
          <w:b/>
          <w:bCs/>
          <w:u w:val="single" w:color="auto"/>
        </w:rPr>
        <w:t>。</w:t>
      </w:r>
    </w:p>
    <w:p w14:paraId="26A60178">
      <w:pPr>
        <w:pStyle w:val="3"/>
        <w:shd w:val="clear"/>
        <w:spacing w:before="137" w:line="222" w:lineRule="auto"/>
        <w:ind w:left="479"/>
        <w:rPr>
          <w:rFonts w:hint="eastAsia" w:ascii="宋体" w:hAnsi="宋体" w:eastAsia="宋体" w:cs="宋体"/>
          <w:color w:val="0000FF"/>
          <w:u w:val="single" w:color="auto"/>
        </w:rPr>
      </w:pPr>
      <w:r>
        <w:rPr>
          <w:rFonts w:hint="eastAsia" w:ascii="宋体" w:hAnsi="宋体" w:eastAsia="宋体" w:cs="宋体"/>
          <w:spacing w:val="-2"/>
          <w:lang w:val="en-US" w:eastAsia="zh-CN"/>
        </w:rPr>
        <w:t>6</w:t>
      </w:r>
      <w:r>
        <w:rPr>
          <w:rFonts w:hint="eastAsia" w:ascii="宋体" w:hAnsi="宋体" w:eastAsia="宋体" w:cs="宋体"/>
          <w:spacing w:val="-2"/>
        </w:rPr>
        <w:t>. 本项目预算金额：</w:t>
      </w:r>
      <w:r>
        <w:rPr>
          <w:rFonts w:hint="eastAsia" w:ascii="宋体" w:hAnsi="宋体" w:eastAsia="宋体" w:cs="宋体"/>
          <w:color w:val="0000FF"/>
          <w:spacing w:val="1"/>
          <w:u w:val="single" w:color="auto"/>
          <w:lang w:val="en-US" w:eastAsia="zh-CN"/>
        </w:rPr>
        <w:t>人民币906218.00 元</w:t>
      </w:r>
      <w:r>
        <w:rPr>
          <w:rFonts w:hint="eastAsia" w:ascii="宋体" w:hAnsi="宋体" w:eastAsia="宋体" w:cs="宋体"/>
          <w:b/>
          <w:bCs/>
          <w:color w:val="0000FF"/>
          <w:spacing w:val="-2"/>
          <w:u w:val="single" w:color="auto"/>
        </w:rPr>
        <w:t>。</w:t>
      </w:r>
    </w:p>
    <w:p w14:paraId="2CE4CDCB">
      <w:pPr>
        <w:shd w:val="clear"/>
        <w:spacing w:line="222" w:lineRule="auto"/>
        <w:rPr>
          <w:rFonts w:hint="eastAsia" w:ascii="宋体" w:hAnsi="宋体" w:eastAsia="宋体" w:cs="宋体"/>
          <w:color w:val="0000FF"/>
        </w:rPr>
        <w:sectPr>
          <w:footerReference r:id="rId10" w:type="default"/>
          <w:pgSz w:w="11906" w:h="16839"/>
          <w:pgMar w:top="1440" w:right="1080" w:bottom="1440" w:left="1080" w:header="0" w:footer="1200" w:gutter="0"/>
          <w:pgNumType w:fmt="decimal"/>
          <w:cols w:space="720" w:num="1"/>
        </w:sectPr>
      </w:pPr>
    </w:p>
    <w:p w14:paraId="6F4F38B4">
      <w:pPr>
        <w:shd w:val="clear"/>
        <w:spacing w:before="18"/>
        <w:rPr>
          <w:rFonts w:hint="eastAsia" w:ascii="宋体" w:hAnsi="宋体" w:eastAsia="宋体" w:cs="宋体"/>
        </w:rPr>
      </w:pPr>
    </w:p>
    <w:tbl>
      <w:tblPr>
        <w:tblStyle w:val="11"/>
        <w:tblW w:w="89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1589"/>
        <w:gridCol w:w="1037"/>
        <w:gridCol w:w="5484"/>
      </w:tblGrid>
      <w:tr w14:paraId="3A6BB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jc w:val="center"/>
        </w:trPr>
        <w:tc>
          <w:tcPr>
            <w:tcW w:w="8976" w:type="dxa"/>
            <w:gridSpan w:val="4"/>
            <w:vAlign w:val="top"/>
          </w:tcPr>
          <w:p w14:paraId="3C32136E">
            <w:pPr>
              <w:pStyle w:val="12"/>
              <w:shd w:val="clear"/>
              <w:spacing w:before="260" w:line="222" w:lineRule="auto"/>
              <w:ind w:left="126"/>
              <w:rPr>
                <w:rFonts w:hint="eastAsia" w:ascii="宋体" w:hAnsi="宋体" w:eastAsia="宋体" w:cs="宋体"/>
              </w:rPr>
            </w:pPr>
            <w:r>
              <w:rPr>
                <w:rFonts w:hint="eastAsia" w:ascii="宋体" w:hAnsi="宋体" w:eastAsia="宋体" w:cs="宋体"/>
                <w:b/>
                <w:bCs/>
                <w:spacing w:val="-4"/>
              </w:rPr>
              <w:t>一、采购服务内容及要求</w:t>
            </w:r>
          </w:p>
        </w:tc>
      </w:tr>
      <w:tr w14:paraId="65183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866" w:type="dxa"/>
            <w:vAlign w:val="top"/>
          </w:tcPr>
          <w:p w14:paraId="71FD2D70">
            <w:pPr>
              <w:shd w:val="clear"/>
              <w:spacing w:line="271" w:lineRule="auto"/>
              <w:rPr>
                <w:rFonts w:hint="eastAsia" w:ascii="宋体" w:hAnsi="宋体" w:eastAsia="宋体" w:cs="宋体"/>
                <w:sz w:val="21"/>
              </w:rPr>
            </w:pPr>
          </w:p>
          <w:p w14:paraId="59395C6F">
            <w:pPr>
              <w:pStyle w:val="12"/>
              <w:shd w:val="clear"/>
              <w:spacing w:before="78" w:line="222" w:lineRule="auto"/>
              <w:ind w:left="207"/>
              <w:rPr>
                <w:rFonts w:hint="eastAsia" w:ascii="宋体" w:hAnsi="宋体" w:eastAsia="宋体" w:cs="宋体"/>
              </w:rPr>
            </w:pPr>
            <w:r>
              <w:rPr>
                <w:rFonts w:hint="eastAsia" w:ascii="宋体" w:hAnsi="宋体" w:eastAsia="宋体" w:cs="宋体"/>
                <w:spacing w:val="-8"/>
              </w:rPr>
              <w:t>序号</w:t>
            </w:r>
          </w:p>
        </w:tc>
        <w:tc>
          <w:tcPr>
            <w:tcW w:w="1589" w:type="dxa"/>
            <w:vAlign w:val="top"/>
          </w:tcPr>
          <w:p w14:paraId="68D1763F">
            <w:pPr>
              <w:shd w:val="clear"/>
              <w:spacing w:line="270" w:lineRule="auto"/>
              <w:rPr>
                <w:rFonts w:hint="eastAsia" w:ascii="宋体" w:hAnsi="宋体" w:eastAsia="宋体" w:cs="宋体"/>
                <w:sz w:val="21"/>
              </w:rPr>
            </w:pPr>
          </w:p>
          <w:p w14:paraId="0A9AF710">
            <w:pPr>
              <w:pStyle w:val="12"/>
              <w:shd w:val="clear"/>
              <w:spacing w:before="78" w:line="221" w:lineRule="auto"/>
              <w:ind w:left="206"/>
              <w:rPr>
                <w:rFonts w:hint="eastAsia" w:ascii="宋体" w:hAnsi="宋体" w:eastAsia="宋体" w:cs="宋体"/>
              </w:rPr>
            </w:pPr>
            <w:r>
              <w:rPr>
                <w:rFonts w:hint="eastAsia" w:ascii="宋体" w:hAnsi="宋体" w:eastAsia="宋体" w:cs="宋体"/>
                <w:spacing w:val="-4"/>
              </w:rPr>
              <w:t>标的的名称</w:t>
            </w:r>
          </w:p>
        </w:tc>
        <w:tc>
          <w:tcPr>
            <w:tcW w:w="1037" w:type="dxa"/>
            <w:vAlign w:val="top"/>
          </w:tcPr>
          <w:p w14:paraId="21D2B5AB">
            <w:pPr>
              <w:pStyle w:val="12"/>
              <w:shd w:val="clear"/>
              <w:spacing w:before="114" w:line="314" w:lineRule="auto"/>
              <w:ind w:left="295" w:right="156" w:hanging="125"/>
              <w:rPr>
                <w:rFonts w:hint="eastAsia" w:ascii="宋体" w:hAnsi="宋体" w:eastAsia="宋体" w:cs="宋体"/>
              </w:rPr>
            </w:pPr>
            <w:r>
              <w:rPr>
                <w:rFonts w:hint="eastAsia" w:ascii="宋体" w:hAnsi="宋体" w:eastAsia="宋体" w:cs="宋体"/>
                <w:spacing w:val="-6"/>
              </w:rPr>
              <w:t>数量及</w:t>
            </w:r>
            <w:r>
              <w:rPr>
                <w:rFonts w:hint="eastAsia" w:ascii="宋体" w:hAnsi="宋体" w:eastAsia="宋体" w:cs="宋体"/>
                <w:spacing w:val="-11"/>
              </w:rPr>
              <w:t>单位</w:t>
            </w:r>
          </w:p>
        </w:tc>
        <w:tc>
          <w:tcPr>
            <w:tcW w:w="5484" w:type="dxa"/>
            <w:vAlign w:val="top"/>
          </w:tcPr>
          <w:p w14:paraId="18E9C6DC">
            <w:pPr>
              <w:shd w:val="clear"/>
              <w:spacing w:line="271" w:lineRule="auto"/>
              <w:rPr>
                <w:rFonts w:hint="eastAsia" w:ascii="宋体" w:hAnsi="宋体" w:eastAsia="宋体" w:cs="宋体"/>
                <w:sz w:val="21"/>
              </w:rPr>
            </w:pPr>
          </w:p>
          <w:p w14:paraId="5BA2BCE5">
            <w:pPr>
              <w:pStyle w:val="12"/>
              <w:shd w:val="clear"/>
              <w:spacing w:before="78" w:line="222" w:lineRule="auto"/>
              <w:ind w:left="1555"/>
              <w:rPr>
                <w:rFonts w:hint="eastAsia" w:ascii="宋体" w:hAnsi="宋体" w:eastAsia="宋体" w:cs="宋体"/>
              </w:rPr>
            </w:pPr>
            <w:r>
              <w:rPr>
                <w:rFonts w:hint="eastAsia" w:ascii="宋体" w:hAnsi="宋体" w:eastAsia="宋体" w:cs="宋体"/>
                <w:spacing w:val="-2"/>
              </w:rPr>
              <w:t>技术需求及服务要求</w:t>
            </w:r>
          </w:p>
        </w:tc>
      </w:tr>
      <w:tr w14:paraId="6C70B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866" w:type="dxa"/>
            <w:vAlign w:val="center"/>
          </w:tcPr>
          <w:p w14:paraId="75E407C5">
            <w:pPr>
              <w:pStyle w:val="12"/>
              <w:shd w:val="clear"/>
              <w:spacing w:before="78" w:line="222" w:lineRule="auto"/>
              <w:ind w:left="207"/>
              <w:jc w:val="center"/>
              <w:rPr>
                <w:rFonts w:hint="eastAsia" w:ascii="宋体" w:hAnsi="宋体" w:eastAsia="宋体" w:cs="宋体"/>
                <w:spacing w:val="-8"/>
                <w:lang w:val="en-US" w:eastAsia="zh-CN"/>
              </w:rPr>
            </w:pPr>
            <w:r>
              <w:rPr>
                <w:rFonts w:hint="eastAsia" w:ascii="宋体" w:hAnsi="宋体" w:eastAsia="宋体" w:cs="宋体"/>
                <w:spacing w:val="-8"/>
                <w:lang w:val="en-US" w:eastAsia="zh-CN"/>
              </w:rPr>
              <w:t>1</w:t>
            </w:r>
          </w:p>
        </w:tc>
        <w:tc>
          <w:tcPr>
            <w:tcW w:w="1589" w:type="dxa"/>
            <w:vAlign w:val="center"/>
          </w:tcPr>
          <w:p w14:paraId="73B37C45">
            <w:pPr>
              <w:pStyle w:val="12"/>
              <w:shd w:val="clear"/>
              <w:spacing w:before="78" w:line="221" w:lineRule="auto"/>
              <w:ind w:left="206"/>
              <w:jc w:val="center"/>
              <w:rPr>
                <w:rFonts w:hint="eastAsia" w:ascii="宋体" w:hAnsi="宋体" w:eastAsia="宋体" w:cs="宋体"/>
                <w:spacing w:val="-4"/>
              </w:rPr>
            </w:pPr>
            <w:r>
              <w:rPr>
                <w:rFonts w:hint="eastAsia" w:ascii="宋体" w:hAnsi="宋体" w:eastAsia="宋体" w:cs="宋体"/>
                <w:spacing w:val="-4"/>
              </w:rPr>
              <w:t>知识产权保护（快维）中心信息化建设项目</w:t>
            </w:r>
          </w:p>
        </w:tc>
        <w:tc>
          <w:tcPr>
            <w:tcW w:w="1037" w:type="dxa"/>
            <w:vAlign w:val="center"/>
          </w:tcPr>
          <w:p w14:paraId="11ABE162">
            <w:pPr>
              <w:pStyle w:val="12"/>
              <w:shd w:val="clear"/>
              <w:spacing w:before="114" w:line="314" w:lineRule="auto"/>
              <w:ind w:left="295" w:right="156" w:hanging="125"/>
              <w:jc w:val="center"/>
              <w:rPr>
                <w:rFonts w:hint="eastAsia" w:ascii="宋体" w:hAnsi="宋体" w:eastAsia="宋体" w:cs="宋体"/>
                <w:spacing w:val="-6"/>
                <w:lang w:val="en-US" w:eastAsia="zh-CN"/>
              </w:rPr>
            </w:pPr>
            <w:r>
              <w:rPr>
                <w:rFonts w:hint="eastAsia" w:ascii="宋体" w:hAnsi="宋体" w:eastAsia="宋体" w:cs="宋体"/>
                <w:spacing w:val="-6"/>
                <w:lang w:val="en-US" w:eastAsia="zh-CN"/>
              </w:rPr>
              <w:t>1项</w:t>
            </w:r>
          </w:p>
        </w:tc>
        <w:tc>
          <w:tcPr>
            <w:tcW w:w="5484" w:type="dxa"/>
            <w:vAlign w:val="center"/>
          </w:tcPr>
          <w:p w14:paraId="2057C5E9">
            <w:pPr>
              <w:pStyle w:val="12"/>
              <w:shd w:val="clear"/>
              <w:spacing w:before="281" w:line="312" w:lineRule="auto"/>
              <w:ind w:right="180" w:firstLine="236" w:firstLineChars="100"/>
              <w:jc w:val="both"/>
              <w:rPr>
                <w:rFonts w:hint="eastAsia" w:ascii="宋体" w:hAnsi="宋体" w:eastAsia="宋体" w:cs="宋体"/>
                <w:spacing w:val="-2"/>
              </w:rPr>
            </w:pPr>
            <w:r>
              <w:rPr>
                <w:rFonts w:hint="eastAsia" w:ascii="宋体" w:hAnsi="宋体" w:eastAsia="宋体" w:cs="宋体"/>
                <w:spacing w:val="-2"/>
              </w:rPr>
              <w:t>围绕知识产权快速预审、快速维权、纠纷调处、协同保护、专利检索与政务审批等核心业务，打造集信息化机房、专用网络、受理服务大厅、知识产权展厅、多媒体审理庭于一体的标准化、智能化、安全合规的信息化支撑体系，全面满足知识产权快维中心业务办理、公众服务、案件审理、数据安全、运维管理等全场景需求，保障中心高效、稳定、安全运行，实现知识产权保护服务数字化升级。</w:t>
            </w:r>
          </w:p>
          <w:p w14:paraId="790247CF">
            <w:pPr>
              <w:pStyle w:val="12"/>
              <w:shd w:val="clear"/>
              <w:spacing w:before="281" w:line="312" w:lineRule="auto"/>
              <w:ind w:right="180" w:firstLine="237" w:firstLineChars="100"/>
              <w:jc w:val="both"/>
              <w:rPr>
                <w:rFonts w:hint="default" w:ascii="宋体" w:hAnsi="宋体" w:eastAsia="宋体" w:cs="宋体"/>
                <w:spacing w:val="-2"/>
                <w:lang w:val="en-US" w:eastAsia="zh-CN"/>
              </w:rPr>
            </w:pPr>
            <w:r>
              <w:rPr>
                <w:rFonts w:hint="eastAsia" w:ascii="宋体" w:hAnsi="宋体" w:eastAsia="宋体" w:cs="宋体"/>
                <w:b/>
                <w:bCs/>
                <w:spacing w:val="-2"/>
                <w:lang w:val="en-US" w:eastAsia="zh-CN"/>
              </w:rPr>
              <w:t>详细清单见附件。</w:t>
            </w:r>
          </w:p>
        </w:tc>
      </w:tr>
      <w:tr w14:paraId="21BFB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jc w:val="center"/>
        </w:trPr>
        <w:tc>
          <w:tcPr>
            <w:tcW w:w="8976" w:type="dxa"/>
            <w:gridSpan w:val="4"/>
            <w:vAlign w:val="center"/>
          </w:tcPr>
          <w:p w14:paraId="6107D47A">
            <w:pPr>
              <w:pStyle w:val="12"/>
              <w:shd w:val="clear"/>
              <w:spacing w:before="281" w:line="312" w:lineRule="auto"/>
              <w:ind w:right="180" w:firstLine="236" w:firstLineChars="1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详细清单见附件。</w:t>
            </w:r>
          </w:p>
        </w:tc>
      </w:tr>
      <w:tr w14:paraId="3D085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jc w:val="center"/>
        </w:trPr>
        <w:tc>
          <w:tcPr>
            <w:tcW w:w="8976" w:type="dxa"/>
            <w:gridSpan w:val="4"/>
            <w:vAlign w:val="top"/>
          </w:tcPr>
          <w:p w14:paraId="1CF1C67A">
            <w:pPr>
              <w:pStyle w:val="12"/>
              <w:shd w:val="clear"/>
              <w:spacing w:before="218" w:line="223" w:lineRule="auto"/>
              <w:ind w:left="124"/>
              <w:rPr>
                <w:rFonts w:hint="eastAsia" w:ascii="宋体" w:hAnsi="宋体" w:eastAsia="宋体" w:cs="宋体"/>
              </w:rPr>
            </w:pPr>
            <w:r>
              <w:rPr>
                <w:rFonts w:hint="eastAsia" w:ascii="宋体" w:hAnsi="宋体" w:eastAsia="宋体" w:cs="宋体"/>
                <w:spacing w:val="-4"/>
              </w:rPr>
              <w:t>★</w:t>
            </w:r>
            <w:r>
              <w:rPr>
                <w:rFonts w:hint="eastAsia" w:ascii="宋体" w:hAnsi="宋体" w:eastAsia="宋体" w:cs="宋体"/>
                <w:b/>
                <w:bCs/>
                <w:spacing w:val="-5"/>
              </w:rPr>
              <w:t>二、商务条款</w:t>
            </w:r>
          </w:p>
        </w:tc>
      </w:tr>
      <w:tr w14:paraId="7857C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jc w:val="center"/>
        </w:trPr>
        <w:tc>
          <w:tcPr>
            <w:tcW w:w="2455" w:type="dxa"/>
            <w:gridSpan w:val="2"/>
            <w:vAlign w:val="center"/>
          </w:tcPr>
          <w:p w14:paraId="675EA1AF">
            <w:pPr>
              <w:pStyle w:val="12"/>
              <w:shd w:val="clear"/>
              <w:spacing w:before="155" w:line="223" w:lineRule="auto"/>
              <w:jc w:val="center"/>
              <w:rPr>
                <w:rFonts w:hint="eastAsia" w:ascii="宋体" w:hAnsi="宋体" w:eastAsia="宋体" w:cs="宋体"/>
              </w:rPr>
            </w:pPr>
            <w:r>
              <w:rPr>
                <w:rFonts w:hint="eastAsia" w:ascii="宋体" w:hAnsi="宋体" w:eastAsia="宋体" w:cs="宋体"/>
                <w:spacing w:val="6"/>
              </w:rPr>
              <w:t>合同</w:t>
            </w:r>
            <w:r>
              <w:rPr>
                <w:rFonts w:hint="eastAsia" w:ascii="宋体" w:hAnsi="宋体" w:eastAsia="宋体" w:cs="宋体"/>
                <w:spacing w:val="7"/>
              </w:rPr>
              <w:t>履约期限和</w:t>
            </w:r>
            <w:r>
              <w:rPr>
                <w:rFonts w:hint="eastAsia" w:ascii="宋体" w:hAnsi="宋体" w:eastAsia="宋体" w:cs="宋体"/>
                <w:spacing w:val="-3"/>
              </w:rPr>
              <w:t>地点</w:t>
            </w:r>
          </w:p>
        </w:tc>
        <w:tc>
          <w:tcPr>
            <w:tcW w:w="6521" w:type="dxa"/>
            <w:gridSpan w:val="2"/>
            <w:vAlign w:val="top"/>
          </w:tcPr>
          <w:p w14:paraId="25B4BA37">
            <w:pPr>
              <w:keepNext w:val="0"/>
              <w:keepLines w:val="0"/>
              <w:pageBreakBefore w:val="0"/>
              <w:widowControl w:val="0"/>
              <w:shd w:val="clear"/>
              <w:kinsoku/>
              <w:wordWrap/>
              <w:overflowPunct/>
              <w:topLinePunct w:val="0"/>
              <w:autoSpaceDE/>
              <w:autoSpaceDN/>
              <w:bidi w:val="0"/>
              <w:adjustRightInd/>
              <w:snapToGrid/>
              <w:spacing w:line="400" w:lineRule="exact"/>
              <w:ind w:firstLine="264" w:firstLineChars="1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snapToGrid w:val="0"/>
                <w:color w:val="000000"/>
                <w:spacing w:val="12"/>
                <w:kern w:val="0"/>
                <w:sz w:val="24"/>
                <w:szCs w:val="24"/>
                <w:lang w:val="en-US" w:eastAsia="en-US" w:bidi="ar-SA"/>
              </w:rPr>
              <w:t>1.合同履约期限：</w:t>
            </w:r>
            <w:r>
              <w:rPr>
                <w:rFonts w:hint="eastAsia" w:ascii="宋体" w:hAnsi="宋体" w:eastAsia="宋体" w:cs="宋体"/>
                <w:snapToGrid w:val="0"/>
                <w:color w:val="000000"/>
                <w:spacing w:val="12"/>
                <w:kern w:val="0"/>
                <w:sz w:val="24"/>
                <w:szCs w:val="24"/>
                <w:lang w:val="en-US" w:eastAsia="zh-CN" w:bidi="ar-SA"/>
              </w:rPr>
              <w:t>自签订合同之日起 60 日内完成设备的安装部署、调试和集成工作。</w:t>
            </w:r>
            <w:r>
              <w:rPr>
                <w:rFonts w:hint="eastAsia" w:ascii="宋体" w:hAnsi="宋体" w:eastAsia="宋体" w:cs="宋体"/>
                <w:color w:val="auto"/>
                <w:sz w:val="28"/>
                <w:szCs w:val="28"/>
                <w:highlight w:val="none"/>
                <w:u w:val="none"/>
                <w:lang w:val="en-US" w:eastAsia="zh-CN"/>
              </w:rPr>
              <w:t xml:space="preserve"> </w:t>
            </w:r>
          </w:p>
          <w:p w14:paraId="17E9B5CC">
            <w:pPr>
              <w:pStyle w:val="12"/>
              <w:shd w:val="clear"/>
              <w:spacing w:before="157" w:line="222" w:lineRule="auto"/>
              <w:ind w:left="229"/>
              <w:rPr>
                <w:rFonts w:hint="eastAsia" w:ascii="宋体" w:hAnsi="宋体" w:eastAsia="宋体" w:cs="宋体"/>
                <w:lang w:eastAsia="zh-CN"/>
              </w:rPr>
            </w:pPr>
            <w:r>
              <w:rPr>
                <w:rFonts w:hint="eastAsia" w:ascii="宋体" w:hAnsi="宋体" w:eastAsia="宋体" w:cs="宋体"/>
                <w:spacing w:val="10"/>
              </w:rPr>
              <w:t>2.地点：广西藤县</w:t>
            </w:r>
            <w:r>
              <w:rPr>
                <w:rFonts w:hint="eastAsia" w:ascii="宋体" w:hAnsi="宋体" w:eastAsia="宋体" w:cs="宋体"/>
                <w:spacing w:val="-63"/>
              </w:rPr>
              <w:t xml:space="preserve"> </w:t>
            </w:r>
            <w:r>
              <w:rPr>
                <w:rFonts w:hint="eastAsia" w:ascii="宋体" w:hAnsi="宋体" w:eastAsia="宋体" w:cs="宋体"/>
                <w:spacing w:val="10"/>
              </w:rPr>
              <w:t>，采购人指定地点</w:t>
            </w:r>
            <w:r>
              <w:rPr>
                <w:rFonts w:hint="eastAsia" w:ascii="宋体" w:hAnsi="宋体" w:eastAsia="宋体" w:cs="宋体"/>
                <w:spacing w:val="10"/>
                <w:lang w:eastAsia="zh-CN"/>
              </w:rPr>
              <w:t>。</w:t>
            </w:r>
          </w:p>
        </w:tc>
      </w:tr>
      <w:tr w14:paraId="495FD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2455" w:type="dxa"/>
            <w:gridSpan w:val="2"/>
            <w:vAlign w:val="top"/>
          </w:tcPr>
          <w:p w14:paraId="6B23E90D">
            <w:pPr>
              <w:pStyle w:val="12"/>
              <w:shd w:val="clear"/>
              <w:spacing w:before="155" w:line="223" w:lineRule="auto"/>
              <w:jc w:val="center"/>
              <w:rPr>
                <w:rFonts w:hint="eastAsia" w:ascii="宋体" w:hAnsi="宋体" w:eastAsia="宋体" w:cs="宋体"/>
              </w:rPr>
            </w:pPr>
            <w:r>
              <w:rPr>
                <w:rFonts w:hint="eastAsia" w:ascii="宋体" w:hAnsi="宋体" w:eastAsia="宋体" w:cs="宋体"/>
                <w:spacing w:val="6"/>
              </w:rPr>
              <w:t>合同签订期</w:t>
            </w:r>
          </w:p>
        </w:tc>
        <w:tc>
          <w:tcPr>
            <w:tcW w:w="6521" w:type="dxa"/>
            <w:gridSpan w:val="2"/>
            <w:vAlign w:val="top"/>
          </w:tcPr>
          <w:p w14:paraId="7E53D002">
            <w:pPr>
              <w:pStyle w:val="12"/>
              <w:shd w:val="clear"/>
              <w:spacing w:before="156" w:line="222" w:lineRule="auto"/>
              <w:ind w:left="312"/>
              <w:rPr>
                <w:rFonts w:hint="eastAsia" w:ascii="宋体" w:hAnsi="宋体" w:eastAsia="宋体" w:cs="宋体"/>
              </w:rPr>
            </w:pPr>
            <w:r>
              <w:rPr>
                <w:rFonts w:hint="eastAsia" w:ascii="宋体" w:hAnsi="宋体" w:eastAsia="宋体" w:cs="宋体"/>
                <w:spacing w:val="-4"/>
              </w:rPr>
              <w:t xml:space="preserve">自成交通知书发出之日起 </w:t>
            </w:r>
            <w:r>
              <w:rPr>
                <w:rFonts w:hint="eastAsia" w:ascii="宋体" w:hAnsi="宋体" w:eastAsia="宋体" w:cs="宋体"/>
                <w:spacing w:val="-4"/>
                <w:lang w:val="en-US" w:eastAsia="zh-CN"/>
              </w:rPr>
              <w:t>1</w:t>
            </w:r>
            <w:r>
              <w:rPr>
                <w:rFonts w:hint="eastAsia" w:ascii="宋体" w:hAnsi="宋体" w:eastAsia="宋体" w:cs="宋体"/>
                <w:spacing w:val="-4"/>
              </w:rPr>
              <w:t>5</w:t>
            </w:r>
            <w:r>
              <w:rPr>
                <w:rFonts w:hint="eastAsia" w:ascii="宋体" w:hAnsi="宋体" w:eastAsia="宋体" w:cs="宋体"/>
                <w:spacing w:val="-32"/>
              </w:rPr>
              <w:t xml:space="preserve"> </w:t>
            </w:r>
            <w:r>
              <w:rPr>
                <w:rFonts w:hint="eastAsia" w:ascii="宋体" w:hAnsi="宋体" w:eastAsia="宋体" w:cs="宋体"/>
                <w:spacing w:val="-4"/>
              </w:rPr>
              <w:t>天内。</w:t>
            </w:r>
          </w:p>
        </w:tc>
      </w:tr>
      <w:tr w14:paraId="068A7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3" w:hRule="atLeast"/>
          <w:jc w:val="center"/>
        </w:trPr>
        <w:tc>
          <w:tcPr>
            <w:tcW w:w="2455" w:type="dxa"/>
            <w:gridSpan w:val="2"/>
            <w:vAlign w:val="center"/>
          </w:tcPr>
          <w:p w14:paraId="2BA95CB2">
            <w:pPr>
              <w:pStyle w:val="12"/>
              <w:shd w:val="clear"/>
              <w:spacing w:before="155" w:line="223" w:lineRule="auto"/>
              <w:jc w:val="center"/>
              <w:rPr>
                <w:rFonts w:hint="eastAsia" w:ascii="宋体" w:hAnsi="宋体" w:eastAsia="宋体" w:cs="宋体"/>
              </w:rPr>
            </w:pPr>
            <w:r>
              <w:rPr>
                <w:rFonts w:hint="eastAsia" w:ascii="宋体" w:hAnsi="宋体" w:eastAsia="宋体" w:cs="宋体"/>
                <w:spacing w:val="8"/>
              </w:rPr>
              <w:t>付款方式</w:t>
            </w:r>
          </w:p>
        </w:tc>
        <w:tc>
          <w:tcPr>
            <w:tcW w:w="6521" w:type="dxa"/>
            <w:gridSpan w:val="2"/>
            <w:vAlign w:val="center"/>
          </w:tcPr>
          <w:p w14:paraId="6232CAC3">
            <w:pPr>
              <w:pStyle w:val="12"/>
              <w:shd w:val="clear"/>
              <w:spacing w:before="281" w:line="312" w:lineRule="auto"/>
              <w:ind w:right="180" w:firstLine="240" w:firstLineChars="100"/>
              <w:jc w:val="both"/>
              <w:rPr>
                <w:rFonts w:hint="eastAsia" w:ascii="宋体" w:hAnsi="宋体" w:eastAsia="宋体" w:cs="宋体"/>
              </w:rPr>
            </w:pPr>
            <w:r>
              <w:rPr>
                <w:rFonts w:hint="eastAsia" w:ascii="宋体" w:hAnsi="宋体" w:eastAsia="宋体" w:cs="宋体"/>
              </w:rPr>
              <w:t>当项目完成并通过采购方验收后，一次性支付100%合同款。成交人将全部项目请款材料递交给采购人后，采购人于10个工作日内将请款材料递交县财政局。该项目资金由县财政部门拨款，如因财政政策的影响，拨款未能及时到位，造成采购人不能如约支付款项的，采购人不构成违约，不得追究采购人责任。</w:t>
            </w:r>
          </w:p>
        </w:tc>
      </w:tr>
      <w:tr w14:paraId="373B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jc w:val="center"/>
        </w:trPr>
        <w:tc>
          <w:tcPr>
            <w:tcW w:w="2455" w:type="dxa"/>
            <w:gridSpan w:val="2"/>
            <w:vAlign w:val="top"/>
          </w:tcPr>
          <w:p w14:paraId="76CFFC78">
            <w:pPr>
              <w:shd w:val="clear"/>
              <w:spacing w:line="277" w:lineRule="auto"/>
              <w:jc w:val="center"/>
              <w:rPr>
                <w:rFonts w:hint="eastAsia" w:ascii="宋体" w:hAnsi="宋体" w:eastAsia="宋体" w:cs="宋体"/>
                <w:sz w:val="21"/>
              </w:rPr>
            </w:pPr>
          </w:p>
          <w:p w14:paraId="599824E0">
            <w:pPr>
              <w:pStyle w:val="12"/>
              <w:shd w:val="clear"/>
              <w:spacing w:before="78" w:line="222" w:lineRule="auto"/>
              <w:jc w:val="center"/>
              <w:rPr>
                <w:rFonts w:hint="eastAsia" w:ascii="宋体" w:hAnsi="宋体" w:eastAsia="宋体" w:cs="宋体"/>
              </w:rPr>
            </w:pPr>
            <w:r>
              <w:rPr>
                <w:rFonts w:hint="eastAsia" w:ascii="宋体" w:hAnsi="宋体" w:eastAsia="宋体" w:cs="宋体"/>
                <w:spacing w:val="5"/>
              </w:rPr>
              <w:t>其他要求</w:t>
            </w:r>
          </w:p>
        </w:tc>
        <w:tc>
          <w:tcPr>
            <w:tcW w:w="6521" w:type="dxa"/>
            <w:gridSpan w:val="2"/>
            <w:vAlign w:val="top"/>
          </w:tcPr>
          <w:p w14:paraId="23A6870F">
            <w:pPr>
              <w:pStyle w:val="12"/>
              <w:shd w:val="clear"/>
              <w:spacing w:before="153" w:line="312" w:lineRule="auto"/>
              <w:ind w:left="233" w:right="466" w:hanging="3"/>
              <w:rPr>
                <w:rFonts w:hint="eastAsia" w:ascii="宋体" w:hAnsi="宋体" w:eastAsia="宋体" w:cs="宋体"/>
              </w:rPr>
            </w:pPr>
            <w:r>
              <w:rPr>
                <w:rFonts w:hint="eastAsia" w:ascii="宋体" w:hAnsi="宋体" w:eastAsia="宋体" w:cs="宋体"/>
                <w:spacing w:val="11"/>
              </w:rPr>
              <w:t>服务响应时间:1</w:t>
            </w:r>
            <w:r>
              <w:rPr>
                <w:rFonts w:hint="eastAsia" w:ascii="宋体" w:hAnsi="宋体" w:eastAsia="宋体" w:cs="宋体"/>
                <w:spacing w:val="-16"/>
              </w:rPr>
              <w:t xml:space="preserve"> </w:t>
            </w:r>
            <w:r>
              <w:rPr>
                <w:rFonts w:hint="eastAsia" w:ascii="宋体" w:hAnsi="宋体" w:eastAsia="宋体" w:cs="宋体"/>
                <w:spacing w:val="11"/>
              </w:rPr>
              <w:t>小时内电话响应</w:t>
            </w:r>
            <w:r>
              <w:rPr>
                <w:rFonts w:hint="eastAsia" w:ascii="宋体" w:hAnsi="宋体" w:eastAsia="宋体" w:cs="宋体"/>
                <w:spacing w:val="-70"/>
              </w:rPr>
              <w:t xml:space="preserve"> </w:t>
            </w:r>
            <w:r>
              <w:rPr>
                <w:rFonts w:hint="eastAsia" w:ascii="宋体" w:hAnsi="宋体" w:eastAsia="宋体" w:cs="宋体"/>
                <w:spacing w:val="11"/>
              </w:rPr>
              <w:t>，如需现场处理，</w:t>
            </w:r>
            <w:r>
              <w:rPr>
                <w:rFonts w:hint="eastAsia" w:ascii="宋体" w:hAnsi="宋体" w:eastAsia="宋体" w:cs="宋体"/>
                <w:spacing w:val="11"/>
                <w:lang w:val="en-US" w:eastAsia="zh-CN"/>
              </w:rPr>
              <w:t>4</w:t>
            </w:r>
            <w:r>
              <w:rPr>
                <w:rFonts w:hint="eastAsia" w:ascii="宋体" w:hAnsi="宋体" w:eastAsia="宋体" w:cs="宋体"/>
                <w:spacing w:val="12"/>
              </w:rPr>
              <w:t>小时内派人员抵达采购人指定现场处理。</w:t>
            </w:r>
          </w:p>
        </w:tc>
      </w:tr>
      <w:tr w14:paraId="390EA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jc w:val="center"/>
        </w:trPr>
        <w:tc>
          <w:tcPr>
            <w:tcW w:w="2455" w:type="dxa"/>
            <w:gridSpan w:val="2"/>
            <w:vAlign w:val="center"/>
          </w:tcPr>
          <w:p w14:paraId="18C709CC">
            <w:pPr>
              <w:pStyle w:val="12"/>
              <w:shd w:val="clear"/>
              <w:spacing w:before="78" w:line="222" w:lineRule="auto"/>
              <w:jc w:val="center"/>
              <w:rPr>
                <w:rFonts w:hint="eastAsia" w:ascii="宋体" w:hAnsi="宋体" w:eastAsia="宋体" w:cs="宋体"/>
                <w:spacing w:val="5"/>
                <w:lang w:val="en-US" w:eastAsia="zh-CN"/>
              </w:rPr>
            </w:pPr>
            <w:r>
              <w:rPr>
                <w:rFonts w:hint="eastAsia" w:ascii="宋体" w:hAnsi="宋体" w:eastAsia="宋体" w:cs="宋体"/>
                <w:spacing w:val="5"/>
                <w:lang w:val="en-US" w:eastAsia="zh-CN"/>
              </w:rPr>
              <w:t>报价要求</w:t>
            </w:r>
          </w:p>
        </w:tc>
        <w:tc>
          <w:tcPr>
            <w:tcW w:w="6521" w:type="dxa"/>
            <w:gridSpan w:val="2"/>
            <w:shd w:val="clear" w:color="auto" w:fill="auto"/>
            <w:vAlign w:val="center"/>
          </w:tcPr>
          <w:p w14:paraId="6783CFB7">
            <w:pPr>
              <w:pStyle w:val="12"/>
              <w:shd w:val="clear"/>
              <w:spacing w:before="281" w:line="312" w:lineRule="auto"/>
              <w:ind w:right="180" w:firstLine="234" w:firstLineChars="100"/>
              <w:jc w:val="both"/>
              <w:rPr>
                <w:rFonts w:hint="eastAsia" w:ascii="宋体" w:hAnsi="宋体" w:eastAsia="宋体" w:cs="宋体"/>
              </w:rPr>
            </w:pPr>
            <w:r>
              <w:rPr>
                <w:rFonts w:hint="eastAsia" w:ascii="宋体" w:hAnsi="宋体" w:eastAsia="宋体" w:cs="宋体"/>
                <w:spacing w:val="-3"/>
              </w:rPr>
              <w:t>(1)</w:t>
            </w:r>
            <w:r>
              <w:rPr>
                <w:rFonts w:hint="eastAsia" w:ascii="宋体" w:hAnsi="宋体" w:eastAsia="宋体" w:cs="宋体"/>
                <w:spacing w:val="9"/>
              </w:rPr>
              <w:t>超过预算单价及预算总价的报价为无效投标。</w:t>
            </w:r>
          </w:p>
          <w:p w14:paraId="392C785E">
            <w:pPr>
              <w:pStyle w:val="12"/>
              <w:shd w:val="clear"/>
              <w:spacing w:before="78" w:line="360" w:lineRule="auto"/>
              <w:ind w:left="230" w:right="264" w:firstLine="71"/>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5"/>
              </w:rPr>
              <w:t>(</w:t>
            </w:r>
            <w:r>
              <w:rPr>
                <w:rFonts w:hint="eastAsia" w:ascii="宋体" w:hAnsi="宋体" w:eastAsia="宋体" w:cs="宋体"/>
                <w:spacing w:val="5"/>
                <w:lang w:val="en-US" w:eastAsia="zh-CN"/>
              </w:rPr>
              <w:t>2</w:t>
            </w:r>
            <w:r>
              <w:rPr>
                <w:rFonts w:hint="eastAsia" w:ascii="宋体" w:hAnsi="宋体" w:eastAsia="宋体" w:cs="宋体"/>
                <w:spacing w:val="5"/>
              </w:rPr>
              <w:t>)供应商应考虑所有项</w:t>
            </w:r>
            <w:r>
              <w:rPr>
                <w:rFonts w:hint="eastAsia" w:ascii="宋体" w:hAnsi="宋体" w:eastAsia="宋体" w:cs="宋体"/>
                <w:spacing w:val="-45"/>
              </w:rPr>
              <w:t xml:space="preserve"> </w:t>
            </w:r>
            <w:r>
              <w:rPr>
                <w:rFonts w:hint="eastAsia" w:ascii="宋体" w:hAnsi="宋体" w:eastAsia="宋体" w:cs="宋体"/>
                <w:spacing w:val="5"/>
              </w:rPr>
              <w:t>目</w:t>
            </w:r>
            <w:r>
              <w:rPr>
                <w:rFonts w:hint="eastAsia" w:ascii="宋体" w:hAnsi="宋体" w:eastAsia="宋体" w:cs="宋体"/>
                <w:spacing w:val="-58"/>
              </w:rPr>
              <w:t xml:space="preserve"> </w:t>
            </w:r>
            <w:r>
              <w:rPr>
                <w:rFonts w:hint="eastAsia" w:ascii="宋体" w:hAnsi="宋体" w:eastAsia="宋体" w:cs="宋体"/>
                <w:spacing w:val="5"/>
              </w:rPr>
              <w:t>内容</w:t>
            </w:r>
            <w:r>
              <w:rPr>
                <w:rFonts w:hint="eastAsia" w:ascii="宋体" w:hAnsi="宋体" w:eastAsia="宋体" w:cs="宋体"/>
                <w:spacing w:val="-70"/>
              </w:rPr>
              <w:t xml:space="preserve"> </w:t>
            </w:r>
            <w:r>
              <w:rPr>
                <w:rFonts w:hint="eastAsia" w:ascii="宋体" w:hAnsi="宋体" w:eastAsia="宋体" w:cs="宋体"/>
                <w:spacing w:val="5"/>
              </w:rPr>
              <w:t>，响应报价必</w:t>
            </w:r>
            <w:r>
              <w:rPr>
                <w:rFonts w:hint="eastAsia" w:ascii="宋体" w:hAnsi="宋体" w:eastAsia="宋体" w:cs="宋体"/>
                <w:spacing w:val="4"/>
              </w:rPr>
              <w:t>须包括实</w:t>
            </w:r>
            <w:r>
              <w:rPr>
                <w:rFonts w:hint="eastAsia" w:ascii="宋体" w:hAnsi="宋体" w:eastAsia="宋体" w:cs="宋体"/>
                <w:spacing w:val="12"/>
              </w:rPr>
              <w:t>施和完成本项</w:t>
            </w:r>
            <w:r>
              <w:rPr>
                <w:rFonts w:hint="eastAsia" w:ascii="宋体" w:hAnsi="宋体" w:eastAsia="宋体" w:cs="宋体"/>
                <w:spacing w:val="-41"/>
              </w:rPr>
              <w:t xml:space="preserve"> </w:t>
            </w:r>
            <w:r>
              <w:rPr>
                <w:rFonts w:hint="eastAsia" w:ascii="宋体" w:hAnsi="宋体" w:eastAsia="宋体" w:cs="宋体"/>
                <w:spacing w:val="12"/>
              </w:rPr>
              <w:t>目全部工作所需的渗滤液处理临时设施</w:t>
            </w:r>
            <w:r>
              <w:rPr>
                <w:rFonts w:hint="eastAsia" w:ascii="宋体" w:hAnsi="宋体" w:eastAsia="宋体" w:cs="宋体"/>
                <w:spacing w:val="9"/>
              </w:rPr>
              <w:t>设备使用费用</w:t>
            </w:r>
            <w:r>
              <w:rPr>
                <w:rFonts w:hint="eastAsia" w:ascii="宋体" w:hAnsi="宋体" w:eastAsia="宋体" w:cs="宋体"/>
                <w:spacing w:val="-65"/>
              </w:rPr>
              <w:t xml:space="preserve"> </w:t>
            </w:r>
            <w:r>
              <w:rPr>
                <w:rFonts w:hint="eastAsia" w:ascii="宋体" w:hAnsi="宋体" w:eastAsia="宋体" w:cs="宋体"/>
                <w:spacing w:val="9"/>
              </w:rPr>
              <w:t>、配套人工费用</w:t>
            </w:r>
            <w:r>
              <w:rPr>
                <w:rFonts w:hint="eastAsia" w:ascii="宋体" w:hAnsi="宋体" w:eastAsia="宋体" w:cs="宋体"/>
                <w:spacing w:val="-72"/>
              </w:rPr>
              <w:t xml:space="preserve"> </w:t>
            </w:r>
            <w:r>
              <w:rPr>
                <w:rFonts w:hint="eastAsia" w:ascii="宋体" w:hAnsi="宋体" w:eastAsia="宋体" w:cs="宋体"/>
                <w:spacing w:val="9"/>
              </w:rPr>
              <w:t>、运输费</w:t>
            </w:r>
            <w:r>
              <w:rPr>
                <w:rFonts w:hint="eastAsia" w:ascii="宋体" w:hAnsi="宋体" w:eastAsia="宋体" w:cs="宋体"/>
                <w:spacing w:val="-69"/>
              </w:rPr>
              <w:t xml:space="preserve"> </w:t>
            </w:r>
            <w:r>
              <w:rPr>
                <w:rFonts w:hint="eastAsia" w:ascii="宋体" w:hAnsi="宋体" w:eastAsia="宋体" w:cs="宋体"/>
                <w:spacing w:val="9"/>
              </w:rPr>
              <w:t>、技术服务费、</w:t>
            </w:r>
            <w:r>
              <w:rPr>
                <w:rFonts w:hint="eastAsia" w:ascii="宋体" w:hAnsi="宋体" w:eastAsia="宋体" w:cs="宋体"/>
                <w:spacing w:val="4"/>
              </w:rPr>
              <w:t>管理费</w:t>
            </w:r>
            <w:r>
              <w:rPr>
                <w:rFonts w:hint="eastAsia" w:ascii="宋体" w:hAnsi="宋体" w:eastAsia="宋体" w:cs="宋体"/>
                <w:spacing w:val="-64"/>
              </w:rPr>
              <w:t xml:space="preserve"> </w:t>
            </w:r>
            <w:r>
              <w:rPr>
                <w:rFonts w:hint="eastAsia" w:ascii="宋体" w:hAnsi="宋体" w:eastAsia="宋体" w:cs="宋体"/>
                <w:spacing w:val="4"/>
              </w:rPr>
              <w:t>、水费</w:t>
            </w:r>
            <w:r>
              <w:rPr>
                <w:rFonts w:hint="eastAsia" w:ascii="宋体" w:hAnsi="宋体" w:eastAsia="宋体" w:cs="宋体"/>
                <w:spacing w:val="-67"/>
              </w:rPr>
              <w:t xml:space="preserve"> </w:t>
            </w:r>
            <w:r>
              <w:rPr>
                <w:rFonts w:hint="eastAsia" w:ascii="宋体" w:hAnsi="宋体" w:eastAsia="宋体" w:cs="宋体"/>
                <w:spacing w:val="4"/>
              </w:rPr>
              <w:t>、</w:t>
            </w:r>
            <w:r>
              <w:rPr>
                <w:rFonts w:hint="eastAsia" w:ascii="宋体" w:hAnsi="宋体" w:eastAsia="宋体" w:cs="宋体"/>
                <w:spacing w:val="-68"/>
              </w:rPr>
              <w:t xml:space="preserve"> </w:t>
            </w:r>
            <w:r>
              <w:rPr>
                <w:rFonts w:hint="eastAsia" w:ascii="宋体" w:hAnsi="宋体" w:eastAsia="宋体" w:cs="宋体"/>
                <w:spacing w:val="4"/>
              </w:rPr>
              <w:t>电费</w:t>
            </w:r>
            <w:r>
              <w:rPr>
                <w:rFonts w:hint="eastAsia" w:ascii="宋体" w:hAnsi="宋体" w:eastAsia="宋体" w:cs="宋体"/>
                <w:spacing w:val="-67"/>
              </w:rPr>
              <w:t xml:space="preserve"> </w:t>
            </w:r>
            <w:r>
              <w:rPr>
                <w:rFonts w:hint="eastAsia" w:ascii="宋体" w:hAnsi="宋体" w:eastAsia="宋体" w:cs="宋体"/>
                <w:spacing w:val="4"/>
              </w:rPr>
              <w:t>、包装耗材费</w:t>
            </w:r>
            <w:r>
              <w:rPr>
                <w:rFonts w:hint="eastAsia" w:ascii="宋体" w:hAnsi="宋体" w:eastAsia="宋体" w:cs="宋体"/>
                <w:spacing w:val="-69"/>
              </w:rPr>
              <w:t xml:space="preserve"> </w:t>
            </w:r>
            <w:r>
              <w:rPr>
                <w:rFonts w:hint="eastAsia" w:ascii="宋体" w:hAnsi="宋体" w:eastAsia="宋体" w:cs="宋体"/>
                <w:spacing w:val="4"/>
              </w:rPr>
              <w:t>、处置费等业务有关</w:t>
            </w:r>
            <w:r>
              <w:rPr>
                <w:rFonts w:hint="eastAsia" w:ascii="宋体" w:hAnsi="宋体" w:eastAsia="宋体" w:cs="宋体"/>
                <w:spacing w:val="8"/>
              </w:rPr>
              <w:t>的一切费用</w:t>
            </w:r>
            <w:r>
              <w:rPr>
                <w:rFonts w:hint="eastAsia" w:ascii="宋体" w:hAnsi="宋体" w:eastAsia="宋体" w:cs="宋体"/>
                <w:spacing w:val="-55"/>
              </w:rPr>
              <w:t xml:space="preserve"> </w:t>
            </w:r>
            <w:r>
              <w:rPr>
                <w:rFonts w:hint="eastAsia" w:ascii="宋体" w:hAnsi="宋体" w:eastAsia="宋体" w:cs="宋体"/>
                <w:spacing w:val="8"/>
              </w:rPr>
              <w:t>。成交后</w:t>
            </w:r>
            <w:r>
              <w:rPr>
                <w:rFonts w:hint="eastAsia" w:ascii="宋体" w:hAnsi="宋体" w:eastAsia="宋体" w:cs="宋体"/>
                <w:spacing w:val="-71"/>
              </w:rPr>
              <w:t xml:space="preserve"> </w:t>
            </w:r>
            <w:r>
              <w:rPr>
                <w:rFonts w:hint="eastAsia" w:ascii="宋体" w:hAnsi="宋体" w:eastAsia="宋体" w:cs="宋体"/>
                <w:spacing w:val="8"/>
              </w:rPr>
              <w:t>，所发生的一切费用</w:t>
            </w:r>
            <w:r>
              <w:rPr>
                <w:rFonts w:hint="eastAsia" w:ascii="宋体" w:hAnsi="宋体" w:eastAsia="宋体" w:cs="宋体"/>
                <w:spacing w:val="-68"/>
              </w:rPr>
              <w:t xml:space="preserve"> </w:t>
            </w:r>
            <w:r>
              <w:rPr>
                <w:rFonts w:hint="eastAsia" w:ascii="宋体" w:hAnsi="宋体" w:eastAsia="宋体" w:cs="宋体"/>
                <w:spacing w:val="8"/>
              </w:rPr>
              <w:t>，无论供应商</w:t>
            </w:r>
            <w:r>
              <w:rPr>
                <w:rFonts w:hint="eastAsia" w:ascii="宋体" w:hAnsi="宋体" w:eastAsia="宋体" w:cs="宋体"/>
                <w:spacing w:val="13"/>
              </w:rPr>
              <w:t>是否在报价中列出相关明细报价</w:t>
            </w:r>
            <w:r>
              <w:rPr>
                <w:rFonts w:hint="eastAsia" w:ascii="宋体" w:hAnsi="宋体" w:eastAsia="宋体" w:cs="宋体"/>
                <w:spacing w:val="-71"/>
              </w:rPr>
              <w:t xml:space="preserve"> </w:t>
            </w:r>
            <w:r>
              <w:rPr>
                <w:rFonts w:hint="eastAsia" w:ascii="宋体" w:hAnsi="宋体" w:eastAsia="宋体" w:cs="宋体"/>
                <w:spacing w:val="13"/>
              </w:rPr>
              <w:t>，采购人均认为其价格</w:t>
            </w:r>
            <w:r>
              <w:rPr>
                <w:rFonts w:hint="eastAsia" w:ascii="宋体" w:hAnsi="宋体" w:eastAsia="宋体" w:cs="宋体"/>
                <w:spacing w:val="5"/>
              </w:rPr>
              <w:t>已含在报价中，不得以任何理由向采购人提出增加费用的</w:t>
            </w:r>
            <w:r>
              <w:rPr>
                <w:rFonts w:hint="eastAsia" w:ascii="宋体" w:hAnsi="宋体" w:eastAsia="宋体" w:cs="宋体"/>
                <w:spacing w:val="9"/>
              </w:rPr>
              <w:t>要求，且不能影响服务质量。除签订的合同款项</w:t>
            </w:r>
            <w:r>
              <w:rPr>
                <w:rFonts w:hint="eastAsia" w:ascii="宋体" w:hAnsi="宋体" w:eastAsia="宋体" w:cs="宋体"/>
                <w:spacing w:val="-52"/>
              </w:rPr>
              <w:t xml:space="preserve"> </w:t>
            </w:r>
            <w:r>
              <w:rPr>
                <w:rFonts w:hint="eastAsia" w:ascii="宋体" w:hAnsi="宋体" w:eastAsia="宋体" w:cs="宋体"/>
                <w:spacing w:val="9"/>
              </w:rPr>
              <w:t>，采购</w:t>
            </w:r>
            <w:r>
              <w:rPr>
                <w:rFonts w:hint="eastAsia" w:ascii="宋体" w:hAnsi="宋体" w:eastAsia="宋体" w:cs="宋体"/>
                <w:spacing w:val="12"/>
              </w:rPr>
              <w:t>人不再支付任何费用。</w:t>
            </w:r>
          </w:p>
        </w:tc>
      </w:tr>
      <w:tr w14:paraId="3044B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jc w:val="center"/>
        </w:trPr>
        <w:tc>
          <w:tcPr>
            <w:tcW w:w="2455" w:type="dxa"/>
            <w:gridSpan w:val="2"/>
            <w:vAlign w:val="center"/>
          </w:tcPr>
          <w:p w14:paraId="54F08EF3">
            <w:pPr>
              <w:pStyle w:val="12"/>
              <w:shd w:val="clear"/>
              <w:spacing w:before="78" w:line="223" w:lineRule="auto"/>
              <w:ind w:left="237"/>
              <w:jc w:val="center"/>
              <w:rPr>
                <w:rFonts w:hint="eastAsia" w:ascii="宋体" w:hAnsi="宋体" w:eastAsia="宋体" w:cs="宋体"/>
              </w:rPr>
            </w:pPr>
            <w:r>
              <w:rPr>
                <w:rFonts w:hint="eastAsia" w:ascii="宋体" w:hAnsi="宋体" w:eastAsia="宋体" w:cs="宋体"/>
                <w:spacing w:val="6"/>
              </w:rPr>
              <w:t>验收方法</w:t>
            </w:r>
          </w:p>
        </w:tc>
        <w:tc>
          <w:tcPr>
            <w:tcW w:w="6521" w:type="dxa"/>
            <w:gridSpan w:val="2"/>
            <w:vAlign w:val="center"/>
          </w:tcPr>
          <w:p w14:paraId="2BCC1E37">
            <w:pPr>
              <w:pStyle w:val="12"/>
              <w:shd w:val="clear"/>
              <w:spacing w:before="150" w:line="313" w:lineRule="auto"/>
              <w:ind w:left="240" w:right="403" w:hanging="2"/>
              <w:jc w:val="both"/>
              <w:rPr>
                <w:rFonts w:hint="eastAsia" w:ascii="宋体" w:hAnsi="宋体" w:eastAsia="宋体" w:cs="宋体"/>
              </w:rPr>
            </w:pPr>
            <w:r>
              <w:rPr>
                <w:rFonts w:hint="eastAsia" w:ascii="宋体" w:hAnsi="宋体" w:eastAsia="宋体" w:cs="宋体"/>
                <w:spacing w:val="15"/>
              </w:rPr>
              <w:t>正式运行前由采购人或由采购人组织、邀请相关部门</w:t>
            </w:r>
            <w:r>
              <w:rPr>
                <w:rFonts w:hint="eastAsia" w:ascii="宋体" w:hAnsi="宋体" w:eastAsia="宋体" w:cs="宋体"/>
                <w:spacing w:val="14"/>
              </w:rPr>
              <w:t>及有关技术专家进行现场验收。</w:t>
            </w:r>
          </w:p>
        </w:tc>
      </w:tr>
      <w:tr w14:paraId="4B4F7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6" w:hRule="atLeast"/>
          <w:jc w:val="center"/>
        </w:trPr>
        <w:tc>
          <w:tcPr>
            <w:tcW w:w="2455" w:type="dxa"/>
            <w:gridSpan w:val="2"/>
            <w:vAlign w:val="center"/>
          </w:tcPr>
          <w:p w14:paraId="58CD81B6">
            <w:pPr>
              <w:pStyle w:val="12"/>
              <w:shd w:val="clear"/>
              <w:spacing w:before="78" w:line="222" w:lineRule="auto"/>
              <w:ind w:left="237"/>
              <w:jc w:val="center"/>
              <w:rPr>
                <w:rFonts w:hint="eastAsia" w:ascii="宋体" w:hAnsi="宋体" w:eastAsia="宋体" w:cs="宋体"/>
              </w:rPr>
            </w:pPr>
            <w:r>
              <w:rPr>
                <w:rFonts w:hint="eastAsia" w:ascii="宋体" w:hAnsi="宋体" w:eastAsia="宋体" w:cs="宋体"/>
                <w:spacing w:val="6"/>
              </w:rPr>
              <w:t>验收标准</w:t>
            </w:r>
          </w:p>
        </w:tc>
        <w:tc>
          <w:tcPr>
            <w:tcW w:w="6521" w:type="dxa"/>
            <w:gridSpan w:val="2"/>
            <w:vAlign w:val="center"/>
          </w:tcPr>
          <w:p w14:paraId="219B786F">
            <w:pPr>
              <w:pStyle w:val="12"/>
              <w:shd w:val="clear"/>
              <w:spacing w:before="154" w:line="341" w:lineRule="auto"/>
              <w:ind w:left="231" w:right="231" w:firstLine="6"/>
              <w:jc w:val="both"/>
              <w:rPr>
                <w:rFonts w:hint="eastAsia" w:ascii="宋体" w:hAnsi="宋体" w:eastAsia="宋体" w:cs="宋体"/>
              </w:rPr>
            </w:pPr>
            <w:r>
              <w:rPr>
                <w:rFonts w:hint="eastAsia" w:ascii="宋体" w:hAnsi="宋体" w:eastAsia="宋体" w:cs="宋体"/>
              </w:rPr>
              <w:t>符合现行国家相关标准、行业标准、地方标准或者其他标准、规范。</w:t>
            </w:r>
          </w:p>
        </w:tc>
      </w:tr>
      <w:tr w14:paraId="2218E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8" w:hRule="atLeast"/>
          <w:jc w:val="center"/>
        </w:trPr>
        <w:tc>
          <w:tcPr>
            <w:tcW w:w="2455" w:type="dxa"/>
            <w:gridSpan w:val="2"/>
            <w:vAlign w:val="center"/>
          </w:tcPr>
          <w:p w14:paraId="5156FF38">
            <w:pPr>
              <w:pStyle w:val="12"/>
              <w:shd w:val="clear"/>
              <w:spacing w:before="78" w:line="222" w:lineRule="auto"/>
              <w:ind w:left="244"/>
              <w:jc w:val="center"/>
              <w:rPr>
                <w:rFonts w:hint="eastAsia" w:ascii="宋体" w:hAnsi="宋体" w:eastAsia="宋体" w:cs="宋体"/>
              </w:rPr>
            </w:pPr>
            <w:r>
              <w:rPr>
                <w:rFonts w:hint="eastAsia" w:ascii="宋体" w:hAnsi="宋体" w:eastAsia="宋体" w:cs="宋体"/>
                <w:spacing w:val="4"/>
              </w:rPr>
              <w:t>知识产权</w:t>
            </w:r>
          </w:p>
        </w:tc>
        <w:tc>
          <w:tcPr>
            <w:tcW w:w="6521" w:type="dxa"/>
            <w:gridSpan w:val="2"/>
            <w:vAlign w:val="center"/>
          </w:tcPr>
          <w:p w14:paraId="4B8FF01B">
            <w:pPr>
              <w:pStyle w:val="12"/>
              <w:shd w:val="clear"/>
              <w:spacing w:before="155" w:line="337" w:lineRule="auto"/>
              <w:ind w:left="233" w:right="233"/>
              <w:jc w:val="both"/>
              <w:rPr>
                <w:rFonts w:hint="eastAsia" w:ascii="宋体" w:hAnsi="宋体" w:eastAsia="宋体" w:cs="宋体"/>
              </w:rPr>
            </w:pPr>
            <w:r>
              <w:rPr>
                <w:rFonts w:hint="eastAsia" w:ascii="宋体" w:hAnsi="宋体" w:eastAsia="宋体" w:cs="宋体"/>
                <w:spacing w:val="18"/>
              </w:rPr>
              <w:t>采购人在中华人民共和国境内使用成交供应商提供的</w:t>
            </w:r>
            <w:r>
              <w:rPr>
                <w:rFonts w:hint="eastAsia" w:ascii="宋体" w:hAnsi="宋体" w:eastAsia="宋体" w:cs="宋体"/>
                <w:spacing w:val="16"/>
              </w:rPr>
              <w:t>产品及服务时免受第三方提出的侵犯其专利权或其它</w:t>
            </w:r>
            <w:r>
              <w:rPr>
                <w:rFonts w:hint="eastAsia" w:ascii="宋体" w:hAnsi="宋体" w:eastAsia="宋体" w:cs="宋体"/>
                <w:spacing w:val="12"/>
              </w:rPr>
              <w:t>知识产权的起诉。如果第三方提出侵权指控，成交供应</w:t>
            </w:r>
            <w:r>
              <w:rPr>
                <w:rFonts w:hint="eastAsia" w:ascii="宋体" w:hAnsi="宋体" w:eastAsia="宋体" w:cs="宋体"/>
                <w:spacing w:val="13"/>
              </w:rPr>
              <w:t>商应承担由此而引起的一切法律责任和费用。</w:t>
            </w:r>
          </w:p>
        </w:tc>
      </w:tr>
    </w:tbl>
    <w:p w14:paraId="45667E0E">
      <w:pPr>
        <w:shd w:val="clear"/>
        <w:rPr>
          <w:rFonts w:hint="eastAsia" w:ascii="宋体" w:hAnsi="宋体" w:eastAsia="宋体" w:cs="宋体"/>
          <w:sz w:val="21"/>
        </w:rPr>
      </w:pPr>
    </w:p>
    <w:p w14:paraId="48EB6C68">
      <w:pPr>
        <w:shd w:val="clear"/>
        <w:rPr>
          <w:rFonts w:hint="eastAsia" w:ascii="宋体" w:hAnsi="宋体" w:eastAsia="宋体" w:cs="宋体"/>
          <w:sz w:val="21"/>
          <w:szCs w:val="21"/>
        </w:rPr>
      </w:pPr>
    </w:p>
    <w:p w14:paraId="6E6BD242">
      <w:pPr>
        <w:shd w:val="clear"/>
        <w:rPr>
          <w:rFonts w:hint="eastAsia" w:ascii="宋体" w:hAnsi="宋体" w:eastAsia="宋体" w:cs="宋体"/>
          <w:sz w:val="21"/>
          <w:szCs w:val="21"/>
        </w:rPr>
      </w:pPr>
    </w:p>
    <w:p w14:paraId="5DD04C00">
      <w:pPr>
        <w:shd w:val="clear"/>
        <w:rPr>
          <w:rFonts w:hint="eastAsia" w:ascii="宋体" w:hAnsi="宋体" w:eastAsia="宋体" w:cs="宋体"/>
          <w:sz w:val="21"/>
          <w:szCs w:val="21"/>
        </w:rPr>
      </w:pPr>
    </w:p>
    <w:p w14:paraId="44B5A4ED">
      <w:pPr>
        <w:shd w:val="clear"/>
        <w:rPr>
          <w:rFonts w:hint="eastAsia" w:ascii="宋体" w:hAnsi="宋体" w:eastAsia="宋体" w:cs="宋体"/>
          <w:sz w:val="21"/>
          <w:szCs w:val="21"/>
        </w:rPr>
      </w:pPr>
    </w:p>
    <w:p w14:paraId="3F08A910">
      <w:pPr>
        <w:shd w:val="clear"/>
        <w:rPr>
          <w:rFonts w:hint="eastAsia" w:ascii="宋体" w:hAnsi="宋体" w:eastAsia="宋体" w:cs="宋体"/>
          <w:sz w:val="21"/>
          <w:szCs w:val="21"/>
        </w:rPr>
      </w:pPr>
    </w:p>
    <w:p w14:paraId="4CCBEC31">
      <w:pPr>
        <w:shd w:val="clear"/>
        <w:rPr>
          <w:rFonts w:hint="eastAsia" w:ascii="宋体" w:hAnsi="宋体" w:eastAsia="宋体" w:cs="宋体"/>
          <w:sz w:val="21"/>
          <w:szCs w:val="21"/>
        </w:rPr>
      </w:pPr>
    </w:p>
    <w:p w14:paraId="76B65CEB">
      <w:pPr>
        <w:shd w:val="clear"/>
        <w:rPr>
          <w:rFonts w:hint="eastAsia" w:ascii="宋体" w:hAnsi="宋体" w:eastAsia="宋体" w:cs="宋体"/>
          <w:sz w:val="21"/>
          <w:szCs w:val="21"/>
        </w:rPr>
      </w:pPr>
    </w:p>
    <w:p w14:paraId="05311490">
      <w:pPr>
        <w:shd w:val="clear"/>
        <w:rPr>
          <w:rFonts w:hint="eastAsia" w:ascii="宋体" w:hAnsi="宋体" w:eastAsia="宋体" w:cs="宋体"/>
          <w:sz w:val="21"/>
          <w:szCs w:val="21"/>
        </w:rPr>
      </w:pPr>
    </w:p>
    <w:p w14:paraId="60184E55">
      <w:pPr>
        <w:shd w:val="clear"/>
        <w:rPr>
          <w:rFonts w:hint="eastAsia" w:ascii="宋体" w:hAnsi="宋体" w:eastAsia="宋体" w:cs="宋体"/>
          <w:sz w:val="21"/>
          <w:szCs w:val="21"/>
        </w:rPr>
      </w:pPr>
    </w:p>
    <w:p w14:paraId="6BC49349">
      <w:pPr>
        <w:shd w:val="clear"/>
        <w:rPr>
          <w:rFonts w:hint="eastAsia" w:ascii="宋体" w:hAnsi="宋体" w:eastAsia="宋体" w:cs="宋体"/>
          <w:sz w:val="21"/>
          <w:szCs w:val="21"/>
        </w:rPr>
      </w:pPr>
    </w:p>
    <w:p w14:paraId="7165573E">
      <w:pPr>
        <w:shd w:val="clear"/>
        <w:rPr>
          <w:rFonts w:hint="eastAsia" w:ascii="宋体" w:hAnsi="宋体" w:eastAsia="宋体" w:cs="宋体"/>
          <w:sz w:val="21"/>
          <w:szCs w:val="21"/>
        </w:rPr>
      </w:pPr>
    </w:p>
    <w:p w14:paraId="354B59A2">
      <w:pPr>
        <w:shd w:val="clear"/>
        <w:rPr>
          <w:rFonts w:hint="eastAsia" w:ascii="宋体" w:hAnsi="宋体" w:eastAsia="宋体" w:cs="宋体"/>
          <w:sz w:val="21"/>
          <w:szCs w:val="21"/>
        </w:rPr>
      </w:pPr>
    </w:p>
    <w:p w14:paraId="16A4F7C4">
      <w:pPr>
        <w:shd w:val="clear"/>
        <w:rPr>
          <w:rFonts w:hint="eastAsia" w:ascii="宋体" w:hAnsi="宋体" w:eastAsia="宋体" w:cs="宋体"/>
          <w:sz w:val="21"/>
          <w:szCs w:val="21"/>
        </w:rPr>
      </w:pPr>
    </w:p>
    <w:p w14:paraId="26BE703C">
      <w:pPr>
        <w:shd w:val="clear"/>
        <w:rPr>
          <w:rFonts w:hint="eastAsia" w:ascii="宋体" w:hAnsi="宋体" w:eastAsia="宋体" w:cs="宋体"/>
          <w:sz w:val="21"/>
          <w:szCs w:val="21"/>
        </w:rPr>
        <w:sectPr>
          <w:footerReference r:id="rId11" w:type="default"/>
          <w:pgSz w:w="11906" w:h="16839"/>
          <w:pgMar w:top="1440" w:right="1080" w:bottom="1440" w:left="1080" w:header="0" w:footer="1200" w:gutter="0"/>
          <w:pgNumType w:fmt="decimal"/>
          <w:cols w:space="720" w:num="1"/>
        </w:sectPr>
      </w:pPr>
    </w:p>
    <w:p w14:paraId="07F8CBD5">
      <w:pPr>
        <w:shd w:val="clea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附件：</w:t>
      </w:r>
    </w:p>
    <w:p w14:paraId="5F35D540">
      <w:pPr>
        <w:shd w:val="clear"/>
        <w:rPr>
          <w:rFonts w:hint="eastAsia" w:ascii="宋体" w:hAnsi="宋体" w:eastAsia="宋体" w:cs="宋体"/>
          <w:sz w:val="21"/>
          <w:szCs w:val="21"/>
        </w:rPr>
      </w:pPr>
    </w:p>
    <w:p w14:paraId="5C8507D8">
      <w:pPr>
        <w:shd w:val="clear"/>
        <w:rPr>
          <w:rFonts w:hint="eastAsia" w:ascii="宋体" w:hAnsi="宋体" w:eastAsia="宋体" w:cs="宋体"/>
          <w:sz w:val="21"/>
          <w:szCs w:val="21"/>
        </w:rPr>
      </w:pPr>
    </w:p>
    <w:tbl>
      <w:tblPr>
        <w:tblStyle w:val="9"/>
        <w:tblW w:w="10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4"/>
        <w:gridCol w:w="961"/>
        <w:gridCol w:w="4913"/>
        <w:gridCol w:w="580"/>
        <w:gridCol w:w="700"/>
        <w:gridCol w:w="987"/>
        <w:gridCol w:w="1025"/>
        <w:gridCol w:w="650"/>
      </w:tblGrid>
      <w:tr w14:paraId="27B3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654" w:type="dxa"/>
            <w:shd w:val="clear" w:color="auto" w:fill="auto"/>
            <w:noWrap/>
            <w:vAlign w:val="center"/>
          </w:tcPr>
          <w:p w14:paraId="0C379DA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序号</w:t>
            </w:r>
          </w:p>
        </w:tc>
        <w:tc>
          <w:tcPr>
            <w:tcW w:w="961" w:type="dxa"/>
            <w:shd w:val="clear" w:color="auto" w:fill="auto"/>
            <w:noWrap/>
            <w:vAlign w:val="center"/>
          </w:tcPr>
          <w:p w14:paraId="57229F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标的</w:t>
            </w:r>
          </w:p>
          <w:p w14:paraId="7B37A0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名称</w:t>
            </w:r>
          </w:p>
        </w:tc>
        <w:tc>
          <w:tcPr>
            <w:tcW w:w="4913" w:type="dxa"/>
            <w:shd w:val="clear" w:color="auto" w:fill="auto"/>
            <w:noWrap/>
            <w:vAlign w:val="center"/>
          </w:tcPr>
          <w:p w14:paraId="0F7B5E8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bCs/>
                <w:sz w:val="21"/>
                <w:szCs w:val="21"/>
                <w:lang w:val="en-US"/>
              </w:rPr>
            </w:pPr>
            <w:r>
              <w:rPr>
                <w:rFonts w:hint="eastAsia"/>
                <w:b/>
                <w:bCs/>
                <w:sz w:val="21"/>
                <w:szCs w:val="21"/>
                <w:lang w:val="en-US" w:eastAsia="zh-CN"/>
              </w:rPr>
              <w:t>技术参数及性能（配置）要求</w:t>
            </w:r>
          </w:p>
        </w:tc>
        <w:tc>
          <w:tcPr>
            <w:tcW w:w="580" w:type="dxa"/>
            <w:shd w:val="clear" w:color="auto" w:fill="auto"/>
            <w:noWrap/>
            <w:vAlign w:val="center"/>
          </w:tcPr>
          <w:p w14:paraId="47C5B3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数量</w:t>
            </w:r>
          </w:p>
        </w:tc>
        <w:tc>
          <w:tcPr>
            <w:tcW w:w="700" w:type="dxa"/>
            <w:shd w:val="clear" w:color="auto" w:fill="auto"/>
            <w:noWrap/>
            <w:vAlign w:val="center"/>
          </w:tcPr>
          <w:p w14:paraId="4D5C1B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单位</w:t>
            </w:r>
          </w:p>
        </w:tc>
        <w:tc>
          <w:tcPr>
            <w:tcW w:w="987" w:type="dxa"/>
            <w:shd w:val="clear" w:color="auto" w:fill="auto"/>
            <w:noWrap/>
            <w:vAlign w:val="center"/>
          </w:tcPr>
          <w:p w14:paraId="224888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单价（元）</w:t>
            </w:r>
          </w:p>
        </w:tc>
        <w:tc>
          <w:tcPr>
            <w:tcW w:w="1025" w:type="dxa"/>
            <w:shd w:val="clear" w:color="auto" w:fill="auto"/>
            <w:noWrap/>
            <w:vAlign w:val="center"/>
          </w:tcPr>
          <w:p w14:paraId="578B752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单项合计金额（元）</w:t>
            </w:r>
          </w:p>
        </w:tc>
        <w:tc>
          <w:tcPr>
            <w:tcW w:w="650" w:type="dxa"/>
            <w:shd w:val="clear" w:color="auto" w:fill="auto"/>
            <w:noWrap/>
            <w:vAlign w:val="center"/>
          </w:tcPr>
          <w:p w14:paraId="4100C3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备注</w:t>
            </w:r>
          </w:p>
        </w:tc>
      </w:tr>
      <w:tr w14:paraId="444A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4" w:hRule="atLeast"/>
          <w:jc w:val="center"/>
        </w:trPr>
        <w:tc>
          <w:tcPr>
            <w:tcW w:w="7808" w:type="dxa"/>
            <w:gridSpan w:val="5"/>
            <w:shd w:val="clear" w:color="auto" w:fill="auto"/>
            <w:noWrap/>
            <w:vAlign w:val="center"/>
          </w:tcPr>
          <w:p w14:paraId="2FD95D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w:t>一、无线网络系统</w:t>
            </w:r>
          </w:p>
        </w:tc>
        <w:tc>
          <w:tcPr>
            <w:tcW w:w="987" w:type="dxa"/>
            <w:shd w:val="clear" w:color="auto" w:fill="auto"/>
            <w:noWrap/>
            <w:vAlign w:val="center"/>
          </w:tcPr>
          <w:p w14:paraId="02FE55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1025" w:type="dxa"/>
            <w:shd w:val="clear" w:color="auto" w:fill="auto"/>
            <w:noWrap/>
            <w:vAlign w:val="center"/>
          </w:tcPr>
          <w:p w14:paraId="5E1B15B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650" w:type="dxa"/>
            <w:shd w:val="clear" w:color="auto" w:fill="auto"/>
            <w:noWrap/>
            <w:vAlign w:val="center"/>
          </w:tcPr>
          <w:p w14:paraId="053E8A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3DD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9912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418F6A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AC网关</w:t>
            </w:r>
          </w:p>
        </w:tc>
        <w:tc>
          <w:tcPr>
            <w:tcW w:w="4913" w:type="dxa"/>
            <w:shd w:val="clear" w:color="auto" w:fill="auto"/>
            <w:vAlign w:val="center"/>
          </w:tcPr>
          <w:p w14:paraId="2DD1D3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1、▲网关模式，可管理96个AP，推荐带机量500；</w:t>
            </w:r>
            <w:r>
              <w:rPr>
                <w:rFonts w:hint="eastAsia"/>
                <w:sz w:val="21"/>
                <w:szCs w:val="21"/>
                <w:lang w:val="en-US" w:eastAsia="zh-CN"/>
              </w:rPr>
              <w:br w:type="textWrapping"/>
            </w:r>
            <w:r>
              <w:rPr>
                <w:rFonts w:hint="eastAsia"/>
                <w:sz w:val="21"/>
                <w:szCs w:val="21"/>
                <w:lang w:val="en-US" w:eastAsia="zh-CN"/>
              </w:rPr>
              <w:t>2、▲旁挂AC模式，可管理192个AP，推荐带机量1000；</w:t>
            </w:r>
            <w:r>
              <w:rPr>
                <w:rFonts w:hint="eastAsia"/>
                <w:sz w:val="21"/>
                <w:szCs w:val="21"/>
                <w:lang w:val="en-US" w:eastAsia="zh-CN"/>
              </w:rPr>
              <w:br w:type="textWrapping"/>
            </w:r>
            <w:r>
              <w:rPr>
                <w:rFonts w:hint="eastAsia"/>
                <w:sz w:val="21"/>
                <w:szCs w:val="21"/>
                <w:lang w:val="en-US" w:eastAsia="zh-CN"/>
              </w:rPr>
              <w:t>3、▲8个10/100/1000M自适应，2个千兆SFP光口，最大支持10个WAN口；</w:t>
            </w:r>
            <w:r>
              <w:rPr>
                <w:rFonts w:hint="eastAsia"/>
                <w:sz w:val="21"/>
                <w:szCs w:val="21"/>
                <w:lang w:val="en-US" w:eastAsia="zh-CN"/>
              </w:rPr>
              <w:br w:type="textWrapping"/>
            </w:r>
            <w:r>
              <w:rPr>
                <w:rFonts w:hint="eastAsia"/>
                <w:sz w:val="21"/>
                <w:szCs w:val="21"/>
                <w:lang w:val="en-US" w:eastAsia="zh-CN"/>
              </w:rPr>
              <w:t>4、支持负载均衡、故障自动恢复、智能射频管理、快速漫游等功能；</w:t>
            </w:r>
            <w:r>
              <w:rPr>
                <w:rFonts w:hint="eastAsia"/>
                <w:sz w:val="21"/>
                <w:szCs w:val="21"/>
                <w:lang w:val="en-US" w:eastAsia="zh-CN"/>
              </w:rPr>
              <w:br w:type="textWrapping"/>
            </w:r>
            <w:r>
              <w:rPr>
                <w:rFonts w:hint="eastAsia"/>
                <w:sz w:val="21"/>
                <w:szCs w:val="21"/>
                <w:lang w:val="en-US" w:eastAsia="zh-CN"/>
              </w:rPr>
              <w:t>5、可视化配置界面，3分钟轻松上手配置；</w:t>
            </w:r>
            <w:r>
              <w:rPr>
                <w:rFonts w:hint="eastAsia"/>
                <w:sz w:val="21"/>
                <w:szCs w:val="21"/>
                <w:lang w:val="en-US" w:eastAsia="zh-CN"/>
              </w:rPr>
              <w:br w:type="textWrapping"/>
            </w:r>
            <w:r>
              <w:rPr>
                <w:rFonts w:hint="eastAsia"/>
                <w:sz w:val="21"/>
                <w:szCs w:val="21"/>
                <w:lang w:val="en-US" w:eastAsia="zh-CN"/>
              </w:rPr>
              <w:t>6、支持VPN、行为管理、认证、网络安全防护、路由等多种功能；</w:t>
            </w:r>
            <w:r>
              <w:rPr>
                <w:rFonts w:hint="eastAsia"/>
                <w:sz w:val="21"/>
                <w:szCs w:val="21"/>
                <w:lang w:val="en-US" w:eastAsia="zh-CN"/>
              </w:rPr>
              <w:br w:type="textWrapping"/>
            </w:r>
            <w:r>
              <w:rPr>
                <w:rFonts w:hint="eastAsia"/>
                <w:sz w:val="21"/>
                <w:szCs w:val="21"/>
                <w:lang w:val="en-US" w:eastAsia="zh-CN"/>
              </w:rPr>
              <w:t>7、标准1U，支持1.5G带宽；</w:t>
            </w:r>
            <w:r>
              <w:rPr>
                <w:rFonts w:hint="eastAsia"/>
                <w:sz w:val="21"/>
                <w:szCs w:val="21"/>
                <w:lang w:val="en-US" w:eastAsia="zh-CN"/>
              </w:rPr>
              <w:br w:type="textWrapping"/>
            </w:r>
            <w:r>
              <w:rPr>
                <w:rFonts w:hint="eastAsia"/>
                <w:sz w:val="21"/>
                <w:szCs w:val="21"/>
                <w:lang w:val="en-US" w:eastAsia="zh-CN"/>
              </w:rPr>
              <w:t>8、支持云平台管理；</w:t>
            </w:r>
          </w:p>
        </w:tc>
        <w:tc>
          <w:tcPr>
            <w:tcW w:w="580" w:type="dxa"/>
            <w:shd w:val="clear" w:color="auto" w:fill="auto"/>
            <w:vAlign w:val="center"/>
          </w:tcPr>
          <w:p w14:paraId="2917D9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320C4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0D74BC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3080</w:t>
            </w:r>
          </w:p>
        </w:tc>
        <w:tc>
          <w:tcPr>
            <w:tcW w:w="1025" w:type="dxa"/>
            <w:shd w:val="clear" w:color="auto" w:fill="auto"/>
            <w:noWrap/>
            <w:vAlign w:val="center"/>
          </w:tcPr>
          <w:p w14:paraId="3D0EBE6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3080</w:t>
            </w:r>
          </w:p>
        </w:tc>
        <w:tc>
          <w:tcPr>
            <w:tcW w:w="650" w:type="dxa"/>
            <w:shd w:val="clear" w:color="auto" w:fill="auto"/>
            <w:noWrap/>
            <w:vAlign w:val="center"/>
          </w:tcPr>
          <w:p w14:paraId="107B253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718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24EFB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344751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POE交换机</w:t>
            </w:r>
          </w:p>
        </w:tc>
        <w:tc>
          <w:tcPr>
            <w:tcW w:w="4913" w:type="dxa"/>
            <w:shd w:val="clear" w:color="auto" w:fill="auto"/>
            <w:vAlign w:val="center"/>
          </w:tcPr>
          <w:p w14:paraId="596131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1、▲千兆接入型PoE交换机；</w:t>
            </w:r>
            <w:r>
              <w:rPr>
                <w:rFonts w:hint="eastAsia"/>
                <w:sz w:val="21"/>
                <w:szCs w:val="21"/>
                <w:lang w:val="en-US" w:eastAsia="zh-CN"/>
              </w:rPr>
              <w:br w:type="textWrapping"/>
            </w:r>
            <w:r>
              <w:rPr>
                <w:rFonts w:hint="eastAsia"/>
                <w:sz w:val="21"/>
                <w:szCs w:val="21"/>
                <w:lang w:val="en-US" w:eastAsia="zh-CN"/>
              </w:rPr>
              <w:t>2、▲24个10/100/1000M PoE电口，2个千兆SFP光口，19寸标准机架；</w:t>
            </w:r>
            <w:r>
              <w:rPr>
                <w:rFonts w:hint="eastAsia"/>
                <w:sz w:val="21"/>
                <w:szCs w:val="21"/>
                <w:lang w:val="en-US" w:eastAsia="zh-CN"/>
              </w:rPr>
              <w:br w:type="textWrapping"/>
            </w:r>
            <w:r>
              <w:rPr>
                <w:rFonts w:hint="eastAsia"/>
                <w:sz w:val="21"/>
                <w:szCs w:val="21"/>
                <w:lang w:val="en-US" w:eastAsia="zh-CN"/>
              </w:rPr>
              <w:t>3、交换容量：52Gbps，包转发率：39Mpps；</w:t>
            </w:r>
            <w:r>
              <w:rPr>
                <w:rFonts w:hint="eastAsia"/>
                <w:sz w:val="21"/>
                <w:szCs w:val="21"/>
                <w:lang w:val="en-US" w:eastAsia="zh-CN"/>
              </w:rPr>
              <w:br w:type="textWrapping"/>
            </w:r>
            <w:r>
              <w:rPr>
                <w:rFonts w:hint="eastAsia"/>
                <w:sz w:val="21"/>
                <w:szCs w:val="21"/>
                <w:lang w:val="en-US" w:eastAsia="zh-CN"/>
              </w:rPr>
              <w:t>4、▲支持802.3at/afPoE供电标准，整机PoE最大输出功率370W；</w:t>
            </w:r>
          </w:p>
        </w:tc>
        <w:tc>
          <w:tcPr>
            <w:tcW w:w="580" w:type="dxa"/>
            <w:shd w:val="clear" w:color="auto" w:fill="auto"/>
            <w:noWrap/>
            <w:vAlign w:val="center"/>
          </w:tcPr>
          <w:p w14:paraId="291D2E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noWrap/>
            <w:vAlign w:val="center"/>
          </w:tcPr>
          <w:p w14:paraId="488557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1050EE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1585</w:t>
            </w:r>
          </w:p>
        </w:tc>
        <w:tc>
          <w:tcPr>
            <w:tcW w:w="1025" w:type="dxa"/>
            <w:shd w:val="clear" w:color="auto" w:fill="auto"/>
            <w:noWrap/>
            <w:vAlign w:val="center"/>
          </w:tcPr>
          <w:p w14:paraId="6FDE69A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3170</w:t>
            </w:r>
          </w:p>
        </w:tc>
        <w:tc>
          <w:tcPr>
            <w:tcW w:w="650" w:type="dxa"/>
            <w:shd w:val="clear" w:color="auto" w:fill="auto"/>
            <w:noWrap/>
            <w:vAlign w:val="center"/>
          </w:tcPr>
          <w:p w14:paraId="1C20E8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F2A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57B26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43AD45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密集型AP</w:t>
            </w:r>
          </w:p>
        </w:tc>
        <w:tc>
          <w:tcPr>
            <w:tcW w:w="4913" w:type="dxa"/>
            <w:shd w:val="clear" w:color="auto" w:fill="auto"/>
            <w:vAlign w:val="center"/>
          </w:tcPr>
          <w:p w14:paraId="538097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1、▲室内高密三频吸顶AP，整机最高无线速率5400M，支持本地DC供电和PoE供电；</w:t>
            </w:r>
            <w:r>
              <w:rPr>
                <w:rFonts w:hint="eastAsia"/>
                <w:sz w:val="21"/>
                <w:szCs w:val="21"/>
                <w:lang w:val="en-US" w:eastAsia="zh-CN"/>
              </w:rPr>
              <w:br w:type="textWrapping"/>
            </w:r>
            <w:r>
              <w:rPr>
                <w:rFonts w:hint="eastAsia"/>
                <w:sz w:val="21"/>
                <w:szCs w:val="21"/>
                <w:lang w:val="en-US" w:eastAsia="zh-CN"/>
              </w:rPr>
              <w:t>2、▲1个10/100/1000M自适应电口，1个2.5GE电口；</w:t>
            </w:r>
            <w:r>
              <w:rPr>
                <w:rFonts w:hint="eastAsia"/>
                <w:sz w:val="21"/>
                <w:szCs w:val="21"/>
                <w:lang w:val="en-US" w:eastAsia="zh-CN"/>
              </w:rPr>
              <w:br w:type="textWrapping"/>
            </w:r>
            <w:r>
              <w:rPr>
                <w:rFonts w:hint="eastAsia"/>
                <w:sz w:val="21"/>
                <w:szCs w:val="21"/>
                <w:lang w:val="en-US" w:eastAsia="zh-CN"/>
              </w:rPr>
              <w:t>3、推荐接入用户数（最佳/最大）200/512人；</w:t>
            </w:r>
            <w:r>
              <w:rPr>
                <w:rFonts w:hint="eastAsia"/>
                <w:sz w:val="21"/>
                <w:szCs w:val="21"/>
                <w:lang w:val="en-US" w:eastAsia="zh-CN"/>
              </w:rPr>
              <w:br w:type="textWrapping"/>
            </w:r>
            <w:r>
              <w:rPr>
                <w:rFonts w:hint="eastAsia"/>
                <w:sz w:val="21"/>
                <w:szCs w:val="21"/>
                <w:lang w:val="en-US" w:eastAsia="zh-CN"/>
              </w:rPr>
              <w:t>4、▲支持802.11a/b/g/n/ac/ax；支持2.4G/5.2G/5.8G三频通信；</w:t>
            </w:r>
            <w:r>
              <w:rPr>
                <w:rFonts w:hint="eastAsia"/>
                <w:sz w:val="21"/>
                <w:szCs w:val="21"/>
                <w:lang w:val="en-US" w:eastAsia="zh-CN"/>
              </w:rPr>
              <w:br w:type="textWrapping"/>
            </w:r>
            <w:r>
              <w:rPr>
                <w:rFonts w:hint="eastAsia"/>
                <w:sz w:val="21"/>
                <w:szCs w:val="21"/>
                <w:lang w:val="en-US" w:eastAsia="zh-CN"/>
              </w:rPr>
              <w:t>5、支持特有天线信号调优算法，提升AP信号穿墙覆盖能力；</w:t>
            </w:r>
            <w:r>
              <w:rPr>
                <w:rFonts w:hint="eastAsia"/>
                <w:sz w:val="21"/>
                <w:szCs w:val="21"/>
                <w:lang w:val="en-US" w:eastAsia="zh-CN"/>
              </w:rPr>
              <w:br w:type="textWrapping"/>
            </w:r>
            <w:r>
              <w:rPr>
                <w:rFonts w:hint="eastAsia"/>
                <w:sz w:val="21"/>
                <w:szCs w:val="21"/>
                <w:lang w:val="en-US" w:eastAsia="zh-CN"/>
              </w:rPr>
              <w:t>6、支持信道自动选择，自动速率选择；</w:t>
            </w:r>
            <w:r>
              <w:rPr>
                <w:rFonts w:hint="eastAsia"/>
                <w:sz w:val="21"/>
                <w:szCs w:val="21"/>
                <w:lang w:val="en-US" w:eastAsia="zh-CN"/>
              </w:rPr>
              <w:br w:type="textWrapping"/>
            </w:r>
            <w:r>
              <w:rPr>
                <w:rFonts w:hint="eastAsia"/>
                <w:sz w:val="21"/>
                <w:szCs w:val="21"/>
                <w:lang w:val="en-US" w:eastAsia="zh-CN"/>
              </w:rPr>
              <w:t>7、支持云平台管理；</w:t>
            </w:r>
          </w:p>
        </w:tc>
        <w:tc>
          <w:tcPr>
            <w:tcW w:w="580" w:type="dxa"/>
            <w:shd w:val="clear" w:color="auto" w:fill="auto"/>
            <w:vAlign w:val="center"/>
          </w:tcPr>
          <w:p w14:paraId="10F5E0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7C8B2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E37B2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2112</w:t>
            </w:r>
          </w:p>
        </w:tc>
        <w:tc>
          <w:tcPr>
            <w:tcW w:w="1025" w:type="dxa"/>
            <w:shd w:val="clear" w:color="auto" w:fill="auto"/>
            <w:noWrap/>
            <w:vAlign w:val="center"/>
          </w:tcPr>
          <w:p w14:paraId="295782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2112</w:t>
            </w:r>
          </w:p>
        </w:tc>
        <w:tc>
          <w:tcPr>
            <w:tcW w:w="650" w:type="dxa"/>
            <w:shd w:val="clear" w:color="auto" w:fill="auto"/>
            <w:noWrap/>
            <w:vAlign w:val="center"/>
          </w:tcPr>
          <w:p w14:paraId="73D874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8B8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1AB5F5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388AA4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普通AP</w:t>
            </w:r>
          </w:p>
        </w:tc>
        <w:tc>
          <w:tcPr>
            <w:tcW w:w="4913" w:type="dxa"/>
            <w:shd w:val="clear" w:color="auto" w:fill="auto"/>
            <w:vAlign w:val="center"/>
          </w:tcPr>
          <w:p w14:paraId="5DFDBF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1、▲室内双频吸顶AP，无线速率1800M，支持本地DC供电和PoE供电；</w:t>
            </w:r>
            <w:r>
              <w:rPr>
                <w:rFonts w:hint="eastAsia"/>
                <w:sz w:val="21"/>
                <w:szCs w:val="21"/>
                <w:lang w:val="en-US" w:eastAsia="zh-CN"/>
              </w:rPr>
              <w:br w:type="textWrapping"/>
            </w:r>
            <w:r>
              <w:rPr>
                <w:rFonts w:hint="eastAsia"/>
                <w:sz w:val="21"/>
                <w:szCs w:val="21"/>
                <w:lang w:val="en-US" w:eastAsia="zh-CN"/>
              </w:rPr>
              <w:t>2、▲2个10/100/1000M自适应电口；</w:t>
            </w:r>
            <w:r>
              <w:rPr>
                <w:rFonts w:hint="eastAsia"/>
                <w:sz w:val="21"/>
                <w:szCs w:val="21"/>
                <w:lang w:val="en-US" w:eastAsia="zh-CN"/>
              </w:rPr>
              <w:br w:type="textWrapping"/>
            </w:r>
            <w:r>
              <w:rPr>
                <w:rFonts w:hint="eastAsia"/>
                <w:sz w:val="21"/>
                <w:szCs w:val="21"/>
                <w:lang w:val="en-US" w:eastAsia="zh-CN"/>
              </w:rPr>
              <w:t>3、支持上下行MU-MIMO，推荐接入用户数（最佳/最大）80/256人；</w:t>
            </w:r>
            <w:r>
              <w:rPr>
                <w:rFonts w:hint="eastAsia"/>
                <w:sz w:val="21"/>
                <w:szCs w:val="21"/>
                <w:lang w:val="en-US" w:eastAsia="zh-CN"/>
              </w:rPr>
              <w:br w:type="textWrapping"/>
            </w:r>
            <w:r>
              <w:rPr>
                <w:rFonts w:hint="eastAsia"/>
                <w:sz w:val="21"/>
                <w:szCs w:val="21"/>
                <w:lang w:val="en-US" w:eastAsia="zh-CN"/>
              </w:rPr>
              <w:t>4、▲支持802.11a/b/g/n/ac/ax（WIFI-6）；支持2.4G/5G双频通信；</w:t>
            </w:r>
            <w:r>
              <w:rPr>
                <w:rFonts w:hint="eastAsia"/>
                <w:sz w:val="21"/>
                <w:szCs w:val="21"/>
                <w:lang w:val="en-US" w:eastAsia="zh-CN"/>
              </w:rPr>
              <w:br w:type="textWrapping"/>
            </w:r>
            <w:r>
              <w:rPr>
                <w:rFonts w:hint="eastAsia"/>
                <w:sz w:val="21"/>
                <w:szCs w:val="21"/>
                <w:lang w:val="en-US" w:eastAsia="zh-CN"/>
              </w:rPr>
              <w:t>5、SSID+VLAN+业务绑定，保障信息安全；</w:t>
            </w:r>
            <w:r>
              <w:rPr>
                <w:rFonts w:hint="eastAsia"/>
                <w:sz w:val="21"/>
                <w:szCs w:val="21"/>
                <w:lang w:val="en-US" w:eastAsia="zh-CN"/>
              </w:rPr>
              <w:br w:type="textWrapping"/>
            </w:r>
            <w:r>
              <w:rPr>
                <w:rFonts w:hint="eastAsia"/>
                <w:sz w:val="21"/>
                <w:szCs w:val="21"/>
                <w:lang w:val="en-US" w:eastAsia="zh-CN"/>
              </w:rPr>
              <w:t>6、支持云平台管理；</w:t>
            </w:r>
          </w:p>
        </w:tc>
        <w:tc>
          <w:tcPr>
            <w:tcW w:w="580" w:type="dxa"/>
            <w:shd w:val="clear" w:color="auto" w:fill="auto"/>
            <w:vAlign w:val="center"/>
          </w:tcPr>
          <w:p w14:paraId="0772FDF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19</w:t>
            </w:r>
          </w:p>
        </w:tc>
        <w:tc>
          <w:tcPr>
            <w:tcW w:w="700" w:type="dxa"/>
            <w:shd w:val="clear" w:color="auto" w:fill="auto"/>
            <w:vAlign w:val="center"/>
          </w:tcPr>
          <w:p w14:paraId="064369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2BA09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506</w:t>
            </w:r>
          </w:p>
        </w:tc>
        <w:tc>
          <w:tcPr>
            <w:tcW w:w="1025" w:type="dxa"/>
            <w:shd w:val="clear" w:color="auto" w:fill="auto"/>
            <w:noWrap/>
            <w:vAlign w:val="center"/>
          </w:tcPr>
          <w:p w14:paraId="5A38D6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9614</w:t>
            </w:r>
          </w:p>
        </w:tc>
        <w:tc>
          <w:tcPr>
            <w:tcW w:w="650" w:type="dxa"/>
            <w:shd w:val="clear" w:color="auto" w:fill="auto"/>
            <w:noWrap/>
            <w:vAlign w:val="center"/>
          </w:tcPr>
          <w:p w14:paraId="009F56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4F5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B5DAC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085BEF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综合布线及施工调试服务</w:t>
            </w:r>
          </w:p>
        </w:tc>
        <w:tc>
          <w:tcPr>
            <w:tcW w:w="4913" w:type="dxa"/>
            <w:shd w:val="clear" w:color="auto" w:fill="auto"/>
            <w:vAlign w:val="center"/>
          </w:tcPr>
          <w:p w14:paraId="036367A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综合布线及施工调试服务（含网线、辅材及开通调测等）；</w:t>
            </w:r>
          </w:p>
        </w:tc>
        <w:tc>
          <w:tcPr>
            <w:tcW w:w="580" w:type="dxa"/>
            <w:shd w:val="clear" w:color="auto" w:fill="auto"/>
            <w:vAlign w:val="center"/>
          </w:tcPr>
          <w:p w14:paraId="501D115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A1DE4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3ACDCC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20500</w:t>
            </w:r>
          </w:p>
        </w:tc>
        <w:tc>
          <w:tcPr>
            <w:tcW w:w="1025" w:type="dxa"/>
            <w:shd w:val="clear" w:color="auto" w:fill="auto"/>
            <w:noWrap/>
            <w:vAlign w:val="center"/>
          </w:tcPr>
          <w:p w14:paraId="50CA07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20500</w:t>
            </w:r>
          </w:p>
        </w:tc>
        <w:tc>
          <w:tcPr>
            <w:tcW w:w="650" w:type="dxa"/>
            <w:shd w:val="clear" w:color="auto" w:fill="auto"/>
            <w:noWrap/>
            <w:vAlign w:val="center"/>
          </w:tcPr>
          <w:p w14:paraId="3CA64B6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02F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2" w:hRule="atLeast"/>
          <w:jc w:val="center"/>
        </w:trPr>
        <w:tc>
          <w:tcPr>
            <w:tcW w:w="654" w:type="dxa"/>
            <w:shd w:val="clear" w:color="auto" w:fill="auto"/>
            <w:noWrap/>
            <w:vAlign w:val="center"/>
          </w:tcPr>
          <w:p w14:paraId="2218B9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67CE0E5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7CF8B6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vAlign w:val="center"/>
          </w:tcPr>
          <w:p w14:paraId="15A361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5CD4CB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1CD74E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1EA324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38476</w:t>
            </w:r>
          </w:p>
        </w:tc>
        <w:tc>
          <w:tcPr>
            <w:tcW w:w="650" w:type="dxa"/>
            <w:shd w:val="clear" w:color="auto" w:fill="auto"/>
            <w:noWrap/>
            <w:vAlign w:val="center"/>
          </w:tcPr>
          <w:p w14:paraId="272048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DAC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jc w:val="center"/>
        </w:trPr>
        <w:tc>
          <w:tcPr>
            <w:tcW w:w="10470" w:type="dxa"/>
            <w:gridSpan w:val="8"/>
            <w:shd w:val="clear" w:color="auto" w:fill="auto"/>
            <w:noWrap/>
            <w:vAlign w:val="center"/>
          </w:tcPr>
          <w:p w14:paraId="6D72035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二、国知I系统</w:t>
            </w:r>
          </w:p>
        </w:tc>
      </w:tr>
      <w:tr w14:paraId="4019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38B29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1CC0BC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路由器</w:t>
            </w:r>
          </w:p>
        </w:tc>
        <w:tc>
          <w:tcPr>
            <w:tcW w:w="4913" w:type="dxa"/>
            <w:shd w:val="clear" w:color="auto" w:fill="auto"/>
            <w:vAlign w:val="center"/>
          </w:tcPr>
          <w:p w14:paraId="4F9F21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1、▲千兆POE+以太网口≥24个，固化WAN口≥3个；</w:t>
            </w:r>
          </w:p>
          <w:p w14:paraId="43D897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2、▲网络设备出口带宽≥800Mbps，网络设备承载在线终端数≥800个，支持管理AP数量≥200个；</w:t>
            </w:r>
          </w:p>
          <w:p w14:paraId="6BF9AB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3、支持802.11a/b/g/n/ac/ax等协议；</w:t>
            </w:r>
          </w:p>
          <w:p w14:paraId="53D1CD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4、支持批量创建不少于1000个终端认证授权，支持批量导入账号及描述信息，支持首次登录后强制修改密码等方便账号管理运维的功能。</w:t>
            </w:r>
          </w:p>
        </w:tc>
        <w:tc>
          <w:tcPr>
            <w:tcW w:w="580" w:type="dxa"/>
            <w:shd w:val="clear" w:color="auto" w:fill="auto"/>
            <w:noWrap/>
            <w:vAlign w:val="center"/>
          </w:tcPr>
          <w:p w14:paraId="04EDC2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4DD553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550782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5052</w:t>
            </w:r>
          </w:p>
        </w:tc>
        <w:tc>
          <w:tcPr>
            <w:tcW w:w="1025" w:type="dxa"/>
            <w:shd w:val="clear" w:color="auto" w:fill="auto"/>
            <w:vAlign w:val="center"/>
          </w:tcPr>
          <w:p w14:paraId="4855E6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5052</w:t>
            </w:r>
          </w:p>
        </w:tc>
        <w:tc>
          <w:tcPr>
            <w:tcW w:w="650" w:type="dxa"/>
            <w:shd w:val="clear" w:color="auto" w:fill="auto"/>
            <w:vAlign w:val="center"/>
          </w:tcPr>
          <w:p w14:paraId="1CB0DC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9C3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AA80B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5DDC6A6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下一代防火墙</w:t>
            </w:r>
          </w:p>
        </w:tc>
        <w:tc>
          <w:tcPr>
            <w:tcW w:w="4913" w:type="dxa"/>
            <w:shd w:val="clear" w:color="auto" w:fill="auto"/>
            <w:vAlign w:val="center"/>
          </w:tcPr>
          <w:p w14:paraId="333571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1、▲网络层吞吐量≥2Gbps，应用层吞吐量≥900Mbps，并发连接数≥100万，每秒新建连接数≥3万；</w:t>
            </w:r>
          </w:p>
          <w:p w14:paraId="2118D0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2、▲产品采用“高性能多核并行架构”，配置不少于6个千兆电口，2个千兆光口SFP；配置适配器电源，规格桌面型；</w:t>
            </w:r>
          </w:p>
          <w:p w14:paraId="6995B7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39DDB0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4、产品支持路由模式、透明模式、虚拟网线模式、旁路镜像模式等多种部署方式；</w:t>
            </w:r>
          </w:p>
          <w:p w14:paraId="408B1C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5、产品支持虚拟防火墙功能，支持虚拟防火墙的创建和删除，具备独立的接口、会话管理、应用控制策略、NAT等资源；</w:t>
            </w:r>
          </w:p>
          <w:p w14:paraId="735030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6、产品支持链路连通性检查功能，支持基于3种以上协议对链路连通性进行探测，探测协议至少包括DNS解析、ARP探测、PING和BFD等方式；</w:t>
            </w:r>
          </w:p>
          <w:p w14:paraId="701091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7、产品支持路由类型、协议类型、网络对象、国家地区等条件进行自动选路的策略路由，支持不少于3种的调度算法，至少包括带宽比例、加权流量、线路优先等；</w:t>
            </w:r>
          </w:p>
          <w:p w14:paraId="34DCDD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8、产品支持对不少于9000种应用的识别和控制，应用类型包括游戏、购物、图书百科、工作招聘、P2P下载、聊天工具、旅游出行、股票软件等类型应用进行检测与控制；</w:t>
            </w:r>
          </w:p>
          <w:p w14:paraId="26EF7DC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9、产品支持僵尸主机检测功能，产品内置僵尸网络特征库超过120万种，可识别主机的异常外联行为；</w:t>
            </w:r>
          </w:p>
          <w:p w14:paraId="38A195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10、产品内置超过16000种漏洞规则，同时支持在控制台界面通过漏洞ID、漏洞名称、危险等级、漏洞CVE标识、漏洞描述等条件查询漏洞特征信息，支持用户自定义IPS规则；</w:t>
            </w:r>
            <w:r>
              <w:rPr>
                <w:rFonts w:hint="eastAsia"/>
                <w:sz w:val="21"/>
                <w:szCs w:val="21"/>
                <w:lang w:val="en-US" w:eastAsia="zh-CN"/>
              </w:rPr>
              <w:br w:type="textWrapping"/>
            </w:r>
            <w:r>
              <w:rPr>
                <w:rFonts w:hint="eastAsia"/>
                <w:sz w:val="21"/>
                <w:szCs w:val="21"/>
                <w:lang w:val="en-US" w:eastAsia="zh-CN"/>
              </w:rPr>
              <w:t>11、▲产品支持4500种WEB应用攻击特征，支持对跨站脚本（XSS）攻击、SQL注入、文件包含攻击、信息泄露攻击、WEBSHELL、网站扫描、网页木马等攻击类型进行防护；</w:t>
            </w:r>
          </w:p>
          <w:p w14:paraId="4F7971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12、当主机故障时，双机切换时不丢包，并可实现双机部署下升级不断网；</w:t>
            </w:r>
          </w:p>
          <w:p w14:paraId="0A9F13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13、▲产品支持策略生命周期管理功能，支持对安全策略修改的时间、原因、变更类型进行统一管理，便于策略的运维与管理；</w:t>
            </w:r>
            <w:r>
              <w:rPr>
                <w:rFonts w:hint="eastAsia"/>
                <w:b/>
                <w:bCs/>
                <w:sz w:val="21"/>
                <w:szCs w:val="21"/>
                <w:lang w:val="en-US" w:eastAsia="zh-CN"/>
              </w:rPr>
              <w:br w:type="textWrapping"/>
            </w:r>
            <w:r>
              <w:rPr>
                <w:rFonts w:hint="eastAsia"/>
                <w:sz w:val="21"/>
                <w:szCs w:val="21"/>
                <w:lang w:val="en-US" w:eastAsia="zh-CN"/>
              </w:rPr>
              <w:t>14、产品支持与终端安全软件联动管理，在防火墙产品完成终端安全策略设置和内网终端安全软件的统一管理，支持检测到某主机有僵木蠕毒的C2通信时，手动或自动化将恶意域名信息下发到终端安全软件做C2通信的封锁遏制，支持管理员下发一键隔离指令，对终端恶意文件进行隔离；</w:t>
            </w:r>
          </w:p>
          <w:p w14:paraId="667246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15、提供产品质保和软件升级应不少于3年；</w:t>
            </w:r>
          </w:p>
        </w:tc>
        <w:tc>
          <w:tcPr>
            <w:tcW w:w="580" w:type="dxa"/>
            <w:shd w:val="clear" w:color="auto" w:fill="auto"/>
            <w:noWrap/>
            <w:vAlign w:val="center"/>
          </w:tcPr>
          <w:p w14:paraId="4CBDBC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449151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04B66F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12616</w:t>
            </w:r>
          </w:p>
        </w:tc>
        <w:tc>
          <w:tcPr>
            <w:tcW w:w="1025" w:type="dxa"/>
            <w:shd w:val="clear" w:color="auto" w:fill="auto"/>
            <w:vAlign w:val="center"/>
          </w:tcPr>
          <w:p w14:paraId="738871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12616</w:t>
            </w:r>
          </w:p>
        </w:tc>
        <w:tc>
          <w:tcPr>
            <w:tcW w:w="650" w:type="dxa"/>
            <w:shd w:val="clear" w:color="auto" w:fill="auto"/>
            <w:vAlign w:val="center"/>
          </w:tcPr>
          <w:p w14:paraId="731686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998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1BEEC7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156B422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核心交换机</w:t>
            </w:r>
          </w:p>
        </w:tc>
        <w:tc>
          <w:tcPr>
            <w:tcW w:w="4913" w:type="dxa"/>
            <w:shd w:val="clear" w:color="auto" w:fill="auto"/>
            <w:vAlign w:val="center"/>
          </w:tcPr>
          <w:p w14:paraId="47E5E7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1、▲设备的交换容量≥670Gbps，包转发率≥120Mpps；</w:t>
            </w:r>
          </w:p>
          <w:p w14:paraId="542993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2、▲千兆POE电口≥24个，1G SFP光口≥4个；</w:t>
            </w:r>
          </w:p>
          <w:p w14:paraId="14FA8E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3、支持IEEE802.3af/at供电标准，单端口最大输出功率≥30W，整机最大输出功率≥370W；</w:t>
            </w:r>
          </w:p>
          <w:p w14:paraId="0F48EDB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4、支持通过在网管中心平台的Web页面对交换机进行可视化管理查看，包括交换机的端口状态及配置、vlan信息；</w:t>
            </w:r>
          </w:p>
          <w:p w14:paraId="365753E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5、支持通过网管中心平台图形化操作对交换机端口状态的开启与关闭；</w:t>
            </w:r>
          </w:p>
        </w:tc>
        <w:tc>
          <w:tcPr>
            <w:tcW w:w="580" w:type="dxa"/>
            <w:shd w:val="clear" w:color="auto" w:fill="auto"/>
            <w:noWrap/>
            <w:vAlign w:val="center"/>
          </w:tcPr>
          <w:p w14:paraId="257448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0B01F37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4D38AD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3960</w:t>
            </w:r>
          </w:p>
        </w:tc>
        <w:tc>
          <w:tcPr>
            <w:tcW w:w="1025" w:type="dxa"/>
            <w:shd w:val="clear" w:color="auto" w:fill="auto"/>
            <w:vAlign w:val="center"/>
          </w:tcPr>
          <w:p w14:paraId="5D36CA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3960</w:t>
            </w:r>
          </w:p>
        </w:tc>
        <w:tc>
          <w:tcPr>
            <w:tcW w:w="650" w:type="dxa"/>
            <w:shd w:val="clear" w:color="auto" w:fill="auto"/>
            <w:vAlign w:val="center"/>
          </w:tcPr>
          <w:p w14:paraId="405437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617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339A6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594A11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24口POE交换机</w:t>
            </w:r>
          </w:p>
        </w:tc>
        <w:tc>
          <w:tcPr>
            <w:tcW w:w="4913" w:type="dxa"/>
            <w:shd w:val="clear" w:color="auto" w:fill="auto"/>
            <w:vAlign w:val="center"/>
          </w:tcPr>
          <w:p w14:paraId="344116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1、▲设备的交换容量≥670Gbps，包转发率≥120Mpps；</w:t>
            </w:r>
          </w:p>
          <w:p w14:paraId="5719C8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2、▲千兆POE电口≥24个，1G/2.5G SFP光口≥4个；</w:t>
            </w:r>
          </w:p>
          <w:p w14:paraId="34A65B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3、支持IEEE802.3af/at供电标准，单端口最大输出功率≥30W，整机最大输出功率≥370W；</w:t>
            </w:r>
          </w:p>
          <w:p w14:paraId="74E450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4、支持通过在网管中心平台的Web页面对交换机进行可视化管理查看，包括交换机的端口状态及配置、vlan信息；；</w:t>
            </w:r>
          </w:p>
          <w:p w14:paraId="628AC8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5、支持通过网管中心平台图形化操作对交换机端口状态的开启与关闭；</w:t>
            </w:r>
          </w:p>
        </w:tc>
        <w:tc>
          <w:tcPr>
            <w:tcW w:w="580" w:type="dxa"/>
            <w:shd w:val="clear" w:color="auto" w:fill="auto"/>
            <w:noWrap/>
            <w:vAlign w:val="center"/>
          </w:tcPr>
          <w:p w14:paraId="324288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6E4984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424420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6900</w:t>
            </w:r>
          </w:p>
        </w:tc>
        <w:tc>
          <w:tcPr>
            <w:tcW w:w="1025" w:type="dxa"/>
            <w:shd w:val="clear" w:color="auto" w:fill="auto"/>
            <w:vAlign w:val="center"/>
          </w:tcPr>
          <w:p w14:paraId="4E7DA0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6900</w:t>
            </w:r>
          </w:p>
        </w:tc>
        <w:tc>
          <w:tcPr>
            <w:tcW w:w="650" w:type="dxa"/>
            <w:shd w:val="clear" w:color="auto" w:fill="auto"/>
            <w:vAlign w:val="center"/>
          </w:tcPr>
          <w:p w14:paraId="769750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F10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3AC97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6BFB759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零信任综合网关</w:t>
            </w:r>
          </w:p>
        </w:tc>
        <w:tc>
          <w:tcPr>
            <w:tcW w:w="4913" w:type="dxa"/>
            <w:shd w:val="clear" w:color="auto" w:fill="auto"/>
            <w:vAlign w:val="center"/>
          </w:tcPr>
          <w:p w14:paraId="1BC0A4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1、▲SSL加密流量≥300Mbps，SSL并发用户数≥600个；配置≥100个用户接入授权；</w:t>
            </w:r>
          </w:p>
          <w:p w14:paraId="293EF8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2、▲产品配置不少于6个千兆电口，4个千兆光口SFP+；提供≥128G SSD；1U机箱；</w:t>
            </w:r>
          </w:p>
          <w:p w14:paraId="0761E0F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33F41A5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配置点击工作台的业务应用即可直接拉起对应的CS程序进行访问，包括但不限于浏览器、远程桌面或其他指定程序，支持Windows、macOS、统信UOS、麒麟kylin、中科方德、Ubuntu等主流操作系统；针对Windows系统，还应支持拉起CS应用时携带启动参数，自动访问管理员设定的地址；</w:t>
            </w:r>
          </w:p>
          <w:p w14:paraId="30ED2E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5、为提升在弱网环境下访问体验，应支持优化TCP协议，增强隧道抗丢包、抗抖动特性，实现弱网环境的访问加速；</w:t>
            </w:r>
          </w:p>
          <w:p w14:paraId="60F8B3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6、▲当客户端通过CDN加速等代理方式接入访问业务系统时，支持获取CDN加速前的访问IP，并在日志中记录此IP为客户端IP；</w:t>
            </w:r>
          </w:p>
          <w:p w14:paraId="40C598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7、支持对接企业微信、阿里钉钉、飞书等结合实现扫码认证，支持企业微信、钉钉、飞书工作台H5应用免登接入，支持零信任移动端APP拉起企微、钉钉授权登录；</w:t>
            </w:r>
          </w:p>
          <w:p w14:paraId="23A385A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在当前业务系统已经有第三方统一身份认证系统的场景下，零信任系统支持通过票据共享的方式跟统一身份认证系统进行单点登录对接，以间接实现业务系统的单点登录对接。为了适应多种身份认证系统获取票据的方式，票据共享应至少支持反向OAuth对接及票据注入等模式，不改变用户原有访问习惯；</w:t>
            </w:r>
          </w:p>
          <w:p w14:paraId="0A1721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9、为了最大程度缩小网络、业务暴露面，平台需提供单包授权能力（SPA），支持UDP+TCP组合的单包授权技术，未授权用户无法连接零信任设备，无法扫描到服务端口，不会出现敲门放大漏洞；</w:t>
            </w:r>
          </w:p>
          <w:p w14:paraId="5C2209C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10、▲为方便管理员统筹查看管理零信任系统的整体运行状态，支持对设备自身的安全状态和策略配置进行巡检，对设备的整体状态进行打分，统计所有检查的正常项、异常项和告警项，并输出巡检报告；</w:t>
            </w:r>
          </w:p>
          <w:p w14:paraId="2E64C7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11、支持终端环境诊断排查，可针对客户端接入失败、业务地址访问失败、客户端服务异常、工作空间启动失败进行诊断，便于员工自行排查修复终端问题，减少IT运维人员工作；</w:t>
            </w:r>
          </w:p>
          <w:p w14:paraId="2D88EB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12、提供产品质保和软件升级应不少于3年；</w:t>
            </w:r>
          </w:p>
        </w:tc>
        <w:tc>
          <w:tcPr>
            <w:tcW w:w="580" w:type="dxa"/>
            <w:shd w:val="clear" w:color="auto" w:fill="auto"/>
            <w:noWrap/>
            <w:vAlign w:val="center"/>
          </w:tcPr>
          <w:p w14:paraId="57198E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4822F5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5282A5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56440</w:t>
            </w:r>
          </w:p>
        </w:tc>
        <w:tc>
          <w:tcPr>
            <w:tcW w:w="1025" w:type="dxa"/>
            <w:shd w:val="clear" w:color="auto" w:fill="auto"/>
            <w:vAlign w:val="center"/>
          </w:tcPr>
          <w:p w14:paraId="128CE9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56440</w:t>
            </w:r>
          </w:p>
        </w:tc>
        <w:tc>
          <w:tcPr>
            <w:tcW w:w="650" w:type="dxa"/>
            <w:shd w:val="clear" w:color="auto" w:fill="auto"/>
            <w:vAlign w:val="center"/>
          </w:tcPr>
          <w:p w14:paraId="6B4EB2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93E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54" w:type="dxa"/>
            <w:shd w:val="clear" w:color="auto" w:fill="auto"/>
            <w:noWrap/>
            <w:vAlign w:val="center"/>
          </w:tcPr>
          <w:p w14:paraId="33668C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2236A0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w:t>
            </w:r>
          </w:p>
        </w:tc>
        <w:tc>
          <w:tcPr>
            <w:tcW w:w="4913" w:type="dxa"/>
            <w:shd w:val="clear" w:color="auto" w:fill="auto"/>
            <w:noWrap/>
            <w:vAlign w:val="center"/>
          </w:tcPr>
          <w:p w14:paraId="2B99D3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光模块-eSFP-GE-单模模块(1310nm,10km,LC)</w:t>
            </w:r>
          </w:p>
        </w:tc>
        <w:tc>
          <w:tcPr>
            <w:tcW w:w="580" w:type="dxa"/>
            <w:shd w:val="clear" w:color="auto" w:fill="auto"/>
            <w:vAlign w:val="center"/>
          </w:tcPr>
          <w:p w14:paraId="714995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noWrap/>
            <w:vAlign w:val="center"/>
          </w:tcPr>
          <w:p w14:paraId="5CC80E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vAlign w:val="center"/>
          </w:tcPr>
          <w:p w14:paraId="155E78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250</w:t>
            </w:r>
          </w:p>
        </w:tc>
        <w:tc>
          <w:tcPr>
            <w:tcW w:w="1025" w:type="dxa"/>
            <w:shd w:val="clear" w:color="auto" w:fill="auto"/>
            <w:vAlign w:val="center"/>
          </w:tcPr>
          <w:p w14:paraId="4DAC36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w:t>
            </w:r>
          </w:p>
        </w:tc>
        <w:tc>
          <w:tcPr>
            <w:tcW w:w="650" w:type="dxa"/>
            <w:shd w:val="clear" w:color="auto" w:fill="auto"/>
            <w:vAlign w:val="center"/>
          </w:tcPr>
          <w:p w14:paraId="44A7F7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BBE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42B0E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0855D1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施工及调测服务</w:t>
            </w:r>
          </w:p>
        </w:tc>
        <w:tc>
          <w:tcPr>
            <w:tcW w:w="4913" w:type="dxa"/>
            <w:shd w:val="clear" w:color="auto" w:fill="auto"/>
            <w:vAlign w:val="center"/>
          </w:tcPr>
          <w:p w14:paraId="079B38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设备施工及调测服务（含网线及辅材）</w:t>
            </w:r>
          </w:p>
        </w:tc>
        <w:tc>
          <w:tcPr>
            <w:tcW w:w="580" w:type="dxa"/>
            <w:shd w:val="clear" w:color="auto" w:fill="auto"/>
            <w:vAlign w:val="center"/>
          </w:tcPr>
          <w:p w14:paraId="793A41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240A9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vAlign w:val="center"/>
          </w:tcPr>
          <w:p w14:paraId="3C48F6E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1025" w:type="dxa"/>
            <w:shd w:val="clear" w:color="auto" w:fill="auto"/>
            <w:vAlign w:val="center"/>
          </w:tcPr>
          <w:p w14:paraId="5BBA51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650" w:type="dxa"/>
            <w:shd w:val="clear" w:color="auto" w:fill="auto"/>
            <w:vAlign w:val="center"/>
          </w:tcPr>
          <w:p w14:paraId="015A54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4F2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9" w:hRule="atLeast"/>
          <w:jc w:val="center"/>
        </w:trPr>
        <w:tc>
          <w:tcPr>
            <w:tcW w:w="654" w:type="dxa"/>
            <w:shd w:val="clear" w:color="auto" w:fill="auto"/>
            <w:noWrap/>
            <w:vAlign w:val="center"/>
          </w:tcPr>
          <w:p w14:paraId="09E52B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237350D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579C3E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12223D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307E91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616156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vAlign w:val="center"/>
          </w:tcPr>
          <w:p w14:paraId="26160F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89968</w:t>
            </w:r>
          </w:p>
        </w:tc>
        <w:tc>
          <w:tcPr>
            <w:tcW w:w="650" w:type="dxa"/>
            <w:shd w:val="clear" w:color="auto" w:fill="auto"/>
            <w:vAlign w:val="center"/>
          </w:tcPr>
          <w:p w14:paraId="68C5327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0B3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jc w:val="center"/>
        </w:trPr>
        <w:tc>
          <w:tcPr>
            <w:tcW w:w="10470" w:type="dxa"/>
            <w:gridSpan w:val="8"/>
            <w:shd w:val="clear" w:color="auto" w:fill="auto"/>
            <w:noWrap/>
            <w:vAlign w:val="center"/>
          </w:tcPr>
          <w:p w14:paraId="15E324B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三、互联网系统</w:t>
            </w:r>
          </w:p>
        </w:tc>
      </w:tr>
      <w:tr w14:paraId="49FA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39227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37CDB7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光纤网络接入服务</w:t>
            </w:r>
          </w:p>
        </w:tc>
        <w:tc>
          <w:tcPr>
            <w:tcW w:w="4913" w:type="dxa"/>
            <w:shd w:val="clear" w:color="auto" w:fill="auto"/>
            <w:vAlign w:val="center"/>
          </w:tcPr>
          <w:p w14:paraId="381AE76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50M光纤网络接入服务（固定IP），服务1年</w:t>
            </w:r>
          </w:p>
        </w:tc>
        <w:tc>
          <w:tcPr>
            <w:tcW w:w="580" w:type="dxa"/>
            <w:shd w:val="clear" w:color="auto" w:fill="auto"/>
            <w:noWrap/>
            <w:vAlign w:val="center"/>
          </w:tcPr>
          <w:p w14:paraId="2E686D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245963C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条</w:t>
            </w:r>
          </w:p>
        </w:tc>
        <w:tc>
          <w:tcPr>
            <w:tcW w:w="987" w:type="dxa"/>
            <w:shd w:val="clear" w:color="auto" w:fill="auto"/>
            <w:vAlign w:val="center"/>
          </w:tcPr>
          <w:p w14:paraId="3D7FC7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12000</w:t>
            </w:r>
          </w:p>
        </w:tc>
        <w:tc>
          <w:tcPr>
            <w:tcW w:w="1025" w:type="dxa"/>
            <w:shd w:val="clear" w:color="auto" w:fill="auto"/>
            <w:vAlign w:val="center"/>
          </w:tcPr>
          <w:p w14:paraId="57FA541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12000</w:t>
            </w:r>
          </w:p>
        </w:tc>
        <w:tc>
          <w:tcPr>
            <w:tcW w:w="650" w:type="dxa"/>
            <w:shd w:val="clear" w:color="auto" w:fill="auto"/>
            <w:vAlign w:val="center"/>
          </w:tcPr>
          <w:p w14:paraId="53D90D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641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DF5A6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2CBAA5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下一代防火墙</w:t>
            </w:r>
          </w:p>
        </w:tc>
        <w:tc>
          <w:tcPr>
            <w:tcW w:w="4913" w:type="dxa"/>
            <w:shd w:val="clear" w:color="auto" w:fill="auto"/>
            <w:vAlign w:val="center"/>
          </w:tcPr>
          <w:p w14:paraId="3CC94D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1、▲网络层吞吐量≥4Gbps，应用层吞吐量≥2Gbps，并发连接数≥200万，每秒新建连接数≥4.5万；</w:t>
            </w:r>
          </w:p>
          <w:p w14:paraId="0BB3E7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2、▲产品采用“高性能多核并行架构”，配置不少于6个千兆电口；</w:t>
            </w:r>
          </w:p>
          <w:p w14:paraId="0DEA58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43055B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4、产品支持路由模式、透明模式、虚拟网线模式、旁路镜像模式等多种部署方式；</w:t>
            </w:r>
          </w:p>
          <w:p w14:paraId="6B425D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5、产品支持虚拟防火墙功能，支持虚拟防火墙的创建和删除，具备独立的接口、会话管理、应用控制策略、NAT等资源；</w:t>
            </w:r>
          </w:p>
          <w:p w14:paraId="2060D7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6、产品支持链路连通性检查功能，支持基于3种以上协议对链路连通性进行探测，探测协议至少包括DNS解析、ARP探测、PING和BFD等方式；</w:t>
            </w:r>
          </w:p>
          <w:p w14:paraId="257F1B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7、产品支持路由类型、协议类型、网络对象、国家地区等条件进行自动选路的策略路由，支持不少于3种的调度算法，至少包括带宽比例、加权流量、线路优先等；</w:t>
            </w:r>
          </w:p>
          <w:p w14:paraId="56CFEF1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8、产品支持对不少于9000种应用的识别和控制，应用类型包括游戏、购物、图书百科、工作招聘、P2P下载、聊天工具、旅游出行、股票软件等类型应用进行检测与控制；</w:t>
            </w:r>
          </w:p>
          <w:p w14:paraId="0482BE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9、产品支持僵尸主机检测功能，产品内置僵尸网络特征库超过120万种，可识别主机的异常外联行为；</w:t>
            </w:r>
          </w:p>
          <w:p w14:paraId="336C85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10、产品内置超过16000种漏洞规则，同时支持在控制台界面通过漏洞ID、漏洞名称、危险等级、漏洞CVE标识、漏洞描述等条件查询漏洞特征信息，支持用户自定义IPS规则；</w:t>
            </w:r>
          </w:p>
          <w:p w14:paraId="52CA49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11、当主机故障时，双机切换时不丢包，并可实现双机部署下升级不断网；</w:t>
            </w:r>
          </w:p>
          <w:p w14:paraId="1C2724B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12、▲产品支持策略生命周期管理功能，支持对安全策略修改的时间、原因、变更类型进行统一管理，便于策略的运维与管理；</w:t>
            </w:r>
          </w:p>
          <w:p w14:paraId="352775C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13、▲产品支持扩展独立的勒索病毒防护模块，非普通防病毒功能，支持对特定的业务进行勒索风险自动化评估，并依据评估结果自动生成防护策略；</w:t>
            </w:r>
          </w:p>
          <w:p w14:paraId="4E29D3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14、▲产品支持扩展云威胁情报网关技术，实现对威胁流量就近进行实时检测&amp;拦截，实现失陷外联实时阻断，保护资产安全；</w:t>
            </w:r>
          </w:p>
          <w:p w14:paraId="50EA00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15、▲产品支持扩展云端未知威胁主动探测技术，实现5min内未知威胁情报全网设备下发；</w:t>
            </w:r>
          </w:p>
          <w:p w14:paraId="55E313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16、产品支持与终端安全软件联动管理，在防火墙产品完成终端安全策略设置和内网终端安全软件的统一管理，支持检测到某主机有僵木蠕毒的C2通信时，手动或自动化将恶意域名信息下发到终端安全软件做C2通信的封锁遏制，支持管理员下发一键隔离指令，对终端恶意文件进行隔离；</w:t>
            </w:r>
          </w:p>
          <w:p w14:paraId="09606A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17、提供产品质保和软件升级应不少于3年；</w:t>
            </w:r>
          </w:p>
        </w:tc>
        <w:tc>
          <w:tcPr>
            <w:tcW w:w="580" w:type="dxa"/>
            <w:shd w:val="clear" w:color="auto" w:fill="auto"/>
            <w:noWrap/>
            <w:vAlign w:val="center"/>
          </w:tcPr>
          <w:p w14:paraId="7150CC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3B6E60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13E15F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26885</w:t>
            </w:r>
          </w:p>
        </w:tc>
        <w:tc>
          <w:tcPr>
            <w:tcW w:w="1025" w:type="dxa"/>
            <w:shd w:val="clear" w:color="auto" w:fill="auto"/>
            <w:vAlign w:val="center"/>
          </w:tcPr>
          <w:p w14:paraId="7E72F4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26885</w:t>
            </w:r>
          </w:p>
        </w:tc>
        <w:tc>
          <w:tcPr>
            <w:tcW w:w="650" w:type="dxa"/>
            <w:shd w:val="clear" w:color="auto" w:fill="auto"/>
            <w:vAlign w:val="center"/>
          </w:tcPr>
          <w:p w14:paraId="5E3D12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3D8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30975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6E8F992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核心交换机</w:t>
            </w:r>
          </w:p>
        </w:tc>
        <w:tc>
          <w:tcPr>
            <w:tcW w:w="4913" w:type="dxa"/>
            <w:shd w:val="clear" w:color="auto" w:fill="auto"/>
            <w:vAlign w:val="center"/>
          </w:tcPr>
          <w:p w14:paraId="201FA1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1、▲配置≥12个千兆电口、≥12个10G SFP+光口；满配2个万兆多模光模块；</w:t>
            </w:r>
          </w:p>
          <w:p w14:paraId="2CF1541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2、▲交换容量≥2.4Tbps/24Tbps，包转发率≥780Mpps/1080Mpps；</w:t>
            </w:r>
          </w:p>
          <w:p w14:paraId="0186098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3、支持智能交换机和普通交换机两种工作模式，可以根据不同的组网需要，随时灵活的进行切换；</w:t>
            </w:r>
          </w:p>
          <w:p w14:paraId="55D64B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4、支持通过网管中心平台一键替换“按钮”即可完成故障设备替换；</w:t>
            </w:r>
          </w:p>
          <w:p w14:paraId="2F0636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5、支持通过APP进行远程管理，并且可以修改交换机网络配置；</w:t>
            </w:r>
          </w:p>
        </w:tc>
        <w:tc>
          <w:tcPr>
            <w:tcW w:w="580" w:type="dxa"/>
            <w:shd w:val="clear" w:color="auto" w:fill="auto"/>
            <w:noWrap/>
            <w:vAlign w:val="center"/>
          </w:tcPr>
          <w:p w14:paraId="5E8889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6B674BD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2C98D2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15840</w:t>
            </w:r>
          </w:p>
        </w:tc>
        <w:tc>
          <w:tcPr>
            <w:tcW w:w="1025" w:type="dxa"/>
            <w:shd w:val="clear" w:color="auto" w:fill="auto"/>
            <w:vAlign w:val="center"/>
          </w:tcPr>
          <w:p w14:paraId="0273CA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15840</w:t>
            </w:r>
          </w:p>
        </w:tc>
        <w:tc>
          <w:tcPr>
            <w:tcW w:w="650" w:type="dxa"/>
            <w:shd w:val="clear" w:color="auto" w:fill="auto"/>
            <w:vAlign w:val="center"/>
          </w:tcPr>
          <w:p w14:paraId="310CEA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A39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25EDD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6AC77D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24口POE交换机</w:t>
            </w:r>
          </w:p>
        </w:tc>
        <w:tc>
          <w:tcPr>
            <w:tcW w:w="4913" w:type="dxa"/>
            <w:shd w:val="clear" w:color="auto" w:fill="auto"/>
            <w:vAlign w:val="center"/>
          </w:tcPr>
          <w:p w14:paraId="08806B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1、▲设备的交换容量≥670Gbps，包转发率≥120Mpps；</w:t>
            </w:r>
          </w:p>
          <w:p w14:paraId="19668A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2、▲千兆POE电口≥24个，1G/2.5G SFP光口≥4个；</w:t>
            </w:r>
          </w:p>
          <w:p w14:paraId="0E6B4AC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3、支持IEEE802.3af/at供电标准，单端口最大输出功率≥30W，整机最大输出功率≥370W；</w:t>
            </w:r>
          </w:p>
          <w:p w14:paraId="5C8709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4、支持通过在网管中心平台的Web页面对交换机进行可视化管理查看，包括交换机的端口状态及配置、vlan信息；；</w:t>
            </w:r>
          </w:p>
          <w:p w14:paraId="628399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5、支持通过网管中心平台图形化操作对交换机端口状态的开启与关闭；</w:t>
            </w:r>
          </w:p>
        </w:tc>
        <w:tc>
          <w:tcPr>
            <w:tcW w:w="580" w:type="dxa"/>
            <w:shd w:val="clear" w:color="auto" w:fill="auto"/>
            <w:noWrap/>
            <w:vAlign w:val="center"/>
          </w:tcPr>
          <w:p w14:paraId="7244DE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noWrap/>
            <w:vAlign w:val="center"/>
          </w:tcPr>
          <w:p w14:paraId="080544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4ED7A8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6900</w:t>
            </w:r>
          </w:p>
        </w:tc>
        <w:tc>
          <w:tcPr>
            <w:tcW w:w="1025" w:type="dxa"/>
            <w:shd w:val="clear" w:color="auto" w:fill="auto"/>
            <w:vAlign w:val="center"/>
          </w:tcPr>
          <w:p w14:paraId="1C1F93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13800</w:t>
            </w:r>
          </w:p>
        </w:tc>
        <w:tc>
          <w:tcPr>
            <w:tcW w:w="650" w:type="dxa"/>
            <w:shd w:val="clear" w:color="auto" w:fill="auto"/>
            <w:vAlign w:val="center"/>
          </w:tcPr>
          <w:p w14:paraId="346878F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4B9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E521D3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48496B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全网行为管理</w:t>
            </w:r>
          </w:p>
        </w:tc>
        <w:tc>
          <w:tcPr>
            <w:tcW w:w="4913" w:type="dxa"/>
            <w:shd w:val="clear" w:color="auto" w:fill="auto"/>
            <w:vAlign w:val="center"/>
          </w:tcPr>
          <w:p w14:paraId="1368F1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1、▲网络层吞吐量≥2Gbps，应用层吞吐量≥150Mbps，带宽性能≥100Mbps，用户数≥500，新建连接数≥1000，并发连接数≥5万，终端准入用户数≥100；</w:t>
            </w:r>
          </w:p>
          <w:p w14:paraId="2D4105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2、▲产品配置不少于6个千兆电口；提供≥128G SSD；1U机箱；</w:t>
            </w:r>
          </w:p>
          <w:p w14:paraId="2C9BC4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08A9EB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4、支持路由模式、单臂模式、网桥模式、旁路模式；支持多主模式，允许两台及两台以上设备同时做主机的部署模式；</w:t>
            </w:r>
          </w:p>
          <w:p w14:paraId="6D98F8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5、支持权限策略故障排查，支持针对上网权限策略进行检测分析，查看各个应用是否匹配相关策略；</w:t>
            </w:r>
          </w:p>
          <w:p w14:paraId="723B03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6、支持通过抑制P2P的下行丢包，来减缓P2P的下行流量，从而解决网络出口在做流控后仍然压力较大的问题；</w:t>
            </w:r>
          </w:p>
          <w:p w14:paraId="014366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7、设备内置应用识别规则库，支持超过9000种以上应用规则数、支持超过6000种以上的应用；支持根据标签选择应用，并支持给每个应用自定义标签；支持根据标签选择一类应用做控制；</w:t>
            </w:r>
          </w:p>
          <w:p w14:paraId="30251D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8、支持记录全部或者指定类别URL、网页标题、网页内容等信息，支持网页内容审计后的网页快照功能；</w:t>
            </w:r>
          </w:p>
          <w:p w14:paraId="6B10CB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9、▲支持SSL中间人解密和客户端解密，客户端会自动推送根证书安装，确保数据传输的透明性与安全性；</w:t>
            </w:r>
          </w:p>
          <w:p w14:paraId="6D0082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10、▲自动发现网络里面的终端，并获取IP、Mac、厂商、操作系统等信息，设备必须支持PC、移动设备、哑终端、专用设备的发现和型号识别：至少支持Windows、Linux、MAC、瘦客户机等PC；至少支持手机、平板等移动设备；至少支持服务器、交换机、无线控制器等网络设备；至少支持打印机、投影仪、电视、摄像头、门禁系统等哑终端；支持自定义终端类型；</w:t>
            </w:r>
          </w:p>
          <w:p w14:paraId="0A1B6C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11、支持IP/MAC绑定认证，支持通过SNMP服务器跨三层获取MAC地址；</w:t>
            </w:r>
          </w:p>
          <w:p w14:paraId="3E637F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12、支持通过钉钉、企业微信、口袋助理等第三方协同办公软件进行授权认证；</w:t>
            </w:r>
          </w:p>
          <w:p w14:paraId="1CC415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13、支持Windows终端安全检查，包括：杀软检查、操作系统检查、进程检查，对不满足检查要求的终端可弹窗提示、禁止上网、违规修复；</w:t>
            </w:r>
          </w:p>
          <w:p w14:paraId="3A7CC0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14、支持Windows终端外联行为检查，包括：拨号行为、双网卡行为、有无线网卡行为、连接非法WIFI、4G网卡、使用非法网关、连接外网、自定义外联行为，对不满足检查要求的终端强制断网，并弹窗提示用户；</w:t>
            </w:r>
          </w:p>
          <w:p w14:paraId="1392442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15、▲支持Windows桌面水印，支持设置水印的内容、透明度、密度，水印效果预览，离线时继续生效；</w:t>
            </w:r>
          </w:p>
          <w:p w14:paraId="0242D9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16、▲支持与同品牌防火墙系统实现认证联动，可以转发用户认证信息到防火墙，实现单点登录；</w:t>
            </w:r>
          </w:p>
          <w:p w14:paraId="06EA9DC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17、▲支持与同品牌终端安全检测与响应产品实现联动，当检测到终端未安装对应产品时，禁止上网并提示需要安装终端安全检测与响应软件；</w:t>
            </w:r>
          </w:p>
          <w:p w14:paraId="567011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18、提供产品质保和软件升级应不少于3年；</w:t>
            </w:r>
          </w:p>
        </w:tc>
        <w:tc>
          <w:tcPr>
            <w:tcW w:w="580" w:type="dxa"/>
            <w:shd w:val="clear" w:color="auto" w:fill="auto"/>
            <w:noWrap/>
            <w:vAlign w:val="center"/>
          </w:tcPr>
          <w:p w14:paraId="41792B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390C6B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7F0578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30720</w:t>
            </w:r>
          </w:p>
        </w:tc>
        <w:tc>
          <w:tcPr>
            <w:tcW w:w="1025" w:type="dxa"/>
            <w:shd w:val="clear" w:color="auto" w:fill="auto"/>
            <w:vAlign w:val="center"/>
          </w:tcPr>
          <w:p w14:paraId="1BAD90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30720</w:t>
            </w:r>
          </w:p>
        </w:tc>
        <w:tc>
          <w:tcPr>
            <w:tcW w:w="650" w:type="dxa"/>
            <w:shd w:val="clear" w:color="auto" w:fill="auto"/>
            <w:vAlign w:val="center"/>
          </w:tcPr>
          <w:p w14:paraId="1802A7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9DB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45D4A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2CF243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统一端点安全管理服务</w:t>
            </w:r>
          </w:p>
        </w:tc>
        <w:tc>
          <w:tcPr>
            <w:tcW w:w="4913" w:type="dxa"/>
            <w:shd w:val="clear" w:color="auto" w:fill="auto"/>
            <w:vAlign w:val="center"/>
          </w:tcPr>
          <w:p w14:paraId="7096C2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一、PC端</w:t>
            </w:r>
          </w:p>
          <w:p w14:paraId="26EE54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1、▲产品支持纯软件交付，包含管理控制中心软件及终端客户端软件；本次提供PC客户端安全防护软件不少于100套；</w:t>
            </w:r>
          </w:p>
          <w:p w14:paraId="734B7C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2、单一管理控制中心可统一管理分别部署在WindowsPC、Windows服务器、Linux服务器以及国产化服务器的客户端软件；</w:t>
            </w:r>
          </w:p>
          <w:p w14:paraId="519179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3、▲提供勒索病毒整体防护体系入口，直观展示最近七天勒索病毒防护效果，包括已处置的恶意文件数量、已拦截可疑行为次数、已阻止的未知进程操作次数、已阻止的暴力破解攻击次数；</w:t>
            </w:r>
          </w:p>
          <w:p w14:paraId="592B485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4、支持跳转链接至云端威胁情报中心，针对已发生的威胁提供详细的分析结果，包含威胁分析、网络行为、静态分析、分析环境和影响分析；</w:t>
            </w:r>
          </w:p>
          <w:p w14:paraId="23D806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5、▲支持客户端的错峰升级，可根据实际情况控制客户端同时升级的最大数量，避免大量终端程序同时更新造成网络拥堵或I/O风暴；</w:t>
            </w:r>
          </w:p>
          <w:p w14:paraId="307AB8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支持对系统账号信息进行梳理，了解账号权限分布概况以及风险账号分布情况，可按照隐藏账号、可疑root权限账号、长期未使用账号、夜间登录、多IP登录进行账号分类查看，支持统计最近一年未修改密码的账户；</w:t>
            </w:r>
          </w:p>
          <w:p w14:paraId="522A8F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7、支持全网视角的终端资产统一清点，便于帮助管理员快速发现风险面。清点信息包括操作系统、应用软件、监听端口和终端账户，其中操作系统和监听端口支持从资产和终端两个视角进行统计和展示；</w:t>
            </w:r>
          </w:p>
          <w:p w14:paraId="70604D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8、▲基于勒索病毒攻击过程，建立多维度立体防护机制，提供事前入侵防御-事中反加密-事后检测响应的完整防护体系，展示勒索病毒处置情况，对勒索病毒及变种实现专门有效防御；</w:t>
            </w:r>
          </w:p>
          <w:p w14:paraId="3DD70A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一键式操作对指定Windows终端/终端组进行合规性检查，包括身份鉴别、访问控制、安全审计、剩余信息保护、入侵防范、恶意代码防范，对不合规的检查项提供设置建议，并可视化展示终端的基线合规检查结果；</w:t>
            </w:r>
          </w:p>
          <w:p w14:paraId="708231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10、提供软件升级应不少于3年；</w:t>
            </w:r>
          </w:p>
          <w:p w14:paraId="79AB4B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二、服务器端</w:t>
            </w:r>
          </w:p>
          <w:p w14:paraId="2F75FD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1、▲产品支持纯软件交付，包含管理控制中心软件及终端客户端软件；本次提供服务器端安全防护软件不少于5套；</w:t>
            </w:r>
          </w:p>
          <w:p w14:paraId="25071F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2、单一管理控制中心可统一管理分别部署在Windows PC、Windows服务器、Linux服务器以及国产化服务器的客户端软件；</w:t>
            </w:r>
          </w:p>
          <w:p w14:paraId="631EFD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3、▲提供勒索病毒整体防护体系入口，直观展示最近七天勒索病毒防护效果，包括已处置的恶意文件数量、已拦截可疑行为次数、已阻止的未知进程操作次数、已阻止的暴力破解攻击次数；</w:t>
            </w:r>
          </w:p>
          <w:p w14:paraId="05E34A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4、支持跳转链接至云端威胁情报中心，针对已发生的威胁提供详细的分析结果，包含威胁分析、网络行为、静态分析、分析环境和影响分析；</w:t>
            </w:r>
          </w:p>
          <w:p w14:paraId="2B9718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5、▲支持客户端的错峰升级，可根据实际情况控制客户端同时升级的最大数量，避免大量终端程序同时更新造成网络拥堵或I/O风暴；</w:t>
            </w:r>
          </w:p>
          <w:p w14:paraId="7B93D9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支持对系统账号信息进行梳理，了解账号权限分布概况以及风险账号分布情况，可按照隐藏账号、可疑root权限账号、长期未使用账号、夜间登录、多IP登录进行账号分类查看，支持统计最近一年未修改密码的账户；</w:t>
            </w:r>
          </w:p>
          <w:p w14:paraId="268B1D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7、支持windows服务器RDP远程登录保护，可开启RDP远程登录二次认证，以防止黑客对服务器的入侵；</w:t>
            </w:r>
          </w:p>
          <w:p w14:paraId="781513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支持Linux服务器SSH远程登录保护，可开启SSH远程登录二次认证，以防止黑客利用弱密码脆弱性对服务器的入侵；支持设置验证码验证或自定义密码验证，支持设置登录认证提示、生效时间段和免二次认证白名单；</w:t>
            </w:r>
          </w:p>
          <w:p w14:paraId="33143D1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9、▲基于勒索病毒攻击过程，建立多维度立体防护机制，提供事前入侵防御-事中反加密-事后检测响应的完整防护体系，展示勒索病毒处置情况，对勒索病毒及变种实现专门有效防御；</w:t>
            </w:r>
          </w:p>
          <w:p w14:paraId="2F12ACD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10、支持对Windows服务器的漏洞情况进行扫描，并查看漏洞具体情况及补丁号，并显示具体修复情况；</w:t>
            </w:r>
          </w:p>
          <w:p w14:paraId="5D7411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11、▲支持不同攻击阶段的主要攻击手法检测，对包括但不仅限于以下攻击手法精准检测，执行、持久化、权限提升、防御逃逸、凭证窃取、横向移动等攻击手法检测记录。显示事件详情，展示攻击手法对应的高危操作和威胁实体；</w:t>
            </w:r>
          </w:p>
          <w:p w14:paraId="2CC810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12、提供软件升级应不少于3年；</w:t>
            </w:r>
          </w:p>
        </w:tc>
        <w:tc>
          <w:tcPr>
            <w:tcW w:w="580" w:type="dxa"/>
            <w:shd w:val="clear" w:color="auto" w:fill="auto"/>
            <w:noWrap/>
            <w:vAlign w:val="center"/>
          </w:tcPr>
          <w:p w14:paraId="2E08843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7FBB7C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vAlign w:val="center"/>
          </w:tcPr>
          <w:p w14:paraId="5A66B6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15200</w:t>
            </w:r>
          </w:p>
        </w:tc>
        <w:tc>
          <w:tcPr>
            <w:tcW w:w="1025" w:type="dxa"/>
            <w:shd w:val="clear" w:color="auto" w:fill="auto"/>
            <w:vAlign w:val="center"/>
          </w:tcPr>
          <w:p w14:paraId="2B4B099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15200</w:t>
            </w:r>
          </w:p>
        </w:tc>
        <w:tc>
          <w:tcPr>
            <w:tcW w:w="650" w:type="dxa"/>
            <w:shd w:val="clear" w:color="auto" w:fill="auto"/>
            <w:vAlign w:val="center"/>
          </w:tcPr>
          <w:p w14:paraId="21B56E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2C8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jc w:val="center"/>
        </w:trPr>
        <w:tc>
          <w:tcPr>
            <w:tcW w:w="654" w:type="dxa"/>
            <w:shd w:val="clear" w:color="auto" w:fill="auto"/>
            <w:noWrap/>
            <w:vAlign w:val="center"/>
          </w:tcPr>
          <w:p w14:paraId="0CB436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3DC9FE5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w:t>
            </w:r>
          </w:p>
        </w:tc>
        <w:tc>
          <w:tcPr>
            <w:tcW w:w="4913" w:type="dxa"/>
            <w:shd w:val="clear" w:color="auto" w:fill="auto"/>
            <w:noWrap/>
            <w:vAlign w:val="center"/>
          </w:tcPr>
          <w:p w14:paraId="4FB3CF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光模块-eSFP-GE-单模模块(1310nm,10km,LC)</w:t>
            </w:r>
          </w:p>
        </w:tc>
        <w:tc>
          <w:tcPr>
            <w:tcW w:w="580" w:type="dxa"/>
            <w:shd w:val="clear" w:color="auto" w:fill="auto"/>
            <w:noWrap/>
            <w:vAlign w:val="center"/>
          </w:tcPr>
          <w:p w14:paraId="653C9C1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w:t>
            </w:r>
          </w:p>
        </w:tc>
        <w:tc>
          <w:tcPr>
            <w:tcW w:w="700" w:type="dxa"/>
            <w:shd w:val="clear" w:color="auto" w:fill="auto"/>
            <w:noWrap/>
            <w:vAlign w:val="center"/>
          </w:tcPr>
          <w:p w14:paraId="633173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vAlign w:val="center"/>
          </w:tcPr>
          <w:p w14:paraId="2A0B11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250</w:t>
            </w:r>
          </w:p>
        </w:tc>
        <w:tc>
          <w:tcPr>
            <w:tcW w:w="1025" w:type="dxa"/>
            <w:shd w:val="clear" w:color="auto" w:fill="auto"/>
            <w:vAlign w:val="center"/>
          </w:tcPr>
          <w:p w14:paraId="24D961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2500</w:t>
            </w:r>
          </w:p>
        </w:tc>
        <w:tc>
          <w:tcPr>
            <w:tcW w:w="650" w:type="dxa"/>
            <w:shd w:val="clear" w:color="auto" w:fill="auto"/>
            <w:vAlign w:val="center"/>
          </w:tcPr>
          <w:p w14:paraId="2A11EB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33A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DAC6C7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0D2569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施工及调测服务</w:t>
            </w:r>
          </w:p>
        </w:tc>
        <w:tc>
          <w:tcPr>
            <w:tcW w:w="4913" w:type="dxa"/>
            <w:shd w:val="clear" w:color="auto" w:fill="auto"/>
            <w:vAlign w:val="center"/>
          </w:tcPr>
          <w:p w14:paraId="037F0A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设备施工及调测服务（含网线及辅材）</w:t>
            </w:r>
          </w:p>
        </w:tc>
        <w:tc>
          <w:tcPr>
            <w:tcW w:w="580" w:type="dxa"/>
            <w:shd w:val="clear" w:color="auto" w:fill="auto"/>
            <w:vAlign w:val="center"/>
          </w:tcPr>
          <w:p w14:paraId="358044C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388E9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vAlign w:val="center"/>
          </w:tcPr>
          <w:p w14:paraId="380BF22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1025" w:type="dxa"/>
            <w:shd w:val="clear" w:color="auto" w:fill="auto"/>
            <w:vAlign w:val="center"/>
          </w:tcPr>
          <w:p w14:paraId="2216D4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650" w:type="dxa"/>
            <w:shd w:val="clear" w:color="auto" w:fill="auto"/>
            <w:vAlign w:val="center"/>
          </w:tcPr>
          <w:p w14:paraId="51D3C3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9D1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7" w:hRule="atLeast"/>
          <w:jc w:val="center"/>
        </w:trPr>
        <w:tc>
          <w:tcPr>
            <w:tcW w:w="654" w:type="dxa"/>
            <w:shd w:val="clear" w:color="auto" w:fill="auto"/>
            <w:noWrap/>
            <w:vAlign w:val="center"/>
          </w:tcPr>
          <w:p w14:paraId="16B4B9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56E06DED">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4A6352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vAlign w:val="center"/>
          </w:tcPr>
          <w:p w14:paraId="0CA09C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2A4C4F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vAlign w:val="center"/>
          </w:tcPr>
          <w:p w14:paraId="4F5D4B1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vAlign w:val="center"/>
          </w:tcPr>
          <w:p w14:paraId="6B524EC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120945</w:t>
            </w:r>
          </w:p>
        </w:tc>
        <w:tc>
          <w:tcPr>
            <w:tcW w:w="650" w:type="dxa"/>
            <w:shd w:val="clear" w:color="auto" w:fill="auto"/>
            <w:vAlign w:val="center"/>
          </w:tcPr>
          <w:p w14:paraId="471C66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3D72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7808" w:type="dxa"/>
            <w:gridSpan w:val="5"/>
            <w:shd w:val="clear" w:color="auto" w:fill="auto"/>
            <w:noWrap/>
            <w:vAlign w:val="center"/>
          </w:tcPr>
          <w:p w14:paraId="7E94CA5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b/>
                <w:bCs/>
                <w:sz w:val="21"/>
                <w:szCs w:val="21"/>
                <w:lang w:val="en-US" w:eastAsia="zh-CN"/>
              </w:rPr>
              <w:t>四、机房安装</w:t>
            </w:r>
          </w:p>
        </w:tc>
        <w:tc>
          <w:tcPr>
            <w:tcW w:w="987" w:type="dxa"/>
            <w:shd w:val="clear" w:color="auto" w:fill="auto"/>
            <w:noWrap/>
            <w:vAlign w:val="center"/>
          </w:tcPr>
          <w:p w14:paraId="036340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1025" w:type="dxa"/>
            <w:shd w:val="clear" w:color="auto" w:fill="auto"/>
            <w:noWrap/>
            <w:vAlign w:val="center"/>
          </w:tcPr>
          <w:p w14:paraId="70A678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650" w:type="dxa"/>
            <w:shd w:val="clear" w:color="auto" w:fill="auto"/>
            <w:noWrap/>
            <w:vAlign w:val="center"/>
          </w:tcPr>
          <w:p w14:paraId="0373A4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1BF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6A499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w:t>
            </w:r>
          </w:p>
        </w:tc>
        <w:tc>
          <w:tcPr>
            <w:tcW w:w="961" w:type="dxa"/>
            <w:shd w:val="clear" w:color="auto" w:fill="auto"/>
            <w:vAlign w:val="center"/>
          </w:tcPr>
          <w:p w14:paraId="72F410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58" name="Text_Box_3_SpCnt_6"/>
                      <wp:cNvGraphicFramePr/>
                      <a:graphic xmlns:a="http://schemas.openxmlformats.org/drawingml/2006/main">
                        <a:graphicData uri="http://schemas.microsoft.com/office/word/2010/wordprocessingShape">
                          <wps:wsp>
                            <wps:cNvSpPr>
                              <a:spLocks noChangeArrowheads="1"/>
                            </wps:cNvSpPr>
                            <wps:spPr>
                              <a:xfrm>
                                <a:off x="617855" y="9906000"/>
                                <a:ext cx="154940" cy="198755"/>
                              </a:xfrm>
                              <a:prstGeom prst="rect">
                                <a:avLst/>
                              </a:prstGeom>
                              <a:noFill/>
                              <a:ln w="9525">
                                <a:noFill/>
                                <a:miter lim="800000"/>
                              </a:ln>
                            </wps:spPr>
                            <wps:txbx>
                              <w:txbxContent>
                                <w:p w14:paraId="77D52EEA">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0/ddYAAAADAQAADwAAAAAAAAAB&#10;ACAAAAAiAAAAZHJzL2Rvd25yZXYueG1sUEsBAhQAFAAAAAgAh07iQG9pUX8SAgAACwQAAA4AAAAA&#10;AAAAAQAgAAAAJQEAAGRycy9lMm9Eb2MueG1sUEsFBgAAAAAGAAYAWQEAAKkFAAAAAA==&#10;">
                      <v:fill on="f" focussize="0,0"/>
                      <v:stroke on="f" miterlimit="8" joinstyle="miter"/>
                      <v:imagedata o:title=""/>
                      <o:lock v:ext="edit" aspectratio="f"/>
                      <v:textbox inset="0.508mm,0.635mm,0mm,0mm" style="mso-fit-shape-to-text:t;">
                        <w:txbxContent>
                          <w:p w14:paraId="77D52EEA">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59" name="Text_Box_3_SpCnt_7"/>
                      <wp:cNvGraphicFramePr/>
                      <a:graphic xmlns:a="http://schemas.openxmlformats.org/drawingml/2006/main">
                        <a:graphicData uri="http://schemas.microsoft.com/office/word/2010/wordprocessingShape">
                          <wps:wsp>
                            <wps:cNvSpPr>
                              <a:spLocks noChangeArrowheads="1"/>
                            </wps:cNvSpPr>
                            <wps:spPr>
                              <a:xfrm>
                                <a:off x="617855" y="9906000"/>
                                <a:ext cx="156210" cy="198755"/>
                              </a:xfrm>
                              <a:prstGeom prst="rect">
                                <a:avLst/>
                              </a:prstGeom>
                              <a:noFill/>
                              <a:ln w="9525">
                                <a:noFill/>
                                <a:miter lim="800000"/>
                              </a:ln>
                            </wps:spPr>
                            <wps:txbx>
                              <w:txbxContent>
                                <w:p w14:paraId="6FDF46FB">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7"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GQGU1ITAgAACwQAAA4AAAAA&#10;AAAAAQAgAAAAJAEAAGRycy9lMm9Eb2MueG1sUEsFBgAAAAAGAAYAWQEAAKkFAAAAAA==&#10;">
                      <v:fill on="f" focussize="0,0"/>
                      <v:stroke on="f" miterlimit="8" joinstyle="miter"/>
                      <v:imagedata o:title=""/>
                      <o:lock v:ext="edit" aspectratio="f"/>
                      <v:textbox inset="0.508mm,0.635mm,0mm,0mm" style="mso-fit-shape-to-text:t;">
                        <w:txbxContent>
                          <w:p w14:paraId="6FDF46FB">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60" name="Text_Box_3_SpCnt_8"/>
                      <wp:cNvGraphicFramePr/>
                      <a:graphic xmlns:a="http://schemas.openxmlformats.org/drawingml/2006/main">
                        <a:graphicData uri="http://schemas.microsoft.com/office/word/2010/wordprocessingShape">
                          <wps:wsp>
                            <wps:cNvSpPr>
                              <a:spLocks noChangeArrowheads="1"/>
                            </wps:cNvSpPr>
                            <wps:spPr>
                              <a:xfrm>
                                <a:off x="617855" y="9906000"/>
                                <a:ext cx="154940" cy="198755"/>
                              </a:xfrm>
                              <a:prstGeom prst="rect">
                                <a:avLst/>
                              </a:prstGeom>
                              <a:noFill/>
                              <a:ln w="9525">
                                <a:noFill/>
                                <a:miter lim="800000"/>
                              </a:ln>
                            </wps:spPr>
                            <wps:txbx>
                              <w:txbxContent>
                                <w:p w14:paraId="60BBA2B6">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8"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P9P3XWAAAAAwEAAA8AAAAAAAAAAQAg&#10;AAAAIgAAAGRycy9kb3ducmV2LnhtbFBLAQIUABQAAAAIAIdO4kA6ibZhEAIAAAsEAAAOAAAAAAAA&#10;AAEAIAAAACUBAABkcnMvZTJvRG9jLnhtbFBLBQYAAAAABgAGAFkBAACnBQAAAAA=&#10;">
                      <v:fill on="f" focussize="0,0"/>
                      <v:stroke on="f" miterlimit="8" joinstyle="miter"/>
                      <v:imagedata o:title=""/>
                      <o:lock v:ext="edit" aspectratio="f"/>
                      <v:textbox inset="0.508mm,0.635mm,0mm,0mm" style="mso-fit-shape-to-text:t;">
                        <w:txbxContent>
                          <w:p w14:paraId="60BBA2B6">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防静电地板安装</w:t>
            </w:r>
          </w:p>
        </w:tc>
        <w:tc>
          <w:tcPr>
            <w:tcW w:w="4913" w:type="dxa"/>
            <w:shd w:val="clear" w:color="auto" w:fill="auto"/>
            <w:vAlign w:val="center"/>
          </w:tcPr>
          <w:p w14:paraId="3E7D0E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600*600*35mm瓷面无边防静电地板，安装标高400mm,含横梁、支架等安装附件</w:t>
            </w:r>
          </w:p>
        </w:tc>
        <w:tc>
          <w:tcPr>
            <w:tcW w:w="580" w:type="dxa"/>
            <w:shd w:val="clear" w:color="auto" w:fill="auto"/>
            <w:noWrap/>
            <w:vAlign w:val="center"/>
          </w:tcPr>
          <w:p w14:paraId="650AAA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2" name="Text_Box_3_SpCnt_10"/>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cmpd="sng">
                                <a:noFill/>
                                <a:miter lim="800000"/>
                              </a:ln>
                            </wps:spPr>
                            <wps:txbx>
                              <w:txbxContent>
                                <w:p w14:paraId="103E1F26">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10"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yyeo1QAAAAMBAAAPAAAA&#10;AAAAAAEAIAAAACIAAABkcnMvZG93bnJldi54bWxQSwECFAAUAAAACACHTuJAxiGdbBgCAAAYBAAA&#10;DgAAAAAAAAABACAAAAAkAQAAZHJzL2Uyb0RvYy54bWxQSwUGAAAAAAYABgBZAQAArgUAAAAA&#10;">
                      <v:fill on="f" focussize="0,0"/>
                      <v:stroke on="f" miterlimit="8" joinstyle="miter"/>
                      <v:imagedata o:title=""/>
                      <o:lock v:ext="edit" aspectratio="f"/>
                      <v:textbox inset="0.508mm,0.635mm,0mm,0mm" style="mso-fit-shape-to-text:t;">
                        <w:txbxContent>
                          <w:p w14:paraId="103E1F26">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3" name="Text_Box_1_SpCnt_2"/>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a:noFill/>
                                <a:miter lim="800000"/>
                              </a:ln>
                            </wps:spPr>
                            <wps:txbx>
                              <w:txbxContent>
                                <w:p w14:paraId="28096BD8">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2"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yyeo1QAAAAMBAAAPAAAAAAAAAAEA&#10;IAAAACIAAABkcnMvZG93bnJldi54bWxQSwECFAAUAAAACACHTuJA6LjEXBICAAAMBAAADgAAAAAA&#10;AAABACAAAAAkAQAAZHJzL2Uyb0RvYy54bWxQSwUGAAAAAAYABgBZAQAAqAUAAAAA&#10;">
                      <v:fill on="f" focussize="0,0"/>
                      <v:stroke on="f" miterlimit="8" joinstyle="miter"/>
                      <v:imagedata o:title=""/>
                      <o:lock v:ext="edit" aspectratio="f"/>
                      <v:textbox inset="0.508mm,0.635mm,0mm,0mm" style="mso-fit-shape-to-text:t;">
                        <w:txbxContent>
                          <w:p w14:paraId="28096BD8">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4" name="Text_Box_3_SpCnt_11"/>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cmpd="sng">
                                <a:noFill/>
                                <a:miter lim="800000"/>
                              </a:ln>
                            </wps:spPr>
                            <wps:txbx>
                              <w:txbxContent>
                                <w:p w14:paraId="77D89F9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11"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HLJ6jVAAAAAwEAAA8AAAAA&#10;AAAAAQAgAAAAIgAAAGRycy9kb3ducmV2LnhtbFBLAQIUABQAAAAIAIdO4kBRD8uSFwIAABgEAAAO&#10;AAAAAAAAAAEAIAAAACQBAABkcnMvZTJvRG9jLnhtbFBLBQYAAAAABgAGAFkBAACtBQAAAAA=&#10;">
                      <v:fill on="f" focussize="0,0"/>
                      <v:stroke on="f" miterlimit="8" joinstyle="miter"/>
                      <v:imagedata o:title=""/>
                      <o:lock v:ext="edit" aspectratio="f"/>
                      <v:textbox inset="0.508mm,0.635mm,0mm,0mm" style="mso-fit-shape-to-text:t;">
                        <w:txbxContent>
                          <w:p w14:paraId="77D89F9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5" name="Text_Box_1_SpCnt_3"/>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a:noFill/>
                                <a:miter lim="800000"/>
                              </a:ln>
                            </wps:spPr>
                            <wps:txbx>
                              <w:txbxContent>
                                <w:p w14:paraId="044028E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3"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yyeo1QAAAAMBAAAPAAAAAAAAAAEA&#10;IAAAACIAAABkcnMvZG93bnJldi54bWxQSwECFAAUAAAACACHTuJAcBoiZhICAAAMBAAADgAAAAAA&#10;AAABACAAAAAkAQAAZHJzL2Uyb0RvYy54bWxQSwUGAAAAAAYABgBZAQAAqAUAAAAA&#10;">
                      <v:fill on="f" focussize="0,0"/>
                      <v:stroke on="f" miterlimit="8" joinstyle="miter"/>
                      <v:imagedata o:title=""/>
                      <o:lock v:ext="edit" aspectratio="f"/>
                      <v:textbox inset="0.508mm,0.635mm,0mm,0mm" style="mso-fit-shape-to-text:t;">
                        <w:txbxContent>
                          <w:p w14:paraId="044028E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34</w:t>
            </w:r>
          </w:p>
        </w:tc>
        <w:tc>
          <w:tcPr>
            <w:tcW w:w="700" w:type="dxa"/>
            <w:shd w:val="clear" w:color="auto" w:fill="auto"/>
            <w:vAlign w:val="center"/>
          </w:tcPr>
          <w:p w14:paraId="67B2C1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m2</w:t>
            </w:r>
          </w:p>
        </w:tc>
        <w:tc>
          <w:tcPr>
            <w:tcW w:w="987" w:type="dxa"/>
            <w:shd w:val="clear" w:color="auto" w:fill="auto"/>
            <w:noWrap/>
            <w:vAlign w:val="center"/>
          </w:tcPr>
          <w:p w14:paraId="3FDB1E1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440</w:t>
            </w:r>
          </w:p>
        </w:tc>
        <w:tc>
          <w:tcPr>
            <w:tcW w:w="1025" w:type="dxa"/>
            <w:shd w:val="clear" w:color="auto" w:fill="auto"/>
            <w:noWrap/>
            <w:vAlign w:val="center"/>
          </w:tcPr>
          <w:p w14:paraId="0889C6E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14960</w:t>
            </w:r>
          </w:p>
        </w:tc>
        <w:tc>
          <w:tcPr>
            <w:tcW w:w="650" w:type="dxa"/>
            <w:shd w:val="clear" w:color="auto" w:fill="auto"/>
            <w:noWrap/>
            <w:vAlign w:val="center"/>
          </w:tcPr>
          <w:p w14:paraId="474BB0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6FE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54" w:type="dxa"/>
            <w:shd w:val="clear" w:color="auto" w:fill="auto"/>
            <w:noWrap/>
            <w:vAlign w:val="center"/>
          </w:tcPr>
          <w:p w14:paraId="704B12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50FE7C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踢脚线</w:t>
            </w:r>
          </w:p>
        </w:tc>
        <w:tc>
          <w:tcPr>
            <w:tcW w:w="4913" w:type="dxa"/>
            <w:shd w:val="clear" w:color="auto" w:fill="auto"/>
            <w:vAlign w:val="center"/>
          </w:tcPr>
          <w:p w14:paraId="3875B4C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100*20mm不锈钢</w:t>
            </w:r>
          </w:p>
        </w:tc>
        <w:tc>
          <w:tcPr>
            <w:tcW w:w="580" w:type="dxa"/>
            <w:shd w:val="clear" w:color="auto" w:fill="auto"/>
            <w:noWrap/>
            <w:vAlign w:val="center"/>
          </w:tcPr>
          <w:p w14:paraId="1EFD59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w:t>
            </w:r>
          </w:p>
        </w:tc>
        <w:tc>
          <w:tcPr>
            <w:tcW w:w="700" w:type="dxa"/>
            <w:shd w:val="clear" w:color="auto" w:fill="auto"/>
            <w:vAlign w:val="center"/>
          </w:tcPr>
          <w:p w14:paraId="5733A5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11DD7EA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55</w:t>
            </w:r>
          </w:p>
        </w:tc>
        <w:tc>
          <w:tcPr>
            <w:tcW w:w="1025" w:type="dxa"/>
            <w:shd w:val="clear" w:color="auto" w:fill="auto"/>
            <w:noWrap/>
            <w:vAlign w:val="center"/>
          </w:tcPr>
          <w:p w14:paraId="45B212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1320</w:t>
            </w:r>
          </w:p>
        </w:tc>
        <w:tc>
          <w:tcPr>
            <w:tcW w:w="650" w:type="dxa"/>
            <w:shd w:val="clear" w:color="auto" w:fill="auto"/>
            <w:noWrap/>
            <w:vAlign w:val="center"/>
          </w:tcPr>
          <w:p w14:paraId="7D69D3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067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FFDE9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796D2A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地板收边压条</w:t>
            </w:r>
          </w:p>
        </w:tc>
        <w:tc>
          <w:tcPr>
            <w:tcW w:w="4913" w:type="dxa"/>
            <w:shd w:val="clear" w:color="auto" w:fill="auto"/>
            <w:vAlign w:val="center"/>
          </w:tcPr>
          <w:p w14:paraId="4911F1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40*4mm角钢</w:t>
            </w:r>
          </w:p>
        </w:tc>
        <w:tc>
          <w:tcPr>
            <w:tcW w:w="580" w:type="dxa"/>
            <w:shd w:val="clear" w:color="auto" w:fill="auto"/>
            <w:noWrap/>
            <w:vAlign w:val="center"/>
          </w:tcPr>
          <w:p w14:paraId="40547B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0AD5B4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746125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112 </w:t>
            </w:r>
          </w:p>
        </w:tc>
        <w:tc>
          <w:tcPr>
            <w:tcW w:w="1025" w:type="dxa"/>
            <w:shd w:val="clear" w:color="auto" w:fill="auto"/>
            <w:noWrap/>
            <w:vAlign w:val="center"/>
          </w:tcPr>
          <w:p w14:paraId="603C81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3808</w:t>
            </w:r>
          </w:p>
        </w:tc>
        <w:tc>
          <w:tcPr>
            <w:tcW w:w="650" w:type="dxa"/>
            <w:shd w:val="clear" w:color="auto" w:fill="auto"/>
            <w:noWrap/>
            <w:vAlign w:val="center"/>
          </w:tcPr>
          <w:p w14:paraId="2C1FC6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F01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BCC2C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5E5242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地面防尘防静电</w:t>
            </w:r>
          </w:p>
        </w:tc>
        <w:tc>
          <w:tcPr>
            <w:tcW w:w="4913" w:type="dxa"/>
            <w:shd w:val="clear" w:color="auto" w:fill="auto"/>
            <w:vAlign w:val="center"/>
          </w:tcPr>
          <w:p w14:paraId="4B087C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防静电漆涂刷，3遍（1底2面）</w:t>
            </w:r>
          </w:p>
        </w:tc>
        <w:tc>
          <w:tcPr>
            <w:tcW w:w="580" w:type="dxa"/>
            <w:shd w:val="clear" w:color="auto" w:fill="auto"/>
            <w:noWrap/>
            <w:vAlign w:val="center"/>
          </w:tcPr>
          <w:p w14:paraId="566B94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0E1E20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m2</w:t>
            </w:r>
          </w:p>
        </w:tc>
        <w:tc>
          <w:tcPr>
            <w:tcW w:w="987" w:type="dxa"/>
            <w:shd w:val="clear" w:color="auto" w:fill="auto"/>
            <w:noWrap/>
            <w:vAlign w:val="center"/>
          </w:tcPr>
          <w:p w14:paraId="217B770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2A83BE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3808</w:t>
            </w:r>
          </w:p>
        </w:tc>
        <w:tc>
          <w:tcPr>
            <w:tcW w:w="650" w:type="dxa"/>
            <w:shd w:val="clear" w:color="auto" w:fill="auto"/>
            <w:noWrap/>
            <w:vAlign w:val="center"/>
          </w:tcPr>
          <w:p w14:paraId="159B5F6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41E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9F1C5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153192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地面保温</w:t>
            </w:r>
          </w:p>
        </w:tc>
        <w:tc>
          <w:tcPr>
            <w:tcW w:w="4913" w:type="dxa"/>
            <w:shd w:val="clear" w:color="auto" w:fill="auto"/>
            <w:vAlign w:val="center"/>
          </w:tcPr>
          <w:p w14:paraId="2EE6B1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B1级阻燃，橡塑保温板，厚度20mm+1mm铝板覆盖</w:t>
            </w:r>
          </w:p>
        </w:tc>
        <w:tc>
          <w:tcPr>
            <w:tcW w:w="580" w:type="dxa"/>
            <w:shd w:val="clear" w:color="auto" w:fill="auto"/>
            <w:noWrap/>
            <w:vAlign w:val="center"/>
          </w:tcPr>
          <w:p w14:paraId="6066F2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5ADE78A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m2</w:t>
            </w:r>
          </w:p>
        </w:tc>
        <w:tc>
          <w:tcPr>
            <w:tcW w:w="987" w:type="dxa"/>
            <w:shd w:val="clear" w:color="auto" w:fill="auto"/>
            <w:noWrap/>
            <w:vAlign w:val="center"/>
          </w:tcPr>
          <w:p w14:paraId="6D38BE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102</w:t>
            </w:r>
          </w:p>
        </w:tc>
        <w:tc>
          <w:tcPr>
            <w:tcW w:w="1025" w:type="dxa"/>
            <w:shd w:val="clear" w:color="auto" w:fill="auto"/>
            <w:noWrap/>
            <w:vAlign w:val="center"/>
          </w:tcPr>
          <w:p w14:paraId="0A504D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3468</w:t>
            </w:r>
          </w:p>
        </w:tc>
        <w:tc>
          <w:tcPr>
            <w:tcW w:w="650" w:type="dxa"/>
            <w:shd w:val="clear" w:color="auto" w:fill="auto"/>
            <w:noWrap/>
            <w:vAlign w:val="center"/>
          </w:tcPr>
          <w:p w14:paraId="3D6DE3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4D4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2DA91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624F6C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台阶</w:t>
            </w:r>
          </w:p>
        </w:tc>
        <w:tc>
          <w:tcPr>
            <w:tcW w:w="4913" w:type="dxa"/>
            <w:shd w:val="clear" w:color="auto" w:fill="auto"/>
            <w:vAlign w:val="center"/>
          </w:tcPr>
          <w:p w14:paraId="69113B5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4#角铁支架，表面贴抗静电地板，不锈钢包边，步宽300mm</w:t>
            </w:r>
          </w:p>
        </w:tc>
        <w:tc>
          <w:tcPr>
            <w:tcW w:w="580" w:type="dxa"/>
            <w:shd w:val="clear" w:color="auto" w:fill="auto"/>
            <w:noWrap/>
            <w:vAlign w:val="center"/>
          </w:tcPr>
          <w:p w14:paraId="54364A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72F7D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处</w:t>
            </w:r>
          </w:p>
        </w:tc>
        <w:tc>
          <w:tcPr>
            <w:tcW w:w="987" w:type="dxa"/>
            <w:shd w:val="clear" w:color="auto" w:fill="auto"/>
            <w:noWrap/>
            <w:vAlign w:val="center"/>
          </w:tcPr>
          <w:p w14:paraId="65A64D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1025" w:type="dxa"/>
            <w:shd w:val="clear" w:color="auto" w:fill="auto"/>
            <w:noWrap/>
            <w:vAlign w:val="center"/>
          </w:tcPr>
          <w:p w14:paraId="232DAD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650" w:type="dxa"/>
            <w:shd w:val="clear" w:color="auto" w:fill="auto"/>
            <w:noWrap/>
            <w:vAlign w:val="center"/>
          </w:tcPr>
          <w:p w14:paraId="106AB8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83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4" w:hRule="atLeast"/>
          <w:jc w:val="center"/>
        </w:trPr>
        <w:tc>
          <w:tcPr>
            <w:tcW w:w="654" w:type="dxa"/>
            <w:shd w:val="clear" w:color="auto" w:fill="auto"/>
            <w:noWrap/>
            <w:vAlign w:val="center"/>
          </w:tcPr>
          <w:p w14:paraId="03BB43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2CE473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铜排</w:t>
            </w:r>
          </w:p>
        </w:tc>
        <w:tc>
          <w:tcPr>
            <w:tcW w:w="4913" w:type="dxa"/>
            <w:shd w:val="clear" w:color="auto" w:fill="auto"/>
            <w:vAlign w:val="center"/>
          </w:tcPr>
          <w:p w14:paraId="23D3BF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30*3mm</w:t>
            </w:r>
          </w:p>
        </w:tc>
        <w:tc>
          <w:tcPr>
            <w:tcW w:w="580" w:type="dxa"/>
            <w:shd w:val="clear" w:color="auto" w:fill="auto"/>
            <w:noWrap/>
            <w:vAlign w:val="center"/>
          </w:tcPr>
          <w:p w14:paraId="31C160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w:t>
            </w:r>
          </w:p>
        </w:tc>
        <w:tc>
          <w:tcPr>
            <w:tcW w:w="700" w:type="dxa"/>
            <w:shd w:val="clear" w:color="auto" w:fill="auto"/>
            <w:vAlign w:val="center"/>
          </w:tcPr>
          <w:p w14:paraId="248037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6568AC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171</w:t>
            </w:r>
          </w:p>
        </w:tc>
        <w:tc>
          <w:tcPr>
            <w:tcW w:w="1025" w:type="dxa"/>
            <w:shd w:val="clear" w:color="auto" w:fill="auto"/>
            <w:noWrap/>
            <w:vAlign w:val="center"/>
          </w:tcPr>
          <w:p w14:paraId="178761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2052</w:t>
            </w:r>
          </w:p>
        </w:tc>
        <w:tc>
          <w:tcPr>
            <w:tcW w:w="650" w:type="dxa"/>
            <w:shd w:val="clear" w:color="auto" w:fill="auto"/>
            <w:noWrap/>
            <w:vAlign w:val="center"/>
          </w:tcPr>
          <w:p w14:paraId="7CA6EF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1B7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6123D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w:t>
            </w:r>
          </w:p>
        </w:tc>
        <w:tc>
          <w:tcPr>
            <w:tcW w:w="961" w:type="dxa"/>
            <w:shd w:val="clear" w:color="auto" w:fill="auto"/>
            <w:vAlign w:val="center"/>
          </w:tcPr>
          <w:p w14:paraId="15DEB1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75" name="Text_Box_3_SpCnt_19"/>
                      <wp:cNvGraphicFramePr/>
                      <a:graphic xmlns:a="http://schemas.openxmlformats.org/drawingml/2006/main">
                        <a:graphicData uri="http://schemas.microsoft.com/office/word/2010/wordprocessingShape">
                          <wps:wsp>
                            <wps:cNvSpPr>
                              <a:spLocks noChangeArrowheads="1"/>
                            </wps:cNvSpPr>
                            <wps:spPr>
                              <a:xfrm>
                                <a:off x="617855" y="12954000"/>
                                <a:ext cx="154940" cy="198755"/>
                              </a:xfrm>
                              <a:prstGeom prst="rect">
                                <a:avLst/>
                              </a:prstGeom>
                              <a:noFill/>
                              <a:ln w="9525">
                                <a:noFill/>
                                <a:miter lim="800000"/>
                              </a:ln>
                            </wps:spPr>
                            <wps:txbx>
                              <w:txbxContent>
                                <w:p w14:paraId="234DE2E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19"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P9P3XWAAAAAwEAAA8AAAAAAAAA&#10;AQAgAAAAIgAAAGRycy9kb3ducmV2LnhtbFBLAQIUABQAAAAIAIdO4kAVVFJPEwIAAA0EAAAOAAAA&#10;AAAAAAEAIAAAACUBAABkcnMvZTJvRG9jLnhtbFBLBQYAAAAABgAGAFkBAACqBQAAAAA=&#10;">
                      <v:fill on="f" focussize="0,0"/>
                      <v:stroke on="f" miterlimit="8" joinstyle="miter"/>
                      <v:imagedata o:title=""/>
                      <o:lock v:ext="edit" aspectratio="f"/>
                      <v:textbox inset="0.508mm,0.635mm,0mm,0mm" style="mso-fit-shape-to-text:t;">
                        <w:txbxContent>
                          <w:p w14:paraId="234DE2E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76" name="Text_Box_3_SpCnt_20"/>
                      <wp:cNvGraphicFramePr/>
                      <a:graphic xmlns:a="http://schemas.openxmlformats.org/drawingml/2006/main">
                        <a:graphicData uri="http://schemas.microsoft.com/office/word/2010/wordprocessingShape">
                          <wps:wsp>
                            <wps:cNvSpPr>
                              <a:spLocks noChangeArrowheads="1"/>
                            </wps:cNvSpPr>
                            <wps:spPr>
                              <a:xfrm>
                                <a:off x="629285" y="12954000"/>
                                <a:ext cx="156210" cy="198755"/>
                              </a:xfrm>
                              <a:prstGeom prst="rect">
                                <a:avLst/>
                              </a:prstGeom>
                              <a:noFill/>
                              <a:ln w="9525">
                                <a:noFill/>
                                <a:miter lim="800000"/>
                              </a:ln>
                            </wps:spPr>
                            <wps:txbx>
                              <w:txbxContent>
                                <w:p w14:paraId="50E52F2A">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0"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SPqu71AAAAAQBAAAPAAAAAAAAAAEA&#10;IAAAACIAAABkcnMvZG93bnJldi54bWxQSwECFAAUAAAACACHTuJAS0qIHxMCAAANBAAADgAAAAAA&#10;AAABACAAAAAjAQAAZHJzL2Uyb0RvYy54bWxQSwUGAAAAAAYABgBZAQAAqAUAAAAA&#10;">
                      <v:fill on="f" focussize="0,0"/>
                      <v:stroke on="f" miterlimit="8" joinstyle="miter"/>
                      <v:imagedata o:title=""/>
                      <o:lock v:ext="edit" aspectratio="f"/>
                      <v:textbox inset="0.508mm,0.635mm,0mm,0mm" style="mso-fit-shape-to-text:t;">
                        <w:txbxContent>
                          <w:p w14:paraId="50E52F2A">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微孔铝合金吊顶</w:t>
            </w:r>
          </w:p>
        </w:tc>
        <w:tc>
          <w:tcPr>
            <w:tcW w:w="4913" w:type="dxa"/>
            <w:shd w:val="clear" w:color="auto" w:fill="auto"/>
            <w:vAlign w:val="center"/>
          </w:tcPr>
          <w:p w14:paraId="6BDFCD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铝合金材质，白色，600*600*0.8mm，含铝合金收边条</w:t>
            </w:r>
          </w:p>
        </w:tc>
        <w:tc>
          <w:tcPr>
            <w:tcW w:w="580" w:type="dxa"/>
            <w:shd w:val="clear" w:color="auto" w:fill="auto"/>
            <w:noWrap/>
            <w:vAlign w:val="center"/>
          </w:tcPr>
          <w:p w14:paraId="3E7DC13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051682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sz w:val="21"/>
                <w:szCs w:val="21"/>
                <w:lang w:val="en-US" w:eastAsia="zh-CN"/>
              </w:rPr>
              <w:t>m2</w:t>
            </w:r>
          </w:p>
        </w:tc>
        <w:tc>
          <w:tcPr>
            <w:tcW w:w="987" w:type="dxa"/>
            <w:shd w:val="clear" w:color="auto" w:fill="auto"/>
            <w:noWrap/>
            <w:vAlign w:val="center"/>
          </w:tcPr>
          <w:p w14:paraId="089790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w:t>
            </w:r>
          </w:p>
        </w:tc>
        <w:tc>
          <w:tcPr>
            <w:tcW w:w="1025" w:type="dxa"/>
            <w:shd w:val="clear" w:color="auto" w:fill="auto"/>
            <w:noWrap/>
            <w:vAlign w:val="center"/>
          </w:tcPr>
          <w:p w14:paraId="601F12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4080</w:t>
            </w:r>
          </w:p>
        </w:tc>
        <w:tc>
          <w:tcPr>
            <w:tcW w:w="650" w:type="dxa"/>
            <w:shd w:val="clear" w:color="auto" w:fill="auto"/>
            <w:noWrap/>
            <w:vAlign w:val="center"/>
          </w:tcPr>
          <w:p w14:paraId="550D32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F27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50DB5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036429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轻钢龙骨</w:t>
            </w:r>
          </w:p>
        </w:tc>
        <w:tc>
          <w:tcPr>
            <w:tcW w:w="4913" w:type="dxa"/>
            <w:shd w:val="clear" w:color="auto" w:fill="auto"/>
            <w:vAlign w:val="center"/>
          </w:tcPr>
          <w:p w14:paraId="700240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50系列主龙骨，V型辅龙骨，含M8丝杆</w:t>
            </w:r>
          </w:p>
        </w:tc>
        <w:tc>
          <w:tcPr>
            <w:tcW w:w="580" w:type="dxa"/>
            <w:shd w:val="clear" w:color="auto" w:fill="auto"/>
            <w:noWrap/>
            <w:vAlign w:val="center"/>
          </w:tcPr>
          <w:p w14:paraId="5F601D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77" name="Text_Box_3_SpCnt_21"/>
                      <wp:cNvGraphicFramePr/>
                      <a:graphic xmlns:a="http://schemas.openxmlformats.org/drawingml/2006/main">
                        <a:graphicData uri="http://schemas.microsoft.com/office/word/2010/wordprocessingShape">
                          <wps:wsp>
                            <wps:cNvSpPr>
                              <a:spLocks noChangeArrowheads="1"/>
                            </wps:cNvSpPr>
                            <wps:spPr>
                              <a:xfrm>
                                <a:off x="7340600" y="13335000"/>
                                <a:ext cx="156210" cy="198755"/>
                              </a:xfrm>
                              <a:prstGeom prst="rect">
                                <a:avLst/>
                              </a:prstGeom>
                              <a:noFill/>
                              <a:ln w="9525" cmpd="sng">
                                <a:noFill/>
                                <a:miter lim="800000"/>
                              </a:ln>
                            </wps:spPr>
                            <wps:txbx>
                              <w:txbxContent>
                                <w:p w14:paraId="557D0130">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1"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csnqNUAAAADAQAADwAA&#10;AAAAAAABACAAAAAiAAAAZHJzL2Rvd25yZXYueG1sUEsBAhQAFAAAAAgAh07iQIlMWgwZAgAAGQQA&#10;AA4AAAAAAAAAAQAgAAAAJAEAAGRycy9lMm9Eb2MueG1sUEsFBgAAAAAGAAYAWQEAAK8FAAAAAA==&#10;">
                      <v:fill on="f" focussize="0,0"/>
                      <v:stroke on="f" miterlimit="8" joinstyle="miter"/>
                      <v:imagedata o:title=""/>
                      <o:lock v:ext="edit" aspectratio="f"/>
                      <v:textbox inset="0.508mm,0.635mm,0mm,0mm" style="mso-fit-shape-to-text:t;">
                        <w:txbxContent>
                          <w:p w14:paraId="557D0130">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78" name="Text_Box_1_SpCnt_6"/>
                      <wp:cNvGraphicFramePr/>
                      <a:graphic xmlns:a="http://schemas.openxmlformats.org/drawingml/2006/main">
                        <a:graphicData uri="http://schemas.microsoft.com/office/word/2010/wordprocessingShape">
                          <wps:wsp>
                            <wps:cNvSpPr>
                              <a:spLocks noChangeArrowheads="1"/>
                            </wps:cNvSpPr>
                            <wps:spPr>
                              <a:xfrm>
                                <a:off x="7340600" y="13335000"/>
                                <a:ext cx="156210" cy="198755"/>
                              </a:xfrm>
                              <a:prstGeom prst="rect">
                                <a:avLst/>
                              </a:prstGeom>
                              <a:noFill/>
                              <a:ln w="9525">
                                <a:noFill/>
                                <a:miter lim="800000"/>
                              </a:ln>
                            </wps:spPr>
                            <wps:txbx>
                              <w:txbxContent>
                                <w:p w14:paraId="2E706846">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6"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AmgDkcTAgAADQQAAA4AAAAA&#10;AAAAAQAgAAAAJAEAAGRycy9lMm9Eb2MueG1sUEsFBgAAAAAGAAYAWQEAAKkFAAAAAA==&#10;">
                      <v:fill on="f" focussize="0,0"/>
                      <v:stroke on="f" miterlimit="8" joinstyle="miter"/>
                      <v:imagedata o:title=""/>
                      <o:lock v:ext="edit" aspectratio="f"/>
                      <v:textbox inset="0.508mm,0.635mm,0mm,0mm" style="mso-fit-shape-to-text:t;">
                        <w:txbxContent>
                          <w:p w14:paraId="2E706846">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34</w:t>
            </w:r>
          </w:p>
        </w:tc>
        <w:tc>
          <w:tcPr>
            <w:tcW w:w="700" w:type="dxa"/>
            <w:shd w:val="clear" w:color="auto" w:fill="auto"/>
            <w:vAlign w:val="center"/>
          </w:tcPr>
          <w:p w14:paraId="32676D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sz w:val="21"/>
                <w:szCs w:val="21"/>
                <w:lang w:val="en-US" w:eastAsia="zh-CN"/>
              </w:rPr>
              <w:t>m2</w:t>
            </w:r>
          </w:p>
        </w:tc>
        <w:tc>
          <w:tcPr>
            <w:tcW w:w="987" w:type="dxa"/>
            <w:shd w:val="clear" w:color="auto" w:fill="auto"/>
            <w:noWrap/>
            <w:vAlign w:val="center"/>
          </w:tcPr>
          <w:p w14:paraId="0B3A183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67 </w:t>
            </w:r>
          </w:p>
        </w:tc>
        <w:tc>
          <w:tcPr>
            <w:tcW w:w="1025" w:type="dxa"/>
            <w:shd w:val="clear" w:color="auto" w:fill="auto"/>
            <w:noWrap/>
            <w:vAlign w:val="center"/>
          </w:tcPr>
          <w:p w14:paraId="50915C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2278</w:t>
            </w:r>
          </w:p>
        </w:tc>
        <w:tc>
          <w:tcPr>
            <w:tcW w:w="650" w:type="dxa"/>
            <w:shd w:val="clear" w:color="auto" w:fill="auto"/>
            <w:noWrap/>
            <w:vAlign w:val="center"/>
          </w:tcPr>
          <w:p w14:paraId="58E7795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369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 w:hRule="atLeast"/>
          <w:jc w:val="center"/>
        </w:trPr>
        <w:tc>
          <w:tcPr>
            <w:tcW w:w="654" w:type="dxa"/>
            <w:shd w:val="clear" w:color="auto" w:fill="auto"/>
            <w:noWrap/>
            <w:vAlign w:val="center"/>
          </w:tcPr>
          <w:p w14:paraId="24E66F6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10</w:t>
            </w:r>
          </w:p>
        </w:tc>
        <w:tc>
          <w:tcPr>
            <w:tcW w:w="961" w:type="dxa"/>
            <w:shd w:val="clear" w:color="auto" w:fill="auto"/>
            <w:vAlign w:val="center"/>
          </w:tcPr>
          <w:p w14:paraId="76E673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顶面防尘抗静电涂料</w:t>
            </w:r>
          </w:p>
        </w:tc>
        <w:tc>
          <w:tcPr>
            <w:tcW w:w="4913" w:type="dxa"/>
            <w:shd w:val="clear" w:color="auto" w:fill="auto"/>
            <w:vAlign w:val="center"/>
          </w:tcPr>
          <w:p w14:paraId="1954D13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顶面清理抹平，防尘抗静电漆涂刷，3遍（1底2面）</w:t>
            </w:r>
          </w:p>
        </w:tc>
        <w:tc>
          <w:tcPr>
            <w:tcW w:w="580" w:type="dxa"/>
            <w:shd w:val="clear" w:color="auto" w:fill="auto"/>
            <w:noWrap/>
            <w:vAlign w:val="center"/>
          </w:tcPr>
          <w:p w14:paraId="348856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79" name="Text_Box_1_SpCnt_7"/>
                      <wp:cNvGraphicFramePr/>
                      <a:graphic xmlns:a="http://schemas.openxmlformats.org/drawingml/2006/main">
                        <a:graphicData uri="http://schemas.microsoft.com/office/word/2010/wordprocessingShape">
                          <wps:wsp>
                            <wps:cNvSpPr>
                              <a:spLocks noChangeArrowheads="1"/>
                            </wps:cNvSpPr>
                            <wps:spPr>
                              <a:xfrm>
                                <a:off x="7340600" y="13716000"/>
                                <a:ext cx="156210" cy="198755"/>
                              </a:xfrm>
                              <a:prstGeom prst="rect">
                                <a:avLst/>
                              </a:prstGeom>
                              <a:noFill/>
                              <a:ln w="9525">
                                <a:noFill/>
                                <a:miter lim="800000"/>
                              </a:ln>
                            </wps:spPr>
                            <wps:txbx>
                              <w:txbxContent>
                                <w:p w14:paraId="04F7BD8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7"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JmWdqcTAgAADQQAAA4AAAAA&#10;AAAAAQAgAAAAJAEAAGRycy9lMm9Eb2MueG1sUEsFBgAAAAAGAAYAWQEAAKkFAAAAAA==&#10;">
                      <v:fill on="f" focussize="0,0"/>
                      <v:stroke on="f" miterlimit="8" joinstyle="miter"/>
                      <v:imagedata o:title=""/>
                      <o:lock v:ext="edit" aspectratio="f"/>
                      <v:textbox inset="0.508mm,0.635mm,0mm,0mm" style="mso-fit-shape-to-text:t;">
                        <w:txbxContent>
                          <w:p w14:paraId="04F7BD8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80" name="Text_Box_3_SpCnt_22"/>
                      <wp:cNvGraphicFramePr/>
                      <a:graphic xmlns:a="http://schemas.openxmlformats.org/drawingml/2006/main">
                        <a:graphicData uri="http://schemas.microsoft.com/office/word/2010/wordprocessingShape">
                          <wps:wsp>
                            <wps:cNvSpPr>
                              <a:spLocks noChangeArrowheads="1"/>
                            </wps:cNvSpPr>
                            <wps:spPr>
                              <a:xfrm>
                                <a:off x="7340600" y="13716000"/>
                                <a:ext cx="156210" cy="198755"/>
                              </a:xfrm>
                              <a:prstGeom prst="rect">
                                <a:avLst/>
                              </a:prstGeom>
                              <a:noFill/>
                              <a:ln w="9525" cmpd="sng">
                                <a:noFill/>
                                <a:miter lim="800000"/>
                              </a:ln>
                            </wps:spPr>
                            <wps:txbx>
                              <w:txbxContent>
                                <w:p w14:paraId="17EF637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2"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csnqNUAAAADAQAADwAA&#10;AAAAAAABACAAAAAiAAAAZHJzL2Rvd25yZXYueG1sUEsBAhQAFAAAAAgAh07iQDWF12EZAgAAGQQA&#10;AA4AAAAAAAAAAQAgAAAAJAEAAGRycy9lMm9Eb2MueG1sUEsFBgAAAAAGAAYAWQEAAK8FAAAAAA==&#10;">
                      <v:fill on="f" focussize="0,0"/>
                      <v:stroke on="f" miterlimit="8" joinstyle="miter"/>
                      <v:imagedata o:title=""/>
                      <o:lock v:ext="edit" aspectratio="f"/>
                      <v:textbox inset="0.508mm,0.635mm,0mm,0mm" style="mso-fit-shape-to-text:t;">
                        <w:txbxContent>
                          <w:p w14:paraId="17EF637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34</w:t>
            </w:r>
          </w:p>
        </w:tc>
        <w:tc>
          <w:tcPr>
            <w:tcW w:w="700" w:type="dxa"/>
            <w:shd w:val="clear" w:color="auto" w:fill="auto"/>
            <w:vAlign w:val="center"/>
          </w:tcPr>
          <w:p w14:paraId="55B9CB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sz w:val="21"/>
                <w:szCs w:val="21"/>
                <w:lang w:val="en-US" w:eastAsia="zh-CN"/>
              </w:rPr>
              <w:t>m2</w:t>
            </w:r>
          </w:p>
        </w:tc>
        <w:tc>
          <w:tcPr>
            <w:tcW w:w="987" w:type="dxa"/>
            <w:shd w:val="clear" w:color="auto" w:fill="auto"/>
            <w:noWrap/>
            <w:vAlign w:val="center"/>
          </w:tcPr>
          <w:p w14:paraId="3A9CC1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1025" w:type="dxa"/>
            <w:shd w:val="clear" w:color="auto" w:fill="auto"/>
            <w:noWrap/>
            <w:vAlign w:val="center"/>
          </w:tcPr>
          <w:p w14:paraId="76640D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2278</w:t>
            </w:r>
          </w:p>
        </w:tc>
        <w:tc>
          <w:tcPr>
            <w:tcW w:w="650" w:type="dxa"/>
            <w:shd w:val="clear" w:color="auto" w:fill="auto"/>
            <w:noWrap/>
            <w:vAlign w:val="center"/>
          </w:tcPr>
          <w:p w14:paraId="6ADDA0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F35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BFF4D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w:t>
            </w:r>
          </w:p>
        </w:tc>
        <w:tc>
          <w:tcPr>
            <w:tcW w:w="961" w:type="dxa"/>
            <w:shd w:val="clear" w:color="auto" w:fill="auto"/>
            <w:vAlign w:val="center"/>
          </w:tcPr>
          <w:p w14:paraId="1D1118B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双开钢质防火门</w:t>
            </w:r>
          </w:p>
        </w:tc>
        <w:tc>
          <w:tcPr>
            <w:tcW w:w="4913" w:type="dxa"/>
            <w:shd w:val="clear" w:color="auto" w:fill="auto"/>
            <w:vAlign w:val="center"/>
          </w:tcPr>
          <w:p w14:paraId="664DE8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钢制甲级防火门，尺寸：1500*2200mm，含门锁、闭门器等五金配件</w:t>
            </w:r>
          </w:p>
        </w:tc>
        <w:tc>
          <w:tcPr>
            <w:tcW w:w="580" w:type="dxa"/>
            <w:shd w:val="clear" w:color="auto" w:fill="auto"/>
            <w:noWrap/>
            <w:vAlign w:val="center"/>
          </w:tcPr>
          <w:p w14:paraId="6A7B5D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CF3F29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樘</w:t>
            </w:r>
          </w:p>
        </w:tc>
        <w:tc>
          <w:tcPr>
            <w:tcW w:w="987" w:type="dxa"/>
            <w:shd w:val="clear" w:color="auto" w:fill="auto"/>
            <w:noWrap/>
            <w:vAlign w:val="center"/>
          </w:tcPr>
          <w:p w14:paraId="368F09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7150 </w:t>
            </w:r>
          </w:p>
        </w:tc>
        <w:tc>
          <w:tcPr>
            <w:tcW w:w="1025" w:type="dxa"/>
            <w:shd w:val="clear" w:color="auto" w:fill="auto"/>
            <w:noWrap/>
            <w:vAlign w:val="center"/>
          </w:tcPr>
          <w:p w14:paraId="418E5C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7150</w:t>
            </w:r>
          </w:p>
        </w:tc>
        <w:tc>
          <w:tcPr>
            <w:tcW w:w="650" w:type="dxa"/>
            <w:shd w:val="clear" w:color="auto" w:fill="auto"/>
            <w:noWrap/>
            <w:vAlign w:val="center"/>
          </w:tcPr>
          <w:p w14:paraId="01FBE0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680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7785B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w:t>
            </w:r>
          </w:p>
        </w:tc>
        <w:tc>
          <w:tcPr>
            <w:tcW w:w="961" w:type="dxa"/>
            <w:shd w:val="clear" w:color="auto" w:fill="auto"/>
            <w:vAlign w:val="center"/>
          </w:tcPr>
          <w:p w14:paraId="707DCF7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地板吸盘</w:t>
            </w:r>
          </w:p>
        </w:tc>
        <w:tc>
          <w:tcPr>
            <w:tcW w:w="4913" w:type="dxa"/>
            <w:shd w:val="clear" w:color="auto" w:fill="auto"/>
            <w:vAlign w:val="center"/>
          </w:tcPr>
          <w:p w14:paraId="3B4BD3B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单盘，最大吸力≥50KG</w:t>
            </w:r>
          </w:p>
        </w:tc>
        <w:tc>
          <w:tcPr>
            <w:tcW w:w="580" w:type="dxa"/>
            <w:shd w:val="clear" w:color="auto" w:fill="auto"/>
            <w:noWrap/>
            <w:vAlign w:val="center"/>
          </w:tcPr>
          <w:p w14:paraId="070516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27932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0F3ADEF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40F5FE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650" w:type="dxa"/>
            <w:shd w:val="clear" w:color="auto" w:fill="auto"/>
            <w:noWrap/>
            <w:vAlign w:val="center"/>
          </w:tcPr>
          <w:p w14:paraId="62B307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242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43DD5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w:t>
            </w:r>
          </w:p>
        </w:tc>
        <w:tc>
          <w:tcPr>
            <w:tcW w:w="961" w:type="dxa"/>
            <w:shd w:val="clear" w:color="auto" w:fill="auto"/>
            <w:vAlign w:val="center"/>
          </w:tcPr>
          <w:p w14:paraId="5656BE7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空调排水、防水设施</w:t>
            </w:r>
          </w:p>
        </w:tc>
        <w:tc>
          <w:tcPr>
            <w:tcW w:w="4913" w:type="dxa"/>
            <w:shd w:val="clear" w:color="auto" w:fill="auto"/>
            <w:vAlign w:val="center"/>
          </w:tcPr>
          <w:p w14:paraId="0042DD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挡水坝100（宽）*100（高）mm，排水管PPR50，空调取水管PPR25</w:t>
            </w:r>
          </w:p>
        </w:tc>
        <w:tc>
          <w:tcPr>
            <w:tcW w:w="580" w:type="dxa"/>
            <w:shd w:val="clear" w:color="auto" w:fill="auto"/>
            <w:noWrap/>
            <w:vAlign w:val="center"/>
          </w:tcPr>
          <w:p w14:paraId="7B698C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BA2E3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0EFFEF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1793 </w:t>
            </w:r>
          </w:p>
        </w:tc>
        <w:tc>
          <w:tcPr>
            <w:tcW w:w="1025" w:type="dxa"/>
            <w:shd w:val="clear" w:color="auto" w:fill="auto"/>
            <w:noWrap/>
            <w:vAlign w:val="center"/>
          </w:tcPr>
          <w:p w14:paraId="575F91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1793</w:t>
            </w:r>
          </w:p>
        </w:tc>
        <w:tc>
          <w:tcPr>
            <w:tcW w:w="650" w:type="dxa"/>
            <w:shd w:val="clear" w:color="auto" w:fill="auto"/>
            <w:noWrap/>
            <w:vAlign w:val="center"/>
          </w:tcPr>
          <w:p w14:paraId="39AD087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527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E1360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w:t>
            </w:r>
          </w:p>
        </w:tc>
        <w:tc>
          <w:tcPr>
            <w:tcW w:w="961" w:type="dxa"/>
            <w:shd w:val="clear" w:color="auto" w:fill="auto"/>
            <w:vAlign w:val="center"/>
          </w:tcPr>
          <w:p w14:paraId="521EE9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设备底座</w:t>
            </w:r>
          </w:p>
        </w:tc>
        <w:tc>
          <w:tcPr>
            <w:tcW w:w="4913" w:type="dxa"/>
            <w:shd w:val="clear" w:color="auto" w:fill="auto"/>
            <w:vAlign w:val="center"/>
          </w:tcPr>
          <w:p w14:paraId="24698E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机柜、列头柜、ODF等设备底座，8#槽钢制作，刷防锈漆，具体尺寸按现场实际情况确定</w:t>
            </w:r>
          </w:p>
        </w:tc>
        <w:tc>
          <w:tcPr>
            <w:tcW w:w="580" w:type="dxa"/>
            <w:shd w:val="clear" w:color="auto" w:fill="auto"/>
            <w:noWrap/>
            <w:vAlign w:val="center"/>
          </w:tcPr>
          <w:p w14:paraId="3E4EBC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68DAE8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0A3264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968</w:t>
            </w:r>
          </w:p>
        </w:tc>
        <w:tc>
          <w:tcPr>
            <w:tcW w:w="1025" w:type="dxa"/>
            <w:shd w:val="clear" w:color="auto" w:fill="auto"/>
            <w:noWrap/>
            <w:vAlign w:val="center"/>
          </w:tcPr>
          <w:p w14:paraId="19C645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3872</w:t>
            </w:r>
          </w:p>
        </w:tc>
        <w:tc>
          <w:tcPr>
            <w:tcW w:w="650" w:type="dxa"/>
            <w:shd w:val="clear" w:color="auto" w:fill="auto"/>
            <w:noWrap/>
            <w:vAlign w:val="center"/>
          </w:tcPr>
          <w:p w14:paraId="458A51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79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5DE39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w:t>
            </w:r>
          </w:p>
        </w:tc>
        <w:tc>
          <w:tcPr>
            <w:tcW w:w="961" w:type="dxa"/>
            <w:shd w:val="clear" w:color="auto" w:fill="auto"/>
            <w:vAlign w:val="center"/>
          </w:tcPr>
          <w:p w14:paraId="0811EA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精密空调室外机底座</w:t>
            </w:r>
          </w:p>
        </w:tc>
        <w:tc>
          <w:tcPr>
            <w:tcW w:w="4913" w:type="dxa"/>
            <w:shd w:val="clear" w:color="auto" w:fill="auto"/>
            <w:vAlign w:val="center"/>
          </w:tcPr>
          <w:p w14:paraId="7A510C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8#槽钢、5#角铁制作，刷防锈漆，具体尺寸按现场实际情况确定,含室外机底座</w:t>
            </w:r>
          </w:p>
        </w:tc>
        <w:tc>
          <w:tcPr>
            <w:tcW w:w="580" w:type="dxa"/>
            <w:shd w:val="clear" w:color="auto" w:fill="auto"/>
            <w:noWrap/>
            <w:vAlign w:val="center"/>
          </w:tcPr>
          <w:p w14:paraId="0AC360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3706C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0C7515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1025" w:type="dxa"/>
            <w:shd w:val="clear" w:color="auto" w:fill="auto"/>
            <w:noWrap/>
            <w:vAlign w:val="center"/>
          </w:tcPr>
          <w:p w14:paraId="0CB77D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650" w:type="dxa"/>
            <w:shd w:val="clear" w:color="auto" w:fill="auto"/>
            <w:noWrap/>
            <w:vAlign w:val="center"/>
          </w:tcPr>
          <w:p w14:paraId="1BE15E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05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82D95F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16</w:t>
            </w:r>
          </w:p>
        </w:tc>
        <w:tc>
          <w:tcPr>
            <w:tcW w:w="961" w:type="dxa"/>
            <w:shd w:val="clear" w:color="auto" w:fill="auto"/>
            <w:vAlign w:val="center"/>
          </w:tcPr>
          <w:p w14:paraId="156BFB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原设备拆除</w:t>
            </w:r>
          </w:p>
        </w:tc>
        <w:tc>
          <w:tcPr>
            <w:tcW w:w="4913" w:type="dxa"/>
            <w:shd w:val="clear" w:color="auto" w:fill="auto"/>
            <w:vAlign w:val="center"/>
          </w:tcPr>
          <w:p w14:paraId="1B55DA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原机房吊顶拆除等</w:t>
            </w:r>
          </w:p>
        </w:tc>
        <w:tc>
          <w:tcPr>
            <w:tcW w:w="580" w:type="dxa"/>
            <w:shd w:val="clear" w:color="auto" w:fill="auto"/>
            <w:noWrap/>
            <w:vAlign w:val="center"/>
          </w:tcPr>
          <w:p w14:paraId="0ECF53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EAC7E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5A2C8D0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7270</w:t>
            </w:r>
          </w:p>
        </w:tc>
        <w:tc>
          <w:tcPr>
            <w:tcW w:w="1025" w:type="dxa"/>
            <w:shd w:val="clear" w:color="auto" w:fill="auto"/>
            <w:noWrap/>
            <w:vAlign w:val="center"/>
          </w:tcPr>
          <w:p w14:paraId="566E66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7270</w:t>
            </w:r>
          </w:p>
        </w:tc>
        <w:tc>
          <w:tcPr>
            <w:tcW w:w="650" w:type="dxa"/>
            <w:shd w:val="clear" w:color="auto" w:fill="auto"/>
            <w:noWrap/>
            <w:vAlign w:val="center"/>
          </w:tcPr>
          <w:p w14:paraId="660DF40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913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6FAE26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17</w:t>
            </w:r>
          </w:p>
        </w:tc>
        <w:tc>
          <w:tcPr>
            <w:tcW w:w="961" w:type="dxa"/>
            <w:shd w:val="clear" w:color="auto" w:fill="auto"/>
            <w:vAlign w:val="center"/>
          </w:tcPr>
          <w:p w14:paraId="1DCD79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室外机吊装</w:t>
            </w:r>
          </w:p>
        </w:tc>
        <w:tc>
          <w:tcPr>
            <w:tcW w:w="4913" w:type="dxa"/>
            <w:shd w:val="clear" w:color="auto" w:fill="auto"/>
            <w:vAlign w:val="center"/>
          </w:tcPr>
          <w:p w14:paraId="3F98FD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1台空调室外机吊装至3楼楼顶</w:t>
            </w:r>
          </w:p>
        </w:tc>
        <w:tc>
          <w:tcPr>
            <w:tcW w:w="580" w:type="dxa"/>
            <w:shd w:val="clear" w:color="auto" w:fill="auto"/>
            <w:noWrap/>
            <w:vAlign w:val="center"/>
          </w:tcPr>
          <w:p w14:paraId="1A3160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27C904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7284D7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3729</w:t>
            </w:r>
          </w:p>
        </w:tc>
        <w:tc>
          <w:tcPr>
            <w:tcW w:w="1025" w:type="dxa"/>
            <w:shd w:val="clear" w:color="auto" w:fill="auto"/>
            <w:noWrap/>
            <w:vAlign w:val="center"/>
          </w:tcPr>
          <w:p w14:paraId="432C86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3729</w:t>
            </w:r>
          </w:p>
        </w:tc>
        <w:tc>
          <w:tcPr>
            <w:tcW w:w="650" w:type="dxa"/>
            <w:shd w:val="clear" w:color="auto" w:fill="auto"/>
            <w:noWrap/>
            <w:vAlign w:val="center"/>
          </w:tcPr>
          <w:p w14:paraId="2E5138A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FE0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54" w:type="dxa"/>
            <w:shd w:val="clear" w:color="auto" w:fill="auto"/>
            <w:noWrap/>
            <w:vAlign w:val="center"/>
          </w:tcPr>
          <w:p w14:paraId="187D609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18</w:t>
            </w:r>
          </w:p>
        </w:tc>
        <w:tc>
          <w:tcPr>
            <w:tcW w:w="961" w:type="dxa"/>
            <w:shd w:val="clear" w:color="auto" w:fill="auto"/>
            <w:vAlign w:val="center"/>
          </w:tcPr>
          <w:p w14:paraId="5BC3F2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设备柜</w:t>
            </w:r>
          </w:p>
        </w:tc>
        <w:tc>
          <w:tcPr>
            <w:tcW w:w="4913" w:type="dxa"/>
            <w:shd w:val="clear" w:color="auto" w:fill="auto"/>
            <w:vAlign w:val="center"/>
          </w:tcPr>
          <w:p w14:paraId="6B8600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42U金盾设备柜</w:t>
            </w:r>
          </w:p>
        </w:tc>
        <w:tc>
          <w:tcPr>
            <w:tcW w:w="580" w:type="dxa"/>
            <w:shd w:val="clear" w:color="auto" w:fill="auto"/>
            <w:noWrap/>
            <w:vAlign w:val="center"/>
          </w:tcPr>
          <w:p w14:paraId="1F6CD5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4CD815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156A09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3586</w:t>
            </w:r>
          </w:p>
        </w:tc>
        <w:tc>
          <w:tcPr>
            <w:tcW w:w="1025" w:type="dxa"/>
            <w:shd w:val="clear" w:color="auto" w:fill="auto"/>
            <w:noWrap/>
            <w:vAlign w:val="center"/>
          </w:tcPr>
          <w:p w14:paraId="1624C3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10758</w:t>
            </w:r>
          </w:p>
        </w:tc>
        <w:tc>
          <w:tcPr>
            <w:tcW w:w="650" w:type="dxa"/>
            <w:shd w:val="clear" w:color="auto" w:fill="auto"/>
            <w:noWrap/>
            <w:vAlign w:val="center"/>
          </w:tcPr>
          <w:p w14:paraId="16355BF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DBA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6B3E46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19</w:t>
            </w:r>
          </w:p>
        </w:tc>
        <w:tc>
          <w:tcPr>
            <w:tcW w:w="961" w:type="dxa"/>
            <w:shd w:val="clear" w:color="auto" w:fill="auto"/>
            <w:vAlign w:val="center"/>
          </w:tcPr>
          <w:p w14:paraId="1034B8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83" name="Text_Box_3_SpCnt_25"/>
                      <wp:cNvGraphicFramePr/>
                      <a:graphic xmlns:a="http://schemas.openxmlformats.org/drawingml/2006/main">
                        <a:graphicData uri="http://schemas.microsoft.com/office/word/2010/wordprocessingShape">
                          <wps:wsp>
                            <wps:cNvSpPr>
                              <a:spLocks noChangeArrowheads="1"/>
                            </wps:cNvSpPr>
                            <wps:spPr>
                              <a:xfrm>
                                <a:off x="617855" y="17907000"/>
                                <a:ext cx="154940" cy="198755"/>
                              </a:xfrm>
                              <a:prstGeom prst="rect">
                                <a:avLst/>
                              </a:prstGeom>
                              <a:noFill/>
                              <a:ln w="9525">
                                <a:noFill/>
                                <a:miter lim="800000"/>
                              </a:ln>
                            </wps:spPr>
                            <wps:txbx>
                              <w:txbxContent>
                                <w:p w14:paraId="3CC1248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5"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T911gAAAAMBAAAPAAAAAAAAAAEA&#10;IAAAACIAAABkcnMvZG93bnJldi54bWxQSwECFAAUAAAACACHTuJAn6n1fRECAAANBAAADgAAAAAA&#10;AAABACAAAAAlAQAAZHJzL2Uyb0RvYy54bWxQSwUGAAAAAAYABgBZAQAAqAUAAAAA&#10;">
                      <v:fill on="f" focussize="0,0"/>
                      <v:stroke on="f" miterlimit="8" joinstyle="miter"/>
                      <v:imagedata o:title=""/>
                      <o:lock v:ext="edit" aspectratio="f"/>
                      <v:textbox inset="0.508mm,0.635mm,0mm,0mm" style="mso-fit-shape-to-text:t;">
                        <w:txbxContent>
                          <w:p w14:paraId="3CC1248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84" name="Text_Box_3_SpCnt_26"/>
                      <wp:cNvGraphicFramePr/>
                      <a:graphic xmlns:a="http://schemas.openxmlformats.org/drawingml/2006/main">
                        <a:graphicData uri="http://schemas.microsoft.com/office/word/2010/wordprocessingShape">
                          <wps:wsp>
                            <wps:cNvSpPr>
                              <a:spLocks noChangeArrowheads="1"/>
                            </wps:cNvSpPr>
                            <wps:spPr>
                              <a:xfrm>
                                <a:off x="629285" y="17907000"/>
                                <a:ext cx="156210" cy="198755"/>
                              </a:xfrm>
                              <a:prstGeom prst="rect">
                                <a:avLst/>
                              </a:prstGeom>
                              <a:noFill/>
                              <a:ln w="9525">
                                <a:noFill/>
                                <a:miter lim="800000"/>
                              </a:ln>
                            </wps:spPr>
                            <wps:txbx>
                              <w:txbxContent>
                                <w:p w14:paraId="3EE1C98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6"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j6ru9QAAAAEAQAADwAAAAAAAAAB&#10;ACAAAAAiAAAAZHJzL2Rvd25yZXYueG1sUEsBAhQAFAAAAAgAh07iQKkCpXAUAgAADQQAAA4AAAAA&#10;AAAAAQAgAAAAIwEAAGRycy9lMm9Eb2MueG1sUEsFBgAAAAAGAAYAWQEAAKkFAAAAAA==&#10;">
                      <v:fill on="f" focussize="0,0"/>
                      <v:stroke on="f" miterlimit="8" joinstyle="miter"/>
                      <v:imagedata o:title=""/>
                      <o:lock v:ext="edit" aspectratio="f"/>
                      <v:textbox inset="0.508mm,0.635mm,0mm,0mm" style="mso-fit-shape-to-text:t;">
                        <w:txbxContent>
                          <w:p w14:paraId="3EE1C98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安装辅材</w:t>
            </w:r>
          </w:p>
        </w:tc>
        <w:tc>
          <w:tcPr>
            <w:tcW w:w="4913" w:type="dxa"/>
            <w:shd w:val="clear" w:color="auto" w:fill="auto"/>
            <w:vAlign w:val="center"/>
          </w:tcPr>
          <w:p w14:paraId="527A46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装修配套辅材</w:t>
            </w:r>
          </w:p>
        </w:tc>
        <w:tc>
          <w:tcPr>
            <w:tcW w:w="580" w:type="dxa"/>
            <w:shd w:val="clear" w:color="auto" w:fill="auto"/>
            <w:noWrap/>
            <w:vAlign w:val="center"/>
          </w:tcPr>
          <w:p w14:paraId="0F399C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D62F9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65F7FB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4477</w:t>
            </w:r>
          </w:p>
        </w:tc>
        <w:tc>
          <w:tcPr>
            <w:tcW w:w="1025" w:type="dxa"/>
            <w:shd w:val="clear" w:color="auto" w:fill="auto"/>
            <w:noWrap/>
            <w:vAlign w:val="center"/>
          </w:tcPr>
          <w:p w14:paraId="690F5A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4477</w:t>
            </w:r>
          </w:p>
        </w:tc>
        <w:tc>
          <w:tcPr>
            <w:tcW w:w="650" w:type="dxa"/>
            <w:shd w:val="clear" w:color="auto" w:fill="auto"/>
            <w:noWrap/>
            <w:vAlign w:val="center"/>
          </w:tcPr>
          <w:p w14:paraId="1032988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6F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F58318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20</w:t>
            </w:r>
          </w:p>
        </w:tc>
        <w:tc>
          <w:tcPr>
            <w:tcW w:w="961" w:type="dxa"/>
            <w:shd w:val="clear" w:color="auto" w:fill="auto"/>
            <w:vAlign w:val="center"/>
          </w:tcPr>
          <w:p w14:paraId="26EE63A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38C2BB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w:t>
            </w:r>
          </w:p>
        </w:tc>
        <w:tc>
          <w:tcPr>
            <w:tcW w:w="580" w:type="dxa"/>
            <w:shd w:val="clear" w:color="auto" w:fill="auto"/>
            <w:noWrap/>
            <w:vAlign w:val="center"/>
          </w:tcPr>
          <w:p w14:paraId="0C06F3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D8139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0D56E5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23800</w:t>
            </w:r>
          </w:p>
        </w:tc>
        <w:tc>
          <w:tcPr>
            <w:tcW w:w="1025" w:type="dxa"/>
            <w:shd w:val="clear" w:color="auto" w:fill="auto"/>
            <w:noWrap/>
            <w:vAlign w:val="center"/>
          </w:tcPr>
          <w:p w14:paraId="611B42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23800</w:t>
            </w:r>
          </w:p>
        </w:tc>
        <w:tc>
          <w:tcPr>
            <w:tcW w:w="650" w:type="dxa"/>
            <w:shd w:val="clear" w:color="auto" w:fill="auto"/>
            <w:noWrap/>
            <w:vAlign w:val="center"/>
          </w:tcPr>
          <w:p w14:paraId="5A68A9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E99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9" w:hRule="atLeast"/>
          <w:jc w:val="center"/>
        </w:trPr>
        <w:tc>
          <w:tcPr>
            <w:tcW w:w="654" w:type="dxa"/>
            <w:shd w:val="clear" w:color="auto" w:fill="auto"/>
            <w:noWrap/>
            <w:vAlign w:val="center"/>
          </w:tcPr>
          <w:p w14:paraId="5905DD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08B260D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43E397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noWrap/>
            <w:vAlign w:val="center"/>
          </w:tcPr>
          <w:p w14:paraId="4A8C11D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690106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noWrap/>
            <w:vAlign w:val="center"/>
          </w:tcPr>
          <w:p w14:paraId="6BF2CB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467EF4C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103543</w:t>
            </w:r>
          </w:p>
        </w:tc>
        <w:tc>
          <w:tcPr>
            <w:tcW w:w="650" w:type="dxa"/>
            <w:shd w:val="clear" w:color="auto" w:fill="auto"/>
            <w:noWrap/>
            <w:vAlign w:val="center"/>
          </w:tcPr>
          <w:p w14:paraId="063B83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12B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0" w:hRule="atLeast"/>
          <w:jc w:val="center"/>
        </w:trPr>
        <w:tc>
          <w:tcPr>
            <w:tcW w:w="10470" w:type="dxa"/>
            <w:gridSpan w:val="8"/>
            <w:shd w:val="clear" w:color="auto" w:fill="auto"/>
            <w:noWrap/>
            <w:vAlign w:val="center"/>
          </w:tcPr>
          <w:p w14:paraId="7F10E88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五、机房供配电系统</w:t>
            </w:r>
          </w:p>
        </w:tc>
      </w:tr>
      <w:tr w14:paraId="0A2E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6D3FB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21CB90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市电输入柜-ATS</w:t>
            </w:r>
          </w:p>
        </w:tc>
        <w:tc>
          <w:tcPr>
            <w:tcW w:w="4913" w:type="dxa"/>
            <w:shd w:val="clear" w:color="auto" w:fill="auto"/>
            <w:vAlign w:val="center"/>
          </w:tcPr>
          <w:p w14:paraId="45538E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输入：300A/ATS</w:t>
            </w:r>
            <w:r>
              <w:rPr>
                <w:rFonts w:hint="eastAsia"/>
                <w:sz w:val="21"/>
                <w:szCs w:val="21"/>
                <w:lang w:val="en-US" w:eastAsia="zh-CN"/>
              </w:rPr>
              <w:br w:type="textWrapping"/>
            </w:r>
            <w:r>
              <w:rPr>
                <w:rFonts w:hint="eastAsia"/>
                <w:sz w:val="21"/>
                <w:szCs w:val="21"/>
                <w:lang w:val="en-US" w:eastAsia="zh-CN"/>
              </w:rPr>
              <w:t>输出：≥185A/3P*2（UPS主机）+63A/3P*3（空调+大屏）+32A/P*2（监控室）；智能电表，主路监控，配套防雷器，RS485动环通讯接口；施耐德、ABB或西门子元器件，柜体定制，含ATS开关</w:t>
            </w:r>
          </w:p>
        </w:tc>
        <w:tc>
          <w:tcPr>
            <w:tcW w:w="580" w:type="dxa"/>
            <w:shd w:val="clear" w:color="auto" w:fill="auto"/>
            <w:vAlign w:val="center"/>
          </w:tcPr>
          <w:p w14:paraId="006065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71BC92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23A12B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3927</w:t>
            </w:r>
          </w:p>
        </w:tc>
        <w:tc>
          <w:tcPr>
            <w:tcW w:w="1025" w:type="dxa"/>
            <w:shd w:val="clear" w:color="auto" w:fill="auto"/>
            <w:noWrap/>
            <w:vAlign w:val="center"/>
          </w:tcPr>
          <w:p w14:paraId="5FB1B3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3927</w:t>
            </w:r>
          </w:p>
        </w:tc>
        <w:tc>
          <w:tcPr>
            <w:tcW w:w="650" w:type="dxa"/>
            <w:shd w:val="clear" w:color="auto" w:fill="auto"/>
            <w:noWrap/>
            <w:vAlign w:val="center"/>
          </w:tcPr>
          <w:p w14:paraId="1F2507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EE2B0BC">
        <w:tblPrEx>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0CF278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89" name="Text_Box_1_SpCnt_8"/>
                      <wp:cNvGraphicFramePr/>
                      <a:graphic xmlns:a="http://schemas.openxmlformats.org/drawingml/2006/main">
                        <a:graphicData uri="http://schemas.microsoft.com/office/word/2010/wordprocessingShape">
                          <wps:wsp>
                            <wps:cNvSpPr>
                              <a:spLocks noChangeArrowheads="1"/>
                            </wps:cNvSpPr>
                            <wps:spPr>
                              <a:xfrm>
                                <a:off x="0" y="20193000"/>
                                <a:ext cx="156210" cy="198755"/>
                              </a:xfrm>
                              <a:prstGeom prst="rect">
                                <a:avLst/>
                              </a:prstGeom>
                              <a:noFill/>
                              <a:ln w="9525">
                                <a:noFill/>
                                <a:miter lim="800000"/>
                              </a:ln>
                            </wps:spPr>
                            <wps:txbx>
                              <w:txbxContent>
                                <w:p w14:paraId="138EF73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8"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csnqNUAAAADAQAADwAAAAAAAAABACAAAAAi&#10;AAAAZHJzL2Rvd25yZXYueG1sUEsBAhQAFAAAAAgAh07iQCkszEENAgAABwQAAA4AAAAAAAAAAQAg&#10;AAAAJAEAAGRycy9lMm9Eb2MueG1sUEsFBgAAAAAGAAYAWQEAAKMFAAAAAA==&#10;">
                      <v:fill on="f" focussize="0,0"/>
                      <v:stroke on="f" miterlimit="8" joinstyle="miter"/>
                      <v:imagedata o:title=""/>
                      <o:lock v:ext="edit" aspectratio="f"/>
                      <v:textbox inset="0.508mm,0.635mm,0mm,0mm" style="mso-fit-shape-to-text:t;">
                        <w:txbxContent>
                          <w:p w14:paraId="138EF73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90" name="Text_Box_3_SpCnt_31"/>
                      <wp:cNvGraphicFramePr/>
                      <a:graphic xmlns:a="http://schemas.openxmlformats.org/drawingml/2006/main">
                        <a:graphicData uri="http://schemas.microsoft.com/office/word/2010/wordprocessingShape">
                          <wps:wsp>
                            <wps:cNvSpPr>
                              <a:spLocks noChangeArrowheads="1"/>
                            </wps:cNvSpPr>
                            <wps:spPr>
                              <a:xfrm>
                                <a:off x="0" y="20193000"/>
                                <a:ext cx="156210" cy="198755"/>
                              </a:xfrm>
                              <a:prstGeom prst="rect">
                                <a:avLst/>
                              </a:prstGeom>
                              <a:noFill/>
                              <a:ln w="9525" cmpd="sng">
                                <a:noFill/>
                                <a:miter lim="800000"/>
                              </a:ln>
                            </wps:spPr>
                            <wps:txbx>
                              <w:txbxContent>
                                <w:p w14:paraId="7C31818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1"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HLJ6jVAAAAAwEAAA8AAAAAAAAA&#10;AQAgAAAAIgAAAGRycy9kb3ducmV2LnhtbFBLAQIUABQAAAAIAIdO4kAmb3SsFAIAABMEAAAOAAAA&#10;AAAAAAEAIAAAACQBAABkcnMvZTJvRG9jLnhtbFBLBQYAAAAABgAGAFkBAACqBQAAAAA=&#10;">
                      <v:fill on="f" focussize="0,0"/>
                      <v:stroke on="f" miterlimit="8" joinstyle="miter"/>
                      <v:imagedata o:title=""/>
                      <o:lock v:ext="edit" aspectratio="f"/>
                      <v:textbox inset="0.508mm,0.635mm,0mm,0mm" style="mso-fit-shape-to-text:t;">
                        <w:txbxContent>
                          <w:p w14:paraId="7C31818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891" name="Text_Box_3_SpCnt_32"/>
                      <wp:cNvGraphicFramePr/>
                      <a:graphic xmlns:a="http://schemas.openxmlformats.org/drawingml/2006/main">
                        <a:graphicData uri="http://schemas.microsoft.com/office/word/2010/wordprocessingShape">
                          <wps:wsp>
                            <wps:cNvSpPr>
                              <a:spLocks noChangeArrowheads="1"/>
                            </wps:cNvSpPr>
                            <wps:spPr>
                              <a:xfrm>
                                <a:off x="11430" y="20193000"/>
                                <a:ext cx="213360" cy="198755"/>
                              </a:xfrm>
                              <a:prstGeom prst="rect">
                                <a:avLst/>
                              </a:prstGeom>
                              <a:noFill/>
                              <a:ln w="9525">
                                <a:noFill/>
                                <a:miter lim="800000"/>
                              </a:ln>
                            </wps:spPr>
                            <wps:txbx>
                              <w:txbxContent>
                                <w:p w14:paraId="7210E5F0"/>
                              </w:txbxContent>
                            </wps:txbx>
                            <wps:bodyPr wrap="none" lIns="18288" tIns="22860" rIns="0" bIns="0" anchor="t" upright="1">
                              <a:spAutoFit/>
                            </wps:bodyPr>
                          </wps:wsp>
                        </a:graphicData>
                      </a:graphic>
                    </wp:anchor>
                  </w:drawing>
                </mc:Choice>
                <mc:Fallback>
                  <w:pict>
                    <v:rect id="Text_Box_3_SpCnt_32"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4HLa1QAAAAQBAAAPAAAAAAAAAAEA&#10;IAAAACIAAABkcnMvZG93bnJldi54bWxQSwECFAAUAAAACACHTuJAX8DeJhICAAAMBAAADgAAAAAA&#10;AAABACAAAAAkAQAAZHJzL2Uyb0RvYy54bWxQSwUGAAAAAAYABgBZAQAAqAUAAAAA&#10;">
                      <v:fill on="f" focussize="0,0"/>
                      <v:stroke on="f" miterlimit="8" joinstyle="miter"/>
                      <v:imagedata o:title=""/>
                      <o:lock v:ext="edit" aspectratio="f"/>
                      <v:textbox inset="0.508mm,0.635mm,0mm,0mm" style="mso-fit-shape-to-text:t;">
                        <w:txbxContent>
                          <w:p w14:paraId="7210E5F0"/>
                        </w:txbxContent>
                      </v:textbox>
                    </v:rect>
                  </w:pict>
                </mc:Fallback>
              </mc:AlternateContent>
            </w:r>
            <w:r>
              <w:rPr>
                <w:rFonts w:hint="eastAsia"/>
                <w:sz w:val="21"/>
                <w:szCs w:val="21"/>
                <w:lang w:val="en-US" w:eastAsia="zh-CN"/>
              </w:rPr>
              <w:t>2</w:t>
            </w:r>
          </w:p>
        </w:tc>
        <w:tc>
          <w:tcPr>
            <w:tcW w:w="961" w:type="dxa"/>
            <w:shd w:val="clear" w:color="auto" w:fill="auto"/>
            <w:vAlign w:val="center"/>
          </w:tcPr>
          <w:p w14:paraId="291C83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92" name="Text_Box_3_SpCnt_33"/>
                      <wp:cNvGraphicFramePr/>
                      <a:graphic xmlns:a="http://schemas.openxmlformats.org/drawingml/2006/main">
                        <a:graphicData uri="http://schemas.microsoft.com/office/word/2010/wordprocessingShape">
                          <wps:wsp>
                            <wps:cNvSpPr>
                              <a:spLocks noChangeArrowheads="1"/>
                            </wps:cNvSpPr>
                            <wps:spPr>
                              <a:xfrm>
                                <a:off x="629285" y="20193000"/>
                                <a:ext cx="156210" cy="198755"/>
                              </a:xfrm>
                              <a:prstGeom prst="rect">
                                <a:avLst/>
                              </a:prstGeom>
                              <a:noFill/>
                              <a:ln w="9525">
                                <a:noFill/>
                                <a:miter lim="800000"/>
                              </a:ln>
                            </wps:spPr>
                            <wps:txbx>
                              <w:txbxContent>
                                <w:p w14:paraId="3E94595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3"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I+q7vUAAAABAEAAA8AAAAAAAAA&#10;AQAgAAAAIgAAAGRycy9kb3ducmV2LnhtbFBLAQIUABQAAAAIAIdO4kDEudmWFQIAAA0EAAAOAAAA&#10;AAAAAAEAIAAAACMBAABkcnMvZTJvRG9jLnhtbFBLBQYAAAAABgAGAFkBAACqBQAAAAA=&#10;">
                      <v:fill on="f" focussize="0,0"/>
                      <v:stroke on="f" miterlimit="8" joinstyle="miter"/>
                      <v:imagedata o:title=""/>
                      <o:lock v:ext="edit" aspectratio="f"/>
                      <v:textbox inset="0.508mm,0.635mm,0mm,0mm" style="mso-fit-shape-to-text:t;">
                        <w:txbxContent>
                          <w:p w14:paraId="3E94595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精密列头柜</w:t>
            </w:r>
          </w:p>
        </w:tc>
        <w:tc>
          <w:tcPr>
            <w:tcW w:w="4913" w:type="dxa"/>
            <w:shd w:val="clear" w:color="auto" w:fill="auto"/>
            <w:vAlign w:val="center"/>
          </w:tcPr>
          <w:p w14:paraId="2331331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93" name="Text_Box_3_SpCnt_34"/>
                      <wp:cNvGraphicFramePr/>
                      <a:graphic xmlns:a="http://schemas.openxmlformats.org/drawingml/2006/main">
                        <a:graphicData uri="http://schemas.microsoft.com/office/word/2010/wordprocessingShape">
                          <wps:wsp>
                            <wps:cNvSpPr>
                              <a:spLocks noChangeArrowheads="1"/>
                            </wps:cNvSpPr>
                            <wps:spPr>
                              <a:xfrm>
                                <a:off x="1684655" y="20193000"/>
                                <a:ext cx="156210" cy="198755"/>
                              </a:xfrm>
                              <a:prstGeom prst="rect">
                                <a:avLst/>
                              </a:prstGeom>
                              <a:noFill/>
                              <a:ln w="9525" cmpd="sng">
                                <a:noFill/>
                                <a:miter lim="800000"/>
                              </a:ln>
                            </wps:spPr>
                            <wps:txbx>
                              <w:txbxContent>
                                <w:p w14:paraId="15E197E0">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4"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HLJ6jVAAAAAwEAAA8A&#10;AAAAAAAAAQAgAAAAIgAAAGRycy9kb3ducmV2LnhtbFBLAQIUABQAAAAIAIdO4kCi+nm2GgIAABkE&#10;AAAOAAAAAAAAAAEAIAAAACQBAABkcnMvZTJvRG9jLnhtbFBLBQYAAAAABgAGAFkBAACwBQAAAAA=&#10;">
                      <v:fill on="f" focussize="0,0"/>
                      <v:stroke on="f" miterlimit="8" joinstyle="miter"/>
                      <v:imagedata o:title=""/>
                      <o:lock v:ext="edit" aspectratio="f"/>
                      <v:textbox inset="0.508mm,0.635mm,0mm,0mm" style="mso-fit-shape-to-text:t;">
                        <w:txbxContent>
                          <w:p w14:paraId="15E197E0">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94" name="Text_Box_1_SpCnt_9"/>
                      <wp:cNvGraphicFramePr/>
                      <a:graphic xmlns:a="http://schemas.openxmlformats.org/drawingml/2006/main">
                        <a:graphicData uri="http://schemas.microsoft.com/office/word/2010/wordprocessingShape">
                          <wps:wsp>
                            <wps:cNvSpPr>
                              <a:spLocks noChangeArrowheads="1"/>
                            </wps:cNvSpPr>
                            <wps:spPr>
                              <a:xfrm>
                                <a:off x="1684655" y="20193000"/>
                                <a:ext cx="156210" cy="198755"/>
                              </a:xfrm>
                              <a:prstGeom prst="rect">
                                <a:avLst/>
                              </a:prstGeom>
                              <a:noFill/>
                              <a:ln w="9525">
                                <a:noFill/>
                                <a:miter lim="800000"/>
                              </a:ln>
                            </wps:spPr>
                            <wps:txbx>
                              <w:txbxContent>
                                <w:p w14:paraId="52BE7D4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9"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GCaKpYTAgAADQQAAA4AAAAA&#10;AAAAAQAgAAAAJAEAAGRycy9lMm9Eb2MueG1sUEsFBgAAAAAGAAYAWQEAAKkFAAAAAA==&#10;">
                      <v:fill on="f" focussize="0,0"/>
                      <v:stroke on="f" miterlimit="8" joinstyle="miter"/>
                      <v:imagedata o:title=""/>
                      <o:lock v:ext="edit" aspectratio="f"/>
                      <v:textbox inset="0.508mm,0.635mm,0mm,0mm" style="mso-fit-shape-to-text:t;">
                        <w:txbxContent>
                          <w:p w14:paraId="52BE7D4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 xml:space="preserve">一体化配电柜                                                </w:t>
            </w:r>
            <w:r>
              <w:rPr>
                <w:rFonts w:hint="eastAsia"/>
                <w:sz w:val="21"/>
                <w:szCs w:val="21"/>
                <w:lang w:val="en-US" w:eastAsia="zh-CN"/>
              </w:rPr>
              <w:br w:type="textWrapping"/>
            </w:r>
            <w:r>
              <w:rPr>
                <w:rFonts w:hint="eastAsia"/>
                <w:sz w:val="21"/>
                <w:szCs w:val="21"/>
                <w:lang w:val="en-US" w:eastAsia="zh-CN"/>
              </w:rPr>
              <w:t xml:space="preserve">输入回路：125A/3P </w:t>
            </w:r>
            <w:r>
              <w:rPr>
                <w:rFonts w:hint="eastAsia"/>
                <w:sz w:val="21"/>
                <w:szCs w:val="21"/>
                <w:lang w:val="en-US" w:eastAsia="zh-CN"/>
              </w:rPr>
              <w:br w:type="textWrapping"/>
            </w:r>
            <w:r>
              <w:rPr>
                <w:rFonts w:hint="eastAsia"/>
                <w:sz w:val="21"/>
                <w:szCs w:val="21"/>
                <w:lang w:val="en-US" w:eastAsia="zh-CN"/>
              </w:rPr>
              <w:t xml:space="preserve">输出回路：32A/1P*25                                                      </w:t>
            </w:r>
            <w:r>
              <w:rPr>
                <w:rFonts w:hint="eastAsia"/>
                <w:sz w:val="21"/>
                <w:szCs w:val="21"/>
                <w:lang w:val="en-US" w:eastAsia="zh-CN"/>
              </w:rPr>
              <w:br w:type="textWrapping"/>
            </w:r>
            <w:r>
              <w:rPr>
                <w:rFonts w:hint="eastAsia"/>
                <w:sz w:val="21"/>
                <w:szCs w:val="21"/>
                <w:lang w:val="en-US" w:eastAsia="zh-CN"/>
              </w:rPr>
              <w:t>C或D级防雷</w:t>
            </w:r>
            <w:r>
              <w:rPr>
                <w:rFonts w:hint="eastAsia"/>
                <w:sz w:val="21"/>
                <w:szCs w:val="21"/>
                <w:lang w:val="en-US" w:eastAsia="zh-CN"/>
              </w:rPr>
              <w:br w:type="textWrapping"/>
            </w:r>
            <w:r>
              <w:rPr>
                <w:rFonts w:hint="eastAsia"/>
                <w:sz w:val="21"/>
                <w:szCs w:val="21"/>
                <w:lang w:val="en-US" w:eastAsia="zh-CN"/>
              </w:rPr>
              <w:t>配电主、支路监控，7寸触摸屏或主路监控带多功能数显表可选，高度尺寸与模块化机柜匹配</w:t>
            </w:r>
          </w:p>
        </w:tc>
        <w:tc>
          <w:tcPr>
            <w:tcW w:w="580" w:type="dxa"/>
            <w:shd w:val="clear" w:color="auto" w:fill="auto"/>
            <w:vAlign w:val="center"/>
          </w:tcPr>
          <w:p w14:paraId="37EFA7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74E14E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597548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6820</w:t>
            </w:r>
          </w:p>
        </w:tc>
        <w:tc>
          <w:tcPr>
            <w:tcW w:w="1025" w:type="dxa"/>
            <w:shd w:val="clear" w:color="auto" w:fill="auto"/>
            <w:noWrap/>
            <w:vAlign w:val="center"/>
          </w:tcPr>
          <w:p w14:paraId="7AC4F3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6820</w:t>
            </w:r>
          </w:p>
        </w:tc>
        <w:tc>
          <w:tcPr>
            <w:tcW w:w="650" w:type="dxa"/>
            <w:shd w:val="clear" w:color="auto" w:fill="auto"/>
            <w:noWrap/>
            <w:vAlign w:val="center"/>
          </w:tcPr>
          <w:p w14:paraId="3DE607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7F8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F3495E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6146B0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市电总柜输入电缆</w:t>
            </w:r>
          </w:p>
        </w:tc>
        <w:tc>
          <w:tcPr>
            <w:tcW w:w="4913" w:type="dxa"/>
            <w:shd w:val="clear" w:color="auto" w:fill="auto"/>
            <w:vAlign w:val="center"/>
          </w:tcPr>
          <w:p w14:paraId="035A19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WDZAN-YJY.3x70+2x25</w:t>
            </w:r>
          </w:p>
        </w:tc>
        <w:tc>
          <w:tcPr>
            <w:tcW w:w="580" w:type="dxa"/>
            <w:shd w:val="clear" w:color="auto" w:fill="auto"/>
            <w:vAlign w:val="center"/>
          </w:tcPr>
          <w:p w14:paraId="445569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w:t>
            </w:r>
          </w:p>
        </w:tc>
        <w:tc>
          <w:tcPr>
            <w:tcW w:w="700" w:type="dxa"/>
            <w:shd w:val="clear" w:color="auto" w:fill="auto"/>
            <w:vAlign w:val="center"/>
          </w:tcPr>
          <w:p w14:paraId="1A4055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0F241D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611 </w:t>
            </w:r>
          </w:p>
        </w:tc>
        <w:tc>
          <w:tcPr>
            <w:tcW w:w="1025" w:type="dxa"/>
            <w:shd w:val="clear" w:color="auto" w:fill="auto"/>
            <w:noWrap/>
            <w:vAlign w:val="center"/>
          </w:tcPr>
          <w:p w14:paraId="655394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12220</w:t>
            </w:r>
          </w:p>
        </w:tc>
        <w:tc>
          <w:tcPr>
            <w:tcW w:w="650" w:type="dxa"/>
            <w:shd w:val="clear" w:color="auto" w:fill="auto"/>
            <w:noWrap/>
            <w:vAlign w:val="center"/>
          </w:tcPr>
          <w:p w14:paraId="7DBE71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CE4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 w:hRule="atLeast"/>
          <w:jc w:val="center"/>
        </w:trPr>
        <w:tc>
          <w:tcPr>
            <w:tcW w:w="654" w:type="dxa"/>
            <w:shd w:val="clear" w:color="auto" w:fill="auto"/>
            <w:noWrap/>
            <w:vAlign w:val="center"/>
          </w:tcPr>
          <w:p w14:paraId="3EDEBE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27084F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精密列头柜输入电缆</w:t>
            </w:r>
          </w:p>
        </w:tc>
        <w:tc>
          <w:tcPr>
            <w:tcW w:w="4913" w:type="dxa"/>
            <w:shd w:val="clear" w:color="auto" w:fill="auto"/>
            <w:vAlign w:val="center"/>
          </w:tcPr>
          <w:p w14:paraId="47C40B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WDZA-YJY.3x25+2x16</w:t>
            </w:r>
          </w:p>
        </w:tc>
        <w:tc>
          <w:tcPr>
            <w:tcW w:w="580" w:type="dxa"/>
            <w:shd w:val="clear" w:color="auto" w:fill="auto"/>
            <w:vAlign w:val="center"/>
          </w:tcPr>
          <w:p w14:paraId="312799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w:t>
            </w:r>
          </w:p>
        </w:tc>
        <w:tc>
          <w:tcPr>
            <w:tcW w:w="700" w:type="dxa"/>
            <w:shd w:val="clear" w:color="auto" w:fill="auto"/>
            <w:vAlign w:val="center"/>
          </w:tcPr>
          <w:p w14:paraId="2092D8F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4A656B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249</w:t>
            </w:r>
          </w:p>
        </w:tc>
        <w:tc>
          <w:tcPr>
            <w:tcW w:w="1025" w:type="dxa"/>
            <w:shd w:val="clear" w:color="auto" w:fill="auto"/>
            <w:noWrap/>
            <w:vAlign w:val="center"/>
          </w:tcPr>
          <w:p w14:paraId="2B37F1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4980</w:t>
            </w:r>
          </w:p>
        </w:tc>
        <w:tc>
          <w:tcPr>
            <w:tcW w:w="650" w:type="dxa"/>
            <w:shd w:val="clear" w:color="auto" w:fill="auto"/>
            <w:noWrap/>
            <w:vAlign w:val="center"/>
          </w:tcPr>
          <w:p w14:paraId="5D54E8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A21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69D85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95" name="Text_Box_3_SpCnt_35"/>
                      <wp:cNvGraphicFramePr/>
                      <a:graphic xmlns:a="http://schemas.openxmlformats.org/drawingml/2006/main">
                        <a:graphicData uri="http://schemas.microsoft.com/office/word/2010/wordprocessingShape">
                          <wps:wsp>
                            <wps:cNvSpPr>
                              <a:spLocks noChangeArrowheads="1"/>
                            </wps:cNvSpPr>
                            <wps:spPr>
                              <a:xfrm>
                                <a:off x="0" y="22479000"/>
                                <a:ext cx="154940" cy="198755"/>
                              </a:xfrm>
                              <a:prstGeom prst="rect">
                                <a:avLst/>
                              </a:prstGeom>
                              <a:noFill/>
                              <a:ln w="9525">
                                <a:noFill/>
                                <a:miter lim="800000"/>
                              </a:ln>
                            </wps:spPr>
                            <wps:txbx>
                              <w:txbxContent>
                                <w:p w14:paraId="435A0D9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5"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T911gAAAAMBAAAPAAAAAAAAAAEA&#10;IAAAACIAAABkcnMvZG93bnJldi54bWxQSwECFAAUAAAACACHTuJAz6eOvhECAAAIBAAADgAAAAAA&#10;AAABACAAAAAlAQAAZHJzL2Uyb0RvYy54bWxQSwUGAAAAAAYABgBZAQAAqAUAAAAA&#10;">
                      <v:fill on="f" focussize="0,0"/>
                      <v:stroke on="f" miterlimit="8" joinstyle="miter"/>
                      <v:imagedata o:title=""/>
                      <o:lock v:ext="edit" aspectratio="f"/>
                      <v:textbox inset="0.508mm,0.635mm,0mm,0mm" style="mso-fit-shape-to-text:t;">
                        <w:txbxContent>
                          <w:p w14:paraId="435A0D9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896" name="Text_Box_3_SpCnt_36"/>
                      <wp:cNvGraphicFramePr/>
                      <a:graphic xmlns:a="http://schemas.openxmlformats.org/drawingml/2006/main">
                        <a:graphicData uri="http://schemas.microsoft.com/office/word/2010/wordprocessingShape">
                          <wps:wsp>
                            <wps:cNvSpPr>
                              <a:spLocks noChangeArrowheads="1"/>
                            </wps:cNvSpPr>
                            <wps:spPr>
                              <a:xfrm>
                                <a:off x="11430" y="22479000"/>
                                <a:ext cx="213360" cy="198755"/>
                              </a:xfrm>
                              <a:prstGeom prst="rect">
                                <a:avLst/>
                              </a:prstGeom>
                              <a:noFill/>
                              <a:ln w="9525">
                                <a:noFill/>
                                <a:miter lim="800000"/>
                              </a:ln>
                            </wps:spPr>
                            <wps:txbx>
                              <w:txbxContent>
                                <w:p w14:paraId="75DECC2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6"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eBy2tUAAAAEAQAADwAAAAAAAAAB&#10;ACAAAAAiAAAAZHJzL2Rvd25yZXYueG1sUEsBAhQAFAAAAAgAh07iQPcg3FgTAgAADAQAAA4AAAAA&#10;AAAAAQAgAAAAJAEAAGRycy9lMm9Eb2MueG1sUEsFBgAAAAAGAAYAWQEAAKkFAAAAAA==&#10;">
                      <v:fill on="f" focussize="0,0"/>
                      <v:stroke on="f" miterlimit="8" joinstyle="miter"/>
                      <v:imagedata o:title=""/>
                      <o:lock v:ext="edit" aspectratio="f"/>
                      <v:textbox inset="0.508mm,0.635mm,0mm,0mm" style="mso-fit-shape-to-text:t;">
                        <w:txbxContent>
                          <w:p w14:paraId="75DECC2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5</w:t>
            </w:r>
          </w:p>
        </w:tc>
        <w:tc>
          <w:tcPr>
            <w:tcW w:w="961" w:type="dxa"/>
            <w:shd w:val="clear" w:color="auto" w:fill="auto"/>
            <w:vAlign w:val="center"/>
          </w:tcPr>
          <w:p w14:paraId="23AE37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97" name="Text_Box_3_SpCnt_37"/>
                      <wp:cNvGraphicFramePr/>
                      <a:graphic xmlns:a="http://schemas.openxmlformats.org/drawingml/2006/main">
                        <a:graphicData uri="http://schemas.microsoft.com/office/word/2010/wordprocessingShape">
                          <wps:wsp>
                            <wps:cNvSpPr>
                              <a:spLocks noChangeArrowheads="1"/>
                            </wps:cNvSpPr>
                            <wps:spPr>
                              <a:xfrm>
                                <a:off x="617855" y="22479000"/>
                                <a:ext cx="154940" cy="198755"/>
                              </a:xfrm>
                              <a:prstGeom prst="rect">
                                <a:avLst/>
                              </a:prstGeom>
                              <a:noFill/>
                              <a:ln w="9525">
                                <a:noFill/>
                                <a:miter lim="800000"/>
                              </a:ln>
                            </wps:spPr>
                            <wps:txbx>
                              <w:txbxContent>
                                <w:p w14:paraId="07874E08">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7"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0/ddYAAAADAQAADwAAAAAA&#10;AAABACAAAAAiAAAAZHJzL2Rvd25yZXYueG1sUEsBAhQAFAAAAAgAh07iQEHlQY0VAgAADQQAAA4A&#10;AAAAAAAAAQAgAAAAJQEAAGRycy9lMm9Eb2MueG1sUEsFBgAAAAAGAAYAWQEAAKwFAAAAAA==&#10;">
                      <v:fill on="f" focussize="0,0"/>
                      <v:stroke on="f" miterlimit="8" joinstyle="miter"/>
                      <v:imagedata o:title=""/>
                      <o:lock v:ext="edit" aspectratio="f"/>
                      <v:textbox inset="0.508mm,0.635mm,0mm,0mm" style="mso-fit-shape-to-text:t;">
                        <w:txbxContent>
                          <w:p w14:paraId="07874E08">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98" name="Text_Box_3_SpCnt_38"/>
                      <wp:cNvGraphicFramePr/>
                      <a:graphic xmlns:a="http://schemas.openxmlformats.org/drawingml/2006/main">
                        <a:graphicData uri="http://schemas.microsoft.com/office/word/2010/wordprocessingShape">
                          <wps:wsp>
                            <wps:cNvSpPr>
                              <a:spLocks noChangeArrowheads="1"/>
                            </wps:cNvSpPr>
                            <wps:spPr>
                              <a:xfrm>
                                <a:off x="629285" y="22479000"/>
                                <a:ext cx="156210" cy="198755"/>
                              </a:xfrm>
                              <a:prstGeom prst="rect">
                                <a:avLst/>
                              </a:prstGeom>
                              <a:noFill/>
                              <a:ln w="9525">
                                <a:noFill/>
                                <a:miter lim="800000"/>
                              </a:ln>
                            </wps:spPr>
                            <wps:txbx>
                              <w:txbxContent>
                                <w:p w14:paraId="78874373">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8"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Pqu71AAAAAQBAAAPAAAAAAAA&#10;AAEAIAAAACIAAABkcnMvZG93bnJldi54bWxQSwECFAAUAAAACACHTuJAm0clExYCAAANBAAADgAA&#10;AAAAAAABACAAAAAjAQAAZHJzL2Uyb0RvYy54bWxQSwUGAAAAAAYABgBZAQAAqwUAAAAA&#10;">
                      <v:fill on="f" focussize="0,0"/>
                      <v:stroke on="f" miterlimit="8" joinstyle="miter"/>
                      <v:imagedata o:title=""/>
                      <o:lock v:ext="edit" aspectratio="f"/>
                      <v:textbox inset="0.508mm,0.635mm,0mm,0mm" style="mso-fit-shape-to-text:t;">
                        <w:txbxContent>
                          <w:p w14:paraId="78874373">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精密空调输入电缆</w:t>
            </w:r>
          </w:p>
        </w:tc>
        <w:tc>
          <w:tcPr>
            <w:tcW w:w="4913" w:type="dxa"/>
            <w:shd w:val="clear" w:color="auto" w:fill="auto"/>
            <w:vAlign w:val="center"/>
          </w:tcPr>
          <w:p w14:paraId="402D41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WDZA-YJY-YJY.5*10</w:t>
            </w:r>
          </w:p>
        </w:tc>
        <w:tc>
          <w:tcPr>
            <w:tcW w:w="580" w:type="dxa"/>
            <w:shd w:val="clear" w:color="auto" w:fill="auto"/>
            <w:vAlign w:val="center"/>
          </w:tcPr>
          <w:p w14:paraId="5A4F45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w:t>
            </w:r>
          </w:p>
        </w:tc>
        <w:tc>
          <w:tcPr>
            <w:tcW w:w="700" w:type="dxa"/>
            <w:shd w:val="clear" w:color="auto" w:fill="auto"/>
            <w:vAlign w:val="center"/>
          </w:tcPr>
          <w:p w14:paraId="715619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21290C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91</w:t>
            </w:r>
          </w:p>
        </w:tc>
        <w:tc>
          <w:tcPr>
            <w:tcW w:w="1025" w:type="dxa"/>
            <w:shd w:val="clear" w:color="auto" w:fill="auto"/>
            <w:noWrap/>
            <w:vAlign w:val="center"/>
          </w:tcPr>
          <w:p w14:paraId="6523CFA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1820</w:t>
            </w:r>
          </w:p>
        </w:tc>
        <w:tc>
          <w:tcPr>
            <w:tcW w:w="650" w:type="dxa"/>
            <w:shd w:val="clear" w:color="auto" w:fill="auto"/>
            <w:noWrap/>
            <w:vAlign w:val="center"/>
          </w:tcPr>
          <w:p w14:paraId="20EB43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BFF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DD4E11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1B70CE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市电维修插座电缆</w:t>
            </w:r>
          </w:p>
        </w:tc>
        <w:tc>
          <w:tcPr>
            <w:tcW w:w="4913" w:type="dxa"/>
            <w:shd w:val="clear" w:color="auto" w:fill="auto"/>
            <w:vAlign w:val="center"/>
          </w:tcPr>
          <w:p w14:paraId="7AEB25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ZR-BV-2*2.5+PE2.5</w:t>
            </w:r>
          </w:p>
        </w:tc>
        <w:tc>
          <w:tcPr>
            <w:tcW w:w="580" w:type="dxa"/>
            <w:shd w:val="clear" w:color="auto" w:fill="auto"/>
            <w:vAlign w:val="center"/>
          </w:tcPr>
          <w:p w14:paraId="514752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w:t>
            </w:r>
          </w:p>
        </w:tc>
        <w:tc>
          <w:tcPr>
            <w:tcW w:w="700" w:type="dxa"/>
            <w:shd w:val="clear" w:color="auto" w:fill="auto"/>
            <w:vAlign w:val="center"/>
          </w:tcPr>
          <w:p w14:paraId="59437B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75390F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w:t>
            </w:r>
          </w:p>
        </w:tc>
        <w:tc>
          <w:tcPr>
            <w:tcW w:w="1025" w:type="dxa"/>
            <w:shd w:val="clear" w:color="auto" w:fill="auto"/>
            <w:noWrap/>
            <w:vAlign w:val="center"/>
          </w:tcPr>
          <w:p w14:paraId="26D84A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510</w:t>
            </w:r>
          </w:p>
        </w:tc>
        <w:tc>
          <w:tcPr>
            <w:tcW w:w="650" w:type="dxa"/>
            <w:shd w:val="clear" w:color="auto" w:fill="auto"/>
            <w:noWrap/>
            <w:vAlign w:val="center"/>
          </w:tcPr>
          <w:p w14:paraId="5AD28F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B4C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C2C50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2BE711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照明电缆</w:t>
            </w:r>
          </w:p>
        </w:tc>
        <w:tc>
          <w:tcPr>
            <w:tcW w:w="4913" w:type="dxa"/>
            <w:shd w:val="clear" w:color="auto" w:fill="auto"/>
            <w:vAlign w:val="center"/>
          </w:tcPr>
          <w:p w14:paraId="06DB3D7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ZR-BV-2*2.5+PE2.5</w:t>
            </w:r>
          </w:p>
        </w:tc>
        <w:tc>
          <w:tcPr>
            <w:tcW w:w="580" w:type="dxa"/>
            <w:shd w:val="clear" w:color="auto" w:fill="auto"/>
            <w:vAlign w:val="center"/>
          </w:tcPr>
          <w:p w14:paraId="3775552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w:t>
            </w:r>
          </w:p>
        </w:tc>
        <w:tc>
          <w:tcPr>
            <w:tcW w:w="700" w:type="dxa"/>
            <w:shd w:val="clear" w:color="auto" w:fill="auto"/>
            <w:vAlign w:val="center"/>
          </w:tcPr>
          <w:p w14:paraId="226F59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0B22A4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w:t>
            </w:r>
          </w:p>
        </w:tc>
        <w:tc>
          <w:tcPr>
            <w:tcW w:w="1025" w:type="dxa"/>
            <w:shd w:val="clear" w:color="auto" w:fill="auto"/>
            <w:noWrap/>
            <w:vAlign w:val="center"/>
          </w:tcPr>
          <w:p w14:paraId="28662F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850</w:t>
            </w:r>
          </w:p>
        </w:tc>
        <w:tc>
          <w:tcPr>
            <w:tcW w:w="650" w:type="dxa"/>
            <w:shd w:val="clear" w:color="auto" w:fill="auto"/>
            <w:noWrap/>
            <w:vAlign w:val="center"/>
          </w:tcPr>
          <w:p w14:paraId="37117B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2E9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90291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29CE7F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其他电缆</w:t>
            </w:r>
          </w:p>
        </w:tc>
        <w:tc>
          <w:tcPr>
            <w:tcW w:w="4913" w:type="dxa"/>
            <w:shd w:val="clear" w:color="auto" w:fill="auto"/>
            <w:vAlign w:val="center"/>
          </w:tcPr>
          <w:p w14:paraId="1F0529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ZR-YJV.3*2.5</w:t>
            </w:r>
          </w:p>
        </w:tc>
        <w:tc>
          <w:tcPr>
            <w:tcW w:w="580" w:type="dxa"/>
            <w:shd w:val="clear" w:color="auto" w:fill="auto"/>
            <w:vAlign w:val="center"/>
          </w:tcPr>
          <w:p w14:paraId="64B3A5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w:t>
            </w:r>
          </w:p>
        </w:tc>
        <w:tc>
          <w:tcPr>
            <w:tcW w:w="700" w:type="dxa"/>
            <w:shd w:val="clear" w:color="auto" w:fill="auto"/>
            <w:vAlign w:val="center"/>
          </w:tcPr>
          <w:p w14:paraId="5DB197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133140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16</w:t>
            </w:r>
          </w:p>
        </w:tc>
        <w:tc>
          <w:tcPr>
            <w:tcW w:w="1025" w:type="dxa"/>
            <w:shd w:val="clear" w:color="auto" w:fill="auto"/>
            <w:noWrap/>
            <w:vAlign w:val="center"/>
          </w:tcPr>
          <w:p w14:paraId="1D50275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1600</w:t>
            </w:r>
          </w:p>
        </w:tc>
        <w:tc>
          <w:tcPr>
            <w:tcW w:w="650" w:type="dxa"/>
            <w:shd w:val="clear" w:color="auto" w:fill="auto"/>
            <w:noWrap/>
            <w:vAlign w:val="center"/>
          </w:tcPr>
          <w:p w14:paraId="466E75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EB2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84D3C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1D0670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电缆保护套</w:t>
            </w:r>
          </w:p>
        </w:tc>
        <w:tc>
          <w:tcPr>
            <w:tcW w:w="4913" w:type="dxa"/>
            <w:shd w:val="clear" w:color="auto" w:fill="auto"/>
            <w:vAlign w:val="center"/>
          </w:tcPr>
          <w:p w14:paraId="2DD406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PVC 25</w:t>
            </w:r>
          </w:p>
        </w:tc>
        <w:tc>
          <w:tcPr>
            <w:tcW w:w="580" w:type="dxa"/>
            <w:shd w:val="clear" w:color="auto" w:fill="auto"/>
            <w:vAlign w:val="center"/>
          </w:tcPr>
          <w:p w14:paraId="0536C3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200</w:t>
            </w:r>
          </w:p>
        </w:tc>
        <w:tc>
          <w:tcPr>
            <w:tcW w:w="700" w:type="dxa"/>
            <w:shd w:val="clear" w:color="auto" w:fill="auto"/>
            <w:vAlign w:val="center"/>
          </w:tcPr>
          <w:p w14:paraId="232314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6DAD71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29</w:t>
            </w:r>
          </w:p>
        </w:tc>
        <w:tc>
          <w:tcPr>
            <w:tcW w:w="1025" w:type="dxa"/>
            <w:shd w:val="clear" w:color="auto" w:fill="auto"/>
            <w:noWrap/>
            <w:vAlign w:val="center"/>
          </w:tcPr>
          <w:p w14:paraId="02BB73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5800</w:t>
            </w:r>
          </w:p>
        </w:tc>
        <w:tc>
          <w:tcPr>
            <w:tcW w:w="650" w:type="dxa"/>
            <w:shd w:val="clear" w:color="auto" w:fill="auto"/>
            <w:noWrap/>
            <w:vAlign w:val="center"/>
          </w:tcPr>
          <w:p w14:paraId="423515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404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E5D5E9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10</w:t>
            </w:r>
          </w:p>
        </w:tc>
        <w:tc>
          <w:tcPr>
            <w:tcW w:w="961" w:type="dxa"/>
            <w:shd w:val="clear" w:color="auto" w:fill="auto"/>
            <w:vAlign w:val="center"/>
          </w:tcPr>
          <w:p w14:paraId="362490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单相插座安装</w:t>
            </w:r>
          </w:p>
        </w:tc>
        <w:tc>
          <w:tcPr>
            <w:tcW w:w="4913" w:type="dxa"/>
            <w:shd w:val="clear" w:color="auto" w:fill="auto"/>
            <w:vAlign w:val="center"/>
          </w:tcPr>
          <w:p w14:paraId="4D03026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5孔，86*86，20A</w:t>
            </w:r>
          </w:p>
        </w:tc>
        <w:tc>
          <w:tcPr>
            <w:tcW w:w="580" w:type="dxa"/>
            <w:shd w:val="clear" w:color="auto" w:fill="auto"/>
            <w:vAlign w:val="center"/>
          </w:tcPr>
          <w:p w14:paraId="019D68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426686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6435A41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1025" w:type="dxa"/>
            <w:shd w:val="clear" w:color="auto" w:fill="auto"/>
            <w:noWrap/>
            <w:vAlign w:val="center"/>
          </w:tcPr>
          <w:p w14:paraId="1C5A6F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134</w:t>
            </w:r>
          </w:p>
        </w:tc>
        <w:tc>
          <w:tcPr>
            <w:tcW w:w="650" w:type="dxa"/>
            <w:shd w:val="clear" w:color="auto" w:fill="auto"/>
            <w:noWrap/>
            <w:vAlign w:val="center"/>
          </w:tcPr>
          <w:p w14:paraId="48C2A8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EF0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0A820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16</w:t>
            </w:r>
          </w:p>
        </w:tc>
        <w:tc>
          <w:tcPr>
            <w:tcW w:w="961" w:type="dxa"/>
            <w:shd w:val="clear" w:color="auto" w:fill="auto"/>
            <w:vAlign w:val="center"/>
          </w:tcPr>
          <w:p w14:paraId="619BD3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照明开关</w:t>
            </w:r>
          </w:p>
        </w:tc>
        <w:tc>
          <w:tcPr>
            <w:tcW w:w="4913" w:type="dxa"/>
            <w:shd w:val="clear" w:color="auto" w:fill="auto"/>
            <w:vAlign w:val="center"/>
          </w:tcPr>
          <w:p w14:paraId="4BF229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双联翘板开关</w:t>
            </w:r>
          </w:p>
        </w:tc>
        <w:tc>
          <w:tcPr>
            <w:tcW w:w="580" w:type="dxa"/>
            <w:shd w:val="clear" w:color="auto" w:fill="auto"/>
            <w:vAlign w:val="center"/>
          </w:tcPr>
          <w:p w14:paraId="7FC3A5A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02821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42FD70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1025" w:type="dxa"/>
            <w:shd w:val="clear" w:color="auto" w:fill="auto"/>
            <w:noWrap/>
            <w:vAlign w:val="center"/>
          </w:tcPr>
          <w:p w14:paraId="2A107B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650" w:type="dxa"/>
            <w:shd w:val="clear" w:color="auto" w:fill="auto"/>
            <w:noWrap/>
            <w:vAlign w:val="center"/>
          </w:tcPr>
          <w:p w14:paraId="1802DB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27E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1A6079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11</w:t>
            </w:r>
          </w:p>
        </w:tc>
        <w:tc>
          <w:tcPr>
            <w:tcW w:w="961" w:type="dxa"/>
            <w:shd w:val="clear" w:color="auto" w:fill="auto"/>
            <w:vAlign w:val="center"/>
          </w:tcPr>
          <w:p w14:paraId="194A0A6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嵌入式LED灯600*600</w:t>
            </w:r>
          </w:p>
        </w:tc>
        <w:tc>
          <w:tcPr>
            <w:tcW w:w="4913" w:type="dxa"/>
            <w:shd w:val="clear" w:color="auto" w:fill="auto"/>
            <w:vAlign w:val="center"/>
          </w:tcPr>
          <w:p w14:paraId="091B59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600*600mm，40W，电子整流器，自带蓄电池提供2小时以上用电</w:t>
            </w:r>
          </w:p>
        </w:tc>
        <w:tc>
          <w:tcPr>
            <w:tcW w:w="580" w:type="dxa"/>
            <w:shd w:val="clear" w:color="auto" w:fill="auto"/>
            <w:vAlign w:val="center"/>
          </w:tcPr>
          <w:p w14:paraId="74BD01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24C207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69E4F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1025" w:type="dxa"/>
            <w:shd w:val="clear" w:color="auto" w:fill="auto"/>
            <w:noWrap/>
            <w:vAlign w:val="center"/>
          </w:tcPr>
          <w:p w14:paraId="42BD27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880</w:t>
            </w:r>
          </w:p>
        </w:tc>
        <w:tc>
          <w:tcPr>
            <w:tcW w:w="650" w:type="dxa"/>
            <w:shd w:val="clear" w:color="auto" w:fill="auto"/>
            <w:noWrap/>
            <w:vAlign w:val="center"/>
          </w:tcPr>
          <w:p w14:paraId="6FCCEA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197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EB3715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12</w:t>
            </w:r>
          </w:p>
        </w:tc>
        <w:tc>
          <w:tcPr>
            <w:tcW w:w="961" w:type="dxa"/>
            <w:shd w:val="clear" w:color="auto" w:fill="auto"/>
            <w:vAlign w:val="center"/>
          </w:tcPr>
          <w:p w14:paraId="1C0EB5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应急疏散指示灯(消-许可)</w:t>
            </w:r>
          </w:p>
        </w:tc>
        <w:tc>
          <w:tcPr>
            <w:tcW w:w="4913" w:type="dxa"/>
            <w:shd w:val="clear" w:color="auto" w:fill="auto"/>
            <w:vAlign w:val="center"/>
          </w:tcPr>
          <w:p w14:paraId="4D05FE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单面 无方向335*145mm，高亮绿色发光安全标志灯，自带蓄电池提供2小时以上用电</w:t>
            </w:r>
          </w:p>
        </w:tc>
        <w:tc>
          <w:tcPr>
            <w:tcW w:w="580" w:type="dxa"/>
            <w:shd w:val="clear" w:color="auto" w:fill="auto"/>
            <w:vAlign w:val="center"/>
          </w:tcPr>
          <w:p w14:paraId="7696CF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09E12B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CAF2C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143 </w:t>
            </w:r>
          </w:p>
        </w:tc>
        <w:tc>
          <w:tcPr>
            <w:tcW w:w="1025" w:type="dxa"/>
            <w:shd w:val="clear" w:color="auto" w:fill="auto"/>
            <w:noWrap/>
            <w:vAlign w:val="center"/>
          </w:tcPr>
          <w:p w14:paraId="75F7EF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286</w:t>
            </w:r>
          </w:p>
        </w:tc>
        <w:tc>
          <w:tcPr>
            <w:tcW w:w="650" w:type="dxa"/>
            <w:shd w:val="clear" w:color="auto" w:fill="auto"/>
            <w:noWrap/>
            <w:vAlign w:val="center"/>
          </w:tcPr>
          <w:p w14:paraId="53EA84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AD9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6D7643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13</w:t>
            </w:r>
          </w:p>
        </w:tc>
        <w:tc>
          <w:tcPr>
            <w:tcW w:w="961" w:type="dxa"/>
            <w:shd w:val="clear" w:color="auto" w:fill="auto"/>
            <w:vAlign w:val="center"/>
          </w:tcPr>
          <w:p w14:paraId="3573727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636B078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w:t>
            </w:r>
          </w:p>
        </w:tc>
        <w:tc>
          <w:tcPr>
            <w:tcW w:w="580" w:type="dxa"/>
            <w:shd w:val="clear" w:color="auto" w:fill="auto"/>
            <w:noWrap/>
            <w:vAlign w:val="center"/>
          </w:tcPr>
          <w:p w14:paraId="3DFE52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F82AE6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3AF429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17423 </w:t>
            </w:r>
          </w:p>
        </w:tc>
        <w:tc>
          <w:tcPr>
            <w:tcW w:w="1025" w:type="dxa"/>
            <w:shd w:val="clear" w:color="auto" w:fill="auto"/>
            <w:noWrap/>
            <w:vAlign w:val="center"/>
          </w:tcPr>
          <w:p w14:paraId="2D291B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17423</w:t>
            </w:r>
          </w:p>
        </w:tc>
        <w:tc>
          <w:tcPr>
            <w:tcW w:w="650" w:type="dxa"/>
            <w:shd w:val="clear" w:color="auto" w:fill="auto"/>
            <w:noWrap/>
            <w:vAlign w:val="center"/>
          </w:tcPr>
          <w:p w14:paraId="0C519C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E13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7" w:hRule="atLeast"/>
          <w:jc w:val="center"/>
        </w:trPr>
        <w:tc>
          <w:tcPr>
            <w:tcW w:w="654" w:type="dxa"/>
            <w:shd w:val="clear" w:color="auto" w:fill="auto"/>
            <w:noWrap/>
            <w:vAlign w:val="center"/>
          </w:tcPr>
          <w:p w14:paraId="24C2AC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6D62D1C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0E9F487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noWrap/>
            <w:vAlign w:val="center"/>
          </w:tcPr>
          <w:p w14:paraId="62BBDE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1FEFBA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noWrap/>
            <w:vAlign w:val="center"/>
          </w:tcPr>
          <w:p w14:paraId="305C34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52A0259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57317</w:t>
            </w:r>
          </w:p>
        </w:tc>
        <w:tc>
          <w:tcPr>
            <w:tcW w:w="650" w:type="dxa"/>
            <w:shd w:val="clear" w:color="auto" w:fill="auto"/>
            <w:noWrap/>
            <w:vAlign w:val="center"/>
          </w:tcPr>
          <w:p w14:paraId="2094525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4A4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10470" w:type="dxa"/>
            <w:gridSpan w:val="8"/>
            <w:shd w:val="clear" w:color="auto" w:fill="auto"/>
            <w:noWrap/>
            <w:vAlign w:val="center"/>
          </w:tcPr>
          <w:p w14:paraId="03A32B35">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六、机房防雷接地系统</w:t>
            </w:r>
          </w:p>
        </w:tc>
      </w:tr>
      <w:tr w14:paraId="7BF9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jc w:val="center"/>
        </w:trPr>
        <w:tc>
          <w:tcPr>
            <w:tcW w:w="654" w:type="dxa"/>
            <w:shd w:val="clear" w:color="auto" w:fill="auto"/>
            <w:noWrap/>
            <w:vAlign w:val="center"/>
          </w:tcPr>
          <w:p w14:paraId="23EB1B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716B87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接地线</w:t>
            </w:r>
          </w:p>
        </w:tc>
        <w:tc>
          <w:tcPr>
            <w:tcW w:w="4913" w:type="dxa"/>
            <w:shd w:val="clear" w:color="auto" w:fill="auto"/>
            <w:vAlign w:val="center"/>
          </w:tcPr>
          <w:p w14:paraId="59A5EC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BVR-1×25mm² 黄绿软线</w:t>
            </w:r>
          </w:p>
        </w:tc>
        <w:tc>
          <w:tcPr>
            <w:tcW w:w="580" w:type="dxa"/>
            <w:shd w:val="clear" w:color="auto" w:fill="auto"/>
            <w:noWrap/>
            <w:vAlign w:val="center"/>
          </w:tcPr>
          <w:p w14:paraId="20F164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w:t>
            </w:r>
          </w:p>
        </w:tc>
        <w:tc>
          <w:tcPr>
            <w:tcW w:w="700" w:type="dxa"/>
            <w:shd w:val="clear" w:color="auto" w:fill="auto"/>
            <w:noWrap/>
            <w:vAlign w:val="center"/>
          </w:tcPr>
          <w:p w14:paraId="4CFB33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米</w:t>
            </w:r>
          </w:p>
        </w:tc>
        <w:tc>
          <w:tcPr>
            <w:tcW w:w="987" w:type="dxa"/>
            <w:shd w:val="clear" w:color="auto" w:fill="auto"/>
            <w:noWrap/>
            <w:vAlign w:val="center"/>
          </w:tcPr>
          <w:p w14:paraId="63E79A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53</w:t>
            </w:r>
          </w:p>
        </w:tc>
        <w:tc>
          <w:tcPr>
            <w:tcW w:w="1025" w:type="dxa"/>
            <w:shd w:val="clear" w:color="auto" w:fill="auto"/>
            <w:noWrap/>
            <w:vAlign w:val="center"/>
          </w:tcPr>
          <w:p w14:paraId="29AF5C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2014</w:t>
            </w:r>
          </w:p>
        </w:tc>
        <w:tc>
          <w:tcPr>
            <w:tcW w:w="650" w:type="dxa"/>
            <w:shd w:val="clear" w:color="auto" w:fill="auto"/>
            <w:noWrap/>
            <w:vAlign w:val="center"/>
          </w:tcPr>
          <w:p w14:paraId="1F6559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45E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7" w:hRule="atLeast"/>
          <w:jc w:val="center"/>
        </w:trPr>
        <w:tc>
          <w:tcPr>
            <w:tcW w:w="654" w:type="dxa"/>
            <w:shd w:val="clear" w:color="auto" w:fill="auto"/>
            <w:noWrap/>
            <w:vAlign w:val="center"/>
          </w:tcPr>
          <w:p w14:paraId="356207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w:t>
            </w:r>
          </w:p>
        </w:tc>
        <w:tc>
          <w:tcPr>
            <w:tcW w:w="961" w:type="dxa"/>
            <w:shd w:val="clear" w:color="auto" w:fill="auto"/>
            <w:vAlign w:val="center"/>
          </w:tcPr>
          <w:p w14:paraId="2B9F84A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接地排</w:t>
            </w:r>
          </w:p>
        </w:tc>
        <w:tc>
          <w:tcPr>
            <w:tcW w:w="4913" w:type="dxa"/>
            <w:shd w:val="clear" w:color="auto" w:fill="auto"/>
            <w:vAlign w:val="center"/>
          </w:tcPr>
          <w:p w14:paraId="46F8B7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30*3mm接地排</w:t>
            </w:r>
          </w:p>
        </w:tc>
        <w:tc>
          <w:tcPr>
            <w:tcW w:w="580" w:type="dxa"/>
            <w:shd w:val="clear" w:color="auto" w:fill="auto"/>
            <w:noWrap/>
            <w:vAlign w:val="center"/>
          </w:tcPr>
          <w:p w14:paraId="2FD5EF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w:t>
            </w:r>
          </w:p>
        </w:tc>
        <w:tc>
          <w:tcPr>
            <w:tcW w:w="700" w:type="dxa"/>
            <w:shd w:val="clear" w:color="auto" w:fill="auto"/>
            <w:noWrap/>
            <w:vAlign w:val="center"/>
          </w:tcPr>
          <w:p w14:paraId="2532C6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米</w:t>
            </w:r>
          </w:p>
        </w:tc>
        <w:tc>
          <w:tcPr>
            <w:tcW w:w="987" w:type="dxa"/>
            <w:shd w:val="clear" w:color="auto" w:fill="auto"/>
            <w:noWrap/>
            <w:vAlign w:val="center"/>
          </w:tcPr>
          <w:p w14:paraId="1ACBD7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257</w:t>
            </w:r>
          </w:p>
        </w:tc>
        <w:tc>
          <w:tcPr>
            <w:tcW w:w="1025" w:type="dxa"/>
            <w:shd w:val="clear" w:color="auto" w:fill="auto"/>
            <w:noWrap/>
            <w:vAlign w:val="center"/>
          </w:tcPr>
          <w:p w14:paraId="0984592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6425</w:t>
            </w:r>
          </w:p>
        </w:tc>
        <w:tc>
          <w:tcPr>
            <w:tcW w:w="650" w:type="dxa"/>
            <w:shd w:val="clear" w:color="auto" w:fill="auto"/>
            <w:noWrap/>
            <w:vAlign w:val="center"/>
          </w:tcPr>
          <w:p w14:paraId="6CEA6BC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F35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61387D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w:t>
            </w:r>
          </w:p>
        </w:tc>
        <w:tc>
          <w:tcPr>
            <w:tcW w:w="961" w:type="dxa"/>
            <w:shd w:val="clear" w:color="auto" w:fill="auto"/>
            <w:vAlign w:val="center"/>
          </w:tcPr>
          <w:p w14:paraId="727517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绝缘子</w:t>
            </w:r>
          </w:p>
        </w:tc>
        <w:tc>
          <w:tcPr>
            <w:tcW w:w="4913" w:type="dxa"/>
            <w:shd w:val="clear" w:color="auto" w:fill="auto"/>
            <w:vAlign w:val="center"/>
          </w:tcPr>
          <w:p w14:paraId="59BDA86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两端螺纹：M10 外螺纹</w:t>
            </w:r>
            <w:r>
              <w:rPr>
                <w:rFonts w:hint="eastAsia"/>
                <w:sz w:val="21"/>
                <w:szCs w:val="21"/>
                <w:lang w:val="en-US" w:eastAsia="zh-CN"/>
              </w:rPr>
              <w:br w:type="textWrapping"/>
            </w:r>
            <w:r>
              <w:rPr>
                <w:rFonts w:hint="eastAsia"/>
                <w:sz w:val="21"/>
                <w:szCs w:val="21"/>
                <w:lang w:val="en-US" w:eastAsia="zh-CN"/>
              </w:rPr>
              <w:t>绝缘柱长度：50mm（国标常用），可选 35/60/80mm</w:t>
            </w:r>
            <w:r>
              <w:rPr>
                <w:rFonts w:hint="eastAsia"/>
                <w:sz w:val="21"/>
                <w:szCs w:val="21"/>
                <w:lang w:val="en-US" w:eastAsia="zh-CN"/>
              </w:rPr>
              <w:br w:type="textWrapping"/>
            </w:r>
            <w:r>
              <w:rPr>
                <w:rFonts w:hint="eastAsia"/>
                <w:sz w:val="21"/>
                <w:szCs w:val="21"/>
                <w:lang w:val="en-US" w:eastAsia="zh-CN"/>
              </w:rPr>
              <w:t>绝缘子外径：Φ25mm</w:t>
            </w:r>
            <w:r>
              <w:rPr>
                <w:rFonts w:hint="eastAsia"/>
                <w:sz w:val="21"/>
                <w:szCs w:val="21"/>
                <w:lang w:val="en-US" w:eastAsia="zh-CN"/>
              </w:rPr>
              <w:br w:type="textWrapping"/>
            </w:r>
            <w:r>
              <w:rPr>
                <w:rFonts w:hint="eastAsia"/>
                <w:sz w:val="21"/>
                <w:szCs w:val="21"/>
                <w:lang w:val="en-US" w:eastAsia="zh-CN"/>
              </w:rPr>
              <w:t>最小破坏拉力：≥12kN</w:t>
            </w:r>
            <w:r>
              <w:rPr>
                <w:rFonts w:hint="eastAsia"/>
                <w:sz w:val="21"/>
                <w:szCs w:val="21"/>
                <w:lang w:val="en-US" w:eastAsia="zh-CN"/>
              </w:rPr>
              <w:br w:type="textWrapping"/>
            </w:r>
            <w:r>
              <w:rPr>
                <w:rFonts w:hint="eastAsia"/>
                <w:sz w:val="21"/>
                <w:szCs w:val="21"/>
                <w:lang w:val="en-US" w:eastAsia="zh-CN"/>
              </w:rPr>
              <w:t>推荐安装扭矩：12～16 N・m</w:t>
            </w:r>
            <w:r>
              <w:rPr>
                <w:rFonts w:hint="eastAsia"/>
                <w:sz w:val="21"/>
                <w:szCs w:val="21"/>
                <w:lang w:val="en-US" w:eastAsia="zh-CN"/>
              </w:rPr>
              <w:br w:type="textWrapping"/>
            </w:r>
            <w:r>
              <w:rPr>
                <w:rFonts w:hint="eastAsia"/>
                <w:sz w:val="21"/>
                <w:szCs w:val="21"/>
                <w:lang w:val="en-US" w:eastAsia="zh-CN"/>
              </w:rPr>
              <w:t>结构：双头螺杆（镀锌 / 不锈钢 304）+ 中间绝缘本体</w:t>
            </w:r>
          </w:p>
        </w:tc>
        <w:tc>
          <w:tcPr>
            <w:tcW w:w="580" w:type="dxa"/>
            <w:shd w:val="clear" w:color="auto" w:fill="auto"/>
            <w:noWrap/>
            <w:vAlign w:val="center"/>
          </w:tcPr>
          <w:p w14:paraId="753EA21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26</w:t>
            </w:r>
          </w:p>
        </w:tc>
        <w:tc>
          <w:tcPr>
            <w:tcW w:w="700" w:type="dxa"/>
            <w:shd w:val="clear" w:color="auto" w:fill="auto"/>
            <w:noWrap/>
            <w:vAlign w:val="center"/>
          </w:tcPr>
          <w:p w14:paraId="4137A6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63E17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33</w:t>
            </w:r>
          </w:p>
        </w:tc>
        <w:tc>
          <w:tcPr>
            <w:tcW w:w="1025" w:type="dxa"/>
            <w:shd w:val="clear" w:color="auto" w:fill="auto"/>
            <w:noWrap/>
            <w:vAlign w:val="center"/>
          </w:tcPr>
          <w:p w14:paraId="6233B1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858</w:t>
            </w:r>
          </w:p>
        </w:tc>
        <w:tc>
          <w:tcPr>
            <w:tcW w:w="650" w:type="dxa"/>
            <w:shd w:val="clear" w:color="auto" w:fill="auto"/>
            <w:noWrap/>
            <w:vAlign w:val="center"/>
          </w:tcPr>
          <w:p w14:paraId="6F95C8C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794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640DB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w:t>
            </w:r>
          </w:p>
        </w:tc>
        <w:tc>
          <w:tcPr>
            <w:tcW w:w="961" w:type="dxa"/>
            <w:shd w:val="clear" w:color="auto" w:fill="auto"/>
            <w:vAlign w:val="center"/>
          </w:tcPr>
          <w:p w14:paraId="7DE947F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机房防雷接地系统</w:t>
            </w:r>
          </w:p>
        </w:tc>
        <w:tc>
          <w:tcPr>
            <w:tcW w:w="4913" w:type="dxa"/>
            <w:shd w:val="clear" w:color="auto" w:fill="auto"/>
            <w:vAlign w:val="center"/>
          </w:tcPr>
          <w:p w14:paraId="4C0859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三相电源第二级防雷保护系统、整体地网焊接及制作、工程辅材</w:t>
            </w:r>
          </w:p>
        </w:tc>
        <w:tc>
          <w:tcPr>
            <w:tcW w:w="580" w:type="dxa"/>
            <w:shd w:val="clear" w:color="auto" w:fill="auto"/>
            <w:noWrap/>
            <w:vAlign w:val="center"/>
          </w:tcPr>
          <w:p w14:paraId="6FEBC5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5DB306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264C5A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14140</w:t>
            </w:r>
          </w:p>
        </w:tc>
        <w:tc>
          <w:tcPr>
            <w:tcW w:w="1025" w:type="dxa"/>
            <w:shd w:val="clear" w:color="auto" w:fill="auto"/>
            <w:noWrap/>
            <w:vAlign w:val="center"/>
          </w:tcPr>
          <w:p w14:paraId="7A2BC6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14140</w:t>
            </w:r>
          </w:p>
        </w:tc>
        <w:tc>
          <w:tcPr>
            <w:tcW w:w="650" w:type="dxa"/>
            <w:shd w:val="clear" w:color="auto" w:fill="auto"/>
            <w:noWrap/>
            <w:vAlign w:val="center"/>
          </w:tcPr>
          <w:p w14:paraId="1E86C15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98A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A78F1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5FBF49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1D8E0F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w:t>
            </w:r>
          </w:p>
        </w:tc>
        <w:tc>
          <w:tcPr>
            <w:tcW w:w="580" w:type="dxa"/>
            <w:shd w:val="clear" w:color="auto" w:fill="auto"/>
            <w:noWrap/>
            <w:vAlign w:val="center"/>
          </w:tcPr>
          <w:p w14:paraId="3CF5F2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3BC913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620CDE5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3500</w:t>
            </w:r>
          </w:p>
        </w:tc>
        <w:tc>
          <w:tcPr>
            <w:tcW w:w="1025" w:type="dxa"/>
            <w:shd w:val="clear" w:color="auto" w:fill="auto"/>
            <w:noWrap/>
            <w:vAlign w:val="center"/>
          </w:tcPr>
          <w:p w14:paraId="49A7C1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3500</w:t>
            </w:r>
          </w:p>
        </w:tc>
        <w:tc>
          <w:tcPr>
            <w:tcW w:w="650" w:type="dxa"/>
            <w:shd w:val="clear" w:color="auto" w:fill="auto"/>
            <w:noWrap/>
            <w:vAlign w:val="center"/>
          </w:tcPr>
          <w:p w14:paraId="756ABA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BB0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jc w:val="center"/>
        </w:trPr>
        <w:tc>
          <w:tcPr>
            <w:tcW w:w="654" w:type="dxa"/>
            <w:shd w:val="clear" w:color="auto" w:fill="auto"/>
            <w:noWrap/>
            <w:vAlign w:val="center"/>
          </w:tcPr>
          <w:p w14:paraId="3478B05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4BC0C6A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33AACB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noWrap/>
            <w:vAlign w:val="center"/>
          </w:tcPr>
          <w:p w14:paraId="06ADC2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4559FE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7B6C08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187E20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26937</w:t>
            </w:r>
          </w:p>
        </w:tc>
        <w:tc>
          <w:tcPr>
            <w:tcW w:w="650" w:type="dxa"/>
            <w:shd w:val="clear" w:color="auto" w:fill="auto"/>
            <w:noWrap/>
            <w:vAlign w:val="center"/>
          </w:tcPr>
          <w:p w14:paraId="210E1C8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4949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 w:hRule="atLeast"/>
          <w:jc w:val="center"/>
        </w:trPr>
        <w:tc>
          <w:tcPr>
            <w:tcW w:w="10470" w:type="dxa"/>
            <w:gridSpan w:val="8"/>
            <w:shd w:val="clear" w:color="auto" w:fill="auto"/>
            <w:noWrap/>
            <w:vAlign w:val="center"/>
          </w:tcPr>
          <w:p w14:paraId="38AFB35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七、消防系统</w:t>
            </w:r>
          </w:p>
        </w:tc>
      </w:tr>
      <w:tr w14:paraId="369E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3FC2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09D735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柜式七氟丙烷灭火装置</w:t>
            </w:r>
          </w:p>
        </w:tc>
        <w:tc>
          <w:tcPr>
            <w:tcW w:w="4913" w:type="dxa"/>
            <w:shd w:val="clear" w:color="auto" w:fill="auto"/>
            <w:vAlign w:val="center"/>
          </w:tcPr>
          <w:p w14:paraId="14F2C4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GQQ120/2.6；灭火剂充装量为70L,装置设计工作压力2.6MP，喷射时间≤10s，工作电源AC220V 50Hz，DC24V，气体储存环境温度-10℃～50℃</w:t>
            </w:r>
          </w:p>
        </w:tc>
        <w:tc>
          <w:tcPr>
            <w:tcW w:w="580" w:type="dxa"/>
            <w:shd w:val="clear" w:color="auto" w:fill="auto"/>
            <w:noWrap/>
            <w:vAlign w:val="center"/>
          </w:tcPr>
          <w:p w14:paraId="2B5EDE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79A67F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9714C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6340</w:t>
            </w:r>
          </w:p>
        </w:tc>
        <w:tc>
          <w:tcPr>
            <w:tcW w:w="1025" w:type="dxa"/>
            <w:shd w:val="clear" w:color="auto" w:fill="auto"/>
            <w:noWrap/>
            <w:vAlign w:val="center"/>
          </w:tcPr>
          <w:p w14:paraId="041685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12680</w:t>
            </w:r>
          </w:p>
        </w:tc>
        <w:tc>
          <w:tcPr>
            <w:tcW w:w="650" w:type="dxa"/>
            <w:shd w:val="clear" w:color="auto" w:fill="auto"/>
            <w:noWrap/>
            <w:vAlign w:val="center"/>
          </w:tcPr>
          <w:p w14:paraId="2B9A9C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4E8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02E84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108017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七氟丙烷药剂</w:t>
            </w:r>
          </w:p>
        </w:tc>
        <w:tc>
          <w:tcPr>
            <w:tcW w:w="4913" w:type="dxa"/>
            <w:shd w:val="clear" w:color="auto" w:fill="auto"/>
            <w:vAlign w:val="center"/>
          </w:tcPr>
          <w:p w14:paraId="6D0346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HFC-227ea</w:t>
            </w:r>
          </w:p>
        </w:tc>
        <w:tc>
          <w:tcPr>
            <w:tcW w:w="580" w:type="dxa"/>
            <w:shd w:val="clear" w:color="auto" w:fill="auto"/>
            <w:noWrap/>
            <w:vAlign w:val="center"/>
          </w:tcPr>
          <w:p w14:paraId="7B549E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w:t>
            </w:r>
          </w:p>
        </w:tc>
        <w:tc>
          <w:tcPr>
            <w:tcW w:w="700" w:type="dxa"/>
            <w:shd w:val="clear" w:color="auto" w:fill="auto"/>
            <w:vAlign w:val="center"/>
          </w:tcPr>
          <w:p w14:paraId="5538CAF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KG</w:t>
            </w:r>
          </w:p>
        </w:tc>
        <w:tc>
          <w:tcPr>
            <w:tcW w:w="987" w:type="dxa"/>
            <w:shd w:val="clear" w:color="auto" w:fill="auto"/>
            <w:noWrap/>
            <w:vAlign w:val="center"/>
          </w:tcPr>
          <w:p w14:paraId="288D5E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w:t>
            </w:r>
          </w:p>
        </w:tc>
        <w:tc>
          <w:tcPr>
            <w:tcW w:w="1025" w:type="dxa"/>
            <w:shd w:val="clear" w:color="auto" w:fill="auto"/>
            <w:noWrap/>
            <w:vAlign w:val="center"/>
          </w:tcPr>
          <w:p w14:paraId="485FE7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7200</w:t>
            </w:r>
          </w:p>
        </w:tc>
        <w:tc>
          <w:tcPr>
            <w:tcW w:w="650" w:type="dxa"/>
            <w:shd w:val="clear" w:color="auto" w:fill="auto"/>
            <w:noWrap/>
            <w:vAlign w:val="center"/>
          </w:tcPr>
          <w:p w14:paraId="2CB50E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3D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9BEB5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30FAE5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泄压阀</w:t>
            </w:r>
          </w:p>
        </w:tc>
        <w:tc>
          <w:tcPr>
            <w:tcW w:w="4913" w:type="dxa"/>
            <w:shd w:val="clear" w:color="auto" w:fill="auto"/>
            <w:vAlign w:val="center"/>
          </w:tcPr>
          <w:p w14:paraId="068E1F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泄压装置是保护围护结构完整性而设置的，在实施气体喷放时，泄压口能够随着室内气压的增大而自动开启，当压力减小或喷放结束后，能够自动关闭。泄压口的材质为钢制，并经防腐处理，不会因长时间使用而产生锈蚀。</w:t>
            </w:r>
          </w:p>
        </w:tc>
        <w:tc>
          <w:tcPr>
            <w:tcW w:w="580" w:type="dxa"/>
            <w:shd w:val="clear" w:color="auto" w:fill="auto"/>
            <w:noWrap/>
            <w:vAlign w:val="center"/>
          </w:tcPr>
          <w:p w14:paraId="69A52EC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77AD8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59F9D2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726 </w:t>
            </w:r>
          </w:p>
        </w:tc>
        <w:tc>
          <w:tcPr>
            <w:tcW w:w="1025" w:type="dxa"/>
            <w:shd w:val="clear" w:color="auto" w:fill="auto"/>
            <w:noWrap/>
            <w:vAlign w:val="center"/>
          </w:tcPr>
          <w:p w14:paraId="1A0D209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726</w:t>
            </w:r>
          </w:p>
        </w:tc>
        <w:tc>
          <w:tcPr>
            <w:tcW w:w="650" w:type="dxa"/>
            <w:shd w:val="clear" w:color="auto" w:fill="auto"/>
            <w:noWrap/>
            <w:vAlign w:val="center"/>
          </w:tcPr>
          <w:p w14:paraId="09EE1C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186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8C0DB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1BE089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点型光电感烟火灾探测器</w:t>
            </w:r>
          </w:p>
        </w:tc>
        <w:tc>
          <w:tcPr>
            <w:tcW w:w="4913" w:type="dxa"/>
            <w:shd w:val="clear" w:color="auto" w:fill="auto"/>
            <w:vAlign w:val="center"/>
          </w:tcPr>
          <w:p w14:paraId="528F12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内置微处理器，探测器对自身采集到的数据进行存储、分析和判断，具有自诊断功能；污染自动补偿。根据自身的污染程度进行零位漂移，最大程度减少误报；</w:t>
            </w:r>
          </w:p>
        </w:tc>
        <w:tc>
          <w:tcPr>
            <w:tcW w:w="580" w:type="dxa"/>
            <w:shd w:val="clear" w:color="auto" w:fill="auto"/>
            <w:noWrap/>
            <w:vAlign w:val="center"/>
          </w:tcPr>
          <w:p w14:paraId="4F40E2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0E27EE6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4A9A67E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209 </w:t>
            </w:r>
          </w:p>
        </w:tc>
        <w:tc>
          <w:tcPr>
            <w:tcW w:w="1025" w:type="dxa"/>
            <w:shd w:val="clear" w:color="auto" w:fill="auto"/>
            <w:noWrap/>
            <w:vAlign w:val="center"/>
          </w:tcPr>
          <w:p w14:paraId="00F72E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836</w:t>
            </w:r>
          </w:p>
        </w:tc>
        <w:tc>
          <w:tcPr>
            <w:tcW w:w="650" w:type="dxa"/>
            <w:shd w:val="clear" w:color="auto" w:fill="auto"/>
            <w:noWrap/>
            <w:vAlign w:val="center"/>
          </w:tcPr>
          <w:p w14:paraId="51A443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4CF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21A68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163BA5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点型感温火灾探测器</w:t>
            </w:r>
          </w:p>
        </w:tc>
        <w:tc>
          <w:tcPr>
            <w:tcW w:w="4913" w:type="dxa"/>
            <w:shd w:val="clear" w:color="auto" w:fill="auto"/>
            <w:vAlign w:val="center"/>
          </w:tcPr>
          <w:p w14:paraId="60BFA3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内置微处理器。探测器对自身采集到的数据进行存储和判断，并具有自诊断功能；探测器为A2类感温探测器，同时兼具有S和R功能；</w:t>
            </w:r>
          </w:p>
        </w:tc>
        <w:tc>
          <w:tcPr>
            <w:tcW w:w="580" w:type="dxa"/>
            <w:shd w:val="clear" w:color="auto" w:fill="auto"/>
            <w:noWrap/>
            <w:vAlign w:val="center"/>
          </w:tcPr>
          <w:p w14:paraId="66FC0A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3D028B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0224F5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209</w:t>
            </w:r>
          </w:p>
        </w:tc>
        <w:tc>
          <w:tcPr>
            <w:tcW w:w="1025" w:type="dxa"/>
            <w:shd w:val="clear" w:color="auto" w:fill="auto"/>
            <w:noWrap/>
            <w:vAlign w:val="center"/>
          </w:tcPr>
          <w:p w14:paraId="0D4E60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836</w:t>
            </w:r>
          </w:p>
        </w:tc>
        <w:tc>
          <w:tcPr>
            <w:tcW w:w="650" w:type="dxa"/>
            <w:shd w:val="clear" w:color="auto" w:fill="auto"/>
            <w:noWrap/>
            <w:vAlign w:val="center"/>
          </w:tcPr>
          <w:p w14:paraId="7ED40E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E2C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F138AC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4687E6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气体灭火控制器</w:t>
            </w:r>
          </w:p>
        </w:tc>
        <w:tc>
          <w:tcPr>
            <w:tcW w:w="4913" w:type="dxa"/>
            <w:shd w:val="clear" w:color="auto" w:fill="auto"/>
            <w:vAlign w:val="center"/>
          </w:tcPr>
          <w:p w14:paraId="311000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壁挂式报警控制器，液晶汉显，气体一体机,可以连接200个总线设备，具有在线或离线编程、注释功能在配接通讯接口后可以进行联网；</w:t>
            </w:r>
          </w:p>
        </w:tc>
        <w:tc>
          <w:tcPr>
            <w:tcW w:w="580" w:type="dxa"/>
            <w:shd w:val="clear" w:color="auto" w:fill="auto"/>
            <w:noWrap/>
            <w:vAlign w:val="center"/>
          </w:tcPr>
          <w:p w14:paraId="7628CEC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3A02AD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43E0F8F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10108 </w:t>
            </w:r>
          </w:p>
        </w:tc>
        <w:tc>
          <w:tcPr>
            <w:tcW w:w="1025" w:type="dxa"/>
            <w:shd w:val="clear" w:color="auto" w:fill="auto"/>
            <w:noWrap/>
            <w:vAlign w:val="center"/>
          </w:tcPr>
          <w:p w14:paraId="11F7240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10108</w:t>
            </w:r>
          </w:p>
        </w:tc>
        <w:tc>
          <w:tcPr>
            <w:tcW w:w="650" w:type="dxa"/>
            <w:shd w:val="clear" w:color="auto" w:fill="auto"/>
            <w:noWrap/>
            <w:vAlign w:val="center"/>
          </w:tcPr>
          <w:p w14:paraId="78E884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61F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1D73F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4D8CDC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紧急启停/按钮</w:t>
            </w:r>
          </w:p>
        </w:tc>
        <w:tc>
          <w:tcPr>
            <w:tcW w:w="4913" w:type="dxa"/>
            <w:shd w:val="clear" w:color="auto" w:fill="auto"/>
            <w:vAlign w:val="center"/>
          </w:tcPr>
          <w:p w14:paraId="5A5CA4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二总线，无极性，采用DC24V电源，内置微处理器CPU；常安装在气体灭火保护区门外，用于现场紧急启动、停止气体灭火控制设备。需要紧急启动时，按下玻璃片，此时红灯亮，实现气体灭火操作。</w:t>
            </w:r>
          </w:p>
        </w:tc>
        <w:tc>
          <w:tcPr>
            <w:tcW w:w="580" w:type="dxa"/>
            <w:shd w:val="clear" w:color="auto" w:fill="auto"/>
            <w:noWrap/>
            <w:vAlign w:val="center"/>
          </w:tcPr>
          <w:p w14:paraId="4642E7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381DE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4A9C61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220 </w:t>
            </w:r>
          </w:p>
        </w:tc>
        <w:tc>
          <w:tcPr>
            <w:tcW w:w="1025" w:type="dxa"/>
            <w:shd w:val="clear" w:color="auto" w:fill="auto"/>
            <w:noWrap/>
            <w:vAlign w:val="center"/>
          </w:tcPr>
          <w:p w14:paraId="456A84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650" w:type="dxa"/>
            <w:shd w:val="clear" w:color="auto" w:fill="auto"/>
            <w:noWrap/>
            <w:vAlign w:val="center"/>
          </w:tcPr>
          <w:p w14:paraId="228A39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D07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8CD1F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708CFC2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火灾声光报警器</w:t>
            </w:r>
          </w:p>
        </w:tc>
        <w:tc>
          <w:tcPr>
            <w:tcW w:w="4913" w:type="dxa"/>
            <w:shd w:val="clear" w:color="auto" w:fill="auto"/>
            <w:vAlign w:val="center"/>
          </w:tcPr>
          <w:p w14:paraId="4D6687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二总线，无极性，采用DC24V电源，内置微处理器CPU；常安装在气体灭火保护区内外，用于声、光警告信号，火状态DC24～28V，≤50mA，&gt;90dB</w:t>
            </w:r>
          </w:p>
        </w:tc>
        <w:tc>
          <w:tcPr>
            <w:tcW w:w="580" w:type="dxa"/>
            <w:shd w:val="clear" w:color="auto" w:fill="auto"/>
            <w:noWrap/>
            <w:vAlign w:val="center"/>
          </w:tcPr>
          <w:p w14:paraId="0AB31A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352413A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263E93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1025" w:type="dxa"/>
            <w:shd w:val="clear" w:color="auto" w:fill="auto"/>
            <w:noWrap/>
            <w:vAlign w:val="center"/>
          </w:tcPr>
          <w:p w14:paraId="2CDC1C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660</w:t>
            </w:r>
          </w:p>
        </w:tc>
        <w:tc>
          <w:tcPr>
            <w:tcW w:w="650" w:type="dxa"/>
            <w:shd w:val="clear" w:color="auto" w:fill="auto"/>
            <w:noWrap/>
            <w:vAlign w:val="center"/>
          </w:tcPr>
          <w:p w14:paraId="6CB376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7BC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41F47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2F4229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放气指示灯</w:t>
            </w:r>
          </w:p>
        </w:tc>
        <w:tc>
          <w:tcPr>
            <w:tcW w:w="4913" w:type="dxa"/>
            <w:shd w:val="clear" w:color="auto" w:fill="auto"/>
            <w:vAlign w:val="center"/>
          </w:tcPr>
          <w:p w14:paraId="544B920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二总线，无极性，采用电源DC24～28V，内置微处理器CPU；电子闪烁。常安装在气体灭火保护区门外，用于显示气体灭火状态。</w:t>
            </w:r>
          </w:p>
        </w:tc>
        <w:tc>
          <w:tcPr>
            <w:tcW w:w="580" w:type="dxa"/>
            <w:shd w:val="clear" w:color="auto" w:fill="auto"/>
            <w:noWrap/>
            <w:vAlign w:val="center"/>
          </w:tcPr>
          <w:p w14:paraId="12E545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3D605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323A5AE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220 </w:t>
            </w:r>
          </w:p>
        </w:tc>
        <w:tc>
          <w:tcPr>
            <w:tcW w:w="1025" w:type="dxa"/>
            <w:shd w:val="clear" w:color="auto" w:fill="auto"/>
            <w:noWrap/>
            <w:vAlign w:val="center"/>
          </w:tcPr>
          <w:p w14:paraId="1D8945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650" w:type="dxa"/>
            <w:shd w:val="clear" w:color="auto" w:fill="auto"/>
            <w:noWrap/>
            <w:vAlign w:val="center"/>
          </w:tcPr>
          <w:p w14:paraId="4C6087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065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7674E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w:t>
            </w:r>
          </w:p>
        </w:tc>
        <w:tc>
          <w:tcPr>
            <w:tcW w:w="961" w:type="dxa"/>
            <w:shd w:val="clear" w:color="auto" w:fill="auto"/>
            <w:vAlign w:val="center"/>
          </w:tcPr>
          <w:p w14:paraId="7BB5A9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断电输入/输出模块</w:t>
            </w:r>
          </w:p>
        </w:tc>
        <w:tc>
          <w:tcPr>
            <w:tcW w:w="4913" w:type="dxa"/>
            <w:shd w:val="clear" w:color="auto" w:fill="auto"/>
            <w:vAlign w:val="center"/>
          </w:tcPr>
          <w:p w14:paraId="0DB113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二总线，无极性，内置微处理器CPU； 采用SMT表面贴装工艺；电子编码方式。可通过专用电子编码器编址。</w:t>
            </w:r>
          </w:p>
        </w:tc>
        <w:tc>
          <w:tcPr>
            <w:tcW w:w="580" w:type="dxa"/>
            <w:shd w:val="clear" w:color="auto" w:fill="auto"/>
            <w:noWrap/>
            <w:vAlign w:val="center"/>
          </w:tcPr>
          <w:p w14:paraId="400F79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4DD9B84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1B0C11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425</w:t>
            </w:r>
          </w:p>
        </w:tc>
        <w:tc>
          <w:tcPr>
            <w:tcW w:w="1025" w:type="dxa"/>
            <w:shd w:val="clear" w:color="auto" w:fill="auto"/>
            <w:noWrap/>
            <w:vAlign w:val="center"/>
          </w:tcPr>
          <w:p w14:paraId="03550EA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850</w:t>
            </w:r>
          </w:p>
        </w:tc>
        <w:tc>
          <w:tcPr>
            <w:tcW w:w="650" w:type="dxa"/>
            <w:shd w:val="clear" w:color="auto" w:fill="auto"/>
            <w:noWrap/>
            <w:vAlign w:val="center"/>
          </w:tcPr>
          <w:p w14:paraId="31BBA1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985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A4ACD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w:t>
            </w:r>
          </w:p>
        </w:tc>
        <w:tc>
          <w:tcPr>
            <w:tcW w:w="961" w:type="dxa"/>
            <w:shd w:val="clear" w:color="auto" w:fill="auto"/>
            <w:vAlign w:val="center"/>
          </w:tcPr>
          <w:p w14:paraId="6862F0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输入输出模块</w:t>
            </w:r>
          </w:p>
        </w:tc>
        <w:tc>
          <w:tcPr>
            <w:tcW w:w="4913" w:type="dxa"/>
            <w:shd w:val="clear" w:color="auto" w:fill="auto"/>
            <w:vAlign w:val="center"/>
          </w:tcPr>
          <w:p w14:paraId="039405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二总线，无极性，采用DC24V电源，内置微处理器CPU； 采用SMT表面贴装工艺；电子编码方式。可通过专用电子编码器编址。</w:t>
            </w:r>
          </w:p>
        </w:tc>
        <w:tc>
          <w:tcPr>
            <w:tcW w:w="580" w:type="dxa"/>
            <w:shd w:val="clear" w:color="auto" w:fill="auto"/>
            <w:noWrap/>
            <w:vAlign w:val="center"/>
          </w:tcPr>
          <w:p w14:paraId="08B6D4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0EE78D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2ACD9F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660</w:t>
            </w:r>
          </w:p>
        </w:tc>
        <w:tc>
          <w:tcPr>
            <w:tcW w:w="1025" w:type="dxa"/>
            <w:shd w:val="clear" w:color="auto" w:fill="auto"/>
            <w:noWrap/>
            <w:vAlign w:val="center"/>
          </w:tcPr>
          <w:p w14:paraId="67EC46A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1320</w:t>
            </w:r>
          </w:p>
        </w:tc>
        <w:tc>
          <w:tcPr>
            <w:tcW w:w="650" w:type="dxa"/>
            <w:shd w:val="clear" w:color="auto" w:fill="auto"/>
            <w:noWrap/>
            <w:vAlign w:val="center"/>
          </w:tcPr>
          <w:p w14:paraId="550E0C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A00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6F08A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w:t>
            </w:r>
          </w:p>
        </w:tc>
        <w:tc>
          <w:tcPr>
            <w:tcW w:w="961" w:type="dxa"/>
            <w:shd w:val="clear" w:color="auto" w:fill="auto"/>
            <w:vAlign w:val="center"/>
          </w:tcPr>
          <w:p w14:paraId="7A24E1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2F80B4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施工及安装调试（含配套线缆管材）</w:t>
            </w:r>
          </w:p>
        </w:tc>
        <w:tc>
          <w:tcPr>
            <w:tcW w:w="580" w:type="dxa"/>
            <w:shd w:val="clear" w:color="auto" w:fill="auto"/>
            <w:noWrap/>
            <w:vAlign w:val="center"/>
          </w:tcPr>
          <w:p w14:paraId="2B8BA9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0C174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505E60C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9800 </w:t>
            </w:r>
          </w:p>
        </w:tc>
        <w:tc>
          <w:tcPr>
            <w:tcW w:w="1025" w:type="dxa"/>
            <w:shd w:val="clear" w:color="auto" w:fill="auto"/>
            <w:noWrap/>
            <w:vAlign w:val="center"/>
          </w:tcPr>
          <w:p w14:paraId="6D9E42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9800</w:t>
            </w:r>
          </w:p>
        </w:tc>
        <w:tc>
          <w:tcPr>
            <w:tcW w:w="650" w:type="dxa"/>
            <w:shd w:val="clear" w:color="auto" w:fill="auto"/>
            <w:noWrap/>
            <w:vAlign w:val="center"/>
          </w:tcPr>
          <w:p w14:paraId="1BAF1C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914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7" w:hRule="atLeast"/>
          <w:jc w:val="center"/>
        </w:trPr>
        <w:tc>
          <w:tcPr>
            <w:tcW w:w="654" w:type="dxa"/>
            <w:shd w:val="clear" w:color="auto" w:fill="auto"/>
            <w:noWrap/>
            <w:vAlign w:val="center"/>
          </w:tcPr>
          <w:p w14:paraId="5A47E6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961" w:type="dxa"/>
            <w:shd w:val="clear" w:color="auto" w:fill="auto"/>
            <w:vAlign w:val="center"/>
          </w:tcPr>
          <w:p w14:paraId="2F05F07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小计</w:t>
            </w:r>
          </w:p>
        </w:tc>
        <w:tc>
          <w:tcPr>
            <w:tcW w:w="4913" w:type="dxa"/>
            <w:shd w:val="clear" w:color="auto" w:fill="auto"/>
            <w:vAlign w:val="center"/>
          </w:tcPr>
          <w:p w14:paraId="668DB7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580" w:type="dxa"/>
            <w:shd w:val="clear" w:color="auto" w:fill="auto"/>
            <w:noWrap/>
            <w:vAlign w:val="center"/>
          </w:tcPr>
          <w:p w14:paraId="6B2515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700" w:type="dxa"/>
            <w:shd w:val="clear" w:color="auto" w:fill="auto"/>
            <w:vAlign w:val="center"/>
          </w:tcPr>
          <w:p w14:paraId="35B016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987" w:type="dxa"/>
            <w:shd w:val="clear" w:color="auto" w:fill="auto"/>
            <w:noWrap/>
            <w:vAlign w:val="center"/>
          </w:tcPr>
          <w:p w14:paraId="49B73B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55E089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45456</w:t>
            </w:r>
          </w:p>
        </w:tc>
        <w:tc>
          <w:tcPr>
            <w:tcW w:w="650" w:type="dxa"/>
            <w:shd w:val="clear" w:color="auto" w:fill="auto"/>
            <w:noWrap/>
            <w:vAlign w:val="center"/>
          </w:tcPr>
          <w:p w14:paraId="3CC03B0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rPr>
            </w:pPr>
          </w:p>
        </w:tc>
      </w:tr>
      <w:tr w14:paraId="07BA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7" w:hRule="atLeast"/>
          <w:jc w:val="center"/>
        </w:trPr>
        <w:tc>
          <w:tcPr>
            <w:tcW w:w="10470" w:type="dxa"/>
            <w:gridSpan w:val="8"/>
            <w:shd w:val="clear" w:color="auto" w:fill="auto"/>
            <w:vAlign w:val="center"/>
          </w:tcPr>
          <w:p w14:paraId="36BF09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899" name="Text_Box_1_SpCnt_10"/>
                      <wp:cNvGraphicFramePr/>
                      <a:graphic xmlns:a="http://schemas.openxmlformats.org/drawingml/2006/main">
                        <a:graphicData uri="http://schemas.microsoft.com/office/word/2010/wordprocessingShape">
                          <wps:wsp>
                            <wps:cNvSpPr>
                              <a:spLocks noChangeArrowheads="1"/>
                            </wps:cNvSpPr>
                            <wps:spPr>
                              <a:xfrm>
                                <a:off x="0" y="38481000"/>
                                <a:ext cx="156210" cy="196215"/>
                              </a:xfrm>
                              <a:prstGeom prst="rect">
                                <a:avLst/>
                              </a:prstGeom>
                              <a:noFill/>
                              <a:ln w="9525">
                                <a:noFill/>
                                <a:miter lim="800000"/>
                              </a:ln>
                            </wps:spPr>
                            <wps:txbx>
                              <w:txbxContent>
                                <w:p w14:paraId="152CC5DB">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0"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rVbDVAAAAAwEAAA8AAAAAAAAAAQAgAAAA&#10;IgAAAGRycy9kb3ducmV2LnhtbFBLAQIUABQAAAAIAIdO4kATQ1YIDgIAAAgEAAAOAAAAAAAAAAEA&#10;IAAAACQBAABkcnMvZTJvRG9jLnhtbFBLBQYAAAAABgAGAFkBAACkBQAAAAA=&#10;">
                      <v:fill on="f" focussize="0,0"/>
                      <v:stroke on="f" miterlimit="8" joinstyle="miter"/>
                      <v:imagedata o:title=""/>
                      <o:lock v:ext="edit" aspectratio="f"/>
                      <v:textbox inset="0.508mm,0.635mm,0mm,0mm" style="mso-fit-shape-to-text:t;">
                        <w:txbxContent>
                          <w:p w14:paraId="152CC5DB">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04" name="Text_Box_3_SpCnt_43"/>
                      <wp:cNvGraphicFramePr/>
                      <a:graphic xmlns:a="http://schemas.openxmlformats.org/drawingml/2006/main">
                        <a:graphicData uri="http://schemas.microsoft.com/office/word/2010/wordprocessingShape">
                          <wps:wsp>
                            <wps:cNvSpPr>
                              <a:spLocks noChangeArrowheads="1"/>
                            </wps:cNvSpPr>
                            <wps:spPr>
                              <a:xfrm>
                                <a:off x="443230" y="38481000"/>
                                <a:ext cx="2495550" cy="207645"/>
                              </a:xfrm>
                              <a:prstGeom prst="rect">
                                <a:avLst/>
                              </a:prstGeom>
                              <a:noFill/>
                              <a:ln w="9525">
                                <a:noFill/>
                                <a:miter lim="800000"/>
                              </a:ln>
                            </wps:spPr>
                            <wps:txbx>
                              <w:txbxContent>
                                <w:p w14:paraId="5DAF6667">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3"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ihYrD1gAAAAYBAAAPAAAA&#10;AAAAAAEAIAAAACIAAABkcnMvZG93bnJldi54bWxQSwECFAAUAAAACACHTuJAQUmyohcCAAAOBAAA&#10;DgAAAAAAAAABACAAAAAlAQAAZHJzL2Uyb0RvYy54bWxQSwUGAAAAAAYABgBZAQAArgUAAAAA&#10;">
                      <v:fill on="f" focussize="0,0"/>
                      <v:stroke on="f" miterlimit="8" joinstyle="miter"/>
                      <v:imagedata o:title=""/>
                      <o:lock v:ext="edit" aspectratio="f"/>
                      <v:textbox inset="0.508mm,0.635mm,0mm,0mm" style="mso-fit-shape-to-text:t;">
                        <w:txbxContent>
                          <w:p w14:paraId="5DAF6667">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617855</wp:posOffset>
                      </wp:positionH>
                      <wp:positionV relativeFrom="paragraph">
                        <wp:posOffset>0</wp:posOffset>
                      </wp:positionV>
                      <wp:extent cx="156210" cy="207645"/>
                      <wp:effectExtent l="0" t="0" r="0" b="0"/>
                      <wp:wrapNone/>
                      <wp:docPr id="1073742905" name="Text_Box_3_SpCnt_44"/>
                      <wp:cNvGraphicFramePr/>
                      <a:graphic xmlns:a="http://schemas.openxmlformats.org/drawingml/2006/main">
                        <a:graphicData uri="http://schemas.microsoft.com/office/word/2010/wordprocessingShape">
                          <wps:wsp>
                            <wps:cNvSpPr>
                              <a:spLocks noChangeArrowheads="1"/>
                            </wps:cNvSpPr>
                            <wps:spPr>
                              <a:xfrm>
                                <a:off x="617855" y="38481000"/>
                                <a:ext cx="156210" cy="207645"/>
                              </a:xfrm>
                              <a:prstGeom prst="rect">
                                <a:avLst/>
                              </a:prstGeom>
                              <a:noFill/>
                              <a:ln w="9525">
                                <a:noFill/>
                                <a:miter lim="800000"/>
                              </a:ln>
                            </wps:spPr>
                            <wps:txbx>
                              <w:txbxContent>
                                <w:p w14:paraId="79C38C8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4" o:spid="_x0000_s1026" o:spt="1" style="position:absolute;left:0pt;margin-left:48.65pt;margin-top:0pt;height:16.35pt;width:12.3pt;mso-wrap-style:none;z-index:251660288;mso-width-relative:page;mso-height-relative:page;" filled="f" stroked="f" coordsize="21600,21600" o:gfxdata="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KCETXAAAABgEAAA8AAAAA&#10;AAAAAQAgAAAAIgAAAGRycy9kb3ducmV2LnhtbFBLAQIUABQAAAAIAIdO4kDwZT6MFQIAAA0EAAAO&#10;AAAAAAAAAAEAIAAAACYBAABkcnMvZTJvRG9jLnhtbFBLBQYAAAAABgAGAFkBAACtBQAAAAA=&#10;">
                      <v:fill on="f" focussize="0,0"/>
                      <v:stroke on="f" miterlimit="8" joinstyle="miter"/>
                      <v:imagedata o:title=""/>
                      <o:lock v:ext="edit" aspectratio="f"/>
                      <v:textbox inset="0.508mm,0.635mm,0mm,0mm" style="mso-fit-shape-to-text:t;">
                        <w:txbxContent>
                          <w:p w14:paraId="79C38C8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06" name="Text_Box_1_SpCnt_11"/>
                      <wp:cNvGraphicFramePr/>
                      <a:graphic xmlns:a="http://schemas.openxmlformats.org/drawingml/2006/main">
                        <a:graphicData uri="http://schemas.microsoft.com/office/word/2010/wordprocessingShape">
                          <wps:wsp>
                            <wps:cNvSpPr>
                              <a:spLocks noChangeArrowheads="1"/>
                            </wps:cNvSpPr>
                            <wps:spPr>
                              <a:xfrm>
                                <a:off x="7340600" y="38481000"/>
                                <a:ext cx="156210" cy="198755"/>
                              </a:xfrm>
                              <a:prstGeom prst="rect">
                                <a:avLst/>
                              </a:prstGeom>
                              <a:noFill/>
                              <a:ln w="9525">
                                <a:noFill/>
                                <a:miter lim="800000"/>
                              </a:ln>
                            </wps:spPr>
                            <wps:txbx>
                              <w:txbxContent>
                                <w:p w14:paraId="2B4EE08A">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1"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ryNptgAAAAJAQAADwAAAAAA&#10;AAABACAAAAAiAAAAZHJzL2Rvd25yZXYueG1sUEsBAhQAFAAAAAgAh07iQGfHnp4TAgAADgQAAA4A&#10;AAAAAAAAAQAgAAAAJwEAAGRycy9lMm9Eb2MueG1sUEsFBgAAAAAGAAYAWQEAAKwFAAAAAA==&#10;">
                      <v:fill on="f" focussize="0,0"/>
                      <v:stroke on="f" miterlimit="8" joinstyle="miter"/>
                      <v:imagedata o:title=""/>
                      <o:lock v:ext="edit" aspectratio="f"/>
                      <v:textbox inset="0.508mm,0.635mm,0mm,0mm" style="mso-fit-shape-to-text:t;">
                        <w:txbxContent>
                          <w:p w14:paraId="2B4EE08A">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07" name="Text_Box_3_SpCnt_45"/>
                      <wp:cNvGraphicFramePr/>
                      <a:graphic xmlns:a="http://schemas.openxmlformats.org/drawingml/2006/main">
                        <a:graphicData uri="http://schemas.microsoft.com/office/word/2010/wordprocessingShape">
                          <wps:wsp>
                            <wps:cNvSpPr>
                              <a:spLocks noChangeArrowheads="1"/>
                            </wps:cNvSpPr>
                            <wps:spPr>
                              <a:xfrm>
                                <a:off x="7340600" y="38481000"/>
                                <a:ext cx="156210" cy="198755"/>
                              </a:xfrm>
                              <a:prstGeom prst="rect">
                                <a:avLst/>
                              </a:prstGeom>
                              <a:noFill/>
                              <a:ln w="9525" cmpd="sng">
                                <a:noFill/>
                                <a:miter lim="800000"/>
                              </a:ln>
                            </wps:spPr>
                            <wps:txbx>
                              <w:txbxContent>
                                <w:p w14:paraId="218DCE1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5"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ryNptgAAAAJ&#10;AQAADwAAAAAAAAABACAAAAAiAAAAZHJzL2Rvd25yZXYueG1sUEsBAhQAFAAAAAgAh07iQPk9uXsc&#10;AgAAGQQAAA4AAAAAAAAAAQAgAAAAJwEAAGRycy9lMm9Eb2MueG1sUEsFBgAAAAAGAAYAWQEAALUF&#10;AAAAAA==&#10;">
                      <v:fill on="f" focussize="0,0"/>
                      <v:stroke on="f" miterlimit="8" joinstyle="miter"/>
                      <v:imagedata o:title=""/>
                      <o:lock v:ext="edit" aspectratio="f"/>
                      <v:textbox inset="0.508mm,0.635mm,0mm,0mm" style="mso-fit-shape-to-text:t;">
                        <w:txbxContent>
                          <w:p w14:paraId="218DCE1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八、多媒体审理庭建设（不含审理操作系统）</w:t>
            </w:r>
          </w:p>
        </w:tc>
      </w:tr>
      <w:tr w14:paraId="420C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38B3B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5DB150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网络硬盘录像机</w:t>
            </w:r>
          </w:p>
        </w:tc>
        <w:tc>
          <w:tcPr>
            <w:tcW w:w="4913" w:type="dxa"/>
            <w:shd w:val="clear" w:color="auto" w:fill="auto"/>
            <w:vAlign w:val="top"/>
          </w:tcPr>
          <w:p w14:paraId="3C71D9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1、▲支持≥16路网络视频接入，网络性能：≥448Mbps接入、≥448Mbps储存、≥448Mbps转发。</w:t>
            </w:r>
            <w:r>
              <w:rPr>
                <w:rFonts w:hint="eastAsia"/>
                <w:sz w:val="21"/>
                <w:szCs w:val="21"/>
                <w:lang w:val="en-US" w:eastAsia="zh-CN"/>
              </w:rPr>
              <w:br w:type="textWrapping"/>
            </w:r>
            <w:r>
              <w:rPr>
                <w:rFonts w:hint="eastAsia"/>
                <w:sz w:val="21"/>
                <w:szCs w:val="21"/>
                <w:lang w:val="en-US" w:eastAsia="zh-CN"/>
              </w:rPr>
              <w:t>2、支持≥16路4MP@25fps解码；支持16路视频回放。</w:t>
            </w:r>
            <w:r>
              <w:rPr>
                <w:rFonts w:hint="eastAsia"/>
                <w:sz w:val="21"/>
                <w:szCs w:val="21"/>
                <w:lang w:val="en-US" w:eastAsia="zh-CN"/>
              </w:rPr>
              <w:br w:type="textWrapping"/>
            </w:r>
            <w:r>
              <w:rPr>
                <w:rFonts w:hint="eastAsia"/>
                <w:sz w:val="21"/>
                <w:szCs w:val="21"/>
                <w:lang w:val="en-US" w:eastAsia="zh-CN"/>
              </w:rPr>
              <w:t>3、支持32MP以内分辨率的IPC接入，支持通过GB/T 28118、SDK、ONVIF、RTSP等方式接入。</w:t>
            </w:r>
            <w:r>
              <w:rPr>
                <w:rFonts w:hint="eastAsia"/>
                <w:sz w:val="21"/>
                <w:szCs w:val="21"/>
                <w:lang w:val="en-US" w:eastAsia="zh-CN"/>
              </w:rPr>
              <w:br w:type="textWrapping"/>
            </w:r>
            <w:r>
              <w:rPr>
                <w:rFonts w:hint="eastAsia"/>
                <w:sz w:val="21"/>
                <w:szCs w:val="21"/>
                <w:lang w:val="en-US" w:eastAsia="zh-CN"/>
              </w:rPr>
              <w:t>4、支持前智能事件上报至设备，包括人脸检测、人脸识别、视频结构化、周界防范、智能动检、通用行为分析、立体行为分析、工装检测、人像检测、人群分布、人数统计、热度图、车牌识别、车辆密度、精准检索、物品监控、电瓶车入梯、高空抛物检测等。</w:t>
            </w:r>
            <w:r>
              <w:rPr>
                <w:rFonts w:hint="eastAsia"/>
                <w:sz w:val="21"/>
                <w:szCs w:val="21"/>
                <w:lang w:val="en-US" w:eastAsia="zh-CN"/>
              </w:rPr>
              <w:br w:type="textWrapping"/>
            </w:r>
            <w:r>
              <w:rPr>
                <w:rFonts w:hint="eastAsia"/>
                <w:sz w:val="21"/>
                <w:szCs w:val="21"/>
                <w:lang w:val="en-US" w:eastAsia="zh-CN"/>
              </w:rPr>
              <w:t>5、支持≥4路后智能人脸检测比对，或≥4路后智能视频结构化，或≥4路后智能精准检索， 或≥8路后智能周界防范，或≥16路后智能智能动检。</w:t>
            </w:r>
            <w:r>
              <w:rPr>
                <w:rFonts w:hint="eastAsia"/>
                <w:sz w:val="21"/>
                <w:szCs w:val="21"/>
                <w:lang w:val="en-US" w:eastAsia="zh-CN"/>
              </w:rPr>
              <w:br w:type="textWrapping"/>
            </w:r>
            <w:r>
              <w:rPr>
                <w:rFonts w:hint="eastAsia"/>
                <w:sz w:val="21"/>
                <w:szCs w:val="21"/>
                <w:lang w:val="en-US" w:eastAsia="zh-CN"/>
              </w:rPr>
              <w:t>6、可创建≥20个人脸库，人脸图片总数≥3万。</w:t>
            </w:r>
            <w:r>
              <w:rPr>
                <w:rFonts w:hint="eastAsia"/>
                <w:sz w:val="21"/>
                <w:szCs w:val="21"/>
                <w:lang w:val="en-US" w:eastAsia="zh-CN"/>
              </w:rPr>
              <w:br w:type="textWrapping"/>
            </w:r>
            <w:r>
              <w:rPr>
                <w:rFonts w:hint="eastAsia"/>
                <w:sz w:val="21"/>
                <w:szCs w:val="21"/>
                <w:lang w:val="en-US" w:eastAsia="zh-CN"/>
              </w:rPr>
              <w:t>7、支持文搜功能，可通过文字语义描述快速检索目标对象或内容；支持对人体、车、非机动车、物品、动物、基础事件、设备功能进行检索，支持秒级查看文搜检索的结果，并可基于结果对目标进行图搜的二次精准检索。</w:t>
            </w:r>
            <w:r>
              <w:rPr>
                <w:rFonts w:hint="eastAsia"/>
                <w:sz w:val="21"/>
                <w:szCs w:val="21"/>
                <w:lang w:val="en-US" w:eastAsia="zh-CN"/>
              </w:rPr>
              <w:br w:type="textWrapping"/>
            </w:r>
            <w:r>
              <w:rPr>
                <w:rFonts w:hint="eastAsia"/>
                <w:sz w:val="21"/>
                <w:szCs w:val="21"/>
                <w:lang w:val="en-US" w:eastAsia="zh-CN"/>
              </w:rPr>
              <w:t>8、设备智能文搜应用模块可同时支持软键盘和硬键盘的文本输入，输入法支持连词和联想输入。</w:t>
            </w:r>
            <w:r>
              <w:rPr>
                <w:rFonts w:hint="eastAsia"/>
                <w:sz w:val="21"/>
                <w:szCs w:val="21"/>
                <w:lang w:val="en-US" w:eastAsia="zh-CN"/>
              </w:rPr>
              <w:br w:type="textWrapping"/>
            </w:r>
            <w:r>
              <w:rPr>
                <w:rFonts w:hint="eastAsia"/>
                <w:sz w:val="21"/>
                <w:szCs w:val="21"/>
                <w:lang w:val="en-US" w:eastAsia="zh-CN"/>
              </w:rPr>
              <w:t>9、支持文本布控功能，可通过文字语义描述，布控目标对象或内容；支持对人体、车辆、非机动车、物品、动物、基础事件进行检测并报警；触发报警可联动录像、抓图、蜂鸣报警、轮巡、云台联动以及日志记录。</w:t>
            </w:r>
            <w:r>
              <w:rPr>
                <w:rFonts w:hint="eastAsia"/>
                <w:sz w:val="21"/>
                <w:szCs w:val="21"/>
                <w:lang w:val="en-US" w:eastAsia="zh-CN"/>
              </w:rPr>
              <w:br w:type="textWrapping"/>
            </w:r>
            <w:r>
              <w:rPr>
                <w:rFonts w:hint="eastAsia"/>
                <w:sz w:val="21"/>
                <w:szCs w:val="21"/>
                <w:lang w:val="en-US" w:eastAsia="zh-CN"/>
              </w:rPr>
              <w:t>10、≥2个内置SATA接口，单盘最大容量支持26T。</w:t>
            </w:r>
            <w:r>
              <w:rPr>
                <w:rFonts w:hint="eastAsia"/>
                <w:sz w:val="21"/>
                <w:szCs w:val="21"/>
                <w:lang w:val="en-US" w:eastAsia="zh-CN"/>
              </w:rPr>
              <w:br w:type="textWrapping"/>
            </w:r>
            <w:r>
              <w:rPr>
                <w:rFonts w:hint="eastAsia"/>
                <w:sz w:val="21"/>
                <w:szCs w:val="21"/>
                <w:lang w:val="en-US" w:eastAsia="zh-CN"/>
              </w:rPr>
              <w:t>11、▲≥4路报警输入、≥2路报警输出、≥1个USB 2.0接口、≥1个USB 3.0接口、≥1个千兆以太网口、≥1路VGA输出口、≥1路HDMI输出口；HDMI和VGA异源输出，HDMI为辅屏时支持8K显示。</w:t>
            </w:r>
            <w:r>
              <w:rPr>
                <w:rFonts w:hint="eastAsia"/>
                <w:sz w:val="21"/>
                <w:szCs w:val="21"/>
                <w:lang w:val="en-US" w:eastAsia="zh-CN"/>
              </w:rPr>
              <w:br w:type="textWrapping"/>
            </w:r>
            <w:r>
              <w:rPr>
                <w:rFonts w:hint="eastAsia"/>
                <w:sz w:val="21"/>
                <w:szCs w:val="21"/>
                <w:lang w:val="en-US" w:eastAsia="zh-CN"/>
              </w:rPr>
              <w:t>12、支持Smart H.265/H.265/Smart H.264/H.264，支持一键添加IPC并自动切换到H.265。</w:t>
            </w:r>
            <w:r>
              <w:rPr>
                <w:rFonts w:hint="eastAsia"/>
                <w:sz w:val="21"/>
                <w:szCs w:val="21"/>
                <w:lang w:val="en-US" w:eastAsia="zh-CN"/>
              </w:rPr>
              <w:br w:type="textWrapping"/>
            </w:r>
            <w:r>
              <w:rPr>
                <w:rFonts w:hint="eastAsia"/>
                <w:sz w:val="21"/>
                <w:szCs w:val="21"/>
                <w:lang w:val="en-US" w:eastAsia="zh-CN"/>
              </w:rPr>
              <w:t>13、支持IPv4、IPv6、HTTP、UPnP、NTP、 RTSP、SADP、SNMP、PPPoE、DNS、FTP、ONVIF网络协议。</w:t>
            </w:r>
            <w:r>
              <w:rPr>
                <w:rFonts w:hint="eastAsia"/>
                <w:sz w:val="21"/>
                <w:szCs w:val="21"/>
                <w:lang w:val="en-US" w:eastAsia="zh-CN"/>
              </w:rPr>
              <w:br w:type="textWrapping"/>
            </w:r>
            <w:r>
              <w:rPr>
                <w:rFonts w:hint="eastAsia"/>
                <w:sz w:val="21"/>
                <w:szCs w:val="21"/>
                <w:lang w:val="en-US" w:eastAsia="zh-CN"/>
              </w:rPr>
              <w:t>14、支持硬盘、外接USB存储设备、DVD刻录等存储方式，支持U盘，DVD刻录备份方式。</w:t>
            </w:r>
            <w:r>
              <w:rPr>
                <w:rFonts w:hint="eastAsia"/>
                <w:sz w:val="21"/>
                <w:szCs w:val="21"/>
                <w:lang w:val="en-US" w:eastAsia="zh-CN"/>
              </w:rPr>
              <w:br w:type="textWrapping"/>
            </w:r>
            <w:r>
              <w:rPr>
                <w:rFonts w:hint="eastAsia"/>
                <w:sz w:val="21"/>
                <w:szCs w:val="21"/>
                <w:lang w:val="en-US" w:eastAsia="zh-CN"/>
              </w:rPr>
              <w:t>15、支持切片回放功能，将录像切片等分成若干段视频进行多路同时回放。</w:t>
            </w:r>
            <w:r>
              <w:rPr>
                <w:rFonts w:hint="eastAsia"/>
                <w:sz w:val="21"/>
                <w:szCs w:val="21"/>
                <w:lang w:val="en-US" w:eastAsia="zh-CN"/>
              </w:rPr>
              <w:br w:type="textWrapping"/>
            </w:r>
            <w:r>
              <w:rPr>
                <w:rFonts w:hint="eastAsia"/>
                <w:sz w:val="21"/>
                <w:szCs w:val="21"/>
                <w:lang w:val="en-US" w:eastAsia="zh-CN"/>
              </w:rPr>
              <w:t>16、支持即时回放功能，在预览画面下回放指定通道的录像。</w:t>
            </w:r>
            <w:r>
              <w:rPr>
                <w:rFonts w:hint="eastAsia"/>
                <w:sz w:val="21"/>
                <w:szCs w:val="21"/>
                <w:lang w:val="en-US" w:eastAsia="zh-CN"/>
              </w:rPr>
              <w:br w:type="textWrapping"/>
            </w:r>
            <w:r>
              <w:rPr>
                <w:rFonts w:hint="eastAsia"/>
                <w:sz w:val="21"/>
                <w:szCs w:val="21"/>
                <w:lang w:val="en-US" w:eastAsia="zh-CN"/>
              </w:rPr>
              <w:t>17、支持盘组管理功能，实现视频录像的定向存储。</w:t>
            </w:r>
            <w:r>
              <w:rPr>
                <w:rFonts w:hint="eastAsia"/>
                <w:sz w:val="21"/>
                <w:szCs w:val="21"/>
                <w:lang w:val="en-US" w:eastAsia="zh-CN"/>
              </w:rPr>
              <w:br w:type="textWrapping"/>
            </w:r>
            <w:r>
              <w:rPr>
                <w:rFonts w:hint="eastAsia"/>
                <w:sz w:val="21"/>
                <w:szCs w:val="21"/>
                <w:lang w:val="en-US" w:eastAsia="zh-CN"/>
              </w:rPr>
              <w:t>18、支持配额管理功能，实现按通道分配不同的录像天数进行存储。</w:t>
            </w:r>
            <w:r>
              <w:rPr>
                <w:rFonts w:hint="eastAsia"/>
                <w:sz w:val="21"/>
                <w:szCs w:val="21"/>
                <w:lang w:val="en-US" w:eastAsia="zh-CN"/>
              </w:rPr>
              <w:br w:type="textWrapping"/>
            </w:r>
            <w:r>
              <w:rPr>
                <w:rFonts w:hint="eastAsia"/>
                <w:sz w:val="21"/>
                <w:szCs w:val="21"/>
                <w:lang w:val="en-US" w:eastAsia="zh-CN"/>
              </w:rPr>
              <w:t>19、支持语音对讲，客户端、WEB与NVR之间以及通过NVR与网络摄像机之间进行语音对讲；NVR与网络摄像机之间进行语音对讲。</w:t>
            </w:r>
            <w:r>
              <w:rPr>
                <w:rFonts w:hint="eastAsia"/>
                <w:sz w:val="21"/>
                <w:szCs w:val="21"/>
                <w:lang w:val="en-US" w:eastAsia="zh-CN"/>
              </w:rPr>
              <w:br w:type="textWrapping"/>
            </w:r>
            <w:r>
              <w:rPr>
                <w:rFonts w:hint="eastAsia"/>
                <w:sz w:val="21"/>
                <w:szCs w:val="21"/>
                <w:lang w:val="en-US" w:eastAsia="zh-CN"/>
              </w:rPr>
              <w:t>20、支持断网续传功能，能对前端摄像机断网这段时间内SD卡中的录像回传到NVR。</w:t>
            </w:r>
            <w:r>
              <w:rPr>
                <w:rFonts w:hint="eastAsia"/>
                <w:sz w:val="21"/>
                <w:szCs w:val="21"/>
                <w:lang w:val="en-US" w:eastAsia="zh-CN"/>
              </w:rPr>
              <w:br w:type="textWrapping"/>
            </w:r>
            <w:r>
              <w:rPr>
                <w:rFonts w:hint="eastAsia"/>
                <w:sz w:val="21"/>
                <w:szCs w:val="21"/>
                <w:lang w:val="en-US" w:eastAsia="zh-CN"/>
              </w:rPr>
              <w:t>21、支持远程管理IPC功能，支持对前端IPC远程升级，支持远程对IPC的编码配置修改等操作。</w:t>
            </w:r>
            <w:r>
              <w:rPr>
                <w:rFonts w:hint="eastAsia"/>
                <w:sz w:val="21"/>
                <w:szCs w:val="21"/>
                <w:lang w:val="en-US" w:eastAsia="zh-CN"/>
              </w:rPr>
              <w:br w:type="textWrapping"/>
            </w:r>
            <w:r>
              <w:rPr>
                <w:rFonts w:hint="eastAsia"/>
                <w:sz w:val="21"/>
                <w:szCs w:val="21"/>
                <w:lang w:val="en-US" w:eastAsia="zh-CN"/>
              </w:rPr>
              <w:t>22、支持远程零通道预览功能，可将接入的多路视频图像多画面显示在一路视频图像上。</w:t>
            </w:r>
            <w:r>
              <w:rPr>
                <w:rFonts w:hint="eastAsia"/>
                <w:sz w:val="21"/>
                <w:szCs w:val="21"/>
                <w:lang w:val="en-US" w:eastAsia="zh-CN"/>
              </w:rPr>
              <w:br w:type="textWrapping"/>
            </w:r>
            <w:r>
              <w:rPr>
                <w:rFonts w:hint="eastAsia"/>
                <w:sz w:val="21"/>
                <w:szCs w:val="21"/>
                <w:lang w:val="en-US" w:eastAsia="zh-CN"/>
              </w:rPr>
              <w:t>23、支持走廊模式功能，支持IPC画面旋转90°或270°，成9:16走廊模式。</w:t>
            </w:r>
            <w:r>
              <w:rPr>
                <w:rFonts w:hint="eastAsia"/>
                <w:sz w:val="21"/>
                <w:szCs w:val="21"/>
                <w:lang w:val="en-US" w:eastAsia="zh-CN"/>
              </w:rPr>
              <w:br w:type="textWrapping"/>
            </w:r>
            <w:r>
              <w:rPr>
                <w:rFonts w:hint="eastAsia"/>
                <w:sz w:val="21"/>
                <w:szCs w:val="21"/>
                <w:lang w:val="en-US" w:eastAsia="zh-CN"/>
              </w:rPr>
              <w:t>24、支持预览通道拖动保存、自定义布局。</w:t>
            </w:r>
            <w:r>
              <w:rPr>
                <w:rFonts w:hint="eastAsia"/>
                <w:sz w:val="21"/>
                <w:szCs w:val="21"/>
                <w:lang w:val="en-US" w:eastAsia="zh-CN"/>
              </w:rPr>
              <w:br w:type="textWrapping"/>
            </w:r>
            <w:r>
              <w:rPr>
                <w:rFonts w:hint="eastAsia"/>
                <w:sz w:val="21"/>
                <w:szCs w:val="21"/>
                <w:lang w:val="en-US" w:eastAsia="zh-CN"/>
              </w:rPr>
              <w:t>25、支持iSCSI扩展存储功能，支持iSCSI方式对接IP SAN设备，实现扩容存储。</w:t>
            </w:r>
            <w:r>
              <w:rPr>
                <w:rFonts w:hint="eastAsia"/>
                <w:sz w:val="21"/>
                <w:szCs w:val="21"/>
                <w:lang w:val="en-US" w:eastAsia="zh-CN"/>
              </w:rPr>
              <w:br w:type="textWrapping"/>
            </w:r>
            <w:r>
              <w:rPr>
                <w:rFonts w:hint="eastAsia"/>
                <w:sz w:val="21"/>
                <w:szCs w:val="21"/>
                <w:lang w:val="en-US" w:eastAsia="zh-CN"/>
              </w:rPr>
              <w:t>26、支持电子云台，将全景画面中多个感兴趣区域提取成单独细节画面，当区域内有人、车目标经过时对应细节画面随目标跟踪展示。</w:t>
            </w:r>
            <w:r>
              <w:rPr>
                <w:rFonts w:hint="eastAsia"/>
                <w:sz w:val="21"/>
                <w:szCs w:val="21"/>
                <w:lang w:val="en-US" w:eastAsia="zh-CN"/>
              </w:rPr>
              <w:br w:type="textWrapping"/>
            </w:r>
            <w:r>
              <w:rPr>
                <w:rFonts w:hint="eastAsia"/>
                <w:sz w:val="21"/>
                <w:szCs w:val="21"/>
                <w:lang w:val="en-US" w:eastAsia="zh-CN"/>
              </w:rPr>
              <w:t>27、提供主动注册服务，前端相机支持以主动注册方式添加到设备上；支持主动注册客户端功能，设备可以以主动注册方式添加到平台。</w:t>
            </w:r>
            <w:r>
              <w:rPr>
                <w:rFonts w:hint="eastAsia"/>
                <w:sz w:val="21"/>
                <w:szCs w:val="21"/>
                <w:lang w:val="en-US" w:eastAsia="zh-CN"/>
              </w:rPr>
              <w:br w:type="textWrapping"/>
            </w:r>
            <w:r>
              <w:rPr>
                <w:rFonts w:hint="eastAsia"/>
                <w:sz w:val="21"/>
                <w:szCs w:val="21"/>
                <w:lang w:val="en-US" w:eastAsia="zh-CN"/>
              </w:rPr>
              <w:t>28、支持16路摘要精准精索。</w:t>
            </w:r>
            <w:r>
              <w:rPr>
                <w:rFonts w:hint="eastAsia"/>
                <w:sz w:val="21"/>
                <w:szCs w:val="21"/>
                <w:lang w:val="en-US" w:eastAsia="zh-CN"/>
              </w:rPr>
              <w:br w:type="textWrapping"/>
            </w:r>
            <w:r>
              <w:rPr>
                <w:rFonts w:hint="eastAsia"/>
                <w:sz w:val="21"/>
                <w:szCs w:val="21"/>
                <w:lang w:val="en-US" w:eastAsia="zh-CN"/>
              </w:rPr>
              <w:t>29、支持智能事件万能透传功能，用户可自定义添加前端事件码，当前端触发事件，NVR将记录事件日志并实时透传至上级平台。</w:t>
            </w:r>
            <w:r>
              <w:rPr>
                <w:rFonts w:hint="eastAsia"/>
                <w:sz w:val="21"/>
                <w:szCs w:val="21"/>
                <w:lang w:val="en-US" w:eastAsia="zh-CN"/>
              </w:rPr>
              <w:br w:type="textWrapping"/>
            </w:r>
            <w:r>
              <w:rPr>
                <w:rFonts w:hint="eastAsia"/>
                <w:sz w:val="21"/>
                <w:szCs w:val="21"/>
                <w:lang w:val="en-US" w:eastAsia="zh-CN"/>
              </w:rPr>
              <w:t>30、支持ANPR相机、道闸一体机等车牌识别设备，实现手动开闸，白名单自动放行，车辆信息查询等功能，支持≥9路。</w:t>
            </w:r>
          </w:p>
        </w:tc>
        <w:tc>
          <w:tcPr>
            <w:tcW w:w="580" w:type="dxa"/>
            <w:shd w:val="clear" w:color="auto" w:fill="auto"/>
            <w:vAlign w:val="center"/>
          </w:tcPr>
          <w:p w14:paraId="65F249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489E70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105A50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3520</w:t>
            </w:r>
          </w:p>
        </w:tc>
        <w:tc>
          <w:tcPr>
            <w:tcW w:w="1025" w:type="dxa"/>
            <w:shd w:val="clear" w:color="auto" w:fill="auto"/>
            <w:noWrap/>
            <w:vAlign w:val="center"/>
          </w:tcPr>
          <w:p w14:paraId="767CD65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3520</w:t>
            </w:r>
          </w:p>
        </w:tc>
        <w:tc>
          <w:tcPr>
            <w:tcW w:w="650" w:type="dxa"/>
            <w:shd w:val="clear" w:color="auto" w:fill="auto"/>
            <w:noWrap/>
            <w:vAlign w:val="center"/>
          </w:tcPr>
          <w:p w14:paraId="5A07D7E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1DD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6" w:hRule="atLeast"/>
          <w:jc w:val="center"/>
        </w:trPr>
        <w:tc>
          <w:tcPr>
            <w:tcW w:w="654" w:type="dxa"/>
            <w:shd w:val="clear" w:color="auto" w:fill="auto"/>
            <w:noWrap/>
            <w:vAlign w:val="center"/>
          </w:tcPr>
          <w:p w14:paraId="223A57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23A3F1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6T监控硬盘</w:t>
            </w:r>
          </w:p>
        </w:tc>
        <w:tc>
          <w:tcPr>
            <w:tcW w:w="4913" w:type="dxa"/>
            <w:shd w:val="clear" w:color="auto" w:fill="auto"/>
            <w:vAlign w:val="top"/>
          </w:tcPr>
          <w:p w14:paraId="74E05F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单盘容量：6TB；缓存：256MB；转速：5400RPM；硬盘接口：SATA。</w:t>
            </w:r>
          </w:p>
        </w:tc>
        <w:tc>
          <w:tcPr>
            <w:tcW w:w="580" w:type="dxa"/>
            <w:shd w:val="clear" w:color="auto" w:fill="auto"/>
            <w:vAlign w:val="center"/>
          </w:tcPr>
          <w:p w14:paraId="034F2E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6F1223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块</w:t>
            </w:r>
          </w:p>
        </w:tc>
        <w:tc>
          <w:tcPr>
            <w:tcW w:w="987" w:type="dxa"/>
            <w:shd w:val="clear" w:color="auto" w:fill="auto"/>
            <w:noWrap/>
            <w:vAlign w:val="center"/>
          </w:tcPr>
          <w:p w14:paraId="169457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2530</w:t>
            </w:r>
          </w:p>
        </w:tc>
        <w:tc>
          <w:tcPr>
            <w:tcW w:w="1025" w:type="dxa"/>
            <w:shd w:val="clear" w:color="auto" w:fill="auto"/>
            <w:noWrap/>
            <w:vAlign w:val="center"/>
          </w:tcPr>
          <w:p w14:paraId="49D5DCB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5060</w:t>
            </w:r>
          </w:p>
        </w:tc>
        <w:tc>
          <w:tcPr>
            <w:tcW w:w="650" w:type="dxa"/>
            <w:shd w:val="clear" w:color="auto" w:fill="auto"/>
            <w:noWrap/>
            <w:vAlign w:val="center"/>
          </w:tcPr>
          <w:p w14:paraId="5E4A41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BA8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096151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14E68A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电源时序器</w:t>
            </w:r>
          </w:p>
        </w:tc>
        <w:tc>
          <w:tcPr>
            <w:tcW w:w="4913" w:type="dxa"/>
            <w:shd w:val="clear" w:color="auto" w:fill="auto"/>
            <w:vAlign w:val="top"/>
          </w:tcPr>
          <w:p w14:paraId="5B0D66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1、标准机箱设计，1U铝合金面板，拉手+挂耳一体式设计，可与面板分离，适用于机柜或桌面安装。</w:t>
            </w:r>
            <w:r>
              <w:rPr>
                <w:rFonts w:hint="eastAsia"/>
                <w:sz w:val="21"/>
                <w:szCs w:val="21"/>
                <w:lang w:val="en-US" w:eastAsia="zh-CN"/>
              </w:rPr>
              <w:br w:type="textWrapping"/>
            </w:r>
            <w:r>
              <w:rPr>
                <w:rFonts w:hint="eastAsia"/>
                <w:sz w:val="21"/>
                <w:szCs w:val="21"/>
                <w:lang w:val="en-US" w:eastAsia="zh-CN"/>
              </w:rPr>
              <w:t>2、三芯电源输入缆线，带负载总电流可达50A。</w:t>
            </w:r>
            <w:r>
              <w:rPr>
                <w:rFonts w:hint="eastAsia"/>
                <w:sz w:val="21"/>
                <w:szCs w:val="21"/>
                <w:lang w:val="en-US" w:eastAsia="zh-CN"/>
              </w:rPr>
              <w:br w:type="textWrapping"/>
            </w:r>
            <w:r>
              <w:rPr>
                <w:rFonts w:hint="eastAsia"/>
                <w:sz w:val="21"/>
                <w:szCs w:val="21"/>
                <w:lang w:val="en-US" w:eastAsia="zh-CN"/>
              </w:rPr>
              <w:t>3、配置1只安全空气开关及1个时序开启/关闭按键开关，保障设备安全的同时，又便于操控。</w:t>
            </w:r>
            <w:r>
              <w:rPr>
                <w:rFonts w:hint="eastAsia"/>
                <w:sz w:val="21"/>
                <w:szCs w:val="21"/>
                <w:lang w:val="en-US" w:eastAsia="zh-CN"/>
              </w:rPr>
              <w:br w:type="textWrapping"/>
            </w:r>
            <w:r>
              <w:rPr>
                <w:rFonts w:hint="eastAsia"/>
                <w:sz w:val="21"/>
                <w:szCs w:val="21"/>
                <w:lang w:val="en-US" w:eastAsia="zh-CN"/>
              </w:rPr>
              <w:t>4、面板开关设计符合设备安全要求，顺序开启时序通道，逆序关闭时序通道。</w:t>
            </w:r>
            <w:r>
              <w:rPr>
                <w:rFonts w:hint="eastAsia"/>
                <w:sz w:val="21"/>
                <w:szCs w:val="21"/>
                <w:lang w:val="en-US" w:eastAsia="zh-CN"/>
              </w:rPr>
              <w:br w:type="textWrapping"/>
            </w:r>
            <w:r>
              <w:rPr>
                <w:rFonts w:hint="eastAsia"/>
                <w:sz w:val="21"/>
                <w:szCs w:val="21"/>
                <w:lang w:val="en-US" w:eastAsia="zh-CN"/>
              </w:rPr>
              <w:t>5、带8个LED指示灯显示，实时查看每个通道的工作状态。</w:t>
            </w:r>
            <w:r>
              <w:rPr>
                <w:rFonts w:hint="eastAsia"/>
                <w:sz w:val="21"/>
                <w:szCs w:val="21"/>
                <w:lang w:val="en-US" w:eastAsia="zh-CN"/>
              </w:rPr>
              <w:br w:type="textWrapping"/>
            </w:r>
            <w:r>
              <w:rPr>
                <w:rFonts w:hint="eastAsia"/>
                <w:sz w:val="21"/>
                <w:szCs w:val="21"/>
                <w:lang w:val="en-US" w:eastAsia="zh-CN"/>
              </w:rPr>
              <w:t>6、带2寸高清液晶显示屏，实时显示电压、电流、时间、操作菜单等信息。</w:t>
            </w:r>
            <w:r>
              <w:rPr>
                <w:rFonts w:hint="eastAsia"/>
                <w:sz w:val="21"/>
                <w:szCs w:val="21"/>
                <w:lang w:val="en-US" w:eastAsia="zh-CN"/>
              </w:rPr>
              <w:br w:type="textWrapping"/>
            </w:r>
            <w:r>
              <w:rPr>
                <w:rFonts w:hint="eastAsia"/>
                <w:sz w:val="21"/>
                <w:szCs w:val="21"/>
                <w:lang w:val="en-US" w:eastAsia="zh-CN"/>
              </w:rPr>
              <w:t>7、支持自定义定时开关控制编辑，支持修改时间，可设置定时程序，实现无人值守，并且可编辑任意通道的开启或关闭。</w:t>
            </w:r>
            <w:r>
              <w:rPr>
                <w:rFonts w:hint="eastAsia"/>
                <w:sz w:val="21"/>
                <w:szCs w:val="21"/>
                <w:lang w:val="en-US" w:eastAsia="zh-CN"/>
              </w:rPr>
              <w:br w:type="textWrapping"/>
            </w:r>
            <w:r>
              <w:rPr>
                <w:rFonts w:hint="eastAsia"/>
                <w:sz w:val="21"/>
                <w:szCs w:val="21"/>
                <w:lang w:val="en-US" w:eastAsia="zh-CN"/>
              </w:rPr>
              <w:t>8、内含CPU控制芯片，可自定义顺序开机和逆序关机，并且可根据使用场所不同，自定议设置开关机间隔时间（0-9秒）。</w:t>
            </w:r>
            <w:r>
              <w:rPr>
                <w:rFonts w:hint="eastAsia"/>
                <w:sz w:val="21"/>
                <w:szCs w:val="21"/>
                <w:lang w:val="en-US" w:eastAsia="zh-CN"/>
              </w:rPr>
              <w:br w:type="textWrapping"/>
            </w:r>
            <w:r>
              <w:rPr>
                <w:rFonts w:hint="eastAsia"/>
                <w:sz w:val="21"/>
                <w:szCs w:val="21"/>
                <w:lang w:val="en-US" w:eastAsia="zh-CN"/>
              </w:rPr>
              <w:t>9、采用一键飞梭旋钮操作，配合四个功能键，易于操控。</w:t>
            </w:r>
            <w:r>
              <w:rPr>
                <w:rFonts w:hint="eastAsia"/>
                <w:sz w:val="21"/>
                <w:szCs w:val="21"/>
                <w:lang w:val="en-US" w:eastAsia="zh-CN"/>
              </w:rPr>
              <w:br w:type="textWrapping"/>
            </w:r>
            <w:r>
              <w:rPr>
                <w:rFonts w:hint="eastAsia"/>
                <w:sz w:val="21"/>
                <w:szCs w:val="21"/>
                <w:lang w:val="en-US" w:eastAsia="zh-CN"/>
              </w:rPr>
              <w:t>10、两种工作模式，中控模式和编程模式，根据使用场所不同自由切换。</w:t>
            </w:r>
            <w:r>
              <w:rPr>
                <w:rFonts w:hint="eastAsia"/>
                <w:sz w:val="21"/>
                <w:szCs w:val="21"/>
                <w:lang w:val="en-US" w:eastAsia="zh-CN"/>
              </w:rPr>
              <w:br w:type="textWrapping"/>
            </w:r>
            <w:r>
              <w:rPr>
                <w:rFonts w:hint="eastAsia"/>
                <w:sz w:val="21"/>
                <w:szCs w:val="21"/>
                <w:lang w:val="en-US" w:eastAsia="zh-CN"/>
              </w:rPr>
              <w:t>11、后面板带8路多功能标准插座输出。</w:t>
            </w:r>
            <w:r>
              <w:rPr>
                <w:rFonts w:hint="eastAsia"/>
                <w:sz w:val="21"/>
                <w:szCs w:val="21"/>
                <w:lang w:val="en-US" w:eastAsia="zh-CN"/>
              </w:rPr>
              <w:br w:type="textWrapping"/>
            </w:r>
            <w:r>
              <w:rPr>
                <w:rFonts w:hint="eastAsia"/>
                <w:sz w:val="21"/>
                <w:szCs w:val="21"/>
                <w:lang w:val="en-US" w:eastAsia="zh-CN"/>
              </w:rPr>
              <w:t>12、前面板配1路直通220V电源座，2路USB DC-5V座，1A直流供电接口，用于调试照明或手机/平板充电。</w:t>
            </w:r>
            <w:r>
              <w:rPr>
                <w:rFonts w:hint="eastAsia"/>
                <w:sz w:val="21"/>
                <w:szCs w:val="21"/>
                <w:lang w:val="en-US" w:eastAsia="zh-CN"/>
              </w:rPr>
              <w:br w:type="textWrapping"/>
            </w:r>
            <w:r>
              <w:rPr>
                <w:rFonts w:hint="eastAsia"/>
                <w:sz w:val="21"/>
                <w:szCs w:val="21"/>
                <w:lang w:val="en-US" w:eastAsia="zh-CN"/>
              </w:rPr>
              <w:t>13、带RJ45网口，配合系统软件或控制主机，通过TCP/IP协议远程开关机控制，可控制单路或多路电源开启/关闭。</w:t>
            </w:r>
            <w:r>
              <w:rPr>
                <w:rFonts w:hint="eastAsia"/>
                <w:sz w:val="21"/>
                <w:szCs w:val="21"/>
                <w:lang w:val="en-US" w:eastAsia="zh-CN"/>
              </w:rPr>
              <w:br w:type="textWrapping"/>
            </w:r>
            <w:r>
              <w:rPr>
                <w:rFonts w:hint="eastAsia"/>
                <w:sz w:val="21"/>
                <w:szCs w:val="21"/>
                <w:lang w:val="en-US" w:eastAsia="zh-CN"/>
              </w:rPr>
              <w:t>14、带232和485智能化控制接口，具有标准串口控制功能，可连接中控系统。</w:t>
            </w:r>
            <w:r>
              <w:rPr>
                <w:rFonts w:hint="eastAsia"/>
                <w:sz w:val="21"/>
                <w:szCs w:val="21"/>
                <w:lang w:val="en-US" w:eastAsia="zh-CN"/>
              </w:rPr>
              <w:br w:type="textWrapping"/>
            </w:r>
            <w:r>
              <w:rPr>
                <w:rFonts w:hint="eastAsia"/>
                <w:sz w:val="21"/>
                <w:szCs w:val="21"/>
                <w:lang w:val="en-US" w:eastAsia="zh-CN"/>
              </w:rPr>
              <w:t>15、带短路信号输入输出接口，可接入短路信号进行开关机控制，同时可级联至下一台设备。</w:t>
            </w:r>
            <w:r>
              <w:rPr>
                <w:rFonts w:hint="eastAsia"/>
                <w:sz w:val="21"/>
                <w:szCs w:val="21"/>
                <w:lang w:val="en-US" w:eastAsia="zh-CN"/>
              </w:rPr>
              <w:br w:type="textWrapping"/>
            </w:r>
            <w:r>
              <w:rPr>
                <w:rFonts w:hint="eastAsia"/>
                <w:sz w:val="21"/>
                <w:szCs w:val="21"/>
                <w:lang w:val="en-US" w:eastAsia="zh-CN"/>
              </w:rPr>
              <w:t>16、支持一键恢复出厂参数设置，便于管理。</w:t>
            </w:r>
          </w:p>
        </w:tc>
        <w:tc>
          <w:tcPr>
            <w:tcW w:w="580" w:type="dxa"/>
            <w:shd w:val="clear" w:color="auto" w:fill="auto"/>
            <w:vAlign w:val="center"/>
          </w:tcPr>
          <w:p w14:paraId="60E2C8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FC3DE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70AC981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1585</w:t>
            </w:r>
          </w:p>
        </w:tc>
        <w:tc>
          <w:tcPr>
            <w:tcW w:w="1025" w:type="dxa"/>
            <w:shd w:val="clear" w:color="auto" w:fill="auto"/>
            <w:noWrap/>
            <w:vAlign w:val="center"/>
          </w:tcPr>
          <w:p w14:paraId="050900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1585</w:t>
            </w:r>
          </w:p>
        </w:tc>
        <w:tc>
          <w:tcPr>
            <w:tcW w:w="650" w:type="dxa"/>
            <w:shd w:val="clear" w:color="auto" w:fill="auto"/>
            <w:noWrap/>
            <w:vAlign w:val="center"/>
          </w:tcPr>
          <w:p w14:paraId="1E079D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2DE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2CB62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760BEC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摄像头</w:t>
            </w:r>
          </w:p>
        </w:tc>
        <w:tc>
          <w:tcPr>
            <w:tcW w:w="4913" w:type="dxa"/>
            <w:shd w:val="clear" w:color="auto" w:fill="auto"/>
            <w:vAlign w:val="top"/>
          </w:tcPr>
          <w:p w14:paraId="1EAD86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1、▲采用≥1/2.7英寸CMOS图像传感器，主码流可输出3840×2160@25fps。</w:t>
            </w:r>
            <w:r>
              <w:rPr>
                <w:rFonts w:hint="eastAsia"/>
                <w:sz w:val="21"/>
                <w:szCs w:val="21"/>
                <w:lang w:val="en-US" w:eastAsia="zh-CN"/>
              </w:rPr>
              <w:br w:type="textWrapping"/>
            </w:r>
            <w:r>
              <w:rPr>
                <w:rFonts w:hint="eastAsia"/>
                <w:sz w:val="21"/>
                <w:szCs w:val="21"/>
                <w:lang w:val="en-US" w:eastAsia="zh-CN"/>
              </w:rPr>
              <w:t>2、采用电动变焦镜头，焦距范围满足：2.7-12mm。</w:t>
            </w:r>
            <w:r>
              <w:rPr>
                <w:rFonts w:hint="eastAsia"/>
                <w:sz w:val="21"/>
                <w:szCs w:val="21"/>
                <w:lang w:val="en-US" w:eastAsia="zh-CN"/>
              </w:rPr>
              <w:br w:type="textWrapping"/>
            </w:r>
            <w:r>
              <w:rPr>
                <w:rFonts w:hint="eastAsia"/>
                <w:sz w:val="21"/>
                <w:szCs w:val="21"/>
                <w:lang w:val="en-US" w:eastAsia="zh-CN"/>
              </w:rPr>
              <w:t>3、内置≥1个暖光灯和≥2个红外补光灯，红外监控距离≥50米，暖光监控距离≥20米。</w:t>
            </w:r>
            <w:r>
              <w:rPr>
                <w:rFonts w:hint="eastAsia"/>
                <w:sz w:val="21"/>
                <w:szCs w:val="21"/>
                <w:lang w:val="en-US" w:eastAsia="zh-CN"/>
              </w:rPr>
              <w:br w:type="textWrapping"/>
            </w:r>
            <w:r>
              <w:rPr>
                <w:rFonts w:hint="eastAsia"/>
                <w:sz w:val="21"/>
                <w:szCs w:val="21"/>
                <w:lang w:val="en-US" w:eastAsia="zh-CN"/>
              </w:rPr>
              <w:t>4、支持人脸检测，支持人脸抓图增强、人脸曝光，支持人脸属性提取，支持按照GA/T 1400协议标准上报图片与结构化数据。</w:t>
            </w:r>
            <w:r>
              <w:rPr>
                <w:rFonts w:hint="eastAsia"/>
                <w:sz w:val="21"/>
                <w:szCs w:val="21"/>
                <w:lang w:val="en-US" w:eastAsia="zh-CN"/>
              </w:rPr>
              <w:br w:type="textWrapping"/>
            </w:r>
            <w:r>
              <w:rPr>
                <w:rFonts w:hint="eastAsia"/>
                <w:sz w:val="21"/>
                <w:szCs w:val="21"/>
                <w:lang w:val="en-US" w:eastAsia="zh-CN"/>
              </w:rPr>
              <w:t>5、支持车辆检测：支持机动车抓拍及报警联动，支持机动车号牌识别，支持按照GA/T 1400协议标准上报图片与结构化数据。</w:t>
            </w:r>
            <w:r>
              <w:rPr>
                <w:rFonts w:hint="eastAsia"/>
                <w:sz w:val="21"/>
                <w:szCs w:val="21"/>
                <w:lang w:val="en-US" w:eastAsia="zh-CN"/>
              </w:rPr>
              <w:br w:type="textWrapping"/>
            </w:r>
            <w:r>
              <w:rPr>
                <w:rFonts w:hint="eastAsia"/>
                <w:sz w:val="21"/>
                <w:szCs w:val="21"/>
                <w:lang w:val="en-US" w:eastAsia="zh-CN"/>
              </w:rPr>
              <w:t>6、启用绊线入侵或区域入侵检测时，支持针对人、机动车、动物3类有效目标进行检测,并触发报警和设置事件联动。</w:t>
            </w:r>
            <w:r>
              <w:rPr>
                <w:rFonts w:hint="eastAsia"/>
                <w:sz w:val="21"/>
                <w:szCs w:val="21"/>
                <w:lang w:val="en-US" w:eastAsia="zh-CN"/>
              </w:rPr>
              <w:br w:type="textWrapping"/>
            </w:r>
            <w:r>
              <w:rPr>
                <w:rFonts w:hint="eastAsia"/>
                <w:sz w:val="21"/>
                <w:szCs w:val="21"/>
                <w:lang w:val="en-US" w:eastAsia="zh-CN"/>
              </w:rPr>
              <w:t>7、支持声光报警联动，当报警产生时，可触发联动声音警报和灯光闪烁</w:t>
            </w:r>
            <w:r>
              <w:rPr>
                <w:rFonts w:hint="eastAsia"/>
                <w:sz w:val="21"/>
                <w:szCs w:val="21"/>
                <w:lang w:val="en-US" w:eastAsia="zh-CN"/>
              </w:rPr>
              <w:br w:type="textWrapping"/>
            </w:r>
            <w:r>
              <w:rPr>
                <w:rFonts w:hint="eastAsia"/>
                <w:sz w:val="21"/>
                <w:szCs w:val="21"/>
                <w:lang w:val="en-US" w:eastAsia="zh-CN"/>
              </w:rPr>
              <w:t>8、支持一键撤防，可在自定义设置的时间段内对报警输出，邮件，音频，灯光等事件联动项进行统一撤防控制。</w:t>
            </w:r>
            <w:r>
              <w:rPr>
                <w:rFonts w:hint="eastAsia"/>
                <w:sz w:val="21"/>
                <w:szCs w:val="21"/>
                <w:lang w:val="en-US" w:eastAsia="zh-CN"/>
              </w:rPr>
              <w:br w:type="textWrapping"/>
            </w:r>
            <w:r>
              <w:rPr>
                <w:rFonts w:hint="eastAsia"/>
                <w:sz w:val="21"/>
                <w:szCs w:val="21"/>
                <w:lang w:val="en-US" w:eastAsia="zh-CN"/>
              </w:rPr>
              <w:t>9、环境照度不高于0.51x，开启超感光功能后,可自动调节画面中人脸、人体目标以及环境景物的亮度、色彩饱和度、对比度、锐度。</w:t>
            </w:r>
            <w:r>
              <w:rPr>
                <w:rFonts w:hint="eastAsia"/>
                <w:sz w:val="21"/>
                <w:szCs w:val="21"/>
                <w:lang w:val="en-US" w:eastAsia="zh-CN"/>
              </w:rPr>
              <w:br w:type="textWrapping"/>
            </w:r>
            <w:r>
              <w:rPr>
                <w:rFonts w:hint="eastAsia"/>
                <w:sz w:val="21"/>
                <w:szCs w:val="21"/>
                <w:lang w:val="en-US" w:eastAsia="zh-CN"/>
              </w:rPr>
              <w:t>10、支持定时语音播报，可添加≥10个不同语音文件,可设置时间优先、次数优先,播放间隔可设置,支持针对不同语音单独配置播放时间计划。</w:t>
            </w:r>
            <w:r>
              <w:rPr>
                <w:rFonts w:hint="eastAsia"/>
                <w:sz w:val="21"/>
                <w:szCs w:val="21"/>
                <w:lang w:val="en-US" w:eastAsia="zh-CN"/>
              </w:rPr>
              <w:br w:type="textWrapping"/>
            </w:r>
            <w:r>
              <w:rPr>
                <w:rFonts w:hint="eastAsia"/>
                <w:sz w:val="21"/>
                <w:szCs w:val="21"/>
                <w:lang w:val="en-US" w:eastAsia="zh-CN"/>
              </w:rPr>
              <w:t>11、▲支持报警2进2出，音频1进1出，485，支持≥1TB Micro SD卡，内置双麦克和扬声器。</w:t>
            </w:r>
            <w:r>
              <w:rPr>
                <w:rFonts w:hint="eastAsia"/>
                <w:sz w:val="21"/>
                <w:szCs w:val="21"/>
                <w:lang w:val="en-US" w:eastAsia="zh-CN"/>
              </w:rPr>
              <w:br w:type="textWrapping"/>
            </w:r>
            <w:r>
              <w:rPr>
                <w:rFonts w:hint="eastAsia"/>
                <w:sz w:val="21"/>
                <w:szCs w:val="21"/>
                <w:lang w:val="en-US" w:eastAsia="zh-CN"/>
              </w:rPr>
              <w:t>12、支持通过RS-485接口接入温湿度传感器和电量传感器，可对传感器的超限数据进行报警联动。</w:t>
            </w:r>
            <w:r>
              <w:rPr>
                <w:rFonts w:hint="eastAsia"/>
                <w:sz w:val="21"/>
                <w:szCs w:val="21"/>
                <w:lang w:val="en-US" w:eastAsia="zh-CN"/>
              </w:rPr>
              <w:br w:type="textWrapping"/>
            </w:r>
            <w:r>
              <w:rPr>
                <w:rFonts w:hint="eastAsia"/>
                <w:sz w:val="21"/>
                <w:szCs w:val="21"/>
                <w:lang w:val="en-US" w:eastAsia="zh-CN"/>
              </w:rPr>
              <w:t>13、供电方式：DC12V/PoE，支持电源热备份，支持12V电源返送，最大电流165mA，峰值电流700mA。</w:t>
            </w:r>
            <w:r>
              <w:rPr>
                <w:rFonts w:hint="eastAsia"/>
                <w:sz w:val="21"/>
                <w:szCs w:val="21"/>
                <w:lang w:val="en-US" w:eastAsia="zh-CN"/>
              </w:rPr>
              <w:br w:type="textWrapping"/>
            </w:r>
            <w:r>
              <w:rPr>
                <w:rFonts w:hint="eastAsia"/>
                <w:sz w:val="21"/>
                <w:szCs w:val="21"/>
                <w:lang w:val="en-US" w:eastAsia="zh-CN"/>
              </w:rPr>
              <w:t>14、▲防护等级：IP67，IK10。</w:t>
            </w:r>
          </w:p>
        </w:tc>
        <w:tc>
          <w:tcPr>
            <w:tcW w:w="580" w:type="dxa"/>
            <w:shd w:val="clear" w:color="auto" w:fill="auto"/>
            <w:vAlign w:val="center"/>
          </w:tcPr>
          <w:p w14:paraId="264D2D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700" w:type="dxa"/>
            <w:shd w:val="clear" w:color="auto" w:fill="auto"/>
            <w:vAlign w:val="center"/>
          </w:tcPr>
          <w:p w14:paraId="2007C1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765A0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1568</w:t>
            </w:r>
          </w:p>
        </w:tc>
        <w:tc>
          <w:tcPr>
            <w:tcW w:w="1025" w:type="dxa"/>
            <w:shd w:val="clear" w:color="auto" w:fill="auto"/>
            <w:noWrap/>
            <w:vAlign w:val="center"/>
          </w:tcPr>
          <w:p w14:paraId="401E9E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7840</w:t>
            </w:r>
          </w:p>
        </w:tc>
        <w:tc>
          <w:tcPr>
            <w:tcW w:w="650" w:type="dxa"/>
            <w:shd w:val="clear" w:color="auto" w:fill="auto"/>
            <w:noWrap/>
            <w:vAlign w:val="center"/>
          </w:tcPr>
          <w:p w14:paraId="02014E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D79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 w:hRule="atLeast"/>
          <w:jc w:val="center"/>
        </w:trPr>
        <w:tc>
          <w:tcPr>
            <w:tcW w:w="654" w:type="dxa"/>
            <w:shd w:val="clear" w:color="auto" w:fill="auto"/>
            <w:noWrap/>
            <w:vAlign w:val="center"/>
          </w:tcPr>
          <w:p w14:paraId="04F03C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57522C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一拖四无线双振膜会议话筒</w:t>
            </w:r>
          </w:p>
        </w:tc>
        <w:tc>
          <w:tcPr>
            <w:tcW w:w="4913" w:type="dxa"/>
            <w:shd w:val="clear" w:color="auto" w:fill="auto"/>
            <w:vAlign w:val="top"/>
          </w:tcPr>
          <w:p w14:paraId="41B992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1、采用EEPROM芯片及数字会议技术，实现数字化信号传输与处理.</w:t>
            </w:r>
            <w:r>
              <w:rPr>
                <w:rFonts w:hint="eastAsia"/>
                <w:sz w:val="21"/>
                <w:szCs w:val="21"/>
                <w:lang w:val="en-US" w:eastAsia="zh-CN"/>
              </w:rPr>
              <w:br w:type="textWrapping"/>
            </w:r>
            <w:r>
              <w:rPr>
                <w:rFonts w:hint="eastAsia"/>
                <w:sz w:val="21"/>
                <w:szCs w:val="21"/>
                <w:lang w:val="en-US" w:eastAsia="zh-CN"/>
              </w:rPr>
              <w:t>2、采用UHF四通道多频道设计，运用高精度锁相环频率合成PLL技术，传输更稳定。</w:t>
            </w:r>
            <w:r>
              <w:rPr>
                <w:rFonts w:hint="eastAsia"/>
                <w:sz w:val="21"/>
                <w:szCs w:val="21"/>
                <w:lang w:val="en-US" w:eastAsia="zh-CN"/>
              </w:rPr>
              <w:br w:type="textWrapping"/>
            </w:r>
            <w:r>
              <w:rPr>
                <w:rFonts w:hint="eastAsia"/>
                <w:sz w:val="21"/>
                <w:szCs w:val="21"/>
                <w:lang w:val="en-US" w:eastAsia="zh-CN"/>
              </w:rPr>
              <w:t>3、无线充电过充中具备温度、过压、磁场、短路、过充、过流等自动保护功能。</w:t>
            </w:r>
            <w:r>
              <w:rPr>
                <w:rFonts w:hint="eastAsia"/>
                <w:sz w:val="21"/>
                <w:szCs w:val="21"/>
                <w:lang w:val="en-US" w:eastAsia="zh-CN"/>
              </w:rPr>
              <w:br w:type="textWrapping"/>
            </w:r>
            <w:r>
              <w:rPr>
                <w:rFonts w:hint="eastAsia"/>
                <w:sz w:val="21"/>
                <w:szCs w:val="21"/>
                <w:lang w:val="en-US" w:eastAsia="zh-CN"/>
              </w:rPr>
              <w:t>4、采用610-695MHz频段，具备240个频点可调，方便多套使用，避开各类干扰。</w:t>
            </w:r>
            <w:r>
              <w:rPr>
                <w:rFonts w:hint="eastAsia"/>
                <w:sz w:val="21"/>
                <w:szCs w:val="21"/>
                <w:lang w:val="en-US" w:eastAsia="zh-CN"/>
              </w:rPr>
              <w:br w:type="textWrapping"/>
            </w:r>
            <w:r>
              <w:rPr>
                <w:rFonts w:hint="eastAsia"/>
                <w:sz w:val="21"/>
                <w:szCs w:val="21"/>
                <w:lang w:val="en-US" w:eastAsia="zh-CN"/>
              </w:rPr>
              <w:t>5、主机采用拨轮式操控，搭载2.0"高亮度LCD显示屏，可动态显示系统信号强度、音量、通道、频点数值、扫频等信息。</w:t>
            </w:r>
            <w:r>
              <w:rPr>
                <w:rFonts w:hint="eastAsia"/>
                <w:sz w:val="21"/>
                <w:szCs w:val="21"/>
                <w:lang w:val="en-US" w:eastAsia="zh-CN"/>
              </w:rPr>
              <w:br w:type="textWrapping"/>
            </w:r>
            <w:r>
              <w:rPr>
                <w:rFonts w:hint="eastAsia"/>
                <w:sz w:val="21"/>
                <w:szCs w:val="21"/>
                <w:lang w:val="en-US" w:eastAsia="zh-CN"/>
              </w:rPr>
              <w:t>6、话筒采用2.0"高亮度LCD显示屏，可动态显示单元电量、音量、通道、信号等信息。</w:t>
            </w:r>
            <w:r>
              <w:rPr>
                <w:rFonts w:hint="eastAsia"/>
                <w:sz w:val="21"/>
                <w:szCs w:val="21"/>
                <w:lang w:val="en-US" w:eastAsia="zh-CN"/>
              </w:rPr>
              <w:br w:type="textWrapping"/>
            </w:r>
            <w:r>
              <w:rPr>
                <w:rFonts w:hint="eastAsia"/>
                <w:sz w:val="21"/>
                <w:szCs w:val="21"/>
                <w:lang w:val="en-US" w:eastAsia="zh-CN"/>
              </w:rPr>
              <w:t>7、具备发言计时及定时发言功能，支持发言时间动态显示。</w:t>
            </w:r>
            <w:r>
              <w:rPr>
                <w:rFonts w:hint="eastAsia"/>
                <w:sz w:val="21"/>
                <w:szCs w:val="21"/>
                <w:lang w:val="en-US" w:eastAsia="zh-CN"/>
              </w:rPr>
              <w:br w:type="textWrapping"/>
            </w:r>
            <w:r>
              <w:rPr>
                <w:rFonts w:hint="eastAsia"/>
                <w:sz w:val="21"/>
                <w:szCs w:val="21"/>
                <w:lang w:val="en-US" w:eastAsia="zh-CN"/>
              </w:rPr>
              <w:t>8、系统具备自动搜索选择频率及ACT（自动频道追锁）功能。</w:t>
            </w:r>
            <w:r>
              <w:rPr>
                <w:rFonts w:hint="eastAsia"/>
                <w:sz w:val="21"/>
                <w:szCs w:val="21"/>
                <w:lang w:val="en-US" w:eastAsia="zh-CN"/>
              </w:rPr>
              <w:br w:type="textWrapping"/>
            </w:r>
            <w:r>
              <w:rPr>
                <w:rFonts w:hint="eastAsia"/>
                <w:sz w:val="21"/>
                <w:szCs w:val="21"/>
                <w:lang w:val="en-US" w:eastAsia="zh-CN"/>
              </w:rPr>
              <w:t>9、采用铝合金方柱形高品质话筒杆，内置2×14毫米高保真镀金电容式拾音头。</w:t>
            </w:r>
            <w:r>
              <w:rPr>
                <w:rFonts w:hint="eastAsia"/>
                <w:sz w:val="21"/>
                <w:szCs w:val="21"/>
                <w:lang w:val="en-US" w:eastAsia="zh-CN"/>
              </w:rPr>
              <w:br w:type="textWrapping"/>
            </w:r>
            <w:r>
              <w:rPr>
                <w:rFonts w:hint="eastAsia"/>
                <w:sz w:val="21"/>
                <w:szCs w:val="21"/>
                <w:lang w:val="en-US" w:eastAsia="zh-CN"/>
              </w:rPr>
              <w:t>10、非贴网式，采用全包围钢网一体成型拾音设计，搭载直径0.4mm高密度声干涉孔可精准控制拾音。</w:t>
            </w:r>
            <w:r>
              <w:rPr>
                <w:rFonts w:hint="eastAsia"/>
                <w:sz w:val="21"/>
                <w:szCs w:val="21"/>
                <w:lang w:val="en-US" w:eastAsia="zh-CN"/>
              </w:rPr>
              <w:br w:type="textWrapping"/>
            </w:r>
            <w:r>
              <w:rPr>
                <w:rFonts w:hint="eastAsia"/>
                <w:sz w:val="21"/>
                <w:szCs w:val="21"/>
                <w:lang w:val="en-US" w:eastAsia="zh-CN"/>
              </w:rPr>
              <w:t>11、高灵敏度设计，内置自动增益AGC功能，有效拾音距离可达60-100cm。</w:t>
            </w:r>
            <w:r>
              <w:rPr>
                <w:rFonts w:hint="eastAsia"/>
                <w:sz w:val="21"/>
                <w:szCs w:val="21"/>
                <w:lang w:val="en-US" w:eastAsia="zh-CN"/>
              </w:rPr>
              <w:br w:type="textWrapping"/>
            </w:r>
            <w:r>
              <w:rPr>
                <w:rFonts w:hint="eastAsia"/>
                <w:sz w:val="21"/>
                <w:szCs w:val="21"/>
                <w:lang w:val="en-US" w:eastAsia="zh-CN"/>
              </w:rPr>
              <w:t>12、高保真无损音频传输技术，48KHz音频采样频率，拾音灵敏、语音清晰，频率响应可达20Hz-20KHz。</w:t>
            </w:r>
            <w:r>
              <w:rPr>
                <w:rFonts w:hint="eastAsia"/>
                <w:sz w:val="21"/>
                <w:szCs w:val="21"/>
                <w:lang w:val="en-US" w:eastAsia="zh-CN"/>
              </w:rPr>
              <w:br w:type="textWrapping"/>
            </w:r>
            <w:r>
              <w:rPr>
                <w:rFonts w:hint="eastAsia"/>
                <w:sz w:val="21"/>
                <w:szCs w:val="21"/>
                <w:lang w:val="en-US" w:eastAsia="zh-CN"/>
              </w:rPr>
              <w:t>13、具备频道锁定功能，在锁定状态下可避免非正常操作改变当前各种已设定的参数，防止误操作。</w:t>
            </w:r>
            <w:r>
              <w:rPr>
                <w:rFonts w:hint="eastAsia"/>
                <w:sz w:val="21"/>
                <w:szCs w:val="21"/>
                <w:lang w:val="en-US" w:eastAsia="zh-CN"/>
              </w:rPr>
              <w:br w:type="textWrapping"/>
            </w:r>
            <w:r>
              <w:rPr>
                <w:rFonts w:hint="eastAsia"/>
                <w:sz w:val="21"/>
                <w:szCs w:val="21"/>
                <w:lang w:val="en-US" w:eastAsia="zh-CN"/>
              </w:rPr>
              <w:t>14、具备四路独立卡侬输出及一路6.35mm混合输出，可调节混合输出幅度，支持会议全程音频独立录音保存。</w:t>
            </w:r>
            <w:r>
              <w:rPr>
                <w:rFonts w:hint="eastAsia"/>
                <w:sz w:val="21"/>
                <w:szCs w:val="21"/>
                <w:lang w:val="en-US" w:eastAsia="zh-CN"/>
              </w:rPr>
              <w:br w:type="textWrapping"/>
            </w:r>
            <w:r>
              <w:rPr>
                <w:rFonts w:hint="eastAsia"/>
                <w:sz w:val="21"/>
                <w:szCs w:val="21"/>
                <w:lang w:val="en-US" w:eastAsia="zh-CN"/>
              </w:rPr>
              <w:t>15、无线会议单元具备独立电源开关按钮，有效防止漏电现象，符合人性化设计。</w:t>
            </w:r>
            <w:r>
              <w:rPr>
                <w:rFonts w:hint="eastAsia"/>
                <w:sz w:val="21"/>
                <w:szCs w:val="21"/>
                <w:lang w:val="en-US" w:eastAsia="zh-CN"/>
              </w:rPr>
              <w:br w:type="textWrapping"/>
            </w:r>
            <w:r>
              <w:rPr>
                <w:rFonts w:hint="eastAsia"/>
                <w:sz w:val="21"/>
                <w:szCs w:val="21"/>
                <w:lang w:val="en-US" w:eastAsia="zh-CN"/>
              </w:rPr>
              <w:t>16、低功耗设计，内置3200mA/H充电电池，具备电量动态显示和低电提醒功能，支持15小时连续待机使用。</w:t>
            </w:r>
            <w:r>
              <w:rPr>
                <w:rFonts w:hint="eastAsia"/>
                <w:sz w:val="21"/>
                <w:szCs w:val="21"/>
                <w:lang w:val="en-US" w:eastAsia="zh-CN"/>
              </w:rPr>
              <w:br w:type="textWrapping"/>
            </w:r>
            <w:r>
              <w:rPr>
                <w:rFonts w:hint="eastAsia"/>
                <w:sz w:val="21"/>
                <w:szCs w:val="21"/>
                <w:lang w:val="en-US" w:eastAsia="zh-CN"/>
              </w:rPr>
              <w:t>17、采用静电隔离技术设计，可以避免产生静电。</w:t>
            </w:r>
            <w:r>
              <w:rPr>
                <w:rFonts w:hint="eastAsia"/>
                <w:sz w:val="21"/>
                <w:szCs w:val="21"/>
                <w:lang w:val="en-US" w:eastAsia="zh-CN"/>
              </w:rPr>
              <w:br w:type="textWrapping"/>
            </w:r>
            <w:r>
              <w:rPr>
                <w:rFonts w:hint="eastAsia"/>
                <w:sz w:val="21"/>
                <w:szCs w:val="21"/>
                <w:lang w:val="en-US" w:eastAsia="zh-CN"/>
              </w:rPr>
              <w:t>18、具备超强抗干扰能力，能有效隔离手机、无线电波、蓝牙、WiFi等信号干扰。</w:t>
            </w:r>
            <w:r>
              <w:rPr>
                <w:rFonts w:hint="eastAsia"/>
                <w:sz w:val="21"/>
                <w:szCs w:val="21"/>
                <w:lang w:val="en-US" w:eastAsia="zh-CN"/>
              </w:rPr>
              <w:br w:type="textWrapping"/>
            </w:r>
            <w:r>
              <w:rPr>
                <w:rFonts w:hint="eastAsia"/>
                <w:sz w:val="21"/>
                <w:szCs w:val="21"/>
                <w:lang w:val="en-US" w:eastAsia="zh-CN"/>
              </w:rPr>
              <w:t>19、话筒具备1个TYPE-C接口，可用于充电或免拆设备升级程序及维护。</w:t>
            </w:r>
            <w:r>
              <w:rPr>
                <w:rFonts w:hint="eastAsia"/>
                <w:sz w:val="21"/>
                <w:szCs w:val="21"/>
                <w:lang w:val="en-US" w:eastAsia="zh-CN"/>
              </w:rPr>
              <w:br w:type="textWrapping"/>
            </w:r>
            <w:r>
              <w:rPr>
                <w:rFonts w:hint="eastAsia"/>
                <w:sz w:val="21"/>
                <w:szCs w:val="21"/>
                <w:lang w:val="en-US" w:eastAsia="zh-CN"/>
              </w:rPr>
              <w:t>20、咪芯方式：2×14毫米高保真镀金咪芯。</w:t>
            </w:r>
            <w:r>
              <w:rPr>
                <w:rFonts w:hint="eastAsia"/>
                <w:sz w:val="21"/>
                <w:szCs w:val="21"/>
                <w:lang w:val="en-US" w:eastAsia="zh-CN"/>
              </w:rPr>
              <w:br w:type="textWrapping"/>
            </w:r>
            <w:r>
              <w:rPr>
                <w:rFonts w:hint="eastAsia"/>
                <w:sz w:val="21"/>
                <w:szCs w:val="21"/>
                <w:lang w:val="en-US" w:eastAsia="zh-CN"/>
              </w:rPr>
              <w:t>21、指向特性：心形指向性驻极体。</w:t>
            </w:r>
            <w:r>
              <w:rPr>
                <w:rFonts w:hint="eastAsia"/>
                <w:sz w:val="21"/>
                <w:szCs w:val="21"/>
                <w:lang w:val="en-US" w:eastAsia="zh-CN"/>
              </w:rPr>
              <w:br w:type="textWrapping"/>
            </w:r>
            <w:r>
              <w:rPr>
                <w:rFonts w:hint="eastAsia"/>
                <w:sz w:val="21"/>
                <w:szCs w:val="21"/>
                <w:lang w:val="en-US" w:eastAsia="zh-CN"/>
              </w:rPr>
              <w:t>22、显示屏：2.0"LCD显示屏。</w:t>
            </w:r>
            <w:r>
              <w:rPr>
                <w:rFonts w:hint="eastAsia"/>
                <w:sz w:val="21"/>
                <w:szCs w:val="21"/>
                <w:lang w:val="en-US" w:eastAsia="zh-CN"/>
              </w:rPr>
              <w:br w:type="textWrapping"/>
            </w:r>
            <w:r>
              <w:rPr>
                <w:rFonts w:hint="eastAsia"/>
                <w:sz w:val="21"/>
                <w:szCs w:val="21"/>
                <w:lang w:val="en-US" w:eastAsia="zh-CN"/>
              </w:rPr>
              <w:t>23、频段范围：610-695MHz，频率响应：20Hz-20KHz。</w:t>
            </w:r>
            <w:r>
              <w:rPr>
                <w:rFonts w:hint="eastAsia"/>
                <w:sz w:val="21"/>
                <w:szCs w:val="21"/>
                <w:lang w:val="en-US" w:eastAsia="zh-CN"/>
              </w:rPr>
              <w:br w:type="textWrapping"/>
            </w:r>
            <w:r>
              <w:rPr>
                <w:rFonts w:hint="eastAsia"/>
                <w:sz w:val="21"/>
                <w:szCs w:val="21"/>
                <w:lang w:val="en-US" w:eastAsia="zh-CN"/>
              </w:rPr>
              <w:t>24、灵敏度：-35dB±2dB。</w:t>
            </w:r>
            <w:r>
              <w:rPr>
                <w:rFonts w:hint="eastAsia"/>
                <w:sz w:val="21"/>
                <w:szCs w:val="21"/>
                <w:lang w:val="en-US" w:eastAsia="zh-CN"/>
              </w:rPr>
              <w:br w:type="textWrapping"/>
            </w:r>
            <w:r>
              <w:rPr>
                <w:rFonts w:hint="eastAsia"/>
                <w:sz w:val="21"/>
                <w:szCs w:val="21"/>
                <w:lang w:val="en-US" w:eastAsia="zh-CN"/>
              </w:rPr>
              <w:t>25、最大承受声压：136dB(1%T.H.D.1kHz，0dB SPL=2x10Pa)。</w:t>
            </w:r>
            <w:r>
              <w:rPr>
                <w:rFonts w:hint="eastAsia"/>
                <w:sz w:val="21"/>
                <w:szCs w:val="21"/>
                <w:lang w:val="en-US" w:eastAsia="zh-CN"/>
              </w:rPr>
              <w:br w:type="textWrapping"/>
            </w:r>
            <w:r>
              <w:rPr>
                <w:rFonts w:hint="eastAsia"/>
                <w:sz w:val="21"/>
                <w:szCs w:val="21"/>
                <w:lang w:val="en-US" w:eastAsia="zh-CN"/>
              </w:rPr>
              <w:t>26、信噪比：&amp;gt;92dB。</w:t>
            </w:r>
            <w:r>
              <w:rPr>
                <w:rFonts w:hint="eastAsia"/>
                <w:sz w:val="21"/>
                <w:szCs w:val="21"/>
                <w:lang w:val="en-US" w:eastAsia="zh-CN"/>
              </w:rPr>
              <w:br w:type="textWrapping"/>
            </w:r>
            <w:r>
              <w:rPr>
                <w:rFonts w:hint="eastAsia"/>
                <w:sz w:val="21"/>
                <w:szCs w:val="21"/>
                <w:lang w:val="en-US" w:eastAsia="zh-CN"/>
              </w:rPr>
              <w:t>27、动态范围：&amp;gt;98dB。</w:t>
            </w:r>
            <w:r>
              <w:rPr>
                <w:rFonts w:hint="eastAsia"/>
                <w:sz w:val="21"/>
                <w:szCs w:val="21"/>
                <w:lang w:val="en-US" w:eastAsia="zh-CN"/>
              </w:rPr>
              <w:br w:type="textWrapping"/>
            </w:r>
            <w:r>
              <w:rPr>
                <w:rFonts w:hint="eastAsia"/>
                <w:sz w:val="21"/>
                <w:szCs w:val="21"/>
                <w:lang w:val="en-US" w:eastAsia="zh-CN"/>
              </w:rPr>
              <w:t>28、等效噪声：18dB，A计权。</w:t>
            </w:r>
            <w:r>
              <w:rPr>
                <w:rFonts w:hint="eastAsia"/>
                <w:sz w:val="21"/>
                <w:szCs w:val="21"/>
                <w:lang w:val="en-US" w:eastAsia="zh-CN"/>
              </w:rPr>
              <w:br w:type="textWrapping"/>
            </w:r>
            <w:r>
              <w:rPr>
                <w:rFonts w:hint="eastAsia"/>
                <w:sz w:val="21"/>
                <w:szCs w:val="21"/>
                <w:lang w:val="en-US" w:eastAsia="zh-CN"/>
              </w:rPr>
              <w:t>29、电池容量：3200mA。</w:t>
            </w:r>
          </w:p>
        </w:tc>
        <w:tc>
          <w:tcPr>
            <w:tcW w:w="580" w:type="dxa"/>
            <w:shd w:val="clear" w:color="auto" w:fill="auto"/>
            <w:vAlign w:val="center"/>
          </w:tcPr>
          <w:p w14:paraId="6BD679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5E63C6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9F74B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2180</w:t>
            </w:r>
          </w:p>
        </w:tc>
        <w:tc>
          <w:tcPr>
            <w:tcW w:w="1025" w:type="dxa"/>
            <w:shd w:val="clear" w:color="auto" w:fill="auto"/>
            <w:noWrap/>
            <w:vAlign w:val="center"/>
          </w:tcPr>
          <w:p w14:paraId="4F0B942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4360</w:t>
            </w:r>
          </w:p>
        </w:tc>
        <w:tc>
          <w:tcPr>
            <w:tcW w:w="650" w:type="dxa"/>
            <w:shd w:val="clear" w:color="auto" w:fill="auto"/>
            <w:noWrap/>
            <w:vAlign w:val="center"/>
          </w:tcPr>
          <w:p w14:paraId="4CB889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916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7CE6A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18D862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数字音频处理器</w:t>
            </w:r>
          </w:p>
        </w:tc>
        <w:tc>
          <w:tcPr>
            <w:tcW w:w="4913" w:type="dxa"/>
            <w:shd w:val="clear" w:color="auto" w:fill="auto"/>
            <w:vAlign w:val="top"/>
          </w:tcPr>
          <w:p w14:paraId="330207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1、可视化反馈啸叫显示功能，有效抑制更多啸叫点的形成。</w:t>
            </w:r>
            <w:r>
              <w:rPr>
                <w:rFonts w:hint="eastAsia"/>
                <w:sz w:val="21"/>
                <w:szCs w:val="21"/>
                <w:lang w:val="en-US" w:eastAsia="zh-CN"/>
              </w:rPr>
              <w:br w:type="textWrapping"/>
            </w:r>
            <w:r>
              <w:rPr>
                <w:rFonts w:hint="eastAsia"/>
                <w:sz w:val="21"/>
                <w:szCs w:val="21"/>
                <w:lang w:val="en-US" w:eastAsia="zh-CN"/>
              </w:rPr>
              <w:t>2、内置中控代码生成器，无需自行套用公式编辑代码。</w:t>
            </w:r>
            <w:r>
              <w:rPr>
                <w:rFonts w:hint="eastAsia"/>
                <w:sz w:val="21"/>
                <w:szCs w:val="21"/>
                <w:lang w:val="en-US" w:eastAsia="zh-CN"/>
              </w:rPr>
              <w:br w:type="textWrapping"/>
            </w:r>
            <w:r>
              <w:rPr>
                <w:rFonts w:hint="eastAsia"/>
                <w:sz w:val="21"/>
                <w:szCs w:val="21"/>
                <w:lang w:val="en-US" w:eastAsia="zh-CN"/>
              </w:rPr>
              <w:t>3、全功能矩阵混音功能，内置专利性分量式矩阵调节功能。</w:t>
            </w:r>
            <w:r>
              <w:rPr>
                <w:rFonts w:hint="eastAsia"/>
                <w:sz w:val="21"/>
                <w:szCs w:val="21"/>
                <w:lang w:val="en-US" w:eastAsia="zh-CN"/>
              </w:rPr>
              <w:br w:type="textWrapping"/>
            </w:r>
            <w:r>
              <w:rPr>
                <w:rFonts w:hint="eastAsia"/>
                <w:sz w:val="21"/>
                <w:szCs w:val="21"/>
                <w:lang w:val="en-US" w:eastAsia="zh-CN"/>
              </w:rPr>
              <w:t>4、内置双DSP芯片工作，使系统更加稳定可靠。</w:t>
            </w:r>
            <w:r>
              <w:rPr>
                <w:rFonts w:hint="eastAsia"/>
                <w:sz w:val="21"/>
                <w:szCs w:val="21"/>
                <w:lang w:val="en-US" w:eastAsia="zh-CN"/>
              </w:rPr>
              <w:br w:type="textWrapping"/>
            </w:r>
            <w:r>
              <w:rPr>
                <w:rFonts w:hint="eastAsia"/>
                <w:sz w:val="21"/>
                <w:szCs w:val="21"/>
                <w:lang w:val="en-US" w:eastAsia="zh-CN"/>
              </w:rPr>
              <w:t>5、支持PC、中控平台、按键面板、触摸面板等方式进行多重控制。</w:t>
            </w:r>
            <w:r>
              <w:rPr>
                <w:rFonts w:hint="eastAsia"/>
                <w:sz w:val="21"/>
                <w:szCs w:val="21"/>
                <w:lang w:val="en-US" w:eastAsia="zh-CN"/>
              </w:rPr>
              <w:br w:type="textWrapping"/>
            </w:r>
            <w:r>
              <w:rPr>
                <w:rFonts w:hint="eastAsia"/>
                <w:sz w:val="21"/>
                <w:szCs w:val="21"/>
                <w:lang w:val="en-US" w:eastAsia="zh-CN"/>
              </w:rPr>
              <w:t>6、4路平衡式话筒\线路输入，采用凤凰插接口。</w:t>
            </w:r>
            <w:r>
              <w:rPr>
                <w:rFonts w:hint="eastAsia"/>
                <w:sz w:val="21"/>
                <w:szCs w:val="21"/>
                <w:lang w:val="en-US" w:eastAsia="zh-CN"/>
              </w:rPr>
              <w:br w:type="textWrapping"/>
            </w:r>
            <w:r>
              <w:rPr>
                <w:rFonts w:hint="eastAsia"/>
                <w:sz w:val="21"/>
                <w:szCs w:val="21"/>
                <w:lang w:val="en-US" w:eastAsia="zh-CN"/>
              </w:rPr>
              <w:t>7、4路平衡式输出，采用凤凰插接口。</w:t>
            </w:r>
            <w:r>
              <w:rPr>
                <w:rFonts w:hint="eastAsia"/>
                <w:sz w:val="21"/>
                <w:szCs w:val="21"/>
                <w:lang w:val="en-US" w:eastAsia="zh-CN"/>
              </w:rPr>
              <w:br w:type="textWrapping"/>
            </w:r>
            <w:r>
              <w:rPr>
                <w:rFonts w:hint="eastAsia"/>
                <w:sz w:val="21"/>
                <w:szCs w:val="21"/>
                <w:lang w:val="en-US" w:eastAsia="zh-CN"/>
              </w:rPr>
              <w:t>8、面板上支持多种音频格式的立体声播放，可扩展USB多媒体存储录制功能</w:t>
            </w:r>
            <w:r>
              <w:rPr>
                <w:rFonts w:hint="eastAsia"/>
                <w:sz w:val="21"/>
                <w:szCs w:val="21"/>
                <w:lang w:val="en-US" w:eastAsia="zh-CN"/>
              </w:rPr>
              <w:br w:type="textWrapping"/>
            </w:r>
            <w:r>
              <w:rPr>
                <w:rFonts w:hint="eastAsia"/>
                <w:sz w:val="21"/>
                <w:szCs w:val="21"/>
                <w:lang w:val="en-US" w:eastAsia="zh-CN"/>
              </w:rPr>
              <w:t>9、内置信号发生器、自动混音（AM）、自动增益控制（AGC）、反馈消除（AFC）、回声消除（AEC）、噪声消除（ANC）等主要算法。</w:t>
            </w:r>
            <w:r>
              <w:rPr>
                <w:rFonts w:hint="eastAsia"/>
                <w:sz w:val="21"/>
                <w:szCs w:val="21"/>
                <w:lang w:val="en-US" w:eastAsia="zh-CN"/>
              </w:rPr>
              <w:br w:type="textWrapping"/>
            </w:r>
            <w:r>
              <w:rPr>
                <w:rFonts w:hint="eastAsia"/>
                <w:sz w:val="21"/>
                <w:szCs w:val="21"/>
                <w:lang w:val="en-US" w:eastAsia="zh-CN"/>
              </w:rPr>
              <w:t>10、输入每通道：前级放大、信号发生器、扩展器、压缩器、5段参量均衡。</w:t>
            </w:r>
            <w:r>
              <w:rPr>
                <w:rFonts w:hint="eastAsia"/>
                <w:sz w:val="21"/>
                <w:szCs w:val="21"/>
                <w:lang w:val="en-US" w:eastAsia="zh-CN"/>
              </w:rPr>
              <w:br w:type="textWrapping"/>
            </w:r>
            <w:r>
              <w:rPr>
                <w:rFonts w:hint="eastAsia"/>
                <w:sz w:val="21"/>
                <w:szCs w:val="21"/>
                <w:lang w:val="en-US" w:eastAsia="zh-CN"/>
              </w:rPr>
              <w:t>11、输出每通道：31段图示均衡及8段全参量均衡切换选择、延时器、分频器、限幅器。</w:t>
            </w:r>
            <w:r>
              <w:rPr>
                <w:rFonts w:hint="eastAsia"/>
                <w:sz w:val="21"/>
                <w:szCs w:val="21"/>
                <w:lang w:val="en-US" w:eastAsia="zh-CN"/>
              </w:rPr>
              <w:br w:type="textWrapping"/>
            </w:r>
            <w:r>
              <w:rPr>
                <w:rFonts w:hint="eastAsia"/>
                <w:sz w:val="21"/>
                <w:szCs w:val="21"/>
                <w:lang w:val="en-US" w:eastAsia="zh-CN"/>
              </w:rPr>
              <w:t>12、内置自动摄像跟踪功能，轻松实现视频会议；支持场景预设功能；断电自动保护记忆功能。</w:t>
            </w:r>
            <w:r>
              <w:rPr>
                <w:rFonts w:hint="eastAsia"/>
                <w:sz w:val="21"/>
                <w:szCs w:val="21"/>
                <w:lang w:val="en-US" w:eastAsia="zh-CN"/>
              </w:rPr>
              <w:br w:type="textWrapping"/>
            </w:r>
            <w:r>
              <w:rPr>
                <w:rFonts w:hint="eastAsia"/>
                <w:sz w:val="21"/>
                <w:szCs w:val="21"/>
                <w:lang w:val="en-US" w:eastAsia="zh-CN"/>
              </w:rPr>
              <w:t>13、具有多种专业音频处理模块，包括但不限于5段全参量均衡器、31段图示均衡器、高精准的压缩及限幅器、高灵敏的扩展及自动增益、分频器、自动混音器、延时器、矩阵混音器、分量矩阵调节器、噪声门限、静音模块、信号发生器和信号指示电平表等。</w:t>
            </w:r>
            <w:r>
              <w:rPr>
                <w:rFonts w:hint="eastAsia"/>
                <w:sz w:val="21"/>
                <w:szCs w:val="21"/>
                <w:lang w:val="en-US" w:eastAsia="zh-CN"/>
              </w:rPr>
              <w:br w:type="textWrapping"/>
            </w:r>
            <w:r>
              <w:rPr>
                <w:rFonts w:hint="eastAsia"/>
                <w:sz w:val="21"/>
                <w:szCs w:val="21"/>
                <w:lang w:val="en-US" w:eastAsia="zh-CN"/>
              </w:rPr>
              <w:t>14、RS-485双向串行控制接口；可控制外部其它设备如：视频矩阵、摄像机等RS-485设备，或接收第三方RS-485控制。</w:t>
            </w:r>
            <w:r>
              <w:rPr>
                <w:rFonts w:hint="eastAsia"/>
                <w:sz w:val="21"/>
                <w:szCs w:val="21"/>
                <w:lang w:val="en-US" w:eastAsia="zh-CN"/>
              </w:rPr>
              <w:br w:type="textWrapping"/>
            </w:r>
            <w:r>
              <w:rPr>
                <w:rFonts w:hint="eastAsia"/>
                <w:sz w:val="21"/>
                <w:szCs w:val="21"/>
                <w:lang w:val="en-US" w:eastAsia="zh-CN"/>
              </w:rPr>
              <w:t>15、每个输入提供 + 48 VDC10 mA幻象电源。</w:t>
            </w:r>
            <w:r>
              <w:rPr>
                <w:rFonts w:hint="eastAsia"/>
                <w:sz w:val="21"/>
                <w:szCs w:val="21"/>
                <w:lang w:val="en-US" w:eastAsia="zh-CN"/>
              </w:rPr>
              <w:br w:type="textWrapping"/>
            </w:r>
            <w:r>
              <w:rPr>
                <w:rFonts w:hint="eastAsia"/>
                <w:sz w:val="21"/>
                <w:szCs w:val="21"/>
                <w:lang w:val="en-US" w:eastAsia="zh-CN"/>
              </w:rPr>
              <w:t>16、可通过USB、WiFi、TCP/IP接口和控制设备连接。</w:t>
            </w:r>
            <w:r>
              <w:rPr>
                <w:rFonts w:hint="eastAsia"/>
                <w:sz w:val="21"/>
                <w:szCs w:val="21"/>
                <w:lang w:val="en-US" w:eastAsia="zh-CN"/>
              </w:rPr>
              <w:br w:type="textWrapping"/>
            </w:r>
            <w:r>
              <w:rPr>
                <w:rFonts w:hint="eastAsia"/>
                <w:sz w:val="21"/>
                <w:szCs w:val="21"/>
                <w:lang w:val="en-US" w:eastAsia="zh-CN"/>
              </w:rPr>
              <w:t>17、支持8路逻辑输入/输出，4路电压输入控制（可接继电器或模拟可调电位器）的GPIO控制接口。</w:t>
            </w:r>
            <w:r>
              <w:rPr>
                <w:rFonts w:hint="eastAsia"/>
                <w:sz w:val="21"/>
                <w:szCs w:val="21"/>
                <w:lang w:val="en-US" w:eastAsia="zh-CN"/>
              </w:rPr>
              <w:br w:type="textWrapping"/>
            </w:r>
            <w:r>
              <w:rPr>
                <w:rFonts w:hint="eastAsia"/>
                <w:sz w:val="21"/>
                <w:szCs w:val="21"/>
                <w:lang w:val="en-US" w:eastAsia="zh-CN"/>
              </w:rPr>
              <w:t>18、输入阻抗：平衡20KΩ，非平衡10KΩ。</w:t>
            </w:r>
            <w:r>
              <w:rPr>
                <w:rFonts w:hint="eastAsia"/>
                <w:sz w:val="21"/>
                <w:szCs w:val="21"/>
                <w:lang w:val="en-US" w:eastAsia="zh-CN"/>
              </w:rPr>
              <w:br w:type="textWrapping"/>
            </w:r>
            <w:r>
              <w:rPr>
                <w:rFonts w:hint="eastAsia"/>
                <w:sz w:val="21"/>
                <w:szCs w:val="21"/>
                <w:lang w:val="en-US" w:eastAsia="zh-CN"/>
              </w:rPr>
              <w:t>19、输出阻抗：平衡100Ω，非平衡50Ω。</w:t>
            </w:r>
            <w:r>
              <w:rPr>
                <w:rFonts w:hint="eastAsia"/>
                <w:sz w:val="21"/>
                <w:szCs w:val="21"/>
                <w:lang w:val="en-US" w:eastAsia="zh-CN"/>
              </w:rPr>
              <w:br w:type="textWrapping"/>
            </w:r>
            <w:r>
              <w:rPr>
                <w:rFonts w:hint="eastAsia"/>
                <w:sz w:val="21"/>
                <w:szCs w:val="21"/>
                <w:lang w:val="en-US" w:eastAsia="zh-CN"/>
              </w:rPr>
              <w:t>20、输入共模拟制比：≥78dB(1KHz)。</w:t>
            </w:r>
            <w:r>
              <w:rPr>
                <w:rFonts w:hint="eastAsia"/>
                <w:sz w:val="21"/>
                <w:szCs w:val="21"/>
                <w:lang w:val="en-US" w:eastAsia="zh-CN"/>
              </w:rPr>
              <w:br w:type="textWrapping"/>
            </w:r>
            <w:r>
              <w:rPr>
                <w:rFonts w:hint="eastAsia"/>
                <w:sz w:val="21"/>
                <w:szCs w:val="21"/>
                <w:lang w:val="en-US" w:eastAsia="zh-CN"/>
              </w:rPr>
              <w:t>21、输出动态范围：112dBu。</w:t>
            </w:r>
            <w:r>
              <w:rPr>
                <w:rFonts w:hint="eastAsia"/>
                <w:sz w:val="21"/>
                <w:szCs w:val="21"/>
                <w:lang w:val="en-US" w:eastAsia="zh-CN"/>
              </w:rPr>
              <w:br w:type="textWrapping"/>
            </w:r>
            <w:r>
              <w:rPr>
                <w:rFonts w:hint="eastAsia"/>
                <w:sz w:val="21"/>
                <w:szCs w:val="21"/>
                <w:lang w:val="en-US" w:eastAsia="zh-CN"/>
              </w:rPr>
              <w:t>22、频率相应：20Hz-20KHz(±0.5dB)。</w:t>
            </w:r>
            <w:r>
              <w:rPr>
                <w:rFonts w:hint="eastAsia"/>
                <w:sz w:val="21"/>
                <w:szCs w:val="21"/>
                <w:lang w:val="en-US" w:eastAsia="zh-CN"/>
              </w:rPr>
              <w:br w:type="textWrapping"/>
            </w:r>
            <w:r>
              <w:rPr>
                <w:rFonts w:hint="eastAsia"/>
                <w:sz w:val="21"/>
                <w:szCs w:val="21"/>
                <w:lang w:val="en-US" w:eastAsia="zh-CN"/>
              </w:rPr>
              <w:t>23、信噪比：&amp;gt;90dB@1KHz 0dBu。</w:t>
            </w:r>
            <w:r>
              <w:rPr>
                <w:rFonts w:hint="eastAsia"/>
                <w:sz w:val="21"/>
                <w:szCs w:val="21"/>
                <w:lang w:val="en-US" w:eastAsia="zh-CN"/>
              </w:rPr>
              <w:br w:type="textWrapping"/>
            </w:r>
            <w:r>
              <w:rPr>
                <w:rFonts w:hint="eastAsia"/>
                <w:sz w:val="21"/>
                <w:szCs w:val="21"/>
                <w:lang w:val="en-US" w:eastAsia="zh-CN"/>
              </w:rPr>
              <w:t>24、失真度：﹤0.002% OUTPUT=0dBu/1KHz</w:t>
            </w:r>
            <w:r>
              <w:rPr>
                <w:rFonts w:hint="eastAsia"/>
                <w:sz w:val="21"/>
                <w:szCs w:val="21"/>
                <w:lang w:val="en-US" w:eastAsia="zh-CN"/>
              </w:rPr>
              <w:br w:type="textWrapping"/>
            </w:r>
            <w:r>
              <w:rPr>
                <w:rFonts w:hint="eastAsia"/>
                <w:sz w:val="21"/>
                <w:szCs w:val="21"/>
                <w:lang w:val="en-US" w:eastAsia="zh-CN"/>
              </w:rPr>
              <w:t>25、信道分离度：&amp;gt;100dB（1KHz）。</w:t>
            </w:r>
            <w:r>
              <w:rPr>
                <w:rFonts w:hint="eastAsia"/>
                <w:sz w:val="21"/>
                <w:szCs w:val="21"/>
                <w:lang w:val="en-US" w:eastAsia="zh-CN"/>
              </w:rPr>
              <w:br w:type="textWrapping"/>
            </w:r>
            <w:r>
              <w:rPr>
                <w:rFonts w:hint="eastAsia"/>
                <w:sz w:val="21"/>
                <w:szCs w:val="21"/>
                <w:lang w:val="en-US" w:eastAsia="zh-CN"/>
              </w:rPr>
              <w:t>26、电源:AC110V/220V 50/60Hz，功耗：≤45W。</w:t>
            </w:r>
          </w:p>
        </w:tc>
        <w:tc>
          <w:tcPr>
            <w:tcW w:w="580" w:type="dxa"/>
            <w:shd w:val="clear" w:color="auto" w:fill="auto"/>
            <w:vAlign w:val="center"/>
          </w:tcPr>
          <w:p w14:paraId="64450E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EEAC2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595086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3050</w:t>
            </w:r>
          </w:p>
        </w:tc>
        <w:tc>
          <w:tcPr>
            <w:tcW w:w="1025" w:type="dxa"/>
            <w:shd w:val="clear" w:color="auto" w:fill="auto"/>
            <w:noWrap/>
            <w:vAlign w:val="center"/>
          </w:tcPr>
          <w:p w14:paraId="5B0F84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3050</w:t>
            </w:r>
          </w:p>
        </w:tc>
        <w:tc>
          <w:tcPr>
            <w:tcW w:w="650" w:type="dxa"/>
            <w:shd w:val="clear" w:color="auto" w:fill="auto"/>
            <w:noWrap/>
            <w:vAlign w:val="center"/>
          </w:tcPr>
          <w:p w14:paraId="07FBD7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389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95AFC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755C0A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十二路调音台</w:t>
            </w:r>
          </w:p>
        </w:tc>
        <w:tc>
          <w:tcPr>
            <w:tcW w:w="4913" w:type="dxa"/>
            <w:shd w:val="clear" w:color="auto" w:fill="auto"/>
            <w:vAlign w:val="top"/>
          </w:tcPr>
          <w:p w14:paraId="17CF9A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1、输入方式：8路话筒卡侬母，4路线路莲花。</w:t>
            </w:r>
            <w:r>
              <w:rPr>
                <w:rFonts w:hint="eastAsia"/>
                <w:sz w:val="21"/>
                <w:szCs w:val="21"/>
                <w:lang w:val="en-US" w:eastAsia="zh-CN"/>
              </w:rPr>
              <w:br w:type="textWrapping"/>
            </w:r>
            <w:r>
              <w:rPr>
                <w:rFonts w:hint="eastAsia"/>
                <w:sz w:val="21"/>
                <w:szCs w:val="21"/>
                <w:lang w:val="en-US" w:eastAsia="zh-CN"/>
              </w:rPr>
              <w:t>2、输出方式：主声道双声道平衡，6.35插座，SUB 双声道6.35插座。</w:t>
            </w:r>
            <w:r>
              <w:rPr>
                <w:rFonts w:hint="eastAsia"/>
                <w:sz w:val="21"/>
                <w:szCs w:val="21"/>
                <w:lang w:val="en-US" w:eastAsia="zh-CN"/>
              </w:rPr>
              <w:br w:type="textWrapping"/>
            </w:r>
            <w:r>
              <w:rPr>
                <w:rFonts w:hint="eastAsia"/>
                <w:sz w:val="21"/>
                <w:szCs w:val="21"/>
                <w:lang w:val="en-US" w:eastAsia="zh-CN"/>
              </w:rPr>
              <w:t>3、单声道输入配备高品质话筒放大器。</w:t>
            </w:r>
            <w:r>
              <w:rPr>
                <w:rFonts w:hint="eastAsia"/>
                <w:sz w:val="21"/>
                <w:szCs w:val="21"/>
                <w:lang w:val="en-US" w:eastAsia="zh-CN"/>
              </w:rPr>
              <w:br w:type="textWrapping"/>
            </w:r>
            <w:r>
              <w:rPr>
                <w:rFonts w:hint="eastAsia"/>
                <w:sz w:val="21"/>
                <w:szCs w:val="21"/>
                <w:lang w:val="en-US" w:eastAsia="zh-CN"/>
              </w:rPr>
              <w:t>4、每通道有高、中、低3段参量均衡器。</w:t>
            </w:r>
            <w:r>
              <w:rPr>
                <w:rFonts w:hint="eastAsia"/>
                <w:sz w:val="21"/>
                <w:szCs w:val="21"/>
                <w:lang w:val="en-US" w:eastAsia="zh-CN"/>
              </w:rPr>
              <w:br w:type="textWrapping"/>
            </w:r>
            <w:r>
              <w:rPr>
                <w:rFonts w:hint="eastAsia"/>
                <w:sz w:val="21"/>
                <w:szCs w:val="21"/>
                <w:lang w:val="en-US" w:eastAsia="zh-CN"/>
              </w:rPr>
              <w:t>5、外置式低噪声电源设计。</w:t>
            </w:r>
            <w:r>
              <w:rPr>
                <w:rFonts w:hint="eastAsia"/>
                <w:sz w:val="21"/>
                <w:szCs w:val="21"/>
                <w:lang w:val="en-US" w:eastAsia="zh-CN"/>
              </w:rPr>
              <w:br w:type="textWrapping"/>
            </w:r>
            <w:r>
              <w:rPr>
                <w:rFonts w:hint="eastAsia"/>
                <w:sz w:val="21"/>
                <w:szCs w:val="21"/>
                <w:lang w:val="en-US" w:eastAsia="zh-CN"/>
              </w:rPr>
              <w:t>6、备有录音输入输出功能。</w:t>
            </w:r>
            <w:r>
              <w:rPr>
                <w:rFonts w:hint="eastAsia"/>
                <w:sz w:val="21"/>
                <w:szCs w:val="21"/>
                <w:lang w:val="en-US" w:eastAsia="zh-CN"/>
              </w:rPr>
              <w:br w:type="textWrapping"/>
            </w:r>
            <w:r>
              <w:rPr>
                <w:rFonts w:hint="eastAsia"/>
                <w:sz w:val="21"/>
                <w:szCs w:val="21"/>
                <w:lang w:val="en-US" w:eastAsia="zh-CN"/>
              </w:rPr>
              <w:t>7、功能：高中低音调节，话筒48V供电选择，录音输出，2编组输出，2路辅助输出，数码混响。</w:t>
            </w:r>
            <w:r>
              <w:rPr>
                <w:rFonts w:hint="eastAsia"/>
                <w:sz w:val="21"/>
                <w:szCs w:val="21"/>
                <w:lang w:val="en-US" w:eastAsia="zh-CN"/>
              </w:rPr>
              <w:br w:type="textWrapping"/>
            </w:r>
            <w:r>
              <w:rPr>
                <w:rFonts w:hint="eastAsia"/>
                <w:sz w:val="21"/>
                <w:szCs w:val="21"/>
                <w:lang w:val="en-US" w:eastAsia="zh-CN"/>
              </w:rPr>
              <w:t>8、最大输出电平:19dBm(1KHz,THD=0.5%)。</w:t>
            </w:r>
            <w:r>
              <w:rPr>
                <w:rFonts w:hint="eastAsia"/>
                <w:sz w:val="21"/>
                <w:szCs w:val="21"/>
                <w:lang w:val="en-US" w:eastAsia="zh-CN"/>
              </w:rPr>
              <w:br w:type="textWrapping"/>
            </w:r>
            <w:r>
              <w:rPr>
                <w:rFonts w:hint="eastAsia"/>
                <w:sz w:val="21"/>
                <w:szCs w:val="21"/>
                <w:lang w:val="en-US" w:eastAsia="zh-CN"/>
              </w:rPr>
              <w:t>9、剩余噪声：-75dB。</w:t>
            </w:r>
            <w:r>
              <w:rPr>
                <w:rFonts w:hint="eastAsia"/>
                <w:sz w:val="21"/>
                <w:szCs w:val="21"/>
                <w:lang w:val="en-US" w:eastAsia="zh-CN"/>
              </w:rPr>
              <w:br w:type="textWrapping"/>
            </w:r>
            <w:r>
              <w:rPr>
                <w:rFonts w:hint="eastAsia"/>
                <w:sz w:val="21"/>
                <w:szCs w:val="21"/>
                <w:lang w:val="en-US" w:eastAsia="zh-CN"/>
              </w:rPr>
              <w:t>10、信噪比：71dB。</w:t>
            </w:r>
            <w:r>
              <w:rPr>
                <w:rFonts w:hint="eastAsia"/>
                <w:sz w:val="21"/>
                <w:szCs w:val="21"/>
                <w:lang w:val="en-US" w:eastAsia="zh-CN"/>
              </w:rPr>
              <w:br w:type="textWrapping"/>
            </w:r>
            <w:r>
              <w:rPr>
                <w:rFonts w:hint="eastAsia"/>
                <w:sz w:val="21"/>
                <w:szCs w:val="21"/>
                <w:lang w:val="en-US" w:eastAsia="zh-CN"/>
              </w:rPr>
              <w:t>11、等效噪声源输入电动势：-12dBm。</w:t>
            </w:r>
            <w:r>
              <w:rPr>
                <w:rFonts w:hint="eastAsia"/>
                <w:sz w:val="21"/>
                <w:szCs w:val="21"/>
                <w:lang w:val="en-US" w:eastAsia="zh-CN"/>
              </w:rPr>
              <w:br w:type="textWrapping"/>
            </w:r>
            <w:r>
              <w:rPr>
                <w:rFonts w:hint="eastAsia"/>
                <w:sz w:val="21"/>
                <w:szCs w:val="21"/>
                <w:lang w:val="en-US" w:eastAsia="zh-CN"/>
              </w:rPr>
              <w:t>12、耳机输出功率：40mw(1KHz,THD=0.5%,200Ω)。</w:t>
            </w:r>
            <w:r>
              <w:rPr>
                <w:rFonts w:hint="eastAsia"/>
                <w:sz w:val="21"/>
                <w:szCs w:val="21"/>
                <w:lang w:val="en-US" w:eastAsia="zh-CN"/>
              </w:rPr>
              <w:br w:type="textWrapping"/>
            </w:r>
            <w:r>
              <w:rPr>
                <w:rFonts w:hint="eastAsia"/>
                <w:sz w:val="21"/>
                <w:szCs w:val="21"/>
                <w:lang w:val="en-US" w:eastAsia="zh-CN"/>
              </w:rPr>
              <w:t>13、均衡：低频：80Hz±15dB；中频：2.5KHz±15dB；高频：12KHz±15dB。</w:t>
            </w:r>
            <w:r>
              <w:rPr>
                <w:rFonts w:hint="eastAsia"/>
                <w:sz w:val="21"/>
                <w:szCs w:val="21"/>
                <w:lang w:val="en-US" w:eastAsia="zh-CN"/>
              </w:rPr>
              <w:br w:type="textWrapping"/>
            </w:r>
            <w:r>
              <w:rPr>
                <w:rFonts w:hint="eastAsia"/>
                <w:sz w:val="21"/>
                <w:szCs w:val="21"/>
                <w:lang w:val="en-US" w:eastAsia="zh-CN"/>
              </w:rPr>
              <w:t>14、增益控制：单声道：-55dB～0 dB，立体声：-10dB～0dB。</w:t>
            </w:r>
            <w:r>
              <w:rPr>
                <w:rFonts w:hint="eastAsia"/>
                <w:sz w:val="21"/>
                <w:szCs w:val="21"/>
                <w:lang w:val="en-US" w:eastAsia="zh-CN"/>
              </w:rPr>
              <w:br w:type="textWrapping"/>
            </w:r>
            <w:r>
              <w:rPr>
                <w:rFonts w:hint="eastAsia"/>
                <w:sz w:val="21"/>
                <w:szCs w:val="21"/>
                <w:lang w:val="en-US" w:eastAsia="zh-CN"/>
              </w:rPr>
              <w:t>15、频率响应：20Hz～20KHz（+1dB,-3dB)。</w:t>
            </w:r>
            <w:r>
              <w:rPr>
                <w:rFonts w:hint="eastAsia"/>
                <w:sz w:val="21"/>
                <w:szCs w:val="21"/>
                <w:lang w:val="en-US" w:eastAsia="zh-CN"/>
              </w:rPr>
              <w:br w:type="textWrapping"/>
            </w:r>
            <w:r>
              <w:rPr>
                <w:rFonts w:hint="eastAsia"/>
                <w:sz w:val="21"/>
                <w:szCs w:val="21"/>
                <w:lang w:val="en-US" w:eastAsia="zh-CN"/>
              </w:rPr>
              <w:t>16、总谐波失真+噪声：≤0.05%（1KHz，0.775V）。</w:t>
            </w:r>
            <w:r>
              <w:rPr>
                <w:rFonts w:hint="eastAsia"/>
                <w:sz w:val="21"/>
                <w:szCs w:val="21"/>
                <w:lang w:val="en-US" w:eastAsia="zh-CN"/>
              </w:rPr>
              <w:br w:type="textWrapping"/>
            </w:r>
            <w:r>
              <w:rPr>
                <w:rFonts w:hint="eastAsia"/>
                <w:sz w:val="21"/>
                <w:szCs w:val="21"/>
                <w:lang w:val="en-US" w:eastAsia="zh-CN"/>
              </w:rPr>
              <w:t>17、输入电压：AC220V-240V/50Hz-60Hz；额定功率：35W。</w:t>
            </w:r>
            <w:r>
              <w:rPr>
                <w:rFonts w:hint="eastAsia"/>
                <w:sz w:val="21"/>
                <w:szCs w:val="21"/>
                <w:lang w:val="en-US" w:eastAsia="zh-CN"/>
              </w:rPr>
              <w:br w:type="textWrapping"/>
            </w:r>
            <w:r>
              <w:rPr>
                <w:rFonts w:hint="eastAsia"/>
                <w:sz w:val="21"/>
                <w:szCs w:val="21"/>
                <w:lang w:val="en-US" w:eastAsia="zh-CN"/>
              </w:rPr>
              <w:t>18、开关、指示：船型开关、面板电源指示灯，监听电平指示。</w:t>
            </w:r>
          </w:p>
        </w:tc>
        <w:tc>
          <w:tcPr>
            <w:tcW w:w="580" w:type="dxa"/>
            <w:shd w:val="clear" w:color="auto" w:fill="auto"/>
            <w:vAlign w:val="center"/>
          </w:tcPr>
          <w:p w14:paraId="4B0300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506F91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34A1BD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2420</w:t>
            </w:r>
          </w:p>
        </w:tc>
        <w:tc>
          <w:tcPr>
            <w:tcW w:w="1025" w:type="dxa"/>
            <w:shd w:val="clear" w:color="auto" w:fill="auto"/>
            <w:noWrap/>
            <w:vAlign w:val="center"/>
          </w:tcPr>
          <w:p w14:paraId="2F7803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2420</w:t>
            </w:r>
          </w:p>
        </w:tc>
        <w:tc>
          <w:tcPr>
            <w:tcW w:w="650" w:type="dxa"/>
            <w:shd w:val="clear" w:color="auto" w:fill="auto"/>
            <w:noWrap/>
            <w:vAlign w:val="center"/>
          </w:tcPr>
          <w:p w14:paraId="33D1256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485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 w:hRule="atLeast"/>
          <w:jc w:val="center"/>
        </w:trPr>
        <w:tc>
          <w:tcPr>
            <w:tcW w:w="654" w:type="dxa"/>
            <w:shd w:val="clear" w:color="auto" w:fill="auto"/>
            <w:noWrap/>
            <w:vAlign w:val="center"/>
          </w:tcPr>
          <w:p w14:paraId="531999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56FA93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数字反馈抑制器</w:t>
            </w:r>
          </w:p>
        </w:tc>
        <w:tc>
          <w:tcPr>
            <w:tcW w:w="4913" w:type="dxa"/>
            <w:shd w:val="clear" w:color="auto" w:fill="auto"/>
            <w:vAlign w:val="top"/>
          </w:tcPr>
          <w:p w14:paraId="423A5E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1、采用免调试全自动开启抑制啸叫功能。</w:t>
            </w:r>
            <w:r>
              <w:rPr>
                <w:rFonts w:hint="eastAsia"/>
                <w:sz w:val="21"/>
                <w:szCs w:val="21"/>
                <w:lang w:val="en-US" w:eastAsia="zh-CN"/>
              </w:rPr>
              <w:br w:type="textWrapping"/>
            </w:r>
            <w:r>
              <w:rPr>
                <w:rFonts w:hint="eastAsia"/>
                <w:sz w:val="21"/>
                <w:szCs w:val="21"/>
                <w:lang w:val="en-US" w:eastAsia="zh-CN"/>
              </w:rPr>
              <w:t>2、数字全自动扫描啸叫点，共设24个自动抑制啸叫点。</w:t>
            </w:r>
            <w:r>
              <w:rPr>
                <w:rFonts w:hint="eastAsia"/>
                <w:sz w:val="21"/>
                <w:szCs w:val="21"/>
                <w:lang w:val="en-US" w:eastAsia="zh-CN"/>
              </w:rPr>
              <w:br w:type="textWrapping"/>
            </w:r>
            <w:r>
              <w:rPr>
                <w:rFonts w:hint="eastAsia"/>
                <w:sz w:val="21"/>
                <w:szCs w:val="21"/>
                <w:lang w:val="en-US" w:eastAsia="zh-CN"/>
              </w:rPr>
              <w:t>3、内置噪声门，可自动过滤会议系统的噪声。</w:t>
            </w:r>
            <w:r>
              <w:rPr>
                <w:rFonts w:hint="eastAsia"/>
                <w:sz w:val="21"/>
                <w:szCs w:val="21"/>
                <w:lang w:val="en-US" w:eastAsia="zh-CN"/>
              </w:rPr>
              <w:br w:type="textWrapping"/>
            </w:r>
            <w:r>
              <w:rPr>
                <w:rFonts w:hint="eastAsia"/>
                <w:sz w:val="21"/>
                <w:szCs w:val="21"/>
                <w:lang w:val="en-US" w:eastAsia="zh-CN"/>
              </w:rPr>
              <w:t>4、信噪比≥105dB(A)，动态范围≥103dB。</w:t>
            </w:r>
            <w:r>
              <w:rPr>
                <w:rFonts w:hint="eastAsia"/>
                <w:sz w:val="21"/>
                <w:szCs w:val="21"/>
                <w:lang w:val="en-US" w:eastAsia="zh-CN"/>
              </w:rPr>
              <w:br w:type="textWrapping"/>
            </w:r>
            <w:r>
              <w:rPr>
                <w:rFonts w:hint="eastAsia"/>
                <w:sz w:val="21"/>
                <w:szCs w:val="21"/>
                <w:lang w:val="en-US" w:eastAsia="zh-CN"/>
              </w:rPr>
              <w:t>5、具备2路XLR母座和2路TRS多功能输入通道。</w:t>
            </w:r>
            <w:r>
              <w:rPr>
                <w:rFonts w:hint="eastAsia"/>
                <w:sz w:val="21"/>
                <w:szCs w:val="21"/>
                <w:lang w:val="en-US" w:eastAsia="zh-CN"/>
              </w:rPr>
              <w:br w:type="textWrapping"/>
            </w:r>
            <w:r>
              <w:rPr>
                <w:rFonts w:hint="eastAsia"/>
                <w:sz w:val="21"/>
                <w:szCs w:val="21"/>
                <w:lang w:val="en-US" w:eastAsia="zh-CN"/>
              </w:rPr>
              <w:t>6、具备2路XLR母座和2路TRS多功能输出通道。</w:t>
            </w:r>
          </w:p>
        </w:tc>
        <w:tc>
          <w:tcPr>
            <w:tcW w:w="580" w:type="dxa"/>
            <w:shd w:val="clear" w:color="auto" w:fill="auto"/>
            <w:vAlign w:val="center"/>
          </w:tcPr>
          <w:p w14:paraId="525786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21A21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0E8B0A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1475</w:t>
            </w:r>
          </w:p>
        </w:tc>
        <w:tc>
          <w:tcPr>
            <w:tcW w:w="1025" w:type="dxa"/>
            <w:shd w:val="clear" w:color="auto" w:fill="auto"/>
            <w:noWrap/>
            <w:vAlign w:val="center"/>
          </w:tcPr>
          <w:p w14:paraId="2DB021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1475</w:t>
            </w:r>
          </w:p>
        </w:tc>
        <w:tc>
          <w:tcPr>
            <w:tcW w:w="650" w:type="dxa"/>
            <w:shd w:val="clear" w:color="auto" w:fill="auto"/>
            <w:noWrap/>
            <w:vAlign w:val="center"/>
          </w:tcPr>
          <w:p w14:paraId="2C245D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248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F6B55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2602D5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二通道300W功率放大器</w:t>
            </w:r>
          </w:p>
        </w:tc>
        <w:tc>
          <w:tcPr>
            <w:tcW w:w="4913" w:type="dxa"/>
            <w:shd w:val="clear" w:color="auto" w:fill="auto"/>
            <w:vAlign w:val="center"/>
          </w:tcPr>
          <w:p w14:paraId="0D9F40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1、采用AB类拓扑电路技术，拥有高效率的功率转换和精良的电路布局。</w:t>
            </w:r>
            <w:r>
              <w:rPr>
                <w:rFonts w:hint="eastAsia"/>
                <w:sz w:val="21"/>
                <w:szCs w:val="21"/>
                <w:lang w:val="en-US" w:eastAsia="zh-CN"/>
              </w:rPr>
              <w:br w:type="textWrapping"/>
            </w:r>
            <w:r>
              <w:rPr>
                <w:rFonts w:hint="eastAsia"/>
                <w:sz w:val="21"/>
                <w:szCs w:val="21"/>
                <w:lang w:val="en-US" w:eastAsia="zh-CN"/>
              </w:rPr>
              <w:t>2、采用10000UF超大电解电容为功放提供稳定和足够的能量，保证连续的功率输出和高功率密度。</w:t>
            </w:r>
            <w:r>
              <w:rPr>
                <w:rFonts w:hint="eastAsia"/>
                <w:sz w:val="21"/>
                <w:szCs w:val="21"/>
                <w:lang w:val="en-US" w:eastAsia="zh-CN"/>
              </w:rPr>
              <w:br w:type="textWrapping"/>
            </w:r>
            <w:r>
              <w:rPr>
                <w:rFonts w:hint="eastAsia"/>
                <w:sz w:val="21"/>
                <w:szCs w:val="21"/>
                <w:lang w:val="en-US" w:eastAsia="zh-CN"/>
              </w:rPr>
              <w:t>3、前面板精确的音量旋钮控制，并具有故障.削峰.信号和电源指示灯。</w:t>
            </w:r>
            <w:r>
              <w:rPr>
                <w:rFonts w:hint="eastAsia"/>
                <w:sz w:val="21"/>
                <w:szCs w:val="21"/>
                <w:lang w:val="en-US" w:eastAsia="zh-CN"/>
              </w:rPr>
              <w:br w:type="textWrapping"/>
            </w:r>
            <w:r>
              <w:rPr>
                <w:rFonts w:hint="eastAsia"/>
                <w:sz w:val="21"/>
                <w:szCs w:val="21"/>
                <w:lang w:val="en-US" w:eastAsia="zh-CN"/>
              </w:rPr>
              <w:t>4、散热高效，机器内部拥有从前到后的导风系统，风机随机内的温度自动升高而加速排热。</w:t>
            </w:r>
            <w:r>
              <w:rPr>
                <w:rFonts w:hint="eastAsia"/>
                <w:sz w:val="21"/>
                <w:szCs w:val="21"/>
                <w:lang w:val="en-US" w:eastAsia="zh-CN"/>
              </w:rPr>
              <w:br w:type="textWrapping"/>
            </w:r>
            <w:r>
              <w:rPr>
                <w:rFonts w:hint="eastAsia"/>
                <w:sz w:val="21"/>
                <w:szCs w:val="21"/>
                <w:lang w:val="en-US" w:eastAsia="zh-CN"/>
              </w:rPr>
              <w:t>5、立体声和并接的工作模式可选。</w:t>
            </w:r>
            <w:r>
              <w:rPr>
                <w:rFonts w:hint="eastAsia"/>
                <w:sz w:val="21"/>
                <w:szCs w:val="21"/>
                <w:lang w:val="en-US" w:eastAsia="zh-CN"/>
              </w:rPr>
              <w:br w:type="textWrapping"/>
            </w:r>
            <w:r>
              <w:rPr>
                <w:rFonts w:hint="eastAsia"/>
                <w:sz w:val="21"/>
                <w:szCs w:val="21"/>
                <w:lang w:val="en-US" w:eastAsia="zh-CN"/>
              </w:rPr>
              <w:t>6、全面的保护功能：软启动、直流保护、过热和过载保护、防冲击、限幅。</w:t>
            </w:r>
            <w:r>
              <w:rPr>
                <w:rFonts w:hint="eastAsia"/>
                <w:sz w:val="21"/>
                <w:szCs w:val="21"/>
                <w:lang w:val="en-US" w:eastAsia="zh-CN"/>
              </w:rPr>
              <w:br w:type="textWrapping"/>
            </w:r>
            <w:r>
              <w:rPr>
                <w:rFonts w:hint="eastAsia"/>
                <w:sz w:val="21"/>
                <w:szCs w:val="21"/>
                <w:lang w:val="en-US" w:eastAsia="zh-CN"/>
              </w:rPr>
              <w:t>7、▲额定功率：8Ω立体声300W×2，4Ω立体声450W×2。</w:t>
            </w:r>
            <w:r>
              <w:rPr>
                <w:rFonts w:hint="eastAsia"/>
                <w:sz w:val="21"/>
                <w:szCs w:val="21"/>
                <w:lang w:val="en-US" w:eastAsia="zh-CN"/>
              </w:rPr>
              <w:br w:type="textWrapping"/>
            </w:r>
            <w:r>
              <w:rPr>
                <w:rFonts w:hint="eastAsia"/>
                <w:sz w:val="21"/>
                <w:szCs w:val="21"/>
                <w:lang w:val="en-US" w:eastAsia="zh-CN"/>
              </w:rPr>
              <w:t>8、总谐波失真：&amp;lt;0.1%。</w:t>
            </w:r>
            <w:r>
              <w:rPr>
                <w:rFonts w:hint="eastAsia"/>
                <w:sz w:val="21"/>
                <w:szCs w:val="21"/>
                <w:lang w:val="en-US" w:eastAsia="zh-CN"/>
              </w:rPr>
              <w:br w:type="textWrapping"/>
            </w:r>
            <w:r>
              <w:rPr>
                <w:rFonts w:hint="eastAsia"/>
                <w:sz w:val="21"/>
                <w:szCs w:val="21"/>
                <w:lang w:val="en-US" w:eastAsia="zh-CN"/>
              </w:rPr>
              <w:t>9、频率响应：20Hz-20kHz: +/-1dB。</w:t>
            </w:r>
            <w:r>
              <w:rPr>
                <w:rFonts w:hint="eastAsia"/>
                <w:sz w:val="21"/>
                <w:szCs w:val="21"/>
                <w:lang w:val="en-US" w:eastAsia="zh-CN"/>
              </w:rPr>
              <w:br w:type="textWrapping"/>
            </w:r>
            <w:r>
              <w:rPr>
                <w:rFonts w:hint="eastAsia"/>
                <w:sz w:val="21"/>
                <w:szCs w:val="21"/>
                <w:lang w:val="en-US" w:eastAsia="zh-CN"/>
              </w:rPr>
              <w:t>10、信噪比：≥100dB(A计权）。</w:t>
            </w:r>
            <w:r>
              <w:rPr>
                <w:rFonts w:hint="eastAsia"/>
                <w:sz w:val="21"/>
                <w:szCs w:val="21"/>
                <w:lang w:val="en-US" w:eastAsia="zh-CN"/>
              </w:rPr>
              <w:br w:type="textWrapping"/>
            </w:r>
            <w:r>
              <w:rPr>
                <w:rFonts w:hint="eastAsia"/>
                <w:sz w:val="21"/>
                <w:szCs w:val="21"/>
                <w:lang w:val="en-US" w:eastAsia="zh-CN"/>
              </w:rPr>
              <w:t>11、输入灵敏度：0.775V/1.0V/1.2V/1.4V 四档输入选择。</w:t>
            </w:r>
            <w:r>
              <w:rPr>
                <w:rFonts w:hint="eastAsia"/>
                <w:sz w:val="21"/>
                <w:szCs w:val="21"/>
                <w:lang w:val="en-US" w:eastAsia="zh-CN"/>
              </w:rPr>
              <w:br w:type="textWrapping"/>
            </w:r>
            <w:r>
              <w:rPr>
                <w:rFonts w:hint="eastAsia"/>
                <w:sz w:val="21"/>
                <w:szCs w:val="21"/>
                <w:lang w:val="en-US" w:eastAsia="zh-CN"/>
              </w:rPr>
              <w:t>12、输入阻抗：20KΩ平衡/ 10KΩ非平衡。</w:t>
            </w:r>
            <w:r>
              <w:rPr>
                <w:rFonts w:hint="eastAsia"/>
                <w:sz w:val="21"/>
                <w:szCs w:val="21"/>
                <w:lang w:val="en-US" w:eastAsia="zh-CN"/>
              </w:rPr>
              <w:br w:type="textWrapping"/>
            </w:r>
            <w:r>
              <w:rPr>
                <w:rFonts w:hint="eastAsia"/>
                <w:sz w:val="21"/>
                <w:szCs w:val="21"/>
                <w:lang w:val="en-US" w:eastAsia="zh-CN"/>
              </w:rPr>
              <w:t>13、阻尼系数：≥ 300(1kHz,8Ω)。</w:t>
            </w:r>
            <w:r>
              <w:rPr>
                <w:rFonts w:hint="eastAsia"/>
                <w:sz w:val="21"/>
                <w:szCs w:val="21"/>
                <w:lang w:val="en-US" w:eastAsia="zh-CN"/>
              </w:rPr>
              <w:br w:type="textWrapping"/>
            </w:r>
            <w:r>
              <w:rPr>
                <w:rFonts w:hint="eastAsia"/>
                <w:sz w:val="21"/>
                <w:szCs w:val="21"/>
                <w:lang w:val="en-US" w:eastAsia="zh-CN"/>
              </w:rPr>
              <w:t>14、电压增益：30dB。</w:t>
            </w:r>
            <w:r>
              <w:rPr>
                <w:rFonts w:hint="eastAsia"/>
                <w:sz w:val="21"/>
                <w:szCs w:val="21"/>
                <w:lang w:val="en-US" w:eastAsia="zh-CN"/>
              </w:rPr>
              <w:br w:type="textWrapping"/>
            </w:r>
            <w:r>
              <w:rPr>
                <w:rFonts w:hint="eastAsia"/>
                <w:sz w:val="21"/>
                <w:szCs w:val="21"/>
                <w:lang w:val="en-US" w:eastAsia="zh-CN"/>
              </w:rPr>
              <w:t>15、动态范围：＞90dB。</w:t>
            </w:r>
            <w:r>
              <w:rPr>
                <w:rFonts w:hint="eastAsia"/>
                <w:sz w:val="21"/>
                <w:szCs w:val="21"/>
                <w:lang w:val="en-US" w:eastAsia="zh-CN"/>
              </w:rPr>
              <w:br w:type="textWrapping"/>
            </w:r>
            <w:r>
              <w:rPr>
                <w:rFonts w:hint="eastAsia"/>
                <w:sz w:val="21"/>
                <w:szCs w:val="21"/>
                <w:lang w:val="en-US" w:eastAsia="zh-CN"/>
              </w:rPr>
              <w:t>16、转换速率：35V/us。</w:t>
            </w:r>
            <w:r>
              <w:rPr>
                <w:rFonts w:hint="eastAsia"/>
                <w:sz w:val="21"/>
                <w:szCs w:val="21"/>
                <w:lang w:val="en-US" w:eastAsia="zh-CN"/>
              </w:rPr>
              <w:br w:type="textWrapping"/>
            </w:r>
            <w:r>
              <w:rPr>
                <w:rFonts w:hint="eastAsia"/>
                <w:sz w:val="21"/>
                <w:szCs w:val="21"/>
                <w:lang w:val="en-US" w:eastAsia="zh-CN"/>
              </w:rPr>
              <w:t>17、接地悬浮开关：输入座接地脚接地和悬浮控制。</w:t>
            </w:r>
          </w:p>
        </w:tc>
        <w:tc>
          <w:tcPr>
            <w:tcW w:w="580" w:type="dxa"/>
            <w:shd w:val="clear" w:color="auto" w:fill="auto"/>
            <w:vAlign w:val="center"/>
          </w:tcPr>
          <w:p w14:paraId="50487A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D8783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20397C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2035</w:t>
            </w:r>
          </w:p>
        </w:tc>
        <w:tc>
          <w:tcPr>
            <w:tcW w:w="1025" w:type="dxa"/>
            <w:shd w:val="clear" w:color="auto" w:fill="auto"/>
            <w:noWrap/>
            <w:vAlign w:val="center"/>
          </w:tcPr>
          <w:p w14:paraId="075265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2035</w:t>
            </w:r>
          </w:p>
        </w:tc>
        <w:tc>
          <w:tcPr>
            <w:tcW w:w="650" w:type="dxa"/>
            <w:shd w:val="clear" w:color="auto" w:fill="auto"/>
            <w:noWrap/>
            <w:vAlign w:val="center"/>
          </w:tcPr>
          <w:p w14:paraId="4B58C3E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CA3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C5B940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w:t>
            </w:r>
          </w:p>
        </w:tc>
        <w:tc>
          <w:tcPr>
            <w:tcW w:w="961" w:type="dxa"/>
            <w:shd w:val="clear" w:color="auto" w:fill="auto"/>
            <w:vAlign w:val="center"/>
          </w:tcPr>
          <w:p w14:paraId="3C1401A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全频扬声器</w:t>
            </w:r>
          </w:p>
        </w:tc>
        <w:tc>
          <w:tcPr>
            <w:tcW w:w="4913" w:type="dxa"/>
            <w:shd w:val="clear" w:color="auto" w:fill="auto"/>
            <w:vAlign w:val="center"/>
          </w:tcPr>
          <w:p w14:paraId="327385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1、系统类型：8英寸，2分频低频反射式。</w:t>
            </w:r>
            <w:r>
              <w:rPr>
                <w:rFonts w:hint="eastAsia"/>
                <w:sz w:val="21"/>
                <w:szCs w:val="21"/>
                <w:lang w:val="en-US" w:eastAsia="zh-CN"/>
              </w:rPr>
              <w:br w:type="textWrapping"/>
            </w:r>
            <w:r>
              <w:rPr>
                <w:rFonts w:hint="eastAsia"/>
                <w:sz w:val="21"/>
                <w:szCs w:val="21"/>
                <w:lang w:val="en-US" w:eastAsia="zh-CN"/>
              </w:rPr>
              <w:t>2、▲额定功率：120W，最大功率：240W，峰值功率：480W。</w:t>
            </w:r>
            <w:r>
              <w:rPr>
                <w:rFonts w:hint="eastAsia"/>
                <w:sz w:val="21"/>
                <w:szCs w:val="21"/>
                <w:lang w:val="en-US" w:eastAsia="zh-CN"/>
              </w:rPr>
              <w:br w:type="textWrapping"/>
            </w:r>
            <w:r>
              <w:rPr>
                <w:rFonts w:hint="eastAsia"/>
                <w:sz w:val="21"/>
                <w:szCs w:val="21"/>
                <w:lang w:val="en-US" w:eastAsia="zh-CN"/>
              </w:rPr>
              <w:t>3、标称阻抗：8Ω。</w:t>
            </w:r>
            <w:r>
              <w:rPr>
                <w:rFonts w:hint="eastAsia"/>
                <w:sz w:val="21"/>
                <w:szCs w:val="21"/>
                <w:lang w:val="en-US" w:eastAsia="zh-CN"/>
              </w:rPr>
              <w:br w:type="textWrapping"/>
            </w:r>
            <w:r>
              <w:rPr>
                <w:rFonts w:hint="eastAsia"/>
                <w:sz w:val="21"/>
                <w:szCs w:val="21"/>
                <w:lang w:val="en-US" w:eastAsia="zh-CN"/>
              </w:rPr>
              <w:t>4、标称灵敏度（1W@1m）：92dB。</w:t>
            </w:r>
            <w:r>
              <w:rPr>
                <w:rFonts w:hint="eastAsia"/>
                <w:sz w:val="21"/>
                <w:szCs w:val="21"/>
                <w:lang w:val="en-US" w:eastAsia="zh-CN"/>
              </w:rPr>
              <w:br w:type="textWrapping"/>
            </w:r>
            <w:r>
              <w:rPr>
                <w:rFonts w:hint="eastAsia"/>
                <w:sz w:val="21"/>
                <w:szCs w:val="21"/>
                <w:lang w:val="en-US" w:eastAsia="zh-CN"/>
              </w:rPr>
              <w:t>5、最大声压级（Pmax@1m）：113dB@120w(116dB@240w)。</w:t>
            </w:r>
            <w:r>
              <w:rPr>
                <w:rFonts w:hint="eastAsia"/>
                <w:sz w:val="21"/>
                <w:szCs w:val="21"/>
                <w:lang w:val="en-US" w:eastAsia="zh-CN"/>
              </w:rPr>
              <w:br w:type="textWrapping"/>
            </w:r>
            <w:r>
              <w:rPr>
                <w:rFonts w:hint="eastAsia"/>
                <w:sz w:val="21"/>
                <w:szCs w:val="21"/>
                <w:lang w:val="en-US" w:eastAsia="zh-CN"/>
              </w:rPr>
              <w:t>6、频率范围(-10dB)：50Hz-20KHz。</w:t>
            </w:r>
            <w:r>
              <w:rPr>
                <w:rFonts w:hint="eastAsia"/>
                <w:sz w:val="21"/>
                <w:szCs w:val="21"/>
                <w:lang w:val="en-US" w:eastAsia="zh-CN"/>
              </w:rPr>
              <w:br w:type="textWrapping"/>
            </w:r>
            <w:r>
              <w:rPr>
                <w:rFonts w:hint="eastAsia"/>
                <w:sz w:val="21"/>
                <w:szCs w:val="21"/>
                <w:lang w:val="en-US" w:eastAsia="zh-CN"/>
              </w:rPr>
              <w:t>7、频率响应(±3dB)：85Hz-20KH。</w:t>
            </w:r>
            <w:r>
              <w:rPr>
                <w:rFonts w:hint="eastAsia"/>
                <w:sz w:val="21"/>
                <w:szCs w:val="21"/>
                <w:lang w:val="en-US" w:eastAsia="zh-CN"/>
              </w:rPr>
              <w:br w:type="textWrapping"/>
            </w:r>
            <w:r>
              <w:rPr>
                <w:rFonts w:hint="eastAsia"/>
                <w:sz w:val="21"/>
                <w:szCs w:val="21"/>
                <w:lang w:val="en-US" w:eastAsia="zh-CN"/>
              </w:rPr>
              <w:t>8、标称指向性（-6dB）：70°H×100°V。</w:t>
            </w:r>
            <w:r>
              <w:rPr>
                <w:rFonts w:hint="eastAsia"/>
                <w:sz w:val="21"/>
                <w:szCs w:val="21"/>
                <w:lang w:val="en-US" w:eastAsia="zh-CN"/>
              </w:rPr>
              <w:br w:type="textWrapping"/>
            </w:r>
            <w:r>
              <w:rPr>
                <w:rFonts w:hint="eastAsia"/>
                <w:sz w:val="21"/>
                <w:szCs w:val="21"/>
                <w:lang w:val="en-US" w:eastAsia="zh-CN"/>
              </w:rPr>
              <w:t>9、换能器配置：低频驱动器8″×1，高频驱动器1″×1。</w:t>
            </w:r>
            <w:r>
              <w:rPr>
                <w:rFonts w:hint="eastAsia"/>
                <w:sz w:val="21"/>
                <w:szCs w:val="21"/>
                <w:lang w:val="en-US" w:eastAsia="zh-CN"/>
              </w:rPr>
              <w:br w:type="textWrapping"/>
            </w:r>
            <w:r>
              <w:rPr>
                <w:rFonts w:hint="eastAsia"/>
                <w:sz w:val="21"/>
                <w:szCs w:val="21"/>
                <w:lang w:val="en-US" w:eastAsia="zh-CN"/>
              </w:rPr>
              <w:t>10、分频模式：被动式。</w:t>
            </w:r>
          </w:p>
        </w:tc>
        <w:tc>
          <w:tcPr>
            <w:tcW w:w="580" w:type="dxa"/>
            <w:shd w:val="clear" w:color="auto" w:fill="auto"/>
            <w:vAlign w:val="center"/>
          </w:tcPr>
          <w:p w14:paraId="409AD3B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524085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02A99B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1452</w:t>
            </w:r>
          </w:p>
        </w:tc>
        <w:tc>
          <w:tcPr>
            <w:tcW w:w="1025" w:type="dxa"/>
            <w:shd w:val="clear" w:color="auto" w:fill="auto"/>
            <w:noWrap/>
            <w:vAlign w:val="center"/>
          </w:tcPr>
          <w:p w14:paraId="799709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2904</w:t>
            </w:r>
          </w:p>
        </w:tc>
        <w:tc>
          <w:tcPr>
            <w:tcW w:w="650" w:type="dxa"/>
            <w:shd w:val="clear" w:color="auto" w:fill="auto"/>
            <w:noWrap/>
            <w:vAlign w:val="center"/>
          </w:tcPr>
          <w:p w14:paraId="72A998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799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B57F7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w:t>
            </w:r>
          </w:p>
        </w:tc>
        <w:tc>
          <w:tcPr>
            <w:tcW w:w="961" w:type="dxa"/>
            <w:shd w:val="clear" w:color="auto" w:fill="auto"/>
            <w:vAlign w:val="center"/>
          </w:tcPr>
          <w:p w14:paraId="781F05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实物展台</w:t>
            </w:r>
          </w:p>
        </w:tc>
        <w:tc>
          <w:tcPr>
            <w:tcW w:w="4913" w:type="dxa"/>
            <w:shd w:val="clear" w:color="auto" w:fill="auto"/>
            <w:vAlign w:val="center"/>
          </w:tcPr>
          <w:p w14:paraId="1791C7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1、解析度≥1000TV线；</w:t>
            </w:r>
            <w:r>
              <w:rPr>
                <w:rFonts w:hint="eastAsia"/>
                <w:sz w:val="21"/>
                <w:szCs w:val="21"/>
                <w:lang w:val="en-US" w:eastAsia="zh-CN"/>
              </w:rPr>
              <w:br w:type="textWrapping"/>
            </w:r>
            <w:r>
              <w:rPr>
                <w:rFonts w:hint="eastAsia"/>
                <w:sz w:val="21"/>
                <w:szCs w:val="21"/>
                <w:lang w:val="en-US" w:eastAsia="zh-CN"/>
              </w:rPr>
              <w:t>2、整机≥22倍放大；</w:t>
            </w:r>
            <w:r>
              <w:rPr>
                <w:rFonts w:hint="eastAsia"/>
                <w:sz w:val="21"/>
                <w:szCs w:val="21"/>
                <w:lang w:val="en-US" w:eastAsia="zh-CN"/>
              </w:rPr>
              <w:br w:type="textWrapping"/>
            </w:r>
            <w:r>
              <w:rPr>
                <w:rFonts w:hint="eastAsia"/>
                <w:sz w:val="21"/>
                <w:szCs w:val="21"/>
                <w:lang w:val="en-US" w:eastAsia="zh-CN"/>
              </w:rPr>
              <w:t>3、镜头输出像素≥800万；</w:t>
            </w:r>
            <w:r>
              <w:rPr>
                <w:rFonts w:hint="eastAsia"/>
                <w:sz w:val="21"/>
                <w:szCs w:val="21"/>
                <w:lang w:val="en-US" w:eastAsia="zh-CN"/>
              </w:rPr>
              <w:br w:type="textWrapping"/>
            </w:r>
            <w:r>
              <w:rPr>
                <w:rFonts w:hint="eastAsia"/>
                <w:sz w:val="21"/>
                <w:szCs w:val="21"/>
                <w:lang w:val="en-US" w:eastAsia="zh-CN"/>
              </w:rPr>
              <w:t>4、支持HDMI和VGA输入输出接口。</w:t>
            </w:r>
          </w:p>
        </w:tc>
        <w:tc>
          <w:tcPr>
            <w:tcW w:w="580" w:type="dxa"/>
            <w:shd w:val="clear" w:color="auto" w:fill="auto"/>
            <w:vAlign w:val="center"/>
          </w:tcPr>
          <w:p w14:paraId="487004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7FC6ABA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0355D7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3895</w:t>
            </w:r>
          </w:p>
        </w:tc>
        <w:tc>
          <w:tcPr>
            <w:tcW w:w="1025" w:type="dxa"/>
            <w:shd w:val="clear" w:color="auto" w:fill="auto"/>
            <w:noWrap/>
            <w:vAlign w:val="center"/>
          </w:tcPr>
          <w:p w14:paraId="7AEEA6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3895</w:t>
            </w:r>
          </w:p>
        </w:tc>
        <w:tc>
          <w:tcPr>
            <w:tcW w:w="650" w:type="dxa"/>
            <w:shd w:val="clear" w:color="auto" w:fill="auto"/>
            <w:noWrap/>
            <w:vAlign w:val="center"/>
          </w:tcPr>
          <w:p w14:paraId="06D428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93C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499D0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18</w:t>
            </w:r>
          </w:p>
        </w:tc>
        <w:tc>
          <w:tcPr>
            <w:tcW w:w="961" w:type="dxa"/>
            <w:shd w:val="clear" w:color="auto" w:fill="auto"/>
            <w:vAlign w:val="center"/>
          </w:tcPr>
          <w:p w14:paraId="510A91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摄像头</w:t>
            </w:r>
          </w:p>
        </w:tc>
        <w:tc>
          <w:tcPr>
            <w:tcW w:w="4913" w:type="dxa"/>
            <w:shd w:val="clear" w:color="auto" w:fill="auto"/>
            <w:vAlign w:val="top"/>
          </w:tcPr>
          <w:p w14:paraId="4CD958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1、▲采用≥1/2.7英寸CMOS图像传感器，主码流可输出3840×2160@25fps。</w:t>
            </w:r>
            <w:r>
              <w:rPr>
                <w:rFonts w:hint="eastAsia"/>
                <w:sz w:val="21"/>
                <w:szCs w:val="21"/>
                <w:lang w:val="en-US" w:eastAsia="zh-CN"/>
              </w:rPr>
              <w:br w:type="textWrapping"/>
            </w:r>
            <w:r>
              <w:rPr>
                <w:rFonts w:hint="eastAsia"/>
                <w:sz w:val="21"/>
                <w:szCs w:val="21"/>
                <w:lang w:val="en-US" w:eastAsia="zh-CN"/>
              </w:rPr>
              <w:t>2、采用电动变焦镜头，焦距范围满足：2.7-12mm。</w:t>
            </w:r>
            <w:r>
              <w:rPr>
                <w:rFonts w:hint="eastAsia"/>
                <w:sz w:val="21"/>
                <w:szCs w:val="21"/>
                <w:lang w:val="en-US" w:eastAsia="zh-CN"/>
              </w:rPr>
              <w:br w:type="textWrapping"/>
            </w:r>
            <w:r>
              <w:rPr>
                <w:rFonts w:hint="eastAsia"/>
                <w:sz w:val="21"/>
                <w:szCs w:val="21"/>
                <w:lang w:val="en-US" w:eastAsia="zh-CN"/>
              </w:rPr>
              <w:t>3、内置≥1个暖光灯和≥2个红外补光灯，红外监控距离≥50米，暖光监控距离≥20米。</w:t>
            </w:r>
            <w:r>
              <w:rPr>
                <w:rFonts w:hint="eastAsia"/>
                <w:sz w:val="21"/>
                <w:szCs w:val="21"/>
                <w:lang w:val="en-US" w:eastAsia="zh-CN"/>
              </w:rPr>
              <w:br w:type="textWrapping"/>
            </w:r>
            <w:r>
              <w:rPr>
                <w:rFonts w:hint="eastAsia"/>
                <w:sz w:val="21"/>
                <w:szCs w:val="21"/>
                <w:lang w:val="en-US" w:eastAsia="zh-CN"/>
              </w:rPr>
              <w:t>4、支持人脸检测，支持人脸抓图增强、人脸曝光，支持人脸属性提取，支持按照GA/T 1400协议标准上报图片与结构化数据。</w:t>
            </w:r>
            <w:r>
              <w:rPr>
                <w:rFonts w:hint="eastAsia"/>
                <w:sz w:val="21"/>
                <w:szCs w:val="21"/>
                <w:lang w:val="en-US" w:eastAsia="zh-CN"/>
              </w:rPr>
              <w:br w:type="textWrapping"/>
            </w:r>
            <w:r>
              <w:rPr>
                <w:rFonts w:hint="eastAsia"/>
                <w:sz w:val="21"/>
                <w:szCs w:val="21"/>
                <w:lang w:val="en-US" w:eastAsia="zh-CN"/>
              </w:rPr>
              <w:t>5、支持车辆检测：支持机动车抓拍及报警联动，支持机动车号牌识别，支持按照GA/T 1400协议标准上报图片与结构化数据。</w:t>
            </w:r>
            <w:r>
              <w:rPr>
                <w:rFonts w:hint="eastAsia"/>
                <w:sz w:val="21"/>
                <w:szCs w:val="21"/>
                <w:lang w:val="en-US" w:eastAsia="zh-CN"/>
              </w:rPr>
              <w:br w:type="textWrapping"/>
            </w:r>
            <w:r>
              <w:rPr>
                <w:rFonts w:hint="eastAsia"/>
                <w:sz w:val="21"/>
                <w:szCs w:val="21"/>
                <w:lang w:val="en-US" w:eastAsia="zh-CN"/>
              </w:rPr>
              <w:t>6、启用绊线入侵或区域入侵检测时，支持针对人、机动车、动物3类有效目标进行检测,并触发报警和设置事件联动。</w:t>
            </w:r>
            <w:r>
              <w:rPr>
                <w:rFonts w:hint="eastAsia"/>
                <w:sz w:val="21"/>
                <w:szCs w:val="21"/>
                <w:lang w:val="en-US" w:eastAsia="zh-CN"/>
              </w:rPr>
              <w:br w:type="textWrapping"/>
            </w:r>
            <w:r>
              <w:rPr>
                <w:rFonts w:hint="eastAsia"/>
                <w:sz w:val="21"/>
                <w:szCs w:val="21"/>
                <w:lang w:val="en-US" w:eastAsia="zh-CN"/>
              </w:rPr>
              <w:t>7、支持声光报警联动，当报警产生时，可触发联动声音警报和灯光闪烁</w:t>
            </w:r>
            <w:r>
              <w:rPr>
                <w:rFonts w:hint="eastAsia"/>
                <w:sz w:val="21"/>
                <w:szCs w:val="21"/>
                <w:lang w:val="en-US" w:eastAsia="zh-CN"/>
              </w:rPr>
              <w:br w:type="textWrapping"/>
            </w:r>
            <w:r>
              <w:rPr>
                <w:rFonts w:hint="eastAsia"/>
                <w:sz w:val="21"/>
                <w:szCs w:val="21"/>
                <w:lang w:val="en-US" w:eastAsia="zh-CN"/>
              </w:rPr>
              <w:t>8、支持一键撤防，可在自定义设置的时间段内对报警输出，邮件，音频，灯光等事件联动项进行统一撤防控制。</w:t>
            </w:r>
            <w:r>
              <w:rPr>
                <w:rFonts w:hint="eastAsia"/>
                <w:sz w:val="21"/>
                <w:szCs w:val="21"/>
                <w:lang w:val="en-US" w:eastAsia="zh-CN"/>
              </w:rPr>
              <w:br w:type="textWrapping"/>
            </w:r>
            <w:r>
              <w:rPr>
                <w:rFonts w:hint="eastAsia"/>
                <w:sz w:val="21"/>
                <w:szCs w:val="21"/>
                <w:lang w:val="en-US" w:eastAsia="zh-CN"/>
              </w:rPr>
              <w:t>9、环境照度不高于0.51x，开启超感光功能后,可自动调节画面中人脸、人体目标以及环境景物的亮度、色彩饱和度、对比度、锐度。</w:t>
            </w:r>
            <w:r>
              <w:rPr>
                <w:rFonts w:hint="eastAsia"/>
                <w:sz w:val="21"/>
                <w:szCs w:val="21"/>
                <w:lang w:val="en-US" w:eastAsia="zh-CN"/>
              </w:rPr>
              <w:br w:type="textWrapping"/>
            </w:r>
            <w:r>
              <w:rPr>
                <w:rFonts w:hint="eastAsia"/>
                <w:sz w:val="21"/>
                <w:szCs w:val="21"/>
                <w:lang w:val="en-US" w:eastAsia="zh-CN"/>
              </w:rPr>
              <w:t>10、支持定时语音播报，可添加≥10个不同语音文件,可设置时间优先、次数优先,播放间隔可设置,支持针对不同语音单独配置播放时间计划。</w:t>
            </w:r>
            <w:r>
              <w:rPr>
                <w:rFonts w:hint="eastAsia"/>
                <w:sz w:val="21"/>
                <w:szCs w:val="21"/>
                <w:lang w:val="en-US" w:eastAsia="zh-CN"/>
              </w:rPr>
              <w:br w:type="textWrapping"/>
            </w:r>
            <w:r>
              <w:rPr>
                <w:rFonts w:hint="eastAsia"/>
                <w:sz w:val="21"/>
                <w:szCs w:val="21"/>
                <w:lang w:val="en-US" w:eastAsia="zh-CN"/>
              </w:rPr>
              <w:t>11、▲支持报警2进2出，音频1进1出，485，支持≥1TB Micro SD卡，内置双麦克和扬声器。</w:t>
            </w:r>
            <w:r>
              <w:rPr>
                <w:rFonts w:hint="eastAsia"/>
                <w:sz w:val="21"/>
                <w:szCs w:val="21"/>
                <w:lang w:val="en-US" w:eastAsia="zh-CN"/>
              </w:rPr>
              <w:br w:type="textWrapping"/>
            </w:r>
            <w:r>
              <w:rPr>
                <w:rFonts w:hint="eastAsia"/>
                <w:sz w:val="21"/>
                <w:szCs w:val="21"/>
                <w:lang w:val="en-US" w:eastAsia="zh-CN"/>
              </w:rPr>
              <w:t>12、支持通过RS-485接口接入温湿度传感器和电量传感器，可对传感器的超限数据进行报警联动。</w:t>
            </w:r>
            <w:r>
              <w:rPr>
                <w:rFonts w:hint="eastAsia"/>
                <w:sz w:val="21"/>
                <w:szCs w:val="21"/>
                <w:lang w:val="en-US" w:eastAsia="zh-CN"/>
              </w:rPr>
              <w:br w:type="textWrapping"/>
            </w:r>
            <w:r>
              <w:rPr>
                <w:rFonts w:hint="eastAsia"/>
                <w:sz w:val="21"/>
                <w:szCs w:val="21"/>
                <w:lang w:val="en-US" w:eastAsia="zh-CN"/>
              </w:rPr>
              <w:t>13、供电方式：DC12V/PoE，支持电源热备份，支持12V电源返送，最大电流165mA，峰值电流700mA。</w:t>
            </w:r>
            <w:r>
              <w:rPr>
                <w:rFonts w:hint="eastAsia"/>
                <w:sz w:val="21"/>
                <w:szCs w:val="21"/>
                <w:lang w:val="en-US" w:eastAsia="zh-CN"/>
              </w:rPr>
              <w:br w:type="textWrapping"/>
            </w:r>
            <w:r>
              <w:rPr>
                <w:rFonts w:hint="eastAsia"/>
                <w:sz w:val="21"/>
                <w:szCs w:val="21"/>
                <w:lang w:val="en-US" w:eastAsia="zh-CN"/>
              </w:rPr>
              <w:t>14、▲防护等级：IP67，IK10。</w:t>
            </w:r>
          </w:p>
        </w:tc>
        <w:tc>
          <w:tcPr>
            <w:tcW w:w="580" w:type="dxa"/>
            <w:shd w:val="clear" w:color="auto" w:fill="auto"/>
            <w:vAlign w:val="center"/>
          </w:tcPr>
          <w:p w14:paraId="791373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85382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3BE1335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1567</w:t>
            </w:r>
          </w:p>
        </w:tc>
        <w:tc>
          <w:tcPr>
            <w:tcW w:w="1025" w:type="dxa"/>
            <w:shd w:val="clear" w:color="auto" w:fill="auto"/>
            <w:noWrap/>
            <w:vAlign w:val="center"/>
          </w:tcPr>
          <w:p w14:paraId="30ADA4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1567</w:t>
            </w:r>
          </w:p>
        </w:tc>
        <w:tc>
          <w:tcPr>
            <w:tcW w:w="650" w:type="dxa"/>
            <w:shd w:val="clear" w:color="auto" w:fill="auto"/>
            <w:noWrap/>
            <w:vAlign w:val="center"/>
          </w:tcPr>
          <w:p w14:paraId="35C792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2DF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875C6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19</w:t>
            </w:r>
          </w:p>
        </w:tc>
        <w:tc>
          <w:tcPr>
            <w:tcW w:w="961" w:type="dxa"/>
            <w:shd w:val="clear" w:color="auto" w:fill="auto"/>
            <w:vAlign w:val="center"/>
          </w:tcPr>
          <w:p w14:paraId="77D264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安装调试及服务</w:t>
            </w:r>
          </w:p>
        </w:tc>
        <w:tc>
          <w:tcPr>
            <w:tcW w:w="4913" w:type="dxa"/>
            <w:shd w:val="clear" w:color="auto" w:fill="auto"/>
            <w:vAlign w:val="center"/>
          </w:tcPr>
          <w:p w14:paraId="61F5E4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负责对应设备安装、综合布线施工（含辅材）及调测开通。</w:t>
            </w:r>
          </w:p>
        </w:tc>
        <w:tc>
          <w:tcPr>
            <w:tcW w:w="580" w:type="dxa"/>
            <w:shd w:val="clear" w:color="auto" w:fill="auto"/>
            <w:vAlign w:val="center"/>
          </w:tcPr>
          <w:p w14:paraId="597D19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B8AB18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7F1AB2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12650</w:t>
            </w:r>
          </w:p>
        </w:tc>
        <w:tc>
          <w:tcPr>
            <w:tcW w:w="1025" w:type="dxa"/>
            <w:shd w:val="clear" w:color="auto" w:fill="auto"/>
            <w:noWrap/>
            <w:vAlign w:val="center"/>
          </w:tcPr>
          <w:p w14:paraId="3043EF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12650</w:t>
            </w:r>
          </w:p>
        </w:tc>
        <w:tc>
          <w:tcPr>
            <w:tcW w:w="650" w:type="dxa"/>
            <w:shd w:val="clear" w:color="auto" w:fill="auto"/>
            <w:noWrap/>
            <w:vAlign w:val="center"/>
          </w:tcPr>
          <w:p w14:paraId="4E9C94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ACE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jc w:val="center"/>
        </w:trPr>
        <w:tc>
          <w:tcPr>
            <w:tcW w:w="654" w:type="dxa"/>
            <w:shd w:val="clear" w:color="auto" w:fill="auto"/>
            <w:noWrap/>
            <w:vAlign w:val="center"/>
          </w:tcPr>
          <w:p w14:paraId="34F7B12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57C72C8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5C3D8A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vAlign w:val="center"/>
          </w:tcPr>
          <w:p w14:paraId="2F0465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0B5E720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534686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1AA44F3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52361</w:t>
            </w:r>
          </w:p>
        </w:tc>
        <w:tc>
          <w:tcPr>
            <w:tcW w:w="650" w:type="dxa"/>
            <w:shd w:val="clear" w:color="auto" w:fill="auto"/>
            <w:noWrap/>
            <w:vAlign w:val="center"/>
          </w:tcPr>
          <w:p w14:paraId="3EFBF95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30BB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7808" w:type="dxa"/>
            <w:gridSpan w:val="5"/>
            <w:shd w:val="clear" w:color="auto" w:fill="auto"/>
            <w:noWrap/>
            <w:vAlign w:val="center"/>
          </w:tcPr>
          <w:p w14:paraId="1920F9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08" name="Text_Box_3_SpCnt_46"/>
                      <wp:cNvGraphicFramePr/>
                      <a:graphic xmlns:a="http://schemas.openxmlformats.org/drawingml/2006/main">
                        <a:graphicData uri="http://schemas.microsoft.com/office/word/2010/wordprocessingShape">
                          <wps:wsp>
                            <wps:cNvSpPr>
                              <a:spLocks noChangeArrowheads="1"/>
                            </wps:cNvSpPr>
                            <wps:spPr>
                              <a:xfrm>
                                <a:off x="0" y="46101000"/>
                                <a:ext cx="156210" cy="196215"/>
                              </a:xfrm>
                              <a:prstGeom prst="rect">
                                <a:avLst/>
                              </a:prstGeom>
                              <a:noFill/>
                              <a:ln w="9525" cmpd="sng">
                                <a:noFill/>
                                <a:miter lim="800000"/>
                              </a:ln>
                            </wps:spPr>
                            <wps:txbx>
                              <w:txbxContent>
                                <w:p w14:paraId="4B313D88">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6"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61Ww1QAAAAMBAAAPAAAAAAAA&#10;AAEAIAAAACIAAABkcnMvZG93bnJldi54bWxQSwECFAAUAAAACACHTuJAjf1JgxUCAAATBAAADgAA&#10;AAAAAAABACAAAAAkAQAAZHJzL2Uyb0RvYy54bWxQSwUGAAAAAAYABgBZAQAAqwUAAAAA&#10;">
                      <v:fill on="f" focussize="0,0"/>
                      <v:stroke on="f" miterlimit="8" joinstyle="miter"/>
                      <v:imagedata o:title=""/>
                      <o:lock v:ext="edit" aspectratio="f"/>
                      <v:textbox inset="0.508mm,0.635mm,0mm,0mm" style="mso-fit-shape-to-text:t;">
                        <w:txbxContent>
                          <w:p w14:paraId="4B313D88">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09" name="Text_Box_1_SpCnt_12"/>
                      <wp:cNvGraphicFramePr/>
                      <a:graphic xmlns:a="http://schemas.openxmlformats.org/drawingml/2006/main">
                        <a:graphicData uri="http://schemas.microsoft.com/office/word/2010/wordprocessingShape">
                          <wps:wsp>
                            <wps:cNvSpPr>
                              <a:spLocks noChangeArrowheads="1"/>
                            </wps:cNvSpPr>
                            <wps:spPr>
                              <a:xfrm>
                                <a:off x="0" y="46101000"/>
                                <a:ext cx="156210" cy="196215"/>
                              </a:xfrm>
                              <a:prstGeom prst="rect">
                                <a:avLst/>
                              </a:prstGeom>
                              <a:noFill/>
                              <a:ln w="9525">
                                <a:noFill/>
                                <a:miter lim="800000"/>
                              </a:ln>
                            </wps:spPr>
                            <wps:txbx>
                              <w:txbxContent>
                                <w:p w14:paraId="6557D167">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2"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rVbDVAAAAAwEAAA8AAAAAAAAAAQAgAAAA&#10;IgAAAGRycy9kb3ducmV2LnhtbFBLAQIUABQAAAAIAIdO4kAKZdJvDgIAAAgEAAAOAAAAAAAAAAEA&#10;IAAAACQBAABkcnMvZTJvRG9jLnhtbFBLBQYAAAAABgAGAFkBAACkBQAAAAA=&#10;">
                      <v:fill on="f" focussize="0,0"/>
                      <v:stroke on="f" miterlimit="8" joinstyle="miter"/>
                      <v:imagedata o:title=""/>
                      <o:lock v:ext="edit" aspectratio="f"/>
                      <v:textbox inset="0.508mm,0.635mm,0mm,0mm" style="mso-fit-shape-to-text:t;">
                        <w:txbxContent>
                          <w:p w14:paraId="6557D167">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910" name="Text_Box_3_SpCnt_47"/>
                      <wp:cNvGraphicFramePr/>
                      <a:graphic xmlns:a="http://schemas.openxmlformats.org/drawingml/2006/main">
                        <a:graphicData uri="http://schemas.microsoft.com/office/word/2010/wordprocessingShape">
                          <wps:wsp>
                            <wps:cNvSpPr>
                              <a:spLocks noChangeArrowheads="1"/>
                            </wps:cNvSpPr>
                            <wps:spPr>
                              <a:xfrm>
                                <a:off x="0" y="46101000"/>
                                <a:ext cx="154940" cy="198755"/>
                              </a:xfrm>
                              <a:prstGeom prst="rect">
                                <a:avLst/>
                              </a:prstGeom>
                              <a:noFill/>
                              <a:ln w="9525">
                                <a:noFill/>
                                <a:miter lim="800000"/>
                              </a:ln>
                            </wps:spPr>
                            <wps:txbx>
                              <w:txbxContent>
                                <w:p w14:paraId="2CD064ED">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7"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0/ddYAAAADAQAADwAAAAAAAAABACAA&#10;AAAiAAAAZHJzL2Rvd25yZXYueG1sUEsBAhQAFAAAAAgAh07iQGms1qgPAgAACAQAAA4AAAAAAAAA&#10;AQAgAAAAJQEAAGRycy9lMm9Eb2MueG1sUEsFBgAAAAAGAAYAWQEAAKYFAAAAAA==&#10;">
                      <v:fill on="f" focussize="0,0"/>
                      <v:stroke on="f" miterlimit="8" joinstyle="miter"/>
                      <v:imagedata o:title=""/>
                      <o:lock v:ext="edit" aspectratio="f"/>
                      <v:textbox inset="0.508mm,0.635mm,0mm,0mm" style="mso-fit-shape-to-text:t;">
                        <w:txbxContent>
                          <w:p w14:paraId="2CD064ED">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200025" cy="196215"/>
                      <wp:effectExtent l="0" t="0" r="0" b="0"/>
                      <wp:wrapNone/>
                      <wp:docPr id="1073742911" name="Text_Box_3_SpCnt_48"/>
                      <wp:cNvGraphicFramePr/>
                      <a:graphic xmlns:a="http://schemas.openxmlformats.org/drawingml/2006/main">
                        <a:graphicData uri="http://schemas.microsoft.com/office/word/2010/wordprocessingShape">
                          <wps:wsp>
                            <wps:cNvSpPr>
                              <a:spLocks noChangeArrowheads="1"/>
                            </wps:cNvSpPr>
                            <wps:spPr>
                              <a:xfrm>
                                <a:off x="8255" y="46101000"/>
                                <a:ext cx="200025" cy="196215"/>
                              </a:xfrm>
                              <a:prstGeom prst="rect">
                                <a:avLst/>
                              </a:prstGeom>
                              <a:noFill/>
                              <a:ln w="9525">
                                <a:noFill/>
                                <a:miter lim="800000"/>
                              </a:ln>
                            </wps:spPr>
                            <wps:txbx>
                              <w:txbxContent>
                                <w:p w14:paraId="1BFA227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8" o:spid="_x0000_s1026" o:spt="1" style="position:absolute;left:0pt;margin-left:0.65pt;margin-top:0pt;height:15.45pt;width:15.75pt;mso-wrap-style:none;z-index:251660288;mso-width-relative:page;mso-height-relative:page;" filled="f" stroked="f" coordsize="21600,21600" o:gfxdata="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Rpfur1AAAAAQBAAAPAAAAAAAAAAEAIAAA&#10;ACIAAABkcnMvZG93bnJldi54bWxQSwECFAAUAAAACACHTuJAMSQs2BACAAALBAAADgAAAAAAAAAB&#10;ACAAAAAjAQAAZHJzL2Uyb0RvYy54bWxQSwUGAAAAAAYABgBZAQAApQUAAAAA&#10;">
                      <v:fill on="f" focussize="0,0"/>
                      <v:stroke on="f" miterlimit="8" joinstyle="miter"/>
                      <v:imagedata o:title=""/>
                      <o:lock v:ext="edit" aspectratio="f"/>
                      <v:textbox inset="0.508mm,0.635mm,0mm,0mm" style="mso-fit-shape-to-text:t;">
                        <w:txbxContent>
                          <w:p w14:paraId="1BFA227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912" name="Text_Box_3_SpCnt_49"/>
                      <wp:cNvGraphicFramePr/>
                      <a:graphic xmlns:a="http://schemas.openxmlformats.org/drawingml/2006/main">
                        <a:graphicData uri="http://schemas.microsoft.com/office/word/2010/wordprocessingShape">
                          <wps:wsp>
                            <wps:cNvSpPr>
                              <a:spLocks noChangeArrowheads="1"/>
                            </wps:cNvSpPr>
                            <wps:spPr>
                              <a:xfrm>
                                <a:off x="11430" y="46101000"/>
                                <a:ext cx="213360" cy="198755"/>
                              </a:xfrm>
                              <a:prstGeom prst="rect">
                                <a:avLst/>
                              </a:prstGeom>
                              <a:noFill/>
                              <a:ln w="9525">
                                <a:noFill/>
                                <a:miter lim="800000"/>
                              </a:ln>
                            </wps:spPr>
                            <wps:txbx>
                              <w:txbxContent>
                                <w:p w14:paraId="51CF7BD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9"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4HLa1QAAAAQBAAAPAAAAAAAAAAEA&#10;IAAAACIAAABkcnMvZG93bnJldi54bWxQSwECFAAUAAAACACHTuJAlchUcRICAAAMBAAADgAAAAAA&#10;AAABACAAAAAkAQAAZHJzL2Uyb0RvYy54bWxQSwUGAAAAAAYABgBZAQAAqAUAAAAA&#10;">
                      <v:fill on="f" focussize="0,0"/>
                      <v:stroke on="f" miterlimit="8" joinstyle="miter"/>
                      <v:imagedata o:title=""/>
                      <o:lock v:ext="edit" aspectratio="f"/>
                      <v:textbox inset="0.508mm,0.635mm,0mm,0mm" style="mso-fit-shape-to-text:t;">
                        <w:txbxContent>
                          <w:p w14:paraId="51CF7BD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13" name="Text_Box_3_SpCnt_50"/>
                      <wp:cNvGraphicFramePr/>
                      <a:graphic xmlns:a="http://schemas.openxmlformats.org/drawingml/2006/main">
                        <a:graphicData uri="http://schemas.microsoft.com/office/word/2010/wordprocessingShape">
                          <wps:wsp>
                            <wps:cNvSpPr>
                              <a:spLocks noChangeArrowheads="1"/>
                            </wps:cNvSpPr>
                            <wps:spPr>
                              <a:xfrm>
                                <a:off x="443230" y="46101000"/>
                                <a:ext cx="2495550" cy="207645"/>
                              </a:xfrm>
                              <a:prstGeom prst="rect">
                                <a:avLst/>
                              </a:prstGeom>
                              <a:noFill/>
                              <a:ln w="9525">
                                <a:noFill/>
                                <a:miter lim="800000"/>
                              </a:ln>
                            </wps:spPr>
                            <wps:txbx>
                              <w:txbxContent>
                                <w:p w14:paraId="0DEF418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0"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hYrD1gAAAAYBAAAPAAAAAAAA&#10;AAEAIAAAACIAAABkcnMvZG93bnJldi54bWxQSwECFAAUAAAACACHTuJAuSpigBQCAAAOBAAADgAA&#10;AAAAAAABACAAAAAlAQAAZHJzL2Uyb0RvYy54bWxQSwUGAAAAAAYABgBZAQAAqwUAAAAA&#10;">
                      <v:fill on="f" focussize="0,0"/>
                      <v:stroke on="f" miterlimit="8" joinstyle="miter"/>
                      <v:imagedata o:title=""/>
                      <o:lock v:ext="edit" aspectratio="f"/>
                      <v:textbox inset="0.508mm,0.635mm,0mm,0mm" style="mso-fit-shape-to-text:t;">
                        <w:txbxContent>
                          <w:p w14:paraId="0DEF418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14" name="Text_Box_1_SpCnt_13"/>
                      <wp:cNvGraphicFramePr/>
                      <a:graphic xmlns:a="http://schemas.openxmlformats.org/drawingml/2006/main">
                        <a:graphicData uri="http://schemas.microsoft.com/office/word/2010/wordprocessingShape">
                          <wps:wsp>
                            <wps:cNvSpPr>
                              <a:spLocks noChangeArrowheads="1"/>
                            </wps:cNvSpPr>
                            <wps:spPr>
                              <a:xfrm>
                                <a:off x="7340600" y="46101000"/>
                                <a:ext cx="156210" cy="198755"/>
                              </a:xfrm>
                              <a:prstGeom prst="rect">
                                <a:avLst/>
                              </a:prstGeom>
                              <a:noFill/>
                              <a:ln w="9525">
                                <a:noFill/>
                                <a:miter lim="800000"/>
                              </a:ln>
                            </wps:spPr>
                            <wps:txbx>
                              <w:txbxContent>
                                <w:p w14:paraId="4793821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3"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vI2m2AAAAAkBAAAPAAAA&#10;AAAAAAEAIAAAACIAAABkcnMvZG93bnJldi54bWxQSwECFAAUAAAACACHTuJAcEuYFBUCAAAOBAAA&#10;DgAAAAAAAAABACAAAAAnAQAAZHJzL2Uyb0RvYy54bWxQSwUGAAAAAAYABgBZAQAArgUAAAAA&#10;">
                      <v:fill on="f" focussize="0,0"/>
                      <v:stroke on="f" miterlimit="8" joinstyle="miter"/>
                      <v:imagedata o:title=""/>
                      <o:lock v:ext="edit" aspectratio="f"/>
                      <v:textbox inset="0.508mm,0.635mm,0mm,0mm" style="mso-fit-shape-to-text:t;">
                        <w:txbxContent>
                          <w:p w14:paraId="4793821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15" name="Text_Box_3_SpCnt_51"/>
                      <wp:cNvGraphicFramePr/>
                      <a:graphic xmlns:a="http://schemas.openxmlformats.org/drawingml/2006/main">
                        <a:graphicData uri="http://schemas.microsoft.com/office/word/2010/wordprocessingShape">
                          <wps:wsp>
                            <wps:cNvSpPr>
                              <a:spLocks noChangeArrowheads="1"/>
                            </wps:cNvSpPr>
                            <wps:spPr>
                              <a:xfrm>
                                <a:off x="7340600" y="46101000"/>
                                <a:ext cx="156210" cy="198755"/>
                              </a:xfrm>
                              <a:prstGeom prst="rect">
                                <a:avLst/>
                              </a:prstGeom>
                              <a:noFill/>
                              <a:ln w="9525" cmpd="sng">
                                <a:noFill/>
                                <a:miter lim="800000"/>
                              </a:ln>
                            </wps:spPr>
                            <wps:txbx>
                              <w:txbxContent>
                                <w:p w14:paraId="0B34378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1"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a8jabYAAAACQEA&#10;AA8AAAAAAAAAAQAgAAAAIgAAAGRycy9kb3ducmV2LnhtbFBLAQIUABQAAAAIAIdO4kBJPCKyGgIA&#10;ABkEAAAOAAAAAAAAAAEAIAAAACcBAABkcnMvZTJvRG9jLnhtbFBLBQYAAAAABgAGAFkBAACzBQAA&#10;AAA=&#10;">
                      <v:fill on="f" focussize="0,0"/>
                      <v:stroke on="f" miterlimit="8" joinstyle="miter"/>
                      <v:imagedata o:title=""/>
                      <o:lock v:ext="edit" aspectratio="f"/>
                      <v:textbox inset="0.508mm,0.635mm,0mm,0mm" style="mso-fit-shape-to-text:t;">
                        <w:txbxContent>
                          <w:p w14:paraId="0B34378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九、预审系统</w:t>
            </w:r>
          </w:p>
        </w:tc>
        <w:tc>
          <w:tcPr>
            <w:tcW w:w="987" w:type="dxa"/>
            <w:shd w:val="clear" w:color="auto" w:fill="auto"/>
            <w:noWrap/>
            <w:vAlign w:val="center"/>
          </w:tcPr>
          <w:p w14:paraId="0564C0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1025" w:type="dxa"/>
            <w:shd w:val="clear" w:color="auto" w:fill="auto"/>
            <w:noWrap/>
            <w:vAlign w:val="center"/>
          </w:tcPr>
          <w:p w14:paraId="31FCC8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650" w:type="dxa"/>
            <w:shd w:val="clear" w:color="auto" w:fill="auto"/>
            <w:noWrap/>
            <w:vAlign w:val="center"/>
          </w:tcPr>
          <w:p w14:paraId="760CF0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4B9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56DAE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0BDFDE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知识产权预审管理系统</w:t>
            </w:r>
          </w:p>
        </w:tc>
        <w:tc>
          <w:tcPr>
            <w:tcW w:w="4913" w:type="dxa"/>
            <w:shd w:val="clear" w:color="auto" w:fill="auto"/>
            <w:vAlign w:val="center"/>
          </w:tcPr>
          <w:p w14:paraId="437AA7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（一）预审案件提交子系统</w:t>
            </w:r>
            <w:r>
              <w:rPr>
                <w:rFonts w:hint="eastAsia"/>
                <w:sz w:val="21"/>
                <w:szCs w:val="21"/>
                <w:lang w:val="en-US" w:eastAsia="zh-CN"/>
              </w:rPr>
              <w:br w:type="textWrapping"/>
            </w:r>
            <w:r>
              <w:rPr>
                <w:rFonts w:hint="eastAsia"/>
                <w:sz w:val="21"/>
                <w:szCs w:val="21"/>
                <w:lang w:val="en-US" w:eastAsia="zh-CN"/>
              </w:rPr>
              <w:t>1、申请主体和代理机构注册：申请主体或代理机构在预审案件提交系统输入企事业单位名称、组织机构代码、联系人姓名、联系人身份证号、联系人手机号等完成注册信息，原则上同一企事业单位名称或组织机构代码只能注册一个账号。</w:t>
            </w:r>
            <w:r>
              <w:rPr>
                <w:rFonts w:hint="eastAsia"/>
                <w:sz w:val="21"/>
                <w:szCs w:val="21"/>
                <w:lang w:val="en-US" w:eastAsia="zh-CN"/>
              </w:rPr>
              <w:br w:type="textWrapping"/>
            </w:r>
            <w:r>
              <w:rPr>
                <w:rFonts w:hint="eastAsia"/>
                <w:sz w:val="21"/>
                <w:szCs w:val="21"/>
                <w:lang w:val="en-US" w:eastAsia="zh-CN"/>
              </w:rPr>
              <w:t>2、备案申请：注册成功的申请主体可以在线提供备案申请，需提供注册地址、单位类型等信息。</w:t>
            </w:r>
            <w:r>
              <w:rPr>
                <w:rFonts w:hint="eastAsia"/>
                <w:sz w:val="21"/>
                <w:szCs w:val="21"/>
                <w:lang w:val="en-US" w:eastAsia="zh-CN"/>
              </w:rPr>
              <w:br w:type="textWrapping"/>
            </w:r>
            <w:r>
              <w:rPr>
                <w:rFonts w:hint="eastAsia"/>
                <w:sz w:val="21"/>
                <w:szCs w:val="21"/>
                <w:lang w:val="en-US" w:eastAsia="zh-CN"/>
              </w:rPr>
              <w:t>3、申请主体和代理机构信息变更：备案成功的申请主体或已注册的代理机构可在线对企事业单位名称、联系人姓名、联系人身份证号、联系人手机号等信息进行变更，并提供变更证明。</w:t>
            </w:r>
            <w:r>
              <w:rPr>
                <w:rFonts w:hint="eastAsia"/>
                <w:sz w:val="21"/>
                <w:szCs w:val="21"/>
                <w:lang w:val="en-US" w:eastAsia="zh-CN"/>
              </w:rPr>
              <w:br w:type="textWrapping"/>
            </w:r>
            <w:r>
              <w:rPr>
                <w:rFonts w:hint="eastAsia"/>
                <w:sz w:val="21"/>
                <w:szCs w:val="21"/>
                <w:lang w:val="en-US" w:eastAsia="zh-CN"/>
              </w:rPr>
              <w:t>4、预审申请：备案成功的申请主体可在线提交预审申请，享受专利申请预审、专利复审及无效请求预审、专利权评价报告快速处理预审等服务。注册成功的代理机构可代理申请主体在线提交预审申请，申请主体可同步查看案件信息和审核状态。</w:t>
            </w:r>
            <w:r>
              <w:rPr>
                <w:rFonts w:hint="eastAsia"/>
                <w:sz w:val="21"/>
                <w:szCs w:val="21"/>
                <w:lang w:val="en-US" w:eastAsia="zh-CN"/>
              </w:rPr>
              <w:br w:type="textWrapping"/>
            </w:r>
            <w:r>
              <w:rPr>
                <w:rFonts w:hint="eastAsia"/>
                <w:sz w:val="21"/>
                <w:szCs w:val="21"/>
                <w:lang w:val="en-US" w:eastAsia="zh-CN"/>
              </w:rPr>
              <w:t>5、通知办理：平台用户登录预审案件提交系统后，可在线阅读知识产权快维中心的各种通知消息，如预审资格审查结论、案件预审结论、备案审核结果、备案取消通知等。</w:t>
            </w:r>
            <w:r>
              <w:rPr>
                <w:rFonts w:hint="eastAsia"/>
                <w:sz w:val="21"/>
                <w:szCs w:val="21"/>
                <w:lang w:val="en-US" w:eastAsia="zh-CN"/>
              </w:rPr>
              <w:br w:type="textWrapping"/>
            </w:r>
            <w:r>
              <w:rPr>
                <w:rFonts w:hint="eastAsia"/>
                <w:sz w:val="21"/>
                <w:szCs w:val="21"/>
                <w:lang w:val="en-US" w:eastAsia="zh-CN"/>
              </w:rPr>
              <w:t>6、信息管理：主要提供申请主体、代理机构进行信息维护、修改密码等功能。</w:t>
            </w:r>
            <w:r>
              <w:rPr>
                <w:rFonts w:hint="eastAsia"/>
                <w:sz w:val="21"/>
                <w:szCs w:val="21"/>
                <w:lang w:val="en-US" w:eastAsia="zh-CN"/>
              </w:rPr>
              <w:br w:type="textWrapping"/>
            </w:r>
            <w:r>
              <w:rPr>
                <w:rFonts w:hint="eastAsia"/>
                <w:sz w:val="21"/>
                <w:szCs w:val="21"/>
                <w:lang w:val="en-US" w:eastAsia="zh-CN"/>
              </w:rPr>
              <w:t>7、下载中心：展示快维中心提供的下载资料。申请主体、代理机构可在下载中心下载相关文件及模板如用户手册、备案申请表、承诺书等。</w:t>
            </w:r>
            <w:r>
              <w:rPr>
                <w:rFonts w:hint="eastAsia"/>
                <w:sz w:val="21"/>
                <w:szCs w:val="21"/>
                <w:lang w:val="en-US" w:eastAsia="zh-CN"/>
              </w:rPr>
              <w:br w:type="textWrapping"/>
            </w:r>
            <w:r>
              <w:rPr>
                <w:rFonts w:hint="eastAsia"/>
                <w:sz w:val="21"/>
                <w:szCs w:val="21"/>
                <w:lang w:val="en-US" w:eastAsia="zh-CN"/>
              </w:rPr>
              <w:t>（二）预审管理子系统</w:t>
            </w:r>
            <w:r>
              <w:rPr>
                <w:rFonts w:hint="eastAsia"/>
                <w:sz w:val="21"/>
                <w:szCs w:val="21"/>
                <w:lang w:val="en-US" w:eastAsia="zh-CN"/>
              </w:rPr>
              <w:br w:type="textWrapping"/>
            </w:r>
            <w:r>
              <w:rPr>
                <w:rFonts w:hint="eastAsia"/>
                <w:sz w:val="21"/>
                <w:szCs w:val="21"/>
                <w:lang w:val="en-US" w:eastAsia="zh-CN"/>
              </w:rPr>
              <w:t>1、注册备案管理</w:t>
            </w:r>
            <w:r>
              <w:rPr>
                <w:rFonts w:hint="eastAsia"/>
                <w:sz w:val="21"/>
                <w:szCs w:val="21"/>
                <w:lang w:val="en-US" w:eastAsia="zh-CN"/>
              </w:rPr>
              <w:br w:type="textWrapping"/>
            </w:r>
            <w:r>
              <w:rPr>
                <w:rFonts w:hint="eastAsia"/>
                <w:sz w:val="21"/>
                <w:szCs w:val="21"/>
                <w:lang w:val="en-US" w:eastAsia="zh-CN"/>
              </w:rPr>
              <w:t>（1）注册审核：注册审核员在后台对新注册的申请主体或代理机构进行审核，申请主体或代理机构在审核通过后正式成为平台用户，可在线进行登录、注销、找回密码、修改密码等操作。</w:t>
            </w:r>
            <w:r>
              <w:rPr>
                <w:rFonts w:hint="eastAsia"/>
                <w:sz w:val="21"/>
                <w:szCs w:val="21"/>
                <w:lang w:val="en-US" w:eastAsia="zh-CN"/>
              </w:rPr>
              <w:br w:type="textWrapping"/>
            </w:r>
            <w:r>
              <w:rPr>
                <w:rFonts w:hint="eastAsia"/>
                <w:sz w:val="21"/>
                <w:szCs w:val="21"/>
                <w:lang w:val="en-US" w:eastAsia="zh-CN"/>
              </w:rPr>
              <w:t>（2）备案审核：备案审核员在后台对新备案申请的申请主体进行初审，并将初审通过的名单上报国家局复核，批准确认后完成备案。</w:t>
            </w:r>
            <w:r>
              <w:rPr>
                <w:rFonts w:hint="eastAsia"/>
                <w:sz w:val="21"/>
                <w:szCs w:val="21"/>
                <w:lang w:val="en-US" w:eastAsia="zh-CN"/>
              </w:rPr>
              <w:br w:type="textWrapping"/>
            </w:r>
            <w:r>
              <w:rPr>
                <w:rFonts w:hint="eastAsia"/>
                <w:sz w:val="21"/>
                <w:szCs w:val="21"/>
                <w:lang w:val="en-US" w:eastAsia="zh-CN"/>
              </w:rPr>
              <w:t>（3）申请主体和代理机构信息变更审核：备案审核员在后台对申请主体和代理机构提交的信息变更申请和变更证明文件进行审核，批准确认后完成信息变更。</w:t>
            </w:r>
            <w:r>
              <w:rPr>
                <w:rFonts w:hint="eastAsia"/>
                <w:sz w:val="21"/>
                <w:szCs w:val="21"/>
                <w:lang w:val="en-US" w:eastAsia="zh-CN"/>
              </w:rPr>
              <w:br w:type="textWrapping"/>
            </w:r>
            <w:r>
              <w:rPr>
                <w:rFonts w:hint="eastAsia"/>
                <w:sz w:val="21"/>
                <w:szCs w:val="21"/>
                <w:lang w:val="en-US" w:eastAsia="zh-CN"/>
              </w:rPr>
              <w:t>（4）黑名单管理：备案审核员可以将存在恶意申请的申请主体加入黑名单；也可以将已经加入黑名单的申请主体解除黑名单。</w:t>
            </w:r>
            <w:r>
              <w:rPr>
                <w:rFonts w:hint="eastAsia"/>
                <w:sz w:val="21"/>
                <w:szCs w:val="21"/>
                <w:lang w:val="en-US" w:eastAsia="zh-CN"/>
              </w:rPr>
              <w:br w:type="textWrapping"/>
            </w:r>
            <w:r>
              <w:rPr>
                <w:rFonts w:hint="eastAsia"/>
                <w:sz w:val="21"/>
                <w:szCs w:val="21"/>
                <w:lang w:val="en-US" w:eastAsia="zh-CN"/>
              </w:rPr>
              <w:t>（5）注销备案：备案审核员可以将完成备案的申请主体注销备案。</w:t>
            </w:r>
            <w:r>
              <w:rPr>
                <w:rFonts w:hint="eastAsia"/>
                <w:sz w:val="21"/>
                <w:szCs w:val="21"/>
                <w:lang w:val="en-US" w:eastAsia="zh-CN"/>
              </w:rPr>
              <w:br w:type="textWrapping"/>
            </w:r>
            <w:r>
              <w:rPr>
                <w:rFonts w:hint="eastAsia"/>
                <w:sz w:val="21"/>
                <w:szCs w:val="21"/>
                <w:lang w:val="en-US" w:eastAsia="zh-CN"/>
              </w:rPr>
              <w:t>（6）导出备案信息：快维中心初步审核通过后，备案审核员将初筛审核通过的备案数据导出，然后线下上报国家知识产权局相关部门，国家知识产权局进行审批。</w:t>
            </w:r>
            <w:r>
              <w:rPr>
                <w:rFonts w:hint="eastAsia"/>
                <w:sz w:val="21"/>
                <w:szCs w:val="21"/>
                <w:lang w:val="en-US" w:eastAsia="zh-CN"/>
              </w:rPr>
              <w:br w:type="textWrapping"/>
            </w:r>
            <w:r>
              <w:rPr>
                <w:rFonts w:hint="eastAsia"/>
                <w:sz w:val="21"/>
                <w:szCs w:val="21"/>
                <w:lang w:val="en-US" w:eastAsia="zh-CN"/>
              </w:rPr>
              <w:t>2、领域管理</w:t>
            </w:r>
            <w:r>
              <w:rPr>
                <w:rFonts w:hint="eastAsia"/>
                <w:sz w:val="21"/>
                <w:szCs w:val="21"/>
                <w:lang w:val="en-US" w:eastAsia="zh-CN"/>
              </w:rPr>
              <w:br w:type="textWrapping"/>
            </w:r>
            <w:r>
              <w:rPr>
                <w:rFonts w:hint="eastAsia"/>
                <w:sz w:val="21"/>
                <w:szCs w:val="21"/>
                <w:lang w:val="en-US" w:eastAsia="zh-CN"/>
              </w:rPr>
              <w:t>（1）领域查询：领域查询功能主要为用户提供对已配置的产业领域及技术领域信息的查询功能。</w:t>
            </w:r>
            <w:r>
              <w:rPr>
                <w:rFonts w:hint="eastAsia"/>
                <w:sz w:val="21"/>
                <w:szCs w:val="21"/>
                <w:lang w:val="en-US" w:eastAsia="zh-CN"/>
              </w:rPr>
              <w:br w:type="textWrapping"/>
            </w:r>
            <w:r>
              <w:rPr>
                <w:rFonts w:hint="eastAsia"/>
                <w:sz w:val="21"/>
                <w:szCs w:val="21"/>
                <w:lang w:val="en-US" w:eastAsia="zh-CN"/>
              </w:rPr>
              <w:t>（2）领域管理：领域管理功能主要是为快维中心提供产业领域及技术领域的配置管理功能。</w:t>
            </w:r>
            <w:r>
              <w:rPr>
                <w:rFonts w:hint="eastAsia"/>
                <w:sz w:val="21"/>
                <w:szCs w:val="21"/>
                <w:lang w:val="en-US" w:eastAsia="zh-CN"/>
              </w:rPr>
              <w:br w:type="textWrapping"/>
            </w:r>
            <w:r>
              <w:rPr>
                <w:rFonts w:hint="eastAsia"/>
                <w:sz w:val="21"/>
                <w:szCs w:val="21"/>
                <w:lang w:val="en-US" w:eastAsia="zh-CN"/>
              </w:rPr>
              <w:t>3、专利申请预审</w:t>
            </w:r>
            <w:r>
              <w:rPr>
                <w:rFonts w:hint="eastAsia"/>
                <w:sz w:val="21"/>
                <w:szCs w:val="21"/>
                <w:lang w:val="en-US" w:eastAsia="zh-CN"/>
              </w:rPr>
              <w:br w:type="textWrapping"/>
            </w:r>
            <w:r>
              <w:rPr>
                <w:rFonts w:hint="eastAsia"/>
                <w:sz w:val="21"/>
                <w:szCs w:val="21"/>
                <w:lang w:val="en-US" w:eastAsia="zh-CN"/>
              </w:rPr>
              <w:t>（1）案件分类：对于成功提交的专利申请，由机器自动给出IPC分类号的小类，以提高产业领域判断的效率，IPC粗分的结果可以由分类员进行审核修改。</w:t>
            </w:r>
            <w:r>
              <w:rPr>
                <w:rFonts w:hint="eastAsia"/>
                <w:sz w:val="21"/>
                <w:szCs w:val="21"/>
                <w:lang w:val="en-US" w:eastAsia="zh-CN"/>
              </w:rPr>
              <w:br w:type="textWrapping"/>
            </w:r>
            <w:r>
              <w:rPr>
                <w:rFonts w:hint="eastAsia"/>
                <w:sz w:val="21"/>
                <w:szCs w:val="21"/>
                <w:lang w:val="en-US" w:eastAsia="zh-CN"/>
              </w:rPr>
              <w:t>（2）资格审查：预审员对拟提交的专利申请进行资格审查。</w:t>
            </w:r>
            <w:r>
              <w:rPr>
                <w:rFonts w:hint="eastAsia"/>
                <w:sz w:val="21"/>
                <w:szCs w:val="21"/>
                <w:lang w:val="en-US" w:eastAsia="zh-CN"/>
              </w:rPr>
              <w:br w:type="textWrapping"/>
            </w:r>
            <w:r>
              <w:rPr>
                <w:rFonts w:hint="eastAsia"/>
                <w:sz w:val="21"/>
                <w:szCs w:val="21"/>
                <w:lang w:val="en-US" w:eastAsia="zh-CN"/>
              </w:rPr>
              <w:t>（3）预审审查：预审员对拟提交的专利申请进行预审审查。</w:t>
            </w:r>
            <w:r>
              <w:rPr>
                <w:rFonts w:hint="eastAsia"/>
                <w:sz w:val="21"/>
                <w:szCs w:val="21"/>
                <w:lang w:val="en-US" w:eastAsia="zh-CN"/>
              </w:rPr>
              <w:br w:type="textWrapping"/>
            </w:r>
            <w:r>
              <w:rPr>
                <w:rFonts w:hint="eastAsia"/>
                <w:sz w:val="21"/>
                <w:szCs w:val="21"/>
                <w:lang w:val="en-US" w:eastAsia="zh-CN"/>
              </w:rPr>
              <w:t>（4）互检：预审员完成预审后，由互检员对预审审查进行互检。</w:t>
            </w:r>
            <w:r>
              <w:rPr>
                <w:rFonts w:hint="eastAsia"/>
                <w:sz w:val="21"/>
                <w:szCs w:val="21"/>
                <w:lang w:val="en-US" w:eastAsia="zh-CN"/>
              </w:rPr>
              <w:br w:type="textWrapping"/>
            </w:r>
            <w:r>
              <w:rPr>
                <w:rFonts w:hint="eastAsia"/>
                <w:sz w:val="21"/>
                <w:szCs w:val="21"/>
                <w:lang w:val="en-US" w:eastAsia="zh-CN"/>
              </w:rPr>
              <w:t>（5）质检：预审审查通过互检后，由质检员对预审审查进行质检。</w:t>
            </w:r>
            <w:r>
              <w:rPr>
                <w:rFonts w:hint="eastAsia"/>
                <w:sz w:val="21"/>
                <w:szCs w:val="21"/>
                <w:lang w:val="en-US" w:eastAsia="zh-CN"/>
              </w:rPr>
              <w:br w:type="textWrapping"/>
            </w:r>
            <w:r>
              <w:rPr>
                <w:rFonts w:hint="eastAsia"/>
                <w:sz w:val="21"/>
                <w:szCs w:val="21"/>
                <w:lang w:val="en-US" w:eastAsia="zh-CN"/>
              </w:rPr>
              <w:t>（6）一致性审查：预审员对已正式向国家局专利局提交的专利申请（已反馈专利申请号）进行审核，如果专利申请材料与快维中心预审材料一致，则审核合格，否则审核不合格。</w:t>
            </w:r>
            <w:r>
              <w:rPr>
                <w:rFonts w:hint="eastAsia"/>
                <w:sz w:val="21"/>
                <w:szCs w:val="21"/>
                <w:lang w:val="en-US" w:eastAsia="zh-CN"/>
              </w:rPr>
              <w:br w:type="textWrapping"/>
            </w:r>
            <w:r>
              <w:rPr>
                <w:rFonts w:hint="eastAsia"/>
                <w:sz w:val="21"/>
                <w:szCs w:val="21"/>
                <w:lang w:val="en-US" w:eastAsia="zh-CN"/>
              </w:rPr>
              <w:t>4、统计查询</w:t>
            </w:r>
            <w:r>
              <w:rPr>
                <w:rFonts w:hint="eastAsia"/>
                <w:sz w:val="21"/>
                <w:szCs w:val="21"/>
                <w:lang w:val="en-US" w:eastAsia="zh-CN"/>
              </w:rPr>
              <w:br w:type="textWrapping"/>
            </w:r>
            <w:r>
              <w:rPr>
                <w:rFonts w:hint="eastAsia"/>
                <w:sz w:val="21"/>
                <w:szCs w:val="21"/>
                <w:lang w:val="en-US" w:eastAsia="zh-CN"/>
              </w:rPr>
              <w:t>（1）主体信息查询：可以查询申请主体的名称、所属行业、主体性质、主体类型和当前状态等。</w:t>
            </w:r>
            <w:r>
              <w:rPr>
                <w:rFonts w:hint="eastAsia"/>
                <w:sz w:val="21"/>
                <w:szCs w:val="21"/>
                <w:lang w:val="en-US" w:eastAsia="zh-CN"/>
              </w:rPr>
              <w:br w:type="textWrapping"/>
            </w:r>
            <w:r>
              <w:rPr>
                <w:rFonts w:hint="eastAsia"/>
                <w:sz w:val="21"/>
                <w:szCs w:val="21"/>
                <w:lang w:val="en-US" w:eastAsia="zh-CN"/>
              </w:rPr>
              <w:t>（2）代理机构信息查询：可以查询代理机构的名称、编码、联系人、注册时间和当前状态等。</w:t>
            </w:r>
            <w:r>
              <w:rPr>
                <w:rFonts w:hint="eastAsia"/>
                <w:sz w:val="21"/>
                <w:szCs w:val="21"/>
                <w:lang w:val="en-US" w:eastAsia="zh-CN"/>
              </w:rPr>
              <w:br w:type="textWrapping"/>
            </w:r>
            <w:r>
              <w:rPr>
                <w:rFonts w:hint="eastAsia"/>
                <w:sz w:val="21"/>
                <w:szCs w:val="21"/>
                <w:lang w:val="en-US" w:eastAsia="zh-CN"/>
              </w:rPr>
              <w:t>（3）备案黑名单查询：可以查询列入黑名单的备案主体名称、列入黑名单时间、列入黑名单原因和所属行业等。</w:t>
            </w:r>
            <w:r>
              <w:rPr>
                <w:rFonts w:hint="eastAsia"/>
                <w:sz w:val="21"/>
                <w:szCs w:val="21"/>
                <w:lang w:val="en-US" w:eastAsia="zh-CN"/>
              </w:rPr>
              <w:br w:type="textWrapping"/>
            </w:r>
            <w:r>
              <w:rPr>
                <w:rFonts w:hint="eastAsia"/>
                <w:sz w:val="21"/>
                <w:szCs w:val="21"/>
                <w:lang w:val="en-US" w:eastAsia="zh-CN"/>
              </w:rPr>
              <w:t>（4）备案信息查询：可以查询备案主体名称、备案申请时间、备案状态和备案结果等。</w:t>
            </w:r>
            <w:r>
              <w:rPr>
                <w:rFonts w:hint="eastAsia"/>
                <w:sz w:val="21"/>
                <w:szCs w:val="21"/>
                <w:lang w:val="en-US" w:eastAsia="zh-CN"/>
              </w:rPr>
              <w:br w:type="textWrapping"/>
            </w:r>
            <w:r>
              <w:rPr>
                <w:rFonts w:hint="eastAsia"/>
                <w:sz w:val="21"/>
                <w:szCs w:val="21"/>
                <w:lang w:val="en-US" w:eastAsia="zh-CN"/>
              </w:rPr>
              <w:t>（5）领域信息查询：可以查询产业领域、技术领域、领域提交时间等。</w:t>
            </w:r>
            <w:r>
              <w:rPr>
                <w:rFonts w:hint="eastAsia"/>
                <w:sz w:val="21"/>
                <w:szCs w:val="21"/>
                <w:lang w:val="en-US" w:eastAsia="zh-CN"/>
              </w:rPr>
              <w:br w:type="textWrapping"/>
            </w:r>
            <w:r>
              <w:rPr>
                <w:rFonts w:hint="eastAsia"/>
                <w:sz w:val="21"/>
                <w:szCs w:val="21"/>
                <w:lang w:val="en-US" w:eastAsia="zh-CN"/>
              </w:rPr>
              <w:t>（6）预审信息查询：可以查询预审申请号、预审申请日、发明名称、专利类型、分类号、案件状态和预审结果等。</w:t>
            </w:r>
            <w:r>
              <w:rPr>
                <w:rFonts w:hint="eastAsia"/>
                <w:sz w:val="21"/>
                <w:szCs w:val="21"/>
                <w:lang w:val="en-US" w:eastAsia="zh-CN"/>
              </w:rPr>
              <w:br w:type="textWrapping"/>
            </w:r>
            <w:r>
              <w:rPr>
                <w:rFonts w:hint="eastAsia"/>
                <w:sz w:val="21"/>
                <w:szCs w:val="21"/>
                <w:lang w:val="en-US" w:eastAsia="zh-CN"/>
              </w:rPr>
              <w:t>（7）主体信息统计：按照年度、季度、月度、周的统计方式，通过备案数量、预审申请、地区分布、备案结论等统计申请主体情况。</w:t>
            </w:r>
            <w:r>
              <w:rPr>
                <w:rFonts w:hint="eastAsia"/>
                <w:sz w:val="21"/>
                <w:szCs w:val="21"/>
                <w:lang w:val="en-US" w:eastAsia="zh-CN"/>
              </w:rPr>
              <w:br w:type="textWrapping"/>
            </w:r>
            <w:r>
              <w:rPr>
                <w:rFonts w:hint="eastAsia"/>
                <w:sz w:val="21"/>
                <w:szCs w:val="21"/>
                <w:lang w:val="en-US" w:eastAsia="zh-CN"/>
              </w:rPr>
              <w:t>（8）代理机构统计：按照年度、季度、月度、周的统计方式，通过注册情况、代理量、地区分布、代理排名统计代理机构情况。</w:t>
            </w:r>
            <w:r>
              <w:rPr>
                <w:rFonts w:hint="eastAsia"/>
                <w:sz w:val="21"/>
                <w:szCs w:val="21"/>
                <w:lang w:val="en-US" w:eastAsia="zh-CN"/>
              </w:rPr>
              <w:br w:type="textWrapping"/>
            </w:r>
            <w:r>
              <w:rPr>
                <w:rFonts w:hint="eastAsia"/>
                <w:sz w:val="21"/>
                <w:szCs w:val="21"/>
                <w:lang w:val="en-US" w:eastAsia="zh-CN"/>
              </w:rPr>
              <w:t>（9）预审案件统计：按照年度、季度、月度、周的统计方式，通过收案量、受理量、预审合格量、授权量等统计预审案件情况。</w:t>
            </w:r>
            <w:r>
              <w:rPr>
                <w:rFonts w:hint="eastAsia"/>
                <w:sz w:val="21"/>
                <w:szCs w:val="21"/>
                <w:lang w:val="en-US" w:eastAsia="zh-CN"/>
              </w:rPr>
              <w:br w:type="textWrapping"/>
            </w:r>
            <w:r>
              <w:rPr>
                <w:rFonts w:hint="eastAsia"/>
                <w:sz w:val="21"/>
                <w:szCs w:val="21"/>
                <w:lang w:val="en-US" w:eastAsia="zh-CN"/>
              </w:rPr>
              <w:t>（10）预审周期统计：按照年度、季度、月度、周的统计方式，通过专利类型、预审结论等统计预审周期。</w:t>
            </w:r>
            <w:r>
              <w:rPr>
                <w:rFonts w:hint="eastAsia"/>
                <w:sz w:val="21"/>
                <w:szCs w:val="21"/>
                <w:lang w:val="en-US" w:eastAsia="zh-CN"/>
              </w:rPr>
              <w:br w:type="textWrapping"/>
            </w:r>
            <w:r>
              <w:rPr>
                <w:rFonts w:hint="eastAsia"/>
                <w:sz w:val="21"/>
                <w:szCs w:val="21"/>
                <w:lang w:val="en-US" w:eastAsia="zh-CN"/>
              </w:rPr>
              <w:t>（11）预审工作统计：按照年度、季度、月度、周的统计方式，统计快维中心预审受理工作量、预审合格工作量、专利授权量等情况。</w:t>
            </w:r>
            <w:r>
              <w:rPr>
                <w:rFonts w:hint="eastAsia"/>
                <w:sz w:val="21"/>
                <w:szCs w:val="21"/>
                <w:lang w:val="en-US" w:eastAsia="zh-CN"/>
              </w:rPr>
              <w:br w:type="textWrapping"/>
            </w:r>
            <w:r>
              <w:rPr>
                <w:rFonts w:hint="eastAsia"/>
                <w:sz w:val="21"/>
                <w:szCs w:val="21"/>
                <w:lang w:val="en-US" w:eastAsia="zh-CN"/>
              </w:rPr>
              <w:t>（12）预审员工作统计：按照年度、季度、月度、周的统计方式，统计快维中心预审员的工作情况。</w:t>
            </w:r>
            <w:r>
              <w:rPr>
                <w:rFonts w:hint="eastAsia"/>
                <w:sz w:val="21"/>
                <w:szCs w:val="21"/>
                <w:lang w:val="en-US" w:eastAsia="zh-CN"/>
              </w:rPr>
              <w:br w:type="textWrapping"/>
            </w:r>
            <w:r>
              <w:rPr>
                <w:rFonts w:hint="eastAsia"/>
                <w:sz w:val="21"/>
                <w:szCs w:val="21"/>
                <w:lang w:val="en-US" w:eastAsia="zh-CN"/>
              </w:rPr>
              <w:t>（13）申请量统计：按照业务类型、统计周期、申请主体名称、统计项（企业、代理机构）统计企业申请量情况。</w:t>
            </w:r>
            <w:r>
              <w:rPr>
                <w:rFonts w:hint="eastAsia"/>
                <w:sz w:val="21"/>
                <w:szCs w:val="21"/>
                <w:lang w:val="en-US" w:eastAsia="zh-CN"/>
              </w:rPr>
              <w:br w:type="textWrapping"/>
            </w:r>
            <w:r>
              <w:rPr>
                <w:rFonts w:hint="eastAsia"/>
                <w:sz w:val="21"/>
                <w:szCs w:val="21"/>
                <w:lang w:val="en-US" w:eastAsia="zh-CN"/>
              </w:rPr>
              <w:t>（14）工作报告：展示快维中心下的所有预审案件的统计信息，通过饼图，柱状图，折线图进行展示总体情况、申请主体专利预审申请及授权情况、代理情况、预审管理平台的相关统计，并可以将统计的信息打印或者导出为word文档。</w:t>
            </w:r>
            <w:r>
              <w:rPr>
                <w:rFonts w:hint="eastAsia"/>
                <w:sz w:val="21"/>
                <w:szCs w:val="21"/>
                <w:lang w:val="en-US" w:eastAsia="zh-CN"/>
              </w:rPr>
              <w:br w:type="textWrapping"/>
            </w:r>
            <w:r>
              <w:rPr>
                <w:rFonts w:hint="eastAsia"/>
                <w:sz w:val="21"/>
                <w:szCs w:val="21"/>
                <w:lang w:val="en-US" w:eastAsia="zh-CN"/>
              </w:rPr>
              <w:t>5、系统管理</w:t>
            </w:r>
            <w:r>
              <w:rPr>
                <w:rFonts w:hint="eastAsia"/>
                <w:sz w:val="21"/>
                <w:szCs w:val="21"/>
                <w:lang w:val="en-US" w:eastAsia="zh-CN"/>
              </w:rPr>
              <w:br w:type="textWrapping"/>
            </w:r>
            <w:r>
              <w:rPr>
                <w:rFonts w:hint="eastAsia"/>
                <w:sz w:val="21"/>
                <w:szCs w:val="21"/>
                <w:lang w:val="en-US" w:eastAsia="zh-CN"/>
              </w:rPr>
              <w:t>（1）组织机构管理：可以配置管理机构名称、联系人、联系电话和备注等信息。</w:t>
            </w:r>
            <w:r>
              <w:rPr>
                <w:rFonts w:hint="eastAsia"/>
                <w:sz w:val="21"/>
                <w:szCs w:val="21"/>
                <w:lang w:val="en-US" w:eastAsia="zh-CN"/>
              </w:rPr>
              <w:br w:type="textWrapping"/>
            </w:r>
            <w:r>
              <w:rPr>
                <w:rFonts w:hint="eastAsia"/>
                <w:sz w:val="21"/>
                <w:szCs w:val="21"/>
                <w:lang w:val="en-US" w:eastAsia="zh-CN"/>
              </w:rPr>
              <w:t>（2）用户管理：可以配置管理用户名、用户姓名、联系方式、所属部门、用户状态和角色等信息。</w:t>
            </w:r>
            <w:r>
              <w:rPr>
                <w:rFonts w:hint="eastAsia"/>
                <w:sz w:val="21"/>
                <w:szCs w:val="21"/>
                <w:lang w:val="en-US" w:eastAsia="zh-CN"/>
              </w:rPr>
              <w:br w:type="textWrapping"/>
            </w:r>
            <w:r>
              <w:rPr>
                <w:rFonts w:hint="eastAsia"/>
                <w:sz w:val="21"/>
                <w:szCs w:val="21"/>
                <w:lang w:val="en-US" w:eastAsia="zh-CN"/>
              </w:rPr>
              <w:t>（3）角色权限管理：可以配置管理角色名称、角色描述和备注等信息。</w:t>
            </w:r>
            <w:r>
              <w:rPr>
                <w:rFonts w:hint="eastAsia"/>
                <w:sz w:val="21"/>
                <w:szCs w:val="21"/>
                <w:lang w:val="en-US" w:eastAsia="zh-CN"/>
              </w:rPr>
              <w:br w:type="textWrapping"/>
            </w:r>
            <w:r>
              <w:rPr>
                <w:rFonts w:hint="eastAsia"/>
                <w:sz w:val="21"/>
                <w:szCs w:val="21"/>
                <w:lang w:val="en-US" w:eastAsia="zh-CN"/>
              </w:rPr>
              <w:t>（4）期限配置：可以配置管理备案修改期限、预审修改期限、注册备案审批期限、预审期限和质检期限等信息。</w:t>
            </w:r>
            <w:r>
              <w:rPr>
                <w:rFonts w:hint="eastAsia"/>
                <w:sz w:val="21"/>
                <w:szCs w:val="21"/>
                <w:lang w:val="en-US" w:eastAsia="zh-CN"/>
              </w:rPr>
              <w:br w:type="textWrapping"/>
            </w:r>
            <w:r>
              <w:rPr>
                <w:rFonts w:hint="eastAsia"/>
                <w:sz w:val="21"/>
                <w:szCs w:val="21"/>
                <w:lang w:val="en-US" w:eastAsia="zh-CN"/>
              </w:rPr>
              <w:t>（5）技术领域人员配置：可以按照IPC分类号或者洛迦诺分类号配置管理技术领域人员。</w:t>
            </w:r>
            <w:r>
              <w:rPr>
                <w:rFonts w:hint="eastAsia"/>
                <w:sz w:val="21"/>
                <w:szCs w:val="21"/>
                <w:lang w:val="en-US" w:eastAsia="zh-CN"/>
              </w:rPr>
              <w:br w:type="textWrapping"/>
            </w:r>
            <w:r>
              <w:rPr>
                <w:rFonts w:hint="eastAsia"/>
                <w:sz w:val="21"/>
                <w:szCs w:val="21"/>
                <w:lang w:val="en-US" w:eastAsia="zh-CN"/>
              </w:rPr>
              <w:t>（6）互检规则：可以配置管理预审员与其对应的互检员。</w:t>
            </w:r>
            <w:r>
              <w:rPr>
                <w:rFonts w:hint="eastAsia"/>
                <w:sz w:val="21"/>
                <w:szCs w:val="21"/>
                <w:lang w:val="en-US" w:eastAsia="zh-CN"/>
              </w:rPr>
              <w:br w:type="textWrapping"/>
            </w:r>
            <w:r>
              <w:rPr>
                <w:rFonts w:hint="eastAsia"/>
                <w:sz w:val="21"/>
                <w:szCs w:val="21"/>
                <w:lang w:val="en-US" w:eastAsia="zh-CN"/>
              </w:rPr>
              <w:t>（7）质检抽检规则：可以按照IPC分类号或者洛迦诺分类号配置管理抽检类型。</w:t>
            </w:r>
            <w:r>
              <w:rPr>
                <w:rFonts w:hint="eastAsia"/>
                <w:sz w:val="21"/>
                <w:szCs w:val="21"/>
                <w:lang w:val="en-US" w:eastAsia="zh-CN"/>
              </w:rPr>
              <w:br w:type="textWrapping"/>
            </w:r>
            <w:r>
              <w:rPr>
                <w:rFonts w:hint="eastAsia"/>
                <w:sz w:val="21"/>
                <w:szCs w:val="21"/>
                <w:lang w:val="en-US" w:eastAsia="zh-CN"/>
              </w:rPr>
              <w:t>（8）限制访问IP配置：可以对快维中心下的访问IP进行配置操作。通过设置访问IP，规定快维中心的相关工作人员只能在限定的IP地址下才能够访问成功，提高快维中心工作的安全和保密性。</w:t>
            </w:r>
            <w:r>
              <w:rPr>
                <w:rFonts w:hint="eastAsia"/>
                <w:sz w:val="21"/>
                <w:szCs w:val="21"/>
                <w:lang w:val="en-US" w:eastAsia="zh-CN"/>
              </w:rPr>
              <w:br w:type="textWrapping"/>
            </w:r>
            <w:r>
              <w:rPr>
                <w:rFonts w:hint="eastAsia"/>
                <w:sz w:val="21"/>
                <w:szCs w:val="21"/>
                <w:lang w:val="en-US" w:eastAsia="zh-CN"/>
              </w:rPr>
              <w:t>（9）流程配置：可以根据快维中心具体的工作流程，合理配置系统业务流程。</w:t>
            </w:r>
            <w:r>
              <w:rPr>
                <w:rFonts w:hint="eastAsia"/>
                <w:sz w:val="21"/>
                <w:szCs w:val="21"/>
                <w:lang w:val="en-US" w:eastAsia="zh-CN"/>
              </w:rPr>
              <w:br w:type="textWrapping"/>
            </w:r>
            <w:r>
              <w:rPr>
                <w:rFonts w:hint="eastAsia"/>
                <w:sz w:val="21"/>
                <w:szCs w:val="21"/>
                <w:lang w:val="en-US" w:eastAsia="zh-CN"/>
              </w:rPr>
              <w:t>（10）预审分配规则：可以根据快维中心自身情况进行相应的预审案件分配规则配置，系统提供多种规则供选择。</w:t>
            </w:r>
            <w:r>
              <w:rPr>
                <w:rFonts w:hint="eastAsia"/>
                <w:sz w:val="21"/>
                <w:szCs w:val="21"/>
                <w:lang w:val="en-US" w:eastAsia="zh-CN"/>
              </w:rPr>
              <w:br w:type="textWrapping"/>
            </w:r>
            <w:r>
              <w:rPr>
                <w:rFonts w:hint="eastAsia"/>
                <w:sz w:val="21"/>
                <w:szCs w:val="21"/>
                <w:lang w:val="en-US" w:eastAsia="zh-CN"/>
              </w:rPr>
              <w:t>（11）日志管理：可以查询登入登出、用户操作和系统接口访问日志，包括操作人员、登录IP、访问菜单项、日志内容和日志时间等。</w:t>
            </w:r>
            <w:r>
              <w:rPr>
                <w:rFonts w:hint="eastAsia"/>
                <w:sz w:val="21"/>
                <w:szCs w:val="21"/>
                <w:lang w:val="en-US" w:eastAsia="zh-CN"/>
              </w:rPr>
              <w:br w:type="textWrapping"/>
            </w:r>
            <w:r>
              <w:rPr>
                <w:rFonts w:hint="eastAsia"/>
                <w:sz w:val="21"/>
                <w:szCs w:val="21"/>
                <w:lang w:val="en-US" w:eastAsia="zh-CN"/>
              </w:rPr>
              <w:t>（12）下载中心管理：可以对预审案件提交中下载中心的文件进行在线管理。</w:t>
            </w:r>
            <w:r>
              <w:rPr>
                <w:rFonts w:hint="eastAsia"/>
                <w:sz w:val="21"/>
                <w:szCs w:val="21"/>
                <w:lang w:val="en-US" w:eastAsia="zh-CN"/>
              </w:rPr>
              <w:br w:type="textWrapping"/>
            </w:r>
            <w:r>
              <w:rPr>
                <w:rFonts w:hint="eastAsia"/>
                <w:sz w:val="21"/>
                <w:szCs w:val="21"/>
                <w:lang w:val="en-US" w:eastAsia="zh-CN"/>
              </w:rPr>
              <w:t>（13）提交量限制：系统可以对备案主体的案件提交量进行限制，并支持多样化的限制方案。</w:t>
            </w:r>
            <w:r>
              <w:rPr>
                <w:rFonts w:hint="eastAsia"/>
                <w:sz w:val="21"/>
                <w:szCs w:val="21"/>
                <w:lang w:val="en-US" w:eastAsia="zh-CN"/>
              </w:rPr>
              <w:br w:type="textWrapping"/>
            </w:r>
            <w:r>
              <w:rPr>
                <w:rFonts w:hint="eastAsia"/>
                <w:sz w:val="21"/>
                <w:szCs w:val="21"/>
                <w:lang w:val="en-US" w:eastAsia="zh-CN"/>
              </w:rPr>
              <w:t>6、智能辅助审查</w:t>
            </w:r>
            <w:r>
              <w:rPr>
                <w:rFonts w:hint="eastAsia"/>
                <w:sz w:val="21"/>
                <w:szCs w:val="21"/>
                <w:lang w:val="en-US" w:eastAsia="zh-CN"/>
              </w:rPr>
              <w:br w:type="textWrapping"/>
            </w:r>
            <w:r>
              <w:rPr>
                <w:rFonts w:hint="eastAsia"/>
                <w:sz w:val="21"/>
                <w:szCs w:val="21"/>
                <w:lang w:val="en-US" w:eastAsia="zh-CN"/>
              </w:rPr>
              <w:t>（1）资格审查智能辅助：主要实现专利申请预审的资格审查智能辅助，提高预审员资格审查效率与质量。</w:t>
            </w:r>
            <w:r>
              <w:rPr>
                <w:rFonts w:hint="eastAsia"/>
                <w:sz w:val="21"/>
                <w:szCs w:val="21"/>
                <w:lang w:val="en-US" w:eastAsia="zh-CN"/>
              </w:rPr>
              <w:br w:type="textWrapping"/>
            </w:r>
            <w:r>
              <w:rPr>
                <w:rFonts w:hint="eastAsia"/>
                <w:sz w:val="21"/>
                <w:szCs w:val="21"/>
                <w:lang w:val="en-US" w:eastAsia="zh-CN"/>
              </w:rPr>
              <w:t>（2）预审审查智能辅助：主要实现专利申请预审的预审审查智能辅助，提高预审员预审审查效率与质量。</w:t>
            </w:r>
            <w:r>
              <w:rPr>
                <w:rFonts w:hint="eastAsia"/>
                <w:sz w:val="21"/>
                <w:szCs w:val="21"/>
                <w:lang w:val="en-US" w:eastAsia="zh-CN"/>
              </w:rPr>
              <w:br w:type="textWrapping"/>
            </w:r>
            <w:r>
              <w:rPr>
                <w:rFonts w:hint="eastAsia"/>
                <w:sz w:val="21"/>
                <w:szCs w:val="21"/>
                <w:lang w:val="en-US" w:eastAsia="zh-CN"/>
              </w:rPr>
              <w:t>▲7、数据上报国家局：主要实现快维中心正式备案企业名单、产业领域、技术领域和统计报表数据，平台自动按照国家局规范要求上传到预审局端系统，满足国家局监管要求。</w:t>
            </w:r>
            <w:r>
              <w:rPr>
                <w:rFonts w:hint="eastAsia"/>
                <w:b/>
                <w:bCs/>
                <w:sz w:val="21"/>
                <w:szCs w:val="21"/>
                <w:lang w:val="en-US" w:eastAsia="zh-CN"/>
              </w:rPr>
              <w:br w:type="textWrapping"/>
            </w:r>
            <w:r>
              <w:rPr>
                <w:rFonts w:hint="eastAsia"/>
                <w:sz w:val="21"/>
                <w:szCs w:val="21"/>
                <w:lang w:val="en-US" w:eastAsia="zh-CN"/>
              </w:rPr>
              <w:t>8、自动分类服务</w:t>
            </w:r>
            <w:r>
              <w:rPr>
                <w:rFonts w:hint="eastAsia"/>
                <w:sz w:val="21"/>
                <w:szCs w:val="21"/>
                <w:lang w:val="en-US" w:eastAsia="zh-CN"/>
              </w:rPr>
              <w:br w:type="textWrapping"/>
            </w:r>
            <w:r>
              <w:rPr>
                <w:rFonts w:hint="eastAsia"/>
                <w:sz w:val="21"/>
                <w:szCs w:val="21"/>
                <w:lang w:val="en-US" w:eastAsia="zh-CN"/>
              </w:rPr>
              <w:t>（1）发明、新型专利申请自动分类：预审平台将发明、新型专利申请文件发送给自动分类系统，自动分类系统返回IPC小类分类号。</w:t>
            </w:r>
            <w:r>
              <w:rPr>
                <w:rFonts w:hint="eastAsia"/>
                <w:sz w:val="21"/>
                <w:szCs w:val="21"/>
                <w:lang w:val="en-US" w:eastAsia="zh-CN"/>
              </w:rPr>
              <w:br w:type="textWrapping"/>
            </w:r>
            <w:r>
              <w:rPr>
                <w:rFonts w:hint="eastAsia"/>
                <w:sz w:val="21"/>
                <w:szCs w:val="21"/>
                <w:lang w:val="en-US" w:eastAsia="zh-CN"/>
              </w:rPr>
              <w:t>（2）外观设计专利申请自动分类：预审平台将外观设计专利申请文件发送给自动分类系统，自动分类系统返回洛迦诺小类分类号。</w:t>
            </w:r>
            <w:r>
              <w:rPr>
                <w:rFonts w:hint="eastAsia"/>
                <w:sz w:val="21"/>
                <w:szCs w:val="21"/>
                <w:lang w:val="en-US" w:eastAsia="zh-CN"/>
              </w:rPr>
              <w:br w:type="textWrapping"/>
            </w:r>
            <w:r>
              <w:rPr>
                <w:rFonts w:hint="eastAsia"/>
                <w:sz w:val="21"/>
                <w:szCs w:val="21"/>
                <w:lang w:val="en-US" w:eastAsia="zh-CN"/>
              </w:rPr>
              <w:t>9、▲非正常申请主体验证：主要实现快维中心在企事业单位备案审核时，与国家局非正常申请主体数据库进行验证，以提高备案审核质量。</w:t>
            </w:r>
            <w:r>
              <w:rPr>
                <w:rFonts w:hint="eastAsia"/>
                <w:b/>
                <w:bCs/>
                <w:sz w:val="21"/>
                <w:szCs w:val="21"/>
                <w:lang w:val="en-US" w:eastAsia="zh-CN"/>
              </w:rPr>
              <w:br w:type="textWrapping"/>
            </w:r>
            <w:r>
              <w:rPr>
                <w:rFonts w:hint="eastAsia"/>
                <w:sz w:val="21"/>
                <w:szCs w:val="21"/>
                <w:lang w:val="en-US" w:eastAsia="zh-CN"/>
              </w:rPr>
              <w:t>10、▲审批流程数据共享：主要实现快维中心预审案件与国家局专利审批流程数据的共享，定期自动导入案件在国家局后续审批及法律状态，降低人工跟踪和录入成本。</w:t>
            </w:r>
            <w:r>
              <w:rPr>
                <w:rFonts w:hint="eastAsia"/>
                <w:sz w:val="21"/>
                <w:szCs w:val="21"/>
                <w:lang w:val="en-US" w:eastAsia="zh-CN"/>
              </w:rPr>
              <w:br w:type="textWrapping"/>
            </w:r>
            <w:r>
              <w:rPr>
                <w:rFonts w:hint="eastAsia"/>
                <w:sz w:val="21"/>
                <w:szCs w:val="21"/>
                <w:lang w:val="en-US" w:eastAsia="zh-CN"/>
              </w:rPr>
              <w:t>11、线上人员培训：每年为快维中心、企业各培训1次。</w:t>
            </w:r>
            <w:r>
              <w:rPr>
                <w:rFonts w:hint="eastAsia"/>
                <w:sz w:val="21"/>
                <w:szCs w:val="21"/>
                <w:lang w:val="en-US" w:eastAsia="zh-CN"/>
              </w:rPr>
              <w:br w:type="textWrapping"/>
            </w:r>
            <w:r>
              <w:rPr>
                <w:rFonts w:hint="eastAsia"/>
                <w:sz w:val="21"/>
                <w:szCs w:val="21"/>
                <w:lang w:val="en-US" w:eastAsia="zh-CN"/>
              </w:rPr>
              <w:t>（三）服务形式</w:t>
            </w:r>
            <w:r>
              <w:rPr>
                <w:rFonts w:hint="eastAsia"/>
                <w:sz w:val="21"/>
                <w:szCs w:val="21"/>
                <w:lang w:val="en-US" w:eastAsia="zh-CN"/>
              </w:rPr>
              <w:br w:type="textWrapping"/>
            </w:r>
            <w:r>
              <w:rPr>
                <w:rFonts w:hint="eastAsia"/>
                <w:sz w:val="21"/>
                <w:szCs w:val="21"/>
                <w:lang w:val="en-US" w:eastAsia="zh-CN"/>
              </w:rPr>
              <w:t>▲供应商应以 SaaS 服务的形式提供相关服务内容，要求预审管理系统安全防护等级达到网络安全等级保护 2.0（三级）及以上。</w:t>
            </w:r>
          </w:p>
        </w:tc>
        <w:tc>
          <w:tcPr>
            <w:tcW w:w="580" w:type="dxa"/>
            <w:shd w:val="clear" w:color="auto" w:fill="auto"/>
            <w:noWrap/>
            <w:vAlign w:val="center"/>
          </w:tcPr>
          <w:p w14:paraId="6F5429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58AF5D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年</w:t>
            </w:r>
          </w:p>
        </w:tc>
        <w:tc>
          <w:tcPr>
            <w:tcW w:w="987" w:type="dxa"/>
            <w:shd w:val="clear" w:color="auto" w:fill="auto"/>
            <w:noWrap/>
            <w:vAlign w:val="center"/>
          </w:tcPr>
          <w:p w14:paraId="12741D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150000</w:t>
            </w:r>
          </w:p>
        </w:tc>
        <w:tc>
          <w:tcPr>
            <w:tcW w:w="1025" w:type="dxa"/>
            <w:shd w:val="clear" w:color="auto" w:fill="auto"/>
            <w:noWrap/>
            <w:vAlign w:val="center"/>
          </w:tcPr>
          <w:p w14:paraId="26824CE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150000</w:t>
            </w:r>
          </w:p>
        </w:tc>
        <w:tc>
          <w:tcPr>
            <w:tcW w:w="650" w:type="dxa"/>
            <w:shd w:val="clear" w:color="auto" w:fill="auto"/>
            <w:noWrap/>
            <w:vAlign w:val="center"/>
          </w:tcPr>
          <w:p w14:paraId="325613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65E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AACE4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57E7BD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知识产权大数据可视化决策系统</w:t>
            </w:r>
          </w:p>
        </w:tc>
        <w:tc>
          <w:tcPr>
            <w:tcW w:w="4913" w:type="dxa"/>
            <w:shd w:val="clear" w:color="auto" w:fill="auto"/>
            <w:vAlign w:val="center"/>
          </w:tcPr>
          <w:p w14:paraId="153F7D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核心数据展示：</w:t>
            </w:r>
            <w:r>
              <w:rPr>
                <w:rFonts w:hint="eastAsia"/>
                <w:sz w:val="21"/>
                <w:szCs w:val="21"/>
                <w:lang w:val="en-US" w:eastAsia="zh-CN"/>
              </w:rPr>
              <w:br w:type="textWrapping"/>
            </w:r>
            <w:r>
              <w:rPr>
                <w:rFonts w:hint="eastAsia"/>
                <w:sz w:val="21"/>
                <w:szCs w:val="21"/>
                <w:lang w:val="en-US" w:eastAsia="zh-CN"/>
              </w:rPr>
              <w:t>1、集数据呈现、统计剖析与业务监控于一体的综合性业务系统，借助大屏以图表形式集中呈现核心知识产权大数据以及预审数据的统计与分析结果，还可作为专项屏，如快维中心的预审业务、产业分析等。</w:t>
            </w:r>
            <w:r>
              <w:rPr>
                <w:rFonts w:hint="eastAsia"/>
                <w:sz w:val="21"/>
                <w:szCs w:val="21"/>
                <w:lang w:val="en-US" w:eastAsia="zh-CN"/>
              </w:rPr>
              <w:br w:type="textWrapping"/>
            </w:r>
            <w:r>
              <w:rPr>
                <w:rFonts w:hint="eastAsia"/>
                <w:sz w:val="21"/>
                <w:szCs w:val="21"/>
                <w:lang w:val="en-US" w:eastAsia="zh-CN"/>
              </w:rPr>
              <w:t>2、该系统基于对分析指标、图表图形、设计效果及页面交互的合理规划，达成信息的高度整合，从多方位、多角度进行全景式展示分析内容，以实现对业务的深度洞察以及数据对决策的支撑作用。</w:t>
            </w:r>
          </w:p>
        </w:tc>
        <w:tc>
          <w:tcPr>
            <w:tcW w:w="580" w:type="dxa"/>
            <w:shd w:val="clear" w:color="auto" w:fill="auto"/>
            <w:noWrap/>
            <w:vAlign w:val="center"/>
          </w:tcPr>
          <w:p w14:paraId="1C711D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6CB8E7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年</w:t>
            </w:r>
          </w:p>
        </w:tc>
        <w:tc>
          <w:tcPr>
            <w:tcW w:w="987" w:type="dxa"/>
            <w:shd w:val="clear" w:color="auto" w:fill="auto"/>
            <w:noWrap/>
            <w:vAlign w:val="center"/>
          </w:tcPr>
          <w:p w14:paraId="021998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100000</w:t>
            </w:r>
          </w:p>
        </w:tc>
        <w:tc>
          <w:tcPr>
            <w:tcW w:w="1025" w:type="dxa"/>
            <w:shd w:val="clear" w:color="auto" w:fill="auto"/>
            <w:noWrap/>
            <w:vAlign w:val="center"/>
          </w:tcPr>
          <w:p w14:paraId="1E99FB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100000</w:t>
            </w:r>
          </w:p>
        </w:tc>
        <w:tc>
          <w:tcPr>
            <w:tcW w:w="650" w:type="dxa"/>
            <w:shd w:val="clear" w:color="auto" w:fill="auto"/>
            <w:noWrap/>
            <w:vAlign w:val="center"/>
          </w:tcPr>
          <w:p w14:paraId="71FA01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A79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2" w:hRule="atLeast"/>
          <w:jc w:val="center"/>
        </w:trPr>
        <w:tc>
          <w:tcPr>
            <w:tcW w:w="654" w:type="dxa"/>
            <w:shd w:val="clear" w:color="auto" w:fill="auto"/>
            <w:noWrap/>
            <w:vAlign w:val="center"/>
          </w:tcPr>
          <w:p w14:paraId="49F46A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5A2DA63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2C24D2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noWrap/>
            <w:vAlign w:val="center"/>
          </w:tcPr>
          <w:p w14:paraId="50277E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noWrap/>
            <w:vAlign w:val="center"/>
          </w:tcPr>
          <w:p w14:paraId="067A68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14D929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7BFDEC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250000</w:t>
            </w:r>
          </w:p>
        </w:tc>
        <w:tc>
          <w:tcPr>
            <w:tcW w:w="650" w:type="dxa"/>
            <w:shd w:val="clear" w:color="auto" w:fill="auto"/>
            <w:noWrap/>
            <w:vAlign w:val="center"/>
          </w:tcPr>
          <w:p w14:paraId="51C1FB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18A3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9" w:hRule="atLeast"/>
          <w:jc w:val="center"/>
        </w:trPr>
        <w:tc>
          <w:tcPr>
            <w:tcW w:w="10470" w:type="dxa"/>
            <w:gridSpan w:val="8"/>
            <w:shd w:val="clear" w:color="auto" w:fill="auto"/>
            <w:noWrap/>
            <w:vAlign w:val="center"/>
          </w:tcPr>
          <w:p w14:paraId="0CBAA5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200025" cy="196215"/>
                      <wp:effectExtent l="0" t="0" r="0" b="0"/>
                      <wp:wrapNone/>
                      <wp:docPr id="1073742917" name="Text_Box_3_SpCnt_53"/>
                      <wp:cNvGraphicFramePr/>
                      <a:graphic xmlns:a="http://schemas.openxmlformats.org/drawingml/2006/main">
                        <a:graphicData uri="http://schemas.microsoft.com/office/word/2010/wordprocessingShape">
                          <wps:wsp>
                            <wps:cNvSpPr>
                              <a:spLocks noChangeArrowheads="1"/>
                            </wps:cNvSpPr>
                            <wps:spPr>
                              <a:xfrm>
                                <a:off x="8255" y="47625000"/>
                                <a:ext cx="200025" cy="196215"/>
                              </a:xfrm>
                              <a:prstGeom prst="rect">
                                <a:avLst/>
                              </a:prstGeom>
                              <a:noFill/>
                              <a:ln w="9525">
                                <a:noFill/>
                                <a:miter lim="800000"/>
                              </a:ln>
                            </wps:spPr>
                            <wps:txbx>
                              <w:txbxContent>
                                <w:p w14:paraId="24151DC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3" o:spid="_x0000_s1026" o:spt="1" style="position:absolute;left:0pt;margin-left:0.65pt;margin-top:0pt;height:15.45pt;width:15.75pt;mso-wrap-style:none;z-index:251660288;mso-width-relative:page;mso-height-relative:page;" filled="f" stroked="f" coordsize="21600,21600" o:gfxdata="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aX7q9QAAAAEAQAADwAAAAAAAAABACAA&#10;AAAiAAAAZHJzL2Rvd25yZXYueG1sUEsBAhQAFAAAAAgAh07iQDEevOoRAgAACwQAAA4AAAAAAAAA&#10;AQAgAAAAIwEAAGRycy9lMm9Eb2MueG1sUEsFBgAAAAAGAAYAWQEAAKYFAAAAAA==&#10;">
                      <v:fill on="f" focussize="0,0"/>
                      <v:stroke on="f" miterlimit="8" joinstyle="miter"/>
                      <v:imagedata o:title=""/>
                      <o:lock v:ext="edit" aspectratio="f"/>
                      <v:textbox inset="0.508mm,0.635mm,0mm,0mm" style="mso-fit-shape-to-text:t;">
                        <w:txbxContent>
                          <w:p w14:paraId="24151DC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918" name="Text_Box_3_SpCnt_54"/>
                      <wp:cNvGraphicFramePr/>
                      <a:graphic xmlns:a="http://schemas.openxmlformats.org/drawingml/2006/main">
                        <a:graphicData uri="http://schemas.microsoft.com/office/word/2010/wordprocessingShape">
                          <wps:wsp>
                            <wps:cNvSpPr>
                              <a:spLocks noChangeArrowheads="1"/>
                            </wps:cNvSpPr>
                            <wps:spPr>
                              <a:xfrm>
                                <a:off x="0" y="47625000"/>
                                <a:ext cx="154940" cy="198755"/>
                              </a:xfrm>
                              <a:prstGeom prst="rect">
                                <a:avLst/>
                              </a:prstGeom>
                              <a:noFill/>
                              <a:ln w="9525">
                                <a:noFill/>
                                <a:miter lim="800000"/>
                              </a:ln>
                            </wps:spPr>
                            <wps:txbx>
                              <w:txbxContent>
                                <w:p w14:paraId="730827E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4"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P9P3XWAAAAAwEAAA8AAAAAAAAAAQAg&#10;AAAAIgAAAGRycy9kb3ducmV2LnhtbFBLAQIUABQAAAAIAIdO4kDb8G4OEAIAAAgEAAAOAAAAAAAA&#10;AAEAIAAAACUBAABkcnMvZTJvRG9jLnhtbFBLBQYAAAAABgAGAFkBAACnBQAAAAA=&#10;">
                      <v:fill on="f" focussize="0,0"/>
                      <v:stroke on="f" miterlimit="8" joinstyle="miter"/>
                      <v:imagedata o:title=""/>
                      <o:lock v:ext="edit" aspectratio="f"/>
                      <v:textbox inset="0.508mm,0.635mm,0mm,0mm" style="mso-fit-shape-to-text:t;">
                        <w:txbxContent>
                          <w:p w14:paraId="730827E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19" name="Text_Box_1_SpCnt_14"/>
                      <wp:cNvGraphicFramePr/>
                      <a:graphic xmlns:a="http://schemas.openxmlformats.org/drawingml/2006/main">
                        <a:graphicData uri="http://schemas.microsoft.com/office/word/2010/wordprocessingShape">
                          <wps:wsp>
                            <wps:cNvSpPr>
                              <a:spLocks noChangeArrowheads="1"/>
                            </wps:cNvSpPr>
                            <wps:spPr>
                              <a:xfrm>
                                <a:off x="0" y="47625000"/>
                                <a:ext cx="156210" cy="196215"/>
                              </a:xfrm>
                              <a:prstGeom prst="rect">
                                <a:avLst/>
                              </a:prstGeom>
                              <a:noFill/>
                              <a:ln w="9525">
                                <a:noFill/>
                                <a:miter lim="800000"/>
                              </a:ln>
                            </wps:spPr>
                            <wps:txbx>
                              <w:txbxContent>
                                <w:p w14:paraId="27336F7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4"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tVsNUAAAADAQAADwAAAAAAAAABACAA&#10;AAAiAAAAZHJzL2Rvd25yZXYueG1sUEsBAhQAFAAAAAgAh07iQGGxy/kQAgAACAQAAA4AAAAAAAAA&#10;AQAgAAAAJAEAAGRycy9lMm9Eb2MueG1sUEsFBgAAAAAGAAYAWQEAAKYFAAAAAA==&#10;">
                      <v:fill on="f" focussize="0,0"/>
                      <v:stroke on="f" miterlimit="8" joinstyle="miter"/>
                      <v:imagedata o:title=""/>
                      <o:lock v:ext="edit" aspectratio="f"/>
                      <v:textbox inset="0.508mm,0.635mm,0mm,0mm" style="mso-fit-shape-to-text:t;">
                        <w:txbxContent>
                          <w:p w14:paraId="27336F7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21" name="Text_Box_3_SpCnt_56"/>
                      <wp:cNvGraphicFramePr/>
                      <a:graphic xmlns:a="http://schemas.openxmlformats.org/drawingml/2006/main">
                        <a:graphicData uri="http://schemas.microsoft.com/office/word/2010/wordprocessingShape">
                          <wps:wsp>
                            <wps:cNvSpPr>
                              <a:spLocks noChangeArrowheads="1"/>
                            </wps:cNvSpPr>
                            <wps:spPr>
                              <a:xfrm>
                                <a:off x="443230" y="47625000"/>
                                <a:ext cx="2495550" cy="207645"/>
                              </a:xfrm>
                              <a:prstGeom prst="rect">
                                <a:avLst/>
                              </a:prstGeom>
                              <a:noFill/>
                              <a:ln w="9525">
                                <a:noFill/>
                                <a:miter lim="800000"/>
                              </a:ln>
                            </wps:spPr>
                            <wps:txbx>
                              <w:txbxContent>
                                <w:p w14:paraId="0F84949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6"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KFisPWAAAABgEAAA8AAAAA&#10;AAAAAQAgAAAAIgAAAGRycy9kb3ducmV2LnhtbFBLAQIUABQAAAAIAIdO4kDdGIiiFgIAAA4EAAAO&#10;AAAAAAAAAAEAIAAAACUBAABkcnMvZTJvRG9jLnhtbFBLBQYAAAAABgAGAFkBAACtBQAAAAA=&#10;">
                      <v:fill on="f" focussize="0,0"/>
                      <v:stroke on="f" miterlimit="8" joinstyle="miter"/>
                      <v:imagedata o:title=""/>
                      <o:lock v:ext="edit" aspectratio="f"/>
                      <v:textbox inset="0.508mm,0.635mm,0mm,0mm" style="mso-fit-shape-to-text:t;">
                        <w:txbxContent>
                          <w:p w14:paraId="0F84949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22" name="Text_Box_3_SpCnt_57"/>
                      <wp:cNvGraphicFramePr/>
                      <a:graphic xmlns:a="http://schemas.openxmlformats.org/drawingml/2006/main">
                        <a:graphicData uri="http://schemas.microsoft.com/office/word/2010/wordprocessingShape">
                          <wps:wsp>
                            <wps:cNvSpPr>
                              <a:spLocks noChangeArrowheads="1"/>
                            </wps:cNvSpPr>
                            <wps:spPr>
                              <a:xfrm>
                                <a:off x="7340600" y="47625000"/>
                                <a:ext cx="156210" cy="198755"/>
                              </a:xfrm>
                              <a:prstGeom prst="rect">
                                <a:avLst/>
                              </a:prstGeom>
                              <a:noFill/>
                              <a:ln w="9525" cmpd="sng">
                                <a:noFill/>
                                <a:miter lim="800000"/>
                              </a:ln>
                            </wps:spPr>
                            <wps:txbx>
                              <w:txbxContent>
                                <w:p w14:paraId="6B769CA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7"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ryNptgAAAAJ&#10;AQAADwAAAAAAAAABACAAAAAiAAAAZHJzL2Rvd25yZXYueG1sUEsBAhQAFAAAAAgAh07iQPW3nQYc&#10;AgAAGQQAAA4AAAAAAAAAAQAgAAAAJwEAAGRycy9lMm9Eb2MueG1sUEsFBgAAAAAGAAYAWQEAALUF&#10;AAAAAA==&#10;">
                      <v:fill on="f" focussize="0,0"/>
                      <v:stroke on="f" miterlimit="8" joinstyle="miter"/>
                      <v:imagedata o:title=""/>
                      <o:lock v:ext="edit" aspectratio="f"/>
                      <v:textbox inset="0.508mm,0.635mm,0mm,0mm" style="mso-fit-shape-to-text:t;">
                        <w:txbxContent>
                          <w:p w14:paraId="6B769CA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23" name="Text_Box_1_SpCnt_15"/>
                      <wp:cNvGraphicFramePr/>
                      <a:graphic xmlns:a="http://schemas.openxmlformats.org/drawingml/2006/main">
                        <a:graphicData uri="http://schemas.microsoft.com/office/word/2010/wordprocessingShape">
                          <wps:wsp>
                            <wps:cNvSpPr>
                              <a:spLocks noChangeArrowheads="1"/>
                            </wps:cNvSpPr>
                            <wps:spPr>
                              <a:xfrm>
                                <a:off x="7340600" y="47625000"/>
                                <a:ext cx="156210" cy="198755"/>
                              </a:xfrm>
                              <a:prstGeom prst="rect">
                                <a:avLst/>
                              </a:prstGeom>
                              <a:noFill/>
                              <a:ln w="9525">
                                <a:noFill/>
                                <a:miter lim="800000"/>
                              </a:ln>
                            </wps:spPr>
                            <wps:txbx>
                              <w:txbxContent>
                                <w:p w14:paraId="3B64FD37">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5"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ryNptgAAAAJAQAADwAA&#10;AAAAAAABACAAAAAiAAAAZHJzL2Rvd25yZXYueG1sUEsBAhQAFAAAAAgAh07iQFc7bOsWAgAADgQA&#10;AA4AAAAAAAAAAQAgAAAAJwEAAGRycy9lMm9Eb2MueG1sUEsFBgAAAAAGAAYAWQEAAK8FAAAAAA==&#10;">
                      <v:fill on="f" focussize="0,0"/>
                      <v:stroke on="f" miterlimit="8" joinstyle="miter"/>
                      <v:imagedata o:title=""/>
                      <o:lock v:ext="edit" aspectratio="f"/>
                      <v:textbox inset="0.508mm,0.635mm,0mm,0mm" style="mso-fit-shape-to-text:t;">
                        <w:txbxContent>
                          <w:p w14:paraId="3B64FD37">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十、智能检索系统</w:t>
            </w:r>
          </w:p>
        </w:tc>
      </w:tr>
      <w:tr w14:paraId="3214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E6F6F8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09F4D9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HimmPat智能专利检索分析系统</w:t>
            </w:r>
          </w:p>
        </w:tc>
        <w:tc>
          <w:tcPr>
            <w:tcW w:w="4913" w:type="dxa"/>
            <w:shd w:val="clear" w:color="auto" w:fill="auto"/>
            <w:vAlign w:val="center"/>
          </w:tcPr>
          <w:p w14:paraId="46DA72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兼容审查员使用的专利检索字段，审查可通过图片识别进行外观专利检索，指令检索的检索式构建自由度高；对战略性新型产业分类、国民经济分类、“新三样”相关技术专利、专利申请人数据进行加工；中国专利许可、转让、质押以及海关备案信息支持在线翻译、支持聚类分析、引证分析以及同族专利分析，支持自定义专利分析指标和分析模板及智能模板一键生成报告并导出功能。</w:t>
            </w:r>
          </w:p>
        </w:tc>
        <w:tc>
          <w:tcPr>
            <w:tcW w:w="580" w:type="dxa"/>
            <w:shd w:val="clear" w:color="auto" w:fill="auto"/>
            <w:noWrap/>
            <w:vAlign w:val="center"/>
          </w:tcPr>
          <w:p w14:paraId="18D53E5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noWrap/>
            <w:vAlign w:val="center"/>
          </w:tcPr>
          <w:p w14:paraId="405E6E1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411D08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8000</w:t>
            </w:r>
          </w:p>
        </w:tc>
        <w:tc>
          <w:tcPr>
            <w:tcW w:w="1025" w:type="dxa"/>
            <w:shd w:val="clear" w:color="auto" w:fill="auto"/>
            <w:noWrap/>
            <w:vAlign w:val="center"/>
          </w:tcPr>
          <w:p w14:paraId="213DBC4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16000</w:t>
            </w:r>
          </w:p>
        </w:tc>
        <w:tc>
          <w:tcPr>
            <w:tcW w:w="650" w:type="dxa"/>
            <w:shd w:val="clear" w:color="auto" w:fill="auto"/>
            <w:noWrap/>
            <w:vAlign w:val="center"/>
          </w:tcPr>
          <w:p w14:paraId="7212C0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F29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2" w:hRule="atLeast"/>
          <w:jc w:val="center"/>
        </w:trPr>
        <w:tc>
          <w:tcPr>
            <w:tcW w:w="654" w:type="dxa"/>
            <w:shd w:val="clear" w:color="auto" w:fill="auto"/>
            <w:noWrap/>
            <w:vAlign w:val="center"/>
          </w:tcPr>
          <w:p w14:paraId="76FB135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6448C2F5">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1262740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noWrap/>
            <w:vAlign w:val="center"/>
          </w:tcPr>
          <w:p w14:paraId="46C80E6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noWrap/>
            <w:vAlign w:val="center"/>
          </w:tcPr>
          <w:p w14:paraId="7C26F6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65D1E5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09CB75D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default"/>
                <w:b/>
                <w:bCs/>
                <w:sz w:val="21"/>
                <w:szCs w:val="21"/>
                <w:lang w:val="en-US" w:eastAsia="zh-CN"/>
              </w:rPr>
              <w:t>16000</w:t>
            </w:r>
          </w:p>
        </w:tc>
        <w:tc>
          <w:tcPr>
            <w:tcW w:w="650" w:type="dxa"/>
            <w:shd w:val="clear" w:color="auto" w:fill="auto"/>
            <w:noWrap/>
            <w:vAlign w:val="center"/>
          </w:tcPr>
          <w:p w14:paraId="4A4C45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7127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9" w:hRule="atLeast"/>
          <w:jc w:val="center"/>
        </w:trPr>
        <w:tc>
          <w:tcPr>
            <w:tcW w:w="10470" w:type="dxa"/>
            <w:gridSpan w:val="8"/>
            <w:shd w:val="clear" w:color="auto" w:fill="auto"/>
            <w:vAlign w:val="center"/>
          </w:tcPr>
          <w:p w14:paraId="2F454D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200025" cy="196215"/>
                      <wp:effectExtent l="0" t="0" r="0" b="0"/>
                      <wp:wrapNone/>
                      <wp:docPr id="1073742924" name="Text_Box_3_SpCnt_58"/>
                      <wp:cNvGraphicFramePr/>
                      <a:graphic xmlns:a="http://schemas.openxmlformats.org/drawingml/2006/main">
                        <a:graphicData uri="http://schemas.microsoft.com/office/word/2010/wordprocessingShape">
                          <wps:wsp>
                            <wps:cNvSpPr>
                              <a:spLocks noChangeArrowheads="1"/>
                            </wps:cNvSpPr>
                            <wps:spPr>
                              <a:xfrm>
                                <a:off x="8255" y="48387000"/>
                                <a:ext cx="200025" cy="196215"/>
                              </a:xfrm>
                              <a:prstGeom prst="rect">
                                <a:avLst/>
                              </a:prstGeom>
                              <a:noFill/>
                              <a:ln w="9525">
                                <a:noFill/>
                                <a:miter lim="800000"/>
                              </a:ln>
                            </wps:spPr>
                            <wps:txbx>
                              <w:txbxContent>
                                <w:p w14:paraId="7CBEC67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8" o:spid="_x0000_s1026" o:spt="1" style="position:absolute;left:0pt;margin-left:0.65pt;margin-top:0pt;height:15.45pt;width:15.75pt;mso-wrap-style:none;z-index:251660288;mso-width-relative:page;mso-height-relative:page;" filled="f" stroked="f" coordsize="21600,21600" o:gfxdata="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Rpfur1AAAAAQBAAAPAAAAAAAAAAEAIAAA&#10;ACIAAABkcnMvZG93bnJldi54bWxQSwECFAAUAAAACACHTuJAY7uYRRACAAALBAAADgAAAAAAAAAB&#10;ACAAAAAjAQAAZHJzL2Uyb0RvYy54bWxQSwUGAAAAAAYABgBZAQAApQUAAAAA&#10;">
                      <v:fill on="f" focussize="0,0"/>
                      <v:stroke on="f" miterlimit="8" joinstyle="miter"/>
                      <v:imagedata o:title=""/>
                      <o:lock v:ext="edit" aspectratio="f"/>
                      <v:textbox inset="0.508mm,0.635mm,0mm,0mm" style="mso-fit-shape-to-text:t;">
                        <w:txbxContent>
                          <w:p w14:paraId="7CBEC67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25" name="Text_Box_1_SpCnt_16"/>
                      <wp:cNvGraphicFramePr/>
                      <a:graphic xmlns:a="http://schemas.openxmlformats.org/drawingml/2006/main">
                        <a:graphicData uri="http://schemas.microsoft.com/office/word/2010/wordprocessingShape">
                          <wps:wsp>
                            <wps:cNvSpPr>
                              <a:spLocks noChangeArrowheads="1"/>
                            </wps:cNvSpPr>
                            <wps:spPr>
                              <a:xfrm>
                                <a:off x="0" y="48387000"/>
                                <a:ext cx="156210" cy="196215"/>
                              </a:xfrm>
                              <a:prstGeom prst="rect">
                                <a:avLst/>
                              </a:prstGeom>
                              <a:noFill/>
                              <a:ln w="9525">
                                <a:noFill/>
                                <a:miter lim="800000"/>
                              </a:ln>
                            </wps:spPr>
                            <wps:txbx>
                              <w:txbxContent>
                                <w:p w14:paraId="1764688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6"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tVsNUAAAADAQAADwAAAAAAAAABACAAAAAi&#10;AAAAZHJzL2Rvd25yZXYueG1sUEsBAhQAFAAAAAgAh07iQKQuLtYNAgAACAQAAA4AAAAAAAAAAQAg&#10;AAAAJAEAAGRycy9lMm9Eb2MueG1sUEsFBgAAAAAGAAYAWQEAAKMFAAAAAA==&#10;">
                      <v:fill on="f" focussize="0,0"/>
                      <v:stroke on="f" miterlimit="8" joinstyle="miter"/>
                      <v:imagedata o:title=""/>
                      <o:lock v:ext="edit" aspectratio="f"/>
                      <v:textbox inset="0.508mm,0.635mm,0mm,0mm" style="mso-fit-shape-to-text:t;">
                        <w:txbxContent>
                          <w:p w14:paraId="1764688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26" name="Text_Box_3_SpCnt_59"/>
                      <wp:cNvGraphicFramePr/>
                      <a:graphic xmlns:a="http://schemas.openxmlformats.org/drawingml/2006/main">
                        <a:graphicData uri="http://schemas.microsoft.com/office/word/2010/wordprocessingShape">
                          <wps:wsp>
                            <wps:cNvSpPr>
                              <a:spLocks noChangeArrowheads="1"/>
                            </wps:cNvSpPr>
                            <wps:spPr>
                              <a:xfrm>
                                <a:off x="0" y="48387000"/>
                                <a:ext cx="156210" cy="196215"/>
                              </a:xfrm>
                              <a:prstGeom prst="rect">
                                <a:avLst/>
                              </a:prstGeom>
                              <a:noFill/>
                              <a:ln w="9525" cmpd="sng">
                                <a:noFill/>
                                <a:miter lim="800000"/>
                              </a:ln>
                            </wps:spPr>
                            <wps:txbx>
                              <w:txbxContent>
                                <w:p w14:paraId="48CFC7BD">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9"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tVsNUAAAADAQAADwAAAAAA&#10;AAABACAAAAAiAAAAZHJzL2Rvd25yZXYueG1sUEsBAhQAFAAAAAgAh07iQGPQOH0WAgAAEwQAAA4A&#10;AAAAAAAAAQAgAAAAJAEAAGRycy9lMm9Eb2MueG1sUEsFBgAAAAAGAAYAWQEAAKwFAAAAAA==&#10;">
                      <v:fill on="f" focussize="0,0"/>
                      <v:stroke on="f" miterlimit="8" joinstyle="miter"/>
                      <v:imagedata o:title=""/>
                      <o:lock v:ext="edit" aspectratio="f"/>
                      <v:textbox inset="0.508mm,0.635mm,0mm,0mm" style="mso-fit-shape-to-text:t;">
                        <w:txbxContent>
                          <w:p w14:paraId="48CFC7BD">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927" name="Text_Box_3_SpCnt_60"/>
                      <wp:cNvGraphicFramePr/>
                      <a:graphic xmlns:a="http://schemas.openxmlformats.org/drawingml/2006/main">
                        <a:graphicData uri="http://schemas.microsoft.com/office/word/2010/wordprocessingShape">
                          <wps:wsp>
                            <wps:cNvSpPr>
                              <a:spLocks noChangeArrowheads="1"/>
                            </wps:cNvSpPr>
                            <wps:spPr>
                              <a:xfrm>
                                <a:off x="0" y="48387000"/>
                                <a:ext cx="154940" cy="198755"/>
                              </a:xfrm>
                              <a:prstGeom prst="rect">
                                <a:avLst/>
                              </a:prstGeom>
                              <a:noFill/>
                              <a:ln w="9525">
                                <a:noFill/>
                                <a:miter lim="800000"/>
                              </a:ln>
                            </wps:spPr>
                            <wps:txbx>
                              <w:txbxContent>
                                <w:p w14:paraId="1CCCA6C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0"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0/ddYAAAADAQAADwAAAAAAAAABACAA&#10;AAAiAAAAZHJzL2Rvd25yZXYueG1sUEsBAhQAFAAAAAgAh07iQAKo5KQPAgAACAQAAA4AAAAAAAAA&#10;AQAgAAAAJQEAAGRycy9lMm9Eb2MueG1sUEsFBgAAAAAGAAYAWQEAAKYFAAAAAA==&#10;">
                      <v:fill on="f" focussize="0,0"/>
                      <v:stroke on="f" miterlimit="8" joinstyle="miter"/>
                      <v:imagedata o:title=""/>
                      <o:lock v:ext="edit" aspectratio="f"/>
                      <v:textbox inset="0.508mm,0.635mm,0mm,0mm" style="mso-fit-shape-to-text:t;">
                        <w:txbxContent>
                          <w:p w14:paraId="1CCCA6C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928" name="Text_Box_3_SpCnt_61"/>
                      <wp:cNvGraphicFramePr/>
                      <a:graphic xmlns:a="http://schemas.openxmlformats.org/drawingml/2006/main">
                        <a:graphicData uri="http://schemas.microsoft.com/office/word/2010/wordprocessingShape">
                          <wps:wsp>
                            <wps:cNvSpPr>
                              <a:spLocks noChangeArrowheads="1"/>
                            </wps:cNvSpPr>
                            <wps:spPr>
                              <a:xfrm>
                                <a:off x="11430" y="48387000"/>
                                <a:ext cx="213360" cy="198755"/>
                              </a:xfrm>
                              <a:prstGeom prst="rect">
                                <a:avLst/>
                              </a:prstGeom>
                              <a:noFill/>
                              <a:ln w="9525">
                                <a:noFill/>
                                <a:miter lim="800000"/>
                              </a:ln>
                            </wps:spPr>
                            <wps:txbx>
                              <w:txbxContent>
                                <w:p w14:paraId="3031CC6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1"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HgctrVAAAABAEAAA8AAAAAAAAAAQAg&#10;AAAAIgAAAGRycy9kb3ducmV2LnhtbFBLAQIUABQAAAAIAIdO4kATLA7BEQIAAAwEAAAOAAAAAAAA&#10;AAEAIAAAACQBAABkcnMvZTJvRG9jLnhtbFBLBQYAAAAABgAGAFkBAACnBQAAAAA=&#10;">
                      <v:fill on="f" focussize="0,0"/>
                      <v:stroke on="f" miterlimit="8" joinstyle="miter"/>
                      <v:imagedata o:title=""/>
                      <o:lock v:ext="edit" aspectratio="f"/>
                      <v:textbox inset="0.508mm,0.635mm,0mm,0mm" style="mso-fit-shape-to-text:t;">
                        <w:txbxContent>
                          <w:p w14:paraId="3031CC6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29" name="Text_Box_3_SpCnt_62"/>
                      <wp:cNvGraphicFramePr/>
                      <a:graphic xmlns:a="http://schemas.openxmlformats.org/drawingml/2006/main">
                        <a:graphicData uri="http://schemas.microsoft.com/office/word/2010/wordprocessingShape">
                          <wps:wsp>
                            <wps:cNvSpPr>
                              <a:spLocks noChangeArrowheads="1"/>
                            </wps:cNvSpPr>
                            <wps:spPr>
                              <a:xfrm>
                                <a:off x="443230" y="48387000"/>
                                <a:ext cx="2495550" cy="207645"/>
                              </a:xfrm>
                              <a:prstGeom prst="rect">
                                <a:avLst/>
                              </a:prstGeom>
                              <a:noFill/>
                              <a:ln w="9525">
                                <a:noFill/>
                                <a:miter lim="800000"/>
                              </a:ln>
                            </wps:spPr>
                            <wps:txbx>
                              <w:txbxContent>
                                <w:p w14:paraId="48127BE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2"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oWKw9YAAAAGAQAADwAAAAAA&#10;AAABACAAAAAiAAAAZHJzL2Rvd25yZXYueG1sUEsBAhQAFAAAAAgAh07iQCtETZAVAgAADgQAAA4A&#10;AAAAAAAAAQAgAAAAJQEAAGRycy9lMm9Eb2MueG1sUEsFBgAAAAAGAAYAWQEAAKwFAAAAAA==&#10;">
                      <v:fill on="f" focussize="0,0"/>
                      <v:stroke on="f" miterlimit="8" joinstyle="miter"/>
                      <v:imagedata o:title=""/>
                      <o:lock v:ext="edit" aspectratio="f"/>
                      <v:textbox inset="0.508mm,0.635mm,0mm,0mm" style="mso-fit-shape-to-text:t;">
                        <w:txbxContent>
                          <w:p w14:paraId="48127BE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30" name="Text_Box_1_SpCnt_17"/>
                      <wp:cNvGraphicFramePr/>
                      <a:graphic xmlns:a="http://schemas.openxmlformats.org/drawingml/2006/main">
                        <a:graphicData uri="http://schemas.microsoft.com/office/word/2010/wordprocessingShape">
                          <wps:wsp>
                            <wps:cNvSpPr>
                              <a:spLocks noChangeArrowheads="1"/>
                            </wps:cNvSpPr>
                            <wps:spPr>
                              <a:xfrm>
                                <a:off x="7340600" y="48387000"/>
                                <a:ext cx="156210" cy="198755"/>
                              </a:xfrm>
                              <a:prstGeom prst="rect">
                                <a:avLst/>
                              </a:prstGeom>
                              <a:noFill/>
                              <a:ln w="9525">
                                <a:noFill/>
                                <a:miter lim="800000"/>
                              </a:ln>
                            </wps:spPr>
                            <wps:txbx>
                              <w:txbxContent>
                                <w:p w14:paraId="7D5D8EF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7"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vI2m2AAAAAkBAAAPAAAA&#10;AAAAAAEAIAAAACIAAABkcnMvZG93bnJldi54bWxQSwECFAAUAAAACACHTuJAwGYPfRUCAAAOBAAA&#10;DgAAAAAAAAABACAAAAAnAQAAZHJzL2Uyb0RvYy54bWxQSwUGAAAAAAYABgBZAQAArgUAAAAA&#10;">
                      <v:fill on="f" focussize="0,0"/>
                      <v:stroke on="f" miterlimit="8" joinstyle="miter"/>
                      <v:imagedata o:title=""/>
                      <o:lock v:ext="edit" aspectratio="f"/>
                      <v:textbox inset="0.508mm,0.635mm,0mm,0mm" style="mso-fit-shape-to-text:t;">
                        <w:txbxContent>
                          <w:p w14:paraId="7D5D8EF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31" name="Text_Box_3_SpCnt_63"/>
                      <wp:cNvGraphicFramePr/>
                      <a:graphic xmlns:a="http://schemas.openxmlformats.org/drawingml/2006/main">
                        <a:graphicData uri="http://schemas.microsoft.com/office/word/2010/wordprocessingShape">
                          <wps:wsp>
                            <wps:cNvSpPr>
                              <a:spLocks noChangeArrowheads="1"/>
                            </wps:cNvSpPr>
                            <wps:spPr>
                              <a:xfrm>
                                <a:off x="7340600" y="48387000"/>
                                <a:ext cx="156210" cy="198755"/>
                              </a:xfrm>
                              <a:prstGeom prst="rect">
                                <a:avLst/>
                              </a:prstGeom>
                              <a:noFill/>
                              <a:ln w="9525" cmpd="sng">
                                <a:noFill/>
                                <a:miter lim="800000"/>
                              </a:ln>
                            </wps:spPr>
                            <wps:txbx>
                              <w:txbxContent>
                                <w:p w14:paraId="27103290">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3"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ryNptgAAAAJ&#10;AQAADwAAAAAAAAABACAAAAAiAAAAZHJzL2Rvd25yZXYueG1sUEsBAhQAFAAAAAgAh07iQHcjTHoc&#10;AgAAGQQAAA4AAAAAAAAAAQAgAAAAJwEAAGRycy9lMm9Eb2MueG1sUEsFBgAAAAAGAAYAWQEAALUF&#10;AAAAAA==&#10;">
                      <v:fill on="f" focussize="0,0"/>
                      <v:stroke on="f" miterlimit="8" joinstyle="miter"/>
                      <v:imagedata o:title=""/>
                      <o:lock v:ext="edit" aspectratio="f"/>
                      <v:textbox inset="0.508mm,0.635mm,0mm,0mm" style="mso-fit-shape-to-text:t;">
                        <w:txbxContent>
                          <w:p w14:paraId="27103290">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十一、门禁系统</w:t>
            </w:r>
          </w:p>
        </w:tc>
      </w:tr>
      <w:tr w14:paraId="047B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4B1AE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26B2B2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智能门禁一体机</w:t>
            </w:r>
          </w:p>
        </w:tc>
        <w:tc>
          <w:tcPr>
            <w:tcW w:w="4913" w:type="dxa"/>
            <w:shd w:val="clear" w:color="auto" w:fill="auto"/>
            <w:vAlign w:val="top"/>
          </w:tcPr>
          <w:p w14:paraId="6874CA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主处理器：高性能嵌入式处理器；</w:t>
            </w:r>
            <w:r>
              <w:rPr>
                <w:rFonts w:hint="eastAsia"/>
                <w:sz w:val="21"/>
                <w:szCs w:val="21"/>
                <w:lang w:val="en-US" w:eastAsia="zh-CN"/>
              </w:rPr>
              <w:br w:type="textWrapping"/>
            </w:r>
            <w:r>
              <w:rPr>
                <w:rFonts w:hint="eastAsia"/>
                <w:sz w:val="21"/>
                <w:szCs w:val="21"/>
                <w:lang w:val="en-US" w:eastAsia="zh-CN"/>
              </w:rPr>
              <w:t>显示屏：4.3英寸显示屏；</w:t>
            </w:r>
            <w:r>
              <w:rPr>
                <w:rFonts w:hint="eastAsia"/>
                <w:sz w:val="21"/>
                <w:szCs w:val="21"/>
                <w:lang w:val="en-US" w:eastAsia="zh-CN"/>
              </w:rPr>
              <w:br w:type="textWrapping"/>
            </w:r>
            <w:r>
              <w:rPr>
                <w:rFonts w:hint="eastAsia"/>
                <w:sz w:val="21"/>
                <w:szCs w:val="21"/>
                <w:lang w:val="en-US" w:eastAsia="zh-CN"/>
              </w:rPr>
              <w:t>屏幕类型：电容触摸屏；</w:t>
            </w:r>
            <w:r>
              <w:rPr>
                <w:rFonts w:hint="eastAsia"/>
                <w:sz w:val="21"/>
                <w:szCs w:val="21"/>
                <w:lang w:val="en-US" w:eastAsia="zh-CN"/>
              </w:rPr>
              <w:br w:type="textWrapping"/>
            </w:r>
            <w:r>
              <w:rPr>
                <w:rFonts w:hint="eastAsia"/>
                <w:sz w:val="21"/>
                <w:szCs w:val="21"/>
                <w:lang w:val="en-US" w:eastAsia="zh-CN"/>
              </w:rPr>
              <w:t>广告播放：支持图文、视频广告播放；</w:t>
            </w:r>
            <w:r>
              <w:rPr>
                <w:rFonts w:hint="eastAsia"/>
                <w:sz w:val="21"/>
                <w:szCs w:val="21"/>
                <w:lang w:val="en-US" w:eastAsia="zh-CN"/>
              </w:rPr>
              <w:br w:type="textWrapping"/>
            </w:r>
            <w:r>
              <w:rPr>
                <w:rFonts w:hint="eastAsia"/>
                <w:sz w:val="21"/>
                <w:szCs w:val="21"/>
                <w:lang w:val="en-US" w:eastAsia="zh-CN"/>
              </w:rPr>
              <w:t>摄像头：2MP CMOS高清双摄像头；</w:t>
            </w:r>
            <w:r>
              <w:rPr>
                <w:rFonts w:hint="eastAsia"/>
                <w:sz w:val="21"/>
                <w:szCs w:val="21"/>
                <w:lang w:val="en-US" w:eastAsia="zh-CN"/>
              </w:rPr>
              <w:br w:type="textWrapping"/>
            </w:r>
            <w:r>
              <w:rPr>
                <w:rFonts w:hint="eastAsia"/>
                <w:sz w:val="21"/>
                <w:szCs w:val="21"/>
                <w:lang w:val="en-US" w:eastAsia="zh-CN"/>
              </w:rPr>
              <w:t>外壳材料：PC+ABS；</w:t>
            </w:r>
            <w:r>
              <w:rPr>
                <w:rFonts w:hint="eastAsia"/>
                <w:sz w:val="21"/>
                <w:szCs w:val="21"/>
                <w:lang w:val="en-US" w:eastAsia="zh-CN"/>
              </w:rPr>
              <w:br w:type="textWrapping"/>
            </w:r>
            <w:r>
              <w:rPr>
                <w:rFonts w:hint="eastAsia"/>
                <w:sz w:val="21"/>
                <w:szCs w:val="21"/>
                <w:lang w:val="en-US" w:eastAsia="zh-CN"/>
              </w:rPr>
              <w:t>远程验证：支持；</w:t>
            </w:r>
            <w:r>
              <w:rPr>
                <w:rFonts w:hint="eastAsia"/>
                <w:sz w:val="21"/>
                <w:szCs w:val="21"/>
                <w:lang w:val="en-US" w:eastAsia="zh-CN"/>
              </w:rPr>
              <w:br w:type="textWrapping"/>
            </w:r>
            <w:r>
              <w:rPr>
                <w:rFonts w:hint="eastAsia"/>
                <w:sz w:val="21"/>
                <w:szCs w:val="21"/>
                <w:lang w:val="en-US" w:eastAsia="zh-CN"/>
              </w:rPr>
              <w:t>黑白名单设定：支持；</w:t>
            </w:r>
            <w:r>
              <w:rPr>
                <w:rFonts w:hint="eastAsia"/>
                <w:sz w:val="21"/>
                <w:szCs w:val="21"/>
                <w:lang w:val="en-US" w:eastAsia="zh-CN"/>
              </w:rPr>
              <w:br w:type="textWrapping"/>
            </w:r>
            <w:r>
              <w:rPr>
                <w:rFonts w:hint="eastAsia"/>
                <w:sz w:val="21"/>
                <w:szCs w:val="21"/>
                <w:lang w:val="en-US" w:eastAsia="zh-CN"/>
              </w:rPr>
              <w:t>实时监控：支持；</w:t>
            </w:r>
            <w:r>
              <w:rPr>
                <w:rFonts w:hint="eastAsia"/>
                <w:sz w:val="21"/>
                <w:szCs w:val="21"/>
                <w:lang w:val="en-US" w:eastAsia="zh-CN"/>
              </w:rPr>
              <w:br w:type="textWrapping"/>
            </w:r>
            <w:r>
              <w:rPr>
                <w:rFonts w:hint="eastAsia"/>
                <w:sz w:val="21"/>
                <w:szCs w:val="21"/>
                <w:lang w:val="en-US" w:eastAsia="zh-CN"/>
              </w:rPr>
              <w:t>多重认证：支持；</w:t>
            </w:r>
            <w:r>
              <w:rPr>
                <w:rFonts w:hint="eastAsia"/>
                <w:sz w:val="21"/>
                <w:szCs w:val="21"/>
                <w:lang w:val="en-US" w:eastAsia="zh-CN"/>
              </w:rPr>
              <w:br w:type="textWrapping"/>
            </w:r>
            <w:r>
              <w:rPr>
                <w:rFonts w:hint="eastAsia"/>
                <w:sz w:val="21"/>
                <w:szCs w:val="21"/>
                <w:lang w:val="en-US" w:eastAsia="zh-CN"/>
              </w:rPr>
              <w:t>WEB配置：支持；</w:t>
            </w:r>
            <w:r>
              <w:rPr>
                <w:rFonts w:hint="eastAsia"/>
                <w:sz w:val="21"/>
                <w:szCs w:val="21"/>
                <w:lang w:val="en-US" w:eastAsia="zh-CN"/>
              </w:rPr>
              <w:br w:type="textWrapping"/>
            </w:r>
            <w:r>
              <w:rPr>
                <w:rFonts w:hint="eastAsia"/>
                <w:sz w:val="21"/>
                <w:szCs w:val="21"/>
                <w:lang w:val="en-US" w:eastAsia="zh-CN"/>
              </w:rPr>
              <w:t>主动注册：支持；</w:t>
            </w:r>
            <w:r>
              <w:rPr>
                <w:rFonts w:hint="eastAsia"/>
                <w:sz w:val="21"/>
                <w:szCs w:val="21"/>
                <w:lang w:val="en-US" w:eastAsia="zh-CN"/>
              </w:rPr>
              <w:br w:type="textWrapping"/>
            </w:r>
            <w:r>
              <w:rPr>
                <w:rFonts w:hint="eastAsia"/>
                <w:sz w:val="21"/>
                <w:szCs w:val="21"/>
                <w:lang w:val="en-US" w:eastAsia="zh-CN"/>
              </w:rPr>
              <w:t>人脸识别准确率：99.9%；</w:t>
            </w:r>
            <w:r>
              <w:rPr>
                <w:rFonts w:hint="eastAsia"/>
                <w:sz w:val="21"/>
                <w:szCs w:val="21"/>
                <w:lang w:val="en-US" w:eastAsia="zh-CN"/>
              </w:rPr>
              <w:br w:type="textWrapping"/>
            </w:r>
            <w:r>
              <w:rPr>
                <w:rFonts w:hint="eastAsia"/>
                <w:sz w:val="21"/>
                <w:szCs w:val="21"/>
                <w:lang w:val="en-US" w:eastAsia="zh-CN"/>
              </w:rPr>
              <w:t>人脸识别速度：0.2s；</w:t>
            </w:r>
            <w:r>
              <w:rPr>
                <w:rFonts w:hint="eastAsia"/>
                <w:sz w:val="21"/>
                <w:szCs w:val="21"/>
                <w:lang w:val="en-US" w:eastAsia="zh-CN"/>
              </w:rPr>
              <w:br w:type="textWrapping"/>
            </w:r>
            <w:r>
              <w:rPr>
                <w:rFonts w:hint="eastAsia"/>
                <w:sz w:val="21"/>
                <w:szCs w:val="21"/>
                <w:lang w:val="en-US" w:eastAsia="zh-CN"/>
              </w:rPr>
              <w:t>用户容量：20000；</w:t>
            </w:r>
            <w:r>
              <w:rPr>
                <w:rFonts w:hint="eastAsia"/>
                <w:sz w:val="21"/>
                <w:szCs w:val="21"/>
                <w:lang w:val="en-US" w:eastAsia="zh-CN"/>
              </w:rPr>
              <w:br w:type="textWrapping"/>
            </w:r>
            <w:r>
              <w:rPr>
                <w:rFonts w:hint="eastAsia"/>
                <w:sz w:val="21"/>
                <w:szCs w:val="21"/>
                <w:lang w:val="en-US" w:eastAsia="zh-CN"/>
              </w:rPr>
              <w:t>人脸容量：20000；</w:t>
            </w:r>
            <w:r>
              <w:rPr>
                <w:rFonts w:hint="eastAsia"/>
                <w:sz w:val="21"/>
                <w:szCs w:val="21"/>
                <w:lang w:val="en-US" w:eastAsia="zh-CN"/>
              </w:rPr>
              <w:br w:type="textWrapping"/>
            </w:r>
            <w:r>
              <w:rPr>
                <w:rFonts w:hint="eastAsia"/>
                <w:sz w:val="21"/>
                <w:szCs w:val="21"/>
                <w:lang w:val="en-US" w:eastAsia="zh-CN"/>
              </w:rPr>
              <w:t>卡片容量：50000；</w:t>
            </w:r>
            <w:r>
              <w:rPr>
                <w:rFonts w:hint="eastAsia"/>
                <w:sz w:val="21"/>
                <w:szCs w:val="21"/>
                <w:lang w:val="en-US" w:eastAsia="zh-CN"/>
              </w:rPr>
              <w:br w:type="textWrapping"/>
            </w:r>
            <w:r>
              <w:rPr>
                <w:rFonts w:hint="eastAsia"/>
                <w:sz w:val="21"/>
                <w:szCs w:val="21"/>
                <w:lang w:val="en-US" w:eastAsia="zh-CN"/>
              </w:rPr>
              <w:t>密码容量：20000；</w:t>
            </w:r>
            <w:r>
              <w:rPr>
                <w:rFonts w:hint="eastAsia"/>
                <w:sz w:val="21"/>
                <w:szCs w:val="21"/>
                <w:lang w:val="en-US" w:eastAsia="zh-CN"/>
              </w:rPr>
              <w:br w:type="textWrapping"/>
            </w:r>
            <w:r>
              <w:rPr>
                <w:rFonts w:hint="eastAsia"/>
                <w:sz w:val="21"/>
                <w:szCs w:val="21"/>
                <w:lang w:val="en-US" w:eastAsia="zh-CN"/>
              </w:rPr>
              <w:t>存储记录数量：300000；</w:t>
            </w:r>
            <w:r>
              <w:rPr>
                <w:rFonts w:hint="eastAsia"/>
                <w:sz w:val="21"/>
                <w:szCs w:val="21"/>
                <w:lang w:val="en-US" w:eastAsia="zh-CN"/>
              </w:rPr>
              <w:br w:type="textWrapping"/>
            </w:r>
            <w:r>
              <w:rPr>
                <w:rFonts w:hint="eastAsia"/>
                <w:sz w:val="21"/>
                <w:szCs w:val="21"/>
                <w:lang w:val="en-US" w:eastAsia="zh-CN"/>
              </w:rPr>
              <w:t>RS-485接口：1个（和韦根接口复用）；</w:t>
            </w:r>
            <w:r>
              <w:rPr>
                <w:rFonts w:hint="eastAsia"/>
                <w:sz w:val="21"/>
                <w:szCs w:val="21"/>
                <w:lang w:val="en-US" w:eastAsia="zh-CN"/>
              </w:rPr>
              <w:br w:type="textWrapping"/>
            </w:r>
            <w:r>
              <w:rPr>
                <w:rFonts w:hint="eastAsia"/>
                <w:sz w:val="21"/>
                <w:szCs w:val="21"/>
                <w:lang w:val="en-US" w:eastAsia="zh-CN"/>
              </w:rPr>
              <w:t>韦根接口：1个（和485接口复用）；</w:t>
            </w:r>
            <w:r>
              <w:rPr>
                <w:rFonts w:hint="eastAsia"/>
                <w:sz w:val="21"/>
                <w:szCs w:val="21"/>
                <w:lang w:val="en-US" w:eastAsia="zh-CN"/>
              </w:rPr>
              <w:br w:type="textWrapping"/>
            </w:r>
            <w:r>
              <w:rPr>
                <w:rFonts w:hint="eastAsia"/>
                <w:sz w:val="21"/>
                <w:szCs w:val="21"/>
                <w:lang w:val="en-US" w:eastAsia="zh-CN"/>
              </w:rPr>
              <w:t>USB接口：1个USB2.0接口；</w:t>
            </w:r>
            <w:r>
              <w:rPr>
                <w:rFonts w:hint="eastAsia"/>
                <w:sz w:val="21"/>
                <w:szCs w:val="21"/>
                <w:lang w:val="en-US" w:eastAsia="zh-CN"/>
              </w:rPr>
              <w:br w:type="textWrapping"/>
            </w:r>
            <w:r>
              <w:rPr>
                <w:rFonts w:hint="eastAsia"/>
                <w:sz w:val="21"/>
                <w:szCs w:val="21"/>
                <w:lang w:val="en-US" w:eastAsia="zh-CN"/>
              </w:rPr>
              <w:t>网络接口：1个10Mbps/100Mbps以太网口；</w:t>
            </w:r>
            <w:r>
              <w:rPr>
                <w:rFonts w:hint="eastAsia"/>
                <w:sz w:val="21"/>
                <w:szCs w:val="21"/>
                <w:lang w:val="en-US" w:eastAsia="zh-CN"/>
              </w:rPr>
              <w:br w:type="textWrapping"/>
            </w:r>
            <w:r>
              <w:rPr>
                <w:rFonts w:hint="eastAsia"/>
                <w:sz w:val="21"/>
                <w:szCs w:val="21"/>
                <w:lang w:val="en-US" w:eastAsia="zh-CN"/>
              </w:rPr>
              <w:t>报警联动：支持；</w:t>
            </w:r>
            <w:r>
              <w:rPr>
                <w:rFonts w:hint="eastAsia"/>
                <w:sz w:val="21"/>
                <w:szCs w:val="21"/>
                <w:lang w:val="en-US" w:eastAsia="zh-CN"/>
              </w:rPr>
              <w:br w:type="textWrapping"/>
            </w:r>
            <w:r>
              <w:rPr>
                <w:rFonts w:hint="eastAsia"/>
                <w:sz w:val="21"/>
                <w:szCs w:val="21"/>
                <w:lang w:val="en-US" w:eastAsia="zh-CN"/>
              </w:rPr>
              <w:t>开门按钮：1路；</w:t>
            </w:r>
            <w:r>
              <w:rPr>
                <w:rFonts w:hint="eastAsia"/>
                <w:sz w:val="21"/>
                <w:szCs w:val="21"/>
                <w:lang w:val="en-US" w:eastAsia="zh-CN"/>
              </w:rPr>
              <w:br w:type="textWrapping"/>
            </w:r>
            <w:r>
              <w:rPr>
                <w:rFonts w:hint="eastAsia"/>
                <w:sz w:val="21"/>
                <w:szCs w:val="21"/>
                <w:lang w:val="en-US" w:eastAsia="zh-CN"/>
              </w:rPr>
              <w:t>门状态检测：1路；</w:t>
            </w:r>
            <w:r>
              <w:rPr>
                <w:rFonts w:hint="eastAsia"/>
                <w:sz w:val="21"/>
                <w:szCs w:val="21"/>
                <w:lang w:val="en-US" w:eastAsia="zh-CN"/>
              </w:rPr>
              <w:br w:type="textWrapping"/>
            </w:r>
            <w:r>
              <w:rPr>
                <w:rFonts w:hint="eastAsia"/>
                <w:sz w:val="21"/>
                <w:szCs w:val="21"/>
                <w:lang w:val="en-US" w:eastAsia="zh-CN"/>
              </w:rPr>
              <w:t>门锁控制：1路；</w:t>
            </w:r>
            <w:r>
              <w:rPr>
                <w:rFonts w:hint="eastAsia"/>
                <w:sz w:val="21"/>
                <w:szCs w:val="21"/>
                <w:lang w:val="en-US" w:eastAsia="zh-CN"/>
              </w:rPr>
              <w:br w:type="textWrapping"/>
            </w:r>
            <w:r>
              <w:rPr>
                <w:rFonts w:hint="eastAsia"/>
                <w:sz w:val="21"/>
                <w:szCs w:val="21"/>
                <w:lang w:val="en-US" w:eastAsia="zh-CN"/>
              </w:rPr>
              <w:t>防反潜：支持；</w:t>
            </w:r>
            <w:r>
              <w:rPr>
                <w:rFonts w:hint="eastAsia"/>
                <w:sz w:val="21"/>
                <w:szCs w:val="21"/>
                <w:lang w:val="en-US" w:eastAsia="zh-CN"/>
              </w:rPr>
              <w:br w:type="textWrapping"/>
            </w:r>
            <w:r>
              <w:rPr>
                <w:rFonts w:hint="eastAsia"/>
                <w:sz w:val="21"/>
                <w:szCs w:val="21"/>
                <w:lang w:val="en-US" w:eastAsia="zh-CN"/>
              </w:rPr>
              <w:t>防拆报警：支持；</w:t>
            </w:r>
            <w:r>
              <w:rPr>
                <w:rFonts w:hint="eastAsia"/>
                <w:sz w:val="21"/>
                <w:szCs w:val="21"/>
                <w:lang w:val="en-US" w:eastAsia="zh-CN"/>
              </w:rPr>
              <w:br w:type="textWrapping"/>
            </w:r>
            <w:r>
              <w:rPr>
                <w:rFonts w:hint="eastAsia"/>
                <w:sz w:val="21"/>
                <w:szCs w:val="21"/>
                <w:lang w:val="en-US" w:eastAsia="zh-CN"/>
              </w:rPr>
              <w:t>胁迫报警：支持；</w:t>
            </w:r>
            <w:r>
              <w:rPr>
                <w:rFonts w:hint="eastAsia"/>
                <w:sz w:val="21"/>
                <w:szCs w:val="21"/>
                <w:lang w:val="en-US" w:eastAsia="zh-CN"/>
              </w:rPr>
              <w:br w:type="textWrapping"/>
            </w:r>
            <w:r>
              <w:rPr>
                <w:rFonts w:hint="eastAsia"/>
                <w:sz w:val="21"/>
                <w:szCs w:val="21"/>
                <w:lang w:val="en-US" w:eastAsia="zh-CN"/>
              </w:rPr>
              <w:t>门超时报警：支持；</w:t>
            </w:r>
            <w:r>
              <w:rPr>
                <w:rFonts w:hint="eastAsia"/>
                <w:sz w:val="21"/>
                <w:szCs w:val="21"/>
                <w:lang w:val="en-US" w:eastAsia="zh-CN"/>
              </w:rPr>
              <w:br w:type="textWrapping"/>
            </w:r>
            <w:r>
              <w:rPr>
                <w:rFonts w:hint="eastAsia"/>
                <w:sz w:val="21"/>
                <w:szCs w:val="21"/>
                <w:lang w:val="en-US" w:eastAsia="zh-CN"/>
              </w:rPr>
              <w:t>非法闯入报警：支持；</w:t>
            </w:r>
            <w:r>
              <w:rPr>
                <w:rFonts w:hint="eastAsia"/>
                <w:sz w:val="21"/>
                <w:szCs w:val="21"/>
                <w:lang w:val="en-US" w:eastAsia="zh-CN"/>
              </w:rPr>
              <w:br w:type="textWrapping"/>
            </w:r>
            <w:r>
              <w:rPr>
                <w:rFonts w:hint="eastAsia"/>
                <w:sz w:val="21"/>
                <w:szCs w:val="21"/>
                <w:lang w:val="en-US" w:eastAsia="zh-CN"/>
              </w:rPr>
              <w:t>非法卡超次报警：支持；</w:t>
            </w:r>
            <w:r>
              <w:rPr>
                <w:rFonts w:hint="eastAsia"/>
                <w:sz w:val="21"/>
                <w:szCs w:val="21"/>
                <w:lang w:val="en-US" w:eastAsia="zh-CN"/>
              </w:rPr>
              <w:br w:type="textWrapping"/>
            </w:r>
            <w:r>
              <w:rPr>
                <w:rFonts w:hint="eastAsia"/>
                <w:sz w:val="21"/>
                <w:szCs w:val="21"/>
                <w:lang w:val="en-US" w:eastAsia="zh-CN"/>
              </w:rPr>
              <w:t>供电方式：DC12V，2A；</w:t>
            </w:r>
            <w:r>
              <w:rPr>
                <w:rFonts w:hint="eastAsia"/>
                <w:sz w:val="21"/>
                <w:szCs w:val="21"/>
                <w:lang w:val="en-US" w:eastAsia="zh-CN"/>
              </w:rPr>
              <w:br w:type="textWrapping"/>
            </w:r>
            <w:r>
              <w:rPr>
                <w:rFonts w:hint="eastAsia"/>
                <w:sz w:val="21"/>
                <w:szCs w:val="21"/>
                <w:lang w:val="en-US" w:eastAsia="zh-CN"/>
              </w:rPr>
              <w:t>产品尺寸：167.4mm×84.4mm×24.0mm（高×宽×厚）；</w:t>
            </w:r>
            <w:r>
              <w:rPr>
                <w:rFonts w:hint="eastAsia"/>
                <w:sz w:val="21"/>
                <w:szCs w:val="21"/>
                <w:lang w:val="en-US" w:eastAsia="zh-CN"/>
              </w:rPr>
              <w:br w:type="textWrapping"/>
            </w:r>
            <w:r>
              <w:rPr>
                <w:rFonts w:hint="eastAsia"/>
                <w:sz w:val="21"/>
                <w:szCs w:val="21"/>
                <w:lang w:val="en-US" w:eastAsia="zh-CN"/>
              </w:rPr>
              <w:t>工作温度：-10℃～+45℃；</w:t>
            </w:r>
            <w:r>
              <w:rPr>
                <w:rFonts w:hint="eastAsia"/>
                <w:sz w:val="21"/>
                <w:szCs w:val="21"/>
                <w:lang w:val="en-US" w:eastAsia="zh-CN"/>
              </w:rPr>
              <w:br w:type="textWrapping"/>
            </w:r>
            <w:r>
              <w:rPr>
                <w:rFonts w:hint="eastAsia"/>
                <w:sz w:val="21"/>
                <w:szCs w:val="21"/>
                <w:lang w:val="en-US" w:eastAsia="zh-CN"/>
              </w:rPr>
              <w:t>安装方式：壁装；落地式支架安装；桌面式支架安装；</w:t>
            </w:r>
            <w:r>
              <w:rPr>
                <w:rFonts w:hint="eastAsia"/>
                <w:sz w:val="21"/>
                <w:szCs w:val="21"/>
                <w:lang w:val="en-US" w:eastAsia="zh-CN"/>
              </w:rPr>
              <w:br w:type="textWrapping"/>
            </w:r>
            <w:r>
              <w:rPr>
                <w:rFonts w:hint="eastAsia"/>
                <w:sz w:val="21"/>
                <w:szCs w:val="21"/>
                <w:lang w:val="en-US" w:eastAsia="zh-CN"/>
              </w:rPr>
              <w:t>读卡类型：IC卡；身份证（序列号）；CPU卡序列号</w:t>
            </w:r>
          </w:p>
        </w:tc>
        <w:tc>
          <w:tcPr>
            <w:tcW w:w="580" w:type="dxa"/>
            <w:shd w:val="clear" w:color="auto" w:fill="auto"/>
            <w:vAlign w:val="center"/>
          </w:tcPr>
          <w:p w14:paraId="618C36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3BD25CC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403CDB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1272</w:t>
            </w:r>
          </w:p>
        </w:tc>
        <w:tc>
          <w:tcPr>
            <w:tcW w:w="1025" w:type="dxa"/>
            <w:shd w:val="clear" w:color="auto" w:fill="auto"/>
            <w:noWrap/>
            <w:vAlign w:val="center"/>
          </w:tcPr>
          <w:p w14:paraId="6657C2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3816</w:t>
            </w:r>
          </w:p>
        </w:tc>
        <w:tc>
          <w:tcPr>
            <w:tcW w:w="650" w:type="dxa"/>
            <w:shd w:val="clear" w:color="auto" w:fill="auto"/>
            <w:noWrap/>
            <w:vAlign w:val="center"/>
          </w:tcPr>
          <w:p w14:paraId="6C9D39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11F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BE6B3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72CBF0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室内门禁专用电源</w:t>
            </w:r>
          </w:p>
        </w:tc>
        <w:tc>
          <w:tcPr>
            <w:tcW w:w="4913" w:type="dxa"/>
            <w:shd w:val="clear" w:color="auto" w:fill="auto"/>
            <w:vAlign w:val="top"/>
          </w:tcPr>
          <w:p w14:paraId="22DA929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sz w:val="21"/>
                <w:szCs w:val="21"/>
              </w:rPr>
            </w:pPr>
            <w:r>
              <w:rPr>
                <w:rFonts w:hint="eastAsia"/>
                <w:sz w:val="21"/>
                <w:szCs w:val="21"/>
                <w:lang w:val="en-US" w:eastAsia="zh-CN"/>
              </w:rPr>
              <w:t>外壳材料：Q235钢；</w:t>
            </w:r>
            <w:r>
              <w:rPr>
                <w:rFonts w:hint="eastAsia"/>
                <w:sz w:val="21"/>
                <w:szCs w:val="21"/>
                <w:lang w:val="en-US" w:eastAsia="zh-CN"/>
              </w:rPr>
              <w:br w:type="textWrapping"/>
            </w:r>
            <w:r>
              <w:rPr>
                <w:rFonts w:hint="eastAsia"/>
                <w:sz w:val="21"/>
                <w:szCs w:val="21"/>
                <w:lang w:val="en-US" w:eastAsia="zh-CN"/>
              </w:rPr>
              <w:t>电源输出：DC 12V 3A；</w:t>
            </w:r>
            <w:r>
              <w:rPr>
                <w:rFonts w:hint="eastAsia"/>
                <w:sz w:val="21"/>
                <w:szCs w:val="21"/>
                <w:lang w:val="en-US" w:eastAsia="zh-CN"/>
              </w:rPr>
              <w:br w:type="textWrapping"/>
            </w:r>
            <w:r>
              <w:rPr>
                <w:rFonts w:hint="eastAsia"/>
                <w:sz w:val="21"/>
                <w:szCs w:val="21"/>
                <w:lang w:val="en-US" w:eastAsia="zh-CN"/>
              </w:rPr>
              <w:t>外观颜色：黑色；</w:t>
            </w:r>
            <w:r>
              <w:rPr>
                <w:rFonts w:hint="eastAsia"/>
                <w:sz w:val="21"/>
                <w:szCs w:val="21"/>
                <w:lang w:val="en-US" w:eastAsia="zh-CN"/>
              </w:rPr>
              <w:br w:type="textWrapping"/>
            </w:r>
            <w:r>
              <w:rPr>
                <w:rFonts w:hint="eastAsia"/>
                <w:sz w:val="21"/>
                <w:szCs w:val="21"/>
                <w:lang w:val="en-US" w:eastAsia="zh-CN"/>
              </w:rPr>
              <w:t>供电方式：AC220–260V；</w:t>
            </w:r>
            <w:r>
              <w:rPr>
                <w:rFonts w:hint="eastAsia"/>
                <w:sz w:val="21"/>
                <w:szCs w:val="21"/>
                <w:lang w:val="en-US" w:eastAsia="zh-CN"/>
              </w:rPr>
              <w:br w:type="textWrapping"/>
            </w:r>
            <w:r>
              <w:rPr>
                <w:rFonts w:hint="eastAsia"/>
                <w:sz w:val="21"/>
                <w:szCs w:val="21"/>
                <w:lang w:val="en-US" w:eastAsia="zh-CN"/>
              </w:rPr>
              <w:t>安装方式：明装；</w:t>
            </w:r>
            <w:r>
              <w:rPr>
                <w:rFonts w:hint="eastAsia"/>
                <w:sz w:val="21"/>
                <w:szCs w:val="21"/>
                <w:lang w:val="en-US" w:eastAsia="zh-CN"/>
              </w:rPr>
              <w:br w:type="textWrapping"/>
            </w:r>
            <w:r>
              <w:rPr>
                <w:rFonts w:hint="eastAsia"/>
                <w:sz w:val="21"/>
                <w:szCs w:val="21"/>
                <w:lang w:val="en-US" w:eastAsia="zh-CN"/>
              </w:rPr>
              <w:t>认证：3C；</w:t>
            </w:r>
            <w:r>
              <w:rPr>
                <w:rFonts w:hint="eastAsia"/>
                <w:sz w:val="21"/>
                <w:szCs w:val="21"/>
                <w:lang w:val="en-US" w:eastAsia="zh-CN"/>
              </w:rPr>
              <w:br w:type="textWrapping"/>
            </w:r>
            <w:r>
              <w:rPr>
                <w:rFonts w:hint="eastAsia"/>
                <w:sz w:val="21"/>
                <w:szCs w:val="21"/>
                <w:lang w:val="en-US" w:eastAsia="zh-CN"/>
              </w:rPr>
              <w:t>产品尺寸：160mm×102mm×41mm（长×宽×高）；</w:t>
            </w:r>
            <w:r>
              <w:rPr>
                <w:rFonts w:hint="eastAsia"/>
                <w:sz w:val="21"/>
                <w:szCs w:val="21"/>
                <w:lang w:val="en-US" w:eastAsia="zh-CN"/>
              </w:rPr>
              <w:br w:type="textWrapping"/>
            </w:r>
            <w:r>
              <w:rPr>
                <w:rFonts w:hint="eastAsia"/>
                <w:sz w:val="21"/>
                <w:szCs w:val="21"/>
                <w:lang w:val="en-US" w:eastAsia="zh-CN"/>
              </w:rPr>
              <w:t>工作温度：-20℃～+55℃；</w:t>
            </w:r>
            <w:r>
              <w:rPr>
                <w:rFonts w:hint="eastAsia"/>
                <w:sz w:val="21"/>
                <w:szCs w:val="21"/>
                <w:lang w:val="en-US" w:eastAsia="zh-CN"/>
              </w:rPr>
              <w:br w:type="textWrapping"/>
            </w:r>
            <w:r>
              <w:rPr>
                <w:rFonts w:hint="eastAsia"/>
                <w:sz w:val="21"/>
                <w:szCs w:val="21"/>
                <w:lang w:val="en-US" w:eastAsia="zh-CN"/>
              </w:rPr>
              <w:t>工作湿度：0%～90%RH（无凝结）；</w:t>
            </w:r>
            <w:r>
              <w:rPr>
                <w:rFonts w:hint="eastAsia"/>
                <w:sz w:val="21"/>
                <w:szCs w:val="21"/>
                <w:lang w:val="en-US" w:eastAsia="zh-CN"/>
              </w:rPr>
              <w:br w:type="textWrapping"/>
            </w:r>
            <w:r>
              <w:rPr>
                <w:rFonts w:hint="eastAsia"/>
                <w:sz w:val="21"/>
                <w:szCs w:val="21"/>
                <w:lang w:val="en-US" w:eastAsia="zh-CN"/>
              </w:rPr>
              <w:t>净重：0.32kg；</w:t>
            </w:r>
            <w:r>
              <w:rPr>
                <w:rFonts w:hint="eastAsia"/>
                <w:sz w:val="21"/>
                <w:szCs w:val="21"/>
                <w:lang w:val="en-US" w:eastAsia="zh-CN"/>
              </w:rPr>
              <w:br w:type="textWrapping"/>
            </w:r>
            <w:r>
              <w:rPr>
                <w:rFonts w:hint="eastAsia"/>
                <w:sz w:val="21"/>
                <w:szCs w:val="21"/>
                <w:lang w:val="en-US" w:eastAsia="zh-CN"/>
              </w:rPr>
              <w:t>毛重：0.36kg</w:t>
            </w:r>
          </w:p>
        </w:tc>
        <w:tc>
          <w:tcPr>
            <w:tcW w:w="580" w:type="dxa"/>
            <w:shd w:val="clear" w:color="auto" w:fill="auto"/>
            <w:vAlign w:val="center"/>
          </w:tcPr>
          <w:p w14:paraId="548D8C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34F817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50BAA02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3F2824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336</w:t>
            </w:r>
          </w:p>
        </w:tc>
        <w:tc>
          <w:tcPr>
            <w:tcW w:w="650" w:type="dxa"/>
            <w:shd w:val="clear" w:color="auto" w:fill="auto"/>
            <w:noWrap/>
            <w:vAlign w:val="center"/>
          </w:tcPr>
          <w:p w14:paraId="7992AD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B96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jc w:val="center"/>
        </w:trPr>
        <w:tc>
          <w:tcPr>
            <w:tcW w:w="654" w:type="dxa"/>
            <w:shd w:val="clear" w:color="auto" w:fill="auto"/>
            <w:noWrap/>
            <w:vAlign w:val="center"/>
          </w:tcPr>
          <w:p w14:paraId="3D5FA0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7E4FEB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闭门器</w:t>
            </w:r>
          </w:p>
        </w:tc>
        <w:tc>
          <w:tcPr>
            <w:tcW w:w="4913" w:type="dxa"/>
            <w:shd w:val="clear" w:color="auto" w:fill="auto"/>
            <w:vAlign w:val="center"/>
          </w:tcPr>
          <w:p w14:paraId="64732E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最大门宽1150mm最大门重80kg</w:t>
            </w:r>
          </w:p>
        </w:tc>
        <w:tc>
          <w:tcPr>
            <w:tcW w:w="580" w:type="dxa"/>
            <w:shd w:val="clear" w:color="auto" w:fill="auto"/>
            <w:vAlign w:val="center"/>
          </w:tcPr>
          <w:p w14:paraId="19AC6A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53DF72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2257D7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145</w:t>
            </w:r>
          </w:p>
        </w:tc>
        <w:tc>
          <w:tcPr>
            <w:tcW w:w="1025" w:type="dxa"/>
            <w:shd w:val="clear" w:color="auto" w:fill="auto"/>
            <w:noWrap/>
            <w:vAlign w:val="center"/>
          </w:tcPr>
          <w:p w14:paraId="0FADC6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435</w:t>
            </w:r>
          </w:p>
        </w:tc>
        <w:tc>
          <w:tcPr>
            <w:tcW w:w="650" w:type="dxa"/>
            <w:shd w:val="clear" w:color="auto" w:fill="auto"/>
            <w:noWrap/>
            <w:vAlign w:val="center"/>
          </w:tcPr>
          <w:p w14:paraId="6BA43A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A79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20A1C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7ECEC2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单头静音锁</w:t>
            </w:r>
          </w:p>
        </w:tc>
        <w:tc>
          <w:tcPr>
            <w:tcW w:w="4913" w:type="dxa"/>
            <w:shd w:val="clear" w:color="auto" w:fill="auto"/>
            <w:vAlign w:val="top"/>
          </w:tcPr>
          <w:p w14:paraId="61A256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表面工艺：镀镍；</w:t>
            </w:r>
            <w:r>
              <w:rPr>
                <w:rFonts w:hint="eastAsia"/>
                <w:sz w:val="21"/>
                <w:szCs w:val="21"/>
                <w:lang w:val="en-US" w:eastAsia="zh-CN"/>
              </w:rPr>
              <w:br w:type="textWrapping"/>
            </w:r>
            <w:r>
              <w:rPr>
                <w:rFonts w:hint="eastAsia"/>
                <w:sz w:val="21"/>
                <w:szCs w:val="21"/>
                <w:lang w:val="en-US" w:eastAsia="zh-CN"/>
              </w:rPr>
              <w:t>钥头数量：单头；</w:t>
            </w:r>
            <w:r>
              <w:rPr>
                <w:rFonts w:hint="eastAsia"/>
                <w:sz w:val="21"/>
                <w:szCs w:val="21"/>
                <w:lang w:val="en-US" w:eastAsia="zh-CN"/>
              </w:rPr>
              <w:br w:type="textWrapping"/>
            </w:r>
            <w:r>
              <w:rPr>
                <w:rFonts w:hint="eastAsia"/>
                <w:sz w:val="21"/>
                <w:szCs w:val="21"/>
                <w:lang w:val="en-US" w:eastAsia="zh-CN"/>
              </w:rPr>
              <w:t>锁舌长度：22mm；</w:t>
            </w:r>
            <w:r>
              <w:rPr>
                <w:rFonts w:hint="eastAsia"/>
                <w:sz w:val="21"/>
                <w:szCs w:val="21"/>
                <w:lang w:val="en-US" w:eastAsia="zh-CN"/>
              </w:rPr>
              <w:br w:type="textWrapping"/>
            </w:r>
            <w:r>
              <w:rPr>
                <w:rFonts w:hint="eastAsia"/>
                <w:sz w:val="21"/>
                <w:szCs w:val="21"/>
                <w:lang w:val="en-US" w:eastAsia="zh-CN"/>
              </w:rPr>
              <w:t>适用门型：木门\金属门\防火门等；</w:t>
            </w:r>
            <w:r>
              <w:rPr>
                <w:rFonts w:hint="eastAsia"/>
                <w:sz w:val="21"/>
                <w:szCs w:val="21"/>
                <w:lang w:val="en-US" w:eastAsia="zh-CN"/>
              </w:rPr>
              <w:br w:type="textWrapping"/>
            </w:r>
            <w:r>
              <w:rPr>
                <w:rFonts w:hint="eastAsia"/>
                <w:sz w:val="21"/>
                <w:szCs w:val="21"/>
                <w:lang w:val="en-US" w:eastAsia="zh-CN"/>
              </w:rPr>
              <w:t>信号输出：COM/NO/NC</w:t>
            </w:r>
          </w:p>
        </w:tc>
        <w:tc>
          <w:tcPr>
            <w:tcW w:w="580" w:type="dxa"/>
            <w:shd w:val="clear" w:color="auto" w:fill="auto"/>
            <w:vAlign w:val="center"/>
          </w:tcPr>
          <w:p w14:paraId="6A3A8C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15CDEC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把</w:t>
            </w:r>
          </w:p>
        </w:tc>
        <w:tc>
          <w:tcPr>
            <w:tcW w:w="987" w:type="dxa"/>
            <w:shd w:val="clear" w:color="auto" w:fill="auto"/>
            <w:noWrap/>
            <w:vAlign w:val="center"/>
          </w:tcPr>
          <w:p w14:paraId="210B16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244</w:t>
            </w:r>
          </w:p>
        </w:tc>
        <w:tc>
          <w:tcPr>
            <w:tcW w:w="1025" w:type="dxa"/>
            <w:shd w:val="clear" w:color="auto" w:fill="auto"/>
            <w:noWrap/>
            <w:vAlign w:val="center"/>
          </w:tcPr>
          <w:p w14:paraId="41AAD4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732</w:t>
            </w:r>
          </w:p>
        </w:tc>
        <w:tc>
          <w:tcPr>
            <w:tcW w:w="650" w:type="dxa"/>
            <w:shd w:val="clear" w:color="auto" w:fill="auto"/>
            <w:noWrap/>
            <w:vAlign w:val="center"/>
          </w:tcPr>
          <w:p w14:paraId="60DD21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751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5" w:hRule="atLeast"/>
          <w:jc w:val="center"/>
        </w:trPr>
        <w:tc>
          <w:tcPr>
            <w:tcW w:w="654" w:type="dxa"/>
            <w:shd w:val="clear" w:color="auto" w:fill="auto"/>
            <w:noWrap/>
            <w:vAlign w:val="center"/>
          </w:tcPr>
          <w:p w14:paraId="2DBE11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2109E3A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交换机</w:t>
            </w:r>
          </w:p>
        </w:tc>
        <w:tc>
          <w:tcPr>
            <w:tcW w:w="4913" w:type="dxa"/>
            <w:shd w:val="clear" w:color="auto" w:fill="auto"/>
            <w:vAlign w:val="top"/>
          </w:tcPr>
          <w:p w14:paraId="143844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二层非管理交换机；</w:t>
            </w:r>
            <w:r>
              <w:rPr>
                <w:rFonts w:hint="eastAsia"/>
                <w:sz w:val="21"/>
                <w:szCs w:val="21"/>
                <w:lang w:val="en-US" w:eastAsia="zh-CN"/>
              </w:rPr>
              <w:br w:type="textWrapping"/>
            </w:r>
            <w:r>
              <w:rPr>
                <w:rFonts w:hint="eastAsia"/>
                <w:sz w:val="21"/>
                <w:szCs w:val="21"/>
                <w:lang w:val="en-US" w:eastAsia="zh-CN"/>
              </w:rPr>
              <w:t>交换容量：10Gbps；包转发率：7.44Mpps；</w:t>
            </w:r>
            <w:r>
              <w:rPr>
                <w:rFonts w:hint="eastAsia"/>
                <w:sz w:val="21"/>
                <w:szCs w:val="21"/>
                <w:lang w:val="en-US" w:eastAsia="zh-CN"/>
              </w:rPr>
              <w:br w:type="textWrapping"/>
            </w:r>
            <w:r>
              <w:rPr>
                <w:rFonts w:hint="eastAsia"/>
                <w:sz w:val="21"/>
                <w:szCs w:val="21"/>
                <w:lang w:val="en-US" w:eastAsia="zh-CN"/>
              </w:rPr>
              <w:t>5个RJ45 10M/100M/1000M；</w:t>
            </w:r>
            <w:r>
              <w:rPr>
                <w:rFonts w:hint="eastAsia"/>
                <w:sz w:val="21"/>
                <w:szCs w:val="21"/>
                <w:lang w:val="en-US" w:eastAsia="zh-CN"/>
              </w:rPr>
              <w:br w:type="textWrapping"/>
            </w:r>
            <w:r>
              <w:rPr>
                <w:rFonts w:hint="eastAsia"/>
                <w:sz w:val="21"/>
                <w:szCs w:val="21"/>
                <w:lang w:val="en-US" w:eastAsia="zh-CN"/>
              </w:rPr>
              <w:t>工作温度：0℃～+45℃；</w:t>
            </w:r>
            <w:r>
              <w:rPr>
                <w:rFonts w:hint="eastAsia"/>
                <w:sz w:val="21"/>
                <w:szCs w:val="21"/>
                <w:lang w:val="en-US" w:eastAsia="zh-CN"/>
              </w:rPr>
              <w:br w:type="textWrapping"/>
            </w:r>
            <w:r>
              <w:rPr>
                <w:rFonts w:hint="eastAsia"/>
                <w:sz w:val="21"/>
                <w:szCs w:val="21"/>
                <w:lang w:val="en-US" w:eastAsia="zh-CN"/>
              </w:rPr>
              <w:t>全金属设计，散热性能好</w:t>
            </w:r>
          </w:p>
        </w:tc>
        <w:tc>
          <w:tcPr>
            <w:tcW w:w="580" w:type="dxa"/>
            <w:shd w:val="clear" w:color="auto" w:fill="auto"/>
            <w:vAlign w:val="center"/>
          </w:tcPr>
          <w:p w14:paraId="255177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9F40C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39275B2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265BC3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650" w:type="dxa"/>
            <w:shd w:val="clear" w:color="auto" w:fill="auto"/>
            <w:noWrap/>
            <w:vAlign w:val="center"/>
          </w:tcPr>
          <w:p w14:paraId="4F41C2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493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E7D88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6DDDDD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安装调试及服务</w:t>
            </w:r>
          </w:p>
        </w:tc>
        <w:tc>
          <w:tcPr>
            <w:tcW w:w="4913" w:type="dxa"/>
            <w:shd w:val="clear" w:color="auto" w:fill="auto"/>
            <w:vAlign w:val="center"/>
          </w:tcPr>
          <w:p w14:paraId="53B183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负责对应设备安装、综合布线施工（含辅材）及调测开通。</w:t>
            </w:r>
          </w:p>
        </w:tc>
        <w:tc>
          <w:tcPr>
            <w:tcW w:w="580" w:type="dxa"/>
            <w:shd w:val="clear" w:color="auto" w:fill="auto"/>
            <w:vAlign w:val="center"/>
          </w:tcPr>
          <w:p w14:paraId="62612E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2E45B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39EA95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3200</w:t>
            </w:r>
          </w:p>
        </w:tc>
        <w:tc>
          <w:tcPr>
            <w:tcW w:w="1025" w:type="dxa"/>
            <w:shd w:val="clear" w:color="auto" w:fill="auto"/>
            <w:noWrap/>
            <w:vAlign w:val="center"/>
          </w:tcPr>
          <w:p w14:paraId="2FDB9C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3200</w:t>
            </w:r>
          </w:p>
        </w:tc>
        <w:tc>
          <w:tcPr>
            <w:tcW w:w="650" w:type="dxa"/>
            <w:shd w:val="clear" w:color="auto" w:fill="auto"/>
            <w:noWrap/>
            <w:vAlign w:val="center"/>
          </w:tcPr>
          <w:p w14:paraId="57C93B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4DC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4" w:hRule="atLeast"/>
          <w:jc w:val="center"/>
        </w:trPr>
        <w:tc>
          <w:tcPr>
            <w:tcW w:w="654" w:type="dxa"/>
            <w:shd w:val="clear" w:color="auto" w:fill="auto"/>
            <w:noWrap/>
            <w:vAlign w:val="center"/>
          </w:tcPr>
          <w:p w14:paraId="351E22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5D9FF9B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66FB3A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2B0C90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5F7B16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noWrap/>
            <w:vAlign w:val="center"/>
          </w:tcPr>
          <w:p w14:paraId="267C346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noWrap/>
            <w:vAlign w:val="center"/>
          </w:tcPr>
          <w:p w14:paraId="32C4D6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8631</w:t>
            </w:r>
          </w:p>
        </w:tc>
        <w:tc>
          <w:tcPr>
            <w:tcW w:w="650" w:type="dxa"/>
            <w:shd w:val="clear" w:color="auto" w:fill="auto"/>
            <w:noWrap/>
            <w:vAlign w:val="center"/>
          </w:tcPr>
          <w:p w14:paraId="24F3E83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869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jc w:val="center"/>
        </w:trPr>
        <w:tc>
          <w:tcPr>
            <w:tcW w:w="10470" w:type="dxa"/>
            <w:gridSpan w:val="8"/>
            <w:shd w:val="clear" w:color="auto" w:fill="auto"/>
            <w:vAlign w:val="center"/>
          </w:tcPr>
          <w:p w14:paraId="27DB70F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w:t>十二、互联网接入及AI检测</w:t>
            </w:r>
          </w:p>
        </w:tc>
      </w:tr>
      <w:tr w14:paraId="7783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6C1011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3BFA05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光纤网络接入服务</w:t>
            </w:r>
          </w:p>
        </w:tc>
        <w:tc>
          <w:tcPr>
            <w:tcW w:w="4913" w:type="dxa"/>
            <w:shd w:val="clear" w:color="auto" w:fill="auto"/>
            <w:vAlign w:val="center"/>
          </w:tcPr>
          <w:p w14:paraId="4EEBB7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1000M光纤网络接入服务，服务期1年。</w:t>
            </w:r>
          </w:p>
        </w:tc>
        <w:tc>
          <w:tcPr>
            <w:tcW w:w="580" w:type="dxa"/>
            <w:shd w:val="clear" w:color="auto" w:fill="auto"/>
            <w:vAlign w:val="center"/>
          </w:tcPr>
          <w:p w14:paraId="1FD7B31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11BAC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条</w:t>
            </w:r>
          </w:p>
        </w:tc>
        <w:tc>
          <w:tcPr>
            <w:tcW w:w="987" w:type="dxa"/>
            <w:shd w:val="clear" w:color="auto" w:fill="auto"/>
            <w:vAlign w:val="center"/>
          </w:tcPr>
          <w:p w14:paraId="585F35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1440</w:t>
            </w:r>
          </w:p>
        </w:tc>
        <w:tc>
          <w:tcPr>
            <w:tcW w:w="1025" w:type="dxa"/>
            <w:shd w:val="clear" w:color="auto" w:fill="auto"/>
            <w:vAlign w:val="center"/>
          </w:tcPr>
          <w:p w14:paraId="6D17F8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1440</w:t>
            </w:r>
          </w:p>
        </w:tc>
        <w:tc>
          <w:tcPr>
            <w:tcW w:w="650" w:type="dxa"/>
            <w:shd w:val="clear" w:color="auto" w:fill="auto"/>
            <w:vAlign w:val="center"/>
          </w:tcPr>
          <w:p w14:paraId="066B96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AA0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vMerge w:val="restart"/>
            <w:shd w:val="clear" w:color="auto" w:fill="auto"/>
            <w:vAlign w:val="center"/>
          </w:tcPr>
          <w:p w14:paraId="31183A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w:t>
            </w:r>
          </w:p>
          <w:p w14:paraId="00F4471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restart"/>
            <w:shd w:val="clear" w:color="auto" w:fill="auto"/>
            <w:vAlign w:val="center"/>
          </w:tcPr>
          <w:p w14:paraId="4E4C5B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AI检测服务</w:t>
            </w:r>
          </w:p>
        </w:tc>
        <w:tc>
          <w:tcPr>
            <w:tcW w:w="4913" w:type="dxa"/>
            <w:shd w:val="clear" w:color="auto" w:fill="auto"/>
            <w:vAlign w:val="center"/>
          </w:tcPr>
          <w:p w14:paraId="38BE7D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1、400万像素枪机摄像头。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3、AI算法：工服检测（检测指定区域内人员未穿指定工服则上报）。</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7F2F939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700" w:type="dxa"/>
            <w:shd w:val="clear" w:color="auto" w:fill="auto"/>
            <w:vAlign w:val="center"/>
          </w:tcPr>
          <w:p w14:paraId="246242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309B781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1025" w:type="dxa"/>
            <w:shd w:val="clear" w:color="auto" w:fill="auto"/>
            <w:vAlign w:val="center"/>
          </w:tcPr>
          <w:p w14:paraId="544AB1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8400</w:t>
            </w:r>
          </w:p>
        </w:tc>
        <w:tc>
          <w:tcPr>
            <w:tcW w:w="650" w:type="dxa"/>
            <w:shd w:val="clear" w:color="auto" w:fill="auto"/>
            <w:vAlign w:val="center"/>
          </w:tcPr>
          <w:p w14:paraId="3D44DDD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1D5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vMerge w:val="continue"/>
            <w:shd w:val="clear" w:color="auto" w:fill="auto"/>
            <w:vAlign w:val="center"/>
          </w:tcPr>
          <w:p w14:paraId="350663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continue"/>
            <w:shd w:val="clear" w:color="auto" w:fill="auto"/>
            <w:vAlign w:val="center"/>
          </w:tcPr>
          <w:p w14:paraId="5CC22D1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4913" w:type="dxa"/>
            <w:shd w:val="clear" w:color="auto" w:fill="auto"/>
            <w:vAlign w:val="center"/>
          </w:tcPr>
          <w:p w14:paraId="3A4D02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1、400万像素枪机摄像头。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3、AI算法：人脸识别（将监控画面中的人脸与人脸库比对，黑名单/白名单上报）。</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793212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54823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3EBC83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1025" w:type="dxa"/>
            <w:shd w:val="clear" w:color="auto" w:fill="auto"/>
            <w:vAlign w:val="center"/>
          </w:tcPr>
          <w:p w14:paraId="411312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650" w:type="dxa"/>
            <w:shd w:val="clear" w:color="auto" w:fill="auto"/>
            <w:vAlign w:val="center"/>
          </w:tcPr>
          <w:p w14:paraId="309845C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666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vMerge w:val="continue"/>
            <w:shd w:val="clear" w:color="auto" w:fill="auto"/>
            <w:vAlign w:val="center"/>
          </w:tcPr>
          <w:p w14:paraId="2520C1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continue"/>
            <w:shd w:val="clear" w:color="auto" w:fill="auto"/>
            <w:vAlign w:val="center"/>
          </w:tcPr>
          <w:p w14:paraId="123007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4913" w:type="dxa"/>
            <w:shd w:val="clear" w:color="auto" w:fill="auto"/>
            <w:vAlign w:val="center"/>
          </w:tcPr>
          <w:p w14:paraId="0D751B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1、400万像素枪机摄像头。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3、AI算法：人流统计（统计画面指定区域内人流量）。</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40616C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C2B843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6981BE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1025" w:type="dxa"/>
            <w:shd w:val="clear" w:color="auto" w:fill="auto"/>
            <w:vAlign w:val="center"/>
          </w:tcPr>
          <w:p w14:paraId="573BFB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650" w:type="dxa"/>
            <w:shd w:val="clear" w:color="auto" w:fill="auto"/>
            <w:vAlign w:val="center"/>
          </w:tcPr>
          <w:p w14:paraId="7F1365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80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vMerge w:val="continue"/>
            <w:shd w:val="clear" w:color="auto" w:fill="auto"/>
            <w:vAlign w:val="center"/>
          </w:tcPr>
          <w:p w14:paraId="208307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continue"/>
            <w:shd w:val="clear" w:color="auto" w:fill="auto"/>
            <w:vAlign w:val="center"/>
          </w:tcPr>
          <w:p w14:paraId="07A29F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4913" w:type="dxa"/>
            <w:shd w:val="clear" w:color="auto" w:fill="auto"/>
            <w:vAlign w:val="center"/>
          </w:tcPr>
          <w:p w14:paraId="2429C0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1、400万像素球机摄像头。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3、AI算法：烟火检测（检测指定区域内出现烟雾/明火则上报）。</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72AF2C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AB55C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0E0F31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1250</w:t>
            </w:r>
          </w:p>
        </w:tc>
        <w:tc>
          <w:tcPr>
            <w:tcW w:w="1025" w:type="dxa"/>
            <w:shd w:val="clear" w:color="auto" w:fill="auto"/>
            <w:vAlign w:val="center"/>
          </w:tcPr>
          <w:p w14:paraId="0B8D7A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1250</w:t>
            </w:r>
          </w:p>
        </w:tc>
        <w:tc>
          <w:tcPr>
            <w:tcW w:w="650" w:type="dxa"/>
            <w:shd w:val="clear" w:color="auto" w:fill="auto"/>
            <w:vAlign w:val="center"/>
          </w:tcPr>
          <w:p w14:paraId="0894CD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1E3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0BDAD0F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7F6E690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安装调试及服务</w:t>
            </w:r>
          </w:p>
        </w:tc>
        <w:tc>
          <w:tcPr>
            <w:tcW w:w="4913" w:type="dxa"/>
            <w:shd w:val="clear" w:color="auto" w:fill="auto"/>
            <w:vAlign w:val="center"/>
          </w:tcPr>
          <w:p w14:paraId="3C8C7C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负责对应设备安装、综合布线施工（含网线及辅材）及调测开通。</w:t>
            </w:r>
          </w:p>
        </w:tc>
        <w:tc>
          <w:tcPr>
            <w:tcW w:w="580" w:type="dxa"/>
            <w:shd w:val="clear" w:color="auto" w:fill="auto"/>
            <w:vAlign w:val="center"/>
          </w:tcPr>
          <w:p w14:paraId="421187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1698CC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vAlign w:val="center"/>
          </w:tcPr>
          <w:p w14:paraId="08D8A8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1025" w:type="dxa"/>
            <w:shd w:val="clear" w:color="auto" w:fill="auto"/>
            <w:vAlign w:val="center"/>
          </w:tcPr>
          <w:p w14:paraId="6E74CE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650" w:type="dxa"/>
            <w:shd w:val="clear" w:color="auto" w:fill="auto"/>
            <w:vAlign w:val="center"/>
          </w:tcPr>
          <w:p w14:paraId="554339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015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7" w:hRule="atLeast"/>
          <w:jc w:val="center"/>
        </w:trPr>
        <w:tc>
          <w:tcPr>
            <w:tcW w:w="654" w:type="dxa"/>
            <w:shd w:val="clear" w:color="auto" w:fill="auto"/>
            <w:vAlign w:val="center"/>
          </w:tcPr>
          <w:p w14:paraId="5C0F68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3086736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44C275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1D9F21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52A1B0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3143262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vAlign w:val="center"/>
          </w:tcPr>
          <w:p w14:paraId="017C25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17490</w:t>
            </w:r>
          </w:p>
        </w:tc>
        <w:tc>
          <w:tcPr>
            <w:tcW w:w="650" w:type="dxa"/>
            <w:shd w:val="clear" w:color="auto" w:fill="auto"/>
            <w:vAlign w:val="center"/>
          </w:tcPr>
          <w:p w14:paraId="02A074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EA1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2" w:hRule="atLeast"/>
          <w:jc w:val="center"/>
        </w:trPr>
        <w:tc>
          <w:tcPr>
            <w:tcW w:w="10470" w:type="dxa"/>
            <w:gridSpan w:val="8"/>
            <w:shd w:val="clear" w:color="auto" w:fill="auto"/>
            <w:vAlign w:val="center"/>
          </w:tcPr>
          <w:p w14:paraId="183A19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w:t>十三、展厅智慧互动系统</w:t>
            </w:r>
          </w:p>
        </w:tc>
      </w:tr>
      <w:tr w14:paraId="647A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35CCFD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42B00E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AI数字人系统</w:t>
            </w:r>
          </w:p>
        </w:tc>
        <w:tc>
          <w:tcPr>
            <w:tcW w:w="4913" w:type="dxa"/>
            <w:shd w:val="clear" w:color="auto" w:fill="auto"/>
            <w:vAlign w:val="center"/>
          </w:tcPr>
          <w:p w14:paraId="7EDB1B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一、单角色AIGC数字人智能交互系统</w:t>
            </w:r>
            <w:r>
              <w:rPr>
                <w:rFonts w:hint="eastAsia"/>
                <w:sz w:val="21"/>
                <w:szCs w:val="21"/>
                <w:lang w:val="en-US" w:eastAsia="zh-CN"/>
              </w:rPr>
              <w:br w:type="textWrapping"/>
            </w:r>
            <w:r>
              <w:rPr>
                <w:rFonts w:hint="eastAsia"/>
                <w:sz w:val="21"/>
                <w:szCs w:val="21"/>
                <w:lang w:val="en-US" w:eastAsia="zh-CN"/>
              </w:rPr>
              <w:t>（一）AIGC生成式数字人</w:t>
            </w:r>
            <w:r>
              <w:rPr>
                <w:rFonts w:hint="eastAsia"/>
                <w:sz w:val="21"/>
                <w:szCs w:val="21"/>
                <w:lang w:val="en-US" w:eastAsia="zh-CN"/>
              </w:rPr>
              <w:br w:type="textWrapping"/>
            </w:r>
            <w:r>
              <w:rPr>
                <w:rFonts w:hint="eastAsia"/>
                <w:sz w:val="21"/>
                <w:szCs w:val="21"/>
                <w:lang w:val="en-US" w:eastAsia="zh-CN"/>
              </w:rPr>
              <w:t>1.1.支持通过生成式AI工具进行生成数字人角色（包含卡通、二次元、写实等风格）</w:t>
            </w:r>
            <w:r>
              <w:rPr>
                <w:rFonts w:hint="eastAsia"/>
                <w:sz w:val="21"/>
                <w:szCs w:val="21"/>
                <w:lang w:val="en-US" w:eastAsia="zh-CN"/>
              </w:rPr>
              <w:br w:type="textWrapping"/>
            </w:r>
            <w:r>
              <w:rPr>
                <w:rFonts w:hint="eastAsia"/>
                <w:sz w:val="21"/>
                <w:szCs w:val="21"/>
                <w:lang w:val="en-US" w:eastAsia="zh-CN"/>
              </w:rPr>
              <w:t>1.2.支持生成数字人角儿动作视频进行上传，包括初始动作、待机动作、思考动作以及回答介绍动作视频上传。</w:t>
            </w:r>
            <w:r>
              <w:rPr>
                <w:rFonts w:hint="eastAsia"/>
                <w:sz w:val="21"/>
                <w:szCs w:val="21"/>
                <w:lang w:val="en-US" w:eastAsia="zh-CN"/>
              </w:rPr>
              <w:br w:type="textWrapping"/>
            </w:r>
            <w:r>
              <w:rPr>
                <w:rFonts w:hint="eastAsia"/>
                <w:sz w:val="21"/>
                <w:szCs w:val="21"/>
                <w:lang w:val="en-US" w:eastAsia="zh-CN"/>
              </w:rPr>
              <w:t>（二）问答库与大模型设置模块</w:t>
            </w:r>
            <w:r>
              <w:rPr>
                <w:rFonts w:hint="eastAsia"/>
                <w:sz w:val="21"/>
                <w:szCs w:val="21"/>
                <w:lang w:val="en-US" w:eastAsia="zh-CN"/>
              </w:rPr>
              <w:br w:type="textWrapping"/>
            </w:r>
            <w:r>
              <w:rPr>
                <w:rFonts w:hint="eastAsia"/>
                <w:sz w:val="21"/>
                <w:szCs w:val="21"/>
                <w:lang w:val="en-US" w:eastAsia="zh-CN"/>
              </w:rPr>
              <w:t>1.1.支持问答库定制，可编辑问答库，条数无限制，问答缓存后交互时间≤3s。</w:t>
            </w:r>
            <w:r>
              <w:rPr>
                <w:rFonts w:hint="eastAsia"/>
                <w:sz w:val="21"/>
                <w:szCs w:val="21"/>
                <w:lang w:val="en-US" w:eastAsia="zh-CN"/>
              </w:rPr>
              <w:br w:type="textWrapping"/>
            </w:r>
            <w:r>
              <w:rPr>
                <w:rFonts w:hint="eastAsia"/>
                <w:sz w:val="21"/>
                <w:szCs w:val="21"/>
                <w:lang w:val="en-US" w:eastAsia="zh-CN"/>
              </w:rPr>
              <w:t>1.2.支持大模型定制化、多并发、敏感词屏蔽、公有云、私有云和本地部署。</w:t>
            </w:r>
            <w:r>
              <w:rPr>
                <w:rFonts w:hint="eastAsia"/>
                <w:sz w:val="21"/>
                <w:szCs w:val="21"/>
                <w:lang w:val="en-US" w:eastAsia="zh-CN"/>
              </w:rPr>
              <w:br w:type="textWrapping"/>
            </w:r>
            <w:r>
              <w:rPr>
                <w:rFonts w:hint="eastAsia"/>
                <w:sz w:val="21"/>
                <w:szCs w:val="21"/>
                <w:lang w:val="en-US" w:eastAsia="zh-CN"/>
              </w:rPr>
              <w:t>1.3.大模型接口开放，支持国内外大模型接入，阿里百炼，deepseek，扣子智能体，讯飞星火，智谱AI，ChatO，文心一言，腾讯元宝等</w:t>
            </w:r>
            <w:r>
              <w:rPr>
                <w:rFonts w:hint="eastAsia"/>
                <w:sz w:val="21"/>
                <w:szCs w:val="21"/>
                <w:lang w:val="en-US" w:eastAsia="zh-CN"/>
              </w:rPr>
              <w:br w:type="textWrapping"/>
            </w:r>
            <w:r>
              <w:rPr>
                <w:rFonts w:hint="eastAsia"/>
                <w:sz w:val="21"/>
                <w:szCs w:val="21"/>
                <w:lang w:val="en-US" w:eastAsia="zh-CN"/>
              </w:rPr>
              <w:t xml:space="preserve"> 1.4.▲支持大模型训练，可上传文本，表格，图片，ppt/pdf，网页链接，公众号等训练方式，一键训练匹配多模板应用。</w:t>
            </w:r>
            <w:r>
              <w:rPr>
                <w:rFonts w:hint="eastAsia"/>
                <w:sz w:val="21"/>
                <w:szCs w:val="21"/>
                <w:lang w:val="en-US" w:eastAsia="zh-CN"/>
              </w:rPr>
              <w:br w:type="textWrapping"/>
            </w:r>
            <w:r>
              <w:rPr>
                <w:rFonts w:hint="eastAsia"/>
                <w:sz w:val="21"/>
                <w:szCs w:val="21"/>
                <w:lang w:val="en-US" w:eastAsia="zh-CN"/>
              </w:rPr>
              <w:t>1.5.支持大模型微调，如回复字数限制，文档相关性，回复相关性</w:t>
            </w:r>
            <w:r>
              <w:rPr>
                <w:rFonts w:hint="eastAsia"/>
                <w:sz w:val="21"/>
                <w:szCs w:val="21"/>
                <w:lang w:val="en-US" w:eastAsia="zh-CN"/>
              </w:rPr>
              <w:br w:type="textWrapping"/>
            </w:r>
            <w:r>
              <w:rPr>
                <w:rFonts w:hint="eastAsia"/>
                <w:sz w:val="21"/>
                <w:szCs w:val="21"/>
                <w:lang w:val="en-US" w:eastAsia="zh-CN"/>
              </w:rPr>
              <w:t>1.6.支持人物角色自主设定，如助理人设，公司前台，导航助手，企业虚拟代言人等</w:t>
            </w:r>
            <w:r>
              <w:rPr>
                <w:rFonts w:hint="eastAsia"/>
                <w:sz w:val="21"/>
                <w:szCs w:val="21"/>
                <w:lang w:val="en-US" w:eastAsia="zh-CN"/>
              </w:rPr>
              <w:br w:type="textWrapping"/>
            </w:r>
            <w:r>
              <w:rPr>
                <w:rFonts w:hint="eastAsia"/>
                <w:sz w:val="21"/>
                <w:szCs w:val="21"/>
                <w:lang w:val="en-US" w:eastAsia="zh-CN"/>
              </w:rPr>
              <w:t>1.7.支持问答交互时显示图片视频内容</w:t>
            </w:r>
            <w:r>
              <w:rPr>
                <w:rFonts w:hint="eastAsia"/>
                <w:sz w:val="21"/>
                <w:szCs w:val="21"/>
                <w:lang w:val="en-US" w:eastAsia="zh-CN"/>
              </w:rPr>
              <w:br w:type="textWrapping"/>
            </w:r>
            <w:r>
              <w:rPr>
                <w:rFonts w:hint="eastAsia"/>
                <w:sz w:val="21"/>
                <w:szCs w:val="21"/>
                <w:lang w:val="en-US" w:eastAsia="zh-CN"/>
              </w:rPr>
              <w:t>（三）交互指令配置模块</w:t>
            </w:r>
            <w:r>
              <w:rPr>
                <w:rFonts w:hint="eastAsia"/>
                <w:sz w:val="21"/>
                <w:szCs w:val="21"/>
                <w:lang w:val="en-US" w:eastAsia="zh-CN"/>
              </w:rPr>
              <w:br w:type="textWrapping"/>
            </w:r>
            <w:r>
              <w:rPr>
                <w:rFonts w:hint="eastAsia"/>
                <w:sz w:val="21"/>
                <w:szCs w:val="21"/>
                <w:lang w:val="en-US" w:eastAsia="zh-CN"/>
              </w:rPr>
              <w:t xml:space="preserve"> 1.1.▲支持主动接待模式，走到机器面前自动识别进行交互无需唤醒数字人</w:t>
            </w:r>
            <w:r>
              <w:rPr>
                <w:rFonts w:hint="eastAsia"/>
                <w:sz w:val="21"/>
                <w:szCs w:val="21"/>
                <w:lang w:val="en-US" w:eastAsia="zh-CN"/>
              </w:rPr>
              <w:br w:type="textWrapping"/>
            </w:r>
            <w:r>
              <w:rPr>
                <w:rFonts w:hint="eastAsia"/>
                <w:sz w:val="21"/>
                <w:szCs w:val="21"/>
                <w:lang w:val="en-US" w:eastAsia="zh-CN"/>
              </w:rPr>
              <w:t>1.2.支持设置唤醒指令，唤醒动作，唤醒话术，待机指令，自动待机时间。</w:t>
            </w:r>
            <w:r>
              <w:rPr>
                <w:rFonts w:hint="eastAsia"/>
                <w:sz w:val="21"/>
                <w:szCs w:val="21"/>
                <w:lang w:val="en-US" w:eastAsia="zh-CN"/>
              </w:rPr>
              <w:br w:type="textWrapping"/>
            </w:r>
            <w:r>
              <w:rPr>
                <w:rFonts w:hint="eastAsia"/>
                <w:sz w:val="21"/>
                <w:szCs w:val="21"/>
                <w:lang w:val="en-US" w:eastAsia="zh-CN"/>
              </w:rPr>
              <w:t>1.3.换装设置，支持设置多套服装模板，通过指令进行服装切换。</w:t>
            </w:r>
            <w:r>
              <w:rPr>
                <w:rFonts w:hint="eastAsia"/>
                <w:sz w:val="21"/>
                <w:szCs w:val="21"/>
                <w:lang w:val="en-US" w:eastAsia="zh-CN"/>
              </w:rPr>
              <w:br w:type="textWrapping"/>
            </w:r>
            <w:r>
              <w:rPr>
                <w:rFonts w:hint="eastAsia"/>
                <w:sz w:val="21"/>
                <w:szCs w:val="21"/>
                <w:lang w:val="en-US" w:eastAsia="zh-CN"/>
              </w:rPr>
              <w:t>1.4.待机文案配置，可支持待机时播报文案，待机播报时显示图片及视频内容，支持对视频内容进行讲解。可编辑多个待机文案组，顺序或随机播放</w:t>
            </w:r>
            <w:r>
              <w:rPr>
                <w:rFonts w:hint="eastAsia"/>
                <w:sz w:val="21"/>
                <w:szCs w:val="21"/>
                <w:lang w:val="en-US" w:eastAsia="zh-CN"/>
              </w:rPr>
              <w:br w:type="textWrapping"/>
            </w:r>
            <w:r>
              <w:rPr>
                <w:rFonts w:hint="eastAsia"/>
                <w:sz w:val="21"/>
                <w:szCs w:val="21"/>
                <w:lang w:val="en-US" w:eastAsia="zh-CN"/>
              </w:rPr>
              <w:t>1.5.动作库设置，支持动作自由编辑，可配置数字人待机，回复，思考，空闲等状态时动作组，动作组支持随机，顺序等播放模式。</w:t>
            </w:r>
            <w:r>
              <w:rPr>
                <w:rFonts w:hint="eastAsia"/>
                <w:sz w:val="21"/>
                <w:szCs w:val="21"/>
                <w:lang w:val="en-US" w:eastAsia="zh-CN"/>
              </w:rPr>
              <w:br w:type="textWrapping"/>
            </w:r>
            <w:r>
              <w:rPr>
                <w:rFonts w:hint="eastAsia"/>
                <w:sz w:val="21"/>
                <w:szCs w:val="21"/>
                <w:lang w:val="en-US" w:eastAsia="zh-CN"/>
              </w:rPr>
              <w:t xml:space="preserve"> 1.6.▲支持实时打断功能，无需打断词，如：数字人回复时可直接问下一个问题，无需说打断词，也可交互</w:t>
            </w:r>
            <w:r>
              <w:rPr>
                <w:rFonts w:hint="eastAsia"/>
                <w:sz w:val="21"/>
                <w:szCs w:val="21"/>
                <w:lang w:val="en-US" w:eastAsia="zh-CN"/>
              </w:rPr>
              <w:br w:type="textWrapping"/>
            </w:r>
            <w:r>
              <w:rPr>
                <w:rFonts w:hint="eastAsia"/>
                <w:sz w:val="21"/>
                <w:szCs w:val="21"/>
                <w:lang w:val="en-US" w:eastAsia="zh-CN"/>
              </w:rPr>
              <w:t>（四）点击交互功能配置</w:t>
            </w:r>
            <w:r>
              <w:rPr>
                <w:rFonts w:hint="eastAsia"/>
                <w:sz w:val="21"/>
                <w:szCs w:val="21"/>
                <w:lang w:val="en-US" w:eastAsia="zh-CN"/>
              </w:rPr>
              <w:br w:type="textWrapping"/>
            </w:r>
            <w:r>
              <w:rPr>
                <w:rFonts w:hint="eastAsia"/>
                <w:sz w:val="21"/>
                <w:szCs w:val="21"/>
                <w:lang w:val="en-US" w:eastAsia="zh-CN"/>
              </w:rPr>
              <w:t>1.1.▲ 可编辑一级二级功能点击交互，自定义功能模板，一级功能下可设置二级功能，匹配问答库，如（一级功能：公司产品。二级功能：所有产品介绍。）可点击进行交互。</w:t>
            </w:r>
            <w:r>
              <w:rPr>
                <w:rFonts w:hint="eastAsia"/>
                <w:sz w:val="21"/>
                <w:szCs w:val="21"/>
                <w:lang w:val="en-US" w:eastAsia="zh-CN"/>
              </w:rPr>
              <w:br w:type="textWrapping"/>
            </w:r>
            <w:r>
              <w:rPr>
                <w:rFonts w:hint="eastAsia"/>
                <w:sz w:val="21"/>
                <w:szCs w:val="21"/>
                <w:lang w:val="en-US" w:eastAsia="zh-CN"/>
              </w:rPr>
              <w:t>1.2.点击交互样式自定义，颜色，位置，一级二级功能图标自由编辑。</w:t>
            </w:r>
            <w:r>
              <w:rPr>
                <w:rFonts w:hint="eastAsia"/>
                <w:sz w:val="21"/>
                <w:szCs w:val="21"/>
                <w:lang w:val="en-US" w:eastAsia="zh-CN"/>
              </w:rPr>
              <w:br w:type="textWrapping"/>
            </w:r>
            <w:r>
              <w:rPr>
                <w:rFonts w:hint="eastAsia"/>
                <w:sz w:val="21"/>
                <w:szCs w:val="21"/>
                <w:lang w:val="en-US" w:eastAsia="zh-CN"/>
              </w:rPr>
              <w:t>1.3.支持功能效果预览。</w:t>
            </w:r>
            <w:r>
              <w:rPr>
                <w:rFonts w:hint="eastAsia"/>
                <w:sz w:val="21"/>
                <w:szCs w:val="21"/>
                <w:lang w:val="en-US" w:eastAsia="zh-CN"/>
              </w:rPr>
              <w:br w:type="textWrapping"/>
            </w:r>
            <w:r>
              <w:rPr>
                <w:rFonts w:hint="eastAsia"/>
                <w:sz w:val="21"/>
                <w:szCs w:val="21"/>
                <w:lang w:val="en-US" w:eastAsia="zh-CN"/>
              </w:rPr>
              <w:t>1.4.▲ 功能配置数量无限制，可编辑多个功能模板</w:t>
            </w:r>
            <w:r>
              <w:rPr>
                <w:rFonts w:hint="eastAsia"/>
                <w:sz w:val="21"/>
                <w:szCs w:val="21"/>
                <w:lang w:val="en-US" w:eastAsia="zh-CN"/>
              </w:rPr>
              <w:br w:type="textWrapping"/>
            </w:r>
            <w:r>
              <w:rPr>
                <w:rFonts w:hint="eastAsia"/>
                <w:sz w:val="21"/>
                <w:szCs w:val="21"/>
                <w:lang w:val="en-US" w:eastAsia="zh-CN"/>
              </w:rPr>
              <w:t>1.5.提示弹幕功能，可编辑提示词，提示用户可提问哪些问题，条数无限制。</w:t>
            </w:r>
            <w:r>
              <w:rPr>
                <w:rFonts w:hint="eastAsia"/>
                <w:sz w:val="21"/>
                <w:szCs w:val="21"/>
                <w:lang w:val="en-US" w:eastAsia="zh-CN"/>
              </w:rPr>
              <w:br w:type="textWrapping"/>
            </w:r>
            <w:r>
              <w:rPr>
                <w:rFonts w:hint="eastAsia"/>
                <w:sz w:val="21"/>
                <w:szCs w:val="21"/>
                <w:lang w:val="en-US" w:eastAsia="zh-CN"/>
              </w:rPr>
              <w:t>（五）音色功能</w:t>
            </w:r>
            <w:r>
              <w:rPr>
                <w:rFonts w:hint="eastAsia"/>
                <w:sz w:val="21"/>
                <w:szCs w:val="21"/>
                <w:lang w:val="en-US" w:eastAsia="zh-CN"/>
              </w:rPr>
              <w:br w:type="textWrapping"/>
            </w:r>
            <w:r>
              <w:rPr>
                <w:rFonts w:hint="eastAsia"/>
                <w:sz w:val="21"/>
                <w:szCs w:val="21"/>
                <w:lang w:val="en-US" w:eastAsia="zh-CN"/>
              </w:rPr>
              <w:t>1.1.▲ 软件提供多种声音模板，男生与女生卡通等音色不低于200个</w:t>
            </w:r>
            <w:r>
              <w:rPr>
                <w:rFonts w:hint="eastAsia"/>
                <w:sz w:val="21"/>
                <w:szCs w:val="21"/>
                <w:lang w:val="en-US" w:eastAsia="zh-CN"/>
              </w:rPr>
              <w:br w:type="textWrapping"/>
            </w:r>
            <w:r>
              <w:rPr>
                <w:rFonts w:hint="eastAsia"/>
                <w:sz w:val="21"/>
                <w:szCs w:val="21"/>
                <w:lang w:val="en-US" w:eastAsia="zh-CN"/>
              </w:rPr>
              <w:t>1.2.支持中英文混合场景，粤语，美式英文等语言。</w:t>
            </w:r>
            <w:r>
              <w:rPr>
                <w:rFonts w:hint="eastAsia"/>
                <w:sz w:val="21"/>
                <w:szCs w:val="21"/>
                <w:lang w:val="en-US" w:eastAsia="zh-CN"/>
              </w:rPr>
              <w:br w:type="textWrapping"/>
            </w:r>
            <w:r>
              <w:rPr>
                <w:rFonts w:hint="eastAsia"/>
                <w:sz w:val="21"/>
                <w:szCs w:val="21"/>
                <w:lang w:val="en-US" w:eastAsia="zh-CN"/>
              </w:rPr>
              <w:t>1.3.支持声音大小，语速，语调编辑。</w:t>
            </w:r>
            <w:r>
              <w:rPr>
                <w:rFonts w:hint="eastAsia"/>
                <w:sz w:val="21"/>
                <w:szCs w:val="21"/>
                <w:lang w:val="en-US" w:eastAsia="zh-CN"/>
              </w:rPr>
              <w:br w:type="textWrapping"/>
            </w:r>
            <w:r>
              <w:rPr>
                <w:rFonts w:hint="eastAsia"/>
                <w:sz w:val="21"/>
                <w:szCs w:val="21"/>
                <w:lang w:val="en-US" w:eastAsia="zh-CN"/>
              </w:rPr>
              <w:t>（六）参数设置</w:t>
            </w:r>
            <w:r>
              <w:rPr>
                <w:rFonts w:hint="eastAsia"/>
                <w:sz w:val="21"/>
                <w:szCs w:val="21"/>
                <w:lang w:val="en-US" w:eastAsia="zh-CN"/>
              </w:rPr>
              <w:br w:type="textWrapping"/>
            </w:r>
            <w:r>
              <w:rPr>
                <w:rFonts w:hint="eastAsia"/>
                <w:sz w:val="21"/>
                <w:szCs w:val="21"/>
                <w:lang w:val="en-US" w:eastAsia="zh-CN"/>
              </w:rPr>
              <w:t xml:space="preserve"> 1.1.▲支持显示比例设置，横屏竖屏，高窄屏等分辨率。</w:t>
            </w:r>
            <w:r>
              <w:rPr>
                <w:rFonts w:hint="eastAsia"/>
                <w:sz w:val="21"/>
                <w:szCs w:val="21"/>
                <w:lang w:val="en-US" w:eastAsia="zh-CN"/>
              </w:rPr>
              <w:br w:type="textWrapping"/>
            </w:r>
            <w:r>
              <w:rPr>
                <w:rFonts w:hint="eastAsia"/>
                <w:sz w:val="21"/>
                <w:szCs w:val="21"/>
                <w:lang w:val="en-US" w:eastAsia="zh-CN"/>
              </w:rPr>
              <w:t>1.2.支持分辨率设置，720p，1080p，2k，4k等分辨率。适配所有硬件大屏。</w:t>
            </w:r>
            <w:r>
              <w:rPr>
                <w:rFonts w:hint="eastAsia"/>
                <w:sz w:val="21"/>
                <w:szCs w:val="21"/>
                <w:lang w:val="en-US" w:eastAsia="zh-CN"/>
              </w:rPr>
              <w:br w:type="textWrapping"/>
            </w:r>
            <w:r>
              <w:rPr>
                <w:rFonts w:hint="eastAsia"/>
                <w:sz w:val="21"/>
                <w:szCs w:val="21"/>
                <w:lang w:val="en-US" w:eastAsia="zh-CN"/>
              </w:rPr>
              <w:t>1.3.语音识别配置，接入阿里，讯飞，腾讯等语音识别接口。</w:t>
            </w:r>
            <w:r>
              <w:rPr>
                <w:rFonts w:hint="eastAsia"/>
                <w:sz w:val="21"/>
                <w:szCs w:val="21"/>
                <w:lang w:val="en-US" w:eastAsia="zh-CN"/>
              </w:rPr>
              <w:br w:type="textWrapping"/>
            </w:r>
            <w:r>
              <w:rPr>
                <w:rFonts w:hint="eastAsia"/>
                <w:sz w:val="21"/>
                <w:szCs w:val="21"/>
                <w:lang w:val="en-US" w:eastAsia="zh-CN"/>
              </w:rPr>
              <w:t>1.4.回复语言可选择，中英文可切换</w:t>
            </w:r>
            <w:r>
              <w:rPr>
                <w:rFonts w:hint="eastAsia"/>
                <w:sz w:val="21"/>
                <w:szCs w:val="21"/>
                <w:lang w:val="en-US" w:eastAsia="zh-CN"/>
              </w:rPr>
              <w:br w:type="textWrapping"/>
            </w:r>
            <w:r>
              <w:rPr>
                <w:rFonts w:hint="eastAsia"/>
                <w:sz w:val="21"/>
                <w:szCs w:val="21"/>
                <w:lang w:val="en-US" w:eastAsia="zh-CN"/>
              </w:rPr>
              <w:t>1.5.可使用普通摄像头麦克风设备，或使用大屏一体机，多模态边缘计算盒。</w:t>
            </w:r>
            <w:r>
              <w:rPr>
                <w:rFonts w:hint="eastAsia"/>
                <w:sz w:val="21"/>
                <w:szCs w:val="21"/>
                <w:lang w:val="en-US" w:eastAsia="zh-CN"/>
              </w:rPr>
              <w:br w:type="textWrapping"/>
            </w:r>
            <w:r>
              <w:rPr>
                <w:rFonts w:hint="eastAsia"/>
                <w:sz w:val="21"/>
                <w:szCs w:val="21"/>
                <w:lang w:val="en-US" w:eastAsia="zh-CN"/>
              </w:rPr>
              <w:t xml:space="preserve"> 1.6.▲使用一体机与边缘计算盒用户可支持定向收音与唇形识别降噪。（效果例如，设备识别到一个人a后，不受其他环境音与人声b影响，精准识别一人a的唇形与声音）</w:t>
            </w:r>
            <w:r>
              <w:rPr>
                <w:rFonts w:hint="eastAsia"/>
                <w:sz w:val="21"/>
                <w:szCs w:val="21"/>
                <w:lang w:val="en-US" w:eastAsia="zh-CN"/>
              </w:rPr>
              <w:br w:type="textWrapping"/>
            </w:r>
            <w:r>
              <w:rPr>
                <w:rFonts w:hint="eastAsia"/>
                <w:sz w:val="21"/>
                <w:szCs w:val="21"/>
                <w:lang w:val="en-US" w:eastAsia="zh-CN"/>
              </w:rPr>
              <w:t>1.7.显示字幕调节，支持交互时字幕显示与影藏</w:t>
            </w:r>
            <w:r>
              <w:rPr>
                <w:rFonts w:hint="eastAsia"/>
                <w:sz w:val="21"/>
                <w:szCs w:val="21"/>
                <w:lang w:val="en-US" w:eastAsia="zh-CN"/>
              </w:rPr>
              <w:br w:type="textWrapping"/>
            </w:r>
            <w:r>
              <w:rPr>
                <w:rFonts w:hint="eastAsia"/>
                <w:sz w:val="21"/>
                <w:szCs w:val="21"/>
                <w:lang w:val="en-US" w:eastAsia="zh-CN"/>
              </w:rPr>
              <w:t>1.8.摄像头区域影藏，可显示摄像头区域，保证人物可站在可交互位置。</w:t>
            </w:r>
            <w:r>
              <w:rPr>
                <w:rFonts w:hint="eastAsia"/>
                <w:sz w:val="21"/>
                <w:szCs w:val="21"/>
                <w:lang w:val="en-US" w:eastAsia="zh-CN"/>
              </w:rPr>
              <w:br w:type="textWrapping"/>
            </w:r>
            <w:r>
              <w:rPr>
                <w:rFonts w:hint="eastAsia"/>
                <w:sz w:val="21"/>
                <w:szCs w:val="21"/>
                <w:lang w:val="en-US" w:eastAsia="zh-CN"/>
              </w:rPr>
              <w:t>1.9.大模型交互实时功能，可开启或关闭大模型实时性问题，如查询天气，日期等。</w:t>
            </w:r>
            <w:r>
              <w:rPr>
                <w:rFonts w:hint="eastAsia"/>
                <w:sz w:val="21"/>
                <w:szCs w:val="21"/>
                <w:lang w:val="en-US" w:eastAsia="zh-CN"/>
              </w:rPr>
              <w:br w:type="textWrapping"/>
            </w:r>
            <w:r>
              <w:rPr>
                <w:rFonts w:hint="eastAsia"/>
                <w:sz w:val="21"/>
                <w:szCs w:val="21"/>
                <w:lang w:val="en-US" w:eastAsia="zh-CN"/>
              </w:rPr>
              <w:t xml:space="preserve"> 2.0.▲可编辑多个模板，每个模板对应不同问答库，不同数字人与场景，大模型知识库等。如（机场，医院，展会，园区，商场等）</w:t>
            </w:r>
            <w:r>
              <w:rPr>
                <w:rFonts w:hint="eastAsia"/>
                <w:sz w:val="21"/>
                <w:szCs w:val="21"/>
                <w:lang w:val="en-US" w:eastAsia="zh-CN"/>
              </w:rPr>
              <w:br w:type="textWrapping"/>
            </w:r>
            <w:r>
              <w:rPr>
                <w:rFonts w:hint="eastAsia"/>
                <w:sz w:val="21"/>
                <w:szCs w:val="21"/>
                <w:lang w:val="en-US" w:eastAsia="zh-CN"/>
              </w:rPr>
              <w:t>二、多模态AI智能降噪边缘计算</w:t>
            </w:r>
            <w:r>
              <w:rPr>
                <w:rFonts w:hint="eastAsia"/>
                <w:sz w:val="21"/>
                <w:szCs w:val="21"/>
                <w:lang w:val="en-US" w:eastAsia="zh-CN"/>
              </w:rPr>
              <w:br w:type="textWrapping"/>
            </w:r>
            <w:r>
              <w:rPr>
                <w:rFonts w:hint="eastAsia"/>
                <w:sz w:val="21"/>
                <w:szCs w:val="21"/>
                <w:lang w:val="en-US" w:eastAsia="zh-CN"/>
              </w:rPr>
              <w:t>采用多模态音频分离算法，可在多人同时说话场景下，数智人自动识别交互对象，锁定交互对象，并自动分离交互对象的音频，供ASR识别，大幅度提高展厅等复杂环境的抗干扰能力;</w:t>
            </w:r>
            <w:r>
              <w:rPr>
                <w:rFonts w:hint="eastAsia"/>
                <w:sz w:val="21"/>
                <w:szCs w:val="21"/>
                <w:lang w:val="en-US" w:eastAsia="zh-CN"/>
              </w:rPr>
              <w:br w:type="textWrapping"/>
            </w:r>
            <w:r>
              <w:rPr>
                <w:rFonts w:hint="eastAsia"/>
                <w:sz w:val="21"/>
                <w:szCs w:val="21"/>
                <w:lang w:val="en-US" w:eastAsia="zh-CN"/>
              </w:rPr>
              <w:t>1、500万像素RGB宽动态摄像头，可对人脸/唇型进行识别，并主动发起唤醒</w:t>
            </w:r>
            <w:r>
              <w:rPr>
                <w:rFonts w:hint="eastAsia"/>
                <w:sz w:val="21"/>
                <w:szCs w:val="21"/>
                <w:lang w:val="en-US" w:eastAsia="zh-CN"/>
              </w:rPr>
              <w:br w:type="textWrapping"/>
            </w:r>
            <w:r>
              <w:rPr>
                <w:rFonts w:hint="eastAsia"/>
                <w:sz w:val="21"/>
                <w:szCs w:val="21"/>
                <w:lang w:val="en-US" w:eastAsia="zh-CN"/>
              </w:rPr>
              <w:t>2、线性4MIC阵列，内置AIhuman 3D引擎复杂厅堂环境降噪算法，及回音消除电路</w:t>
            </w:r>
            <w:r>
              <w:rPr>
                <w:rFonts w:hint="eastAsia"/>
                <w:sz w:val="21"/>
                <w:szCs w:val="21"/>
                <w:lang w:val="en-US" w:eastAsia="zh-CN"/>
              </w:rPr>
              <w:br w:type="textWrapping"/>
            </w:r>
            <w:r>
              <w:rPr>
                <w:rFonts w:hint="eastAsia"/>
                <w:sz w:val="21"/>
                <w:szCs w:val="21"/>
                <w:lang w:val="en-US" w:eastAsia="zh-CN"/>
              </w:rPr>
              <w:t>3、国产瑞芯微RK3588S主控，四核Cortex-A76和四核Cortex-A55，主频最高2.4GHz;</w:t>
            </w:r>
            <w:r>
              <w:rPr>
                <w:rFonts w:hint="eastAsia"/>
                <w:sz w:val="21"/>
                <w:szCs w:val="21"/>
                <w:lang w:val="en-US" w:eastAsia="zh-CN"/>
              </w:rPr>
              <w:br w:type="textWrapping"/>
            </w:r>
            <w:r>
              <w:rPr>
                <w:rFonts w:hint="eastAsia"/>
                <w:sz w:val="21"/>
                <w:szCs w:val="21"/>
                <w:lang w:val="en-US" w:eastAsia="zh-CN"/>
              </w:rPr>
              <w:t>4、AEC后输出16K单声道音频可直接供国内主流第三方ASR识别，提高人机交互准确率;</w:t>
            </w:r>
          </w:p>
        </w:tc>
        <w:tc>
          <w:tcPr>
            <w:tcW w:w="580" w:type="dxa"/>
            <w:shd w:val="clear" w:color="auto" w:fill="auto"/>
            <w:vAlign w:val="center"/>
          </w:tcPr>
          <w:p w14:paraId="6CF679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1FE1F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3DEC58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61274</w:t>
            </w:r>
          </w:p>
        </w:tc>
        <w:tc>
          <w:tcPr>
            <w:tcW w:w="1025" w:type="dxa"/>
            <w:shd w:val="clear" w:color="auto" w:fill="auto"/>
            <w:noWrap/>
            <w:vAlign w:val="center"/>
          </w:tcPr>
          <w:p w14:paraId="21F057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61274</w:t>
            </w:r>
          </w:p>
        </w:tc>
        <w:tc>
          <w:tcPr>
            <w:tcW w:w="650" w:type="dxa"/>
            <w:shd w:val="clear" w:color="auto" w:fill="auto"/>
            <w:noWrap/>
            <w:vAlign w:val="center"/>
          </w:tcPr>
          <w:p w14:paraId="0C7954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77B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7" w:hRule="atLeast"/>
          <w:jc w:val="center"/>
        </w:trPr>
        <w:tc>
          <w:tcPr>
            <w:tcW w:w="654" w:type="dxa"/>
            <w:shd w:val="clear" w:color="auto" w:fill="auto"/>
            <w:vAlign w:val="center"/>
          </w:tcPr>
          <w:p w14:paraId="6A2350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0B2CFF2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AI模型</w:t>
            </w:r>
          </w:p>
        </w:tc>
        <w:tc>
          <w:tcPr>
            <w:tcW w:w="4913" w:type="dxa"/>
            <w:shd w:val="clear" w:color="auto" w:fill="auto"/>
            <w:vAlign w:val="center"/>
          </w:tcPr>
          <w:p w14:paraId="6FC653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豆包api/DeepSeek-v4 每年接口费</w:t>
            </w:r>
          </w:p>
        </w:tc>
        <w:tc>
          <w:tcPr>
            <w:tcW w:w="580" w:type="dxa"/>
            <w:shd w:val="clear" w:color="auto" w:fill="auto"/>
            <w:vAlign w:val="center"/>
          </w:tcPr>
          <w:p w14:paraId="2A4A40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0D8C8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年</w:t>
            </w:r>
          </w:p>
        </w:tc>
        <w:tc>
          <w:tcPr>
            <w:tcW w:w="987" w:type="dxa"/>
            <w:shd w:val="clear" w:color="auto" w:fill="auto"/>
            <w:vAlign w:val="center"/>
          </w:tcPr>
          <w:p w14:paraId="675729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4620</w:t>
            </w:r>
          </w:p>
        </w:tc>
        <w:tc>
          <w:tcPr>
            <w:tcW w:w="1025" w:type="dxa"/>
            <w:shd w:val="clear" w:color="auto" w:fill="auto"/>
            <w:vAlign w:val="center"/>
          </w:tcPr>
          <w:p w14:paraId="3C9BC9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4620</w:t>
            </w:r>
          </w:p>
        </w:tc>
        <w:tc>
          <w:tcPr>
            <w:tcW w:w="650" w:type="dxa"/>
            <w:shd w:val="clear" w:color="auto" w:fill="auto"/>
            <w:vAlign w:val="center"/>
          </w:tcPr>
          <w:p w14:paraId="29C560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A88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7A44165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3</w:t>
            </w:r>
          </w:p>
        </w:tc>
        <w:tc>
          <w:tcPr>
            <w:tcW w:w="961" w:type="dxa"/>
            <w:shd w:val="clear" w:color="auto" w:fill="auto"/>
            <w:vAlign w:val="center"/>
          </w:tcPr>
          <w:p w14:paraId="1FA68B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配套终端</w:t>
            </w:r>
          </w:p>
        </w:tc>
        <w:tc>
          <w:tcPr>
            <w:tcW w:w="4913" w:type="dxa"/>
            <w:shd w:val="clear" w:color="auto" w:fill="auto"/>
            <w:vAlign w:val="center"/>
          </w:tcPr>
          <w:p w14:paraId="3B931D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55寸触控交互显示终端，高清摄像头、降噪麦克风、自动AI降噪功能，可以去除干扰周围杂音，只识别对面的讲话。</w:t>
            </w:r>
          </w:p>
        </w:tc>
        <w:tc>
          <w:tcPr>
            <w:tcW w:w="580" w:type="dxa"/>
            <w:shd w:val="clear" w:color="auto" w:fill="auto"/>
            <w:vAlign w:val="center"/>
          </w:tcPr>
          <w:p w14:paraId="559E1B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w:t>
            </w:r>
          </w:p>
        </w:tc>
        <w:tc>
          <w:tcPr>
            <w:tcW w:w="700" w:type="dxa"/>
            <w:shd w:val="clear" w:color="auto" w:fill="auto"/>
            <w:vAlign w:val="center"/>
          </w:tcPr>
          <w:p w14:paraId="710A98C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台</w:t>
            </w:r>
          </w:p>
        </w:tc>
        <w:tc>
          <w:tcPr>
            <w:tcW w:w="987" w:type="dxa"/>
            <w:shd w:val="clear" w:color="auto" w:fill="auto"/>
            <w:vAlign w:val="center"/>
          </w:tcPr>
          <w:p w14:paraId="3A7565E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10560</w:t>
            </w:r>
          </w:p>
        </w:tc>
        <w:tc>
          <w:tcPr>
            <w:tcW w:w="1025" w:type="dxa"/>
            <w:shd w:val="clear" w:color="auto" w:fill="auto"/>
            <w:vAlign w:val="center"/>
          </w:tcPr>
          <w:p w14:paraId="2D309A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10560</w:t>
            </w:r>
          </w:p>
        </w:tc>
        <w:tc>
          <w:tcPr>
            <w:tcW w:w="650" w:type="dxa"/>
            <w:shd w:val="clear" w:color="auto" w:fill="auto"/>
            <w:vAlign w:val="center"/>
          </w:tcPr>
          <w:p w14:paraId="5EBE5B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DB4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6" w:hRule="atLeast"/>
          <w:jc w:val="center"/>
        </w:trPr>
        <w:tc>
          <w:tcPr>
            <w:tcW w:w="654" w:type="dxa"/>
            <w:shd w:val="clear" w:color="auto" w:fill="auto"/>
            <w:vAlign w:val="center"/>
          </w:tcPr>
          <w:p w14:paraId="47C5544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4</w:t>
            </w:r>
          </w:p>
        </w:tc>
        <w:tc>
          <w:tcPr>
            <w:tcW w:w="961" w:type="dxa"/>
            <w:shd w:val="clear" w:color="auto" w:fill="auto"/>
            <w:vAlign w:val="center"/>
          </w:tcPr>
          <w:p w14:paraId="3799B1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安装与配置</w:t>
            </w:r>
          </w:p>
        </w:tc>
        <w:tc>
          <w:tcPr>
            <w:tcW w:w="4913" w:type="dxa"/>
            <w:shd w:val="clear" w:color="auto" w:fill="auto"/>
            <w:vAlign w:val="center"/>
          </w:tcPr>
          <w:p w14:paraId="375625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完成系统的部署安装，并根据具体需求进行初步设置</w:t>
            </w:r>
          </w:p>
        </w:tc>
        <w:tc>
          <w:tcPr>
            <w:tcW w:w="580" w:type="dxa"/>
            <w:shd w:val="clear" w:color="auto" w:fill="auto"/>
            <w:vAlign w:val="center"/>
          </w:tcPr>
          <w:p w14:paraId="36DE8D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w:t>
            </w:r>
          </w:p>
        </w:tc>
        <w:tc>
          <w:tcPr>
            <w:tcW w:w="700" w:type="dxa"/>
            <w:shd w:val="clear" w:color="auto" w:fill="auto"/>
            <w:vAlign w:val="center"/>
          </w:tcPr>
          <w:p w14:paraId="51C193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项</w:t>
            </w:r>
          </w:p>
        </w:tc>
        <w:tc>
          <w:tcPr>
            <w:tcW w:w="987" w:type="dxa"/>
            <w:shd w:val="clear" w:color="auto" w:fill="auto"/>
            <w:vAlign w:val="center"/>
          </w:tcPr>
          <w:p w14:paraId="561934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2640</w:t>
            </w:r>
          </w:p>
        </w:tc>
        <w:tc>
          <w:tcPr>
            <w:tcW w:w="1025" w:type="dxa"/>
            <w:shd w:val="clear" w:color="auto" w:fill="auto"/>
            <w:vAlign w:val="center"/>
          </w:tcPr>
          <w:p w14:paraId="37AFA0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2640</w:t>
            </w:r>
          </w:p>
        </w:tc>
        <w:tc>
          <w:tcPr>
            <w:tcW w:w="650" w:type="dxa"/>
            <w:shd w:val="clear" w:color="auto" w:fill="auto"/>
            <w:vAlign w:val="center"/>
          </w:tcPr>
          <w:p w14:paraId="24805B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B9C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7" w:hRule="atLeast"/>
          <w:jc w:val="center"/>
        </w:trPr>
        <w:tc>
          <w:tcPr>
            <w:tcW w:w="654" w:type="dxa"/>
            <w:shd w:val="clear" w:color="auto" w:fill="auto"/>
            <w:vAlign w:val="center"/>
          </w:tcPr>
          <w:p w14:paraId="199757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2B9DAD7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6DA808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059657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60B723E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0B3E5D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vAlign w:val="center"/>
          </w:tcPr>
          <w:p w14:paraId="1230348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b/>
                <w:bCs/>
                <w:sz w:val="21"/>
                <w:szCs w:val="21"/>
                <w:lang w:val="en-US" w:eastAsia="zh-CN"/>
              </w:rPr>
              <w:t>79094</w:t>
            </w:r>
          </w:p>
        </w:tc>
        <w:tc>
          <w:tcPr>
            <w:tcW w:w="650" w:type="dxa"/>
            <w:shd w:val="clear" w:color="auto" w:fill="auto"/>
            <w:vAlign w:val="center"/>
          </w:tcPr>
          <w:p w14:paraId="60EC09C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B1E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jc w:val="center"/>
        </w:trPr>
        <w:tc>
          <w:tcPr>
            <w:tcW w:w="654" w:type="dxa"/>
            <w:shd w:val="clear" w:color="auto" w:fill="auto"/>
            <w:vAlign w:val="center"/>
          </w:tcPr>
          <w:p w14:paraId="3B6B968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04F18F0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总计</w:t>
            </w:r>
          </w:p>
        </w:tc>
        <w:tc>
          <w:tcPr>
            <w:tcW w:w="4913" w:type="dxa"/>
            <w:shd w:val="clear" w:color="auto" w:fill="auto"/>
            <w:vAlign w:val="center"/>
          </w:tcPr>
          <w:p w14:paraId="1F0F35E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ascii="黑体" w:hAnsi="黑体" w:eastAsia="黑体" w:cs="黑体"/>
                <w:b/>
                <w:bCs/>
                <w:sz w:val="21"/>
                <w:szCs w:val="21"/>
                <w:lang w:val="en-US" w:eastAsia="zh-CN"/>
              </w:rPr>
              <w:t>一+二+三+四+五+六+七+八+九+十+十一+十二+十三</w:t>
            </w:r>
          </w:p>
        </w:tc>
        <w:tc>
          <w:tcPr>
            <w:tcW w:w="580" w:type="dxa"/>
            <w:shd w:val="clear" w:color="auto" w:fill="auto"/>
            <w:vAlign w:val="center"/>
          </w:tcPr>
          <w:p w14:paraId="483C4B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384BC9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50E9D9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vAlign w:val="center"/>
          </w:tcPr>
          <w:p w14:paraId="38663B2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906218</w:t>
            </w:r>
          </w:p>
        </w:tc>
        <w:tc>
          <w:tcPr>
            <w:tcW w:w="650" w:type="dxa"/>
            <w:shd w:val="clear" w:color="auto" w:fill="auto"/>
            <w:vAlign w:val="center"/>
          </w:tcPr>
          <w:p w14:paraId="7CAF4D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bl>
    <w:p w14:paraId="3B564AB8">
      <w:pPr>
        <w:shd w:val="clear"/>
        <w:rPr>
          <w:rFonts w:hint="eastAsia" w:ascii="宋体" w:hAnsi="宋体" w:eastAsia="宋体" w:cs="宋体"/>
          <w:sz w:val="21"/>
          <w:szCs w:val="21"/>
        </w:rPr>
        <w:sectPr>
          <w:pgSz w:w="11906" w:h="16839"/>
          <w:pgMar w:top="1440" w:right="1080" w:bottom="1440" w:left="1080" w:header="0" w:footer="1200" w:gutter="0"/>
          <w:pgNumType w:fmt="decimal"/>
          <w:cols w:space="720" w:num="1"/>
        </w:sectPr>
      </w:pPr>
    </w:p>
    <w:p w14:paraId="320D0C6A">
      <w:pPr>
        <w:pStyle w:val="3"/>
        <w:shd w:val="clear"/>
        <w:spacing w:before="139" w:line="226" w:lineRule="auto"/>
        <w:ind w:left="514"/>
        <w:outlineLvl w:val="0"/>
        <w:rPr>
          <w:rFonts w:hint="eastAsia" w:ascii="宋体" w:hAnsi="宋体" w:eastAsia="宋体" w:cs="宋体"/>
          <w:sz w:val="43"/>
          <w:szCs w:val="43"/>
        </w:rPr>
      </w:pPr>
      <w:bookmarkStart w:id="7" w:name="_Toc13965"/>
      <w:r>
        <w:rPr>
          <w:rFonts w:hint="eastAsia" w:ascii="宋体" w:hAnsi="宋体" w:eastAsia="宋体" w:cs="宋体"/>
          <w:b/>
          <w:bCs/>
          <w:spacing w:val="4"/>
          <w:sz w:val="43"/>
          <w:szCs w:val="43"/>
        </w:rPr>
        <w:t>第四章</w:t>
      </w:r>
      <w:r>
        <w:rPr>
          <w:rFonts w:hint="eastAsia" w:ascii="宋体" w:hAnsi="宋体" w:eastAsia="宋体" w:cs="宋体"/>
          <w:spacing w:val="4"/>
          <w:sz w:val="43"/>
          <w:szCs w:val="43"/>
        </w:rPr>
        <w:t xml:space="preserve"> </w:t>
      </w:r>
      <w:r>
        <w:rPr>
          <w:rFonts w:hint="eastAsia" w:ascii="宋体" w:hAnsi="宋体" w:eastAsia="宋体" w:cs="宋体"/>
          <w:b/>
          <w:bCs/>
          <w:spacing w:val="4"/>
          <w:sz w:val="43"/>
          <w:szCs w:val="43"/>
        </w:rPr>
        <w:t>评审程序、评审方法和评审标准</w:t>
      </w:r>
      <w:bookmarkEnd w:id="7"/>
    </w:p>
    <w:p w14:paraId="0D0C8A73">
      <w:pPr>
        <w:pStyle w:val="3"/>
        <w:shd w:val="clear"/>
        <w:spacing w:before="108" w:line="228" w:lineRule="auto"/>
        <w:ind w:left="2782"/>
        <w:rPr>
          <w:rFonts w:hint="eastAsia" w:ascii="宋体" w:hAnsi="宋体" w:eastAsia="宋体" w:cs="宋体"/>
          <w:sz w:val="31"/>
          <w:szCs w:val="31"/>
        </w:rPr>
      </w:pPr>
      <w:r>
        <w:rPr>
          <w:rFonts w:hint="eastAsia" w:ascii="宋体" w:hAnsi="宋体" w:eastAsia="宋体" w:cs="宋体"/>
          <w:b/>
          <w:bCs/>
          <w:spacing w:val="5"/>
          <w:sz w:val="31"/>
          <w:szCs w:val="31"/>
        </w:rPr>
        <w:t>一、评审程序和评审方法</w:t>
      </w:r>
    </w:p>
    <w:p w14:paraId="1C9C822D">
      <w:pPr>
        <w:pStyle w:val="3"/>
        <w:shd w:val="clear"/>
        <w:spacing w:before="297" w:line="222" w:lineRule="auto"/>
        <w:ind w:left="492"/>
        <w:rPr>
          <w:rFonts w:hint="eastAsia" w:ascii="宋体" w:hAnsi="宋体" w:eastAsia="宋体" w:cs="宋体"/>
        </w:rPr>
      </w:pPr>
      <w:r>
        <w:rPr>
          <w:rFonts w:hint="eastAsia" w:ascii="宋体" w:hAnsi="宋体" w:eastAsia="宋体" w:cs="宋体"/>
          <w:b/>
          <w:bCs/>
          <w:spacing w:val="-7"/>
        </w:rPr>
        <w:t>1.资格审查</w:t>
      </w:r>
    </w:p>
    <w:p w14:paraId="3CF7D41C">
      <w:pPr>
        <w:pStyle w:val="3"/>
        <w:shd w:val="clear"/>
        <w:spacing w:before="231" w:line="221" w:lineRule="auto"/>
        <w:ind w:left="492"/>
        <w:rPr>
          <w:rFonts w:hint="eastAsia" w:ascii="宋体" w:hAnsi="宋体" w:eastAsia="宋体" w:cs="宋体"/>
        </w:rPr>
      </w:pPr>
      <w:r>
        <w:rPr>
          <w:rFonts w:hint="eastAsia" w:ascii="宋体" w:hAnsi="宋体" w:eastAsia="宋体" w:cs="宋体"/>
          <w:spacing w:val="-2"/>
        </w:rPr>
        <w:t>1.1</w:t>
      </w:r>
      <w:r>
        <w:rPr>
          <w:rFonts w:hint="eastAsia" w:ascii="宋体" w:hAnsi="宋体" w:eastAsia="宋体" w:cs="宋体"/>
          <w:spacing w:val="-22"/>
        </w:rPr>
        <w:t xml:space="preserve"> </w:t>
      </w:r>
      <w:r>
        <w:rPr>
          <w:rFonts w:hint="eastAsia" w:ascii="宋体" w:hAnsi="宋体" w:eastAsia="宋体" w:cs="宋体"/>
          <w:spacing w:val="-2"/>
        </w:rPr>
        <w:t>响应文件开启后，磋商小组依法对供应商的资格证明文件进行审查。</w:t>
      </w:r>
    </w:p>
    <w:p w14:paraId="75996210">
      <w:pPr>
        <w:pStyle w:val="3"/>
        <w:shd w:val="clear"/>
        <w:spacing w:before="232" w:line="219" w:lineRule="auto"/>
        <w:ind w:left="489"/>
        <w:rPr>
          <w:rFonts w:hint="eastAsia" w:ascii="宋体" w:hAnsi="宋体" w:eastAsia="宋体" w:cs="宋体"/>
        </w:rPr>
      </w:pPr>
      <w:r>
        <w:rPr>
          <w:rFonts w:hint="eastAsia" w:ascii="宋体" w:hAnsi="宋体" w:eastAsia="宋体" w:cs="宋体"/>
          <w:spacing w:val="-1"/>
        </w:rPr>
        <w:t>注：磋商小组在资格审查结束前，对供应商进行信用查询。</w:t>
      </w:r>
    </w:p>
    <w:p w14:paraId="6CB08902">
      <w:pPr>
        <w:pStyle w:val="3"/>
        <w:shd w:val="clear"/>
        <w:spacing w:before="236" w:line="398" w:lineRule="auto"/>
        <w:ind w:left="33" w:right="29" w:firstLine="454"/>
        <w:rPr>
          <w:rFonts w:hint="eastAsia" w:ascii="宋体" w:hAnsi="宋体" w:eastAsia="宋体" w:cs="宋体"/>
        </w:rPr>
      </w:pPr>
      <w:r>
        <w:rPr>
          <w:rFonts w:hint="eastAsia" w:ascii="宋体" w:hAnsi="宋体" w:eastAsia="宋体" w:cs="宋体"/>
          <w:spacing w:val="-7"/>
        </w:rPr>
        <w:t>（1）查询渠道：广西政府采购云平台“信用中国”网站(</w:t>
      </w:r>
      <w:r>
        <w:rPr>
          <w:rFonts w:hint="eastAsia" w:ascii="宋体" w:hAnsi="宋体" w:eastAsia="宋体" w:cs="宋体"/>
        </w:rPr>
        <w:fldChar w:fldCharType="begin"/>
      </w:r>
      <w:r>
        <w:rPr>
          <w:rFonts w:hint="eastAsia" w:ascii="宋体" w:hAnsi="宋体" w:eastAsia="宋体" w:cs="宋体"/>
        </w:rPr>
        <w:instrText xml:space="preserve"> HYPERLINK "https://www.creditchina.gov.cn" </w:instrText>
      </w:r>
      <w:r>
        <w:rPr>
          <w:rFonts w:hint="eastAsia" w:ascii="宋体" w:hAnsi="宋体" w:eastAsia="宋体" w:cs="宋体"/>
        </w:rPr>
        <w:fldChar w:fldCharType="separate"/>
      </w:r>
      <w:r>
        <w:rPr>
          <w:rFonts w:hint="eastAsia" w:ascii="宋体" w:hAnsi="宋体" w:eastAsia="宋体" w:cs="宋体"/>
          <w:spacing w:val="-7"/>
        </w:rPr>
        <w:t>www.creditchina.gov.</w:t>
      </w:r>
      <w:r>
        <w:rPr>
          <w:rFonts w:hint="eastAsia" w:ascii="宋体" w:hAnsi="宋体" w:eastAsia="宋体" w:cs="宋体"/>
          <w:spacing w:val="-8"/>
        </w:rPr>
        <w:t>cn</w:t>
      </w:r>
      <w:r>
        <w:rPr>
          <w:rFonts w:hint="eastAsia" w:ascii="宋体" w:hAnsi="宋体" w:eastAsia="宋体" w:cs="宋体"/>
          <w:spacing w:val="-8"/>
        </w:rPr>
        <w:fldChar w:fldCharType="end"/>
      </w:r>
      <w:r>
        <w:rPr>
          <w:rFonts w:hint="eastAsia" w:ascii="宋体" w:hAnsi="宋体" w:eastAsia="宋体" w:cs="宋体"/>
          <w:spacing w:val="-8"/>
        </w:rPr>
        <w:t>)、</w:t>
      </w:r>
      <w:r>
        <w:rPr>
          <w:rFonts w:hint="eastAsia" w:ascii="宋体" w:hAnsi="宋体" w:eastAsia="宋体" w:cs="宋体"/>
          <w:spacing w:val="-2"/>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"https://www.ccgp.gov.cn" </w:instrText>
      </w:r>
      <w:r>
        <w:rPr>
          <w:rFonts w:hint="eastAsia" w:ascii="宋体" w:hAnsi="宋体" w:eastAsia="宋体" w:cs="宋体"/>
        </w:rPr>
        <w:fldChar w:fldCharType="separate"/>
      </w:r>
      <w:r>
        <w:rPr>
          <w:rFonts w:hint="eastAsia" w:ascii="宋体" w:hAnsi="宋体" w:eastAsia="宋体" w:cs="宋体"/>
          <w:spacing w:val="-2"/>
        </w:rPr>
        <w:t>www.ccgp.gov.cn</w:t>
      </w:r>
      <w:r>
        <w:rPr>
          <w:rFonts w:hint="eastAsia" w:ascii="宋体" w:hAnsi="宋体" w:eastAsia="宋体" w:cs="宋体"/>
          <w:spacing w:val="-2"/>
        </w:rPr>
        <w:fldChar w:fldCharType="end"/>
      </w:r>
      <w:r>
        <w:rPr>
          <w:rFonts w:hint="eastAsia" w:ascii="宋体" w:hAnsi="宋体" w:eastAsia="宋体" w:cs="宋体"/>
          <w:spacing w:val="-2"/>
        </w:rPr>
        <w:t>)链接入口。</w:t>
      </w:r>
    </w:p>
    <w:p w14:paraId="3C4FF680">
      <w:pPr>
        <w:pStyle w:val="3"/>
        <w:shd w:val="clear"/>
        <w:spacing w:before="4" w:line="220" w:lineRule="auto"/>
        <w:ind w:left="487"/>
        <w:rPr>
          <w:rFonts w:hint="eastAsia" w:ascii="宋体" w:hAnsi="宋体" w:eastAsia="宋体" w:cs="宋体"/>
        </w:rPr>
      </w:pPr>
      <w:r>
        <w:rPr>
          <w:rFonts w:hint="eastAsia" w:ascii="宋体" w:hAnsi="宋体" w:eastAsia="宋体" w:cs="宋体"/>
          <w:spacing w:val="-2"/>
        </w:rPr>
        <w:t>（2）信用查询截止时点：资格审查结束前。</w:t>
      </w:r>
    </w:p>
    <w:p w14:paraId="419CEC63">
      <w:pPr>
        <w:pStyle w:val="3"/>
        <w:shd w:val="clear"/>
        <w:spacing w:before="234" w:line="400" w:lineRule="auto"/>
        <w:ind w:left="11" w:right="105" w:firstLine="476"/>
        <w:rPr>
          <w:rFonts w:hint="eastAsia" w:ascii="宋体" w:hAnsi="宋体" w:eastAsia="宋体" w:cs="宋体"/>
        </w:rPr>
      </w:pPr>
      <w:r>
        <w:rPr>
          <w:rFonts w:hint="eastAsia" w:ascii="宋体" w:hAnsi="宋体" w:eastAsia="宋体" w:cs="宋体"/>
          <w:spacing w:val="1"/>
        </w:rPr>
        <w:t>（3）查询记录和证据留存方式：在查询网站中直接查询，截图另存为电子文档作</w:t>
      </w:r>
      <w:r>
        <w:rPr>
          <w:rFonts w:hint="eastAsia" w:ascii="宋体" w:hAnsi="宋体" w:eastAsia="宋体" w:cs="宋体"/>
          <w:spacing w:val="-4"/>
        </w:rPr>
        <w:t>为评审资料保存。</w:t>
      </w:r>
    </w:p>
    <w:p w14:paraId="7CB95E97">
      <w:pPr>
        <w:pStyle w:val="3"/>
        <w:shd w:val="clear"/>
        <w:spacing w:before="12" w:line="399" w:lineRule="auto"/>
        <w:ind w:firstLine="487"/>
        <w:rPr>
          <w:rFonts w:hint="eastAsia" w:ascii="宋体" w:hAnsi="宋体" w:eastAsia="宋体" w:cs="宋体"/>
        </w:rPr>
      </w:pPr>
      <w:r>
        <w:rPr>
          <w:rFonts w:hint="eastAsia" w:ascii="宋体" w:hAnsi="宋体" w:eastAsia="宋体" w:cs="宋体"/>
        </w:rPr>
        <w:t>（4）信用信息使用规则：对在“信用中国”网站（</w:t>
      </w:r>
      <w:r>
        <w:rPr>
          <w:rFonts w:hint="eastAsia" w:ascii="宋体" w:hAnsi="宋体" w:eastAsia="宋体" w:cs="宋体"/>
        </w:rPr>
        <w:fldChar w:fldCharType="begin"/>
      </w:r>
      <w:r>
        <w:rPr>
          <w:rFonts w:hint="eastAsia" w:ascii="宋体" w:hAnsi="宋体" w:eastAsia="宋体" w:cs="宋体"/>
        </w:rPr>
        <w:instrText xml:space="preserve"> HYPERLINK "https://www.creditchina.gov.cn" </w:instrText>
      </w:r>
      <w:r>
        <w:rPr>
          <w:rFonts w:hint="eastAsia" w:ascii="宋体" w:hAnsi="宋体" w:eastAsia="宋体" w:cs="宋体"/>
        </w:rPr>
        <w:fldChar w:fldCharType="separate"/>
      </w:r>
      <w:r>
        <w:rPr>
          <w:rFonts w:hint="eastAsia" w:ascii="宋体" w:hAnsi="宋体" w:eastAsia="宋体" w:cs="宋体"/>
        </w:rPr>
        <w:t>ww</w:t>
      </w:r>
      <w:r>
        <w:rPr>
          <w:rFonts w:hint="eastAsia" w:ascii="宋体" w:hAnsi="宋体" w:eastAsia="宋体" w:cs="宋体"/>
          <w:spacing w:val="-1"/>
        </w:rPr>
        <w:t>w.creditchina.gov.cn</w:t>
      </w:r>
      <w:r>
        <w:rPr>
          <w:rFonts w:hint="eastAsia" w:ascii="宋体" w:hAnsi="宋体" w:eastAsia="宋体" w:cs="宋体"/>
          <w:spacing w:val="-1"/>
        </w:rPr>
        <w:fldChar w:fldCharType="end"/>
      </w:r>
      <w:r>
        <w:rPr>
          <w:rFonts w:hint="eastAsia" w:ascii="宋体" w:hAnsi="宋体" w:eastAsia="宋体" w:cs="宋体"/>
          <w:spacing w:val="-1"/>
        </w:rPr>
        <w:t>）</w:t>
      </w:r>
      <w:r>
        <w:rPr>
          <w:rFonts w:hint="eastAsia" w:ascii="宋体" w:hAnsi="宋体" w:eastAsia="宋体" w:cs="宋体"/>
          <w:spacing w:val="34"/>
        </w:rPr>
        <w:t xml:space="preserve"> </w:t>
      </w:r>
      <w:r>
        <w:rPr>
          <w:rFonts w:hint="eastAsia" w:ascii="宋体" w:hAnsi="宋体" w:eastAsia="宋体" w:cs="宋体"/>
          <w:spacing w:val="-1"/>
        </w:rPr>
        <w:t>、</w:t>
      </w:r>
      <w:r>
        <w:rPr>
          <w:rFonts w:hint="eastAsia" w:ascii="宋体" w:hAnsi="宋体" w:eastAsia="宋体" w:cs="宋体"/>
          <w:spacing w:val="2"/>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"https://www.ccgp.gov.cn" </w:instrText>
      </w:r>
      <w:r>
        <w:rPr>
          <w:rFonts w:hint="eastAsia" w:ascii="宋体" w:hAnsi="宋体" w:eastAsia="宋体" w:cs="宋体"/>
        </w:rPr>
        <w:fldChar w:fldCharType="separate"/>
      </w:r>
      <w:r>
        <w:rPr>
          <w:rFonts w:hint="eastAsia" w:ascii="宋体" w:hAnsi="宋体" w:eastAsia="宋体" w:cs="宋体"/>
        </w:rPr>
        <w:t>www</w:t>
      </w:r>
      <w:r>
        <w:rPr>
          <w:rFonts w:hint="eastAsia" w:ascii="宋体" w:hAnsi="宋体" w:eastAsia="宋体" w:cs="宋体"/>
          <w:spacing w:val="2"/>
        </w:rPr>
        <w:t>.</w:t>
      </w:r>
      <w:r>
        <w:rPr>
          <w:rFonts w:hint="eastAsia" w:ascii="宋体" w:hAnsi="宋体" w:eastAsia="宋体" w:cs="宋体"/>
        </w:rPr>
        <w:t>ccgp</w:t>
      </w:r>
      <w:r>
        <w:rPr>
          <w:rFonts w:hint="eastAsia" w:ascii="宋体" w:hAnsi="宋体" w:eastAsia="宋体" w:cs="宋体"/>
          <w:spacing w:val="2"/>
        </w:rPr>
        <w:t>.</w:t>
      </w:r>
      <w:r>
        <w:rPr>
          <w:rFonts w:hint="eastAsia" w:ascii="宋体" w:hAnsi="宋体" w:eastAsia="宋体" w:cs="宋体"/>
        </w:rPr>
        <w:t>gov</w:t>
      </w:r>
      <w:r>
        <w:rPr>
          <w:rFonts w:hint="eastAsia" w:ascii="宋体" w:hAnsi="宋体" w:eastAsia="宋体" w:cs="宋体"/>
          <w:spacing w:val="2"/>
        </w:rPr>
        <w:t>.</w:t>
      </w:r>
      <w:r>
        <w:rPr>
          <w:rFonts w:hint="eastAsia" w:ascii="宋体" w:hAnsi="宋体" w:eastAsia="宋体" w:cs="宋体"/>
        </w:rPr>
        <w:t>cn</w:t>
      </w:r>
      <w:r>
        <w:rPr>
          <w:rFonts w:hint="eastAsia" w:ascii="宋体" w:hAnsi="宋体" w:eastAsia="宋体" w:cs="宋体"/>
        </w:rPr>
        <w:fldChar w:fldCharType="end"/>
      </w:r>
      <w:r>
        <w:rPr>
          <w:rFonts w:hint="eastAsia" w:ascii="宋体" w:hAnsi="宋体" w:eastAsia="宋体" w:cs="宋体"/>
          <w:spacing w:val="2"/>
        </w:rPr>
        <w:t>）被列入失信被执行人、重大</w:t>
      </w:r>
      <w:r>
        <w:rPr>
          <w:rFonts w:hint="eastAsia" w:ascii="宋体" w:hAnsi="宋体" w:eastAsia="宋体" w:cs="宋体"/>
          <w:spacing w:val="1"/>
        </w:rPr>
        <w:t>税收违法案件当事人</w:t>
      </w:r>
      <w:r>
        <w:rPr>
          <w:rFonts w:hint="eastAsia" w:ascii="宋体" w:hAnsi="宋体" w:eastAsia="宋体" w:cs="宋体"/>
          <w:spacing w:val="-5"/>
        </w:rPr>
        <w:t>名单、政府采购严重违法失信行为记录名单及其他不符合《中华人民共和国政府采购</w:t>
      </w:r>
      <w:r>
        <w:rPr>
          <w:rFonts w:hint="eastAsia" w:ascii="宋体" w:hAnsi="宋体" w:eastAsia="宋体" w:cs="宋体"/>
          <w:spacing w:val="-6"/>
        </w:rPr>
        <w:t>法》</w:t>
      </w:r>
      <w:r>
        <w:rPr>
          <w:rFonts w:hint="eastAsia" w:ascii="宋体" w:hAnsi="宋体" w:eastAsia="宋体" w:cs="宋体"/>
          <w:spacing w:val="-2"/>
        </w:rPr>
        <w:t>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671895D8">
      <w:pPr>
        <w:pStyle w:val="3"/>
        <w:shd w:val="clear"/>
        <w:spacing w:before="1" w:line="400" w:lineRule="auto"/>
        <w:ind w:left="1" w:right="105" w:firstLine="491"/>
        <w:rPr>
          <w:rFonts w:hint="eastAsia" w:ascii="宋体" w:hAnsi="宋体" w:eastAsia="宋体" w:cs="宋体"/>
        </w:rPr>
      </w:pPr>
      <w:r>
        <w:rPr>
          <w:rFonts w:hint="eastAsia" w:ascii="宋体" w:hAnsi="宋体" w:eastAsia="宋体" w:cs="宋体"/>
          <w:spacing w:val="-1"/>
        </w:rPr>
        <w:t>1.2</w:t>
      </w:r>
      <w:r>
        <w:rPr>
          <w:rFonts w:hint="eastAsia" w:ascii="宋体" w:hAnsi="宋体" w:eastAsia="宋体" w:cs="宋体"/>
          <w:spacing w:val="-32"/>
        </w:rPr>
        <w:t xml:space="preserve"> </w:t>
      </w:r>
      <w:r>
        <w:rPr>
          <w:rFonts w:hint="eastAsia" w:ascii="宋体" w:hAnsi="宋体" w:eastAsia="宋体" w:cs="宋体"/>
          <w:spacing w:val="-1"/>
        </w:rPr>
        <w:t>资格审查标准为本磋商文件中载明对供应商资格要求的条件。</w:t>
      </w:r>
      <w:r>
        <w:rPr>
          <w:rFonts w:hint="eastAsia" w:ascii="宋体" w:hAnsi="宋体" w:eastAsia="宋体" w:cs="宋体"/>
          <w:spacing w:val="-2"/>
        </w:rPr>
        <w:t>资格审查采用合</w:t>
      </w:r>
      <w:r>
        <w:rPr>
          <w:rFonts w:hint="eastAsia" w:ascii="宋体" w:hAnsi="宋体" w:eastAsia="宋体" w:cs="宋体"/>
          <w:spacing w:val="-1"/>
        </w:rPr>
        <w:t>格制，凡符合磋商文件规定的供应商资格要求的响应文件均通过资格审查。</w:t>
      </w:r>
    </w:p>
    <w:p w14:paraId="646BDDA8">
      <w:pPr>
        <w:pStyle w:val="3"/>
        <w:shd w:val="clear"/>
        <w:spacing w:before="1" w:line="222" w:lineRule="auto"/>
        <w:ind w:left="492"/>
        <w:rPr>
          <w:rFonts w:hint="eastAsia" w:ascii="宋体" w:hAnsi="宋体" w:eastAsia="宋体" w:cs="宋体"/>
        </w:rPr>
      </w:pPr>
      <w:r>
        <w:rPr>
          <w:rFonts w:hint="eastAsia" w:ascii="宋体" w:hAnsi="宋体" w:eastAsia="宋体" w:cs="宋体"/>
          <w:spacing w:val="-1"/>
        </w:rPr>
        <w:t>1.3</w:t>
      </w:r>
      <w:r>
        <w:rPr>
          <w:rFonts w:hint="eastAsia" w:ascii="宋体" w:hAnsi="宋体" w:eastAsia="宋体" w:cs="宋体"/>
          <w:spacing w:val="-44"/>
        </w:rPr>
        <w:t xml:space="preserve"> </w:t>
      </w:r>
      <w:r>
        <w:rPr>
          <w:rFonts w:hint="eastAsia" w:ascii="宋体" w:hAnsi="宋体" w:eastAsia="宋体" w:cs="宋体"/>
          <w:spacing w:val="-1"/>
        </w:rPr>
        <w:t>供应商有下列情形之一的，资格审查不通过，其响应文件</w:t>
      </w:r>
      <w:r>
        <w:rPr>
          <w:rFonts w:hint="eastAsia" w:ascii="宋体" w:hAnsi="宋体" w:eastAsia="宋体" w:cs="宋体"/>
          <w:spacing w:val="-2"/>
        </w:rPr>
        <w:t>按无效响应处理：</w:t>
      </w:r>
    </w:p>
    <w:p w14:paraId="0F46A69A">
      <w:pPr>
        <w:pStyle w:val="3"/>
        <w:shd w:val="clear"/>
        <w:spacing w:before="230" w:line="222" w:lineRule="auto"/>
        <w:ind w:left="487"/>
        <w:rPr>
          <w:rFonts w:hint="eastAsia" w:ascii="宋体" w:hAnsi="宋体" w:eastAsia="宋体" w:cs="宋体"/>
        </w:rPr>
      </w:pPr>
      <w:r>
        <w:rPr>
          <w:rFonts w:hint="eastAsia" w:ascii="宋体" w:hAnsi="宋体" w:eastAsia="宋体" w:cs="宋体"/>
          <w:spacing w:val="-2"/>
        </w:rPr>
        <w:t>（1）不具备磋商文件中规定的资格要求的；</w:t>
      </w:r>
    </w:p>
    <w:p w14:paraId="75A8FC92">
      <w:pPr>
        <w:pStyle w:val="3"/>
        <w:shd w:val="clear"/>
        <w:spacing w:before="232" w:line="222" w:lineRule="auto"/>
        <w:ind w:left="487"/>
        <w:rPr>
          <w:rFonts w:hint="eastAsia" w:ascii="宋体" w:hAnsi="宋体" w:eastAsia="宋体" w:cs="宋体"/>
        </w:rPr>
      </w:pPr>
      <w:r>
        <w:rPr>
          <w:rFonts w:hint="eastAsia" w:ascii="宋体" w:hAnsi="宋体" w:eastAsia="宋体" w:cs="宋体"/>
          <w:spacing w:val="-1"/>
        </w:rPr>
        <w:t>（2）未按磋商文件规定的方式获取本磋商文件的供应商；</w:t>
      </w:r>
    </w:p>
    <w:p w14:paraId="2B643D0F">
      <w:pPr>
        <w:pStyle w:val="3"/>
        <w:shd w:val="clear"/>
        <w:spacing w:before="231" w:line="399" w:lineRule="auto"/>
        <w:ind w:left="7" w:right="105" w:firstLine="480"/>
        <w:rPr>
          <w:rFonts w:hint="eastAsia" w:ascii="宋体" w:hAnsi="宋体" w:eastAsia="宋体" w:cs="宋体"/>
        </w:rPr>
      </w:pPr>
      <w:r>
        <w:rPr>
          <w:rFonts w:hint="eastAsia" w:ascii="宋体" w:hAnsi="宋体" w:eastAsia="宋体" w:cs="宋体"/>
        </w:rPr>
        <w:t>（3）响应文件的资格证明文件缺少任一项“供应商须知前附表</w:t>
      </w:r>
      <w:r>
        <w:rPr>
          <w:rFonts w:hint="eastAsia" w:ascii="宋体" w:hAnsi="宋体" w:eastAsia="宋体" w:cs="宋体"/>
          <w:spacing w:val="-70"/>
        </w:rPr>
        <w:t xml:space="preserve"> </w:t>
      </w:r>
      <w:r>
        <w:rPr>
          <w:rFonts w:hint="eastAsia" w:ascii="宋体" w:hAnsi="宋体" w:eastAsia="宋体" w:cs="宋体"/>
        </w:rPr>
        <w:t>”资格证明文件规</w:t>
      </w:r>
      <w:r>
        <w:rPr>
          <w:rFonts w:hint="eastAsia" w:ascii="宋体" w:hAnsi="宋体" w:eastAsia="宋体" w:cs="宋体"/>
          <w:spacing w:val="-4"/>
        </w:rPr>
        <w:t>定的“必须提供</w:t>
      </w:r>
      <w:r>
        <w:rPr>
          <w:rFonts w:hint="eastAsia" w:ascii="宋体" w:hAnsi="宋体" w:eastAsia="宋体" w:cs="宋体"/>
          <w:spacing w:val="-82"/>
        </w:rPr>
        <w:t xml:space="preserve"> </w:t>
      </w:r>
      <w:r>
        <w:rPr>
          <w:rFonts w:hint="eastAsia" w:ascii="宋体" w:hAnsi="宋体" w:eastAsia="宋体" w:cs="宋体"/>
          <w:spacing w:val="-4"/>
        </w:rPr>
        <w:t>”的文件资料的；</w:t>
      </w:r>
    </w:p>
    <w:p w14:paraId="7AC457EA">
      <w:pPr>
        <w:shd w:val="clear"/>
        <w:spacing w:line="399" w:lineRule="auto"/>
        <w:rPr>
          <w:rFonts w:hint="eastAsia" w:ascii="宋体" w:hAnsi="宋体" w:eastAsia="宋体" w:cs="宋体"/>
        </w:rPr>
        <w:sectPr>
          <w:footerReference r:id="rId12" w:type="default"/>
          <w:pgSz w:w="11906" w:h="16839"/>
          <w:pgMar w:top="1440" w:right="1080" w:bottom="1440" w:left="1080" w:header="0" w:footer="1200" w:gutter="0"/>
          <w:pgNumType w:fmt="decimal"/>
          <w:cols w:space="720" w:num="1"/>
        </w:sectPr>
      </w:pPr>
    </w:p>
    <w:p w14:paraId="5B072FB1">
      <w:pPr>
        <w:pStyle w:val="3"/>
        <w:shd w:val="clear"/>
        <w:spacing w:before="78" w:line="401" w:lineRule="auto"/>
        <w:ind w:left="15" w:right="83" w:firstLine="469"/>
        <w:rPr>
          <w:rFonts w:hint="eastAsia" w:ascii="宋体" w:hAnsi="宋体" w:eastAsia="宋体" w:cs="宋体"/>
        </w:rPr>
      </w:pPr>
      <w:r>
        <w:rPr>
          <w:rFonts w:hint="eastAsia" w:ascii="宋体" w:hAnsi="宋体" w:eastAsia="宋体" w:cs="宋体"/>
        </w:rPr>
        <w:t>（4）响应文件中的资格证明文件出现任一项不符合“供应商须知前附表</w:t>
      </w:r>
      <w:r>
        <w:rPr>
          <w:rFonts w:hint="eastAsia" w:ascii="宋体" w:hAnsi="宋体" w:eastAsia="宋体" w:cs="宋体"/>
          <w:spacing w:val="-70"/>
        </w:rPr>
        <w:t xml:space="preserve"> </w:t>
      </w:r>
      <w:r>
        <w:rPr>
          <w:rFonts w:hint="eastAsia" w:ascii="宋体" w:hAnsi="宋体" w:eastAsia="宋体" w:cs="宋体"/>
        </w:rPr>
        <w:t>”资格证</w:t>
      </w:r>
      <w:r>
        <w:rPr>
          <w:rFonts w:hint="eastAsia" w:ascii="宋体" w:hAnsi="宋体" w:eastAsia="宋体" w:cs="宋体"/>
          <w:spacing w:val="-3"/>
        </w:rPr>
        <w:t>明文件规定的“必须提供</w:t>
      </w:r>
      <w:r>
        <w:rPr>
          <w:rFonts w:hint="eastAsia" w:ascii="宋体" w:hAnsi="宋体" w:eastAsia="宋体" w:cs="宋体"/>
          <w:spacing w:val="-77"/>
        </w:rPr>
        <w:t xml:space="preserve"> </w:t>
      </w:r>
      <w:r>
        <w:rPr>
          <w:rFonts w:hint="eastAsia" w:ascii="宋体" w:hAnsi="宋体" w:eastAsia="宋体" w:cs="宋体"/>
          <w:spacing w:val="-3"/>
        </w:rPr>
        <w:t>”的文件资料要求或者无效的；</w:t>
      </w:r>
    </w:p>
    <w:p w14:paraId="2AA989FB">
      <w:pPr>
        <w:pStyle w:val="3"/>
        <w:shd w:val="clear"/>
        <w:spacing w:line="400" w:lineRule="auto"/>
        <w:ind w:left="6" w:right="83" w:firstLine="478"/>
        <w:rPr>
          <w:rFonts w:hint="eastAsia" w:ascii="宋体" w:hAnsi="宋体" w:eastAsia="宋体" w:cs="宋体"/>
        </w:rPr>
      </w:pPr>
      <w:r>
        <w:rPr>
          <w:rFonts w:hint="eastAsia" w:ascii="宋体" w:hAnsi="宋体" w:eastAsia="宋体" w:cs="宋体"/>
        </w:rPr>
        <w:t>（5）</w:t>
      </w:r>
      <w:r>
        <w:rPr>
          <w:rFonts w:hint="eastAsia" w:ascii="宋体" w:hAnsi="宋体" w:eastAsia="宋体" w:cs="宋体"/>
          <w:spacing w:val="-71"/>
        </w:rPr>
        <w:t xml:space="preserve"> </w:t>
      </w:r>
      <w:r>
        <w:rPr>
          <w:rFonts w:hint="eastAsia" w:ascii="宋体" w:hAnsi="宋体" w:eastAsia="宋体" w:cs="宋体"/>
        </w:rPr>
        <w:t>同一合同项下的不同供应商，单位负责人为同一人或者存在直接控股、管理</w:t>
      </w:r>
      <w:r>
        <w:rPr>
          <w:rFonts w:hint="eastAsia" w:ascii="宋体" w:hAnsi="宋体" w:eastAsia="宋体" w:cs="宋体"/>
          <w:spacing w:val="-2"/>
        </w:rPr>
        <w:t>关系的；为本项目提供过整体设计、规范编制或者项目管理、监理、检测等服务的供应商，再参加该采购项目的其他采购活动的。</w:t>
      </w:r>
    </w:p>
    <w:p w14:paraId="4FA03521">
      <w:pPr>
        <w:pStyle w:val="3"/>
        <w:shd w:val="clear"/>
        <w:spacing w:before="1" w:line="399" w:lineRule="auto"/>
        <w:ind w:left="3" w:right="83" w:firstLine="486"/>
        <w:rPr>
          <w:rFonts w:hint="eastAsia" w:ascii="宋体" w:hAnsi="宋体" w:eastAsia="宋体" w:cs="宋体"/>
        </w:rPr>
      </w:pPr>
      <w:r>
        <w:rPr>
          <w:rFonts w:hint="eastAsia" w:ascii="宋体" w:hAnsi="宋体" w:eastAsia="宋体" w:cs="宋体"/>
        </w:rPr>
        <w:t>1.4</w:t>
      </w:r>
      <w:r>
        <w:rPr>
          <w:rFonts w:hint="eastAsia" w:ascii="宋体" w:hAnsi="宋体" w:eastAsia="宋体" w:cs="宋体"/>
          <w:spacing w:val="-34"/>
        </w:rPr>
        <w:t xml:space="preserve"> </w:t>
      </w:r>
      <w:r>
        <w:rPr>
          <w:rFonts w:hint="eastAsia" w:ascii="宋体" w:hAnsi="宋体" w:eastAsia="宋体" w:cs="宋体"/>
        </w:rPr>
        <w:t>通过资格审查的合格供应商不足3</w:t>
      </w:r>
      <w:r>
        <w:rPr>
          <w:rFonts w:hint="eastAsia" w:ascii="宋体" w:hAnsi="宋体" w:eastAsia="宋体" w:cs="宋体"/>
          <w:spacing w:val="-42"/>
        </w:rPr>
        <w:t xml:space="preserve"> </w:t>
      </w:r>
      <w:r>
        <w:rPr>
          <w:rFonts w:hint="eastAsia" w:ascii="宋体" w:hAnsi="宋体" w:eastAsia="宋体" w:cs="宋体"/>
        </w:rPr>
        <w:t>家的，不得进入符合性审查环节，采购人或</w:t>
      </w:r>
      <w:r>
        <w:rPr>
          <w:rFonts w:hint="eastAsia" w:ascii="宋体" w:hAnsi="宋体" w:eastAsia="宋体" w:cs="宋体"/>
          <w:spacing w:val="-2"/>
        </w:rPr>
        <w:t>者采购代理机构应当重新开展采购活动。</w:t>
      </w:r>
    </w:p>
    <w:p w14:paraId="3C7E662F">
      <w:pPr>
        <w:pStyle w:val="3"/>
        <w:shd w:val="clear"/>
        <w:spacing w:line="220" w:lineRule="auto"/>
        <w:ind w:left="475"/>
        <w:rPr>
          <w:rFonts w:hint="eastAsia" w:ascii="宋体" w:hAnsi="宋体" w:eastAsia="宋体" w:cs="宋体"/>
        </w:rPr>
      </w:pPr>
      <w:r>
        <w:rPr>
          <w:rFonts w:hint="eastAsia" w:ascii="宋体" w:hAnsi="宋体" w:eastAsia="宋体" w:cs="宋体"/>
          <w:b/>
          <w:bCs/>
          <w:spacing w:val="-4"/>
        </w:rPr>
        <w:t>2.符合性审查</w:t>
      </w:r>
    </w:p>
    <w:p w14:paraId="0243E613">
      <w:pPr>
        <w:pStyle w:val="3"/>
        <w:shd w:val="clear"/>
        <w:spacing w:before="233" w:line="399" w:lineRule="auto"/>
        <w:ind w:left="8" w:right="83" w:firstLine="466"/>
        <w:rPr>
          <w:rFonts w:hint="eastAsia" w:ascii="宋体" w:hAnsi="宋体" w:eastAsia="宋体" w:cs="宋体"/>
        </w:rPr>
      </w:pPr>
      <w:r>
        <w:rPr>
          <w:rFonts w:hint="eastAsia" w:ascii="宋体" w:hAnsi="宋体" w:eastAsia="宋体" w:cs="宋体"/>
          <w:spacing w:val="-2"/>
        </w:rPr>
        <w:t>2.1 由磋商小组对通过资格审查的合格供应商的响应文件的竞标报价、商务、技术</w:t>
      </w:r>
      <w:r>
        <w:rPr>
          <w:rFonts w:hint="eastAsia" w:ascii="宋体" w:hAnsi="宋体" w:eastAsia="宋体" w:cs="宋体"/>
          <w:spacing w:val="-1"/>
        </w:rPr>
        <w:t>等实质性要求进行符合性审查，以确定其是否满足磋商文件的实质性要求。</w:t>
      </w:r>
    </w:p>
    <w:p w14:paraId="19721954">
      <w:pPr>
        <w:pStyle w:val="3"/>
        <w:shd w:val="clear"/>
        <w:spacing w:before="3" w:line="400" w:lineRule="auto"/>
        <w:ind w:left="5" w:right="83" w:firstLine="469"/>
        <w:rPr>
          <w:rFonts w:hint="eastAsia" w:ascii="宋体" w:hAnsi="宋体" w:eastAsia="宋体" w:cs="宋体"/>
        </w:rPr>
      </w:pPr>
      <w:r>
        <w:rPr>
          <w:rFonts w:hint="eastAsia" w:ascii="宋体" w:hAnsi="宋体" w:eastAsia="宋体" w:cs="宋体"/>
        </w:rPr>
        <w:t>2.2</w:t>
      </w:r>
      <w:r>
        <w:rPr>
          <w:rFonts w:hint="eastAsia" w:ascii="宋体" w:hAnsi="宋体" w:eastAsia="宋体" w:cs="宋体"/>
          <w:spacing w:val="-45"/>
        </w:rPr>
        <w:t xml:space="preserve"> </w:t>
      </w:r>
      <w:r>
        <w:rPr>
          <w:rFonts w:hint="eastAsia" w:ascii="宋体" w:hAnsi="宋体" w:eastAsia="宋体" w:cs="宋体"/>
        </w:rPr>
        <w:t>磋商小组在对响应文件进行符合性审查时</w:t>
      </w:r>
      <w:r>
        <w:rPr>
          <w:rFonts w:hint="eastAsia" w:ascii="宋体" w:hAnsi="宋体" w:eastAsia="宋体" w:cs="宋体"/>
          <w:spacing w:val="-1"/>
        </w:rPr>
        <w:t>，可以要求供应商对响应文件中含义</w:t>
      </w:r>
      <w:r>
        <w:rPr>
          <w:rFonts w:hint="eastAsia" w:ascii="宋体" w:hAnsi="宋体" w:eastAsia="宋体" w:cs="宋体"/>
          <w:spacing w:val="-2"/>
        </w:rPr>
        <w:t>不明确、同类问题表述不一致或者有明显文字和计算错误的内容等作出必要的澄清、说明或者更正。供应商的澄清、说明或者更正不得超出响应文件的范围或者改变响应文件</w:t>
      </w:r>
      <w:r>
        <w:rPr>
          <w:rFonts w:hint="eastAsia" w:ascii="宋体" w:hAnsi="宋体" w:eastAsia="宋体" w:cs="宋体"/>
          <w:spacing w:val="-4"/>
        </w:rPr>
        <w:t>的实质性内容。</w:t>
      </w:r>
    </w:p>
    <w:p w14:paraId="1A9E38B4">
      <w:pPr>
        <w:pStyle w:val="3"/>
        <w:shd w:val="clear"/>
        <w:spacing w:line="400" w:lineRule="auto"/>
        <w:ind w:firstLine="475"/>
        <w:rPr>
          <w:rFonts w:hint="eastAsia" w:ascii="宋体" w:hAnsi="宋体" w:eastAsia="宋体" w:cs="宋体"/>
        </w:rPr>
      </w:pPr>
      <w:r>
        <w:rPr>
          <w:rFonts w:hint="eastAsia" w:ascii="宋体" w:hAnsi="宋体" w:eastAsia="宋体" w:cs="宋体"/>
          <w:spacing w:val="-5"/>
        </w:rPr>
        <w:t>2.3</w:t>
      </w:r>
      <w:r>
        <w:rPr>
          <w:rFonts w:hint="eastAsia" w:ascii="宋体" w:hAnsi="宋体" w:eastAsia="宋体" w:cs="宋体"/>
          <w:spacing w:val="-28"/>
        </w:rPr>
        <w:t xml:space="preserve"> </w:t>
      </w:r>
      <w:r>
        <w:rPr>
          <w:rFonts w:hint="eastAsia" w:ascii="宋体" w:hAnsi="宋体" w:eastAsia="宋体" w:cs="宋体"/>
          <w:spacing w:val="-5"/>
        </w:rPr>
        <w:t>磋商小组要求供应商澄清、说明或者更正响应文件应当以电子澄清函形式作出。</w:t>
      </w:r>
      <w:r>
        <w:rPr>
          <w:rFonts w:hint="eastAsia" w:ascii="宋体" w:hAnsi="宋体" w:eastAsia="宋体" w:cs="宋体"/>
          <w:spacing w:val="5"/>
        </w:rPr>
        <w:t>供应商的澄清、说明或者更正应当已电子回函形式按照磋商</w:t>
      </w:r>
      <w:r>
        <w:rPr>
          <w:rFonts w:hint="eastAsia" w:ascii="宋体" w:hAnsi="宋体" w:eastAsia="宋体" w:cs="宋体"/>
          <w:spacing w:val="4"/>
        </w:rPr>
        <w:t>小组的要求作出明确的澄</w:t>
      </w:r>
      <w:r>
        <w:rPr>
          <w:rFonts w:hint="eastAsia" w:ascii="宋体" w:hAnsi="宋体" w:eastAsia="宋体" w:cs="宋体"/>
          <w:spacing w:val="-2"/>
        </w:rPr>
        <w:t>清、说明或者更正，未按磋商小组的要求作出明确澄清、说明或者更正的供应商的响应文件将按照有利于采购人的原则由磋商小组进行判定。供应商的澄清、说明或者更正必须加盖电子签章。</w:t>
      </w:r>
    </w:p>
    <w:p w14:paraId="0B5A0B2C">
      <w:pPr>
        <w:pStyle w:val="3"/>
        <w:shd w:val="clear"/>
        <w:spacing w:before="1" w:line="400" w:lineRule="auto"/>
        <w:ind w:right="72" w:firstLine="480"/>
        <w:jc w:val="both"/>
        <w:rPr>
          <w:rFonts w:hint="eastAsia" w:ascii="宋体" w:hAnsi="宋体" w:eastAsia="宋体" w:cs="宋体"/>
        </w:rPr>
      </w:pPr>
      <w:r>
        <w:rPr>
          <w:rFonts w:hint="eastAsia" w:ascii="宋体" w:hAnsi="宋体" w:eastAsia="宋体" w:cs="宋体"/>
          <w:spacing w:val="-2"/>
        </w:rPr>
        <w:t>异常情况处理：如遇无法正常使用线上发送澄清函的情况，将启动书面形式办理。启动书面形式办理的情况下，磋商小组以书面形式要求供应商在规定时间内作出必要的</w:t>
      </w:r>
      <w:r>
        <w:rPr>
          <w:rFonts w:hint="eastAsia" w:ascii="宋体" w:hAnsi="宋体" w:eastAsia="宋体" w:cs="宋体"/>
          <w:spacing w:val="-1"/>
        </w:rPr>
        <w:t>澄清、说明或者补正。供应商的澄清、说明或者</w:t>
      </w:r>
      <w:r>
        <w:rPr>
          <w:rFonts w:hint="eastAsia" w:ascii="宋体" w:hAnsi="宋体" w:eastAsia="宋体" w:cs="宋体"/>
          <w:spacing w:val="-2"/>
        </w:rPr>
        <w:t>补正必须采用书面形式，并加盖公章，</w:t>
      </w:r>
      <w:r>
        <w:rPr>
          <w:rFonts w:hint="eastAsia" w:ascii="宋体" w:hAnsi="宋体" w:eastAsia="宋体" w:cs="宋体"/>
          <w:spacing w:val="-1"/>
        </w:rPr>
        <w:t>或者由法定代表人或者其授权的代表签字。</w:t>
      </w:r>
    </w:p>
    <w:p w14:paraId="5C0A1762">
      <w:pPr>
        <w:pStyle w:val="3"/>
        <w:shd w:val="clear"/>
        <w:spacing w:line="221" w:lineRule="auto"/>
        <w:ind w:left="451"/>
        <w:rPr>
          <w:rFonts w:hint="eastAsia" w:ascii="宋体" w:hAnsi="宋体" w:eastAsia="宋体" w:cs="宋体"/>
        </w:rPr>
      </w:pPr>
      <w:r>
        <w:rPr>
          <w:rFonts w:hint="eastAsia" w:ascii="宋体" w:hAnsi="宋体" w:eastAsia="宋体" w:cs="宋体"/>
          <w:spacing w:val="-2"/>
        </w:rPr>
        <w:t>2.4</w:t>
      </w:r>
      <w:r>
        <w:rPr>
          <w:rFonts w:hint="eastAsia" w:ascii="宋体" w:hAnsi="宋体" w:eastAsia="宋体" w:cs="宋体"/>
          <w:spacing w:val="-34"/>
        </w:rPr>
        <w:t xml:space="preserve"> </w:t>
      </w:r>
      <w:r>
        <w:rPr>
          <w:rFonts w:hint="eastAsia" w:ascii="宋体" w:hAnsi="宋体" w:eastAsia="宋体" w:cs="宋体"/>
          <w:spacing w:val="-2"/>
        </w:rPr>
        <w:t>首次响应文件报价出现前后不一致的，按照下列规定修正：</w:t>
      </w:r>
    </w:p>
    <w:p w14:paraId="2281B0B0">
      <w:pPr>
        <w:pStyle w:val="3"/>
        <w:shd w:val="clear"/>
        <w:spacing w:before="230" w:line="222" w:lineRule="auto"/>
        <w:ind w:left="485"/>
        <w:rPr>
          <w:rFonts w:hint="eastAsia" w:ascii="宋体" w:hAnsi="宋体" w:eastAsia="宋体" w:cs="宋体"/>
        </w:rPr>
      </w:pPr>
      <w:r>
        <w:rPr>
          <w:rFonts w:hint="eastAsia" w:ascii="宋体" w:hAnsi="宋体" w:eastAsia="宋体" w:cs="宋体"/>
          <w:spacing w:val="-1"/>
        </w:rPr>
        <w:t>（1）响应文件中报价表内容与响应文件中相应内容不一致的，以报价表为准；</w:t>
      </w:r>
    </w:p>
    <w:p w14:paraId="7E172199">
      <w:pPr>
        <w:pStyle w:val="3"/>
        <w:shd w:val="clear"/>
        <w:spacing w:before="233" w:line="222" w:lineRule="auto"/>
        <w:ind w:left="485"/>
        <w:rPr>
          <w:rFonts w:hint="eastAsia" w:ascii="宋体" w:hAnsi="宋体" w:eastAsia="宋体" w:cs="宋体"/>
        </w:rPr>
      </w:pPr>
      <w:r>
        <w:rPr>
          <w:rFonts w:hint="eastAsia" w:ascii="宋体" w:hAnsi="宋体" w:eastAsia="宋体" w:cs="宋体"/>
          <w:spacing w:val="-1"/>
        </w:rPr>
        <w:t>（2）大写金额和小写金额不一致的，以大写金额为准；</w:t>
      </w:r>
    </w:p>
    <w:p w14:paraId="70BAED09">
      <w:pPr>
        <w:shd w:val="clear"/>
        <w:spacing w:line="222" w:lineRule="auto"/>
        <w:rPr>
          <w:rFonts w:hint="eastAsia" w:ascii="宋体" w:hAnsi="宋体" w:eastAsia="宋体" w:cs="宋体"/>
        </w:rPr>
        <w:sectPr>
          <w:footerReference r:id="rId13" w:type="default"/>
          <w:pgSz w:w="11906" w:h="16839"/>
          <w:pgMar w:top="1440" w:right="1080" w:bottom="1440" w:left="1080" w:header="0" w:footer="1200" w:gutter="0"/>
          <w:pgNumType w:fmt="decimal"/>
          <w:cols w:space="720" w:num="1"/>
        </w:sectPr>
      </w:pPr>
    </w:p>
    <w:p w14:paraId="72BED29F">
      <w:pPr>
        <w:pStyle w:val="3"/>
        <w:shd w:val="clear"/>
        <w:spacing w:before="78" w:line="401" w:lineRule="auto"/>
        <w:ind w:left="1" w:right="83" w:firstLine="484"/>
        <w:rPr>
          <w:rFonts w:hint="eastAsia" w:ascii="宋体" w:hAnsi="宋体" w:eastAsia="宋体" w:cs="宋体"/>
        </w:rPr>
      </w:pPr>
      <w:r>
        <w:rPr>
          <w:rFonts w:hint="eastAsia" w:ascii="宋体" w:hAnsi="宋体" w:eastAsia="宋体" w:cs="宋体"/>
          <w:spacing w:val="1"/>
        </w:rPr>
        <w:t>（3）单价金额小数点或者百分比有明显错位的，以报价表的总价为准，并修改单</w:t>
      </w:r>
      <w:r>
        <w:rPr>
          <w:rFonts w:hint="eastAsia" w:ascii="宋体" w:hAnsi="宋体" w:eastAsia="宋体" w:cs="宋体"/>
          <w:spacing w:val="-9"/>
        </w:rPr>
        <w:t>价；</w:t>
      </w:r>
    </w:p>
    <w:p w14:paraId="5404FC67">
      <w:pPr>
        <w:pStyle w:val="3"/>
        <w:shd w:val="clear"/>
        <w:spacing w:before="1" w:line="220" w:lineRule="auto"/>
        <w:ind w:left="485"/>
        <w:rPr>
          <w:rFonts w:hint="eastAsia" w:ascii="宋体" w:hAnsi="宋体" w:eastAsia="宋体" w:cs="宋体"/>
        </w:rPr>
      </w:pPr>
      <w:r>
        <w:rPr>
          <w:rFonts w:hint="eastAsia" w:ascii="宋体" w:hAnsi="宋体" w:eastAsia="宋体" w:cs="宋体"/>
          <w:spacing w:val="-1"/>
        </w:rPr>
        <w:t>（4）总价金额与按单价汇总金额不一致的，以单价金额计算结果为准。</w:t>
      </w:r>
    </w:p>
    <w:p w14:paraId="2B555161">
      <w:pPr>
        <w:pStyle w:val="3"/>
        <w:shd w:val="clear"/>
        <w:spacing w:before="230" w:line="401" w:lineRule="auto"/>
        <w:ind w:left="3" w:firstLine="505"/>
        <w:rPr>
          <w:rFonts w:hint="eastAsia" w:ascii="宋体" w:hAnsi="宋体" w:eastAsia="宋体" w:cs="宋体"/>
        </w:rPr>
      </w:pPr>
      <w:r>
        <w:rPr>
          <w:rFonts w:hint="eastAsia" w:ascii="宋体" w:hAnsi="宋体" w:eastAsia="宋体" w:cs="宋体"/>
          <w:spacing w:val="1"/>
        </w:rPr>
        <w:t>同时出现两种以上不一致的，按照以上（1）-（4）规定的顺序</w:t>
      </w:r>
      <w:r>
        <w:rPr>
          <w:rFonts w:hint="eastAsia" w:ascii="宋体" w:hAnsi="宋体" w:eastAsia="宋体" w:cs="宋体"/>
        </w:rPr>
        <w:t>逐条进行修正。修</w:t>
      </w:r>
      <w:r>
        <w:rPr>
          <w:rFonts w:hint="eastAsia" w:ascii="宋体" w:hAnsi="宋体" w:eastAsia="宋体" w:cs="宋体"/>
          <w:spacing w:val="-6"/>
        </w:rPr>
        <w:t>正后的报价经供应商确认后产生约束力，供应商不确认的，其响应文件按无效响应处理。</w:t>
      </w:r>
    </w:p>
    <w:p w14:paraId="2C847685">
      <w:pPr>
        <w:pStyle w:val="3"/>
        <w:shd w:val="clear"/>
        <w:spacing w:before="78" w:line="401" w:lineRule="auto"/>
        <w:ind w:left="1" w:right="83" w:firstLine="484"/>
        <w:rPr>
          <w:rFonts w:hint="eastAsia" w:ascii="宋体" w:hAnsi="宋体" w:eastAsia="宋体" w:cs="宋体"/>
          <w:spacing w:val="-1"/>
        </w:rPr>
      </w:pPr>
      <w:r>
        <w:rPr>
          <w:rFonts w:hint="eastAsia" w:ascii="宋体" w:hAnsi="宋体" w:eastAsia="宋体" w:cs="宋体"/>
          <w:spacing w:val="-1"/>
        </w:rPr>
        <w:t>2.5 商务技术报价评审</w:t>
      </w:r>
    </w:p>
    <w:p w14:paraId="5524D72E">
      <w:pPr>
        <w:pStyle w:val="3"/>
        <w:shd w:val="clear"/>
        <w:spacing w:before="78" w:line="401" w:lineRule="auto"/>
        <w:ind w:left="1" w:right="83" w:firstLine="484"/>
        <w:rPr>
          <w:rFonts w:hint="eastAsia" w:ascii="宋体" w:hAnsi="宋体" w:eastAsia="宋体" w:cs="宋体"/>
          <w:spacing w:val="-1"/>
        </w:rPr>
      </w:pPr>
      <w:r>
        <w:rPr>
          <w:rFonts w:hint="eastAsia" w:ascii="宋体" w:hAnsi="宋体" w:eastAsia="宋体" w:cs="宋体"/>
          <w:spacing w:val="-1"/>
        </w:rPr>
        <w:t>在评审时，如发现下列情形之一的，将被视为响应文件无效处理：</w:t>
      </w:r>
    </w:p>
    <w:p w14:paraId="63DAF67C">
      <w:pPr>
        <w:pStyle w:val="3"/>
        <w:shd w:val="clear"/>
        <w:spacing w:before="78" w:line="401" w:lineRule="auto"/>
        <w:ind w:left="1" w:right="83" w:firstLine="484"/>
        <w:rPr>
          <w:rFonts w:hint="eastAsia" w:ascii="宋体" w:hAnsi="宋体" w:eastAsia="宋体" w:cs="宋体"/>
          <w:spacing w:val="-1"/>
        </w:rPr>
      </w:pPr>
      <w:r>
        <w:rPr>
          <w:rFonts w:hint="eastAsia" w:ascii="宋体" w:hAnsi="宋体" w:eastAsia="宋体" w:cs="宋体"/>
          <w:spacing w:val="-1"/>
        </w:rPr>
        <w:t>（1）商务技术评审</w:t>
      </w:r>
    </w:p>
    <w:p w14:paraId="58FF552C">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1）提供响应文件正、副本数量不足；</w:t>
      </w:r>
    </w:p>
    <w:p w14:paraId="2E0AE8E6">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2）响应文件未按磋商文件要求签署、盖章；</w:t>
      </w:r>
    </w:p>
    <w:p w14:paraId="2C9EB11E">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3）委托代理人未能出具有效身份证或者出具的身份证与授权委托书中的信息不符的；</w:t>
      </w:r>
    </w:p>
    <w:p w14:paraId="758830E8">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4）提交的磋商保证金无效的或者未按照磋商文件的规定提交磋商保证金；</w:t>
      </w:r>
    </w:p>
    <w:p w14:paraId="39E8E2B4">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5）响应文件未提供任一项“供应商须知前附表 ”商务技术文件中 “必须提供 ”或者“委托时必须提供 ”的文件资料；响应文件提供的商务技术文件出现任一项不符合“供应商须知前附表 ”商务技术文件中 “必须提供 ”或者“委托时必须提供 ”文件资料要求的规定或者提供的商务技术文件无效。</w:t>
      </w:r>
    </w:p>
    <w:p w14:paraId="2BB85E8B">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6）商务要求允许负偏离的条款数超过“供应商须知前附表 ”规定项数的；</w:t>
      </w:r>
    </w:p>
    <w:p w14:paraId="5698B4AF">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7）未对竞标有效期作出响应或者响应文件承诺的竞标有效期不满足磋商文件要求；</w:t>
      </w:r>
    </w:p>
    <w:p w14:paraId="27A32E78">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8）响应文件的实质性内容未使用中文表述、使用计量单位不符合磋商文件要求；</w:t>
      </w:r>
    </w:p>
    <w:p w14:paraId="55FDFE54">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9）响应文件中的文件资料因填写不齐全或者内容虚假或者出现其他情形而导致被磋商小组认定无效；</w:t>
      </w:r>
    </w:p>
    <w:p w14:paraId="2190F412">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10）响应文件含有采购人不能接受的附加条件；</w:t>
      </w:r>
    </w:p>
    <w:p w14:paraId="6498D526">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11）属于“供应商须知正文 ”第 7.5 条情形；</w:t>
      </w:r>
    </w:p>
    <w:p w14:paraId="2CCDC5EF">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12）技术要求允许负偏离的条款数超过“供应商须知前附表 ”规定项数；</w:t>
      </w:r>
    </w:p>
    <w:p w14:paraId="5F893437">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13）虚假竞标，或者出现其他情形而导致被磋商小组认定无效；</w:t>
      </w:r>
    </w:p>
    <w:p w14:paraId="359A5851">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14）磋商文件未载明允许提供备选（替代）竞标方案或明确不允许提供备选（替代）竞标方案时，供应商提供了备选（替代）竞标方案的；</w:t>
      </w:r>
    </w:p>
    <w:p w14:paraId="3EBABE58">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15）响应文件标注的项目名称或者项目编号与磋商文件标注的项目名称或者项目编号不一致的；</w:t>
      </w:r>
    </w:p>
    <w:p w14:paraId="1C4C70EB">
      <w:pPr>
        <w:pStyle w:val="3"/>
        <w:shd w:val="clear"/>
        <w:spacing w:line="220" w:lineRule="auto"/>
        <w:ind w:left="491"/>
        <w:rPr>
          <w:rFonts w:hint="eastAsia" w:ascii="宋体" w:hAnsi="宋体" w:eastAsia="宋体" w:cs="宋体"/>
        </w:rPr>
      </w:pPr>
      <w:r>
        <w:rPr>
          <w:rFonts w:hint="eastAsia" w:ascii="宋体" w:hAnsi="宋体" w:eastAsia="宋体" w:cs="宋体"/>
          <w:spacing w:val="-3"/>
        </w:rPr>
        <w:t>16）</w:t>
      </w:r>
      <w:r>
        <w:rPr>
          <w:rFonts w:hint="eastAsia" w:ascii="宋体" w:hAnsi="宋体" w:eastAsia="宋体" w:cs="宋体"/>
          <w:b/>
          <w:bCs/>
          <w:spacing w:val="-3"/>
        </w:rPr>
        <w:t>竞争性磋商文件明确不允许分包，响应文件拟分包的；</w:t>
      </w:r>
    </w:p>
    <w:p w14:paraId="4444D85B">
      <w:pPr>
        <w:pStyle w:val="3"/>
        <w:shd w:val="clear"/>
        <w:spacing w:before="234" w:line="220" w:lineRule="auto"/>
        <w:ind w:left="491"/>
        <w:rPr>
          <w:rFonts w:hint="eastAsia" w:ascii="宋体" w:hAnsi="宋体" w:eastAsia="宋体" w:cs="宋体"/>
        </w:rPr>
      </w:pPr>
      <w:r>
        <w:rPr>
          <w:rFonts w:hint="eastAsia" w:ascii="宋体" w:hAnsi="宋体" w:eastAsia="宋体" w:cs="宋体"/>
          <w:spacing w:val="-2"/>
        </w:rPr>
        <w:t>17）未响应磋商文件实质性要求；</w:t>
      </w:r>
    </w:p>
    <w:p w14:paraId="2BA49625">
      <w:pPr>
        <w:pStyle w:val="3"/>
        <w:shd w:val="clear"/>
        <w:spacing w:before="232" w:line="222" w:lineRule="auto"/>
        <w:ind w:left="491"/>
        <w:rPr>
          <w:rFonts w:hint="eastAsia" w:ascii="宋体" w:hAnsi="宋体" w:eastAsia="宋体" w:cs="宋体"/>
        </w:rPr>
      </w:pPr>
      <w:r>
        <w:rPr>
          <w:rFonts w:hint="eastAsia" w:ascii="宋体" w:hAnsi="宋体" w:eastAsia="宋体" w:cs="宋体"/>
          <w:spacing w:val="-2"/>
        </w:rPr>
        <w:t>18）法律、法规和磋商文件规定的其他无效情形。</w:t>
      </w:r>
    </w:p>
    <w:p w14:paraId="415058E6">
      <w:pPr>
        <w:pStyle w:val="3"/>
        <w:shd w:val="clear"/>
        <w:spacing w:before="233" w:line="222" w:lineRule="auto"/>
        <w:ind w:left="485"/>
        <w:rPr>
          <w:rFonts w:hint="eastAsia" w:ascii="宋体" w:hAnsi="宋体" w:eastAsia="宋体" w:cs="宋体"/>
        </w:rPr>
      </w:pPr>
      <w:r>
        <w:rPr>
          <w:rFonts w:hint="eastAsia" w:ascii="宋体" w:hAnsi="宋体" w:eastAsia="宋体" w:cs="宋体"/>
          <w:spacing w:val="-3"/>
        </w:rPr>
        <w:t>（2）报价评审</w:t>
      </w:r>
    </w:p>
    <w:p w14:paraId="1FE0194E">
      <w:pPr>
        <w:pStyle w:val="3"/>
        <w:shd w:val="clear"/>
        <w:spacing w:before="231" w:line="222" w:lineRule="auto"/>
        <w:ind w:left="491"/>
        <w:rPr>
          <w:rFonts w:hint="eastAsia" w:ascii="宋体" w:hAnsi="宋体" w:eastAsia="宋体" w:cs="宋体"/>
        </w:rPr>
      </w:pPr>
      <w:r>
        <w:rPr>
          <w:rFonts w:hint="eastAsia" w:ascii="宋体" w:hAnsi="宋体" w:eastAsia="宋体" w:cs="宋体"/>
          <w:spacing w:val="-2"/>
        </w:rPr>
        <w:t>1） 响应文件未提供“供应商须知前附表</w:t>
      </w:r>
      <w:r>
        <w:rPr>
          <w:rFonts w:hint="eastAsia" w:ascii="宋体" w:hAnsi="宋体" w:eastAsia="宋体" w:cs="宋体"/>
          <w:spacing w:val="-73"/>
        </w:rPr>
        <w:t xml:space="preserve"> </w:t>
      </w:r>
      <w:r>
        <w:rPr>
          <w:rFonts w:hint="eastAsia" w:ascii="宋体" w:hAnsi="宋体" w:eastAsia="宋体" w:cs="宋体"/>
          <w:spacing w:val="-2"/>
        </w:rPr>
        <w:t>” 报价文件中规定的“竞标报价表</w:t>
      </w:r>
      <w:r>
        <w:rPr>
          <w:rFonts w:hint="eastAsia" w:ascii="宋体" w:hAnsi="宋体" w:eastAsia="宋体" w:cs="宋体"/>
          <w:spacing w:val="-88"/>
        </w:rPr>
        <w:t xml:space="preserve"> </w:t>
      </w:r>
      <w:r>
        <w:rPr>
          <w:rFonts w:hint="eastAsia" w:ascii="宋体" w:hAnsi="宋体" w:eastAsia="宋体" w:cs="宋体"/>
          <w:spacing w:val="-2"/>
        </w:rPr>
        <w:t>”；</w:t>
      </w:r>
    </w:p>
    <w:p w14:paraId="1E598926">
      <w:pPr>
        <w:pStyle w:val="3"/>
        <w:shd w:val="clear"/>
        <w:spacing w:before="230" w:line="221" w:lineRule="auto"/>
        <w:ind w:left="476"/>
        <w:rPr>
          <w:rFonts w:hint="eastAsia" w:ascii="宋体" w:hAnsi="宋体" w:eastAsia="宋体" w:cs="宋体"/>
        </w:rPr>
      </w:pPr>
      <w:r>
        <w:rPr>
          <w:rFonts w:hint="eastAsia" w:ascii="宋体" w:hAnsi="宋体" w:eastAsia="宋体" w:cs="宋体"/>
          <w:spacing w:val="-1"/>
        </w:rPr>
        <w:t>2）未采用人民币报价或者未按照磋商文件标明的币种报价；</w:t>
      </w:r>
    </w:p>
    <w:p w14:paraId="2DA7723C">
      <w:pPr>
        <w:pStyle w:val="3"/>
        <w:shd w:val="clear"/>
        <w:spacing w:before="235" w:line="400" w:lineRule="auto"/>
        <w:ind w:left="3" w:right="99" w:firstLine="474"/>
        <w:rPr>
          <w:rFonts w:hint="eastAsia" w:ascii="宋体" w:hAnsi="宋体" w:eastAsia="宋体" w:cs="宋体"/>
        </w:rPr>
      </w:pPr>
      <w:r>
        <w:rPr>
          <w:rFonts w:hint="eastAsia" w:ascii="宋体" w:hAnsi="宋体" w:eastAsia="宋体" w:cs="宋体"/>
          <w:spacing w:val="2"/>
        </w:rPr>
        <w:t>3）供应商未就所竞标分标进行报价或者存在漏</w:t>
      </w:r>
      <w:r>
        <w:rPr>
          <w:rFonts w:hint="eastAsia" w:ascii="宋体" w:hAnsi="宋体" w:eastAsia="宋体" w:cs="宋体"/>
          <w:spacing w:val="1"/>
        </w:rPr>
        <w:t>项报价；供应商未就所竞标分标的</w:t>
      </w:r>
      <w:r>
        <w:rPr>
          <w:rFonts w:hint="eastAsia" w:ascii="宋体" w:hAnsi="宋体" w:eastAsia="宋体" w:cs="宋体"/>
          <w:spacing w:val="-2"/>
        </w:rPr>
        <w:t>单项内容作唯一报价；供应商未就所竞标分标的全部内容作完整唯一总价报价；供应商</w:t>
      </w:r>
      <w:r>
        <w:rPr>
          <w:rFonts w:hint="eastAsia" w:ascii="宋体" w:hAnsi="宋体" w:eastAsia="宋体" w:cs="宋体"/>
          <w:spacing w:val="5"/>
        </w:rPr>
        <w:t>响应文件中存在有选择、有条件报价的（磋商文件允许</w:t>
      </w:r>
      <w:r>
        <w:rPr>
          <w:rFonts w:hint="eastAsia" w:ascii="宋体" w:hAnsi="宋体" w:eastAsia="宋体" w:cs="宋体"/>
          <w:spacing w:val="4"/>
        </w:rPr>
        <w:t>有备选方案或者其他约定的除</w:t>
      </w:r>
      <w:r>
        <w:rPr>
          <w:rFonts w:hint="eastAsia" w:ascii="宋体" w:hAnsi="宋体" w:eastAsia="宋体" w:cs="宋体"/>
          <w:spacing w:val="-19"/>
        </w:rPr>
        <w:t>外</w:t>
      </w:r>
      <w:r>
        <w:rPr>
          <w:rFonts w:hint="eastAsia" w:ascii="宋体" w:hAnsi="宋体" w:eastAsia="宋体" w:cs="宋体"/>
        </w:rPr>
        <w:t>）；</w:t>
      </w:r>
    </w:p>
    <w:p w14:paraId="3238DC49">
      <w:pPr>
        <w:pStyle w:val="3"/>
        <w:shd w:val="clear"/>
        <w:spacing w:before="2" w:line="399" w:lineRule="auto"/>
        <w:ind w:left="3" w:right="99" w:firstLine="468"/>
        <w:rPr>
          <w:rFonts w:hint="eastAsia" w:ascii="宋体" w:hAnsi="宋体" w:eastAsia="宋体" w:cs="宋体"/>
        </w:rPr>
      </w:pPr>
      <w:r>
        <w:rPr>
          <w:rFonts w:hint="eastAsia" w:ascii="宋体" w:hAnsi="宋体" w:eastAsia="宋体" w:cs="宋体"/>
          <w:spacing w:val="2"/>
        </w:rPr>
        <w:t>4）竞标报价（包含首次报价、最后报价）超过所竞标分标规</w:t>
      </w:r>
      <w:r>
        <w:rPr>
          <w:rFonts w:hint="eastAsia" w:ascii="宋体" w:hAnsi="宋体" w:eastAsia="宋体" w:cs="宋体"/>
          <w:spacing w:val="1"/>
        </w:rPr>
        <w:t>定的采购预算金额或</w:t>
      </w:r>
      <w:r>
        <w:rPr>
          <w:rFonts w:hint="eastAsia" w:ascii="宋体" w:hAnsi="宋体" w:eastAsia="宋体" w:cs="宋体"/>
          <w:spacing w:val="-2"/>
        </w:rPr>
        <w:t>者最高限价的（如本项目公布了最高限价</w:t>
      </w:r>
      <w:r>
        <w:rPr>
          <w:rFonts w:hint="eastAsia" w:ascii="宋体" w:hAnsi="宋体" w:eastAsia="宋体" w:cs="宋体"/>
          <w:spacing w:val="3"/>
        </w:rPr>
        <w:t>）；</w:t>
      </w:r>
      <w:r>
        <w:rPr>
          <w:rFonts w:hint="eastAsia" w:ascii="宋体" w:hAnsi="宋体" w:eastAsia="宋体" w:cs="宋体"/>
          <w:spacing w:val="-2"/>
        </w:rPr>
        <w:t>竞标报价（包含首次报价、最后报价</w:t>
      </w:r>
      <w:r>
        <w:rPr>
          <w:rFonts w:hint="eastAsia" w:ascii="宋体" w:hAnsi="宋体" w:eastAsia="宋体" w:cs="宋体"/>
          <w:spacing w:val="-3"/>
        </w:rPr>
        <w:t>）超</w:t>
      </w:r>
      <w:r>
        <w:rPr>
          <w:rFonts w:hint="eastAsia" w:ascii="宋体" w:hAnsi="宋体" w:eastAsia="宋体" w:cs="宋体"/>
          <w:spacing w:val="-1"/>
        </w:rPr>
        <w:t>过磋商文件分项采购预算金额或者最高限价的（如本项目公布了最高限价</w:t>
      </w:r>
      <w:r>
        <w:rPr>
          <w:rFonts w:hint="eastAsia" w:ascii="宋体" w:hAnsi="宋体" w:eastAsia="宋体" w:cs="宋体"/>
          <w:spacing w:val="6"/>
        </w:rPr>
        <w:t>）；</w:t>
      </w:r>
    </w:p>
    <w:p w14:paraId="759EF79A">
      <w:pPr>
        <w:pStyle w:val="3"/>
        <w:shd w:val="clear"/>
        <w:spacing w:before="5" w:line="399" w:lineRule="auto"/>
        <w:ind w:right="99" w:firstLine="478"/>
        <w:rPr>
          <w:rFonts w:hint="eastAsia" w:ascii="宋体" w:hAnsi="宋体" w:eastAsia="宋体" w:cs="宋体"/>
        </w:rPr>
      </w:pPr>
      <w:r>
        <w:rPr>
          <w:rFonts w:hint="eastAsia" w:ascii="宋体" w:hAnsi="宋体" w:eastAsia="宋体" w:cs="宋体"/>
          <w:spacing w:val="2"/>
        </w:rPr>
        <w:t>5）修正后的报价，供应商不确认的；或者经供</w:t>
      </w:r>
      <w:r>
        <w:rPr>
          <w:rFonts w:hint="eastAsia" w:ascii="宋体" w:hAnsi="宋体" w:eastAsia="宋体" w:cs="宋体"/>
          <w:spacing w:val="1"/>
        </w:rPr>
        <w:t>应商确认修正后的竞标报价（包含</w:t>
      </w:r>
      <w:r>
        <w:rPr>
          <w:rFonts w:hint="eastAsia" w:ascii="宋体" w:hAnsi="宋体" w:eastAsia="宋体" w:cs="宋体"/>
          <w:spacing w:val="-2"/>
        </w:rPr>
        <w:t>首次报价、最后报价）超过所竞标分标规定的采购预算金额或者最高限价（如本项目公布了最高限价</w:t>
      </w:r>
      <w:r>
        <w:rPr>
          <w:rFonts w:hint="eastAsia" w:ascii="宋体" w:hAnsi="宋体" w:eastAsia="宋体" w:cs="宋体"/>
          <w:spacing w:val="3"/>
        </w:rPr>
        <w:t>）；</w:t>
      </w:r>
      <w:r>
        <w:rPr>
          <w:rFonts w:hint="eastAsia" w:ascii="宋体" w:hAnsi="宋体" w:eastAsia="宋体" w:cs="宋体"/>
          <w:spacing w:val="-2"/>
        </w:rPr>
        <w:t>或者经供应商确认修正后竞标报价（包含首次报价、最后报价）超过</w:t>
      </w:r>
      <w:r>
        <w:rPr>
          <w:rFonts w:hint="eastAsia" w:ascii="宋体" w:hAnsi="宋体" w:eastAsia="宋体" w:cs="宋体"/>
          <w:spacing w:val="-1"/>
        </w:rPr>
        <w:t>磋商文件分项采购预算金额或者最高限价的（如本项目公布了最高限价</w:t>
      </w:r>
      <w:r>
        <w:rPr>
          <w:rFonts w:hint="eastAsia" w:ascii="宋体" w:hAnsi="宋体" w:eastAsia="宋体" w:cs="宋体"/>
          <w:spacing w:val="7"/>
        </w:rPr>
        <w:t>）；</w:t>
      </w:r>
    </w:p>
    <w:p w14:paraId="692D6099">
      <w:pPr>
        <w:pStyle w:val="3"/>
        <w:shd w:val="clear"/>
        <w:spacing w:before="1" w:line="220" w:lineRule="auto"/>
        <w:ind w:left="475"/>
        <w:rPr>
          <w:rFonts w:hint="eastAsia" w:ascii="宋体" w:hAnsi="宋体" w:eastAsia="宋体" w:cs="宋体"/>
        </w:rPr>
      </w:pPr>
      <w:r>
        <w:rPr>
          <w:rFonts w:hint="eastAsia" w:ascii="宋体" w:hAnsi="宋体" w:eastAsia="宋体" w:cs="宋体"/>
        </w:rPr>
        <w:t>6）响应文件响应的标的数量及单位与竞争性磋商采购</w:t>
      </w:r>
      <w:r>
        <w:rPr>
          <w:rFonts w:hint="eastAsia" w:ascii="宋体" w:hAnsi="宋体" w:eastAsia="宋体" w:cs="宋体"/>
          <w:spacing w:val="-1"/>
        </w:rPr>
        <w:t>文件要求实质性不一致的；</w:t>
      </w:r>
    </w:p>
    <w:p w14:paraId="3CFB697D">
      <w:pPr>
        <w:pStyle w:val="3"/>
        <w:shd w:val="clear"/>
        <w:spacing w:before="233" w:line="400" w:lineRule="auto"/>
        <w:ind w:left="4" w:right="99" w:firstLine="474"/>
        <w:rPr>
          <w:rFonts w:hint="eastAsia" w:ascii="宋体" w:hAnsi="宋体" w:eastAsia="宋体" w:cs="宋体"/>
        </w:rPr>
      </w:pPr>
      <w:r>
        <w:rPr>
          <w:rFonts w:hint="eastAsia" w:ascii="宋体" w:hAnsi="宋体" w:eastAsia="宋体" w:cs="宋体"/>
          <w:spacing w:val="2"/>
        </w:rPr>
        <w:t>7）磋商小组启动异常低价响应审查后，供应</w:t>
      </w:r>
      <w:r>
        <w:rPr>
          <w:rFonts w:hint="eastAsia" w:ascii="宋体" w:hAnsi="宋体" w:eastAsia="宋体" w:cs="宋体"/>
          <w:spacing w:val="1"/>
        </w:rPr>
        <w:t>商不能提供书面说明、证明材料，或</w:t>
      </w:r>
      <w:r>
        <w:rPr>
          <w:rFonts w:hint="eastAsia" w:ascii="宋体" w:hAnsi="宋体" w:eastAsia="宋体" w:cs="宋体"/>
          <w:spacing w:val="-1"/>
        </w:rPr>
        <w:t>者提供的书面说明、证明材料不能证明其报价合理性的。</w:t>
      </w:r>
    </w:p>
    <w:p w14:paraId="73CC398A">
      <w:pPr>
        <w:pStyle w:val="3"/>
        <w:shd w:val="clear"/>
        <w:spacing w:before="233" w:line="400" w:lineRule="auto"/>
        <w:ind w:left="4" w:right="99" w:firstLine="474"/>
        <w:rPr>
          <w:rFonts w:hint="eastAsia" w:ascii="宋体" w:hAnsi="宋体" w:eastAsia="宋体" w:cs="宋体"/>
        </w:rPr>
      </w:pPr>
      <w:r>
        <w:rPr>
          <w:rFonts w:hint="eastAsia" w:ascii="宋体" w:hAnsi="宋体" w:eastAsia="宋体" w:cs="宋体"/>
          <w:spacing w:val="-5"/>
        </w:rPr>
        <w:t>2.6</w:t>
      </w:r>
      <w:r>
        <w:rPr>
          <w:rFonts w:hint="eastAsia" w:ascii="宋体" w:hAnsi="宋体" w:eastAsia="宋体" w:cs="宋体"/>
          <w:spacing w:val="-45"/>
        </w:rPr>
        <w:t xml:space="preserve"> </w:t>
      </w:r>
      <w:r>
        <w:rPr>
          <w:rFonts w:hint="eastAsia" w:ascii="宋体" w:hAnsi="宋体" w:eastAsia="宋体" w:cs="宋体"/>
          <w:spacing w:val="-5"/>
        </w:rPr>
        <w:t>磋商小组对响应文件进行评审，未实质性响应磋商文件的响应文件按无效处理，</w:t>
      </w:r>
      <w:r>
        <w:rPr>
          <w:rFonts w:hint="eastAsia" w:ascii="宋体" w:hAnsi="宋体" w:eastAsia="宋体" w:cs="宋体"/>
          <w:spacing w:val="-2"/>
        </w:rPr>
        <w:t>磋商小组应当将资格和符合性不通过的情况告知有关供应商。磋商小组从符合磋商文件</w:t>
      </w:r>
      <w:r>
        <w:rPr>
          <w:rFonts w:hint="eastAsia" w:ascii="宋体" w:hAnsi="宋体" w:eastAsia="宋体" w:cs="宋体"/>
          <w:spacing w:val="1"/>
        </w:rPr>
        <w:t>规定的相应资格条件的供应商名单中确定不少于3</w:t>
      </w:r>
      <w:r>
        <w:rPr>
          <w:rFonts w:hint="eastAsia" w:ascii="宋体" w:hAnsi="宋体" w:eastAsia="宋体" w:cs="宋体"/>
          <w:spacing w:val="-42"/>
        </w:rPr>
        <w:t xml:space="preserve"> </w:t>
      </w:r>
      <w:r>
        <w:rPr>
          <w:rFonts w:hint="eastAsia" w:ascii="宋体" w:hAnsi="宋体" w:eastAsia="宋体" w:cs="宋体"/>
          <w:spacing w:val="1"/>
        </w:rPr>
        <w:t>家的供</w:t>
      </w:r>
      <w:r>
        <w:rPr>
          <w:rFonts w:hint="eastAsia" w:ascii="宋体" w:hAnsi="宋体" w:eastAsia="宋体" w:cs="宋体"/>
        </w:rPr>
        <w:t>应商参加磋商。</w:t>
      </w:r>
    </w:p>
    <w:p w14:paraId="2B790F3B">
      <w:pPr>
        <w:pStyle w:val="3"/>
        <w:shd w:val="clear"/>
        <w:spacing w:before="232" w:line="400" w:lineRule="auto"/>
        <w:ind w:left="2" w:right="12" w:firstLine="475"/>
        <w:rPr>
          <w:rFonts w:hint="eastAsia" w:ascii="宋体" w:hAnsi="宋体" w:eastAsia="宋体" w:cs="宋体"/>
        </w:rPr>
      </w:pPr>
      <w:r>
        <w:rPr>
          <w:rFonts w:hint="eastAsia" w:ascii="宋体" w:hAnsi="宋体" w:eastAsia="宋体" w:cs="宋体"/>
        </w:rPr>
        <w:t>2.7</w:t>
      </w:r>
      <w:r>
        <w:rPr>
          <w:rFonts w:hint="eastAsia" w:ascii="宋体" w:hAnsi="宋体" w:eastAsia="宋体" w:cs="宋体"/>
          <w:spacing w:val="-22"/>
        </w:rPr>
        <w:t xml:space="preserve"> </w:t>
      </w:r>
      <w:r>
        <w:rPr>
          <w:rFonts w:hint="eastAsia" w:ascii="宋体" w:hAnsi="宋体" w:eastAsia="宋体" w:cs="宋体"/>
        </w:rPr>
        <w:t>通过符合性审查的合格供应商不足3</w:t>
      </w:r>
      <w:r>
        <w:rPr>
          <w:rFonts w:hint="eastAsia" w:ascii="宋体" w:hAnsi="宋体" w:eastAsia="宋体" w:cs="宋体"/>
          <w:spacing w:val="-39"/>
        </w:rPr>
        <w:t xml:space="preserve"> </w:t>
      </w:r>
      <w:r>
        <w:rPr>
          <w:rFonts w:hint="eastAsia" w:ascii="宋体" w:hAnsi="宋体" w:eastAsia="宋体" w:cs="宋体"/>
        </w:rPr>
        <w:t>家的，不得进入磋商环节，采购人或者采</w:t>
      </w:r>
      <w:r>
        <w:rPr>
          <w:rFonts w:hint="eastAsia" w:ascii="宋体" w:hAnsi="宋体" w:eastAsia="宋体" w:cs="宋体"/>
          <w:spacing w:val="-1"/>
        </w:rPr>
        <w:t>购代理机构应当重新开展采购活动。</w:t>
      </w:r>
    </w:p>
    <w:p w14:paraId="71AC57A6">
      <w:pPr>
        <w:pStyle w:val="3"/>
        <w:shd w:val="clear"/>
        <w:spacing w:line="222" w:lineRule="auto"/>
        <w:ind w:left="480"/>
        <w:rPr>
          <w:rFonts w:hint="eastAsia" w:ascii="宋体" w:hAnsi="宋体" w:eastAsia="宋体" w:cs="宋体"/>
        </w:rPr>
      </w:pPr>
      <w:r>
        <w:rPr>
          <w:rFonts w:hint="eastAsia" w:ascii="宋体" w:hAnsi="宋体" w:eastAsia="宋体" w:cs="宋体"/>
          <w:b/>
          <w:bCs/>
          <w:spacing w:val="-4"/>
        </w:rPr>
        <w:t>3.磋商程序</w:t>
      </w:r>
    </w:p>
    <w:p w14:paraId="2DE3A20A">
      <w:pPr>
        <w:pStyle w:val="3"/>
        <w:shd w:val="clear"/>
        <w:spacing w:before="231" w:line="400" w:lineRule="auto"/>
        <w:ind w:left="1" w:right="12" w:firstLine="478"/>
        <w:rPr>
          <w:rFonts w:hint="eastAsia" w:ascii="宋体" w:hAnsi="宋体" w:eastAsia="宋体" w:cs="宋体"/>
        </w:rPr>
      </w:pPr>
      <w:r>
        <w:rPr>
          <w:rFonts w:hint="eastAsia" w:ascii="宋体" w:hAnsi="宋体" w:eastAsia="宋体" w:cs="宋体"/>
        </w:rPr>
        <w:t>3.1</w:t>
      </w:r>
      <w:r>
        <w:rPr>
          <w:rFonts w:hint="eastAsia" w:ascii="宋体" w:hAnsi="宋体" w:eastAsia="宋体" w:cs="宋体"/>
          <w:spacing w:val="-45"/>
        </w:rPr>
        <w:t xml:space="preserve"> </w:t>
      </w:r>
      <w:r>
        <w:rPr>
          <w:rFonts w:hint="eastAsia" w:ascii="宋体" w:hAnsi="宋体" w:eastAsia="宋体" w:cs="宋体"/>
        </w:rPr>
        <w:t>磋商小组集中与单一供应商分别进行</w:t>
      </w:r>
      <w:r>
        <w:rPr>
          <w:rFonts w:hint="eastAsia" w:ascii="宋体" w:hAnsi="宋体" w:eastAsia="宋体" w:cs="宋体"/>
          <w:spacing w:val="-1"/>
        </w:rPr>
        <w:t>磋商，并给予所有参加磋商的供应商平等</w:t>
      </w:r>
      <w:r>
        <w:rPr>
          <w:rFonts w:hint="eastAsia" w:ascii="宋体" w:hAnsi="宋体" w:eastAsia="宋体" w:cs="宋体"/>
          <w:spacing w:val="-2"/>
        </w:rPr>
        <w:t>的磋商机会。符合磋商资格的供应商必须在接到磋商通知后规定时间内参加磋商，未在</w:t>
      </w:r>
      <w:r>
        <w:rPr>
          <w:rFonts w:hint="eastAsia" w:ascii="宋体" w:hAnsi="宋体" w:eastAsia="宋体" w:cs="宋体"/>
          <w:spacing w:val="-1"/>
        </w:rPr>
        <w:t>规定时间内参加磋商的视同放弃参加磋商权利，其响应文件按无效响应处理。</w:t>
      </w:r>
    </w:p>
    <w:p w14:paraId="14D209E0">
      <w:pPr>
        <w:pStyle w:val="3"/>
        <w:shd w:val="clear"/>
        <w:spacing w:before="1" w:line="400" w:lineRule="auto"/>
        <w:ind w:left="16" w:right="12" w:firstLine="463"/>
        <w:rPr>
          <w:rFonts w:hint="eastAsia" w:ascii="宋体" w:hAnsi="宋体" w:eastAsia="宋体" w:cs="宋体"/>
        </w:rPr>
      </w:pPr>
      <w:r>
        <w:rPr>
          <w:rFonts w:hint="eastAsia" w:ascii="宋体" w:hAnsi="宋体" w:eastAsia="宋体" w:cs="宋体"/>
          <w:spacing w:val="-1"/>
        </w:rPr>
        <w:t>3.2</w:t>
      </w:r>
      <w:r>
        <w:rPr>
          <w:rFonts w:hint="eastAsia" w:ascii="宋体" w:hAnsi="宋体" w:eastAsia="宋体" w:cs="宋体"/>
          <w:spacing w:val="-26"/>
        </w:rPr>
        <w:t xml:space="preserve"> </w:t>
      </w:r>
      <w:r>
        <w:rPr>
          <w:rFonts w:hint="eastAsia" w:ascii="宋体" w:hAnsi="宋体" w:eastAsia="宋体" w:cs="宋体"/>
          <w:spacing w:val="-1"/>
        </w:rPr>
        <w:t>在磋商过程中，磋商小组可以根据磋商文件和磋商情况实质性变动采购需求中</w:t>
      </w:r>
      <w:r>
        <w:rPr>
          <w:rFonts w:hint="eastAsia" w:ascii="宋体" w:hAnsi="宋体" w:eastAsia="宋体" w:cs="宋体"/>
          <w:spacing w:val="-2"/>
        </w:rPr>
        <w:t>的技术、服务要求以及合同草案条款，但不得变动磋商文件中的其他内容。实</w:t>
      </w:r>
      <w:r>
        <w:rPr>
          <w:rFonts w:hint="eastAsia" w:ascii="宋体" w:hAnsi="宋体" w:eastAsia="宋体" w:cs="宋体"/>
          <w:spacing w:val="-3"/>
        </w:rPr>
        <w:t>质性变动</w:t>
      </w:r>
      <w:r>
        <w:rPr>
          <w:rFonts w:hint="eastAsia" w:ascii="宋体" w:hAnsi="宋体" w:eastAsia="宋体" w:cs="宋体"/>
          <w:spacing w:val="-2"/>
        </w:rPr>
        <w:t>的内容，须经采购人代表确认。可能实质性变动的内容为采购需求中的技术、</w:t>
      </w:r>
      <w:r>
        <w:rPr>
          <w:rFonts w:hint="eastAsia" w:ascii="宋体" w:hAnsi="宋体" w:eastAsia="宋体" w:cs="宋体"/>
          <w:spacing w:val="-3"/>
        </w:rPr>
        <w:t>服务要求</w:t>
      </w:r>
      <w:r>
        <w:rPr>
          <w:rFonts w:hint="eastAsia" w:ascii="宋体" w:hAnsi="宋体" w:eastAsia="宋体" w:cs="宋体"/>
          <w:spacing w:val="-4"/>
        </w:rPr>
        <w:t>以及合同草案条款。</w:t>
      </w:r>
    </w:p>
    <w:p w14:paraId="231AB72C">
      <w:pPr>
        <w:pStyle w:val="3"/>
        <w:shd w:val="clear"/>
        <w:spacing w:before="2" w:line="399" w:lineRule="auto"/>
        <w:ind w:left="29" w:right="12" w:firstLine="450"/>
        <w:rPr>
          <w:rFonts w:hint="eastAsia" w:ascii="宋体" w:hAnsi="宋体" w:eastAsia="宋体" w:cs="宋体"/>
        </w:rPr>
      </w:pPr>
      <w:r>
        <w:rPr>
          <w:rFonts w:hint="eastAsia" w:ascii="宋体" w:hAnsi="宋体" w:eastAsia="宋体" w:cs="宋体"/>
          <w:spacing w:val="-1"/>
        </w:rPr>
        <w:t>3.3</w:t>
      </w:r>
      <w:r>
        <w:rPr>
          <w:rFonts w:hint="eastAsia" w:ascii="宋体" w:hAnsi="宋体" w:eastAsia="宋体" w:cs="宋体"/>
          <w:spacing w:val="-26"/>
        </w:rPr>
        <w:t xml:space="preserve"> </w:t>
      </w:r>
      <w:r>
        <w:rPr>
          <w:rFonts w:hint="eastAsia" w:ascii="宋体" w:hAnsi="宋体" w:eastAsia="宋体" w:cs="宋体"/>
          <w:spacing w:val="-1"/>
        </w:rPr>
        <w:t>对磋商文件作出的实质性变动是磋商文件的有效组成部分，由磋商小组及时以</w:t>
      </w:r>
      <w:r>
        <w:rPr>
          <w:rFonts w:hint="eastAsia" w:ascii="宋体" w:hAnsi="宋体" w:eastAsia="宋体" w:cs="宋体"/>
          <w:spacing w:val="-2"/>
        </w:rPr>
        <w:t>电子澄清函形式同时通知所有参加磋商的供应商。</w:t>
      </w:r>
    </w:p>
    <w:p w14:paraId="74CD04A6">
      <w:pPr>
        <w:pStyle w:val="3"/>
        <w:shd w:val="clear"/>
        <w:spacing w:line="400" w:lineRule="auto"/>
        <w:ind w:right="12" w:firstLine="479"/>
        <w:rPr>
          <w:rFonts w:hint="eastAsia" w:ascii="宋体" w:hAnsi="宋体" w:eastAsia="宋体" w:cs="宋体"/>
        </w:rPr>
      </w:pPr>
      <w:r>
        <w:rPr>
          <w:rFonts w:hint="eastAsia" w:ascii="宋体" w:hAnsi="宋体" w:eastAsia="宋体" w:cs="宋体"/>
          <w:spacing w:val="-1"/>
        </w:rPr>
        <w:t>3.4</w:t>
      </w:r>
      <w:r>
        <w:rPr>
          <w:rFonts w:hint="eastAsia" w:ascii="宋体" w:hAnsi="宋体" w:eastAsia="宋体" w:cs="宋体"/>
          <w:spacing w:val="-26"/>
        </w:rPr>
        <w:t xml:space="preserve"> </w:t>
      </w:r>
      <w:r>
        <w:rPr>
          <w:rFonts w:hint="eastAsia" w:ascii="宋体" w:hAnsi="宋体" w:eastAsia="宋体" w:cs="宋体"/>
          <w:spacing w:val="-1"/>
        </w:rPr>
        <w:t>供应商必须按照磋商文件的变动情况和磋商小组的要求以回函的形式重新提交</w:t>
      </w:r>
      <w:r>
        <w:rPr>
          <w:rFonts w:hint="eastAsia" w:ascii="宋体" w:hAnsi="宋体" w:eastAsia="宋体" w:cs="宋体"/>
          <w:spacing w:val="-2"/>
        </w:rPr>
        <w:t>响应文件，并加盖电子签章。参加磋商的供应商未在规定时间内重新提交响应文件的，</w:t>
      </w:r>
      <w:r>
        <w:rPr>
          <w:rFonts w:hint="eastAsia" w:ascii="宋体" w:hAnsi="宋体" w:eastAsia="宋体" w:cs="宋体"/>
          <w:spacing w:val="-1"/>
        </w:rPr>
        <w:t>视同退出磋商，其响应文件按无效处理。</w:t>
      </w:r>
    </w:p>
    <w:p w14:paraId="2B2C048A">
      <w:pPr>
        <w:pStyle w:val="3"/>
        <w:shd w:val="clear"/>
        <w:spacing w:before="2" w:line="399" w:lineRule="auto"/>
        <w:ind w:left="3" w:firstLine="476"/>
        <w:rPr>
          <w:rFonts w:hint="eastAsia" w:ascii="宋体" w:hAnsi="宋体" w:eastAsia="宋体" w:cs="宋体"/>
        </w:rPr>
      </w:pPr>
      <w:r>
        <w:rPr>
          <w:rFonts w:hint="eastAsia" w:ascii="宋体" w:hAnsi="宋体" w:eastAsia="宋体" w:cs="宋体"/>
          <w:spacing w:val="-12"/>
        </w:rPr>
        <w:t>3.5</w:t>
      </w:r>
      <w:r>
        <w:rPr>
          <w:rFonts w:hint="eastAsia" w:ascii="宋体" w:hAnsi="宋体" w:eastAsia="宋体" w:cs="宋体"/>
          <w:spacing w:val="-45"/>
        </w:rPr>
        <w:t xml:space="preserve"> </w:t>
      </w:r>
      <w:r>
        <w:rPr>
          <w:rFonts w:hint="eastAsia" w:ascii="宋体" w:hAnsi="宋体" w:eastAsia="宋体" w:cs="宋体"/>
          <w:spacing w:val="-12"/>
        </w:rPr>
        <w:t>磋商中，磋商的任何一方不得透露与磋商</w:t>
      </w:r>
      <w:r>
        <w:rPr>
          <w:rFonts w:hint="eastAsia" w:ascii="宋体" w:hAnsi="宋体" w:eastAsia="宋体" w:cs="宋体"/>
          <w:spacing w:val="-13"/>
        </w:rPr>
        <w:t>有关的其他供应商的技术资料、价格和其</w:t>
      </w:r>
      <w:r>
        <w:rPr>
          <w:rFonts w:hint="eastAsia" w:ascii="宋体" w:hAnsi="宋体" w:eastAsia="宋体" w:cs="宋体"/>
          <w:spacing w:val="-11"/>
        </w:rPr>
        <w:t>他信息。</w:t>
      </w:r>
    </w:p>
    <w:p w14:paraId="0D7A29E1">
      <w:pPr>
        <w:pStyle w:val="3"/>
        <w:shd w:val="clear"/>
        <w:spacing w:before="1" w:line="220" w:lineRule="auto"/>
        <w:ind w:left="480"/>
        <w:rPr>
          <w:rFonts w:hint="eastAsia" w:ascii="宋体" w:hAnsi="宋体" w:eastAsia="宋体" w:cs="宋体"/>
        </w:rPr>
      </w:pPr>
      <w:r>
        <w:rPr>
          <w:rFonts w:hint="eastAsia" w:ascii="宋体" w:hAnsi="宋体" w:eastAsia="宋体" w:cs="宋体"/>
          <w:spacing w:val="-1"/>
        </w:rPr>
        <w:t>3.6</w:t>
      </w:r>
      <w:r>
        <w:rPr>
          <w:rFonts w:hint="eastAsia" w:ascii="宋体" w:hAnsi="宋体" w:eastAsia="宋体" w:cs="宋体"/>
          <w:spacing w:val="-43"/>
        </w:rPr>
        <w:t xml:space="preserve"> </w:t>
      </w:r>
      <w:r>
        <w:rPr>
          <w:rFonts w:hint="eastAsia" w:ascii="宋体" w:hAnsi="宋体" w:eastAsia="宋体" w:cs="宋体"/>
          <w:spacing w:val="-1"/>
        </w:rPr>
        <w:t>采购代理机构对磋商过程和重要磋商内</w:t>
      </w:r>
      <w:r>
        <w:rPr>
          <w:rFonts w:hint="eastAsia" w:ascii="宋体" w:hAnsi="宋体" w:eastAsia="宋体" w:cs="宋体"/>
          <w:spacing w:val="-2"/>
        </w:rPr>
        <w:t>容进行记录。</w:t>
      </w:r>
    </w:p>
    <w:p w14:paraId="760AD849">
      <w:pPr>
        <w:pStyle w:val="3"/>
        <w:shd w:val="clear"/>
        <w:spacing w:before="232" w:line="400" w:lineRule="auto"/>
        <w:ind w:right="9" w:firstLine="480"/>
        <w:rPr>
          <w:rFonts w:hint="eastAsia" w:ascii="宋体" w:hAnsi="宋体" w:eastAsia="宋体" w:cs="宋体"/>
        </w:rPr>
      </w:pPr>
      <w:r>
        <w:rPr>
          <w:rFonts w:hint="eastAsia" w:ascii="宋体" w:hAnsi="宋体" w:eastAsia="宋体" w:cs="宋体"/>
          <w:spacing w:val="-1"/>
        </w:rPr>
        <w:t>3.7</w:t>
      </w:r>
      <w:r>
        <w:rPr>
          <w:rFonts w:hint="eastAsia" w:ascii="宋体" w:hAnsi="宋体" w:eastAsia="宋体" w:cs="宋体"/>
          <w:spacing w:val="-26"/>
        </w:rPr>
        <w:t xml:space="preserve"> </w:t>
      </w:r>
      <w:r>
        <w:rPr>
          <w:rFonts w:hint="eastAsia" w:ascii="宋体" w:hAnsi="宋体" w:eastAsia="宋体" w:cs="宋体"/>
          <w:spacing w:val="-1"/>
        </w:rPr>
        <w:t>根据《财政部关于政府采购竞争性磋商采购方式管理暂行办法有关问题的补充</w:t>
      </w:r>
      <w:r>
        <w:rPr>
          <w:rFonts w:hint="eastAsia" w:ascii="宋体" w:hAnsi="宋体" w:eastAsia="宋体" w:cs="宋体"/>
        </w:rPr>
        <w:t>通知》（财库〔2015〕124</w:t>
      </w:r>
      <w:r>
        <w:rPr>
          <w:rFonts w:hint="eastAsia" w:ascii="宋体" w:hAnsi="宋体" w:eastAsia="宋体" w:cs="宋体"/>
          <w:spacing w:val="-38"/>
        </w:rPr>
        <w:t xml:space="preserve"> </w:t>
      </w:r>
      <w:r>
        <w:rPr>
          <w:rFonts w:hint="eastAsia" w:ascii="宋体" w:hAnsi="宋体" w:eastAsia="宋体" w:cs="宋体"/>
        </w:rPr>
        <w:t>号）的规</w:t>
      </w:r>
      <w:r>
        <w:rPr>
          <w:rFonts w:hint="eastAsia" w:ascii="宋体" w:hAnsi="宋体" w:eastAsia="宋体" w:cs="宋体"/>
          <w:spacing w:val="-1"/>
        </w:rPr>
        <w:t>定，采用竞争性磋商采购方式采购的政府购买服务</w:t>
      </w:r>
      <w:r>
        <w:rPr>
          <w:rFonts w:hint="eastAsia" w:ascii="宋体" w:hAnsi="宋体" w:eastAsia="宋体" w:cs="宋体"/>
          <w:spacing w:val="-2"/>
        </w:rPr>
        <w:t>项目（含政府和社会资本合作项目</w:t>
      </w:r>
      <w:r>
        <w:rPr>
          <w:rFonts w:hint="eastAsia" w:ascii="宋体" w:hAnsi="宋体" w:eastAsia="宋体" w:cs="宋体"/>
          <w:spacing w:val="4"/>
        </w:rPr>
        <w:t>），</w:t>
      </w:r>
      <w:r>
        <w:rPr>
          <w:rFonts w:hint="eastAsia" w:ascii="宋体" w:hAnsi="宋体" w:eastAsia="宋体" w:cs="宋体"/>
          <w:spacing w:val="-2"/>
        </w:rPr>
        <w:t>在采购过程中符合要求的供应商（社会资本）只有</w:t>
      </w:r>
      <w:r>
        <w:rPr>
          <w:rFonts w:hint="eastAsia" w:ascii="宋体" w:hAnsi="宋体" w:eastAsia="宋体" w:cs="宋体"/>
          <w:spacing w:val="-48"/>
        </w:rPr>
        <w:t xml:space="preserve"> </w:t>
      </w:r>
      <w:r>
        <w:rPr>
          <w:rFonts w:hint="eastAsia" w:ascii="宋体" w:hAnsi="宋体" w:eastAsia="宋体" w:cs="宋体"/>
          <w:spacing w:val="-2"/>
        </w:rPr>
        <w:t>2</w:t>
      </w:r>
      <w:r>
        <w:rPr>
          <w:rFonts w:hint="eastAsia" w:ascii="宋体" w:hAnsi="宋体" w:eastAsia="宋体" w:cs="宋体"/>
          <w:spacing w:val="-42"/>
        </w:rPr>
        <w:t xml:space="preserve"> </w:t>
      </w:r>
      <w:r>
        <w:rPr>
          <w:rFonts w:hint="eastAsia" w:ascii="宋体" w:hAnsi="宋体" w:eastAsia="宋体" w:cs="宋体"/>
          <w:spacing w:val="-2"/>
        </w:rPr>
        <w:t>家的，竞争性磋商采购活动可以继续进行。</w:t>
      </w:r>
      <w:r>
        <w:rPr>
          <w:rFonts w:hint="eastAsia" w:ascii="宋体" w:hAnsi="宋体" w:eastAsia="宋体" w:cs="宋体"/>
          <w:spacing w:val="-3"/>
        </w:rPr>
        <w:t>采购过程中符合要求的供应商（社会资本）只有</w:t>
      </w:r>
      <w:r>
        <w:rPr>
          <w:rFonts w:hint="eastAsia" w:ascii="宋体" w:hAnsi="宋体" w:eastAsia="宋体" w:cs="宋体"/>
          <w:spacing w:val="-27"/>
        </w:rPr>
        <w:t xml:space="preserve"> </w:t>
      </w:r>
      <w:r>
        <w:rPr>
          <w:rFonts w:hint="eastAsia" w:ascii="宋体" w:hAnsi="宋体" w:eastAsia="宋体" w:cs="宋体"/>
          <w:spacing w:val="-3"/>
        </w:rPr>
        <w:t>1</w:t>
      </w:r>
      <w:r>
        <w:rPr>
          <w:rFonts w:hint="eastAsia" w:ascii="宋体" w:hAnsi="宋体" w:eastAsia="宋体" w:cs="宋体"/>
          <w:spacing w:val="-42"/>
        </w:rPr>
        <w:t xml:space="preserve"> </w:t>
      </w:r>
      <w:r>
        <w:rPr>
          <w:rFonts w:hint="eastAsia" w:ascii="宋体" w:hAnsi="宋体" w:eastAsia="宋体" w:cs="宋体"/>
          <w:spacing w:val="-3"/>
        </w:rPr>
        <w:t>家的，采购人（项目实施机构）或者采购代理机构应当终止竞争性磋商采购</w:t>
      </w:r>
      <w:r>
        <w:rPr>
          <w:rFonts w:hint="eastAsia" w:ascii="宋体" w:hAnsi="宋体" w:eastAsia="宋体" w:cs="宋体"/>
          <w:spacing w:val="-1"/>
        </w:rPr>
        <w:t>活动，发布项目终止公告并说明原因，重新开展采购活动。</w:t>
      </w:r>
    </w:p>
    <w:p w14:paraId="1727AC0C">
      <w:pPr>
        <w:pStyle w:val="3"/>
        <w:shd w:val="clear"/>
        <w:spacing w:before="230" w:line="400" w:lineRule="auto"/>
        <w:ind w:firstLine="471"/>
        <w:rPr>
          <w:rFonts w:hint="eastAsia" w:ascii="宋体" w:hAnsi="宋体" w:eastAsia="宋体" w:cs="宋体"/>
        </w:rPr>
      </w:pPr>
      <w:r>
        <w:rPr>
          <w:rFonts w:hint="eastAsia" w:ascii="宋体" w:hAnsi="宋体" w:eastAsia="宋体" w:cs="宋体"/>
          <w:spacing w:val="-2"/>
        </w:rPr>
        <w:t>3.8</w:t>
      </w:r>
      <w:r>
        <w:rPr>
          <w:rFonts w:hint="eastAsia" w:ascii="宋体" w:hAnsi="宋体" w:eastAsia="宋体" w:cs="宋体"/>
          <w:spacing w:val="-21"/>
        </w:rPr>
        <w:t xml:space="preserve"> </w:t>
      </w:r>
      <w:r>
        <w:rPr>
          <w:rFonts w:hint="eastAsia" w:ascii="宋体" w:hAnsi="宋体" w:eastAsia="宋体" w:cs="宋体"/>
          <w:spacing w:val="-2"/>
        </w:rPr>
        <w:t>除本章第</w:t>
      </w:r>
      <w:r>
        <w:rPr>
          <w:rFonts w:hint="eastAsia" w:ascii="宋体" w:hAnsi="宋体" w:eastAsia="宋体" w:cs="宋体"/>
          <w:spacing w:val="-44"/>
        </w:rPr>
        <w:t xml:space="preserve"> </w:t>
      </w:r>
      <w:r>
        <w:rPr>
          <w:rFonts w:hint="eastAsia" w:ascii="宋体" w:hAnsi="宋体" w:eastAsia="宋体" w:cs="宋体"/>
          <w:spacing w:val="-2"/>
        </w:rPr>
        <w:t>3.7</w:t>
      </w:r>
      <w:r>
        <w:rPr>
          <w:rFonts w:hint="eastAsia" w:ascii="宋体" w:hAnsi="宋体" w:eastAsia="宋体" w:cs="宋体"/>
          <w:spacing w:val="-42"/>
        </w:rPr>
        <w:t xml:space="preserve"> </w:t>
      </w:r>
      <w:r>
        <w:rPr>
          <w:rFonts w:hint="eastAsia" w:ascii="宋体" w:hAnsi="宋体" w:eastAsia="宋体" w:cs="宋体"/>
          <w:spacing w:val="-2"/>
        </w:rPr>
        <w:t>条情形外，对磋商过程提交的响应文件进行有效性、完整性和响</w:t>
      </w:r>
      <w:r>
        <w:rPr>
          <w:rFonts w:hint="eastAsia" w:ascii="宋体" w:hAnsi="宋体" w:eastAsia="宋体" w:cs="宋体"/>
          <w:spacing w:val="-1"/>
        </w:rPr>
        <w:t>应程度审查，通过审查的合格供应商不足3</w:t>
      </w:r>
      <w:r>
        <w:rPr>
          <w:rFonts w:hint="eastAsia" w:ascii="宋体" w:hAnsi="宋体" w:eastAsia="宋体" w:cs="宋体"/>
          <w:spacing w:val="-27"/>
        </w:rPr>
        <w:t xml:space="preserve"> </w:t>
      </w:r>
      <w:r>
        <w:rPr>
          <w:rFonts w:hint="eastAsia" w:ascii="宋体" w:hAnsi="宋体" w:eastAsia="宋体" w:cs="宋体"/>
          <w:spacing w:val="-1"/>
        </w:rPr>
        <w:t>家的，采购人或者采购代理机构应当重新开</w:t>
      </w:r>
      <w:r>
        <w:rPr>
          <w:rFonts w:hint="eastAsia" w:ascii="宋体" w:hAnsi="宋体" w:eastAsia="宋体" w:cs="宋体"/>
          <w:spacing w:val="-3"/>
        </w:rPr>
        <w:t>展采购活动。</w:t>
      </w:r>
    </w:p>
    <w:p w14:paraId="7F880914">
      <w:pPr>
        <w:pStyle w:val="3"/>
        <w:shd w:val="clear"/>
        <w:spacing w:line="222" w:lineRule="auto"/>
        <w:ind w:left="472"/>
        <w:rPr>
          <w:rFonts w:hint="eastAsia" w:ascii="宋体" w:hAnsi="宋体" w:eastAsia="宋体" w:cs="宋体"/>
        </w:rPr>
      </w:pPr>
      <w:r>
        <w:rPr>
          <w:rFonts w:hint="eastAsia" w:ascii="宋体" w:hAnsi="宋体" w:eastAsia="宋体" w:cs="宋体"/>
          <w:b/>
          <w:bCs/>
          <w:spacing w:val="-7"/>
        </w:rPr>
        <w:t>4.</w:t>
      </w:r>
      <w:r>
        <w:rPr>
          <w:rFonts w:hint="eastAsia" w:ascii="宋体" w:hAnsi="宋体" w:eastAsia="宋体" w:cs="宋体"/>
          <w:spacing w:val="23"/>
        </w:rPr>
        <w:t xml:space="preserve"> </w:t>
      </w:r>
      <w:r>
        <w:rPr>
          <w:rFonts w:hint="eastAsia" w:ascii="宋体" w:hAnsi="宋体" w:eastAsia="宋体" w:cs="宋体"/>
          <w:b/>
          <w:bCs/>
          <w:spacing w:val="-7"/>
        </w:rPr>
        <w:t>最后报价</w:t>
      </w:r>
    </w:p>
    <w:p w14:paraId="6FB842C9">
      <w:pPr>
        <w:pStyle w:val="3"/>
        <w:shd w:val="clear"/>
        <w:spacing w:before="230" w:line="400" w:lineRule="auto"/>
        <w:ind w:firstLine="471"/>
        <w:rPr>
          <w:rFonts w:hint="eastAsia" w:ascii="宋体" w:hAnsi="宋体" w:eastAsia="宋体" w:cs="宋体"/>
        </w:rPr>
      </w:pPr>
      <w:r>
        <w:rPr>
          <w:rFonts w:hint="eastAsia" w:ascii="宋体" w:hAnsi="宋体" w:eastAsia="宋体" w:cs="宋体"/>
        </w:rPr>
        <w:t>4.1</w:t>
      </w:r>
      <w:r>
        <w:rPr>
          <w:rFonts w:hint="eastAsia" w:ascii="宋体" w:hAnsi="宋体" w:eastAsia="宋体" w:cs="宋体"/>
          <w:spacing w:val="-45"/>
        </w:rPr>
        <w:t xml:space="preserve"> </w:t>
      </w:r>
      <w:r>
        <w:rPr>
          <w:rFonts w:hint="eastAsia" w:ascii="宋体" w:hAnsi="宋体" w:eastAsia="宋体" w:cs="宋体"/>
        </w:rPr>
        <w:t>磋商文件能够详细列明采购标的的技术、服务要求</w:t>
      </w:r>
      <w:r>
        <w:rPr>
          <w:rFonts w:hint="eastAsia" w:ascii="宋体" w:hAnsi="宋体" w:eastAsia="宋体" w:cs="宋体"/>
          <w:spacing w:val="-1"/>
        </w:rPr>
        <w:t>的，磋商结束后，磋商小组</w:t>
      </w:r>
      <w:r>
        <w:rPr>
          <w:rFonts w:hint="eastAsia" w:ascii="宋体" w:hAnsi="宋体" w:eastAsia="宋体" w:cs="宋体"/>
          <w:spacing w:val="5"/>
        </w:rPr>
        <w:t>应当要求所有继续参加磋商的供应商在规定时间内在广西政</w:t>
      </w:r>
      <w:r>
        <w:rPr>
          <w:rFonts w:hint="eastAsia" w:ascii="宋体" w:hAnsi="宋体" w:eastAsia="宋体" w:cs="宋体"/>
          <w:spacing w:val="4"/>
        </w:rPr>
        <w:t>府采购云平台开标大厅提</w:t>
      </w:r>
      <w:r>
        <w:rPr>
          <w:rFonts w:hint="eastAsia" w:ascii="宋体" w:hAnsi="宋体" w:eastAsia="宋体" w:cs="宋体"/>
        </w:rPr>
        <w:t>交最后报价，除本章第4.3</w:t>
      </w:r>
      <w:r>
        <w:rPr>
          <w:rFonts w:hint="eastAsia" w:ascii="宋体" w:hAnsi="宋体" w:eastAsia="宋体" w:cs="宋体"/>
          <w:spacing w:val="-24"/>
        </w:rPr>
        <w:t xml:space="preserve"> </w:t>
      </w:r>
      <w:r>
        <w:rPr>
          <w:rFonts w:hint="eastAsia" w:ascii="宋体" w:hAnsi="宋体" w:eastAsia="宋体" w:cs="宋体"/>
        </w:rPr>
        <w:t>条外，提交最后报价的供应商不得少于3</w:t>
      </w:r>
      <w:r>
        <w:rPr>
          <w:rFonts w:hint="eastAsia" w:ascii="宋体" w:hAnsi="宋体" w:eastAsia="宋体" w:cs="宋体"/>
          <w:spacing w:val="-41"/>
        </w:rPr>
        <w:t xml:space="preserve"> </w:t>
      </w:r>
      <w:r>
        <w:rPr>
          <w:rFonts w:hint="eastAsia" w:ascii="宋体" w:hAnsi="宋体" w:eastAsia="宋体" w:cs="宋体"/>
        </w:rPr>
        <w:t>家，否则必须重新</w:t>
      </w:r>
      <w:r>
        <w:rPr>
          <w:rFonts w:hint="eastAsia" w:ascii="宋体" w:hAnsi="宋体" w:eastAsia="宋体" w:cs="宋体"/>
          <w:spacing w:val="-6"/>
        </w:rPr>
        <w:t>采购。</w:t>
      </w:r>
    </w:p>
    <w:p w14:paraId="67203FD3">
      <w:pPr>
        <w:pStyle w:val="3"/>
        <w:shd w:val="clear"/>
        <w:spacing w:line="400" w:lineRule="auto"/>
        <w:ind w:firstLine="471"/>
        <w:rPr>
          <w:rFonts w:hint="eastAsia" w:ascii="宋体" w:hAnsi="宋体" w:eastAsia="宋体" w:cs="宋体"/>
          <w:highlight w:val="none"/>
          <w:lang w:eastAsia="zh-CN"/>
        </w:rPr>
      </w:pPr>
      <w:r>
        <w:rPr>
          <w:rFonts w:hint="eastAsia" w:ascii="宋体" w:hAnsi="宋体" w:eastAsia="宋体" w:cs="宋体"/>
        </w:rPr>
        <w:t>4.2</w:t>
      </w:r>
      <w:r>
        <w:rPr>
          <w:rFonts w:hint="eastAsia" w:ascii="宋体" w:hAnsi="宋体" w:eastAsia="宋体" w:cs="宋体"/>
          <w:spacing w:val="-45"/>
        </w:rPr>
        <w:t xml:space="preserve"> </w:t>
      </w:r>
      <w:r>
        <w:rPr>
          <w:rFonts w:hint="eastAsia" w:ascii="宋体" w:hAnsi="宋体" w:eastAsia="宋体" w:cs="宋体"/>
        </w:rPr>
        <w:t>磋商文件不能详细列明采购标的的技术、服务要求</w:t>
      </w:r>
      <w:r>
        <w:rPr>
          <w:rFonts w:hint="eastAsia" w:ascii="宋体" w:hAnsi="宋体" w:eastAsia="宋体" w:cs="宋体"/>
          <w:spacing w:val="-1"/>
        </w:rPr>
        <w:t>，需经磋商由供应商提供最</w:t>
      </w:r>
      <w:r>
        <w:rPr>
          <w:rFonts w:hint="eastAsia" w:ascii="宋体" w:hAnsi="宋体" w:eastAsia="宋体" w:cs="宋体"/>
          <w:spacing w:val="-2"/>
        </w:rPr>
        <w:t>后设计方案或者解决方案的，磋商结束后，由磋商小组按照少数服从多数的原则投票推</w:t>
      </w:r>
      <w:r>
        <w:rPr>
          <w:rFonts w:hint="eastAsia" w:ascii="宋体" w:hAnsi="宋体" w:eastAsia="宋体" w:cs="宋体"/>
          <w:spacing w:val="-3"/>
        </w:rPr>
        <w:t>荐</w:t>
      </w:r>
      <w:r>
        <w:rPr>
          <w:rFonts w:hint="eastAsia" w:ascii="宋体" w:hAnsi="宋体" w:eastAsia="宋体" w:cs="宋体"/>
          <w:spacing w:val="-30"/>
        </w:rPr>
        <w:t xml:space="preserve"> </w:t>
      </w:r>
      <w:r>
        <w:rPr>
          <w:rFonts w:hint="eastAsia" w:ascii="宋体" w:hAnsi="宋体" w:eastAsia="宋体" w:cs="宋体"/>
          <w:spacing w:val="-3"/>
        </w:rPr>
        <w:t>3</w:t>
      </w:r>
      <w:r>
        <w:rPr>
          <w:rFonts w:hint="eastAsia" w:ascii="宋体" w:hAnsi="宋体" w:eastAsia="宋体" w:cs="宋体"/>
          <w:spacing w:val="-41"/>
        </w:rPr>
        <w:t xml:space="preserve"> </w:t>
      </w:r>
      <w:r>
        <w:rPr>
          <w:rFonts w:hint="eastAsia" w:ascii="宋体" w:hAnsi="宋体" w:eastAsia="宋体" w:cs="宋体"/>
          <w:spacing w:val="-3"/>
        </w:rPr>
        <w:t>家以上供应商的设计方案或者解决方案，并要求其在规定时间内在广西政府采购云</w:t>
      </w:r>
      <w:r>
        <w:rPr>
          <w:rFonts w:hint="eastAsia" w:ascii="宋体" w:hAnsi="宋体" w:eastAsia="宋体" w:cs="宋体"/>
          <w:spacing w:val="-2"/>
        </w:rPr>
        <w:t>平台开标大厅提交最后报价</w:t>
      </w:r>
      <w:r>
        <w:rPr>
          <w:rFonts w:hint="eastAsia" w:ascii="宋体" w:hAnsi="宋体" w:eastAsia="宋体" w:cs="宋体"/>
          <w:spacing w:val="-2"/>
          <w:highlight w:val="none"/>
        </w:rPr>
        <w:t>。</w:t>
      </w:r>
      <w:r>
        <w:rPr>
          <w:rFonts w:hint="eastAsia" w:ascii="宋体" w:hAnsi="宋体" w:eastAsia="宋体" w:cs="宋体"/>
          <w:b/>
          <w:bCs/>
          <w:spacing w:val="-2"/>
          <w:highlight w:val="none"/>
        </w:rPr>
        <w:t>如果供应商的最后报价与首次报价不一致的，不能只报竞标总报价，必须同时提供“</w:t>
      </w:r>
      <w:r>
        <w:rPr>
          <w:rFonts w:hint="eastAsia" w:ascii="宋体" w:hAnsi="宋体" w:eastAsia="宋体" w:cs="宋体"/>
          <w:b/>
          <w:bCs/>
          <w:spacing w:val="-2"/>
          <w:highlight w:val="none"/>
          <w:lang w:val="en-US" w:eastAsia="zh-CN"/>
        </w:rPr>
        <w:t>竞标报价表</w:t>
      </w:r>
      <w:r>
        <w:rPr>
          <w:rFonts w:hint="eastAsia" w:ascii="宋体" w:hAnsi="宋体" w:eastAsia="宋体" w:cs="宋体"/>
          <w:b/>
          <w:bCs/>
          <w:spacing w:val="-2"/>
          <w:highlight w:val="none"/>
        </w:rPr>
        <w:t>”</w:t>
      </w:r>
      <w:r>
        <w:rPr>
          <w:rFonts w:hint="eastAsia" w:ascii="宋体" w:hAnsi="宋体" w:eastAsia="宋体" w:cs="宋体"/>
          <w:b/>
          <w:bCs/>
          <w:spacing w:val="-2"/>
          <w:highlight w:val="none"/>
          <w:lang w:eastAsia="zh-CN"/>
        </w:rPr>
        <w:t>。</w:t>
      </w:r>
    </w:p>
    <w:p w14:paraId="6C77C7BD">
      <w:pPr>
        <w:pStyle w:val="3"/>
        <w:shd w:val="clear"/>
        <w:spacing w:before="3" w:line="399" w:lineRule="auto"/>
        <w:ind w:left="6" w:firstLine="465"/>
        <w:rPr>
          <w:rFonts w:hint="eastAsia" w:ascii="宋体" w:hAnsi="宋体" w:eastAsia="宋体" w:cs="宋体"/>
        </w:rPr>
      </w:pPr>
      <w:r>
        <w:rPr>
          <w:rFonts w:hint="eastAsia" w:ascii="宋体" w:hAnsi="宋体" w:eastAsia="宋体" w:cs="宋体"/>
          <w:spacing w:val="-1"/>
        </w:rPr>
        <w:t>4.3 最后报价是供应商响应文件的有效</w:t>
      </w:r>
      <w:r>
        <w:rPr>
          <w:rFonts w:hint="eastAsia" w:ascii="宋体" w:hAnsi="宋体" w:eastAsia="宋体" w:cs="宋体"/>
          <w:spacing w:val="-2"/>
        </w:rPr>
        <w:t>组成部分。符合《政府采购竞争性磋商采购</w:t>
      </w:r>
      <w:r>
        <w:rPr>
          <w:rFonts w:hint="eastAsia" w:ascii="宋体" w:hAnsi="宋体" w:eastAsia="宋体" w:cs="宋体"/>
          <w:spacing w:val="-1"/>
        </w:rPr>
        <w:t>方式管理暂行办法》（财库〔2014〕214</w:t>
      </w:r>
      <w:r>
        <w:rPr>
          <w:rFonts w:hint="eastAsia" w:ascii="宋体" w:hAnsi="宋体" w:eastAsia="宋体" w:cs="宋体"/>
          <w:spacing w:val="-30"/>
        </w:rPr>
        <w:t xml:space="preserve"> </w:t>
      </w:r>
      <w:r>
        <w:rPr>
          <w:rFonts w:hint="eastAsia" w:ascii="宋体" w:hAnsi="宋体" w:eastAsia="宋体" w:cs="宋体"/>
          <w:spacing w:val="-1"/>
        </w:rPr>
        <w:t>号）第三条第四项“市场竞争不充分的科研项</w:t>
      </w:r>
      <w:r>
        <w:rPr>
          <w:rFonts w:hint="eastAsia" w:ascii="宋体" w:hAnsi="宋体" w:eastAsia="宋体" w:cs="宋体"/>
          <w:spacing w:val="-2"/>
        </w:rPr>
        <w:t>目，以及需要扶持的科技成果转化项目</w:t>
      </w:r>
      <w:r>
        <w:rPr>
          <w:rFonts w:hint="eastAsia" w:ascii="宋体" w:hAnsi="宋体" w:eastAsia="宋体" w:cs="宋体"/>
          <w:spacing w:val="-72"/>
        </w:rPr>
        <w:t xml:space="preserve"> </w:t>
      </w:r>
      <w:r>
        <w:rPr>
          <w:rFonts w:hint="eastAsia" w:ascii="宋体" w:hAnsi="宋体" w:eastAsia="宋体" w:cs="宋体"/>
          <w:spacing w:val="-2"/>
        </w:rPr>
        <w:t>”和本章第3.7</w:t>
      </w:r>
      <w:r>
        <w:rPr>
          <w:rFonts w:hint="eastAsia" w:ascii="宋体" w:hAnsi="宋体" w:eastAsia="宋体" w:cs="宋体"/>
          <w:spacing w:val="-41"/>
        </w:rPr>
        <w:t xml:space="preserve"> </w:t>
      </w:r>
      <w:r>
        <w:rPr>
          <w:rFonts w:hint="eastAsia" w:ascii="宋体" w:hAnsi="宋体" w:eastAsia="宋体" w:cs="宋体"/>
          <w:spacing w:val="-2"/>
        </w:rPr>
        <w:t>条情形的，提交最后报价的供应</w:t>
      </w:r>
      <w:r>
        <w:rPr>
          <w:rFonts w:hint="eastAsia" w:ascii="宋体" w:hAnsi="宋体" w:eastAsia="宋体" w:cs="宋体"/>
          <w:spacing w:val="-8"/>
        </w:rPr>
        <w:t>商可以为</w:t>
      </w:r>
      <w:r>
        <w:rPr>
          <w:rFonts w:hint="eastAsia" w:ascii="宋体" w:hAnsi="宋体" w:eastAsia="宋体" w:cs="宋体"/>
          <w:spacing w:val="-46"/>
        </w:rPr>
        <w:t xml:space="preserve"> </w:t>
      </w:r>
      <w:r>
        <w:rPr>
          <w:rFonts w:hint="eastAsia" w:ascii="宋体" w:hAnsi="宋体" w:eastAsia="宋体" w:cs="宋体"/>
          <w:spacing w:val="-8"/>
        </w:rPr>
        <w:t>2</w:t>
      </w:r>
      <w:r>
        <w:rPr>
          <w:rFonts w:hint="eastAsia" w:ascii="宋体" w:hAnsi="宋体" w:eastAsia="宋体" w:cs="宋体"/>
          <w:spacing w:val="-41"/>
        </w:rPr>
        <w:t xml:space="preserve"> </w:t>
      </w:r>
      <w:r>
        <w:rPr>
          <w:rFonts w:hint="eastAsia" w:ascii="宋体" w:hAnsi="宋体" w:eastAsia="宋体" w:cs="宋体"/>
          <w:spacing w:val="-8"/>
        </w:rPr>
        <w:t>家。</w:t>
      </w:r>
    </w:p>
    <w:p w14:paraId="47D02ED5">
      <w:pPr>
        <w:pStyle w:val="3"/>
        <w:shd w:val="clear"/>
        <w:spacing w:before="4" w:line="399" w:lineRule="auto"/>
        <w:ind w:firstLine="472"/>
        <w:rPr>
          <w:rFonts w:hint="eastAsia" w:ascii="宋体" w:hAnsi="宋体" w:eastAsia="宋体" w:cs="宋体"/>
        </w:rPr>
      </w:pPr>
      <w:r>
        <w:rPr>
          <w:rFonts w:hint="eastAsia" w:ascii="宋体" w:hAnsi="宋体" w:eastAsia="宋体" w:cs="宋体"/>
          <w:spacing w:val="-1"/>
        </w:rPr>
        <w:t>4.4 已经提交响应文件的供应商，在提</w:t>
      </w:r>
      <w:r>
        <w:rPr>
          <w:rFonts w:hint="eastAsia" w:ascii="宋体" w:hAnsi="宋体" w:eastAsia="宋体" w:cs="宋体"/>
          <w:spacing w:val="-2"/>
        </w:rPr>
        <w:t>交最后报价之前，可以根据磋商情况退出磋商，退出磋商的供应商的响应文件按无效响应处理。采购人、采购代理机构将退还退出磋商的供应商的保证金。</w:t>
      </w:r>
    </w:p>
    <w:p w14:paraId="7AC5B1CD">
      <w:pPr>
        <w:pStyle w:val="3"/>
        <w:shd w:val="clear"/>
        <w:spacing w:before="2" w:line="400" w:lineRule="auto"/>
        <w:ind w:left="2" w:firstLine="469"/>
        <w:rPr>
          <w:rFonts w:hint="eastAsia" w:ascii="宋体" w:hAnsi="宋体" w:eastAsia="宋体" w:cs="宋体"/>
        </w:rPr>
      </w:pPr>
      <w:r>
        <w:rPr>
          <w:rFonts w:hint="eastAsia" w:ascii="宋体" w:hAnsi="宋体" w:eastAsia="宋体" w:cs="宋体"/>
        </w:rPr>
        <w:t>4.5</w:t>
      </w:r>
      <w:r>
        <w:rPr>
          <w:rFonts w:hint="eastAsia" w:ascii="宋体" w:hAnsi="宋体" w:eastAsia="宋体" w:cs="宋体"/>
          <w:spacing w:val="-43"/>
        </w:rPr>
        <w:t xml:space="preserve"> </w:t>
      </w:r>
      <w:r>
        <w:rPr>
          <w:rFonts w:hint="eastAsia" w:ascii="宋体" w:hAnsi="宋体" w:eastAsia="宋体" w:cs="宋体"/>
        </w:rPr>
        <w:t>供应商未在规定时间内提交最后报价的，视同</w:t>
      </w:r>
      <w:r>
        <w:rPr>
          <w:rFonts w:hint="eastAsia" w:ascii="宋体" w:hAnsi="宋体" w:eastAsia="宋体" w:cs="宋体"/>
          <w:spacing w:val="-1"/>
        </w:rPr>
        <w:t>退出磋商，其响应文件按无效处</w:t>
      </w:r>
      <w:r>
        <w:rPr>
          <w:rFonts w:hint="eastAsia" w:ascii="宋体" w:hAnsi="宋体" w:eastAsia="宋体" w:cs="宋体"/>
          <w:spacing w:val="-9"/>
        </w:rPr>
        <w:t>理。</w:t>
      </w:r>
    </w:p>
    <w:p w14:paraId="6713DFB4">
      <w:pPr>
        <w:pStyle w:val="3"/>
        <w:shd w:val="clear"/>
        <w:spacing w:before="2" w:line="399" w:lineRule="auto"/>
        <w:ind w:left="19" w:firstLine="452"/>
        <w:rPr>
          <w:rFonts w:hint="eastAsia" w:ascii="宋体" w:hAnsi="宋体" w:eastAsia="宋体" w:cs="宋体"/>
        </w:rPr>
      </w:pPr>
      <w:r>
        <w:rPr>
          <w:rFonts w:hint="eastAsia" w:ascii="宋体" w:hAnsi="宋体" w:eastAsia="宋体" w:cs="宋体"/>
          <w:spacing w:val="-1"/>
        </w:rPr>
        <w:t>4.6</w:t>
      </w:r>
      <w:r>
        <w:rPr>
          <w:rFonts w:hint="eastAsia" w:ascii="宋体" w:hAnsi="宋体" w:eastAsia="宋体" w:cs="宋体"/>
          <w:spacing w:val="-20"/>
        </w:rPr>
        <w:t xml:space="preserve"> </w:t>
      </w:r>
      <w:r>
        <w:rPr>
          <w:rFonts w:hint="eastAsia" w:ascii="宋体" w:hAnsi="宋体" w:eastAsia="宋体" w:cs="宋体"/>
          <w:spacing w:val="-1"/>
        </w:rPr>
        <w:t>最后报价统一开启后，磋商小组对最后报价进行有效性、完整性和响应程度的</w:t>
      </w:r>
      <w:r>
        <w:rPr>
          <w:rFonts w:hint="eastAsia" w:ascii="宋体" w:hAnsi="宋体" w:eastAsia="宋体" w:cs="宋体"/>
          <w:spacing w:val="-12"/>
        </w:rPr>
        <w:t>审查。</w:t>
      </w:r>
    </w:p>
    <w:p w14:paraId="47A325C3">
      <w:pPr>
        <w:pStyle w:val="3"/>
        <w:shd w:val="clear"/>
        <w:spacing w:line="221" w:lineRule="auto"/>
        <w:ind w:left="472"/>
        <w:rPr>
          <w:rFonts w:hint="eastAsia" w:ascii="宋体" w:hAnsi="宋体" w:eastAsia="宋体" w:cs="宋体"/>
        </w:rPr>
      </w:pPr>
      <w:r>
        <w:rPr>
          <w:rFonts w:hint="eastAsia" w:ascii="宋体" w:hAnsi="宋体" w:eastAsia="宋体" w:cs="宋体"/>
        </w:rPr>
        <w:t>4.7</w:t>
      </w:r>
      <w:r>
        <w:rPr>
          <w:rFonts w:hint="eastAsia" w:ascii="宋体" w:hAnsi="宋体" w:eastAsia="宋体" w:cs="宋体"/>
          <w:spacing w:val="-28"/>
        </w:rPr>
        <w:t xml:space="preserve"> </w:t>
      </w:r>
      <w:r>
        <w:rPr>
          <w:rFonts w:hint="eastAsia" w:ascii="宋体" w:hAnsi="宋体" w:eastAsia="宋体" w:cs="宋体"/>
        </w:rPr>
        <w:t>最后报价出现前后不一致的，按照本章第2.4</w:t>
      </w:r>
      <w:r>
        <w:rPr>
          <w:rFonts w:hint="eastAsia" w:ascii="宋体" w:hAnsi="宋体" w:eastAsia="宋体" w:cs="宋体"/>
          <w:spacing w:val="-41"/>
        </w:rPr>
        <w:t xml:space="preserve"> </w:t>
      </w:r>
      <w:r>
        <w:rPr>
          <w:rFonts w:hint="eastAsia" w:ascii="宋体" w:hAnsi="宋体" w:eastAsia="宋体" w:cs="宋体"/>
        </w:rPr>
        <w:t>条的规定修正。</w:t>
      </w:r>
    </w:p>
    <w:p w14:paraId="75064AA0">
      <w:pPr>
        <w:pStyle w:val="3"/>
        <w:shd w:val="clear"/>
        <w:spacing w:before="234" w:line="222" w:lineRule="auto"/>
        <w:ind w:left="472"/>
        <w:rPr>
          <w:rFonts w:hint="eastAsia" w:ascii="宋体" w:hAnsi="宋体" w:eastAsia="宋体" w:cs="宋体"/>
        </w:rPr>
      </w:pPr>
      <w:r>
        <w:rPr>
          <w:rFonts w:hint="eastAsia" w:ascii="宋体" w:hAnsi="宋体" w:eastAsia="宋体" w:cs="宋体"/>
          <w:spacing w:val="-1"/>
        </w:rPr>
        <w:t>4.8</w:t>
      </w:r>
      <w:r>
        <w:rPr>
          <w:rFonts w:hint="eastAsia" w:ascii="宋体" w:hAnsi="宋体" w:eastAsia="宋体" w:cs="宋体"/>
          <w:spacing w:val="-44"/>
        </w:rPr>
        <w:t xml:space="preserve"> </w:t>
      </w:r>
      <w:r>
        <w:rPr>
          <w:rFonts w:hint="eastAsia" w:ascii="宋体" w:hAnsi="宋体" w:eastAsia="宋体" w:cs="宋体"/>
          <w:spacing w:val="-1"/>
        </w:rPr>
        <w:t>修正后的报价出现下列情形的，按无效响应处理：</w:t>
      </w:r>
    </w:p>
    <w:p w14:paraId="72D5BC6D">
      <w:pPr>
        <w:pStyle w:val="3"/>
        <w:shd w:val="clear"/>
        <w:spacing w:before="230" w:line="219" w:lineRule="auto"/>
        <w:ind w:left="485"/>
        <w:rPr>
          <w:rFonts w:hint="eastAsia" w:ascii="宋体" w:hAnsi="宋体" w:eastAsia="宋体" w:cs="宋体"/>
        </w:rPr>
      </w:pPr>
      <w:r>
        <w:rPr>
          <w:rFonts w:hint="eastAsia" w:ascii="宋体" w:hAnsi="宋体" w:eastAsia="宋体" w:cs="宋体"/>
          <w:spacing w:val="-1"/>
        </w:rPr>
        <w:t>（1）供应商不确认的（全流程电子化评标采取在线确认</w:t>
      </w:r>
      <w:r>
        <w:rPr>
          <w:rFonts w:hint="eastAsia" w:ascii="宋体" w:hAnsi="宋体" w:eastAsia="宋体" w:cs="宋体"/>
          <w:spacing w:val="1"/>
        </w:rPr>
        <w:t>）；</w:t>
      </w:r>
    </w:p>
    <w:p w14:paraId="185D348A">
      <w:pPr>
        <w:pStyle w:val="3"/>
        <w:shd w:val="clear"/>
        <w:spacing w:before="233" w:line="400" w:lineRule="auto"/>
        <w:ind w:left="2" w:right="76" w:firstLine="483"/>
        <w:rPr>
          <w:rFonts w:hint="eastAsia" w:ascii="宋体" w:hAnsi="宋体" w:eastAsia="宋体" w:cs="宋体"/>
        </w:rPr>
      </w:pPr>
      <w:r>
        <w:rPr>
          <w:rFonts w:hint="eastAsia" w:ascii="宋体" w:hAnsi="宋体" w:eastAsia="宋体" w:cs="宋体"/>
          <w:spacing w:val="1"/>
        </w:rPr>
        <w:t>（2）经供应商确认修正后的竞标报价（包含首次报价、最后报价）超过所竞标分</w:t>
      </w:r>
      <w:r>
        <w:rPr>
          <w:rFonts w:hint="eastAsia" w:ascii="宋体" w:hAnsi="宋体" w:eastAsia="宋体" w:cs="宋体"/>
          <w:spacing w:val="-1"/>
        </w:rPr>
        <w:t>标规定的采购预算金额或者最高限价的（如本项目公布了最高限价</w:t>
      </w:r>
      <w:r>
        <w:rPr>
          <w:rFonts w:hint="eastAsia" w:ascii="宋体" w:hAnsi="宋体" w:eastAsia="宋体" w:cs="宋体"/>
          <w:spacing w:val="6"/>
        </w:rPr>
        <w:t>）；</w:t>
      </w:r>
    </w:p>
    <w:p w14:paraId="203F5B2E">
      <w:pPr>
        <w:pStyle w:val="3"/>
        <w:shd w:val="clear"/>
        <w:spacing w:before="233" w:line="400" w:lineRule="auto"/>
        <w:ind w:left="2" w:right="76" w:firstLine="483"/>
        <w:rPr>
          <w:rFonts w:hint="eastAsia" w:ascii="宋体" w:hAnsi="宋体" w:eastAsia="宋体" w:cs="宋体"/>
        </w:rPr>
      </w:pPr>
      <w:r>
        <w:rPr>
          <w:rFonts w:hint="eastAsia" w:ascii="宋体" w:hAnsi="宋体" w:eastAsia="宋体" w:cs="宋体"/>
          <w:spacing w:val="1"/>
        </w:rPr>
        <w:t>（3）经供应商确认修正后的竞标报价（包含首次报价、最后报价）超过分项采购</w:t>
      </w:r>
      <w:r>
        <w:rPr>
          <w:rFonts w:hint="eastAsia" w:ascii="宋体" w:hAnsi="宋体" w:eastAsia="宋体" w:cs="宋体"/>
          <w:spacing w:val="-1"/>
        </w:rPr>
        <w:t>预算金额或者最高限价的（如本项目公布了最高限价）。</w:t>
      </w:r>
    </w:p>
    <w:p w14:paraId="75E33D9B">
      <w:pPr>
        <w:pStyle w:val="3"/>
        <w:shd w:val="clear"/>
        <w:spacing w:line="220" w:lineRule="auto"/>
        <w:ind w:left="472"/>
        <w:rPr>
          <w:rFonts w:hint="eastAsia" w:ascii="宋体" w:hAnsi="宋体" w:eastAsia="宋体" w:cs="宋体"/>
        </w:rPr>
      </w:pPr>
      <w:r>
        <w:rPr>
          <w:rFonts w:hint="eastAsia" w:ascii="宋体" w:hAnsi="宋体" w:eastAsia="宋体" w:cs="宋体"/>
          <w:spacing w:val="-1"/>
        </w:rPr>
        <w:t>4.9</w:t>
      </w:r>
      <w:r>
        <w:rPr>
          <w:rFonts w:hint="eastAsia" w:ascii="宋体" w:hAnsi="宋体" w:eastAsia="宋体" w:cs="宋体"/>
          <w:spacing w:val="-39"/>
        </w:rPr>
        <w:t xml:space="preserve"> </w:t>
      </w:r>
      <w:r>
        <w:rPr>
          <w:rFonts w:hint="eastAsia" w:ascii="宋体" w:hAnsi="宋体" w:eastAsia="宋体" w:cs="宋体"/>
          <w:spacing w:val="-1"/>
        </w:rPr>
        <w:t>经供应商确认修正后的最后报价作为评审及签订合同的依据。</w:t>
      </w:r>
    </w:p>
    <w:p w14:paraId="210C05F8">
      <w:pPr>
        <w:pStyle w:val="3"/>
        <w:shd w:val="clear"/>
        <w:spacing w:before="235" w:line="222" w:lineRule="auto"/>
        <w:ind w:left="472"/>
        <w:rPr>
          <w:rFonts w:hint="eastAsia" w:ascii="宋体" w:hAnsi="宋体" w:eastAsia="宋体" w:cs="宋体"/>
        </w:rPr>
      </w:pPr>
      <w:r>
        <w:rPr>
          <w:rFonts w:hint="eastAsia" w:ascii="宋体" w:hAnsi="宋体" w:eastAsia="宋体" w:cs="宋体"/>
          <w:spacing w:val="-1"/>
        </w:rPr>
        <w:t>4.10.异常低价响应审查</w:t>
      </w:r>
    </w:p>
    <w:p w14:paraId="43319090">
      <w:pPr>
        <w:pStyle w:val="3"/>
        <w:shd w:val="clear"/>
        <w:spacing w:before="232" w:line="219" w:lineRule="auto"/>
        <w:ind w:left="485"/>
        <w:rPr>
          <w:rFonts w:hint="eastAsia" w:ascii="宋体" w:hAnsi="宋体" w:eastAsia="宋体" w:cs="宋体"/>
        </w:rPr>
      </w:pPr>
      <w:r>
        <w:rPr>
          <w:rFonts w:hint="eastAsia" w:ascii="宋体" w:hAnsi="宋体" w:eastAsia="宋体" w:cs="宋体"/>
          <w:spacing w:val="-1"/>
        </w:rPr>
        <w:t>（1）磋商小组在评审中发现下列情形之一的，应当启动异常低价响应审查程序：</w:t>
      </w:r>
    </w:p>
    <w:p w14:paraId="19A5B781">
      <w:pPr>
        <w:pStyle w:val="3"/>
        <w:shd w:val="clear"/>
        <w:spacing w:before="231" w:line="401" w:lineRule="auto"/>
        <w:ind w:left="6" w:right="105" w:firstLine="466"/>
        <w:rPr>
          <w:rFonts w:hint="eastAsia" w:ascii="宋体" w:hAnsi="宋体" w:eastAsia="宋体" w:cs="宋体"/>
        </w:rPr>
      </w:pPr>
      <w:r>
        <w:rPr>
          <w:rFonts w:hint="eastAsia" w:ascii="宋体" w:hAnsi="宋体" w:eastAsia="宋体" w:cs="宋体"/>
          <w:spacing w:val="4"/>
        </w:rPr>
        <w:t>①响应报价低于全部通过符合性审查供应商响应报价平均值65%的，即响应报价&lt;</w:t>
      </w:r>
      <w:r>
        <w:rPr>
          <w:rFonts w:hint="eastAsia" w:ascii="宋体" w:hAnsi="宋体" w:eastAsia="宋体" w:cs="宋体"/>
          <w:spacing w:val="-1"/>
        </w:rPr>
        <w:t>全部通过符合性审查供应商响应报价平均值×65%；</w:t>
      </w:r>
    </w:p>
    <w:p w14:paraId="7B44F15C">
      <w:pPr>
        <w:pStyle w:val="3"/>
        <w:shd w:val="clear"/>
        <w:spacing w:before="2" w:line="398" w:lineRule="auto"/>
        <w:ind w:left="5" w:right="105" w:firstLine="466"/>
        <w:rPr>
          <w:rFonts w:hint="eastAsia" w:ascii="宋体" w:hAnsi="宋体" w:eastAsia="宋体" w:cs="宋体"/>
        </w:rPr>
      </w:pPr>
      <w:r>
        <w:rPr>
          <w:rFonts w:hint="eastAsia" w:ascii="宋体" w:hAnsi="宋体" w:eastAsia="宋体" w:cs="宋体"/>
          <w:spacing w:val="4"/>
        </w:rPr>
        <w:t>②响应报价低于通过符合性审查的次低报价供应商响应报价65%的，即响应报价&lt;</w:t>
      </w:r>
      <w:r>
        <w:rPr>
          <w:rFonts w:hint="eastAsia" w:ascii="宋体" w:hAnsi="宋体" w:eastAsia="宋体" w:cs="宋体"/>
          <w:spacing w:val="-1"/>
        </w:rPr>
        <w:t>通过符合性审查的次低报价供应商响应报价×65%；</w:t>
      </w:r>
    </w:p>
    <w:p w14:paraId="04711E5D">
      <w:pPr>
        <w:pStyle w:val="3"/>
        <w:shd w:val="clear"/>
        <w:spacing w:before="2" w:line="398" w:lineRule="auto"/>
        <w:ind w:left="5" w:right="105" w:firstLine="466"/>
        <w:rPr>
          <w:rFonts w:hint="eastAsia" w:ascii="宋体" w:hAnsi="宋体" w:eastAsia="宋体" w:cs="宋体"/>
        </w:rPr>
      </w:pPr>
      <w:r>
        <w:rPr>
          <w:rFonts w:hint="eastAsia" w:ascii="宋体" w:hAnsi="宋体" w:eastAsia="宋体" w:cs="宋体"/>
        </w:rPr>
        <w:t>③响应报价低于采购项目最高限价65%的，即响应报价＜采购项目最高限</w:t>
      </w:r>
      <w:r>
        <w:rPr>
          <w:rFonts w:hint="eastAsia" w:ascii="宋体" w:hAnsi="宋体" w:eastAsia="宋体" w:cs="宋体"/>
          <w:spacing w:val="-1"/>
        </w:rPr>
        <w:t>价×65%；</w:t>
      </w:r>
    </w:p>
    <w:p w14:paraId="20655BBF">
      <w:pPr>
        <w:pStyle w:val="3"/>
        <w:shd w:val="clear"/>
        <w:spacing w:before="2" w:line="398" w:lineRule="auto"/>
        <w:ind w:left="5" w:right="105" w:firstLine="466"/>
        <w:rPr>
          <w:rFonts w:hint="eastAsia" w:ascii="宋体" w:hAnsi="宋体" w:eastAsia="宋体" w:cs="宋体"/>
        </w:rPr>
      </w:pPr>
      <w:r>
        <w:rPr>
          <w:rFonts w:hint="eastAsia" w:ascii="宋体" w:hAnsi="宋体" w:eastAsia="宋体" w:cs="宋体"/>
          <w:spacing w:val="-2"/>
        </w:rPr>
        <w:t>④磋商小组基于专业判断，认为供应商报价过低，有可能影响产品质量或者不能诚信履约的其他情形。</w:t>
      </w:r>
    </w:p>
    <w:p w14:paraId="5FDCF348">
      <w:pPr>
        <w:pStyle w:val="3"/>
        <w:shd w:val="clear"/>
        <w:spacing w:line="400" w:lineRule="auto"/>
        <w:ind w:left="1" w:right="76" w:firstLine="484"/>
        <w:rPr>
          <w:rFonts w:hint="eastAsia" w:ascii="宋体" w:hAnsi="宋体" w:eastAsia="宋体" w:cs="宋体"/>
        </w:rPr>
      </w:pPr>
      <w:r>
        <w:rPr>
          <w:rFonts w:hint="eastAsia" w:ascii="宋体" w:hAnsi="宋体" w:eastAsia="宋体" w:cs="宋体"/>
          <w:spacing w:val="1"/>
        </w:rPr>
        <w:t>（2）磋商小组启动异常低价响应审查后，属于前述第</w:t>
      </w:r>
      <w:r>
        <w:rPr>
          <w:rFonts w:hint="eastAsia" w:ascii="宋体" w:hAnsi="宋体" w:eastAsia="宋体" w:cs="宋体"/>
          <w:spacing w:val="-25"/>
        </w:rPr>
        <w:t xml:space="preserve"> </w:t>
      </w:r>
      <w:r>
        <w:rPr>
          <w:rFonts w:hint="eastAsia" w:ascii="宋体" w:hAnsi="宋体" w:eastAsia="宋体" w:cs="宋体"/>
          <w:spacing w:val="1"/>
        </w:rPr>
        <w:t>1</w:t>
      </w:r>
      <w:r>
        <w:rPr>
          <w:rFonts w:hint="eastAsia" w:ascii="宋体" w:hAnsi="宋体" w:eastAsia="宋体" w:cs="宋体"/>
          <w:spacing w:val="-41"/>
        </w:rPr>
        <w:t xml:space="preserve"> </w:t>
      </w:r>
      <w:r>
        <w:rPr>
          <w:rFonts w:hint="eastAsia" w:ascii="宋体" w:hAnsi="宋体" w:eastAsia="宋体" w:cs="宋体"/>
          <w:spacing w:val="1"/>
        </w:rPr>
        <w:t>项至第4</w:t>
      </w:r>
      <w:r>
        <w:rPr>
          <w:rFonts w:hint="eastAsia" w:ascii="宋体" w:hAnsi="宋体" w:eastAsia="宋体" w:cs="宋体"/>
          <w:spacing w:val="-40"/>
        </w:rPr>
        <w:t xml:space="preserve"> </w:t>
      </w:r>
      <w:r>
        <w:rPr>
          <w:rFonts w:hint="eastAsia" w:ascii="宋体" w:hAnsi="宋体" w:eastAsia="宋体" w:cs="宋体"/>
          <w:spacing w:val="1"/>
        </w:rPr>
        <w:t>项情形的，应当</w:t>
      </w:r>
      <w:r>
        <w:rPr>
          <w:rFonts w:hint="eastAsia" w:ascii="宋体" w:hAnsi="宋体" w:eastAsia="宋体" w:cs="宋体"/>
          <w:spacing w:val="-2"/>
        </w:rPr>
        <w:t>要求相关供应商在评审现场合理的时间内对响应价格作出解释，提供项目具体成本测算等与报价合理性相关的书面说明及必要的证明材料，包括但不限于原材料成本、人工成</w:t>
      </w:r>
      <w:r>
        <w:rPr>
          <w:rFonts w:hint="eastAsia" w:ascii="宋体" w:hAnsi="宋体" w:eastAsia="宋体" w:cs="宋体"/>
        </w:rPr>
        <w:t>本、制造费用等，给予相关供应商的合理时间一般不少于</w:t>
      </w:r>
      <w:r>
        <w:rPr>
          <w:rFonts w:hint="eastAsia" w:ascii="宋体" w:hAnsi="宋体" w:eastAsia="宋体" w:cs="宋体"/>
          <w:spacing w:val="-27"/>
        </w:rPr>
        <w:t xml:space="preserve"> </w:t>
      </w:r>
      <w:r>
        <w:rPr>
          <w:rFonts w:hint="eastAsia" w:ascii="宋体" w:hAnsi="宋体" w:eastAsia="宋体" w:cs="宋体"/>
        </w:rPr>
        <w:t>30</w:t>
      </w:r>
      <w:r>
        <w:rPr>
          <w:rFonts w:hint="eastAsia" w:ascii="宋体" w:hAnsi="宋体" w:eastAsia="宋体" w:cs="宋体"/>
          <w:spacing w:val="-39"/>
        </w:rPr>
        <w:t xml:space="preserve"> </w:t>
      </w:r>
      <w:r>
        <w:rPr>
          <w:rFonts w:hint="eastAsia" w:ascii="宋体" w:hAnsi="宋体" w:eastAsia="宋体" w:cs="宋体"/>
        </w:rPr>
        <w:t>分钟。其中，属于第③项</w:t>
      </w:r>
      <w:r>
        <w:rPr>
          <w:rFonts w:hint="eastAsia" w:ascii="宋体" w:hAnsi="宋体" w:eastAsia="宋体" w:cs="宋体"/>
          <w:spacing w:val="-2"/>
        </w:rPr>
        <w:t>情形，供应商已随响应文件一并提交相关书面说明及必要的证明材料的，可不再重复提</w:t>
      </w:r>
      <w:r>
        <w:rPr>
          <w:rFonts w:hint="eastAsia" w:ascii="宋体" w:hAnsi="宋体" w:eastAsia="宋体" w:cs="宋体"/>
          <w:spacing w:val="-9"/>
        </w:rPr>
        <w:t>交。</w:t>
      </w:r>
    </w:p>
    <w:p w14:paraId="6DA1D518">
      <w:pPr>
        <w:pStyle w:val="3"/>
        <w:shd w:val="clear"/>
        <w:spacing w:before="5" w:line="399" w:lineRule="auto"/>
        <w:ind w:firstLine="480"/>
        <w:jc w:val="both"/>
        <w:rPr>
          <w:rFonts w:hint="eastAsia" w:ascii="宋体" w:hAnsi="宋体" w:eastAsia="宋体" w:cs="宋体"/>
        </w:rPr>
      </w:pPr>
      <w:r>
        <w:rPr>
          <w:rFonts w:hint="eastAsia" w:ascii="宋体" w:hAnsi="宋体" w:eastAsia="宋体" w:cs="宋体"/>
          <w:spacing w:val="-6"/>
        </w:rPr>
        <w:t>磋商小组依据专业经验，参考同类项目中标（成交）价格、类似产品市</w:t>
      </w:r>
      <w:r>
        <w:rPr>
          <w:rFonts w:hint="eastAsia" w:ascii="宋体" w:hAnsi="宋体" w:eastAsia="宋体" w:cs="宋体"/>
          <w:spacing w:val="-7"/>
        </w:rPr>
        <w:t>场价格水平、</w:t>
      </w:r>
      <w:r>
        <w:rPr>
          <w:rFonts w:hint="eastAsia" w:ascii="宋体" w:hAnsi="宋体" w:eastAsia="宋体" w:cs="宋体"/>
          <w:spacing w:val="-2"/>
        </w:rPr>
        <w:t>行业人工费用标准、国家有关部门指导行业协会发布的行业平均成本等情况，对报价合理性进行判断。相关供应商不能提供书面说明、证明材料，或者提供的书面说明、证明</w:t>
      </w:r>
      <w:r>
        <w:rPr>
          <w:rFonts w:hint="eastAsia" w:ascii="宋体" w:hAnsi="宋体" w:eastAsia="宋体" w:cs="宋体"/>
          <w:spacing w:val="-1"/>
        </w:rPr>
        <w:t>材料不能证明其报价合理性的，磋商小组应当将其作为无效响应处理。</w:t>
      </w:r>
    </w:p>
    <w:p w14:paraId="1857BE82">
      <w:pPr>
        <w:pStyle w:val="3"/>
        <w:shd w:val="clear"/>
        <w:spacing w:before="5" w:line="399" w:lineRule="auto"/>
        <w:ind w:firstLine="480"/>
        <w:jc w:val="both"/>
        <w:rPr>
          <w:rFonts w:hint="eastAsia" w:ascii="宋体" w:hAnsi="宋体" w:eastAsia="宋体" w:cs="宋体"/>
        </w:rPr>
      </w:pPr>
      <w:r>
        <w:rPr>
          <w:rFonts w:hint="eastAsia" w:ascii="宋体" w:hAnsi="宋体" w:eastAsia="宋体" w:cs="宋体"/>
          <w:spacing w:val="-1"/>
        </w:rPr>
        <w:t>采购人、采购代理机构应当为磋商小组在评审现场及时获取同类项目中标</w:t>
      </w:r>
      <w:r>
        <w:rPr>
          <w:rFonts w:hint="eastAsia" w:ascii="宋体" w:hAnsi="宋体" w:eastAsia="宋体" w:cs="宋体"/>
          <w:spacing w:val="-2"/>
        </w:rPr>
        <w:t>（成交）价格、类似产品市场价格水平、行业人工费用标准、国家有关部门指导行业协会发布的行业平均成本等相关信息资料提供便利。磋商小组借助互联网等渠道查询相关信息的，</w:t>
      </w:r>
      <w:r>
        <w:rPr>
          <w:rFonts w:hint="eastAsia" w:ascii="宋体" w:hAnsi="宋体" w:eastAsia="宋体" w:cs="宋体"/>
          <w:spacing w:val="-1"/>
        </w:rPr>
        <w:t>应当严格遵守评审工作纪律，不得实施影响评审公正的行为。</w:t>
      </w:r>
    </w:p>
    <w:p w14:paraId="454B26E6">
      <w:pPr>
        <w:pStyle w:val="3"/>
        <w:shd w:val="clear"/>
        <w:spacing w:before="5" w:line="399" w:lineRule="auto"/>
        <w:ind w:firstLine="480"/>
        <w:jc w:val="both"/>
        <w:rPr>
          <w:rFonts w:hint="eastAsia" w:ascii="宋体" w:hAnsi="宋体" w:eastAsia="宋体" w:cs="宋体"/>
        </w:rPr>
      </w:pPr>
      <w:r>
        <w:rPr>
          <w:rFonts w:hint="eastAsia" w:ascii="宋体" w:hAnsi="宋体" w:eastAsia="宋体" w:cs="宋体"/>
          <w:spacing w:val="-2"/>
        </w:rPr>
        <w:t>异常低价响应审查的启动原因、审查意见和审查结果应当在评审报告中记录，并随供应商提供的相关书面说明及证明材料，以及磋商小组有关互联网浏览、查询历史一并</w:t>
      </w:r>
      <w:r>
        <w:rPr>
          <w:rFonts w:hint="eastAsia" w:ascii="宋体" w:hAnsi="宋体" w:eastAsia="宋体" w:cs="宋体"/>
          <w:spacing w:val="-6"/>
        </w:rPr>
        <w:t>归档。</w:t>
      </w:r>
    </w:p>
    <w:p w14:paraId="641D0547">
      <w:pPr>
        <w:pStyle w:val="3"/>
        <w:shd w:val="clear"/>
        <w:spacing w:before="1" w:line="399" w:lineRule="auto"/>
        <w:ind w:left="26" w:right="65" w:firstLine="446"/>
        <w:rPr>
          <w:rFonts w:hint="eastAsia" w:ascii="宋体" w:hAnsi="宋体" w:eastAsia="宋体" w:cs="宋体"/>
        </w:rPr>
      </w:pPr>
      <w:r>
        <w:rPr>
          <w:rFonts w:hint="eastAsia" w:ascii="宋体" w:hAnsi="宋体" w:eastAsia="宋体" w:cs="宋体"/>
          <w:spacing w:val="-4"/>
        </w:rPr>
        <w:t>4.11</w:t>
      </w:r>
      <w:r>
        <w:rPr>
          <w:rFonts w:hint="eastAsia" w:ascii="宋体" w:hAnsi="宋体" w:eastAsia="宋体" w:cs="宋体"/>
          <w:spacing w:val="-25"/>
        </w:rPr>
        <w:t xml:space="preserve"> </w:t>
      </w:r>
      <w:r>
        <w:rPr>
          <w:rFonts w:hint="eastAsia" w:ascii="宋体" w:hAnsi="宋体" w:eastAsia="宋体" w:cs="宋体"/>
          <w:spacing w:val="-4"/>
        </w:rPr>
        <w:t>供应商出现最后报价按无效响应处理或者响应文件按无效处理时，磋商小组应</w:t>
      </w:r>
      <w:r>
        <w:rPr>
          <w:rFonts w:hint="eastAsia" w:ascii="宋体" w:hAnsi="宋体" w:eastAsia="宋体" w:cs="宋体"/>
          <w:spacing w:val="-5"/>
        </w:rPr>
        <w:t>当告知有关供应商。</w:t>
      </w:r>
    </w:p>
    <w:p w14:paraId="5E0DA58A">
      <w:pPr>
        <w:pStyle w:val="3"/>
        <w:shd w:val="clear"/>
        <w:spacing w:line="220" w:lineRule="auto"/>
        <w:ind w:left="472"/>
        <w:rPr>
          <w:rFonts w:hint="eastAsia" w:ascii="宋体" w:hAnsi="宋体" w:eastAsia="宋体" w:cs="宋体"/>
        </w:rPr>
      </w:pPr>
      <w:r>
        <w:rPr>
          <w:rFonts w:hint="eastAsia" w:ascii="宋体" w:hAnsi="宋体" w:eastAsia="宋体" w:cs="宋体"/>
          <w:spacing w:val="-1"/>
        </w:rPr>
        <w:t>4.12</w:t>
      </w:r>
      <w:r>
        <w:rPr>
          <w:rFonts w:hint="eastAsia" w:ascii="宋体" w:hAnsi="宋体" w:eastAsia="宋体" w:cs="宋体"/>
          <w:spacing w:val="-36"/>
        </w:rPr>
        <w:t xml:space="preserve"> </w:t>
      </w:r>
      <w:r>
        <w:rPr>
          <w:rFonts w:hint="eastAsia" w:ascii="宋体" w:hAnsi="宋体" w:eastAsia="宋体" w:cs="宋体"/>
          <w:spacing w:val="-1"/>
        </w:rPr>
        <w:t>最后报价结束后，磋商小组不得再与供应商进行任何形式的商谈。</w:t>
      </w:r>
    </w:p>
    <w:p w14:paraId="54D00FC4">
      <w:pPr>
        <w:pStyle w:val="3"/>
        <w:shd w:val="clear"/>
        <w:spacing w:before="234" w:line="222" w:lineRule="auto"/>
        <w:ind w:left="478"/>
        <w:rPr>
          <w:rFonts w:hint="eastAsia" w:ascii="宋体" w:hAnsi="宋体" w:eastAsia="宋体" w:cs="宋体"/>
        </w:rPr>
      </w:pPr>
      <w:r>
        <w:rPr>
          <w:rFonts w:hint="eastAsia" w:ascii="宋体" w:hAnsi="宋体" w:eastAsia="宋体" w:cs="宋体"/>
          <w:b/>
          <w:bCs/>
          <w:spacing w:val="-4"/>
        </w:rPr>
        <w:t>5.比较与评价</w:t>
      </w:r>
    </w:p>
    <w:p w14:paraId="679CA802">
      <w:pPr>
        <w:pStyle w:val="3"/>
        <w:shd w:val="clear"/>
        <w:spacing w:before="233" w:line="222" w:lineRule="auto"/>
        <w:ind w:left="478"/>
        <w:rPr>
          <w:rFonts w:hint="eastAsia" w:ascii="宋体" w:hAnsi="宋体" w:eastAsia="宋体" w:cs="宋体"/>
        </w:rPr>
      </w:pPr>
      <w:r>
        <w:rPr>
          <w:rFonts w:hint="eastAsia" w:ascii="宋体" w:hAnsi="宋体" w:eastAsia="宋体" w:cs="宋体"/>
          <w:spacing w:val="-3"/>
        </w:rPr>
        <w:t>5.1</w:t>
      </w:r>
      <w:r>
        <w:rPr>
          <w:rFonts w:hint="eastAsia" w:ascii="宋体" w:hAnsi="宋体" w:eastAsia="宋体" w:cs="宋体"/>
          <w:spacing w:val="-33"/>
        </w:rPr>
        <w:t xml:space="preserve"> </w:t>
      </w:r>
      <w:r>
        <w:rPr>
          <w:rFonts w:hint="eastAsia" w:ascii="宋体" w:hAnsi="宋体" w:eastAsia="宋体" w:cs="宋体"/>
          <w:spacing w:val="-3"/>
        </w:rPr>
        <w:t>评审方法：综合评分法。</w:t>
      </w:r>
    </w:p>
    <w:p w14:paraId="3CDE4D4E">
      <w:pPr>
        <w:pStyle w:val="3"/>
        <w:shd w:val="clear"/>
        <w:spacing w:before="228" w:line="401" w:lineRule="auto"/>
        <w:ind w:left="3" w:right="65" w:firstLine="474"/>
        <w:rPr>
          <w:rFonts w:hint="eastAsia" w:ascii="宋体" w:hAnsi="宋体" w:eastAsia="宋体" w:cs="宋体"/>
        </w:rPr>
      </w:pPr>
      <w:r>
        <w:rPr>
          <w:rFonts w:hint="eastAsia" w:ascii="宋体" w:hAnsi="宋体" w:eastAsia="宋体" w:cs="宋体"/>
          <w:spacing w:val="-2"/>
        </w:rPr>
        <w:t>5.2</w:t>
      </w:r>
      <w:r>
        <w:rPr>
          <w:rFonts w:hint="eastAsia" w:ascii="宋体" w:hAnsi="宋体" w:eastAsia="宋体" w:cs="宋体"/>
          <w:spacing w:val="-38"/>
        </w:rPr>
        <w:t xml:space="preserve"> </w:t>
      </w:r>
      <w:r>
        <w:rPr>
          <w:rFonts w:hint="eastAsia" w:ascii="宋体" w:hAnsi="宋体" w:eastAsia="宋体" w:cs="宋体"/>
          <w:spacing w:val="-2"/>
        </w:rPr>
        <w:t>经磋商确定最终采购需求和提交最后报价的供应商后，</w:t>
      </w:r>
      <w:r>
        <w:rPr>
          <w:rFonts w:hint="eastAsia" w:ascii="宋体" w:hAnsi="宋体" w:eastAsia="宋体" w:cs="宋体"/>
          <w:spacing w:val="-71"/>
        </w:rPr>
        <w:t xml:space="preserve"> </w:t>
      </w:r>
      <w:r>
        <w:rPr>
          <w:rFonts w:hint="eastAsia" w:ascii="宋体" w:hAnsi="宋体" w:eastAsia="宋体" w:cs="宋体"/>
          <w:spacing w:val="-2"/>
        </w:rPr>
        <w:t>由磋商小组采用综合评</w:t>
      </w:r>
      <w:r>
        <w:rPr>
          <w:rFonts w:hint="eastAsia" w:ascii="宋体" w:hAnsi="宋体" w:eastAsia="宋体" w:cs="宋体"/>
          <w:spacing w:val="-1"/>
        </w:rPr>
        <w:t>分法对提交最后报价的供应商的响应文件和最后报价进行综合评分。</w:t>
      </w:r>
    </w:p>
    <w:p w14:paraId="1E926C2C">
      <w:pPr>
        <w:pStyle w:val="3"/>
        <w:shd w:val="clear"/>
        <w:spacing w:before="2" w:line="399" w:lineRule="auto"/>
        <w:ind w:left="2" w:right="65" w:firstLine="475"/>
        <w:rPr>
          <w:rFonts w:hint="eastAsia" w:ascii="宋体" w:hAnsi="宋体" w:eastAsia="宋体" w:cs="宋体"/>
        </w:rPr>
      </w:pPr>
      <w:r>
        <w:rPr>
          <w:rFonts w:hint="eastAsia" w:ascii="宋体" w:hAnsi="宋体" w:eastAsia="宋体" w:cs="宋体"/>
          <w:spacing w:val="-1"/>
        </w:rPr>
        <w:t>5.3</w:t>
      </w:r>
      <w:r>
        <w:rPr>
          <w:rFonts w:hint="eastAsia" w:ascii="宋体" w:hAnsi="宋体" w:eastAsia="宋体" w:cs="宋体"/>
          <w:spacing w:val="-26"/>
        </w:rPr>
        <w:t xml:space="preserve"> </w:t>
      </w:r>
      <w:r>
        <w:rPr>
          <w:rFonts w:hint="eastAsia" w:ascii="宋体" w:hAnsi="宋体" w:eastAsia="宋体" w:cs="宋体"/>
          <w:spacing w:val="-1"/>
        </w:rPr>
        <w:t>评审时，磋商小组各成员应当独立对每个有效响应的文件进行评价、打分，然后汇总每个供应商每项评分因素的得分。</w:t>
      </w:r>
    </w:p>
    <w:p w14:paraId="2AE29D08">
      <w:pPr>
        <w:pStyle w:val="3"/>
        <w:shd w:val="clear"/>
        <w:spacing w:before="1" w:line="399" w:lineRule="auto"/>
        <w:ind w:left="19" w:right="65" w:firstLine="466"/>
        <w:rPr>
          <w:rFonts w:hint="eastAsia" w:ascii="宋体" w:hAnsi="宋体" w:eastAsia="宋体" w:cs="宋体"/>
        </w:rPr>
      </w:pPr>
      <w:r>
        <w:rPr>
          <w:rFonts w:hint="eastAsia" w:ascii="宋体" w:hAnsi="宋体" w:eastAsia="宋体" w:cs="宋体"/>
          <w:spacing w:val="1"/>
        </w:rPr>
        <w:t>（1）磋商小组按照磋商文件中规定的评审标准计算各供应商的报价得分。项目评</w:t>
      </w:r>
      <w:r>
        <w:rPr>
          <w:rFonts w:hint="eastAsia" w:ascii="宋体" w:hAnsi="宋体" w:eastAsia="宋体" w:cs="宋体"/>
          <w:spacing w:val="-2"/>
        </w:rPr>
        <w:t>审过程中，不得去掉最后报价中的最高报价和最低报价。</w:t>
      </w:r>
    </w:p>
    <w:p w14:paraId="35E20CD8">
      <w:pPr>
        <w:pStyle w:val="3"/>
        <w:shd w:val="clear"/>
        <w:spacing w:before="1" w:line="221" w:lineRule="auto"/>
        <w:ind w:left="485"/>
        <w:rPr>
          <w:rFonts w:hint="eastAsia" w:ascii="宋体" w:hAnsi="宋体" w:eastAsia="宋体" w:cs="宋体"/>
        </w:rPr>
      </w:pPr>
      <w:r>
        <w:rPr>
          <w:rFonts w:hint="eastAsia" w:ascii="宋体" w:hAnsi="宋体" w:eastAsia="宋体" w:cs="宋体"/>
          <w:spacing w:val="-1"/>
        </w:rPr>
        <w:t>（2）各供应商的得分为磋商小组所有成员的有效评分的算术平均数。</w:t>
      </w:r>
    </w:p>
    <w:p w14:paraId="63B730A1">
      <w:pPr>
        <w:pStyle w:val="3"/>
        <w:shd w:val="clear"/>
        <w:spacing w:before="233" w:line="400" w:lineRule="auto"/>
        <w:ind w:left="1" w:right="65" w:firstLine="476"/>
        <w:rPr>
          <w:rFonts w:hint="eastAsia" w:ascii="宋体" w:hAnsi="宋体" w:eastAsia="宋体" w:cs="宋体"/>
        </w:rPr>
      </w:pPr>
      <w:r>
        <w:rPr>
          <w:rFonts w:hint="eastAsia" w:ascii="宋体" w:hAnsi="宋体" w:eastAsia="宋体" w:cs="宋体"/>
          <w:spacing w:val="-1"/>
        </w:rPr>
        <w:t>5.4</w:t>
      </w:r>
      <w:r>
        <w:rPr>
          <w:rFonts w:hint="eastAsia" w:ascii="宋体" w:hAnsi="宋体" w:eastAsia="宋体" w:cs="宋体"/>
          <w:spacing w:val="-26"/>
        </w:rPr>
        <w:t xml:space="preserve"> </w:t>
      </w:r>
      <w:r>
        <w:rPr>
          <w:rFonts w:hint="eastAsia" w:ascii="宋体" w:hAnsi="宋体" w:eastAsia="宋体" w:cs="宋体"/>
          <w:spacing w:val="-1"/>
        </w:rPr>
        <w:t>评审价为供应商的最后报价进行政策性扣除后的价格，评审价只是作为评审时</w:t>
      </w:r>
      <w:r>
        <w:rPr>
          <w:rFonts w:hint="eastAsia" w:ascii="宋体" w:hAnsi="宋体" w:eastAsia="宋体" w:cs="宋体"/>
          <w:spacing w:val="-2"/>
        </w:rPr>
        <w:t>使用。最终成交供应商的成交金额等于最后报价（如有修正，以确认修正后的最后报价</w:t>
      </w:r>
      <w:r>
        <w:rPr>
          <w:rFonts w:hint="eastAsia" w:ascii="宋体" w:hAnsi="宋体" w:eastAsia="宋体" w:cs="宋体"/>
          <w:spacing w:val="-5"/>
        </w:rPr>
        <w:t>为准）。</w:t>
      </w:r>
    </w:p>
    <w:p w14:paraId="192265A3">
      <w:pPr>
        <w:pStyle w:val="3"/>
        <w:shd w:val="clear"/>
        <w:spacing w:before="1" w:line="400" w:lineRule="auto"/>
        <w:ind w:firstLine="478"/>
        <w:rPr>
          <w:rFonts w:hint="eastAsia" w:ascii="宋体" w:hAnsi="宋体" w:eastAsia="宋体" w:cs="宋体"/>
        </w:rPr>
      </w:pPr>
      <w:r>
        <w:rPr>
          <w:rFonts w:hint="eastAsia" w:ascii="宋体" w:hAnsi="宋体" w:eastAsia="宋体" w:cs="宋体"/>
          <w:spacing w:val="-2"/>
        </w:rPr>
        <w:t>5.5 由磋商小组根据综合评分情况，按照评</w:t>
      </w:r>
      <w:r>
        <w:rPr>
          <w:rFonts w:hint="eastAsia" w:ascii="宋体" w:hAnsi="宋体" w:eastAsia="宋体" w:cs="宋体"/>
          <w:spacing w:val="-3"/>
        </w:rPr>
        <w:t>审得分由高到低顺序推荐</w:t>
      </w:r>
      <w:r>
        <w:rPr>
          <w:rFonts w:hint="eastAsia" w:ascii="宋体" w:hAnsi="宋体" w:eastAsia="宋体" w:cs="宋体"/>
          <w:spacing w:val="-44"/>
        </w:rPr>
        <w:t xml:space="preserve"> </w:t>
      </w:r>
      <w:r>
        <w:rPr>
          <w:rFonts w:hint="eastAsia" w:ascii="宋体" w:hAnsi="宋体" w:eastAsia="宋体" w:cs="宋体"/>
          <w:spacing w:val="-3"/>
        </w:rPr>
        <w:t>3</w:t>
      </w:r>
      <w:r>
        <w:rPr>
          <w:rFonts w:hint="eastAsia" w:ascii="宋体" w:hAnsi="宋体" w:eastAsia="宋体" w:cs="宋体"/>
          <w:spacing w:val="-43"/>
        </w:rPr>
        <w:t xml:space="preserve"> </w:t>
      </w:r>
      <w:r>
        <w:rPr>
          <w:rFonts w:hint="eastAsia" w:ascii="宋体" w:hAnsi="宋体" w:eastAsia="宋体" w:cs="宋体"/>
          <w:spacing w:val="-3"/>
        </w:rPr>
        <w:t>名以上成交</w:t>
      </w:r>
      <w:r>
        <w:rPr>
          <w:rFonts w:hint="eastAsia" w:ascii="宋体" w:hAnsi="宋体" w:eastAsia="宋体" w:cs="宋体"/>
        </w:rPr>
        <w:t>候选供应商，并编写评审报告。符合本章第4.3</w:t>
      </w:r>
      <w:r>
        <w:rPr>
          <w:rFonts w:hint="eastAsia" w:ascii="宋体" w:hAnsi="宋体" w:eastAsia="宋体" w:cs="宋体"/>
          <w:spacing w:val="-23"/>
        </w:rPr>
        <w:t xml:space="preserve"> </w:t>
      </w:r>
      <w:r>
        <w:rPr>
          <w:rFonts w:hint="eastAsia" w:ascii="宋体" w:hAnsi="宋体" w:eastAsia="宋体" w:cs="宋体"/>
        </w:rPr>
        <w:t>条情形的，可以推荐2</w:t>
      </w:r>
      <w:r>
        <w:rPr>
          <w:rFonts w:hint="eastAsia" w:ascii="宋体" w:hAnsi="宋体" w:eastAsia="宋体" w:cs="宋体"/>
          <w:spacing w:val="-42"/>
        </w:rPr>
        <w:t xml:space="preserve"> </w:t>
      </w:r>
      <w:r>
        <w:rPr>
          <w:rFonts w:hint="eastAsia" w:ascii="宋体" w:hAnsi="宋体" w:eastAsia="宋体" w:cs="宋体"/>
        </w:rPr>
        <w:t>家成交候选供应</w:t>
      </w:r>
      <w:r>
        <w:rPr>
          <w:rFonts w:hint="eastAsia" w:ascii="宋体" w:hAnsi="宋体" w:eastAsia="宋体" w:cs="宋体"/>
          <w:spacing w:val="-6"/>
        </w:rPr>
        <w:t>商。评审得分相同的，按照最后报价由低到高的顺序推荐。评审得分且最后报</w:t>
      </w:r>
      <w:r>
        <w:rPr>
          <w:rFonts w:hint="eastAsia" w:ascii="宋体" w:hAnsi="宋体" w:eastAsia="宋体" w:cs="宋体"/>
          <w:spacing w:val="-7"/>
        </w:rPr>
        <w:t>价相同的，</w:t>
      </w:r>
      <w:r>
        <w:rPr>
          <w:rFonts w:hint="eastAsia" w:ascii="宋体" w:hAnsi="宋体" w:eastAsia="宋体" w:cs="宋体"/>
          <w:spacing w:val="-2"/>
        </w:rPr>
        <w:t>按照技术指标优劣顺序推荐。</w:t>
      </w:r>
    </w:p>
    <w:p w14:paraId="38E4F72D">
      <w:pPr>
        <w:pStyle w:val="3"/>
        <w:shd w:val="clear"/>
        <w:spacing w:before="1" w:line="400" w:lineRule="auto"/>
        <w:ind w:firstLine="478"/>
        <w:rPr>
          <w:rFonts w:hint="eastAsia" w:ascii="宋体" w:hAnsi="宋体" w:eastAsia="宋体" w:cs="宋体"/>
        </w:rPr>
      </w:pPr>
      <w:r>
        <w:rPr>
          <w:rFonts w:hint="eastAsia" w:ascii="宋体" w:hAnsi="宋体" w:eastAsia="宋体" w:cs="宋体"/>
          <w:spacing w:val="-1"/>
        </w:rPr>
        <w:t>5.6</w:t>
      </w:r>
      <w:r>
        <w:rPr>
          <w:rFonts w:hint="eastAsia" w:ascii="宋体" w:hAnsi="宋体" w:eastAsia="宋体" w:cs="宋体"/>
          <w:spacing w:val="-26"/>
        </w:rPr>
        <w:t xml:space="preserve"> </w:t>
      </w:r>
      <w:r>
        <w:rPr>
          <w:rFonts w:hint="eastAsia" w:ascii="宋体" w:hAnsi="宋体" w:eastAsia="宋体" w:cs="宋体"/>
          <w:spacing w:val="-1"/>
        </w:rPr>
        <w:t>评审报告应当由磋商小组全体人员签字认可。磋商小组成员对评审报告有异议</w:t>
      </w:r>
      <w:r>
        <w:rPr>
          <w:rFonts w:hint="eastAsia" w:ascii="宋体" w:hAnsi="宋体" w:eastAsia="宋体" w:cs="宋体"/>
          <w:spacing w:val="-2"/>
        </w:rPr>
        <w:t>的，磋商小组按照少数服从多数的原则推荐成交候选供应商，采购程序继续进</w:t>
      </w:r>
      <w:r>
        <w:rPr>
          <w:rFonts w:hint="eastAsia" w:ascii="宋体" w:hAnsi="宋体" w:eastAsia="宋体" w:cs="宋体"/>
          <w:spacing w:val="-3"/>
        </w:rPr>
        <w:t>行。对评</w:t>
      </w:r>
      <w:r>
        <w:rPr>
          <w:rFonts w:hint="eastAsia" w:ascii="宋体" w:hAnsi="宋体" w:eastAsia="宋体" w:cs="宋体"/>
          <w:spacing w:val="-2"/>
        </w:rPr>
        <w:t>审报告有异议的磋商小组成员，应当在报告上签署不同意见并说明理由，由磋</w:t>
      </w:r>
      <w:r>
        <w:rPr>
          <w:rFonts w:hint="eastAsia" w:ascii="宋体" w:hAnsi="宋体" w:eastAsia="宋体" w:cs="宋体"/>
          <w:spacing w:val="-3"/>
        </w:rPr>
        <w:t>商小组书</w:t>
      </w:r>
      <w:r>
        <w:rPr>
          <w:rFonts w:hint="eastAsia" w:ascii="宋体" w:hAnsi="宋体" w:eastAsia="宋体" w:cs="宋体"/>
          <w:spacing w:val="-2"/>
        </w:rPr>
        <w:t>面记录相关情况。磋商小组成员拒绝在报告上签字又不书面说明其不同意见和理由的，视为同意评审报告。</w:t>
      </w:r>
    </w:p>
    <w:p w14:paraId="01561921">
      <w:pPr>
        <w:pStyle w:val="3"/>
        <w:shd w:val="clear"/>
        <w:spacing w:before="1" w:line="227" w:lineRule="auto"/>
        <w:ind w:left="4033"/>
        <w:rPr>
          <w:rFonts w:hint="eastAsia" w:ascii="宋体" w:hAnsi="宋体" w:eastAsia="宋体" w:cs="宋体"/>
          <w:sz w:val="31"/>
          <w:szCs w:val="31"/>
        </w:rPr>
      </w:pPr>
      <w:r>
        <w:rPr>
          <w:rFonts w:hint="eastAsia" w:ascii="宋体" w:hAnsi="宋体" w:eastAsia="宋体" w:cs="宋体"/>
          <w:b/>
          <w:bCs/>
          <w:spacing w:val="2"/>
          <w:sz w:val="31"/>
          <w:szCs w:val="31"/>
        </w:rPr>
        <w:t>二、评审标准</w:t>
      </w:r>
    </w:p>
    <w:p w14:paraId="281F34FF">
      <w:pPr>
        <w:pStyle w:val="3"/>
        <w:shd w:val="clear"/>
        <w:spacing w:before="202" w:line="316" w:lineRule="auto"/>
        <w:ind w:left="450" w:right="430" w:firstLine="468"/>
        <w:rPr>
          <w:rFonts w:hint="eastAsia" w:ascii="宋体" w:hAnsi="宋体" w:eastAsia="宋体" w:cs="宋体"/>
          <w:spacing w:val="-1"/>
        </w:rPr>
      </w:pPr>
      <w:r>
        <w:rPr>
          <w:rFonts w:hint="eastAsia" w:ascii="宋体" w:hAnsi="宋体" w:eastAsia="宋体" w:cs="宋体"/>
          <w:spacing w:val="-2"/>
        </w:rPr>
        <w:t>6.评审依据：磋商小组将以磋商响应文件为评审依据，对供应商的价格、技术、等</w:t>
      </w:r>
      <w:r>
        <w:rPr>
          <w:rFonts w:hint="eastAsia" w:ascii="宋体" w:hAnsi="宋体" w:eastAsia="宋体" w:cs="宋体"/>
          <w:spacing w:val="-1"/>
        </w:rPr>
        <w:t>方面内容按百分制打分。（计分方法按四舍五入取至百分位）</w:t>
      </w:r>
    </w:p>
    <w:tbl>
      <w:tblPr>
        <w:tblStyle w:val="11"/>
        <w:tblW w:w="90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1365"/>
        <w:gridCol w:w="6086"/>
        <w:gridCol w:w="855"/>
      </w:tblGrid>
      <w:tr w14:paraId="41D8D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788" w:type="dxa"/>
            <w:noWrap w:val="0"/>
            <w:vAlign w:val="center"/>
          </w:tcPr>
          <w:p w14:paraId="415F423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序号</w:t>
            </w:r>
          </w:p>
        </w:tc>
        <w:tc>
          <w:tcPr>
            <w:tcW w:w="1365" w:type="dxa"/>
            <w:noWrap w:val="0"/>
            <w:vAlign w:val="center"/>
          </w:tcPr>
          <w:p w14:paraId="306B6DCE">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评审因素</w:t>
            </w:r>
          </w:p>
        </w:tc>
        <w:tc>
          <w:tcPr>
            <w:tcW w:w="6086" w:type="dxa"/>
            <w:noWrap w:val="0"/>
            <w:vAlign w:val="center"/>
          </w:tcPr>
          <w:p w14:paraId="4BA62998">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评审因素具体内容</w:t>
            </w:r>
          </w:p>
        </w:tc>
        <w:tc>
          <w:tcPr>
            <w:tcW w:w="855" w:type="dxa"/>
            <w:noWrap w:val="0"/>
            <w:vAlign w:val="center"/>
          </w:tcPr>
          <w:p w14:paraId="6870F753">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分值</w:t>
            </w:r>
          </w:p>
        </w:tc>
      </w:tr>
      <w:tr w14:paraId="3FA0F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88" w:type="dxa"/>
            <w:noWrap w:val="0"/>
            <w:vAlign w:val="center"/>
          </w:tcPr>
          <w:p w14:paraId="16B6DD1D">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470D1D22">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073E45E3">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51B3F2B4">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69C69C1A">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08FE141D">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546C5DBC">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2FA9C55C">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22452B5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3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365" w:type="dxa"/>
            <w:noWrap w:val="0"/>
            <w:vAlign w:val="center"/>
          </w:tcPr>
          <w:p w14:paraId="6C3368E7">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357A765D">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价格分</w:t>
            </w:r>
          </w:p>
        </w:tc>
        <w:tc>
          <w:tcPr>
            <w:tcW w:w="6086" w:type="dxa"/>
            <w:noWrap w:val="0"/>
            <w:vAlign w:val="top"/>
          </w:tcPr>
          <w:p w14:paraId="02E9BF6D">
            <w:pPr>
              <w:pStyle w:val="12"/>
              <w:keepNext w:val="0"/>
              <w:keepLines w:val="0"/>
              <w:pageBreakBefore w:val="0"/>
              <w:widowControl w:val="0"/>
              <w:shd w:val="clear" w:color="auto" w:fill="auto"/>
              <w:kinsoku/>
              <w:wordWrap/>
              <w:overflowPunct/>
              <w:topLinePunct w:val="0"/>
              <w:autoSpaceDE/>
              <w:autoSpaceDN/>
              <w:bidi w:val="0"/>
              <w:adjustRightInd/>
              <w:snapToGrid/>
              <w:spacing w:before="131" w:line="300" w:lineRule="exact"/>
              <w:ind w:left="111" w:right="105" w:firstLine="43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（1）评审价为供应商的最后报价进行政策性扣除后的价格，</w:t>
            </w:r>
            <w:r>
              <w:rPr>
                <w:rFonts w:hint="eastAsia" w:ascii="宋体" w:hAnsi="宋体" w:eastAsia="宋体" w:cs="宋体"/>
                <w:color w:val="auto"/>
                <w:spacing w:val="9"/>
                <w:sz w:val="21"/>
                <w:szCs w:val="21"/>
                <w:highlight w:val="none"/>
              </w:rPr>
              <w:t>评审价只是作为评审时使用。最终成交供应商的成交金额等于最后</w:t>
            </w:r>
            <w:r>
              <w:rPr>
                <w:rFonts w:hint="eastAsia" w:ascii="宋体" w:hAnsi="宋体" w:eastAsia="宋体" w:cs="宋体"/>
                <w:color w:val="auto"/>
                <w:spacing w:val="7"/>
                <w:sz w:val="21"/>
                <w:szCs w:val="21"/>
                <w:highlight w:val="none"/>
              </w:rPr>
              <w:t>报价（如有修正，</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以确认修正后的最后报价为准）。</w:t>
            </w:r>
          </w:p>
          <w:p w14:paraId="54936F75">
            <w:pPr>
              <w:pStyle w:val="12"/>
              <w:keepNext w:val="0"/>
              <w:keepLines w:val="0"/>
              <w:pageBreakBefore w:val="0"/>
              <w:widowControl w:val="0"/>
              <w:shd w:val="clear" w:color="auto" w:fill="auto"/>
              <w:kinsoku/>
              <w:wordWrap/>
              <w:overflowPunct/>
              <w:topLinePunct w:val="0"/>
              <w:autoSpaceDE/>
              <w:autoSpaceDN/>
              <w:bidi w:val="0"/>
              <w:adjustRightInd/>
              <w:snapToGrid/>
              <w:spacing w:line="300" w:lineRule="exact"/>
              <w:ind w:left="54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（2）政府采购政策性扣除计算方法</w:t>
            </w:r>
          </w:p>
          <w:p w14:paraId="2F14EB71">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13" w:right="105" w:firstLine="14"/>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按照《政府采购促进中小企业发展管理办法》（财库〔2020〕</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6"/>
                <w:sz w:val="21"/>
                <w:szCs w:val="21"/>
                <w:highlight w:val="none"/>
              </w:rPr>
              <w:t>46</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6"/>
                <w:sz w:val="21"/>
                <w:szCs w:val="21"/>
                <w:highlight w:val="none"/>
              </w:rPr>
              <w:t>号）和《广西壮族自治区财政厅关于持续优化政府采购营商环境推动高质量发展的通知》（桂财采[</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2024</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]55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号）的规定，</w:t>
            </w:r>
            <w:r>
              <w:rPr>
                <w:rFonts w:hint="eastAsia" w:ascii="宋体" w:hAnsi="宋体" w:eastAsia="宋体" w:cs="宋体"/>
                <w:color w:val="auto"/>
                <w:spacing w:val="5"/>
                <w:sz w:val="21"/>
                <w:szCs w:val="21"/>
                <w:highlight w:val="none"/>
              </w:rPr>
              <w:t>供应商在</w:t>
            </w:r>
            <w:r>
              <w:rPr>
                <w:rFonts w:hint="eastAsia" w:ascii="宋体" w:hAnsi="宋体" w:eastAsia="宋体" w:cs="宋体"/>
                <w:color w:val="auto"/>
                <w:spacing w:val="9"/>
                <w:sz w:val="21"/>
                <w:szCs w:val="21"/>
                <w:highlight w:val="none"/>
              </w:rPr>
              <w:t>其响应文件中提供《中小企业声明函》，且服务全部由小微企业承</w:t>
            </w:r>
            <w:r>
              <w:rPr>
                <w:rFonts w:hint="eastAsia" w:ascii="宋体" w:hAnsi="宋体" w:eastAsia="宋体" w:cs="宋体"/>
                <w:color w:val="auto"/>
                <w:spacing w:val="4"/>
                <w:sz w:val="21"/>
                <w:szCs w:val="21"/>
                <w:highlight w:val="none"/>
              </w:rPr>
              <w:t>接，对供应商的竞标报价给予</w:t>
            </w:r>
            <w:r>
              <w:rPr>
                <w:rFonts w:hint="eastAsia" w:ascii="宋体" w:hAnsi="宋体" w:eastAsia="宋体" w:cs="宋体"/>
                <w:color w:val="auto"/>
                <w:spacing w:val="-32"/>
                <w:sz w:val="21"/>
                <w:szCs w:val="21"/>
                <w:highlight w:val="none"/>
              </w:rPr>
              <w:t xml:space="preserve"> </w:t>
            </w:r>
            <w:r>
              <w:rPr>
                <w:rFonts w:hint="eastAsia" w:ascii="宋体" w:hAnsi="宋体" w:eastAsia="宋体" w:cs="宋体"/>
                <w:b/>
                <w:bCs/>
                <w:color w:val="auto"/>
                <w:spacing w:val="-77"/>
                <w:sz w:val="21"/>
                <w:szCs w:val="21"/>
                <w:highlight w:val="none"/>
                <w:u w:val="single" w:color="auto"/>
              </w:rPr>
              <w:t xml:space="preserve"> </w:t>
            </w:r>
            <w:r>
              <w:rPr>
                <w:rFonts w:hint="eastAsia" w:ascii="宋体" w:hAnsi="宋体" w:eastAsia="宋体" w:cs="宋体"/>
                <w:b/>
                <w:bCs/>
                <w:color w:val="auto"/>
                <w:spacing w:val="4"/>
                <w:sz w:val="21"/>
                <w:szCs w:val="21"/>
                <w:highlight w:val="none"/>
                <w:u w:val="single" w:color="auto"/>
              </w:rPr>
              <w:t>10%</w:t>
            </w:r>
            <w:r>
              <w:rPr>
                <w:rFonts w:hint="eastAsia" w:ascii="宋体" w:hAnsi="宋体" w:eastAsia="宋体" w:cs="宋体"/>
                <w:color w:val="auto"/>
                <w:spacing w:val="4"/>
                <w:sz w:val="21"/>
                <w:szCs w:val="21"/>
                <w:highlight w:val="none"/>
              </w:rPr>
              <w:t>的扣除，扣除后的价格为评审价，</w:t>
            </w:r>
            <w:r>
              <w:rPr>
                <w:rFonts w:hint="eastAsia" w:ascii="宋体" w:hAnsi="宋体" w:eastAsia="宋体" w:cs="宋体"/>
                <w:b/>
                <w:bCs/>
                <w:color w:val="auto"/>
                <w:spacing w:val="8"/>
                <w:sz w:val="21"/>
                <w:szCs w:val="21"/>
                <w:highlight w:val="none"/>
              </w:rPr>
              <w:t>即评审价=竞标报价×（1-</w:t>
            </w:r>
            <w:r>
              <w:rPr>
                <w:rFonts w:hint="eastAsia" w:ascii="宋体" w:hAnsi="宋体" w:eastAsia="宋体" w:cs="宋体"/>
                <w:b/>
                <w:bCs/>
                <w:color w:val="auto"/>
                <w:spacing w:val="8"/>
                <w:sz w:val="21"/>
                <w:szCs w:val="21"/>
                <w:highlight w:val="none"/>
                <w:u w:val="single" w:color="auto"/>
              </w:rPr>
              <w:t>10%</w:t>
            </w:r>
            <w:r>
              <w:rPr>
                <w:rFonts w:hint="eastAsia" w:ascii="宋体" w:hAnsi="宋体" w:eastAsia="宋体" w:cs="宋体"/>
                <w:b/>
                <w:bCs/>
                <w:color w:val="auto"/>
                <w:spacing w:val="8"/>
                <w:sz w:val="21"/>
                <w:szCs w:val="21"/>
                <w:highlight w:val="none"/>
              </w:rPr>
              <w:t>）</w:t>
            </w:r>
            <w:r>
              <w:rPr>
                <w:rFonts w:hint="eastAsia" w:ascii="宋体" w:hAnsi="宋体" w:eastAsia="宋体" w:cs="宋体"/>
                <w:color w:val="auto"/>
                <w:spacing w:val="8"/>
                <w:sz w:val="21"/>
                <w:szCs w:val="21"/>
                <w:highlight w:val="none"/>
              </w:rPr>
              <w:t>。接受大</w:t>
            </w:r>
            <w:r>
              <w:rPr>
                <w:rFonts w:hint="eastAsia" w:ascii="宋体" w:hAnsi="宋体" w:eastAsia="宋体" w:cs="宋体"/>
                <w:color w:val="auto"/>
                <w:spacing w:val="7"/>
                <w:sz w:val="21"/>
                <w:szCs w:val="21"/>
                <w:highlight w:val="none"/>
              </w:rPr>
              <w:t>中型企业与小微企业组成</w:t>
            </w:r>
            <w:r>
              <w:rPr>
                <w:rFonts w:hint="eastAsia" w:ascii="宋体" w:hAnsi="宋体" w:eastAsia="宋体" w:cs="宋体"/>
                <w:color w:val="auto"/>
                <w:spacing w:val="16"/>
                <w:sz w:val="21"/>
                <w:szCs w:val="21"/>
                <w:highlight w:val="none"/>
              </w:rPr>
              <w:t>联合体或者允许大中型企业向一家或者多家小微企业分包的采购</w:t>
            </w:r>
            <w:r>
              <w:rPr>
                <w:rFonts w:hint="eastAsia" w:ascii="宋体" w:hAnsi="宋体" w:eastAsia="宋体" w:cs="宋体"/>
                <w:color w:val="auto"/>
                <w:spacing w:val="9"/>
                <w:sz w:val="21"/>
                <w:szCs w:val="21"/>
                <w:highlight w:val="none"/>
              </w:rPr>
              <w:t>项目，联合协议或者分包意向协议约定小微企业的合同份额占</w:t>
            </w:r>
            <w:r>
              <w:rPr>
                <w:rFonts w:hint="eastAsia" w:ascii="宋体" w:hAnsi="宋体" w:eastAsia="宋体" w:cs="宋体"/>
                <w:color w:val="auto"/>
                <w:spacing w:val="8"/>
                <w:sz w:val="21"/>
                <w:szCs w:val="21"/>
                <w:highlight w:val="none"/>
              </w:rPr>
              <w:t>到合</w:t>
            </w:r>
            <w:r>
              <w:rPr>
                <w:rFonts w:hint="eastAsia" w:ascii="宋体" w:hAnsi="宋体" w:eastAsia="宋体" w:cs="宋体"/>
                <w:color w:val="auto"/>
                <w:spacing w:val="10"/>
                <w:sz w:val="21"/>
                <w:szCs w:val="21"/>
                <w:highlight w:val="none"/>
              </w:rPr>
              <w:t>同总金额</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0"/>
                <w:sz w:val="21"/>
                <w:szCs w:val="21"/>
                <w:highlight w:val="none"/>
              </w:rPr>
              <w:t>30%以上的，采购人、采购代理机构应</w:t>
            </w:r>
            <w:r>
              <w:rPr>
                <w:rFonts w:hint="eastAsia" w:ascii="宋体" w:hAnsi="宋体" w:eastAsia="宋体" w:cs="宋体"/>
                <w:color w:val="auto"/>
                <w:spacing w:val="9"/>
                <w:sz w:val="21"/>
                <w:szCs w:val="21"/>
                <w:highlight w:val="none"/>
              </w:rPr>
              <w:t>当对联合体或者大</w:t>
            </w:r>
            <w:r>
              <w:rPr>
                <w:rFonts w:hint="eastAsia" w:ascii="宋体" w:hAnsi="宋体" w:eastAsia="宋体" w:cs="宋体"/>
                <w:color w:val="auto"/>
                <w:spacing w:val="8"/>
                <w:sz w:val="21"/>
                <w:szCs w:val="21"/>
                <w:highlight w:val="none"/>
              </w:rPr>
              <w:t>中型企业的报价给予</w:t>
            </w:r>
            <w:r>
              <w:rPr>
                <w:rFonts w:hint="eastAsia" w:ascii="宋体" w:hAnsi="宋体" w:eastAsia="宋体" w:cs="宋体"/>
                <w:color w:val="auto"/>
                <w:spacing w:val="8"/>
                <w:sz w:val="21"/>
                <w:szCs w:val="21"/>
                <w:highlight w:val="none"/>
                <w:u w:val="single" w:color="auto"/>
              </w:rPr>
              <w:t xml:space="preserve"> 4% </w:t>
            </w:r>
            <w:r>
              <w:rPr>
                <w:rFonts w:hint="eastAsia" w:ascii="宋体" w:hAnsi="宋体" w:eastAsia="宋体" w:cs="宋体"/>
                <w:color w:val="auto"/>
                <w:spacing w:val="8"/>
                <w:sz w:val="21"/>
                <w:szCs w:val="21"/>
                <w:highlight w:val="none"/>
              </w:rPr>
              <w:t>的扣除，用扣除后的价格参加评审，扣除</w:t>
            </w:r>
            <w:r>
              <w:rPr>
                <w:rFonts w:hint="eastAsia" w:ascii="宋体" w:hAnsi="宋体" w:eastAsia="宋体" w:cs="宋体"/>
                <w:color w:val="auto"/>
                <w:spacing w:val="9"/>
                <w:sz w:val="21"/>
                <w:szCs w:val="21"/>
                <w:highlight w:val="none"/>
              </w:rPr>
              <w:t>后的价格为评审价，即评审价=竞标报价×（</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9"/>
                <w:sz w:val="21"/>
                <w:szCs w:val="21"/>
                <w:highlight w:val="none"/>
              </w:rPr>
              <w:t>1-</w:t>
            </w:r>
            <w:r>
              <w:rPr>
                <w:rFonts w:hint="eastAsia" w:ascii="宋体" w:hAnsi="宋体" w:eastAsia="宋体" w:cs="宋体"/>
                <w:color w:val="auto"/>
                <w:spacing w:val="9"/>
                <w:sz w:val="21"/>
                <w:szCs w:val="21"/>
                <w:highlight w:val="none"/>
                <w:u w:val="single" w:color="auto"/>
              </w:rPr>
              <w:t xml:space="preserve"> 4 %</w:t>
            </w:r>
            <w:r>
              <w:rPr>
                <w:rFonts w:hint="eastAsia" w:ascii="宋体" w:hAnsi="宋体" w:eastAsia="宋体" w:cs="宋体"/>
                <w:color w:val="auto"/>
                <w:spacing w:val="9"/>
                <w:sz w:val="21"/>
                <w:szCs w:val="21"/>
                <w:highlight w:val="none"/>
              </w:rPr>
              <w:t>）。除上述情</w:t>
            </w:r>
            <w:r>
              <w:rPr>
                <w:rFonts w:hint="eastAsia" w:ascii="宋体" w:hAnsi="宋体" w:eastAsia="宋体" w:cs="宋体"/>
                <w:color w:val="auto"/>
                <w:spacing w:val="7"/>
                <w:sz w:val="21"/>
                <w:szCs w:val="21"/>
                <w:highlight w:val="none"/>
              </w:rPr>
              <w:t>况外，评审价=竞标报价。</w:t>
            </w:r>
          </w:p>
          <w:p w14:paraId="6B6ECE9E">
            <w:pPr>
              <w:pStyle w:val="12"/>
              <w:keepNext w:val="0"/>
              <w:keepLines w:val="0"/>
              <w:pageBreakBefore w:val="0"/>
              <w:widowControl w:val="0"/>
              <w:shd w:val="clear" w:color="auto" w:fill="auto"/>
              <w:kinsoku/>
              <w:wordWrap/>
              <w:overflowPunct/>
              <w:topLinePunct w:val="0"/>
              <w:autoSpaceDE/>
              <w:autoSpaceDN/>
              <w:bidi w:val="0"/>
              <w:adjustRightInd/>
              <w:snapToGrid/>
              <w:spacing w:before="6" w:line="300" w:lineRule="exact"/>
              <w:ind w:left="112" w:right="105" w:firstLine="4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（3）按照《财政部、司法部关于政府采购支持监狱企业发展</w:t>
            </w:r>
            <w:r>
              <w:rPr>
                <w:rFonts w:hint="eastAsia" w:ascii="宋体" w:hAnsi="宋体" w:eastAsia="宋体" w:cs="宋体"/>
                <w:color w:val="auto"/>
                <w:spacing w:val="6"/>
                <w:sz w:val="21"/>
                <w:szCs w:val="21"/>
                <w:highlight w:val="none"/>
              </w:rPr>
              <w:t>有关问题的通知》（财库〔2014〕68</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6"/>
                <w:sz w:val="21"/>
                <w:szCs w:val="21"/>
                <w:highlight w:val="none"/>
              </w:rPr>
              <w:t>号）的规定，监狱企业视同小</w:t>
            </w:r>
            <w:r>
              <w:rPr>
                <w:rFonts w:hint="eastAsia" w:ascii="宋体" w:hAnsi="宋体" w:eastAsia="宋体" w:cs="宋体"/>
                <w:color w:val="auto"/>
                <w:spacing w:val="9"/>
                <w:sz w:val="21"/>
                <w:szCs w:val="21"/>
                <w:highlight w:val="none"/>
              </w:rPr>
              <w:t>型、微型企业，享受预留份额、评审中价格扣除等促进中小企业发展的采购政策。监狱企业参加采购活动时，应当提供由省级以上监狱管理局、戒毒管理局（含新疆生产建设兵团）出具的属于监狱企</w:t>
            </w:r>
            <w:r>
              <w:rPr>
                <w:rFonts w:hint="eastAsia" w:ascii="宋体" w:hAnsi="宋体" w:eastAsia="宋体" w:cs="宋体"/>
                <w:color w:val="auto"/>
                <w:spacing w:val="8"/>
                <w:sz w:val="21"/>
                <w:szCs w:val="21"/>
                <w:highlight w:val="none"/>
              </w:rPr>
              <w:t>业的证明文件。不重复享受政策。</w:t>
            </w:r>
          </w:p>
          <w:p w14:paraId="22DA1600">
            <w:pPr>
              <w:pStyle w:val="12"/>
              <w:keepNext w:val="0"/>
              <w:keepLines w:val="0"/>
              <w:pageBreakBefore w:val="0"/>
              <w:widowControl w:val="0"/>
              <w:shd w:val="clear" w:color="auto" w:fill="auto"/>
              <w:kinsoku/>
              <w:wordWrap/>
              <w:overflowPunct/>
              <w:topLinePunct w:val="0"/>
              <w:autoSpaceDE/>
              <w:autoSpaceDN/>
              <w:bidi w:val="0"/>
              <w:adjustRightInd/>
              <w:snapToGrid/>
              <w:spacing w:line="300" w:lineRule="exact"/>
              <w:ind w:left="112" w:right="105" w:firstLine="4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（4）按照《关于促进残疾人就业政府采购政策的通知》</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11"/>
                <w:sz w:val="21"/>
                <w:szCs w:val="21"/>
                <w:highlight w:val="none"/>
              </w:rPr>
              <w:t>（财</w:t>
            </w:r>
            <w:r>
              <w:rPr>
                <w:rFonts w:hint="eastAsia" w:ascii="宋体" w:hAnsi="宋体" w:eastAsia="宋体" w:cs="宋体"/>
                <w:color w:val="auto"/>
                <w:spacing w:val="9"/>
                <w:sz w:val="21"/>
                <w:szCs w:val="21"/>
                <w:highlight w:val="none"/>
              </w:rPr>
              <w:t>库〔2017〕141</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9"/>
                <w:sz w:val="21"/>
                <w:szCs w:val="21"/>
                <w:highlight w:val="none"/>
              </w:rPr>
              <w:t>号）的规定，残疾人福利性单位视同小型、微型企业，享受预留份额、评审中价格扣除等促进中小企业发展的采购政</w:t>
            </w:r>
            <w:r>
              <w:rPr>
                <w:rFonts w:hint="eastAsia" w:ascii="宋体" w:hAnsi="宋体" w:eastAsia="宋体" w:cs="宋体"/>
                <w:color w:val="auto"/>
                <w:spacing w:val="2"/>
                <w:sz w:val="21"/>
                <w:szCs w:val="21"/>
                <w:highlight w:val="none"/>
              </w:rPr>
              <w:t>策。残疾人福利性单位参加采购活动时，应当提供该通知规定的《残</w:t>
            </w:r>
            <w:r>
              <w:rPr>
                <w:rFonts w:hint="eastAsia" w:ascii="宋体" w:hAnsi="宋体" w:eastAsia="宋体" w:cs="宋体"/>
                <w:color w:val="auto"/>
                <w:spacing w:val="9"/>
                <w:sz w:val="21"/>
                <w:szCs w:val="21"/>
                <w:highlight w:val="none"/>
              </w:rPr>
              <w:t>疾人福利性单位声明函》，并对声明的真实性负责。残疾人福利性单位属于小型、微型企业的，不重复享受政策。</w:t>
            </w:r>
          </w:p>
          <w:p w14:paraId="2F659EBF">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5</w:t>
            </w:r>
            <w:r>
              <w:rPr>
                <w:rFonts w:hint="eastAsia" w:ascii="宋体" w:hAnsi="宋体" w:eastAsia="宋体" w:cs="宋体"/>
                <w:color w:val="auto"/>
                <w:spacing w:val="10"/>
                <w:sz w:val="21"/>
                <w:szCs w:val="21"/>
                <w:highlight w:val="none"/>
              </w:rPr>
              <w:t>）本国产品政策性扣除计算方法。</w:t>
            </w:r>
          </w:p>
          <w:p w14:paraId="6F50FF79">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BEE1BA1">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74C96B8">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供应商在其响应文件中提供《关于符合本国产品标准的声明函》或财政部会同有关部门规定的有关证明文件，出具符合要求的《声明函》或有关证明文件的，该产品视为本国产品。</w:t>
            </w:r>
          </w:p>
          <w:p w14:paraId="05BB9691">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如果所有参与竞争的供应商均可享受本国产品价格评审优惠，则统一不进行价格扣除。</w:t>
            </w:r>
          </w:p>
          <w:p w14:paraId="43141CCB">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6</w:t>
            </w:r>
            <w:r>
              <w:rPr>
                <w:rFonts w:hint="eastAsia" w:ascii="宋体" w:hAnsi="宋体" w:eastAsia="宋体" w:cs="宋体"/>
                <w:color w:val="auto"/>
                <w:spacing w:val="10"/>
                <w:sz w:val="21"/>
                <w:szCs w:val="21"/>
                <w:highlight w:val="none"/>
              </w:rPr>
              <w:t>）本国产品折扣进行计算，用扣除后的价格参加评审。即评审价=竞标报价-本国产品折扣，除上述情况外，评审价=竞标报价。</w:t>
            </w:r>
          </w:p>
          <w:p w14:paraId="3CE962DB">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7</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0"/>
                <w:sz w:val="21"/>
                <w:szCs w:val="21"/>
                <w:highlight w:val="none"/>
              </w:rPr>
              <w:t>以进入比较与评价环节的最低的评审价为基准价，基准</w:t>
            </w:r>
            <w:r>
              <w:rPr>
                <w:rFonts w:hint="eastAsia" w:ascii="宋体" w:hAnsi="宋体" w:eastAsia="宋体" w:cs="宋体"/>
                <w:color w:val="auto"/>
                <w:spacing w:val="1"/>
                <w:sz w:val="21"/>
                <w:szCs w:val="21"/>
                <w:highlight w:val="none"/>
              </w:rPr>
              <w:t>价得分为</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76"/>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1</w:t>
            </w:r>
            <w:r>
              <w:rPr>
                <w:rFonts w:hint="eastAsia" w:ascii="宋体" w:hAnsi="宋体" w:eastAsia="宋体" w:cs="宋体"/>
                <w:color w:val="auto"/>
                <w:spacing w:val="1"/>
                <w:sz w:val="21"/>
                <w:szCs w:val="21"/>
                <w:highlight w:val="none"/>
                <w:u w:val="single" w:color="auto"/>
                <w:lang w:val="en-US" w:eastAsia="zh-CN"/>
              </w:rPr>
              <w:t>0</w:t>
            </w:r>
            <w:r>
              <w:rPr>
                <w:rFonts w:hint="eastAsia" w:ascii="宋体" w:hAnsi="宋体" w:eastAsia="宋体" w:cs="宋体"/>
                <w:color w:val="auto"/>
                <w:spacing w:val="-35"/>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分</w:t>
            </w:r>
            <w:r>
              <w:rPr>
                <w:rFonts w:hint="eastAsia" w:ascii="宋体" w:hAnsi="宋体" w:eastAsia="宋体" w:cs="宋体"/>
                <w:color w:val="auto"/>
                <w:spacing w:val="1"/>
                <w:sz w:val="21"/>
                <w:szCs w:val="21"/>
                <w:highlight w:val="none"/>
              </w:rPr>
              <w:t>。</w:t>
            </w:r>
          </w:p>
          <w:p w14:paraId="516B76FF">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8</w:t>
            </w:r>
            <w:r>
              <w:rPr>
                <w:rFonts w:hint="eastAsia" w:ascii="宋体" w:hAnsi="宋体" w:eastAsia="宋体" w:cs="宋体"/>
                <w:color w:val="auto"/>
                <w:spacing w:val="6"/>
                <w:sz w:val="21"/>
                <w:szCs w:val="21"/>
                <w:highlight w:val="none"/>
              </w:rPr>
              <w:t>）价格分计算公式：</w:t>
            </w:r>
          </w:p>
          <w:p w14:paraId="7A26ACEE">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报价得分=（基准价/评审价） × 1</w:t>
            </w:r>
            <w:r>
              <w:rPr>
                <w:rFonts w:hint="eastAsia" w:ascii="宋体" w:hAnsi="宋体" w:eastAsia="宋体" w:cs="宋体"/>
                <w:color w:val="auto"/>
                <w:spacing w:val="10"/>
                <w:sz w:val="21"/>
                <w:szCs w:val="21"/>
                <w:highlight w:val="none"/>
                <w:lang w:val="en-US" w:eastAsia="zh-CN"/>
              </w:rPr>
              <w:t>0</w:t>
            </w:r>
            <w:r>
              <w:rPr>
                <w:rFonts w:hint="eastAsia" w:ascii="宋体" w:hAnsi="宋体" w:eastAsia="宋体" w:cs="宋体"/>
                <w:color w:val="auto"/>
                <w:spacing w:val="10"/>
                <w:sz w:val="21"/>
                <w:szCs w:val="21"/>
                <w:highlight w:val="none"/>
              </w:rPr>
              <w:t xml:space="preserve"> 分</w:t>
            </w:r>
          </w:p>
          <w:p w14:paraId="4A364C19">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8" w:firstLine="431"/>
              <w:textAlignment w:val="auto"/>
              <w:rPr>
                <w:rFonts w:hint="eastAsia" w:ascii="宋体" w:hAnsi="宋体" w:eastAsia="宋体" w:cs="宋体"/>
                <w:color w:val="auto"/>
                <w:spacing w:val="10"/>
                <w:sz w:val="21"/>
                <w:szCs w:val="21"/>
                <w:highlight w:val="none"/>
                <w:lang w:val="en-US" w:eastAsia="zh-CN"/>
              </w:rPr>
            </w:pPr>
          </w:p>
        </w:tc>
        <w:tc>
          <w:tcPr>
            <w:tcW w:w="855" w:type="dxa"/>
            <w:noWrap w:val="0"/>
            <w:vAlign w:val="top"/>
          </w:tcPr>
          <w:p w14:paraId="5037EFA6">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26024F2D">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4B27DA2">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54D0A975">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3AE2AEB">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2D5316D4">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27CFBB3D">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03E0B66C">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669D6D5">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6"/>
                <w:sz w:val="21"/>
                <w:szCs w:val="21"/>
                <w:highlight w:val="none"/>
                <w:lang w:val="en-US" w:eastAsia="zh-CN"/>
              </w:rPr>
              <w:t>0</w:t>
            </w:r>
            <w:r>
              <w:rPr>
                <w:rFonts w:hint="eastAsia" w:ascii="宋体" w:hAnsi="宋体" w:eastAsia="宋体" w:cs="宋体"/>
                <w:color w:val="auto"/>
                <w:spacing w:val="-6"/>
                <w:sz w:val="21"/>
                <w:szCs w:val="21"/>
                <w:highlight w:val="none"/>
              </w:rPr>
              <w:t>分</w:t>
            </w:r>
          </w:p>
        </w:tc>
      </w:tr>
      <w:tr w14:paraId="3B1B0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jc w:val="center"/>
        </w:trPr>
        <w:tc>
          <w:tcPr>
            <w:tcW w:w="788" w:type="dxa"/>
            <w:noWrap w:val="0"/>
            <w:vAlign w:val="center"/>
          </w:tcPr>
          <w:p w14:paraId="50525D3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36"/>
              <w:jc w:val="center"/>
              <w:textAlignment w:val="auto"/>
              <w:rPr>
                <w:rFonts w:hint="eastAsia" w:ascii="宋体" w:hAnsi="宋体" w:eastAsia="宋体" w:cs="宋体"/>
                <w:color w:val="auto"/>
                <w:position w:val="1"/>
                <w:sz w:val="21"/>
                <w:szCs w:val="21"/>
                <w:highlight w:val="none"/>
                <w:lang w:val="en-US" w:eastAsia="zh-CN"/>
              </w:rPr>
            </w:pPr>
            <w:r>
              <w:rPr>
                <w:rFonts w:hint="eastAsia" w:ascii="宋体" w:hAnsi="宋体" w:eastAsia="宋体" w:cs="宋体"/>
                <w:color w:val="auto"/>
                <w:position w:val="1"/>
                <w:sz w:val="21"/>
                <w:szCs w:val="21"/>
                <w:highlight w:val="none"/>
                <w:lang w:val="en-US" w:eastAsia="zh-CN"/>
              </w:rPr>
              <w:t>2</w:t>
            </w:r>
          </w:p>
        </w:tc>
        <w:tc>
          <w:tcPr>
            <w:tcW w:w="1365" w:type="dxa"/>
            <w:noWrap w:val="0"/>
            <w:vAlign w:val="center"/>
          </w:tcPr>
          <w:p w14:paraId="35773612">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both"/>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技术分</w:t>
            </w:r>
          </w:p>
        </w:tc>
        <w:tc>
          <w:tcPr>
            <w:tcW w:w="6086" w:type="dxa"/>
            <w:noWrap w:val="0"/>
            <w:vAlign w:val="center"/>
          </w:tcPr>
          <w:p w14:paraId="50E20AB8">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both"/>
              <w:textAlignment w:val="auto"/>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7"/>
                <w:sz w:val="21"/>
                <w:szCs w:val="21"/>
                <w:highlight w:val="none"/>
              </w:rPr>
              <w:t>评审因素</w:t>
            </w:r>
            <w:r>
              <w:rPr>
                <w:rFonts w:hint="eastAsia" w:ascii="宋体" w:hAnsi="宋体" w:eastAsia="宋体" w:cs="宋体"/>
                <w:color w:val="auto"/>
                <w:spacing w:val="7"/>
                <w:sz w:val="21"/>
                <w:szCs w:val="21"/>
                <w:highlight w:val="none"/>
                <w:lang w:val="en-US" w:eastAsia="zh-CN"/>
              </w:rPr>
              <w:t>具体内容</w:t>
            </w:r>
          </w:p>
        </w:tc>
        <w:tc>
          <w:tcPr>
            <w:tcW w:w="855" w:type="dxa"/>
            <w:noWrap w:val="0"/>
            <w:vAlign w:val="center"/>
          </w:tcPr>
          <w:p w14:paraId="5AFD8980">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jc w:val="center"/>
              <w:textAlignment w:val="auto"/>
              <w:rPr>
                <w:rFonts w:hint="default"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90分</w:t>
            </w:r>
          </w:p>
        </w:tc>
      </w:tr>
      <w:tr w14:paraId="0B49F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5DAD9DC3">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8" w:leftChars="0"/>
              <w:jc w:val="center"/>
              <w:textAlignment w:val="auto"/>
              <w:rPr>
                <w:rFonts w:hint="default" w:ascii="宋体" w:hAnsi="宋体" w:eastAsia="宋体" w:cs="宋体"/>
                <w:color w:val="auto"/>
                <w:spacing w:val="1"/>
                <w:position w:val="1"/>
                <w:sz w:val="21"/>
                <w:szCs w:val="21"/>
                <w:highlight w:val="none"/>
                <w:lang w:val="en-US" w:eastAsia="zh-CN"/>
              </w:rPr>
            </w:pPr>
            <w:r>
              <w:rPr>
                <w:rFonts w:hint="eastAsia" w:ascii="宋体" w:hAnsi="宋体" w:eastAsia="宋体" w:cs="宋体"/>
                <w:color w:val="auto"/>
                <w:spacing w:val="1"/>
                <w:position w:val="1"/>
                <w:sz w:val="21"/>
                <w:szCs w:val="21"/>
                <w:highlight w:val="none"/>
                <w:lang w:val="en-US" w:eastAsia="zh-CN"/>
              </w:rPr>
              <w:t>2.1</w:t>
            </w:r>
          </w:p>
        </w:tc>
        <w:tc>
          <w:tcPr>
            <w:tcW w:w="1365" w:type="dxa"/>
            <w:noWrap w:val="0"/>
            <w:vAlign w:val="center"/>
          </w:tcPr>
          <w:p w14:paraId="1586DA0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default" w:ascii="宋体" w:hAnsi="宋体" w:eastAsia="宋体" w:cs="宋体"/>
                <w:color w:val="auto"/>
                <w:spacing w:val="7"/>
                <w:sz w:val="21"/>
                <w:szCs w:val="21"/>
                <w:highlight w:val="none"/>
                <w:lang w:val="en-US"/>
              </w:rPr>
            </w:pPr>
            <w:r>
              <w:rPr>
                <w:rFonts w:hint="default" w:ascii="宋体" w:hAnsi="宋体" w:eastAsia="宋体" w:cs="宋体"/>
                <w:color w:val="auto"/>
                <w:spacing w:val="7"/>
                <w:sz w:val="21"/>
                <w:szCs w:val="21"/>
                <w:highlight w:val="none"/>
                <w:lang w:val="en-US"/>
              </w:rPr>
              <w:t>产品性能</w:t>
            </w:r>
          </w:p>
        </w:tc>
        <w:tc>
          <w:tcPr>
            <w:tcW w:w="6086" w:type="dxa"/>
            <w:noWrap w:val="0"/>
            <w:vAlign w:val="top"/>
          </w:tcPr>
          <w:p w14:paraId="4F45EDD9">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default" w:ascii="宋体" w:hAnsi="宋体" w:eastAsia="宋体" w:cs="宋体"/>
                <w:color w:val="auto"/>
                <w:spacing w:val="9"/>
                <w:sz w:val="21"/>
                <w:szCs w:val="21"/>
                <w:highlight w:val="none"/>
                <w:lang w:val="en-US"/>
              </w:rPr>
            </w:pPr>
            <w:r>
              <w:rPr>
                <w:rFonts w:hint="default" w:ascii="宋体" w:hAnsi="宋体" w:eastAsia="宋体" w:cs="宋体"/>
                <w:color w:val="auto"/>
                <w:spacing w:val="9"/>
                <w:sz w:val="21"/>
                <w:szCs w:val="21"/>
                <w:highlight w:val="none"/>
                <w:lang w:val="en-US"/>
              </w:rPr>
              <w:t>针对技术要求中标记“</w:t>
            </w:r>
            <w:r>
              <w:rPr>
                <w:rFonts w:hint="eastAsia" w:ascii="微软雅黑" w:hAnsi="微软雅黑" w:eastAsia="微软雅黑" w:cs="微软雅黑"/>
                <w:i w:val="0"/>
                <w:iCs w:val="0"/>
                <w:color w:val="auto"/>
                <w:kern w:val="0"/>
                <w:sz w:val="21"/>
                <w:szCs w:val="21"/>
                <w:highlight w:val="none"/>
                <w:u w:val="none"/>
                <w:lang w:val="en-US" w:eastAsia="zh-CN" w:bidi="ar"/>
              </w:rPr>
              <w:t>▲</w:t>
            </w:r>
            <w:r>
              <w:rPr>
                <w:rFonts w:hint="default" w:ascii="宋体" w:hAnsi="宋体" w:eastAsia="宋体" w:cs="宋体"/>
                <w:color w:val="auto"/>
                <w:spacing w:val="9"/>
                <w:sz w:val="21"/>
                <w:szCs w:val="21"/>
                <w:highlight w:val="none"/>
                <w:lang w:val="en-US"/>
              </w:rPr>
              <w:t>”项的参数，存在不满足响应要求或响应负偏离、漏项的，每一项扣2分，扣至本项分值扣完为止。</w:t>
            </w:r>
          </w:p>
          <w:p w14:paraId="383ECBB5">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default" w:ascii="宋体" w:hAnsi="宋体" w:eastAsia="宋体" w:cs="宋体"/>
                <w:color w:val="auto"/>
                <w:spacing w:val="9"/>
                <w:sz w:val="21"/>
                <w:szCs w:val="21"/>
                <w:highlight w:val="none"/>
                <w:lang w:val="en-US"/>
              </w:rPr>
            </w:pPr>
          </w:p>
        </w:tc>
        <w:tc>
          <w:tcPr>
            <w:tcW w:w="855" w:type="dxa"/>
            <w:noWrap w:val="0"/>
            <w:vAlign w:val="top"/>
          </w:tcPr>
          <w:p w14:paraId="0A079CA4">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leftChars="0"/>
              <w:textAlignment w:val="auto"/>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30分</w:t>
            </w:r>
          </w:p>
        </w:tc>
      </w:tr>
      <w:tr w14:paraId="2729C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250AD1F8">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8" w:leftChars="0"/>
              <w:jc w:val="center"/>
              <w:textAlignment w:val="auto"/>
              <w:rPr>
                <w:rFonts w:hint="eastAsia" w:ascii="宋体" w:hAnsi="宋体" w:eastAsia="宋体" w:cs="宋体"/>
                <w:color w:val="auto"/>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2</w:t>
            </w:r>
          </w:p>
        </w:tc>
        <w:tc>
          <w:tcPr>
            <w:tcW w:w="1365" w:type="dxa"/>
            <w:noWrap w:val="0"/>
            <w:vAlign w:val="center"/>
          </w:tcPr>
          <w:p w14:paraId="2ED1BD2B">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001FCA91">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7"/>
                <w:sz w:val="21"/>
                <w:szCs w:val="21"/>
                <w:highlight w:val="none"/>
              </w:rPr>
              <w:t>对项目的理解</w:t>
            </w:r>
          </w:p>
        </w:tc>
        <w:tc>
          <w:tcPr>
            <w:tcW w:w="6086" w:type="dxa"/>
            <w:noWrap w:val="0"/>
            <w:vAlign w:val="top"/>
          </w:tcPr>
          <w:p w14:paraId="2E1F279E">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根据供应商提供的响应文件中的对项目的理解进行评审</w:t>
            </w:r>
            <w:r>
              <w:rPr>
                <w:rFonts w:hint="eastAsia" w:ascii="宋体" w:hAnsi="宋体" w:eastAsia="宋体" w:cs="宋体"/>
                <w:color w:val="auto"/>
                <w:spacing w:val="8"/>
                <w:sz w:val="21"/>
                <w:szCs w:val="21"/>
                <w:highlight w:val="none"/>
              </w:rPr>
              <w:t>，评审</w:t>
            </w:r>
            <w:r>
              <w:rPr>
                <w:rFonts w:hint="eastAsia" w:ascii="宋体" w:hAnsi="宋体" w:eastAsia="宋体" w:cs="宋体"/>
                <w:color w:val="auto"/>
                <w:sz w:val="21"/>
                <w:szCs w:val="21"/>
                <w:highlight w:val="none"/>
              </w:rPr>
              <w:t>内容包含：</w:t>
            </w:r>
          </w:p>
          <w:p w14:paraId="486A79C4">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①对项目需求的理解；</w:t>
            </w:r>
          </w:p>
          <w:p w14:paraId="6C0994FC">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②项目总体工作思路；</w:t>
            </w:r>
          </w:p>
          <w:p w14:paraId="20981503">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③本项目所面临的技术重点、难点问题分析；</w:t>
            </w:r>
          </w:p>
          <w:p w14:paraId="3EA5EBE4">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④针对本项目的合理性建议。</w:t>
            </w:r>
          </w:p>
          <w:p w14:paraId="4A11D1AD">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9"/>
                <w:sz w:val="21"/>
                <w:szCs w:val="21"/>
                <w:highlight w:val="none"/>
              </w:rPr>
              <w:t>提供有以上各项内容的每项得</w:t>
            </w:r>
            <w:r>
              <w:rPr>
                <w:rFonts w:hint="eastAsia" w:ascii="宋体" w:hAnsi="宋体" w:eastAsia="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rPr>
              <w:t xml:space="preserve">分， 内容清晰合理的每项得 </w:t>
            </w:r>
            <w:r>
              <w:rPr>
                <w:rFonts w:hint="eastAsia" w:ascii="宋体" w:hAnsi="宋体" w:eastAsia="宋体" w:cs="宋体"/>
                <w:color w:val="auto"/>
                <w:spacing w:val="9"/>
                <w:sz w:val="21"/>
                <w:szCs w:val="21"/>
                <w:highlight w:val="none"/>
                <w:lang w:val="en-US" w:eastAsia="zh-CN"/>
              </w:rPr>
              <w:t>1.5</w:t>
            </w:r>
            <w:r>
              <w:rPr>
                <w:rFonts w:hint="eastAsia" w:ascii="宋体" w:hAnsi="宋体" w:eastAsia="宋体" w:cs="宋体"/>
                <w:color w:val="auto"/>
                <w:spacing w:val="9"/>
                <w:sz w:val="21"/>
                <w:szCs w:val="21"/>
                <w:highlight w:val="none"/>
              </w:rPr>
              <w:t xml:space="preserve">分，内容贴合项目实际，有利于项目顺利实施的每项得 </w:t>
            </w:r>
            <w:r>
              <w:rPr>
                <w:rFonts w:hint="eastAsia" w:ascii="宋体" w:hAnsi="宋体" w:eastAsia="宋体" w:cs="宋体"/>
                <w:color w:val="auto"/>
                <w:spacing w:val="9"/>
                <w:sz w:val="21"/>
                <w:szCs w:val="21"/>
                <w:highlight w:val="none"/>
                <w:lang w:val="en-US" w:eastAsia="zh-CN"/>
              </w:rPr>
              <w:t>1.5</w:t>
            </w:r>
            <w:r>
              <w:rPr>
                <w:rFonts w:hint="eastAsia" w:ascii="宋体" w:hAnsi="宋体" w:eastAsia="宋体" w:cs="宋体"/>
                <w:color w:val="auto"/>
                <w:spacing w:val="9"/>
                <w:sz w:val="21"/>
                <w:szCs w:val="21"/>
                <w:highlight w:val="none"/>
              </w:rPr>
              <w:t>分，每项满分</w:t>
            </w:r>
            <w:r>
              <w:rPr>
                <w:rFonts w:hint="eastAsia" w:ascii="宋体" w:hAnsi="宋体" w:eastAsia="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rPr>
              <w:t>分，共</w:t>
            </w:r>
            <w:r>
              <w:rPr>
                <w:rFonts w:hint="eastAsia" w:ascii="宋体" w:hAnsi="宋体" w:eastAsia="宋体" w:cs="宋体"/>
                <w:color w:val="auto"/>
                <w:spacing w:val="9"/>
                <w:sz w:val="21"/>
                <w:szCs w:val="21"/>
                <w:highlight w:val="none"/>
                <w:lang w:val="en-US" w:eastAsia="zh-CN"/>
              </w:rPr>
              <w:t>20</w:t>
            </w:r>
            <w:r>
              <w:rPr>
                <w:rFonts w:hint="eastAsia" w:ascii="宋体" w:hAnsi="宋体" w:eastAsia="宋体" w:cs="宋体"/>
                <w:color w:val="auto"/>
                <w:spacing w:val="9"/>
                <w:sz w:val="21"/>
                <w:szCs w:val="21"/>
                <w:highlight w:val="none"/>
              </w:rPr>
              <w:t>分。</w:t>
            </w:r>
          </w:p>
        </w:tc>
        <w:tc>
          <w:tcPr>
            <w:tcW w:w="855" w:type="dxa"/>
            <w:noWrap w:val="0"/>
            <w:vAlign w:val="top"/>
          </w:tcPr>
          <w:p w14:paraId="3C4C8D7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6D05780">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367BA94E">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53D4456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1A480A7B">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1A7077DE">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72A9F621">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left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lang w:val="en-US" w:eastAsia="zh-CN"/>
              </w:rPr>
              <w:t>20</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分</w:t>
            </w:r>
          </w:p>
        </w:tc>
      </w:tr>
      <w:tr w14:paraId="5D872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7E71184C">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highlight w:val="none"/>
              </w:rPr>
            </w:pPr>
          </w:p>
          <w:p w14:paraId="4DDA544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8" w:leftChars="0"/>
              <w:jc w:val="center"/>
              <w:textAlignment w:val="auto"/>
              <w:rPr>
                <w:rFonts w:hint="eastAsia" w:ascii="宋体" w:hAnsi="宋体" w:eastAsia="宋体" w:cs="宋体"/>
                <w:color w:val="auto"/>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3</w:t>
            </w:r>
          </w:p>
        </w:tc>
        <w:tc>
          <w:tcPr>
            <w:tcW w:w="1365" w:type="dxa"/>
            <w:noWrap w:val="0"/>
            <w:vAlign w:val="center"/>
          </w:tcPr>
          <w:p w14:paraId="273EED25">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highlight w:val="none"/>
              </w:rPr>
            </w:pPr>
          </w:p>
          <w:p w14:paraId="2CA6E4AB">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17D28624">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7"/>
                <w:sz w:val="21"/>
                <w:szCs w:val="21"/>
                <w:highlight w:val="none"/>
              </w:rPr>
              <w:t>项目实施方案</w:t>
            </w:r>
          </w:p>
        </w:tc>
        <w:tc>
          <w:tcPr>
            <w:tcW w:w="6086" w:type="dxa"/>
            <w:noWrap w:val="0"/>
            <w:vAlign w:val="top"/>
          </w:tcPr>
          <w:p w14:paraId="1488245A">
            <w:pPr>
              <w:pStyle w:val="12"/>
              <w:keepNext w:val="0"/>
              <w:keepLines w:val="0"/>
              <w:pageBreakBefore w:val="0"/>
              <w:widowControl w:val="0"/>
              <w:shd w:val="clear" w:color="auto" w:fill="auto"/>
              <w:kinsoku/>
              <w:wordWrap/>
              <w:overflowPunct/>
              <w:topLinePunct w:val="0"/>
              <w:autoSpaceDE/>
              <w:autoSpaceDN/>
              <w:bidi w:val="0"/>
              <w:adjustRightInd/>
              <w:snapToGrid/>
              <w:spacing w:before="132" w:line="300" w:lineRule="exact"/>
              <w:ind w:left="113" w:right="105" w:firstLine="422"/>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一档（</w:t>
            </w:r>
            <w:r>
              <w:rPr>
                <w:rFonts w:hint="eastAsia" w:ascii="宋体" w:hAnsi="宋体" w:eastAsia="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rPr>
              <w:t>分</w:t>
            </w:r>
            <w:r>
              <w:rPr>
                <w:rFonts w:hint="eastAsia" w:ascii="宋体" w:hAnsi="宋体" w:eastAsia="宋体" w:cs="宋体"/>
                <w:color w:val="auto"/>
                <w:spacing w:val="23"/>
                <w:sz w:val="21"/>
                <w:szCs w:val="21"/>
                <w:highlight w:val="none"/>
              </w:rPr>
              <w:t>）：</w:t>
            </w:r>
            <w:r>
              <w:rPr>
                <w:rFonts w:hint="eastAsia" w:ascii="宋体" w:hAnsi="宋体" w:eastAsia="宋体" w:cs="宋体"/>
                <w:color w:val="auto"/>
                <w:spacing w:val="9"/>
                <w:sz w:val="21"/>
                <w:szCs w:val="21"/>
                <w:highlight w:val="none"/>
              </w:rPr>
              <w:t>实施方案内容基本齐全。基本能结合项目实际情况对进度管理和质量管理进行分析，且进度管理和质量管理</w:t>
            </w:r>
            <w:r>
              <w:rPr>
                <w:rFonts w:hint="eastAsia" w:ascii="宋体" w:hAnsi="宋体" w:eastAsia="宋体" w:cs="宋体"/>
                <w:color w:val="auto"/>
                <w:spacing w:val="8"/>
                <w:sz w:val="21"/>
                <w:szCs w:val="21"/>
                <w:highlight w:val="none"/>
              </w:rPr>
              <w:t>措施</w:t>
            </w:r>
            <w:r>
              <w:rPr>
                <w:rFonts w:hint="eastAsia" w:ascii="宋体" w:hAnsi="宋体" w:eastAsia="宋体" w:cs="宋体"/>
                <w:color w:val="auto"/>
                <w:spacing w:val="4"/>
                <w:sz w:val="21"/>
                <w:szCs w:val="21"/>
                <w:highlight w:val="none"/>
              </w:rPr>
              <w:t>有描述；</w:t>
            </w:r>
          </w:p>
          <w:p w14:paraId="414B62C8">
            <w:pPr>
              <w:pStyle w:val="12"/>
              <w:keepNext w:val="0"/>
              <w:keepLines w:val="0"/>
              <w:pageBreakBefore w:val="0"/>
              <w:widowControl w:val="0"/>
              <w:shd w:val="clear" w:color="auto" w:fill="auto"/>
              <w:kinsoku/>
              <w:wordWrap/>
              <w:overflowPunct/>
              <w:topLinePunct w:val="0"/>
              <w:autoSpaceDE/>
              <w:autoSpaceDN/>
              <w:bidi w:val="0"/>
              <w:adjustRightInd/>
              <w:snapToGrid/>
              <w:spacing w:before="4" w:line="300" w:lineRule="exact"/>
              <w:ind w:left="114" w:right="105" w:firstLine="421"/>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二档（</w:t>
            </w:r>
            <w:r>
              <w:rPr>
                <w:rFonts w:hint="eastAsia" w:ascii="宋体" w:hAnsi="宋体" w:eastAsia="宋体" w:cs="宋体"/>
                <w:color w:val="auto"/>
                <w:spacing w:val="9"/>
                <w:sz w:val="21"/>
                <w:szCs w:val="21"/>
                <w:highlight w:val="none"/>
                <w:lang w:val="en-US" w:eastAsia="zh-CN"/>
              </w:rPr>
              <w:t>10</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9"/>
                <w:sz w:val="21"/>
                <w:szCs w:val="21"/>
                <w:highlight w:val="none"/>
              </w:rPr>
              <w:t>分</w:t>
            </w:r>
            <w:r>
              <w:rPr>
                <w:rFonts w:hint="eastAsia" w:ascii="宋体" w:hAnsi="宋体" w:eastAsia="宋体" w:cs="宋体"/>
                <w:color w:val="auto"/>
                <w:spacing w:val="23"/>
                <w:sz w:val="21"/>
                <w:szCs w:val="21"/>
                <w:highlight w:val="none"/>
              </w:rPr>
              <w:t>）：</w:t>
            </w:r>
            <w:r>
              <w:rPr>
                <w:rFonts w:hint="eastAsia" w:ascii="宋体" w:hAnsi="宋体" w:eastAsia="宋体" w:cs="宋体"/>
                <w:color w:val="auto"/>
                <w:spacing w:val="9"/>
                <w:sz w:val="21"/>
                <w:szCs w:val="21"/>
                <w:highlight w:val="none"/>
              </w:rPr>
              <w:t>实施方案内容较为全面，包含人员管理、进度管理、质量管理、计划管理、施工组织管理等。能结合项目</w:t>
            </w:r>
            <w:r>
              <w:rPr>
                <w:rFonts w:hint="eastAsia" w:ascii="宋体" w:hAnsi="宋体" w:eastAsia="宋体" w:cs="宋体"/>
                <w:color w:val="auto"/>
                <w:spacing w:val="8"/>
                <w:sz w:val="21"/>
                <w:szCs w:val="21"/>
                <w:highlight w:val="none"/>
              </w:rPr>
              <w:t>实际情</w:t>
            </w:r>
            <w:r>
              <w:rPr>
                <w:rFonts w:hint="eastAsia" w:ascii="宋体" w:hAnsi="宋体" w:eastAsia="宋体" w:cs="宋体"/>
                <w:color w:val="auto"/>
                <w:spacing w:val="9"/>
                <w:sz w:val="21"/>
                <w:szCs w:val="21"/>
                <w:highlight w:val="none"/>
              </w:rPr>
              <w:t>况进行分析说明，实施方案能融合主要建设内容进行合理分</w:t>
            </w:r>
            <w:r>
              <w:rPr>
                <w:rFonts w:hint="eastAsia" w:ascii="宋体" w:hAnsi="宋体" w:eastAsia="宋体" w:cs="宋体"/>
                <w:color w:val="auto"/>
                <w:spacing w:val="8"/>
                <w:sz w:val="21"/>
                <w:szCs w:val="21"/>
                <w:highlight w:val="none"/>
              </w:rPr>
              <w:t>析和科</w:t>
            </w:r>
            <w:r>
              <w:rPr>
                <w:rFonts w:hint="eastAsia" w:ascii="宋体" w:hAnsi="宋体" w:eastAsia="宋体" w:cs="宋体"/>
                <w:color w:val="auto"/>
                <w:spacing w:val="4"/>
                <w:sz w:val="21"/>
                <w:szCs w:val="21"/>
                <w:highlight w:val="none"/>
              </w:rPr>
              <w:t>学编排；</w:t>
            </w:r>
          </w:p>
          <w:p w14:paraId="6E9CBC7C">
            <w:pPr>
              <w:pStyle w:val="12"/>
              <w:keepNext w:val="0"/>
              <w:keepLines w:val="0"/>
              <w:pageBreakBefore w:val="0"/>
              <w:widowControl w:val="0"/>
              <w:shd w:val="clear" w:color="auto" w:fill="auto"/>
              <w:kinsoku/>
              <w:wordWrap/>
              <w:overflowPunct/>
              <w:topLinePunct w:val="0"/>
              <w:autoSpaceDE/>
              <w:autoSpaceDN/>
              <w:bidi w:val="0"/>
              <w:adjustRightInd/>
              <w:snapToGrid/>
              <w:spacing w:line="300" w:lineRule="exact"/>
              <w:ind w:left="111" w:right="34" w:firstLine="421"/>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三档（</w:t>
            </w:r>
            <w:r>
              <w:rPr>
                <w:rFonts w:hint="eastAsia" w:ascii="宋体" w:hAnsi="宋体" w:eastAsia="宋体" w:cs="宋体"/>
                <w:color w:val="auto"/>
                <w:spacing w:val="3"/>
                <w:sz w:val="21"/>
                <w:szCs w:val="21"/>
                <w:highlight w:val="none"/>
                <w:lang w:val="en-US" w:eastAsia="zh-CN"/>
              </w:rPr>
              <w:t>15</w:t>
            </w:r>
            <w:r>
              <w:rPr>
                <w:rFonts w:hint="eastAsia" w:ascii="宋体" w:hAnsi="宋体" w:eastAsia="宋体" w:cs="宋体"/>
                <w:color w:val="auto"/>
                <w:spacing w:val="3"/>
                <w:sz w:val="21"/>
                <w:szCs w:val="21"/>
                <w:highlight w:val="none"/>
              </w:rPr>
              <w:t>分</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3"/>
                <w:sz w:val="21"/>
                <w:szCs w:val="21"/>
                <w:highlight w:val="none"/>
              </w:rPr>
              <w:t>实施方案内容全面，包括人员管理、进度管理、</w:t>
            </w:r>
            <w:r>
              <w:rPr>
                <w:rFonts w:hint="eastAsia" w:ascii="宋体" w:hAnsi="宋体" w:eastAsia="宋体" w:cs="宋体"/>
                <w:color w:val="auto"/>
                <w:spacing w:val="10"/>
                <w:sz w:val="21"/>
                <w:szCs w:val="21"/>
                <w:highlight w:val="none"/>
              </w:rPr>
              <w:t>质量管理、计划管理、施工组织管理、协调管理。描述完整详尽，</w:t>
            </w:r>
            <w:r>
              <w:rPr>
                <w:rFonts w:hint="eastAsia" w:ascii="宋体" w:hAnsi="宋体" w:eastAsia="宋体" w:cs="宋体"/>
                <w:color w:val="auto"/>
                <w:spacing w:val="9"/>
                <w:sz w:val="21"/>
                <w:szCs w:val="21"/>
                <w:highlight w:val="none"/>
              </w:rPr>
              <w:t>能结合项目实际情况进行分析说明，实施方案能融合主要建设内容进行合理分析和科学编排，且具有直观性、针对性和可操作性；</w:t>
            </w:r>
          </w:p>
          <w:p w14:paraId="7D739DBC">
            <w:pPr>
              <w:pStyle w:val="12"/>
              <w:keepNext w:val="0"/>
              <w:keepLines w:val="0"/>
              <w:pageBreakBefore w:val="0"/>
              <w:widowControl w:val="0"/>
              <w:shd w:val="clear" w:color="auto" w:fill="auto"/>
              <w:kinsoku/>
              <w:wordWrap/>
              <w:overflowPunct/>
              <w:topLinePunct w:val="0"/>
              <w:autoSpaceDE/>
              <w:autoSpaceDN/>
              <w:bidi w:val="0"/>
              <w:adjustRightInd/>
              <w:snapToGrid/>
              <w:spacing w:before="7" w:line="300" w:lineRule="exact"/>
              <w:ind w:left="112" w:leftChars="0" w:right="34" w:rightChars="0" w:firstLine="440" w:firstLineChars="0"/>
              <w:jc w:val="both"/>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2"/>
                <w:sz w:val="21"/>
                <w:szCs w:val="21"/>
                <w:highlight w:val="none"/>
              </w:rPr>
              <w:t>四档（</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rPr>
              <w:t>分</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2"/>
                <w:sz w:val="21"/>
                <w:szCs w:val="21"/>
                <w:highlight w:val="none"/>
              </w:rPr>
              <w:t>实施方案内容全面，包含人员管理、进度管理、</w:t>
            </w:r>
            <w:r>
              <w:rPr>
                <w:rFonts w:hint="eastAsia" w:ascii="宋体" w:hAnsi="宋体" w:eastAsia="宋体" w:cs="宋体"/>
                <w:color w:val="auto"/>
                <w:spacing w:val="9"/>
                <w:sz w:val="21"/>
                <w:szCs w:val="21"/>
                <w:highlight w:val="none"/>
              </w:rPr>
              <w:t>质量管理、计划管理、施工组织管理、协调管理、突发事件的应急处理预案，描述完整详尽，能结合项目实际情况进行分析说明，实施方案进度能融合主要建设内容进行合理分析和科学编排，且具有直观性、针对性和可操作性，并提出具体的科学合理的工期和质量</w:t>
            </w:r>
            <w:r>
              <w:rPr>
                <w:rFonts w:hint="eastAsia" w:ascii="宋体" w:hAnsi="宋体" w:eastAsia="宋体" w:cs="宋体"/>
                <w:color w:val="auto"/>
                <w:spacing w:val="10"/>
                <w:sz w:val="21"/>
                <w:szCs w:val="21"/>
                <w:highlight w:val="none"/>
              </w:rPr>
              <w:t>保证措施，对影响项目进度和质量的主要风险点和难点进行分析，</w:t>
            </w:r>
            <w:r>
              <w:rPr>
                <w:rFonts w:hint="eastAsia" w:ascii="宋体" w:hAnsi="宋体" w:eastAsia="宋体" w:cs="宋体"/>
                <w:color w:val="auto"/>
                <w:spacing w:val="9"/>
                <w:sz w:val="21"/>
                <w:szCs w:val="21"/>
                <w:highlight w:val="none"/>
              </w:rPr>
              <w:t>提出合理化建议及切实可行、具有针对性和具体的解决方案或应对</w:t>
            </w:r>
            <w:r>
              <w:rPr>
                <w:rFonts w:hint="eastAsia" w:ascii="宋体" w:hAnsi="宋体" w:eastAsia="宋体" w:cs="宋体"/>
                <w:color w:val="auto"/>
                <w:spacing w:val="3"/>
                <w:sz w:val="21"/>
                <w:szCs w:val="21"/>
                <w:highlight w:val="none"/>
              </w:rPr>
              <w:t>措施。</w:t>
            </w:r>
          </w:p>
        </w:tc>
        <w:tc>
          <w:tcPr>
            <w:tcW w:w="855" w:type="dxa"/>
            <w:noWrap w:val="0"/>
            <w:vAlign w:val="top"/>
          </w:tcPr>
          <w:p w14:paraId="39C22D1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7442EDF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07B09CC5">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5EF1C658">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8FB379B">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7FC04C35">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4815ADF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left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lang w:val="en-US" w:eastAsia="zh-CN"/>
              </w:rPr>
              <w:t>20</w:t>
            </w:r>
            <w:r>
              <w:rPr>
                <w:rFonts w:hint="eastAsia" w:ascii="宋体" w:hAnsi="宋体" w:eastAsia="宋体" w:cs="宋体"/>
                <w:color w:val="auto"/>
                <w:spacing w:val="-5"/>
                <w:sz w:val="21"/>
                <w:szCs w:val="21"/>
                <w:highlight w:val="none"/>
              </w:rPr>
              <w:t>分</w:t>
            </w:r>
          </w:p>
        </w:tc>
      </w:tr>
      <w:tr w14:paraId="60454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788" w:type="dxa"/>
            <w:noWrap w:val="0"/>
            <w:vAlign w:val="center"/>
          </w:tcPr>
          <w:p w14:paraId="6889816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3</w:t>
            </w:r>
          </w:p>
        </w:tc>
        <w:tc>
          <w:tcPr>
            <w:tcW w:w="1365" w:type="dxa"/>
            <w:noWrap w:val="0"/>
            <w:vAlign w:val="center"/>
          </w:tcPr>
          <w:p w14:paraId="27785FC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商务分</w:t>
            </w:r>
          </w:p>
        </w:tc>
        <w:tc>
          <w:tcPr>
            <w:tcW w:w="6086" w:type="dxa"/>
            <w:noWrap w:val="0"/>
            <w:vAlign w:val="center"/>
          </w:tcPr>
          <w:p w14:paraId="19FA399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评审因素</w:t>
            </w:r>
          </w:p>
        </w:tc>
        <w:tc>
          <w:tcPr>
            <w:tcW w:w="855" w:type="dxa"/>
            <w:noWrap w:val="0"/>
            <w:vAlign w:val="top"/>
          </w:tcPr>
          <w:p w14:paraId="2A877D8C">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rPr>
            </w:pPr>
          </w:p>
        </w:tc>
      </w:tr>
      <w:tr w14:paraId="6359C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12CC3ABA">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24A4196D">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9" w:leftChars="0"/>
              <w:jc w:val="center"/>
              <w:textAlignment w:val="auto"/>
              <w:rPr>
                <w:rFonts w:hint="eastAsia" w:ascii="宋体" w:hAnsi="宋体" w:eastAsia="宋体" w:cs="宋体"/>
                <w:color w:val="auto"/>
                <w:position w:val="1"/>
                <w:sz w:val="21"/>
                <w:szCs w:val="21"/>
                <w:highlight w:val="none"/>
                <w:lang w:val="en-US" w:eastAsia="zh-CN"/>
              </w:rPr>
            </w:pPr>
            <w:r>
              <w:rPr>
                <w:rFonts w:hint="eastAsia" w:ascii="宋体" w:hAnsi="宋体" w:eastAsia="宋体" w:cs="宋体"/>
                <w:color w:val="auto"/>
                <w:spacing w:val="1"/>
                <w:position w:val="1"/>
                <w:sz w:val="21"/>
                <w:szCs w:val="21"/>
                <w:highlight w:val="none"/>
              </w:rPr>
              <w:t>3.</w:t>
            </w:r>
            <w:r>
              <w:rPr>
                <w:rFonts w:hint="eastAsia" w:ascii="宋体" w:hAnsi="宋体" w:eastAsia="宋体" w:cs="宋体"/>
                <w:color w:val="auto"/>
                <w:spacing w:val="1"/>
                <w:position w:val="1"/>
                <w:sz w:val="21"/>
                <w:szCs w:val="21"/>
                <w:highlight w:val="none"/>
                <w:lang w:val="en-US" w:eastAsia="zh-CN"/>
              </w:rPr>
              <w:t>1</w:t>
            </w:r>
          </w:p>
        </w:tc>
        <w:tc>
          <w:tcPr>
            <w:tcW w:w="1365" w:type="dxa"/>
            <w:noWrap w:val="0"/>
            <w:vAlign w:val="center"/>
          </w:tcPr>
          <w:p w14:paraId="45C8F5FC">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7"/>
                <w:sz w:val="21"/>
                <w:szCs w:val="21"/>
                <w:highlight w:val="none"/>
              </w:rPr>
            </w:pPr>
          </w:p>
          <w:p w14:paraId="0F021268">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right="33" w:right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7"/>
                <w:sz w:val="21"/>
                <w:szCs w:val="21"/>
                <w:highlight w:val="none"/>
                <w:lang w:val="en-US" w:eastAsia="zh-CN"/>
              </w:rPr>
              <w:t>服务方案</w:t>
            </w:r>
          </w:p>
        </w:tc>
        <w:tc>
          <w:tcPr>
            <w:tcW w:w="6086" w:type="dxa"/>
            <w:noWrap w:val="0"/>
            <w:vAlign w:val="top"/>
          </w:tcPr>
          <w:p w14:paraId="03D1F5E3">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一档（</w:t>
            </w:r>
            <w:r>
              <w:rPr>
                <w:rFonts w:hint="eastAsia" w:ascii="宋体" w:hAnsi="宋体" w:eastAsia="宋体"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分）：服务方案承诺</w:t>
            </w:r>
            <w:r>
              <w:rPr>
                <w:rFonts w:hint="eastAsia" w:ascii="宋体" w:hAnsi="宋体" w:eastAsia="宋体" w:cs="宋体"/>
                <w:color w:val="auto"/>
                <w:spacing w:val="6"/>
                <w:sz w:val="21"/>
                <w:szCs w:val="21"/>
                <w:highlight w:val="none"/>
                <w:lang w:val="en-US" w:eastAsia="zh-CN"/>
              </w:rPr>
              <w:t>描述简单</w:t>
            </w:r>
            <w:r>
              <w:rPr>
                <w:rFonts w:hint="eastAsia" w:ascii="宋体" w:hAnsi="宋体" w:eastAsia="宋体" w:cs="宋体"/>
                <w:color w:val="auto"/>
                <w:spacing w:val="6"/>
                <w:sz w:val="21"/>
                <w:szCs w:val="21"/>
                <w:highlight w:val="none"/>
              </w:rPr>
              <w:t>；</w:t>
            </w:r>
          </w:p>
          <w:p w14:paraId="079E020B">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二档（</w:t>
            </w:r>
            <w:r>
              <w:rPr>
                <w:rFonts w:hint="eastAsia" w:ascii="宋体" w:hAnsi="宋体" w:eastAsia="宋体" w:cs="宋体"/>
                <w:color w:val="auto"/>
                <w:spacing w:val="6"/>
                <w:sz w:val="21"/>
                <w:szCs w:val="21"/>
                <w:highlight w:val="none"/>
                <w:lang w:val="en-US" w:eastAsia="zh-CN"/>
              </w:rPr>
              <w:t>10</w:t>
            </w:r>
            <w:r>
              <w:rPr>
                <w:rFonts w:hint="eastAsia" w:ascii="宋体" w:hAnsi="宋体" w:eastAsia="宋体" w:cs="宋体"/>
                <w:color w:val="auto"/>
                <w:spacing w:val="6"/>
                <w:sz w:val="21"/>
                <w:szCs w:val="21"/>
                <w:highlight w:val="none"/>
              </w:rPr>
              <w:t>分）：服务承诺方案包含有项目服务维护、</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、廉洁承诺等，且描述了项目维护和</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，方案可行；</w:t>
            </w:r>
          </w:p>
          <w:p w14:paraId="46850F92">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三档（</w:t>
            </w:r>
            <w:r>
              <w:rPr>
                <w:rFonts w:hint="eastAsia" w:ascii="宋体" w:hAnsi="宋体" w:eastAsia="宋体" w:cs="宋体"/>
                <w:color w:val="auto"/>
                <w:spacing w:val="6"/>
                <w:sz w:val="21"/>
                <w:szCs w:val="21"/>
                <w:highlight w:val="none"/>
                <w:lang w:val="en-US" w:eastAsia="zh-CN"/>
              </w:rPr>
              <w:t>15</w:t>
            </w:r>
            <w:r>
              <w:rPr>
                <w:rFonts w:hint="eastAsia" w:ascii="宋体" w:hAnsi="宋体" w:eastAsia="宋体" w:cs="宋体"/>
                <w:color w:val="auto"/>
                <w:spacing w:val="6"/>
                <w:sz w:val="21"/>
                <w:szCs w:val="21"/>
                <w:highlight w:val="none"/>
              </w:rPr>
              <w:t>分）：服务承诺方案包含有项目服务维护、</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、廉洁承诺等， 且描述了项目售后维护和</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，售后服务机构及联系人、技术人员名单等资料详细；</w:t>
            </w:r>
          </w:p>
          <w:p w14:paraId="32041E0A">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四档（</w:t>
            </w:r>
            <w:r>
              <w:rPr>
                <w:rFonts w:hint="eastAsia" w:ascii="宋体" w:hAnsi="宋体" w:eastAsia="宋体" w:cs="宋体"/>
                <w:color w:val="auto"/>
                <w:spacing w:val="6"/>
                <w:sz w:val="21"/>
                <w:szCs w:val="21"/>
                <w:highlight w:val="none"/>
                <w:lang w:val="en-US" w:eastAsia="zh-CN"/>
              </w:rPr>
              <w:t>20</w:t>
            </w:r>
            <w:r>
              <w:rPr>
                <w:rFonts w:hint="eastAsia" w:ascii="宋体" w:hAnsi="宋体" w:eastAsia="宋体" w:cs="宋体"/>
                <w:color w:val="auto"/>
                <w:spacing w:val="6"/>
                <w:sz w:val="21"/>
                <w:szCs w:val="21"/>
                <w:highlight w:val="none"/>
              </w:rPr>
              <w:t>分）：服务方案包含有项目售后维护、</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设备软硬件的质保、</w:t>
            </w:r>
            <w:r>
              <w:rPr>
                <w:rFonts w:hint="eastAsia" w:ascii="宋体" w:hAnsi="宋体" w:eastAsia="宋体" w:cs="宋体"/>
                <w:color w:val="auto"/>
                <w:spacing w:val="6"/>
                <w:sz w:val="21"/>
                <w:szCs w:val="21"/>
                <w:highlight w:val="none"/>
              </w:rPr>
              <w:t>廉洁承诺等，且描述了项目服务维护和</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的方法，售后服务机构及联系人、技术人员名单等资料详细，服务承诺和保障措施考虑周全完整。</w:t>
            </w:r>
          </w:p>
        </w:tc>
        <w:tc>
          <w:tcPr>
            <w:tcW w:w="855" w:type="dxa"/>
            <w:noWrap w:val="0"/>
            <w:vAlign w:val="top"/>
          </w:tcPr>
          <w:p w14:paraId="281BDA6E">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58B7BB0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4455D01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2ED1EA49">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39382192">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default"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20</w:t>
            </w:r>
          </w:p>
        </w:tc>
      </w:tr>
      <w:tr w14:paraId="26469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2153" w:type="dxa"/>
            <w:gridSpan w:val="2"/>
            <w:noWrap w:val="0"/>
            <w:vAlign w:val="center"/>
          </w:tcPr>
          <w:p w14:paraId="5CD02CC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position w:val="1"/>
                <w:sz w:val="21"/>
                <w:szCs w:val="21"/>
                <w:highlight w:val="none"/>
                <w:lang w:val="en-US" w:eastAsia="zh-CN"/>
              </w:rPr>
              <w:t>总分</w:t>
            </w:r>
          </w:p>
        </w:tc>
        <w:tc>
          <w:tcPr>
            <w:tcW w:w="6086" w:type="dxa"/>
            <w:noWrap w:val="0"/>
            <w:vAlign w:val="top"/>
          </w:tcPr>
          <w:p w14:paraId="1C240B82">
            <w:pPr>
              <w:pStyle w:val="12"/>
              <w:keepNext w:val="0"/>
              <w:keepLines w:val="0"/>
              <w:pageBreakBefore w:val="0"/>
              <w:widowControl w:val="0"/>
              <w:shd w:val="clear" w:color="auto" w:fill="auto"/>
              <w:kinsoku/>
              <w:wordWrap/>
              <w:overflowPunct/>
              <w:topLinePunct w:val="0"/>
              <w:autoSpaceDE/>
              <w:autoSpaceDN/>
              <w:bidi w:val="0"/>
              <w:adjustRightInd/>
              <w:snapToGrid/>
              <w:spacing w:before="224" w:line="300" w:lineRule="exact"/>
              <w:ind w:left="112" w:right="50" w:firstLine="422"/>
              <w:jc w:val="both"/>
              <w:textAlignment w:val="auto"/>
              <w:rPr>
                <w:rFonts w:hint="eastAsia" w:ascii="宋体" w:hAnsi="宋体" w:eastAsia="宋体" w:cs="宋体"/>
                <w:color w:val="auto"/>
                <w:spacing w:val="6"/>
                <w:sz w:val="21"/>
                <w:szCs w:val="21"/>
                <w:highlight w:val="none"/>
              </w:rPr>
            </w:pPr>
          </w:p>
        </w:tc>
        <w:tc>
          <w:tcPr>
            <w:tcW w:w="855" w:type="dxa"/>
            <w:noWrap w:val="0"/>
            <w:vAlign w:val="top"/>
          </w:tcPr>
          <w:p w14:paraId="2467D58E">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100分</w:t>
            </w:r>
          </w:p>
        </w:tc>
      </w:tr>
    </w:tbl>
    <w:p w14:paraId="07D7A378">
      <w:pPr>
        <w:pStyle w:val="3"/>
        <w:shd w:val="clear"/>
        <w:spacing w:before="78" w:line="220" w:lineRule="auto"/>
        <w:ind w:left="1051"/>
        <w:rPr>
          <w:rFonts w:hint="eastAsia" w:ascii="宋体" w:hAnsi="宋体" w:eastAsia="宋体" w:cs="宋体"/>
        </w:rPr>
      </w:pPr>
      <w:r>
        <w:rPr>
          <w:rFonts w:hint="eastAsia" w:ascii="宋体" w:hAnsi="宋体" w:eastAsia="宋体" w:cs="宋体"/>
          <w:b/>
          <w:bCs/>
          <w:spacing w:val="-4"/>
        </w:rPr>
        <w:t>注：计分方法按四舍五入取至百分位。</w:t>
      </w:r>
    </w:p>
    <w:p w14:paraId="7C7DA581">
      <w:pPr>
        <w:pStyle w:val="3"/>
        <w:shd w:val="clear"/>
        <w:spacing w:before="183" w:line="360" w:lineRule="auto"/>
        <w:ind w:left="444" w:right="331" w:firstLine="478"/>
        <w:jc w:val="both"/>
        <w:rPr>
          <w:rFonts w:hint="eastAsia" w:ascii="宋体" w:hAnsi="宋体" w:eastAsia="宋体" w:cs="宋体"/>
        </w:rPr>
      </w:pPr>
      <w:r>
        <w:rPr>
          <w:rFonts w:hint="eastAsia" w:ascii="宋体" w:hAnsi="宋体" w:eastAsia="宋体" w:cs="宋体"/>
          <w:spacing w:val="-1"/>
        </w:rPr>
        <w:t>7.由磋商小组根据综合评分情况，按照评审得分由高到低顺序推荐3</w:t>
      </w:r>
      <w:r>
        <w:rPr>
          <w:rFonts w:hint="eastAsia" w:ascii="宋体" w:hAnsi="宋体" w:eastAsia="宋体" w:cs="宋体"/>
          <w:spacing w:val="-27"/>
        </w:rPr>
        <w:t xml:space="preserve"> </w:t>
      </w:r>
      <w:r>
        <w:rPr>
          <w:rFonts w:hint="eastAsia" w:ascii="宋体" w:hAnsi="宋体" w:eastAsia="宋体" w:cs="宋体"/>
          <w:spacing w:val="-1"/>
        </w:rPr>
        <w:t>名以上成交候</w:t>
      </w:r>
      <w:r>
        <w:rPr>
          <w:rFonts w:hint="eastAsia" w:ascii="宋体" w:hAnsi="宋体" w:eastAsia="宋体" w:cs="宋体"/>
          <w:spacing w:val="-5"/>
        </w:rPr>
        <w:t>选供应商，并编写评审报告，评审报告通过电子交易平台向采购</w:t>
      </w:r>
      <w:r>
        <w:rPr>
          <w:rFonts w:hint="eastAsia" w:ascii="宋体" w:hAnsi="宋体" w:eastAsia="宋体" w:cs="宋体"/>
          <w:spacing w:val="-6"/>
        </w:rPr>
        <w:t>人、采购代理机构提交。</w:t>
      </w:r>
      <w:r>
        <w:rPr>
          <w:rFonts w:hint="eastAsia" w:ascii="宋体" w:hAnsi="宋体" w:eastAsia="宋体" w:cs="宋体"/>
        </w:rPr>
        <w:t>符合本章第4.3</w:t>
      </w:r>
      <w:r>
        <w:rPr>
          <w:rFonts w:hint="eastAsia" w:ascii="宋体" w:hAnsi="宋体" w:eastAsia="宋体" w:cs="宋体"/>
          <w:spacing w:val="-24"/>
        </w:rPr>
        <w:t xml:space="preserve"> </w:t>
      </w:r>
      <w:r>
        <w:rPr>
          <w:rFonts w:hint="eastAsia" w:ascii="宋体" w:hAnsi="宋体" w:eastAsia="宋体" w:cs="宋体"/>
        </w:rPr>
        <w:t>条情形的，可以推荐2</w:t>
      </w:r>
      <w:r>
        <w:rPr>
          <w:rFonts w:hint="eastAsia" w:ascii="宋体" w:hAnsi="宋体" w:eastAsia="宋体" w:cs="宋体"/>
          <w:spacing w:val="-41"/>
        </w:rPr>
        <w:t xml:space="preserve"> </w:t>
      </w:r>
      <w:r>
        <w:rPr>
          <w:rFonts w:hint="eastAsia" w:ascii="宋体" w:hAnsi="宋体" w:eastAsia="宋体" w:cs="宋体"/>
        </w:rPr>
        <w:t>家成交候选供应商。评审得分相同的，按照最后</w:t>
      </w:r>
      <w:r>
        <w:rPr>
          <w:rFonts w:hint="eastAsia" w:ascii="宋体" w:hAnsi="宋体" w:eastAsia="宋体" w:cs="宋体"/>
          <w:spacing w:val="-5"/>
        </w:rPr>
        <w:t>报价（不计算价格折扣）由低到高的顺序推荐。评审得分且最后</w:t>
      </w:r>
      <w:r>
        <w:rPr>
          <w:rFonts w:hint="eastAsia" w:ascii="宋体" w:hAnsi="宋体" w:eastAsia="宋体" w:cs="宋体"/>
          <w:spacing w:val="-6"/>
        </w:rPr>
        <w:t>报价（不计算价格折扣）</w:t>
      </w:r>
      <w:r>
        <w:rPr>
          <w:rFonts w:hint="eastAsia" w:ascii="宋体" w:hAnsi="宋体" w:eastAsia="宋体" w:cs="宋体"/>
          <w:spacing w:val="-2"/>
        </w:rPr>
        <w:t>相同的，按照技术指标优劣顺序推荐（按技术得分由高到低排序，技术得分相同的按照</w:t>
      </w:r>
      <w:r>
        <w:rPr>
          <w:rFonts w:hint="eastAsia" w:ascii="宋体" w:hAnsi="宋体" w:eastAsia="宋体" w:cs="宋体"/>
          <w:spacing w:val="-5"/>
        </w:rPr>
        <w:t>技术要求偏离分由高到低排序）。评审得分、最后报价（不计算</w:t>
      </w:r>
      <w:r>
        <w:rPr>
          <w:rFonts w:hint="eastAsia" w:ascii="宋体" w:hAnsi="宋体" w:eastAsia="宋体" w:cs="宋体"/>
          <w:spacing w:val="-6"/>
        </w:rPr>
        <w:t>价格折扣）、技术得分、</w:t>
      </w:r>
      <w:r>
        <w:rPr>
          <w:rFonts w:hint="eastAsia" w:ascii="宋体" w:hAnsi="宋体" w:eastAsia="宋体" w:cs="宋体"/>
          <w:spacing w:val="-1"/>
        </w:rPr>
        <w:t>技术要求偏离分均相同的，由磋商小组随机抽取推荐。</w:t>
      </w:r>
    </w:p>
    <w:p w14:paraId="4ECF239F">
      <w:pPr>
        <w:shd w:val="clear"/>
        <w:spacing w:line="360" w:lineRule="auto"/>
        <w:rPr>
          <w:rFonts w:hint="eastAsia" w:ascii="宋体" w:hAnsi="宋体" w:eastAsia="宋体" w:cs="宋体"/>
        </w:rPr>
        <w:sectPr>
          <w:footerReference r:id="rId14" w:type="default"/>
          <w:pgSz w:w="11906" w:h="16839"/>
          <w:pgMar w:top="1440" w:right="1080" w:bottom="1440" w:left="1080" w:header="0" w:footer="1200" w:gutter="0"/>
          <w:pgNumType w:fmt="decimal"/>
          <w:cols w:space="720" w:num="1"/>
        </w:sectPr>
      </w:pPr>
    </w:p>
    <w:p w14:paraId="14F10FFB">
      <w:pPr>
        <w:shd w:val="clear"/>
        <w:spacing w:line="242" w:lineRule="auto"/>
        <w:jc w:val="center"/>
        <w:rPr>
          <w:rFonts w:hint="eastAsia" w:ascii="宋体" w:hAnsi="宋体" w:eastAsia="宋体" w:cs="宋体"/>
          <w:sz w:val="21"/>
        </w:rPr>
      </w:pPr>
    </w:p>
    <w:p w14:paraId="14975AA1">
      <w:pPr>
        <w:shd w:val="clear"/>
        <w:spacing w:line="242" w:lineRule="auto"/>
        <w:rPr>
          <w:rFonts w:hint="eastAsia" w:ascii="宋体" w:hAnsi="宋体" w:eastAsia="宋体" w:cs="宋体"/>
          <w:sz w:val="21"/>
        </w:rPr>
      </w:pPr>
    </w:p>
    <w:p w14:paraId="0755C08A">
      <w:pPr>
        <w:pStyle w:val="3"/>
        <w:shd w:val="clear"/>
        <w:spacing w:before="140" w:line="226" w:lineRule="auto"/>
        <w:ind w:left="2116"/>
        <w:outlineLvl w:val="0"/>
        <w:rPr>
          <w:rFonts w:hint="eastAsia" w:ascii="宋体" w:hAnsi="宋体" w:eastAsia="宋体" w:cs="宋体"/>
          <w:sz w:val="43"/>
          <w:szCs w:val="43"/>
        </w:rPr>
      </w:pPr>
      <w:bookmarkStart w:id="8" w:name="_Toc19929"/>
      <w:r>
        <w:rPr>
          <w:rFonts w:hint="eastAsia" w:ascii="宋体" w:hAnsi="宋体" w:eastAsia="宋体" w:cs="宋体"/>
          <w:b/>
          <w:bCs/>
          <w:spacing w:val="-4"/>
          <w:sz w:val="43"/>
          <w:szCs w:val="43"/>
        </w:rPr>
        <w:t>第五章</w:t>
      </w:r>
      <w:r>
        <w:rPr>
          <w:rFonts w:hint="eastAsia" w:ascii="宋体" w:hAnsi="宋体" w:eastAsia="宋体" w:cs="宋体"/>
          <w:spacing w:val="54"/>
          <w:sz w:val="43"/>
          <w:szCs w:val="43"/>
        </w:rPr>
        <w:t xml:space="preserve"> </w:t>
      </w:r>
      <w:r>
        <w:rPr>
          <w:rFonts w:hint="eastAsia" w:ascii="宋体" w:hAnsi="宋体" w:eastAsia="宋体" w:cs="宋体"/>
          <w:b/>
          <w:bCs/>
          <w:spacing w:val="-4"/>
          <w:sz w:val="43"/>
          <w:szCs w:val="43"/>
        </w:rPr>
        <w:t>响应文件格式</w:t>
      </w:r>
      <w:bookmarkEnd w:id="8"/>
    </w:p>
    <w:p w14:paraId="34AA5DDF">
      <w:pPr>
        <w:shd w:val="clear"/>
        <w:spacing w:line="226" w:lineRule="auto"/>
        <w:rPr>
          <w:rFonts w:hint="eastAsia" w:ascii="宋体" w:hAnsi="宋体" w:eastAsia="宋体" w:cs="宋体"/>
          <w:sz w:val="43"/>
          <w:szCs w:val="43"/>
        </w:rPr>
        <w:sectPr>
          <w:footerReference r:id="rId15" w:type="default"/>
          <w:pgSz w:w="11906" w:h="16839"/>
          <w:pgMar w:top="1440" w:right="1080" w:bottom="1440" w:left="1080" w:header="0" w:footer="1200" w:gutter="0"/>
          <w:pgNumType w:fmt="decimal"/>
          <w:cols w:space="720" w:num="1"/>
        </w:sectPr>
      </w:pPr>
    </w:p>
    <w:p w14:paraId="316A7FCC">
      <w:pPr>
        <w:pStyle w:val="3"/>
        <w:shd w:val="clear"/>
        <w:spacing w:before="101" w:line="228" w:lineRule="auto"/>
        <w:rPr>
          <w:rFonts w:hint="eastAsia" w:ascii="宋体" w:hAnsi="宋体" w:eastAsia="宋体" w:cs="宋体"/>
          <w:sz w:val="31"/>
          <w:szCs w:val="31"/>
        </w:rPr>
      </w:pPr>
      <w:r>
        <w:rPr>
          <w:rFonts w:hint="eastAsia" w:ascii="宋体" w:hAnsi="宋体" w:eastAsia="宋体" w:cs="宋体"/>
          <w:b/>
          <w:bCs/>
          <w:spacing w:val="5"/>
          <w:sz w:val="31"/>
          <w:szCs w:val="31"/>
        </w:rPr>
        <w:t>一、资格证明文件格式</w:t>
      </w:r>
    </w:p>
    <w:p w14:paraId="39775B11">
      <w:pPr>
        <w:pStyle w:val="3"/>
        <w:shd w:val="clear"/>
        <w:spacing w:before="291" w:line="228" w:lineRule="auto"/>
        <w:ind w:left="8"/>
        <w:rPr>
          <w:rFonts w:hint="eastAsia" w:ascii="宋体" w:hAnsi="宋体" w:eastAsia="宋体" w:cs="宋体"/>
          <w:sz w:val="31"/>
          <w:szCs w:val="31"/>
        </w:rPr>
      </w:pPr>
      <w:r>
        <w:rPr>
          <w:rFonts w:hint="eastAsia" w:ascii="宋体" w:hAnsi="宋体" w:eastAsia="宋体" w:cs="宋体"/>
          <w:b/>
          <w:bCs/>
          <w:spacing w:val="3"/>
          <w:sz w:val="31"/>
          <w:szCs w:val="31"/>
        </w:rPr>
        <w:t>1.资格证明文件封面格式：</w:t>
      </w:r>
    </w:p>
    <w:p w14:paraId="43BED71E">
      <w:pPr>
        <w:shd w:val="clear"/>
        <w:spacing w:line="248" w:lineRule="auto"/>
        <w:rPr>
          <w:rFonts w:hint="eastAsia" w:ascii="宋体" w:hAnsi="宋体" w:eastAsia="宋体" w:cs="宋体"/>
          <w:sz w:val="21"/>
        </w:rPr>
      </w:pPr>
    </w:p>
    <w:p w14:paraId="081A38DC">
      <w:pPr>
        <w:shd w:val="clear"/>
        <w:spacing w:line="248" w:lineRule="auto"/>
        <w:rPr>
          <w:rFonts w:hint="eastAsia" w:ascii="宋体" w:hAnsi="宋体" w:eastAsia="宋体" w:cs="宋体"/>
          <w:sz w:val="21"/>
        </w:rPr>
      </w:pPr>
    </w:p>
    <w:p w14:paraId="34F547E6">
      <w:pPr>
        <w:shd w:val="clear"/>
        <w:spacing w:line="248" w:lineRule="auto"/>
        <w:rPr>
          <w:rFonts w:hint="eastAsia" w:ascii="宋体" w:hAnsi="宋体" w:eastAsia="宋体" w:cs="宋体"/>
          <w:sz w:val="21"/>
        </w:rPr>
      </w:pPr>
    </w:p>
    <w:p w14:paraId="5D5B62E3">
      <w:pPr>
        <w:shd w:val="clear"/>
        <w:spacing w:line="249" w:lineRule="auto"/>
        <w:rPr>
          <w:rFonts w:hint="eastAsia" w:ascii="宋体" w:hAnsi="宋体" w:eastAsia="宋体" w:cs="宋体"/>
          <w:sz w:val="21"/>
        </w:rPr>
      </w:pPr>
    </w:p>
    <w:p w14:paraId="0374BB85">
      <w:pPr>
        <w:pStyle w:val="3"/>
        <w:shd w:val="clear"/>
        <w:spacing w:before="140" w:line="226" w:lineRule="auto"/>
        <w:ind w:left="2717"/>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2A01F854">
      <w:pPr>
        <w:shd w:val="clear"/>
        <w:spacing w:line="262" w:lineRule="auto"/>
        <w:rPr>
          <w:rFonts w:hint="eastAsia" w:ascii="宋体" w:hAnsi="宋体" w:eastAsia="宋体" w:cs="宋体"/>
          <w:sz w:val="21"/>
        </w:rPr>
      </w:pPr>
    </w:p>
    <w:p w14:paraId="4C68A830">
      <w:pPr>
        <w:shd w:val="clear"/>
        <w:spacing w:line="263" w:lineRule="auto"/>
        <w:rPr>
          <w:rFonts w:hint="eastAsia" w:ascii="宋体" w:hAnsi="宋体" w:eastAsia="宋体" w:cs="宋体"/>
          <w:sz w:val="21"/>
        </w:rPr>
      </w:pPr>
    </w:p>
    <w:p w14:paraId="4E86C638">
      <w:pPr>
        <w:pStyle w:val="3"/>
        <w:shd w:val="clear"/>
        <w:spacing w:before="140" w:line="226" w:lineRule="auto"/>
        <w:ind w:left="2142"/>
        <w:rPr>
          <w:rFonts w:hint="eastAsia" w:ascii="宋体" w:hAnsi="宋体" w:eastAsia="宋体" w:cs="宋体"/>
          <w:sz w:val="43"/>
          <w:szCs w:val="43"/>
        </w:rPr>
      </w:pPr>
      <w:r>
        <w:rPr>
          <w:rFonts w:hint="eastAsia" w:ascii="宋体" w:hAnsi="宋体" w:eastAsia="宋体" w:cs="宋体"/>
          <w:spacing w:val="-25"/>
          <w:sz w:val="43"/>
          <w:szCs w:val="43"/>
        </w:rPr>
        <w:t>资</w:t>
      </w:r>
      <w:r>
        <w:rPr>
          <w:rFonts w:hint="eastAsia" w:ascii="宋体" w:hAnsi="宋体" w:eastAsia="宋体" w:cs="宋体"/>
          <w:spacing w:val="20"/>
          <w:sz w:val="43"/>
          <w:szCs w:val="43"/>
        </w:rPr>
        <w:t xml:space="preserve">  </w:t>
      </w:r>
      <w:r>
        <w:rPr>
          <w:rFonts w:hint="eastAsia" w:ascii="宋体" w:hAnsi="宋体" w:eastAsia="宋体" w:cs="宋体"/>
          <w:spacing w:val="-25"/>
          <w:sz w:val="43"/>
          <w:szCs w:val="43"/>
        </w:rPr>
        <w:t>格</w:t>
      </w:r>
      <w:r>
        <w:rPr>
          <w:rFonts w:hint="eastAsia" w:ascii="宋体" w:hAnsi="宋体" w:eastAsia="宋体" w:cs="宋体"/>
          <w:spacing w:val="19"/>
          <w:sz w:val="43"/>
          <w:szCs w:val="43"/>
        </w:rPr>
        <w:t xml:space="preserve">  </w:t>
      </w:r>
      <w:r>
        <w:rPr>
          <w:rFonts w:hint="eastAsia" w:ascii="宋体" w:hAnsi="宋体" w:eastAsia="宋体" w:cs="宋体"/>
          <w:spacing w:val="-25"/>
          <w:sz w:val="43"/>
          <w:szCs w:val="43"/>
        </w:rPr>
        <w:t>证</w:t>
      </w:r>
      <w:r>
        <w:rPr>
          <w:rFonts w:hint="eastAsia" w:ascii="宋体" w:hAnsi="宋体" w:eastAsia="宋体" w:cs="宋体"/>
          <w:spacing w:val="34"/>
          <w:sz w:val="43"/>
          <w:szCs w:val="43"/>
        </w:rPr>
        <w:t xml:space="preserve">  </w:t>
      </w:r>
      <w:r>
        <w:rPr>
          <w:rFonts w:hint="eastAsia" w:ascii="宋体" w:hAnsi="宋体" w:eastAsia="宋体" w:cs="宋体"/>
          <w:spacing w:val="-25"/>
          <w:sz w:val="43"/>
          <w:szCs w:val="43"/>
        </w:rPr>
        <w:t>明</w:t>
      </w:r>
      <w:r>
        <w:rPr>
          <w:rFonts w:hint="eastAsia" w:ascii="宋体" w:hAnsi="宋体" w:eastAsia="宋体" w:cs="宋体"/>
          <w:spacing w:val="20"/>
          <w:sz w:val="43"/>
          <w:szCs w:val="43"/>
        </w:rPr>
        <w:t xml:space="preserve">  </w:t>
      </w:r>
      <w:r>
        <w:rPr>
          <w:rFonts w:hint="eastAsia" w:ascii="宋体" w:hAnsi="宋体" w:eastAsia="宋体" w:cs="宋体"/>
          <w:spacing w:val="-25"/>
          <w:sz w:val="43"/>
          <w:szCs w:val="43"/>
        </w:rPr>
        <w:t>文</w:t>
      </w:r>
      <w:r>
        <w:rPr>
          <w:rFonts w:hint="eastAsia" w:ascii="宋体" w:hAnsi="宋体" w:eastAsia="宋体" w:cs="宋体"/>
          <w:spacing w:val="19"/>
          <w:sz w:val="43"/>
          <w:szCs w:val="43"/>
        </w:rPr>
        <w:t xml:space="preserve">  </w:t>
      </w:r>
      <w:r>
        <w:rPr>
          <w:rFonts w:hint="eastAsia" w:ascii="宋体" w:hAnsi="宋体" w:eastAsia="宋体" w:cs="宋体"/>
          <w:spacing w:val="-25"/>
          <w:sz w:val="43"/>
          <w:szCs w:val="43"/>
        </w:rPr>
        <w:t>件</w:t>
      </w:r>
    </w:p>
    <w:p w14:paraId="3BDEFA5D">
      <w:pPr>
        <w:shd w:val="clear"/>
        <w:rPr>
          <w:rFonts w:hint="eastAsia" w:ascii="宋体" w:hAnsi="宋体" w:eastAsia="宋体" w:cs="宋体"/>
          <w:sz w:val="21"/>
        </w:rPr>
      </w:pPr>
    </w:p>
    <w:p w14:paraId="2FB85F80">
      <w:pPr>
        <w:shd w:val="clear"/>
        <w:rPr>
          <w:rFonts w:hint="eastAsia" w:ascii="宋体" w:hAnsi="宋体" w:eastAsia="宋体" w:cs="宋体"/>
          <w:sz w:val="21"/>
        </w:rPr>
      </w:pPr>
    </w:p>
    <w:p w14:paraId="68E0D6FE">
      <w:pPr>
        <w:shd w:val="clear"/>
        <w:rPr>
          <w:rFonts w:hint="eastAsia" w:ascii="宋体" w:hAnsi="宋体" w:eastAsia="宋体" w:cs="宋体"/>
          <w:sz w:val="21"/>
        </w:rPr>
      </w:pPr>
    </w:p>
    <w:p w14:paraId="32AE97FA">
      <w:pPr>
        <w:shd w:val="clear"/>
        <w:rPr>
          <w:rFonts w:hint="eastAsia" w:ascii="宋体" w:hAnsi="宋体" w:eastAsia="宋体" w:cs="宋体"/>
          <w:sz w:val="21"/>
        </w:rPr>
      </w:pPr>
    </w:p>
    <w:p w14:paraId="561DA5DC">
      <w:pPr>
        <w:shd w:val="clear"/>
        <w:rPr>
          <w:rFonts w:hint="eastAsia" w:ascii="宋体" w:hAnsi="宋体" w:eastAsia="宋体" w:cs="宋体"/>
          <w:sz w:val="21"/>
        </w:rPr>
      </w:pPr>
    </w:p>
    <w:p w14:paraId="430C4425">
      <w:pPr>
        <w:shd w:val="clear"/>
        <w:rPr>
          <w:rFonts w:hint="eastAsia" w:ascii="宋体" w:hAnsi="宋体" w:eastAsia="宋体" w:cs="宋体"/>
          <w:sz w:val="21"/>
        </w:rPr>
      </w:pPr>
    </w:p>
    <w:p w14:paraId="100A03ED">
      <w:pPr>
        <w:shd w:val="clear"/>
        <w:rPr>
          <w:rFonts w:hint="eastAsia" w:ascii="宋体" w:hAnsi="宋体" w:eastAsia="宋体" w:cs="宋体"/>
          <w:sz w:val="21"/>
        </w:rPr>
      </w:pPr>
    </w:p>
    <w:p w14:paraId="28C43480">
      <w:pPr>
        <w:shd w:val="clear"/>
        <w:spacing w:line="241" w:lineRule="auto"/>
        <w:rPr>
          <w:rFonts w:hint="eastAsia" w:ascii="宋体" w:hAnsi="宋体" w:eastAsia="宋体" w:cs="宋体"/>
          <w:sz w:val="21"/>
        </w:rPr>
      </w:pPr>
    </w:p>
    <w:p w14:paraId="11873543">
      <w:pPr>
        <w:shd w:val="clear"/>
        <w:spacing w:line="241" w:lineRule="auto"/>
        <w:rPr>
          <w:rFonts w:hint="eastAsia" w:ascii="宋体" w:hAnsi="宋体" w:eastAsia="宋体" w:cs="宋体"/>
          <w:sz w:val="21"/>
        </w:rPr>
      </w:pPr>
    </w:p>
    <w:p w14:paraId="2B3F0B46">
      <w:pPr>
        <w:shd w:val="clear"/>
        <w:spacing w:line="241" w:lineRule="auto"/>
        <w:rPr>
          <w:rFonts w:hint="eastAsia" w:ascii="宋体" w:hAnsi="宋体" w:eastAsia="宋体" w:cs="宋体"/>
          <w:sz w:val="21"/>
        </w:rPr>
      </w:pPr>
    </w:p>
    <w:p w14:paraId="0DDB0942">
      <w:pPr>
        <w:pStyle w:val="3"/>
        <w:shd w:val="clear"/>
        <w:spacing w:before="101" w:line="226" w:lineRule="auto"/>
        <w:ind w:left="636"/>
        <w:rPr>
          <w:rFonts w:hint="eastAsia" w:ascii="宋体" w:hAnsi="宋体" w:eastAsia="宋体" w:cs="宋体"/>
          <w:sz w:val="31"/>
          <w:szCs w:val="31"/>
        </w:rPr>
      </w:pPr>
      <w:r>
        <w:rPr>
          <w:rFonts w:hint="eastAsia" w:ascii="宋体" w:hAnsi="宋体" w:eastAsia="宋体" w:cs="宋体"/>
          <w:spacing w:val="3"/>
          <w:sz w:val="31"/>
          <w:szCs w:val="31"/>
        </w:rPr>
        <w:t>项目名称：</w:t>
      </w:r>
    </w:p>
    <w:p w14:paraId="32941B07">
      <w:pPr>
        <w:shd w:val="clear"/>
        <w:spacing w:line="327" w:lineRule="auto"/>
        <w:rPr>
          <w:rFonts w:hint="eastAsia" w:ascii="宋体" w:hAnsi="宋体" w:eastAsia="宋体" w:cs="宋体"/>
          <w:sz w:val="21"/>
        </w:rPr>
      </w:pPr>
    </w:p>
    <w:p w14:paraId="1F9A7979">
      <w:pPr>
        <w:shd w:val="clear"/>
        <w:spacing w:line="328" w:lineRule="auto"/>
        <w:rPr>
          <w:rFonts w:hint="eastAsia" w:ascii="宋体" w:hAnsi="宋体" w:eastAsia="宋体" w:cs="宋体"/>
          <w:sz w:val="21"/>
        </w:rPr>
      </w:pPr>
    </w:p>
    <w:p w14:paraId="7DF8C18E">
      <w:pPr>
        <w:pStyle w:val="3"/>
        <w:shd w:val="clear"/>
        <w:spacing w:before="101" w:line="229" w:lineRule="auto"/>
        <w:ind w:left="716"/>
        <w:rPr>
          <w:rFonts w:hint="eastAsia" w:ascii="宋体" w:hAnsi="宋体" w:eastAsia="宋体" w:cs="宋体"/>
          <w:sz w:val="31"/>
          <w:szCs w:val="31"/>
        </w:rPr>
      </w:pPr>
      <w:r>
        <w:rPr>
          <w:rFonts w:hint="eastAsia" w:ascii="宋体" w:hAnsi="宋体" w:eastAsia="宋体" w:cs="宋体"/>
          <w:spacing w:val="3"/>
          <w:sz w:val="31"/>
          <w:szCs w:val="31"/>
        </w:rPr>
        <w:t>项目编号：</w:t>
      </w:r>
    </w:p>
    <w:p w14:paraId="1956C85A">
      <w:pPr>
        <w:shd w:val="clear"/>
        <w:spacing w:line="326" w:lineRule="auto"/>
        <w:rPr>
          <w:rFonts w:hint="eastAsia" w:ascii="宋体" w:hAnsi="宋体" w:eastAsia="宋体" w:cs="宋体"/>
          <w:sz w:val="21"/>
        </w:rPr>
      </w:pPr>
    </w:p>
    <w:p w14:paraId="60F7A996">
      <w:pPr>
        <w:shd w:val="clear"/>
        <w:spacing w:line="326" w:lineRule="auto"/>
        <w:rPr>
          <w:rFonts w:hint="eastAsia" w:ascii="宋体" w:hAnsi="宋体" w:eastAsia="宋体" w:cs="宋体"/>
          <w:sz w:val="21"/>
        </w:rPr>
      </w:pPr>
    </w:p>
    <w:p w14:paraId="71D3F962">
      <w:pPr>
        <w:pStyle w:val="3"/>
        <w:shd w:val="clear"/>
        <w:spacing w:before="101" w:line="228" w:lineRule="auto"/>
        <w:jc w:val="right"/>
        <w:rPr>
          <w:rFonts w:hint="eastAsia" w:ascii="宋体" w:hAnsi="宋体" w:eastAsia="宋体" w:cs="宋体"/>
          <w:sz w:val="31"/>
          <w:szCs w:val="31"/>
        </w:rPr>
      </w:pPr>
      <w:r>
        <w:rPr>
          <w:rFonts w:hint="eastAsia" w:ascii="宋体" w:hAnsi="宋体" w:eastAsia="宋体" w:cs="宋体"/>
          <w:spacing w:val="7"/>
          <w:sz w:val="31"/>
          <w:szCs w:val="31"/>
        </w:rPr>
        <w:t>所竞分标（如有则填写，无分标时填写“无</w:t>
      </w:r>
      <w:r>
        <w:rPr>
          <w:rFonts w:hint="eastAsia" w:ascii="宋体" w:hAnsi="宋体" w:eastAsia="宋体" w:cs="宋体"/>
          <w:spacing w:val="-110"/>
          <w:sz w:val="31"/>
          <w:szCs w:val="31"/>
        </w:rPr>
        <w:t xml:space="preserve"> </w:t>
      </w:r>
      <w:r>
        <w:rPr>
          <w:rFonts w:hint="eastAsia" w:ascii="宋体" w:hAnsi="宋体" w:eastAsia="宋体" w:cs="宋体"/>
          <w:spacing w:val="7"/>
          <w:sz w:val="31"/>
          <w:szCs w:val="31"/>
        </w:rPr>
        <w:t>”或者留空</w:t>
      </w:r>
      <w:r>
        <w:rPr>
          <w:rFonts w:hint="eastAsia" w:ascii="宋体" w:hAnsi="宋体" w:eastAsia="宋体" w:cs="宋体"/>
          <w:spacing w:val="-26"/>
          <w:sz w:val="31"/>
          <w:szCs w:val="31"/>
        </w:rPr>
        <w:t>）：</w:t>
      </w:r>
    </w:p>
    <w:p w14:paraId="74298A23">
      <w:pPr>
        <w:shd w:val="clear"/>
        <w:spacing w:line="275" w:lineRule="auto"/>
        <w:rPr>
          <w:rFonts w:hint="eastAsia" w:ascii="宋体" w:hAnsi="宋体" w:eastAsia="宋体" w:cs="宋体"/>
          <w:sz w:val="21"/>
        </w:rPr>
      </w:pPr>
    </w:p>
    <w:p w14:paraId="0C4C20BE">
      <w:pPr>
        <w:shd w:val="clear"/>
        <w:spacing w:line="275" w:lineRule="auto"/>
        <w:rPr>
          <w:rFonts w:hint="eastAsia" w:ascii="宋体" w:hAnsi="宋体" w:eastAsia="宋体" w:cs="宋体"/>
          <w:sz w:val="21"/>
        </w:rPr>
      </w:pPr>
    </w:p>
    <w:p w14:paraId="6A61965D">
      <w:pPr>
        <w:pStyle w:val="3"/>
        <w:shd w:val="clear"/>
        <w:spacing w:before="102" w:line="226" w:lineRule="auto"/>
        <w:ind w:left="716"/>
        <w:rPr>
          <w:rFonts w:hint="eastAsia" w:ascii="宋体" w:hAnsi="宋体" w:eastAsia="宋体" w:cs="宋体"/>
          <w:sz w:val="31"/>
          <w:szCs w:val="31"/>
        </w:rPr>
      </w:pPr>
      <w:r>
        <w:rPr>
          <w:rFonts w:hint="eastAsia" w:ascii="宋体" w:hAnsi="宋体" w:eastAsia="宋体" w:cs="宋体"/>
          <w:spacing w:val="4"/>
          <w:sz w:val="31"/>
          <w:szCs w:val="31"/>
        </w:rPr>
        <w:t>供应商名称：</w:t>
      </w:r>
    </w:p>
    <w:p w14:paraId="442C15E3">
      <w:pPr>
        <w:shd w:val="clear"/>
        <w:spacing w:line="255" w:lineRule="auto"/>
        <w:rPr>
          <w:rFonts w:hint="eastAsia" w:ascii="宋体" w:hAnsi="宋体" w:eastAsia="宋体" w:cs="宋体"/>
          <w:sz w:val="21"/>
        </w:rPr>
      </w:pPr>
    </w:p>
    <w:p w14:paraId="007DE49C">
      <w:pPr>
        <w:shd w:val="clear"/>
        <w:spacing w:line="255" w:lineRule="auto"/>
        <w:rPr>
          <w:rFonts w:hint="eastAsia" w:ascii="宋体" w:hAnsi="宋体" w:eastAsia="宋体" w:cs="宋体"/>
          <w:sz w:val="21"/>
        </w:rPr>
      </w:pPr>
    </w:p>
    <w:p w14:paraId="6E32E524">
      <w:pPr>
        <w:shd w:val="clear"/>
        <w:spacing w:line="255" w:lineRule="auto"/>
        <w:rPr>
          <w:rFonts w:hint="eastAsia" w:ascii="宋体" w:hAnsi="宋体" w:eastAsia="宋体" w:cs="宋体"/>
          <w:sz w:val="21"/>
        </w:rPr>
      </w:pPr>
    </w:p>
    <w:p w14:paraId="17CA9D9A">
      <w:pPr>
        <w:shd w:val="clear"/>
        <w:spacing w:line="255" w:lineRule="auto"/>
        <w:rPr>
          <w:rFonts w:hint="eastAsia" w:ascii="宋体" w:hAnsi="宋体" w:eastAsia="宋体" w:cs="宋体"/>
          <w:sz w:val="21"/>
        </w:rPr>
      </w:pPr>
    </w:p>
    <w:p w14:paraId="30B78C7A">
      <w:pPr>
        <w:shd w:val="clear"/>
        <w:spacing w:line="255" w:lineRule="auto"/>
        <w:rPr>
          <w:rFonts w:hint="eastAsia" w:ascii="宋体" w:hAnsi="宋体" w:eastAsia="宋体" w:cs="宋体"/>
          <w:sz w:val="21"/>
        </w:rPr>
      </w:pPr>
    </w:p>
    <w:p w14:paraId="232B56F9">
      <w:pPr>
        <w:shd w:val="clear"/>
        <w:spacing w:line="256" w:lineRule="auto"/>
        <w:rPr>
          <w:rFonts w:hint="eastAsia" w:ascii="宋体" w:hAnsi="宋体" w:eastAsia="宋体" w:cs="宋体"/>
          <w:sz w:val="21"/>
        </w:rPr>
      </w:pPr>
    </w:p>
    <w:p w14:paraId="791123D4">
      <w:pPr>
        <w:shd w:val="clear"/>
        <w:spacing w:line="256" w:lineRule="auto"/>
        <w:rPr>
          <w:rFonts w:hint="eastAsia" w:ascii="宋体" w:hAnsi="宋体" w:eastAsia="宋体" w:cs="宋体"/>
          <w:sz w:val="21"/>
        </w:rPr>
      </w:pPr>
    </w:p>
    <w:p w14:paraId="339FB8AC">
      <w:pPr>
        <w:shd w:val="clear"/>
        <w:spacing w:line="256" w:lineRule="auto"/>
        <w:rPr>
          <w:rFonts w:hint="eastAsia" w:ascii="宋体" w:hAnsi="宋体" w:eastAsia="宋体" w:cs="宋体"/>
          <w:sz w:val="21"/>
        </w:rPr>
      </w:pPr>
    </w:p>
    <w:p w14:paraId="36206B98">
      <w:pPr>
        <w:pStyle w:val="3"/>
        <w:shd w:val="clear"/>
        <w:spacing w:before="100" w:line="228" w:lineRule="auto"/>
        <w:ind w:left="3418"/>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3E877D15">
      <w:pPr>
        <w:shd w:val="clear"/>
        <w:spacing w:line="228" w:lineRule="auto"/>
        <w:rPr>
          <w:rFonts w:hint="eastAsia" w:ascii="宋体" w:hAnsi="宋体" w:eastAsia="宋体" w:cs="宋体"/>
          <w:sz w:val="31"/>
          <w:szCs w:val="31"/>
        </w:rPr>
        <w:sectPr>
          <w:footerReference r:id="rId16" w:type="default"/>
          <w:pgSz w:w="11906" w:h="16839"/>
          <w:pgMar w:top="1440" w:right="1080" w:bottom="1440" w:left="1080" w:header="0" w:footer="1200" w:gutter="0"/>
          <w:pgNumType w:fmt="decimal"/>
          <w:cols w:space="720" w:num="1"/>
        </w:sectPr>
      </w:pPr>
    </w:p>
    <w:p w14:paraId="0A7B7A7E">
      <w:pPr>
        <w:pStyle w:val="3"/>
        <w:shd w:val="clear"/>
        <w:spacing w:before="101" w:line="228" w:lineRule="auto"/>
        <w:ind w:left="138"/>
        <w:rPr>
          <w:rFonts w:hint="eastAsia" w:ascii="宋体" w:hAnsi="宋体" w:eastAsia="宋体" w:cs="宋体"/>
          <w:sz w:val="31"/>
          <w:szCs w:val="31"/>
        </w:rPr>
      </w:pPr>
      <w:r>
        <w:rPr>
          <w:rFonts w:hint="eastAsia" w:ascii="宋体" w:hAnsi="宋体" w:eastAsia="宋体" w:cs="宋体"/>
          <w:b/>
          <w:bCs/>
          <w:spacing w:val="5"/>
          <w:sz w:val="31"/>
          <w:szCs w:val="31"/>
        </w:rPr>
        <w:t>2.资格证明文件目录</w:t>
      </w:r>
    </w:p>
    <w:p w14:paraId="02A33B11">
      <w:pPr>
        <w:shd w:val="clear"/>
        <w:spacing w:line="293" w:lineRule="auto"/>
        <w:rPr>
          <w:rFonts w:hint="eastAsia" w:ascii="宋体" w:hAnsi="宋体" w:eastAsia="宋体" w:cs="宋体"/>
          <w:sz w:val="21"/>
        </w:rPr>
      </w:pPr>
    </w:p>
    <w:p w14:paraId="6D3B47EB">
      <w:pPr>
        <w:pStyle w:val="3"/>
        <w:shd w:val="clear"/>
        <w:spacing w:before="100" w:line="372" w:lineRule="auto"/>
        <w:ind w:firstLine="647"/>
        <w:rPr>
          <w:rFonts w:hint="eastAsia" w:ascii="宋体" w:hAnsi="宋体" w:eastAsia="宋体" w:cs="宋体"/>
          <w:sz w:val="31"/>
          <w:szCs w:val="31"/>
        </w:rPr>
      </w:pPr>
      <w:r>
        <w:rPr>
          <w:rFonts w:hint="eastAsia" w:ascii="宋体" w:hAnsi="宋体" w:eastAsia="宋体" w:cs="宋体"/>
          <w:spacing w:val="13"/>
          <w:sz w:val="31"/>
          <w:szCs w:val="31"/>
        </w:rPr>
        <w:t>根据磋商文件规定及供应商提供的材料自行编写目录（部分</w:t>
      </w:r>
      <w:r>
        <w:rPr>
          <w:rFonts w:hint="eastAsia" w:ascii="宋体" w:hAnsi="宋体" w:eastAsia="宋体" w:cs="宋体"/>
          <w:spacing w:val="3"/>
          <w:sz w:val="31"/>
          <w:szCs w:val="31"/>
        </w:rPr>
        <w:t>格式后附）。</w:t>
      </w:r>
    </w:p>
    <w:p w14:paraId="4B7F8A23">
      <w:pPr>
        <w:shd w:val="clear"/>
        <w:spacing w:line="372" w:lineRule="auto"/>
        <w:rPr>
          <w:rFonts w:hint="eastAsia" w:ascii="宋体" w:hAnsi="宋体" w:eastAsia="宋体" w:cs="宋体"/>
          <w:sz w:val="31"/>
          <w:szCs w:val="31"/>
        </w:rPr>
        <w:sectPr>
          <w:footerReference r:id="rId17" w:type="default"/>
          <w:pgSz w:w="11906" w:h="16839"/>
          <w:pgMar w:top="1440" w:right="1080" w:bottom="1440" w:left="1080" w:header="0" w:footer="1200" w:gutter="0"/>
          <w:pgNumType w:fmt="decimal"/>
          <w:cols w:space="720" w:num="1"/>
        </w:sectPr>
      </w:pPr>
    </w:p>
    <w:p w14:paraId="30B51D65">
      <w:pPr>
        <w:pStyle w:val="3"/>
        <w:shd w:val="clear"/>
        <w:spacing w:before="101" w:line="227" w:lineRule="auto"/>
        <w:ind w:left="3172"/>
        <w:rPr>
          <w:rFonts w:hint="eastAsia" w:ascii="宋体" w:hAnsi="宋体" w:eastAsia="宋体" w:cs="宋体"/>
          <w:b/>
          <w:bCs/>
          <w:spacing w:val="5"/>
          <w:sz w:val="31"/>
          <w:szCs w:val="31"/>
        </w:rPr>
      </w:pPr>
      <w:r>
        <w:rPr>
          <w:rFonts w:hint="eastAsia" w:ascii="宋体" w:hAnsi="宋体" w:eastAsia="宋体" w:cs="宋体"/>
          <w:b/>
          <w:bCs/>
          <w:spacing w:val="5"/>
          <w:sz w:val="31"/>
          <w:szCs w:val="31"/>
        </w:rPr>
        <w:t>供应商直接控股股东信息表</w:t>
      </w:r>
    </w:p>
    <w:p w14:paraId="48A4951E">
      <w:pPr>
        <w:pStyle w:val="3"/>
        <w:shd w:val="clear"/>
        <w:spacing w:before="101" w:line="227" w:lineRule="auto"/>
        <w:ind w:left="3172"/>
        <w:rPr>
          <w:rFonts w:hint="eastAsia" w:ascii="宋体" w:hAnsi="宋体" w:eastAsia="宋体" w:cs="宋体"/>
          <w:b/>
          <w:bCs/>
          <w:spacing w:val="5"/>
          <w:sz w:val="31"/>
          <w:szCs w:val="31"/>
        </w:rPr>
      </w:pPr>
    </w:p>
    <w:p w14:paraId="3EB947F2">
      <w:pPr>
        <w:shd w:val="clear"/>
        <w:spacing w:line="64" w:lineRule="exact"/>
        <w:rPr>
          <w:rFonts w:hint="eastAsia" w:ascii="宋体" w:hAnsi="宋体" w:eastAsia="宋体" w:cs="宋体"/>
        </w:rPr>
      </w:pPr>
    </w:p>
    <w:tbl>
      <w:tblPr>
        <w:tblStyle w:val="11"/>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64386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vAlign w:val="top"/>
          </w:tcPr>
          <w:p w14:paraId="40669497">
            <w:pPr>
              <w:pStyle w:val="12"/>
              <w:shd w:val="clear"/>
              <w:spacing w:before="239" w:line="222" w:lineRule="auto"/>
              <w:ind w:left="214"/>
              <w:rPr>
                <w:rFonts w:hint="eastAsia" w:ascii="宋体" w:hAnsi="宋体" w:eastAsia="宋体" w:cs="宋体"/>
              </w:rPr>
            </w:pPr>
            <w:r>
              <w:rPr>
                <w:rFonts w:hint="eastAsia" w:ascii="宋体" w:hAnsi="宋体" w:eastAsia="宋体" w:cs="宋体"/>
                <w:b/>
                <w:bCs/>
                <w:spacing w:val="-11"/>
              </w:rPr>
              <w:t>序号</w:t>
            </w:r>
          </w:p>
        </w:tc>
        <w:tc>
          <w:tcPr>
            <w:tcW w:w="2654" w:type="dxa"/>
            <w:vAlign w:val="top"/>
          </w:tcPr>
          <w:p w14:paraId="55D0FF17">
            <w:pPr>
              <w:pStyle w:val="12"/>
              <w:shd w:val="clear"/>
              <w:spacing w:before="239" w:line="221" w:lineRule="auto"/>
              <w:ind w:left="374"/>
              <w:rPr>
                <w:rFonts w:hint="eastAsia" w:ascii="宋体" w:hAnsi="宋体" w:eastAsia="宋体" w:cs="宋体"/>
              </w:rPr>
            </w:pPr>
            <w:r>
              <w:rPr>
                <w:rFonts w:hint="eastAsia" w:ascii="宋体" w:hAnsi="宋体" w:eastAsia="宋体" w:cs="宋体"/>
                <w:b/>
                <w:bCs/>
                <w:spacing w:val="-4"/>
              </w:rPr>
              <w:t>直接控股股东名称</w:t>
            </w:r>
          </w:p>
        </w:tc>
        <w:tc>
          <w:tcPr>
            <w:tcW w:w="1454" w:type="dxa"/>
            <w:vAlign w:val="top"/>
          </w:tcPr>
          <w:p w14:paraId="02025E33">
            <w:pPr>
              <w:pStyle w:val="12"/>
              <w:shd w:val="clear"/>
              <w:spacing w:before="239" w:line="223" w:lineRule="auto"/>
              <w:ind w:left="281"/>
              <w:rPr>
                <w:rFonts w:hint="eastAsia" w:ascii="宋体" w:hAnsi="宋体" w:eastAsia="宋体" w:cs="宋体"/>
              </w:rPr>
            </w:pPr>
            <w:r>
              <w:rPr>
                <w:rFonts w:hint="eastAsia" w:ascii="宋体" w:hAnsi="宋体" w:eastAsia="宋体" w:cs="宋体"/>
                <w:b/>
                <w:bCs/>
                <w:spacing w:val="-13"/>
              </w:rPr>
              <w:t>出资比例</w:t>
            </w:r>
          </w:p>
        </w:tc>
        <w:tc>
          <w:tcPr>
            <w:tcW w:w="4285" w:type="dxa"/>
            <w:vAlign w:val="top"/>
          </w:tcPr>
          <w:p w14:paraId="0FF248C3">
            <w:pPr>
              <w:pStyle w:val="12"/>
              <w:shd w:val="clear"/>
              <w:spacing w:before="238" w:line="222" w:lineRule="auto"/>
              <w:ind w:left="348"/>
              <w:rPr>
                <w:rFonts w:hint="eastAsia" w:ascii="宋体" w:hAnsi="宋体" w:eastAsia="宋体" w:cs="宋体"/>
              </w:rPr>
            </w:pPr>
            <w:r>
              <w:rPr>
                <w:rFonts w:hint="eastAsia" w:ascii="宋体" w:hAnsi="宋体" w:eastAsia="宋体" w:cs="宋体"/>
                <w:b/>
                <w:bCs/>
                <w:spacing w:val="-3"/>
              </w:rPr>
              <w:t>身份证号码或者统一社会信用代码</w:t>
            </w:r>
          </w:p>
        </w:tc>
        <w:tc>
          <w:tcPr>
            <w:tcW w:w="874" w:type="dxa"/>
            <w:vAlign w:val="top"/>
          </w:tcPr>
          <w:p w14:paraId="77CE929E">
            <w:pPr>
              <w:pStyle w:val="12"/>
              <w:shd w:val="clear"/>
              <w:spacing w:before="239" w:line="224" w:lineRule="auto"/>
              <w:ind w:left="210"/>
              <w:rPr>
                <w:rFonts w:hint="eastAsia" w:ascii="宋体" w:hAnsi="宋体" w:eastAsia="宋体" w:cs="宋体"/>
              </w:rPr>
            </w:pPr>
            <w:r>
              <w:rPr>
                <w:rFonts w:hint="eastAsia" w:ascii="宋体" w:hAnsi="宋体" w:eastAsia="宋体" w:cs="宋体"/>
                <w:b/>
                <w:bCs/>
                <w:spacing w:val="-12"/>
              </w:rPr>
              <w:t>备注</w:t>
            </w:r>
          </w:p>
        </w:tc>
      </w:tr>
      <w:tr w14:paraId="1D45C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7B323E36">
            <w:pPr>
              <w:pStyle w:val="12"/>
              <w:shd w:val="clear"/>
              <w:spacing w:before="235" w:line="316" w:lineRule="exact"/>
              <w:ind w:left="406"/>
              <w:rPr>
                <w:rFonts w:hint="eastAsia" w:ascii="宋体" w:hAnsi="宋体" w:eastAsia="宋体" w:cs="宋体"/>
              </w:rPr>
            </w:pPr>
            <w:r>
              <w:rPr>
                <w:rFonts w:hint="eastAsia" w:ascii="宋体" w:hAnsi="宋体" w:eastAsia="宋体" w:cs="宋体"/>
                <w:position w:val="1"/>
              </w:rPr>
              <w:t>1</w:t>
            </w:r>
          </w:p>
        </w:tc>
        <w:tc>
          <w:tcPr>
            <w:tcW w:w="2654" w:type="dxa"/>
            <w:vAlign w:val="top"/>
          </w:tcPr>
          <w:p w14:paraId="22621B54">
            <w:pPr>
              <w:shd w:val="clear"/>
              <w:rPr>
                <w:rFonts w:hint="eastAsia" w:ascii="宋体" w:hAnsi="宋体" w:eastAsia="宋体" w:cs="宋体"/>
                <w:sz w:val="21"/>
              </w:rPr>
            </w:pPr>
          </w:p>
        </w:tc>
        <w:tc>
          <w:tcPr>
            <w:tcW w:w="1454" w:type="dxa"/>
            <w:vAlign w:val="top"/>
          </w:tcPr>
          <w:p w14:paraId="1D7D9029">
            <w:pPr>
              <w:shd w:val="clear"/>
              <w:rPr>
                <w:rFonts w:hint="eastAsia" w:ascii="宋体" w:hAnsi="宋体" w:eastAsia="宋体" w:cs="宋体"/>
                <w:sz w:val="21"/>
              </w:rPr>
            </w:pPr>
          </w:p>
        </w:tc>
        <w:tc>
          <w:tcPr>
            <w:tcW w:w="4285" w:type="dxa"/>
            <w:vAlign w:val="top"/>
          </w:tcPr>
          <w:p w14:paraId="6F2F1A2D">
            <w:pPr>
              <w:shd w:val="clear"/>
              <w:rPr>
                <w:rFonts w:hint="eastAsia" w:ascii="宋体" w:hAnsi="宋体" w:eastAsia="宋体" w:cs="宋体"/>
                <w:sz w:val="21"/>
              </w:rPr>
            </w:pPr>
          </w:p>
        </w:tc>
        <w:tc>
          <w:tcPr>
            <w:tcW w:w="874" w:type="dxa"/>
            <w:vAlign w:val="top"/>
          </w:tcPr>
          <w:p w14:paraId="510EDF27">
            <w:pPr>
              <w:shd w:val="clear"/>
              <w:rPr>
                <w:rFonts w:hint="eastAsia" w:ascii="宋体" w:hAnsi="宋体" w:eastAsia="宋体" w:cs="宋体"/>
                <w:sz w:val="21"/>
              </w:rPr>
            </w:pPr>
          </w:p>
        </w:tc>
      </w:tr>
      <w:tr w14:paraId="52207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5B3E458C">
            <w:pPr>
              <w:pStyle w:val="12"/>
              <w:shd w:val="clear"/>
              <w:spacing w:before="236" w:line="315" w:lineRule="exact"/>
              <w:ind w:left="392"/>
              <w:rPr>
                <w:rFonts w:hint="eastAsia" w:ascii="宋体" w:hAnsi="宋体" w:eastAsia="宋体" w:cs="宋体"/>
              </w:rPr>
            </w:pPr>
            <w:r>
              <w:rPr>
                <w:rFonts w:hint="eastAsia" w:ascii="宋体" w:hAnsi="宋体" w:eastAsia="宋体" w:cs="宋体"/>
                <w:position w:val="1"/>
              </w:rPr>
              <w:t>2</w:t>
            </w:r>
          </w:p>
        </w:tc>
        <w:tc>
          <w:tcPr>
            <w:tcW w:w="2654" w:type="dxa"/>
            <w:vAlign w:val="top"/>
          </w:tcPr>
          <w:p w14:paraId="02A93FB2">
            <w:pPr>
              <w:shd w:val="clear"/>
              <w:rPr>
                <w:rFonts w:hint="eastAsia" w:ascii="宋体" w:hAnsi="宋体" w:eastAsia="宋体" w:cs="宋体"/>
                <w:sz w:val="21"/>
              </w:rPr>
            </w:pPr>
          </w:p>
        </w:tc>
        <w:tc>
          <w:tcPr>
            <w:tcW w:w="1454" w:type="dxa"/>
            <w:vAlign w:val="top"/>
          </w:tcPr>
          <w:p w14:paraId="78C0600A">
            <w:pPr>
              <w:shd w:val="clear"/>
              <w:rPr>
                <w:rFonts w:hint="eastAsia" w:ascii="宋体" w:hAnsi="宋体" w:eastAsia="宋体" w:cs="宋体"/>
                <w:sz w:val="21"/>
              </w:rPr>
            </w:pPr>
          </w:p>
        </w:tc>
        <w:tc>
          <w:tcPr>
            <w:tcW w:w="4285" w:type="dxa"/>
            <w:vAlign w:val="top"/>
          </w:tcPr>
          <w:p w14:paraId="0F52E84D">
            <w:pPr>
              <w:shd w:val="clear"/>
              <w:rPr>
                <w:rFonts w:hint="eastAsia" w:ascii="宋体" w:hAnsi="宋体" w:eastAsia="宋体" w:cs="宋体"/>
                <w:sz w:val="21"/>
              </w:rPr>
            </w:pPr>
          </w:p>
        </w:tc>
        <w:tc>
          <w:tcPr>
            <w:tcW w:w="874" w:type="dxa"/>
            <w:vAlign w:val="top"/>
          </w:tcPr>
          <w:p w14:paraId="4149A634">
            <w:pPr>
              <w:shd w:val="clear"/>
              <w:rPr>
                <w:rFonts w:hint="eastAsia" w:ascii="宋体" w:hAnsi="宋体" w:eastAsia="宋体" w:cs="宋体"/>
                <w:sz w:val="21"/>
              </w:rPr>
            </w:pPr>
          </w:p>
        </w:tc>
      </w:tr>
      <w:tr w14:paraId="3B9BD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4DE7E758">
            <w:pPr>
              <w:pStyle w:val="12"/>
              <w:shd w:val="clear"/>
              <w:spacing w:before="237" w:line="241" w:lineRule="auto"/>
              <w:ind w:left="394"/>
              <w:rPr>
                <w:rFonts w:hint="eastAsia" w:ascii="宋体" w:hAnsi="宋体" w:eastAsia="宋体" w:cs="宋体"/>
              </w:rPr>
            </w:pPr>
            <w:r>
              <w:rPr>
                <w:rFonts w:hint="eastAsia" w:ascii="宋体" w:hAnsi="宋体" w:eastAsia="宋体" w:cs="宋体"/>
              </w:rPr>
              <w:t>3</w:t>
            </w:r>
          </w:p>
        </w:tc>
        <w:tc>
          <w:tcPr>
            <w:tcW w:w="2654" w:type="dxa"/>
            <w:vAlign w:val="top"/>
          </w:tcPr>
          <w:p w14:paraId="68294006">
            <w:pPr>
              <w:shd w:val="clear"/>
              <w:rPr>
                <w:rFonts w:hint="eastAsia" w:ascii="宋体" w:hAnsi="宋体" w:eastAsia="宋体" w:cs="宋体"/>
                <w:sz w:val="21"/>
              </w:rPr>
            </w:pPr>
          </w:p>
        </w:tc>
        <w:tc>
          <w:tcPr>
            <w:tcW w:w="1454" w:type="dxa"/>
            <w:vAlign w:val="top"/>
          </w:tcPr>
          <w:p w14:paraId="5318E114">
            <w:pPr>
              <w:shd w:val="clear"/>
              <w:rPr>
                <w:rFonts w:hint="eastAsia" w:ascii="宋体" w:hAnsi="宋体" w:eastAsia="宋体" w:cs="宋体"/>
                <w:sz w:val="21"/>
              </w:rPr>
            </w:pPr>
          </w:p>
        </w:tc>
        <w:tc>
          <w:tcPr>
            <w:tcW w:w="4285" w:type="dxa"/>
            <w:vAlign w:val="top"/>
          </w:tcPr>
          <w:p w14:paraId="23EAE341">
            <w:pPr>
              <w:shd w:val="clear"/>
              <w:rPr>
                <w:rFonts w:hint="eastAsia" w:ascii="宋体" w:hAnsi="宋体" w:eastAsia="宋体" w:cs="宋体"/>
                <w:sz w:val="21"/>
              </w:rPr>
            </w:pPr>
          </w:p>
        </w:tc>
        <w:tc>
          <w:tcPr>
            <w:tcW w:w="874" w:type="dxa"/>
            <w:vAlign w:val="top"/>
          </w:tcPr>
          <w:p w14:paraId="033026A7">
            <w:pPr>
              <w:shd w:val="clear"/>
              <w:rPr>
                <w:rFonts w:hint="eastAsia" w:ascii="宋体" w:hAnsi="宋体" w:eastAsia="宋体" w:cs="宋体"/>
                <w:sz w:val="21"/>
              </w:rPr>
            </w:pPr>
          </w:p>
        </w:tc>
      </w:tr>
      <w:tr w14:paraId="5C462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84" w:type="dxa"/>
            <w:vAlign w:val="top"/>
          </w:tcPr>
          <w:p w14:paraId="619C45B4">
            <w:pPr>
              <w:pStyle w:val="12"/>
              <w:shd w:val="clear"/>
              <w:spacing w:before="237" w:line="383" w:lineRule="exact"/>
              <w:ind w:left="225"/>
              <w:rPr>
                <w:rFonts w:hint="eastAsia" w:ascii="宋体" w:hAnsi="宋体" w:eastAsia="宋体" w:cs="宋体"/>
              </w:rPr>
            </w:pPr>
            <w:r>
              <w:rPr>
                <w:rFonts w:hint="eastAsia" w:ascii="宋体" w:hAnsi="宋体" w:eastAsia="宋体" w:cs="宋体"/>
                <w:spacing w:val="-13"/>
                <w:position w:val="3"/>
              </w:rPr>
              <w:t>……</w:t>
            </w:r>
          </w:p>
        </w:tc>
        <w:tc>
          <w:tcPr>
            <w:tcW w:w="2654" w:type="dxa"/>
            <w:vAlign w:val="top"/>
          </w:tcPr>
          <w:p w14:paraId="04818E26">
            <w:pPr>
              <w:shd w:val="clear"/>
              <w:rPr>
                <w:rFonts w:hint="eastAsia" w:ascii="宋体" w:hAnsi="宋体" w:eastAsia="宋体" w:cs="宋体"/>
                <w:sz w:val="21"/>
              </w:rPr>
            </w:pPr>
          </w:p>
        </w:tc>
        <w:tc>
          <w:tcPr>
            <w:tcW w:w="1454" w:type="dxa"/>
            <w:vAlign w:val="top"/>
          </w:tcPr>
          <w:p w14:paraId="7D632990">
            <w:pPr>
              <w:shd w:val="clear"/>
              <w:rPr>
                <w:rFonts w:hint="eastAsia" w:ascii="宋体" w:hAnsi="宋体" w:eastAsia="宋体" w:cs="宋体"/>
                <w:sz w:val="21"/>
              </w:rPr>
            </w:pPr>
          </w:p>
        </w:tc>
        <w:tc>
          <w:tcPr>
            <w:tcW w:w="4285" w:type="dxa"/>
            <w:vAlign w:val="top"/>
          </w:tcPr>
          <w:p w14:paraId="120FDCDF">
            <w:pPr>
              <w:shd w:val="clear"/>
              <w:rPr>
                <w:rFonts w:hint="eastAsia" w:ascii="宋体" w:hAnsi="宋体" w:eastAsia="宋体" w:cs="宋体"/>
                <w:sz w:val="21"/>
              </w:rPr>
            </w:pPr>
          </w:p>
        </w:tc>
        <w:tc>
          <w:tcPr>
            <w:tcW w:w="874" w:type="dxa"/>
            <w:vAlign w:val="top"/>
          </w:tcPr>
          <w:p w14:paraId="1AF56AF5">
            <w:pPr>
              <w:shd w:val="clear"/>
              <w:rPr>
                <w:rFonts w:hint="eastAsia" w:ascii="宋体" w:hAnsi="宋体" w:eastAsia="宋体" w:cs="宋体"/>
                <w:sz w:val="21"/>
              </w:rPr>
            </w:pPr>
          </w:p>
        </w:tc>
      </w:tr>
    </w:tbl>
    <w:p w14:paraId="36027471">
      <w:pPr>
        <w:pStyle w:val="3"/>
        <w:shd w:val="clear"/>
        <w:spacing w:before="115" w:line="230" w:lineRule="auto"/>
        <w:ind w:left="564"/>
        <w:rPr>
          <w:rFonts w:hint="eastAsia" w:ascii="宋体" w:hAnsi="宋体" w:eastAsia="宋体" w:cs="宋体"/>
        </w:rPr>
      </w:pPr>
      <w:r>
        <w:rPr>
          <w:rFonts w:hint="eastAsia" w:ascii="宋体" w:hAnsi="宋体" w:eastAsia="宋体" w:cs="宋体"/>
          <w:spacing w:val="-12"/>
        </w:rPr>
        <w:t>注：</w:t>
      </w:r>
    </w:p>
    <w:p w14:paraId="1B7B3BFE">
      <w:pPr>
        <w:pStyle w:val="3"/>
        <w:shd w:val="clear"/>
        <w:spacing w:before="169" w:line="360" w:lineRule="auto"/>
        <w:ind w:left="555" w:right="538" w:firstLine="492"/>
        <w:rPr>
          <w:rFonts w:hint="eastAsia" w:ascii="宋体" w:hAnsi="宋体" w:eastAsia="宋体" w:cs="宋体"/>
        </w:rPr>
      </w:pPr>
      <w:r>
        <w:rPr>
          <w:rFonts w:hint="eastAsia" w:ascii="宋体" w:hAnsi="宋体" w:eastAsia="宋体" w:cs="宋体"/>
          <w:spacing w:val="-2"/>
        </w:rPr>
        <w:t>1.直接控股股东：是指其出资额占有限责任公司资本总额百分之五十以上或者</w:t>
      </w:r>
      <w:r>
        <w:rPr>
          <w:rFonts w:hint="eastAsia" w:ascii="宋体" w:hAnsi="宋体" w:eastAsia="宋体" w:cs="宋体"/>
          <w:spacing w:val="-3"/>
        </w:rPr>
        <w:t>其持</w:t>
      </w:r>
      <w:r>
        <w:rPr>
          <w:rFonts w:hint="eastAsia" w:ascii="宋体" w:hAnsi="宋体" w:eastAsia="宋体" w:cs="宋体"/>
          <w:spacing w:val="-2"/>
        </w:rPr>
        <w:t>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eastAsia="宋体" w:cs="宋体"/>
          <w:spacing w:val="-1"/>
        </w:rPr>
        <w:t>股东大会的决议产生重大影响的股东。</w:t>
      </w:r>
    </w:p>
    <w:p w14:paraId="04322005">
      <w:pPr>
        <w:pStyle w:val="3"/>
        <w:shd w:val="clear"/>
        <w:spacing w:before="2" w:line="359" w:lineRule="auto"/>
        <w:ind w:left="558" w:right="542" w:firstLine="474"/>
        <w:rPr>
          <w:rFonts w:hint="eastAsia" w:ascii="宋体" w:hAnsi="宋体" w:eastAsia="宋体" w:cs="宋体"/>
        </w:rPr>
      </w:pPr>
      <w:r>
        <w:rPr>
          <w:rFonts w:hint="eastAsia" w:ascii="宋体" w:hAnsi="宋体" w:eastAsia="宋体" w:cs="宋体"/>
          <w:spacing w:val="-2"/>
        </w:rPr>
        <w:t>2.本表所指的控股关系仅限于直接控股关系，不包括间接的控股关系。公司实际控</w:t>
      </w:r>
      <w:r>
        <w:rPr>
          <w:rFonts w:hint="eastAsia" w:ascii="宋体" w:hAnsi="宋体" w:eastAsia="宋体" w:cs="宋体"/>
          <w:spacing w:val="-1"/>
        </w:rPr>
        <w:t>制人与公司之间的关系不属于本表所指的直接控股关系。</w:t>
      </w:r>
    </w:p>
    <w:p w14:paraId="11BDB150">
      <w:pPr>
        <w:pStyle w:val="3"/>
        <w:shd w:val="clear"/>
        <w:spacing w:before="1" w:line="219" w:lineRule="auto"/>
        <w:ind w:left="1035"/>
        <w:rPr>
          <w:rFonts w:hint="eastAsia" w:ascii="宋体" w:hAnsi="宋体" w:eastAsia="宋体" w:cs="宋体"/>
        </w:rPr>
      </w:pPr>
      <w:r>
        <w:rPr>
          <w:rFonts w:hint="eastAsia" w:ascii="宋体" w:hAnsi="宋体" w:eastAsia="宋体" w:cs="宋体"/>
          <w:spacing w:val="-1"/>
        </w:rPr>
        <w:t>3.供应商不存在直接控股股东的，则在“直接</w:t>
      </w:r>
      <w:r>
        <w:rPr>
          <w:rFonts w:hint="eastAsia" w:ascii="宋体" w:hAnsi="宋体" w:eastAsia="宋体" w:cs="宋体"/>
          <w:spacing w:val="-2"/>
        </w:rPr>
        <w:t>控股股东名称</w:t>
      </w:r>
      <w:r>
        <w:rPr>
          <w:rFonts w:hint="eastAsia" w:ascii="宋体" w:hAnsi="宋体" w:eastAsia="宋体" w:cs="宋体"/>
          <w:spacing w:val="-88"/>
        </w:rPr>
        <w:t xml:space="preserve"> </w:t>
      </w:r>
      <w:r>
        <w:rPr>
          <w:rFonts w:hint="eastAsia" w:ascii="宋体" w:hAnsi="宋体" w:eastAsia="宋体" w:cs="宋体"/>
          <w:spacing w:val="-2"/>
        </w:rPr>
        <w:t>”填“无</w:t>
      </w:r>
      <w:r>
        <w:rPr>
          <w:rFonts w:hint="eastAsia" w:ascii="宋体" w:hAnsi="宋体" w:eastAsia="宋体" w:cs="宋体"/>
          <w:spacing w:val="-88"/>
        </w:rPr>
        <w:t xml:space="preserve"> </w:t>
      </w:r>
      <w:r>
        <w:rPr>
          <w:rFonts w:hint="eastAsia" w:ascii="宋体" w:hAnsi="宋体" w:eastAsia="宋体" w:cs="宋体"/>
          <w:spacing w:val="-2"/>
        </w:rPr>
        <w:t>”。</w:t>
      </w:r>
    </w:p>
    <w:p w14:paraId="15159494">
      <w:pPr>
        <w:shd w:val="clear"/>
        <w:spacing w:line="297" w:lineRule="auto"/>
        <w:rPr>
          <w:rFonts w:hint="eastAsia" w:ascii="宋体" w:hAnsi="宋体" w:eastAsia="宋体" w:cs="宋体"/>
          <w:sz w:val="21"/>
        </w:rPr>
      </w:pPr>
    </w:p>
    <w:p w14:paraId="27BB00BE">
      <w:pPr>
        <w:shd w:val="clear"/>
        <w:spacing w:line="297" w:lineRule="auto"/>
        <w:rPr>
          <w:rFonts w:hint="eastAsia" w:ascii="宋体" w:hAnsi="宋体" w:eastAsia="宋体" w:cs="宋体"/>
          <w:sz w:val="21"/>
        </w:rPr>
      </w:pPr>
    </w:p>
    <w:p w14:paraId="2EEC5FE0">
      <w:pPr>
        <w:shd w:val="clear"/>
        <w:spacing w:line="297" w:lineRule="auto"/>
        <w:rPr>
          <w:rFonts w:hint="eastAsia" w:ascii="宋体" w:hAnsi="宋体" w:eastAsia="宋体" w:cs="宋体"/>
          <w:sz w:val="21"/>
        </w:rPr>
      </w:pPr>
    </w:p>
    <w:p w14:paraId="3E4CBB35">
      <w:pPr>
        <w:shd w:val="clear"/>
        <w:spacing w:line="298" w:lineRule="auto"/>
        <w:rPr>
          <w:rFonts w:hint="eastAsia" w:ascii="宋体" w:hAnsi="宋体" w:eastAsia="宋体" w:cs="宋体"/>
          <w:sz w:val="21"/>
        </w:rPr>
      </w:pPr>
    </w:p>
    <w:p w14:paraId="2FCEB59E">
      <w:pPr>
        <w:pStyle w:val="3"/>
        <w:shd w:val="clear"/>
        <w:spacing w:before="79" w:line="223" w:lineRule="auto"/>
        <w:ind w:left="2581"/>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r>
        <w:rPr>
          <w:rFonts w:hint="eastAsia" w:ascii="宋体" w:hAnsi="宋体" w:eastAsia="宋体" w:cs="宋体"/>
          <w:u w:val="single" w:color="auto"/>
        </w:rPr>
        <w:t xml:space="preserve">         </w:t>
      </w:r>
    </w:p>
    <w:p w14:paraId="36A9BCE5">
      <w:pPr>
        <w:pStyle w:val="3"/>
        <w:shd w:val="clear"/>
        <w:spacing w:before="178" w:line="222" w:lineRule="auto"/>
        <w:ind w:left="3558"/>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rPr>
        <w:t xml:space="preserve"> </w:t>
      </w:r>
      <w:r>
        <w:rPr>
          <w:rFonts w:hint="eastAsia" w:ascii="宋体" w:hAnsi="宋体" w:eastAsia="宋体" w:cs="宋体"/>
          <w:u w:val="single" w:color="auto"/>
        </w:rPr>
        <w:t xml:space="preserve">                          </w:t>
      </w:r>
    </w:p>
    <w:p w14:paraId="198AFD15">
      <w:pPr>
        <w:pStyle w:val="3"/>
        <w:shd w:val="clear"/>
        <w:spacing w:before="179" w:line="222" w:lineRule="auto"/>
        <w:ind w:left="7954"/>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6F6D26EF">
      <w:pPr>
        <w:shd w:val="clear"/>
        <w:spacing w:line="222" w:lineRule="auto"/>
        <w:rPr>
          <w:rFonts w:hint="eastAsia" w:ascii="宋体" w:hAnsi="宋体" w:eastAsia="宋体" w:cs="宋体"/>
        </w:rPr>
        <w:sectPr>
          <w:footerReference r:id="rId18" w:type="default"/>
          <w:pgSz w:w="11906" w:h="16839"/>
          <w:pgMar w:top="1440" w:right="1080" w:bottom="1440" w:left="1080" w:header="0" w:footer="1200" w:gutter="0"/>
          <w:pgNumType w:fmt="decimal"/>
          <w:cols w:space="720" w:num="1"/>
        </w:sectPr>
      </w:pPr>
    </w:p>
    <w:p w14:paraId="382AFA69">
      <w:pPr>
        <w:pStyle w:val="3"/>
        <w:shd w:val="clear"/>
        <w:spacing w:before="101" w:line="227" w:lineRule="auto"/>
        <w:ind w:left="2924"/>
        <w:rPr>
          <w:rFonts w:hint="eastAsia" w:ascii="宋体" w:hAnsi="宋体" w:eastAsia="宋体" w:cs="宋体"/>
          <w:sz w:val="31"/>
          <w:szCs w:val="31"/>
        </w:rPr>
      </w:pPr>
      <w:r>
        <w:rPr>
          <w:rFonts w:hint="eastAsia" w:ascii="宋体" w:hAnsi="宋体" w:eastAsia="宋体" w:cs="宋体"/>
          <w:b/>
          <w:bCs/>
          <w:spacing w:val="5"/>
          <w:sz w:val="31"/>
          <w:szCs w:val="31"/>
        </w:rPr>
        <w:t>供应商直接管理关系信息表</w:t>
      </w:r>
    </w:p>
    <w:p w14:paraId="107ABB30">
      <w:pPr>
        <w:pStyle w:val="3"/>
        <w:shd w:val="clear"/>
        <w:spacing w:before="102" w:line="222" w:lineRule="auto"/>
        <w:ind w:left="312"/>
        <w:rPr>
          <w:rFonts w:hint="eastAsia" w:ascii="宋体" w:hAnsi="宋体" w:eastAsia="宋体" w:cs="宋体"/>
        </w:rPr>
      </w:pPr>
    </w:p>
    <w:p w14:paraId="35BA80CD">
      <w:pPr>
        <w:shd w:val="clear"/>
        <w:spacing w:line="142" w:lineRule="exact"/>
        <w:rPr>
          <w:rFonts w:hint="eastAsia" w:ascii="宋体" w:hAnsi="宋体" w:eastAsia="宋体" w:cs="宋体"/>
        </w:rPr>
      </w:pPr>
    </w:p>
    <w:tbl>
      <w:tblPr>
        <w:tblStyle w:val="11"/>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502BA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vAlign w:val="top"/>
          </w:tcPr>
          <w:p w14:paraId="3E3C6CA7">
            <w:pPr>
              <w:pStyle w:val="12"/>
              <w:shd w:val="clear"/>
              <w:spacing w:before="241" w:line="222" w:lineRule="auto"/>
              <w:ind w:left="177"/>
              <w:rPr>
                <w:rFonts w:hint="eastAsia" w:ascii="宋体" w:hAnsi="宋体" w:eastAsia="宋体" w:cs="宋体"/>
              </w:rPr>
            </w:pPr>
            <w:r>
              <w:rPr>
                <w:rFonts w:hint="eastAsia" w:ascii="宋体" w:hAnsi="宋体" w:eastAsia="宋体" w:cs="宋体"/>
                <w:b/>
                <w:bCs/>
                <w:spacing w:val="-11"/>
              </w:rPr>
              <w:t>序号</w:t>
            </w:r>
          </w:p>
        </w:tc>
        <w:tc>
          <w:tcPr>
            <w:tcW w:w="3598" w:type="dxa"/>
            <w:vAlign w:val="top"/>
          </w:tcPr>
          <w:p w14:paraId="55E8A2C9">
            <w:pPr>
              <w:pStyle w:val="12"/>
              <w:shd w:val="clear"/>
              <w:spacing w:before="240" w:line="221" w:lineRule="auto"/>
              <w:ind w:left="606"/>
              <w:rPr>
                <w:rFonts w:hint="eastAsia" w:ascii="宋体" w:hAnsi="宋体" w:eastAsia="宋体" w:cs="宋体"/>
              </w:rPr>
            </w:pPr>
            <w:r>
              <w:rPr>
                <w:rFonts w:hint="eastAsia" w:ascii="宋体" w:hAnsi="宋体" w:eastAsia="宋体" w:cs="宋体"/>
                <w:b/>
                <w:bCs/>
                <w:spacing w:val="-4"/>
              </w:rPr>
              <w:t>直接管理关系单位名称</w:t>
            </w:r>
          </w:p>
        </w:tc>
        <w:tc>
          <w:tcPr>
            <w:tcW w:w="3553" w:type="dxa"/>
            <w:vAlign w:val="top"/>
          </w:tcPr>
          <w:p w14:paraId="59EAA700">
            <w:pPr>
              <w:pStyle w:val="12"/>
              <w:shd w:val="clear"/>
              <w:spacing w:before="240" w:line="222" w:lineRule="auto"/>
              <w:ind w:left="831"/>
              <w:rPr>
                <w:rFonts w:hint="eastAsia" w:ascii="宋体" w:hAnsi="宋体" w:eastAsia="宋体" w:cs="宋体"/>
              </w:rPr>
            </w:pPr>
            <w:r>
              <w:rPr>
                <w:rFonts w:hint="eastAsia" w:ascii="宋体" w:hAnsi="宋体" w:eastAsia="宋体" w:cs="宋体"/>
                <w:b/>
                <w:bCs/>
                <w:spacing w:val="-5"/>
              </w:rPr>
              <w:t>统一社会信用代码</w:t>
            </w:r>
          </w:p>
        </w:tc>
        <w:tc>
          <w:tcPr>
            <w:tcW w:w="1693" w:type="dxa"/>
            <w:vAlign w:val="top"/>
          </w:tcPr>
          <w:p w14:paraId="709E9A70">
            <w:pPr>
              <w:pStyle w:val="12"/>
              <w:shd w:val="clear"/>
              <w:spacing w:before="241" w:line="224" w:lineRule="auto"/>
              <w:ind w:left="621"/>
              <w:rPr>
                <w:rFonts w:hint="eastAsia" w:ascii="宋体" w:hAnsi="宋体" w:eastAsia="宋体" w:cs="宋体"/>
              </w:rPr>
            </w:pPr>
            <w:r>
              <w:rPr>
                <w:rFonts w:hint="eastAsia" w:ascii="宋体" w:hAnsi="宋体" w:eastAsia="宋体" w:cs="宋体"/>
                <w:b/>
                <w:bCs/>
                <w:spacing w:val="-12"/>
              </w:rPr>
              <w:t>备注</w:t>
            </w:r>
          </w:p>
        </w:tc>
      </w:tr>
      <w:tr w14:paraId="62BD8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685D3E8E">
            <w:pPr>
              <w:pStyle w:val="12"/>
              <w:shd w:val="clear"/>
              <w:spacing w:before="237" w:line="315" w:lineRule="exact"/>
              <w:ind w:left="370"/>
              <w:rPr>
                <w:rFonts w:hint="eastAsia" w:ascii="宋体" w:hAnsi="宋体" w:eastAsia="宋体" w:cs="宋体"/>
              </w:rPr>
            </w:pPr>
            <w:r>
              <w:rPr>
                <w:rFonts w:hint="eastAsia" w:ascii="宋体" w:hAnsi="宋体" w:eastAsia="宋体" w:cs="宋体"/>
                <w:position w:val="1"/>
              </w:rPr>
              <w:t>1</w:t>
            </w:r>
          </w:p>
        </w:tc>
        <w:tc>
          <w:tcPr>
            <w:tcW w:w="3598" w:type="dxa"/>
            <w:vAlign w:val="top"/>
          </w:tcPr>
          <w:p w14:paraId="01F2B7C5">
            <w:pPr>
              <w:shd w:val="clear"/>
              <w:rPr>
                <w:rFonts w:hint="eastAsia" w:ascii="宋体" w:hAnsi="宋体" w:eastAsia="宋体" w:cs="宋体"/>
                <w:sz w:val="21"/>
              </w:rPr>
            </w:pPr>
          </w:p>
        </w:tc>
        <w:tc>
          <w:tcPr>
            <w:tcW w:w="3553" w:type="dxa"/>
            <w:vAlign w:val="top"/>
          </w:tcPr>
          <w:p w14:paraId="30BC3EF7">
            <w:pPr>
              <w:shd w:val="clear"/>
              <w:rPr>
                <w:rFonts w:hint="eastAsia" w:ascii="宋体" w:hAnsi="宋体" w:eastAsia="宋体" w:cs="宋体"/>
                <w:sz w:val="21"/>
              </w:rPr>
            </w:pPr>
          </w:p>
        </w:tc>
        <w:tc>
          <w:tcPr>
            <w:tcW w:w="1693" w:type="dxa"/>
            <w:vAlign w:val="top"/>
          </w:tcPr>
          <w:p w14:paraId="6103568F">
            <w:pPr>
              <w:shd w:val="clear"/>
              <w:rPr>
                <w:rFonts w:hint="eastAsia" w:ascii="宋体" w:hAnsi="宋体" w:eastAsia="宋体" w:cs="宋体"/>
                <w:sz w:val="21"/>
              </w:rPr>
            </w:pPr>
          </w:p>
        </w:tc>
      </w:tr>
      <w:tr w14:paraId="7E727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260E6F93">
            <w:pPr>
              <w:pStyle w:val="12"/>
              <w:shd w:val="clear"/>
              <w:spacing w:before="237" w:line="316" w:lineRule="exact"/>
              <w:ind w:left="355"/>
              <w:rPr>
                <w:rFonts w:hint="eastAsia" w:ascii="宋体" w:hAnsi="宋体" w:eastAsia="宋体" w:cs="宋体"/>
              </w:rPr>
            </w:pPr>
            <w:r>
              <w:rPr>
                <w:rFonts w:hint="eastAsia" w:ascii="宋体" w:hAnsi="宋体" w:eastAsia="宋体" w:cs="宋体"/>
                <w:position w:val="1"/>
              </w:rPr>
              <w:t>2</w:t>
            </w:r>
          </w:p>
        </w:tc>
        <w:tc>
          <w:tcPr>
            <w:tcW w:w="3598" w:type="dxa"/>
            <w:vAlign w:val="top"/>
          </w:tcPr>
          <w:p w14:paraId="7ECC5D4F">
            <w:pPr>
              <w:shd w:val="clear"/>
              <w:rPr>
                <w:rFonts w:hint="eastAsia" w:ascii="宋体" w:hAnsi="宋体" w:eastAsia="宋体" w:cs="宋体"/>
                <w:sz w:val="21"/>
              </w:rPr>
            </w:pPr>
          </w:p>
        </w:tc>
        <w:tc>
          <w:tcPr>
            <w:tcW w:w="3553" w:type="dxa"/>
            <w:vAlign w:val="top"/>
          </w:tcPr>
          <w:p w14:paraId="1013C655">
            <w:pPr>
              <w:shd w:val="clear"/>
              <w:rPr>
                <w:rFonts w:hint="eastAsia" w:ascii="宋体" w:hAnsi="宋体" w:eastAsia="宋体" w:cs="宋体"/>
                <w:sz w:val="21"/>
              </w:rPr>
            </w:pPr>
          </w:p>
        </w:tc>
        <w:tc>
          <w:tcPr>
            <w:tcW w:w="1693" w:type="dxa"/>
            <w:vAlign w:val="top"/>
          </w:tcPr>
          <w:p w14:paraId="596A4ED8">
            <w:pPr>
              <w:shd w:val="clear"/>
              <w:rPr>
                <w:rFonts w:hint="eastAsia" w:ascii="宋体" w:hAnsi="宋体" w:eastAsia="宋体" w:cs="宋体"/>
                <w:sz w:val="21"/>
              </w:rPr>
            </w:pPr>
          </w:p>
        </w:tc>
      </w:tr>
      <w:tr w14:paraId="41CC9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75B90971">
            <w:pPr>
              <w:pStyle w:val="12"/>
              <w:shd w:val="clear"/>
              <w:spacing w:before="238" w:line="241" w:lineRule="auto"/>
              <w:ind w:left="357"/>
              <w:rPr>
                <w:rFonts w:hint="eastAsia" w:ascii="宋体" w:hAnsi="宋体" w:eastAsia="宋体" w:cs="宋体"/>
              </w:rPr>
            </w:pPr>
            <w:r>
              <w:rPr>
                <w:rFonts w:hint="eastAsia" w:ascii="宋体" w:hAnsi="宋体" w:eastAsia="宋体" w:cs="宋体"/>
              </w:rPr>
              <w:t>3</w:t>
            </w:r>
          </w:p>
        </w:tc>
        <w:tc>
          <w:tcPr>
            <w:tcW w:w="3598" w:type="dxa"/>
            <w:vAlign w:val="top"/>
          </w:tcPr>
          <w:p w14:paraId="40AA89C8">
            <w:pPr>
              <w:shd w:val="clear"/>
              <w:rPr>
                <w:rFonts w:hint="eastAsia" w:ascii="宋体" w:hAnsi="宋体" w:eastAsia="宋体" w:cs="宋体"/>
                <w:sz w:val="21"/>
              </w:rPr>
            </w:pPr>
          </w:p>
        </w:tc>
        <w:tc>
          <w:tcPr>
            <w:tcW w:w="3553" w:type="dxa"/>
            <w:vAlign w:val="top"/>
          </w:tcPr>
          <w:p w14:paraId="2E928814">
            <w:pPr>
              <w:shd w:val="clear"/>
              <w:rPr>
                <w:rFonts w:hint="eastAsia" w:ascii="宋体" w:hAnsi="宋体" w:eastAsia="宋体" w:cs="宋体"/>
                <w:sz w:val="21"/>
              </w:rPr>
            </w:pPr>
          </w:p>
        </w:tc>
        <w:tc>
          <w:tcPr>
            <w:tcW w:w="1693" w:type="dxa"/>
            <w:vAlign w:val="top"/>
          </w:tcPr>
          <w:p w14:paraId="2226490B">
            <w:pPr>
              <w:shd w:val="clear"/>
              <w:rPr>
                <w:rFonts w:hint="eastAsia" w:ascii="宋体" w:hAnsi="宋体" w:eastAsia="宋体" w:cs="宋体"/>
                <w:sz w:val="21"/>
              </w:rPr>
            </w:pPr>
          </w:p>
        </w:tc>
      </w:tr>
      <w:tr w14:paraId="1184A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12" w:type="dxa"/>
            <w:vAlign w:val="top"/>
          </w:tcPr>
          <w:p w14:paraId="7882DF39">
            <w:pPr>
              <w:pStyle w:val="12"/>
              <w:shd w:val="clear"/>
              <w:spacing w:before="239" w:line="382" w:lineRule="exact"/>
              <w:ind w:left="189"/>
              <w:rPr>
                <w:rFonts w:hint="eastAsia" w:ascii="宋体" w:hAnsi="宋体" w:eastAsia="宋体" w:cs="宋体"/>
              </w:rPr>
            </w:pPr>
            <w:r>
              <w:rPr>
                <w:rFonts w:hint="eastAsia" w:ascii="宋体" w:hAnsi="宋体" w:eastAsia="宋体" w:cs="宋体"/>
                <w:spacing w:val="-13"/>
                <w:position w:val="3"/>
              </w:rPr>
              <w:t>……</w:t>
            </w:r>
          </w:p>
        </w:tc>
        <w:tc>
          <w:tcPr>
            <w:tcW w:w="3598" w:type="dxa"/>
            <w:vAlign w:val="top"/>
          </w:tcPr>
          <w:p w14:paraId="57CC21E6">
            <w:pPr>
              <w:shd w:val="clear"/>
              <w:rPr>
                <w:rFonts w:hint="eastAsia" w:ascii="宋体" w:hAnsi="宋体" w:eastAsia="宋体" w:cs="宋体"/>
                <w:sz w:val="21"/>
              </w:rPr>
            </w:pPr>
          </w:p>
        </w:tc>
        <w:tc>
          <w:tcPr>
            <w:tcW w:w="3553" w:type="dxa"/>
            <w:vAlign w:val="top"/>
          </w:tcPr>
          <w:p w14:paraId="61C4A5F0">
            <w:pPr>
              <w:shd w:val="clear"/>
              <w:rPr>
                <w:rFonts w:hint="eastAsia" w:ascii="宋体" w:hAnsi="宋体" w:eastAsia="宋体" w:cs="宋体"/>
                <w:sz w:val="21"/>
              </w:rPr>
            </w:pPr>
          </w:p>
        </w:tc>
        <w:tc>
          <w:tcPr>
            <w:tcW w:w="1693" w:type="dxa"/>
            <w:vAlign w:val="top"/>
          </w:tcPr>
          <w:p w14:paraId="7D4F54EA">
            <w:pPr>
              <w:shd w:val="clear"/>
              <w:rPr>
                <w:rFonts w:hint="eastAsia" w:ascii="宋体" w:hAnsi="宋体" w:eastAsia="宋体" w:cs="宋体"/>
                <w:sz w:val="21"/>
              </w:rPr>
            </w:pPr>
          </w:p>
        </w:tc>
      </w:tr>
    </w:tbl>
    <w:p w14:paraId="4A67B0C5">
      <w:pPr>
        <w:pStyle w:val="3"/>
        <w:shd w:val="clear"/>
        <w:spacing w:before="114" w:line="230" w:lineRule="auto"/>
        <w:ind w:left="316"/>
        <w:rPr>
          <w:rFonts w:hint="eastAsia" w:ascii="宋体" w:hAnsi="宋体" w:eastAsia="宋体" w:cs="宋体"/>
        </w:rPr>
      </w:pPr>
      <w:r>
        <w:rPr>
          <w:rFonts w:hint="eastAsia" w:ascii="宋体" w:hAnsi="宋体" w:eastAsia="宋体" w:cs="宋体"/>
          <w:spacing w:val="-12"/>
        </w:rPr>
        <w:t>注：</w:t>
      </w:r>
    </w:p>
    <w:p w14:paraId="190DF64B">
      <w:pPr>
        <w:pStyle w:val="3"/>
        <w:shd w:val="clear"/>
        <w:spacing w:before="169" w:line="360" w:lineRule="auto"/>
        <w:ind w:left="311" w:right="302" w:firstLine="488"/>
        <w:rPr>
          <w:rFonts w:hint="eastAsia" w:ascii="宋体" w:hAnsi="宋体" w:eastAsia="宋体" w:cs="宋体"/>
        </w:rPr>
      </w:pPr>
      <w:r>
        <w:rPr>
          <w:rFonts w:hint="eastAsia" w:ascii="宋体" w:hAnsi="宋体" w:eastAsia="宋体" w:cs="宋体"/>
          <w:spacing w:val="-2"/>
        </w:rPr>
        <w:t>1.管理关系：是指不具有出资持股关系的其他单位之间存在的管</w:t>
      </w:r>
      <w:r>
        <w:rPr>
          <w:rFonts w:hint="eastAsia" w:ascii="宋体" w:hAnsi="宋体" w:eastAsia="宋体" w:cs="宋体"/>
          <w:spacing w:val="-3"/>
        </w:rPr>
        <w:t>理与被管理关系，</w:t>
      </w:r>
      <w:r>
        <w:rPr>
          <w:rFonts w:hint="eastAsia" w:ascii="宋体" w:hAnsi="宋体" w:eastAsia="宋体" w:cs="宋体"/>
          <w:spacing w:val="-1"/>
        </w:rPr>
        <w:t>如一些上下级关系的事业单位和团体组织。</w:t>
      </w:r>
    </w:p>
    <w:p w14:paraId="630ED84C">
      <w:pPr>
        <w:pStyle w:val="3"/>
        <w:shd w:val="clear"/>
        <w:spacing w:line="222" w:lineRule="auto"/>
        <w:ind w:left="785"/>
        <w:rPr>
          <w:rFonts w:hint="eastAsia" w:ascii="宋体" w:hAnsi="宋体" w:eastAsia="宋体" w:cs="宋体"/>
        </w:rPr>
      </w:pPr>
      <w:r>
        <w:rPr>
          <w:rFonts w:hint="eastAsia" w:ascii="宋体" w:hAnsi="宋体" w:eastAsia="宋体" w:cs="宋体"/>
          <w:spacing w:val="-11"/>
        </w:rPr>
        <w:t>2.本表所指的管理关系仅限于直接管理关系，不包括间接的管理关系。</w:t>
      </w:r>
    </w:p>
    <w:p w14:paraId="3274C1BC">
      <w:pPr>
        <w:pStyle w:val="3"/>
        <w:shd w:val="clear"/>
        <w:spacing w:before="180" w:line="219" w:lineRule="auto"/>
        <w:ind w:left="787"/>
        <w:rPr>
          <w:rFonts w:hint="eastAsia" w:ascii="宋体" w:hAnsi="宋体" w:eastAsia="宋体" w:cs="宋体"/>
        </w:rPr>
      </w:pPr>
      <w:r>
        <w:rPr>
          <w:rFonts w:hint="eastAsia" w:ascii="宋体" w:hAnsi="宋体" w:eastAsia="宋体" w:cs="宋体"/>
          <w:spacing w:val="-1"/>
        </w:rPr>
        <w:t>3.供应商不存在直接管理关系的，则在“直接管理关系</w:t>
      </w:r>
      <w:r>
        <w:rPr>
          <w:rFonts w:hint="eastAsia" w:ascii="宋体" w:hAnsi="宋体" w:eastAsia="宋体" w:cs="宋体"/>
          <w:spacing w:val="-2"/>
        </w:rPr>
        <w:t>单位名称</w:t>
      </w:r>
      <w:r>
        <w:rPr>
          <w:rFonts w:hint="eastAsia" w:ascii="宋体" w:hAnsi="宋体" w:eastAsia="宋体" w:cs="宋体"/>
          <w:spacing w:val="-88"/>
        </w:rPr>
        <w:t xml:space="preserve"> </w:t>
      </w:r>
      <w:r>
        <w:rPr>
          <w:rFonts w:hint="eastAsia" w:ascii="宋体" w:hAnsi="宋体" w:eastAsia="宋体" w:cs="宋体"/>
          <w:spacing w:val="-2"/>
        </w:rPr>
        <w:t>”填“无</w:t>
      </w:r>
      <w:r>
        <w:rPr>
          <w:rFonts w:hint="eastAsia" w:ascii="宋体" w:hAnsi="宋体" w:eastAsia="宋体" w:cs="宋体"/>
          <w:spacing w:val="-88"/>
        </w:rPr>
        <w:t xml:space="preserve"> </w:t>
      </w:r>
      <w:r>
        <w:rPr>
          <w:rFonts w:hint="eastAsia" w:ascii="宋体" w:hAnsi="宋体" w:eastAsia="宋体" w:cs="宋体"/>
          <w:spacing w:val="-2"/>
        </w:rPr>
        <w:t>”。</w:t>
      </w:r>
    </w:p>
    <w:p w14:paraId="2E48949C">
      <w:pPr>
        <w:shd w:val="clear"/>
        <w:spacing w:line="268" w:lineRule="auto"/>
        <w:rPr>
          <w:rFonts w:hint="eastAsia" w:ascii="宋体" w:hAnsi="宋体" w:eastAsia="宋体" w:cs="宋体"/>
          <w:sz w:val="21"/>
        </w:rPr>
      </w:pPr>
    </w:p>
    <w:p w14:paraId="0027E295">
      <w:pPr>
        <w:shd w:val="clear"/>
        <w:spacing w:line="269" w:lineRule="auto"/>
        <w:rPr>
          <w:rFonts w:hint="eastAsia" w:ascii="宋体" w:hAnsi="宋体" w:eastAsia="宋体" w:cs="宋体"/>
          <w:sz w:val="21"/>
        </w:rPr>
      </w:pPr>
    </w:p>
    <w:p w14:paraId="27AC655A">
      <w:pPr>
        <w:shd w:val="clear"/>
        <w:spacing w:line="269" w:lineRule="auto"/>
        <w:rPr>
          <w:rFonts w:hint="eastAsia" w:ascii="宋体" w:hAnsi="宋体" w:eastAsia="宋体" w:cs="宋体"/>
          <w:sz w:val="21"/>
        </w:rPr>
      </w:pPr>
    </w:p>
    <w:p w14:paraId="7AEF894C">
      <w:pPr>
        <w:shd w:val="clear"/>
        <w:spacing w:line="269" w:lineRule="auto"/>
        <w:rPr>
          <w:rFonts w:hint="eastAsia" w:ascii="宋体" w:hAnsi="宋体" w:eastAsia="宋体" w:cs="宋体"/>
          <w:sz w:val="21"/>
        </w:rPr>
      </w:pPr>
    </w:p>
    <w:p w14:paraId="4B0D0260">
      <w:pPr>
        <w:shd w:val="clear"/>
        <w:spacing w:line="269" w:lineRule="auto"/>
        <w:rPr>
          <w:rFonts w:hint="eastAsia" w:ascii="宋体" w:hAnsi="宋体" w:eastAsia="宋体" w:cs="宋体"/>
          <w:sz w:val="21"/>
        </w:rPr>
      </w:pPr>
    </w:p>
    <w:p w14:paraId="0090A9F1">
      <w:pPr>
        <w:pStyle w:val="3"/>
        <w:shd w:val="clear"/>
        <w:spacing w:before="78" w:line="223" w:lineRule="auto"/>
        <w:ind w:left="2693"/>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r>
        <w:rPr>
          <w:rFonts w:hint="eastAsia" w:ascii="宋体" w:hAnsi="宋体" w:eastAsia="宋体" w:cs="宋体"/>
          <w:u w:val="single" w:color="auto"/>
        </w:rPr>
        <w:t xml:space="preserve">      </w:t>
      </w:r>
    </w:p>
    <w:p w14:paraId="1D09378F">
      <w:pPr>
        <w:pStyle w:val="3"/>
        <w:shd w:val="clear"/>
        <w:spacing w:before="179" w:line="222" w:lineRule="auto"/>
        <w:ind w:left="3670"/>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327B8BA8">
      <w:pPr>
        <w:pStyle w:val="3"/>
        <w:shd w:val="clear"/>
        <w:spacing w:before="179" w:line="222" w:lineRule="auto"/>
        <w:ind w:left="5594"/>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25DEA981">
      <w:pPr>
        <w:shd w:val="clear"/>
        <w:spacing w:line="222" w:lineRule="auto"/>
        <w:rPr>
          <w:rFonts w:hint="eastAsia" w:ascii="宋体" w:hAnsi="宋体" w:eastAsia="宋体" w:cs="宋体"/>
        </w:rPr>
        <w:sectPr>
          <w:footerReference r:id="rId19" w:type="default"/>
          <w:pgSz w:w="11906" w:h="16839"/>
          <w:pgMar w:top="1440" w:right="1080" w:bottom="1440" w:left="1080" w:header="0" w:footer="1200" w:gutter="0"/>
          <w:pgNumType w:fmt="decimal"/>
          <w:cols w:space="720" w:num="1"/>
        </w:sectPr>
      </w:pPr>
    </w:p>
    <w:p w14:paraId="57273D13">
      <w:pPr>
        <w:pStyle w:val="3"/>
        <w:shd w:val="clear"/>
        <w:spacing w:before="100" w:line="228" w:lineRule="auto"/>
        <w:ind w:left="3907"/>
        <w:rPr>
          <w:rFonts w:hint="eastAsia" w:ascii="宋体" w:hAnsi="宋体" w:eastAsia="宋体" w:cs="宋体"/>
          <w:sz w:val="31"/>
          <w:szCs w:val="31"/>
        </w:rPr>
      </w:pPr>
      <w:r>
        <w:rPr>
          <w:rFonts w:hint="eastAsia" w:ascii="宋体" w:hAnsi="宋体" w:eastAsia="宋体" w:cs="宋体"/>
          <w:b/>
          <w:bCs/>
          <w:sz w:val="31"/>
          <w:szCs w:val="31"/>
        </w:rPr>
        <w:t>竞标声明</w:t>
      </w:r>
    </w:p>
    <w:p w14:paraId="48148376">
      <w:pPr>
        <w:shd w:val="clear"/>
        <w:spacing w:line="308" w:lineRule="auto"/>
        <w:rPr>
          <w:rFonts w:hint="eastAsia" w:ascii="宋体" w:hAnsi="宋体" w:eastAsia="宋体" w:cs="宋体"/>
          <w:sz w:val="21"/>
        </w:rPr>
      </w:pPr>
    </w:p>
    <w:p w14:paraId="5A06905B">
      <w:pPr>
        <w:pStyle w:val="3"/>
        <w:shd w:val="clear"/>
        <w:spacing w:before="78" w:line="221" w:lineRule="auto"/>
        <w:ind w:left="3"/>
        <w:rPr>
          <w:rFonts w:hint="eastAsia" w:ascii="宋体" w:hAnsi="宋体" w:eastAsia="宋体" w:cs="宋体"/>
        </w:rPr>
      </w:pPr>
      <w:r>
        <w:rPr>
          <w:rFonts w:hint="eastAsia" w:ascii="宋体" w:hAnsi="宋体" w:eastAsia="宋体" w:cs="宋体"/>
          <w:spacing w:val="8"/>
        </w:rPr>
        <w:t>致</w:t>
      </w:r>
      <w:r>
        <w:rPr>
          <w:rFonts w:hint="eastAsia" w:ascii="宋体" w:hAnsi="宋体" w:eastAsia="宋体" w:cs="宋体"/>
          <w:spacing w:val="-17"/>
        </w:rPr>
        <w:t>：</w:t>
      </w:r>
      <w:r>
        <w:rPr>
          <w:rFonts w:hint="eastAsia" w:ascii="宋体" w:hAnsi="宋体" w:eastAsia="宋体" w:cs="宋体"/>
          <w:spacing w:val="-17"/>
          <w:u w:val="single" w:color="auto"/>
        </w:rPr>
        <w:t>（</w:t>
      </w:r>
      <w:r>
        <w:rPr>
          <w:rFonts w:hint="eastAsia" w:ascii="宋体" w:hAnsi="宋体" w:eastAsia="宋体" w:cs="宋体"/>
          <w:spacing w:val="8"/>
          <w:u w:val="single" w:color="auto"/>
        </w:rPr>
        <w:t>采购人名称</w:t>
      </w:r>
      <w:r>
        <w:rPr>
          <w:rFonts w:hint="eastAsia" w:ascii="宋体" w:hAnsi="宋体" w:eastAsia="宋体" w:cs="宋体"/>
          <w:spacing w:val="-17"/>
          <w:u w:val="single" w:color="auto"/>
        </w:rPr>
        <w:t>）</w:t>
      </w:r>
      <w:r>
        <w:rPr>
          <w:rFonts w:hint="eastAsia" w:ascii="宋体" w:hAnsi="宋体" w:eastAsia="宋体" w:cs="宋体"/>
          <w:spacing w:val="-17"/>
        </w:rPr>
        <w:t>：</w:t>
      </w:r>
    </w:p>
    <w:p w14:paraId="22AC0E60">
      <w:pPr>
        <w:pStyle w:val="3"/>
        <w:shd w:val="clear"/>
        <w:tabs>
          <w:tab w:val="left" w:pos="600"/>
        </w:tabs>
        <w:spacing w:before="180" w:line="360" w:lineRule="auto"/>
        <w:ind w:left="5" w:right="4" w:firstLine="459"/>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29"/>
          <w:u w:val="single" w:color="auto"/>
        </w:rPr>
        <w:t>（</w:t>
      </w:r>
      <w:r>
        <w:rPr>
          <w:rFonts w:hint="eastAsia" w:ascii="宋体" w:hAnsi="宋体" w:eastAsia="宋体" w:cs="宋体"/>
          <w:spacing w:val="26"/>
          <w:u w:val="single" w:color="auto"/>
        </w:rPr>
        <w:t xml:space="preserve"> </w:t>
      </w:r>
      <w:r>
        <w:rPr>
          <w:rFonts w:hint="eastAsia" w:ascii="宋体" w:hAnsi="宋体" w:eastAsia="宋体" w:cs="宋体"/>
          <w:spacing w:val="-29"/>
          <w:u w:val="single" w:color="auto"/>
        </w:rPr>
        <w:t>供</w:t>
      </w:r>
      <w:r>
        <w:rPr>
          <w:rFonts w:hint="eastAsia" w:ascii="宋体" w:hAnsi="宋体" w:eastAsia="宋体" w:cs="宋体"/>
          <w:spacing w:val="21"/>
          <w:u w:val="single" w:color="auto"/>
        </w:rPr>
        <w:t xml:space="preserve"> </w:t>
      </w:r>
      <w:r>
        <w:rPr>
          <w:rFonts w:hint="eastAsia" w:ascii="宋体" w:hAnsi="宋体" w:eastAsia="宋体" w:cs="宋体"/>
          <w:spacing w:val="-29"/>
          <w:u w:val="single" w:color="auto"/>
        </w:rPr>
        <w:t>应</w:t>
      </w:r>
      <w:r>
        <w:rPr>
          <w:rFonts w:hint="eastAsia" w:ascii="宋体" w:hAnsi="宋体" w:eastAsia="宋体" w:cs="宋体"/>
          <w:spacing w:val="26"/>
          <w:u w:val="single" w:color="auto"/>
        </w:rPr>
        <w:t xml:space="preserve"> </w:t>
      </w:r>
      <w:r>
        <w:rPr>
          <w:rFonts w:hint="eastAsia" w:ascii="宋体" w:hAnsi="宋体" w:eastAsia="宋体" w:cs="宋体"/>
          <w:spacing w:val="-29"/>
          <w:u w:val="single" w:color="auto"/>
        </w:rPr>
        <w:t>商</w:t>
      </w:r>
      <w:r>
        <w:rPr>
          <w:rFonts w:hint="eastAsia" w:ascii="宋体" w:hAnsi="宋体" w:eastAsia="宋体" w:cs="宋体"/>
          <w:spacing w:val="20"/>
          <w:u w:val="single" w:color="auto"/>
        </w:rPr>
        <w:t xml:space="preserve"> </w:t>
      </w:r>
      <w:r>
        <w:rPr>
          <w:rFonts w:hint="eastAsia" w:ascii="宋体" w:hAnsi="宋体" w:eastAsia="宋体" w:cs="宋体"/>
          <w:spacing w:val="-28"/>
          <w:u w:val="single" w:color="auto"/>
        </w:rPr>
        <w:t>名</w:t>
      </w:r>
      <w:r>
        <w:rPr>
          <w:rFonts w:hint="eastAsia" w:ascii="宋体" w:hAnsi="宋体" w:eastAsia="宋体" w:cs="宋体"/>
          <w:spacing w:val="20"/>
          <w:u w:val="single" w:color="auto"/>
        </w:rPr>
        <w:t xml:space="preserve"> </w:t>
      </w:r>
      <w:r>
        <w:rPr>
          <w:rFonts w:hint="eastAsia" w:ascii="宋体" w:hAnsi="宋体" w:eastAsia="宋体" w:cs="宋体"/>
          <w:spacing w:val="-28"/>
          <w:u w:val="single" w:color="auto"/>
        </w:rPr>
        <w:t>称</w:t>
      </w:r>
      <w:r>
        <w:rPr>
          <w:rFonts w:hint="eastAsia" w:ascii="宋体" w:hAnsi="宋体" w:eastAsia="宋体" w:cs="宋体"/>
          <w:spacing w:val="37"/>
          <w:u w:val="single" w:color="auto"/>
        </w:rPr>
        <w:t xml:space="preserve"> </w:t>
      </w:r>
      <w:r>
        <w:rPr>
          <w:rFonts w:hint="eastAsia" w:ascii="宋体" w:hAnsi="宋体" w:eastAsia="宋体" w:cs="宋体"/>
          <w:spacing w:val="-28"/>
          <w:u w:val="single" w:color="auto"/>
        </w:rPr>
        <w:t xml:space="preserve">） </w:t>
      </w:r>
      <w:r>
        <w:rPr>
          <w:rFonts w:hint="eastAsia" w:ascii="宋体" w:hAnsi="宋体" w:eastAsia="宋体" w:cs="宋体"/>
          <w:spacing w:val="-94"/>
        </w:rPr>
        <w:t xml:space="preserve"> </w:t>
      </w:r>
      <w:r>
        <w:rPr>
          <w:rFonts w:hint="eastAsia" w:ascii="宋体" w:hAnsi="宋体" w:eastAsia="宋体" w:cs="宋体"/>
          <w:spacing w:val="-28"/>
        </w:rPr>
        <w:t>系</w:t>
      </w:r>
      <w:r>
        <w:rPr>
          <w:rFonts w:hint="eastAsia" w:ascii="宋体" w:hAnsi="宋体" w:eastAsia="宋体" w:cs="宋体"/>
          <w:spacing w:val="49"/>
        </w:rPr>
        <w:t xml:space="preserve"> </w:t>
      </w:r>
      <w:r>
        <w:rPr>
          <w:rFonts w:hint="eastAsia" w:ascii="宋体" w:hAnsi="宋体" w:eastAsia="宋体" w:cs="宋体"/>
          <w:spacing w:val="-28"/>
        </w:rPr>
        <w:t>中</w:t>
      </w:r>
      <w:r>
        <w:rPr>
          <w:rFonts w:hint="eastAsia" w:ascii="宋体" w:hAnsi="宋体" w:eastAsia="宋体" w:cs="宋体"/>
          <w:spacing w:val="28"/>
        </w:rPr>
        <w:t xml:space="preserve"> </w:t>
      </w:r>
      <w:r>
        <w:rPr>
          <w:rFonts w:hint="eastAsia" w:ascii="宋体" w:hAnsi="宋体" w:eastAsia="宋体" w:cs="宋体"/>
          <w:spacing w:val="-28"/>
        </w:rPr>
        <w:t>华</w:t>
      </w:r>
      <w:r>
        <w:rPr>
          <w:rFonts w:hint="eastAsia" w:ascii="宋体" w:hAnsi="宋体" w:eastAsia="宋体" w:cs="宋体"/>
          <w:spacing w:val="22"/>
        </w:rPr>
        <w:t xml:space="preserve"> </w:t>
      </w:r>
      <w:r>
        <w:rPr>
          <w:rFonts w:hint="eastAsia" w:ascii="宋体" w:hAnsi="宋体" w:eastAsia="宋体" w:cs="宋体"/>
          <w:spacing w:val="-28"/>
        </w:rPr>
        <w:t>人</w:t>
      </w:r>
      <w:r>
        <w:rPr>
          <w:rFonts w:hint="eastAsia" w:ascii="宋体" w:hAnsi="宋体" w:eastAsia="宋体" w:cs="宋体"/>
          <w:spacing w:val="49"/>
        </w:rPr>
        <w:t xml:space="preserve"> </w:t>
      </w:r>
      <w:r>
        <w:rPr>
          <w:rFonts w:hint="eastAsia" w:ascii="宋体" w:hAnsi="宋体" w:eastAsia="宋体" w:cs="宋体"/>
          <w:spacing w:val="-28"/>
        </w:rPr>
        <w:t>民</w:t>
      </w:r>
      <w:r>
        <w:rPr>
          <w:rFonts w:hint="eastAsia" w:ascii="宋体" w:hAnsi="宋体" w:eastAsia="宋体" w:cs="宋体"/>
          <w:spacing w:val="27"/>
        </w:rPr>
        <w:t xml:space="preserve"> </w:t>
      </w:r>
      <w:r>
        <w:rPr>
          <w:rFonts w:hint="eastAsia" w:ascii="宋体" w:hAnsi="宋体" w:eastAsia="宋体" w:cs="宋体"/>
          <w:spacing w:val="-28"/>
        </w:rPr>
        <w:t>共</w:t>
      </w:r>
      <w:r>
        <w:rPr>
          <w:rFonts w:hint="eastAsia" w:ascii="宋体" w:hAnsi="宋体" w:eastAsia="宋体" w:cs="宋体"/>
          <w:spacing w:val="19"/>
        </w:rPr>
        <w:t xml:space="preserve"> </w:t>
      </w:r>
      <w:r>
        <w:rPr>
          <w:rFonts w:hint="eastAsia" w:ascii="宋体" w:hAnsi="宋体" w:eastAsia="宋体" w:cs="宋体"/>
          <w:spacing w:val="-28"/>
        </w:rPr>
        <w:t>和</w:t>
      </w:r>
      <w:r>
        <w:rPr>
          <w:rFonts w:hint="eastAsia" w:ascii="宋体" w:hAnsi="宋体" w:eastAsia="宋体" w:cs="宋体"/>
          <w:spacing w:val="45"/>
        </w:rPr>
        <w:t xml:space="preserve"> </w:t>
      </w:r>
      <w:r>
        <w:rPr>
          <w:rFonts w:hint="eastAsia" w:ascii="宋体" w:hAnsi="宋体" w:eastAsia="宋体" w:cs="宋体"/>
          <w:spacing w:val="-28"/>
        </w:rPr>
        <w:t>国</w:t>
      </w:r>
      <w:r>
        <w:rPr>
          <w:rFonts w:hint="eastAsia" w:ascii="宋体" w:hAnsi="宋体" w:eastAsia="宋体" w:cs="宋体"/>
          <w:spacing w:val="25"/>
        </w:rPr>
        <w:t xml:space="preserve"> </w:t>
      </w:r>
      <w:r>
        <w:rPr>
          <w:rFonts w:hint="eastAsia" w:ascii="宋体" w:hAnsi="宋体" w:eastAsia="宋体" w:cs="宋体"/>
          <w:spacing w:val="-28"/>
        </w:rPr>
        <w:t>合</w:t>
      </w:r>
      <w:r>
        <w:rPr>
          <w:rFonts w:hint="eastAsia" w:ascii="宋体" w:hAnsi="宋体" w:eastAsia="宋体" w:cs="宋体"/>
          <w:spacing w:val="29"/>
        </w:rPr>
        <w:t xml:space="preserve"> </w:t>
      </w:r>
      <w:r>
        <w:rPr>
          <w:rFonts w:hint="eastAsia" w:ascii="宋体" w:hAnsi="宋体" w:eastAsia="宋体" w:cs="宋体"/>
          <w:spacing w:val="-28"/>
        </w:rPr>
        <w:t>法</w:t>
      </w:r>
      <w:r>
        <w:rPr>
          <w:rFonts w:hint="eastAsia" w:ascii="宋体" w:hAnsi="宋体" w:eastAsia="宋体" w:cs="宋体"/>
          <w:spacing w:val="19"/>
        </w:rPr>
        <w:t xml:space="preserve"> </w:t>
      </w:r>
      <w:r>
        <w:rPr>
          <w:rFonts w:hint="eastAsia" w:ascii="宋体" w:hAnsi="宋体" w:eastAsia="宋体" w:cs="宋体"/>
          <w:spacing w:val="-28"/>
        </w:rPr>
        <w:t>供</w:t>
      </w:r>
      <w:r>
        <w:rPr>
          <w:rFonts w:hint="eastAsia" w:ascii="宋体" w:hAnsi="宋体" w:eastAsia="宋体" w:cs="宋体"/>
          <w:spacing w:val="18"/>
        </w:rPr>
        <w:t xml:space="preserve"> </w:t>
      </w:r>
      <w:r>
        <w:rPr>
          <w:rFonts w:hint="eastAsia" w:ascii="宋体" w:hAnsi="宋体" w:eastAsia="宋体" w:cs="宋体"/>
          <w:spacing w:val="-28"/>
        </w:rPr>
        <w:t>应</w:t>
      </w:r>
      <w:r>
        <w:rPr>
          <w:rFonts w:hint="eastAsia" w:ascii="宋体" w:hAnsi="宋体" w:eastAsia="宋体" w:cs="宋体"/>
          <w:spacing w:val="29"/>
        </w:rPr>
        <w:t xml:space="preserve"> </w:t>
      </w:r>
      <w:r>
        <w:rPr>
          <w:rFonts w:hint="eastAsia" w:ascii="宋体" w:hAnsi="宋体" w:eastAsia="宋体" w:cs="宋体"/>
          <w:spacing w:val="-28"/>
        </w:rPr>
        <w:t>商</w:t>
      </w:r>
      <w:r>
        <w:rPr>
          <w:rFonts w:hint="eastAsia" w:ascii="宋体" w:hAnsi="宋体" w:eastAsia="宋体" w:cs="宋体"/>
          <w:spacing w:val="35"/>
        </w:rPr>
        <w:t xml:space="preserve"> </w:t>
      </w:r>
      <w:r>
        <w:rPr>
          <w:rFonts w:hint="eastAsia" w:ascii="宋体" w:hAnsi="宋体" w:eastAsia="宋体" w:cs="宋体"/>
          <w:spacing w:val="-28"/>
        </w:rPr>
        <w:t>，</w:t>
      </w:r>
      <w:r>
        <w:rPr>
          <w:rFonts w:hint="eastAsia" w:ascii="宋体" w:hAnsi="宋体" w:eastAsia="宋体" w:cs="宋体"/>
          <w:spacing w:val="19"/>
        </w:rPr>
        <w:t xml:space="preserve"> </w:t>
      </w:r>
      <w:r>
        <w:rPr>
          <w:rFonts w:hint="eastAsia" w:ascii="宋体" w:hAnsi="宋体" w:eastAsia="宋体" w:cs="宋体"/>
          <w:spacing w:val="-28"/>
        </w:rPr>
        <w:t>经</w:t>
      </w:r>
      <w:r>
        <w:rPr>
          <w:rFonts w:hint="eastAsia" w:ascii="宋体" w:hAnsi="宋体" w:eastAsia="宋体" w:cs="宋体"/>
          <w:spacing w:val="27"/>
        </w:rPr>
        <w:t xml:space="preserve"> </w:t>
      </w:r>
      <w:r>
        <w:rPr>
          <w:rFonts w:hint="eastAsia" w:ascii="宋体" w:hAnsi="宋体" w:eastAsia="宋体" w:cs="宋体"/>
          <w:spacing w:val="-28"/>
        </w:rPr>
        <w:t>营</w:t>
      </w:r>
      <w:r>
        <w:rPr>
          <w:rFonts w:hint="eastAsia" w:ascii="宋体" w:hAnsi="宋体" w:eastAsia="宋体" w:cs="宋体"/>
          <w:spacing w:val="19"/>
        </w:rPr>
        <w:t xml:space="preserve"> </w:t>
      </w:r>
      <w:r>
        <w:rPr>
          <w:rFonts w:hint="eastAsia" w:ascii="宋体" w:hAnsi="宋体" w:eastAsia="宋体" w:cs="宋体"/>
          <w:spacing w:val="-24"/>
        </w:rPr>
        <w:t>地</w:t>
      </w:r>
      <w:r>
        <w:rPr>
          <w:rFonts w:hint="eastAsia" w:ascii="宋体" w:hAnsi="宋体" w:eastAsia="宋体" w:cs="宋体"/>
          <w:spacing w:val="-11"/>
        </w:rPr>
        <w:t>址</w:t>
      </w:r>
      <w:r>
        <w:rPr>
          <w:rFonts w:hint="eastAsia" w:ascii="宋体" w:hAnsi="宋体" w:eastAsia="宋体" w:cs="宋体"/>
          <w:spacing w:val="4"/>
          <w:u w:val="single" w:color="auto"/>
        </w:rPr>
        <w:t xml:space="preserve">                             </w:t>
      </w:r>
      <w:r>
        <w:rPr>
          <w:rFonts w:hint="eastAsia" w:ascii="宋体" w:hAnsi="宋体" w:eastAsia="宋体" w:cs="宋体"/>
          <w:spacing w:val="-11"/>
        </w:rPr>
        <w:t>。</w:t>
      </w:r>
    </w:p>
    <w:p w14:paraId="760AEC71">
      <w:pPr>
        <w:pStyle w:val="3"/>
        <w:shd w:val="clear"/>
        <w:spacing w:before="2" w:line="359" w:lineRule="auto"/>
        <w:ind w:left="4" w:right="4" w:firstLine="484"/>
        <w:rPr>
          <w:rFonts w:hint="eastAsia" w:ascii="宋体" w:hAnsi="宋体" w:eastAsia="宋体" w:cs="宋体"/>
        </w:rPr>
      </w:pPr>
      <w:r>
        <w:rPr>
          <w:rFonts w:hint="eastAsia" w:ascii="宋体" w:hAnsi="宋体" w:eastAsia="宋体" w:cs="宋体"/>
          <w:spacing w:val="-2"/>
        </w:rPr>
        <w:t>我方愿意参加贵方组织的</w:t>
      </w:r>
      <w:r>
        <w:rPr>
          <w:rFonts w:hint="eastAsia" w:ascii="宋体" w:hAnsi="宋体" w:eastAsia="宋体" w:cs="宋体"/>
          <w:spacing w:val="-2"/>
          <w:u w:val="single" w:color="auto"/>
        </w:rPr>
        <w:t>（项目名称）</w:t>
      </w:r>
      <w:r>
        <w:rPr>
          <w:rFonts w:hint="eastAsia" w:ascii="宋体" w:hAnsi="宋体" w:eastAsia="宋体" w:cs="宋体"/>
          <w:spacing w:val="-2"/>
        </w:rPr>
        <w:t>项目的竞标，为便于贵方公正、择优地</w:t>
      </w:r>
      <w:r>
        <w:rPr>
          <w:rFonts w:hint="eastAsia" w:ascii="宋体" w:hAnsi="宋体" w:eastAsia="宋体" w:cs="宋体"/>
          <w:spacing w:val="-3"/>
        </w:rPr>
        <w:t>确定</w:t>
      </w:r>
      <w:r>
        <w:rPr>
          <w:rFonts w:hint="eastAsia" w:ascii="宋体" w:hAnsi="宋体" w:eastAsia="宋体" w:cs="宋体"/>
          <w:spacing w:val="-1"/>
        </w:rPr>
        <w:t>成交供应商及其竞标产品和服务，我方就本次竞标有关事项郑重声明如下：</w:t>
      </w:r>
    </w:p>
    <w:p w14:paraId="237B862D">
      <w:pPr>
        <w:pStyle w:val="3"/>
        <w:shd w:val="clear"/>
        <w:spacing w:line="220" w:lineRule="auto"/>
        <w:ind w:left="491"/>
        <w:rPr>
          <w:rFonts w:hint="eastAsia" w:ascii="宋体" w:hAnsi="宋体" w:eastAsia="宋体" w:cs="宋体"/>
        </w:rPr>
      </w:pPr>
      <w:r>
        <w:rPr>
          <w:rFonts w:hint="eastAsia" w:ascii="宋体" w:hAnsi="宋体" w:eastAsia="宋体" w:cs="宋体"/>
          <w:spacing w:val="-1"/>
        </w:rPr>
        <w:t>1.我方向贵方提交的所有响应文件、资料都是准确的和真实的。</w:t>
      </w:r>
    </w:p>
    <w:p w14:paraId="1DF9F1D8">
      <w:pPr>
        <w:pStyle w:val="3"/>
        <w:shd w:val="clear"/>
        <w:spacing w:before="182" w:line="360" w:lineRule="auto"/>
        <w:ind w:right="4" w:firstLine="476"/>
        <w:rPr>
          <w:rFonts w:hint="eastAsia" w:ascii="宋体" w:hAnsi="宋体" w:eastAsia="宋体" w:cs="宋体"/>
        </w:rPr>
      </w:pPr>
      <w:r>
        <w:rPr>
          <w:rFonts w:hint="eastAsia" w:ascii="宋体" w:hAnsi="宋体" w:eastAsia="宋体" w:cs="宋体"/>
          <w:spacing w:val="-2"/>
        </w:rPr>
        <w:t>2.我方不是为本次采购项目提供整体设计、规范编制或者项目管理、监理、检测等</w:t>
      </w:r>
      <w:r>
        <w:rPr>
          <w:rFonts w:hint="eastAsia" w:ascii="宋体" w:hAnsi="宋体" w:eastAsia="宋体" w:cs="宋体"/>
          <w:spacing w:val="-3"/>
        </w:rPr>
        <w:t>服务的供应商。</w:t>
      </w:r>
    </w:p>
    <w:p w14:paraId="0D77530D">
      <w:pPr>
        <w:pStyle w:val="3"/>
        <w:shd w:val="clear"/>
        <w:spacing w:before="1" w:line="219" w:lineRule="auto"/>
        <w:ind w:left="478"/>
        <w:rPr>
          <w:rFonts w:hint="eastAsia" w:ascii="宋体" w:hAnsi="宋体" w:eastAsia="宋体" w:cs="宋体"/>
        </w:rPr>
      </w:pPr>
      <w:r>
        <w:rPr>
          <w:rFonts w:hint="eastAsia" w:ascii="宋体" w:hAnsi="宋体" w:eastAsia="宋体" w:cs="宋体"/>
          <w:spacing w:val="-1"/>
        </w:rPr>
        <w:t>3.在此，我方宣布同意如下：</w:t>
      </w:r>
    </w:p>
    <w:p w14:paraId="32EA0308">
      <w:pPr>
        <w:pStyle w:val="3"/>
        <w:shd w:val="clear"/>
        <w:spacing w:before="182" w:line="221" w:lineRule="auto"/>
        <w:ind w:left="485"/>
        <w:rPr>
          <w:rFonts w:hint="eastAsia" w:ascii="宋体" w:hAnsi="宋体" w:eastAsia="宋体" w:cs="宋体"/>
        </w:rPr>
      </w:pPr>
      <w:r>
        <w:rPr>
          <w:rFonts w:hint="eastAsia" w:ascii="宋体" w:hAnsi="宋体" w:eastAsia="宋体" w:cs="宋体"/>
          <w:spacing w:val="-1"/>
        </w:rPr>
        <w:t>（1）将按磋商文件的约定履行合同责任和义务；</w:t>
      </w:r>
    </w:p>
    <w:p w14:paraId="7D224F97">
      <w:pPr>
        <w:pStyle w:val="3"/>
        <w:shd w:val="clear"/>
        <w:spacing w:before="181" w:line="221" w:lineRule="auto"/>
        <w:ind w:left="485"/>
        <w:rPr>
          <w:rFonts w:hint="eastAsia" w:ascii="宋体" w:hAnsi="宋体" w:eastAsia="宋体" w:cs="宋体"/>
        </w:rPr>
      </w:pPr>
      <w:r>
        <w:rPr>
          <w:rFonts w:hint="eastAsia" w:ascii="宋体" w:hAnsi="宋体" w:eastAsia="宋体" w:cs="宋体"/>
          <w:spacing w:val="-1"/>
        </w:rPr>
        <w:t>（2）已详细审查全部磋商文件，包括澄清或者更正公告（如有</w:t>
      </w:r>
      <w:r>
        <w:rPr>
          <w:rFonts w:hint="eastAsia" w:ascii="宋体" w:hAnsi="宋体" w:eastAsia="宋体" w:cs="宋体"/>
          <w:spacing w:val="3"/>
        </w:rPr>
        <w:t>）；</w:t>
      </w:r>
    </w:p>
    <w:p w14:paraId="2A991F71">
      <w:pPr>
        <w:pStyle w:val="3"/>
        <w:shd w:val="clear"/>
        <w:spacing w:before="181" w:line="220" w:lineRule="auto"/>
        <w:ind w:left="485"/>
        <w:rPr>
          <w:rFonts w:hint="eastAsia" w:ascii="宋体" w:hAnsi="宋体" w:eastAsia="宋体" w:cs="宋体"/>
        </w:rPr>
      </w:pPr>
      <w:r>
        <w:rPr>
          <w:rFonts w:hint="eastAsia" w:ascii="宋体" w:hAnsi="宋体" w:eastAsia="宋体" w:cs="宋体"/>
          <w:spacing w:val="-1"/>
        </w:rPr>
        <w:t>（3）同意提供按照贵方可能要求的与磋商有关的一切数据或者资料；</w:t>
      </w:r>
    </w:p>
    <w:p w14:paraId="1C0F148F">
      <w:pPr>
        <w:pStyle w:val="3"/>
        <w:shd w:val="clear"/>
        <w:spacing w:before="182" w:line="222" w:lineRule="auto"/>
        <w:ind w:left="485"/>
        <w:rPr>
          <w:rFonts w:hint="eastAsia" w:ascii="宋体" w:hAnsi="宋体" w:eastAsia="宋体" w:cs="宋体"/>
        </w:rPr>
      </w:pPr>
      <w:r>
        <w:rPr>
          <w:rFonts w:hint="eastAsia" w:ascii="宋体" w:hAnsi="宋体" w:eastAsia="宋体" w:cs="宋体"/>
          <w:spacing w:val="-2"/>
        </w:rPr>
        <w:t>（4）响应磋商文件规定的竞标有效期。</w:t>
      </w:r>
    </w:p>
    <w:p w14:paraId="3E4AD0FB">
      <w:pPr>
        <w:pStyle w:val="3"/>
        <w:shd w:val="clear"/>
        <w:spacing w:before="179" w:line="221" w:lineRule="auto"/>
        <w:ind w:left="472"/>
        <w:rPr>
          <w:rFonts w:hint="eastAsia" w:ascii="宋体" w:hAnsi="宋体" w:eastAsia="宋体" w:cs="宋体"/>
        </w:rPr>
      </w:pPr>
      <w:r>
        <w:rPr>
          <w:rFonts w:hint="eastAsia" w:ascii="宋体" w:hAnsi="宋体" w:eastAsia="宋体" w:cs="宋体"/>
        </w:rPr>
        <w:t>4.我方承诺符合《中华人民共和国政府采购法</w:t>
      </w:r>
      <w:r>
        <w:rPr>
          <w:rFonts w:hint="eastAsia" w:ascii="宋体" w:hAnsi="宋体" w:eastAsia="宋体" w:cs="宋体"/>
          <w:spacing w:val="-1"/>
        </w:rPr>
        <w:t>》第二十二条规定：</w:t>
      </w:r>
    </w:p>
    <w:p w14:paraId="7391D20B">
      <w:pPr>
        <w:pStyle w:val="3"/>
        <w:shd w:val="clear"/>
        <w:spacing w:before="181" w:line="222" w:lineRule="auto"/>
        <w:ind w:left="485"/>
        <w:rPr>
          <w:rFonts w:hint="eastAsia" w:ascii="宋体" w:hAnsi="宋体" w:eastAsia="宋体" w:cs="宋体"/>
        </w:rPr>
      </w:pPr>
      <w:r>
        <w:rPr>
          <w:rFonts w:hint="eastAsia" w:ascii="宋体" w:hAnsi="宋体" w:eastAsia="宋体" w:cs="宋体"/>
          <w:spacing w:val="-2"/>
        </w:rPr>
        <w:t>（1）具有独立承担民事责任的能力；</w:t>
      </w:r>
    </w:p>
    <w:p w14:paraId="197DC542">
      <w:pPr>
        <w:pStyle w:val="3"/>
        <w:shd w:val="clear"/>
        <w:spacing w:before="179" w:line="222" w:lineRule="auto"/>
        <w:ind w:left="485"/>
        <w:rPr>
          <w:rFonts w:hint="eastAsia" w:ascii="宋体" w:hAnsi="宋体" w:eastAsia="宋体" w:cs="宋体"/>
        </w:rPr>
      </w:pPr>
      <w:r>
        <w:rPr>
          <w:rFonts w:hint="eastAsia" w:ascii="宋体" w:hAnsi="宋体" w:eastAsia="宋体" w:cs="宋体"/>
          <w:spacing w:val="-1"/>
        </w:rPr>
        <w:t>（2）具有良好的商业信誉和健全的财务会计制度；</w:t>
      </w:r>
    </w:p>
    <w:p w14:paraId="780C993C">
      <w:pPr>
        <w:pStyle w:val="3"/>
        <w:shd w:val="clear"/>
        <w:spacing w:before="180" w:line="221" w:lineRule="auto"/>
        <w:ind w:left="485"/>
        <w:rPr>
          <w:rFonts w:hint="eastAsia" w:ascii="宋体" w:hAnsi="宋体" w:eastAsia="宋体" w:cs="宋体"/>
        </w:rPr>
      </w:pPr>
      <w:r>
        <w:rPr>
          <w:rFonts w:hint="eastAsia" w:ascii="宋体" w:hAnsi="宋体" w:eastAsia="宋体" w:cs="宋体"/>
          <w:spacing w:val="-1"/>
        </w:rPr>
        <w:t>（3）具有履行合同所必需的设备和专业技术能力；</w:t>
      </w:r>
    </w:p>
    <w:p w14:paraId="6E7CE1C4">
      <w:pPr>
        <w:pStyle w:val="3"/>
        <w:shd w:val="clear"/>
        <w:spacing w:before="180" w:line="221" w:lineRule="auto"/>
        <w:ind w:left="485"/>
        <w:rPr>
          <w:rFonts w:hint="eastAsia" w:ascii="宋体" w:hAnsi="宋体" w:eastAsia="宋体" w:cs="宋体"/>
        </w:rPr>
      </w:pPr>
      <w:r>
        <w:rPr>
          <w:rFonts w:hint="eastAsia" w:ascii="宋体" w:hAnsi="宋体" w:eastAsia="宋体" w:cs="宋体"/>
          <w:spacing w:val="-1"/>
        </w:rPr>
        <w:t>（4）有依法缴纳税收和社会保障资金的良好记录；</w:t>
      </w:r>
    </w:p>
    <w:p w14:paraId="30C031EE">
      <w:pPr>
        <w:pStyle w:val="3"/>
        <w:shd w:val="clear"/>
        <w:spacing w:before="182" w:line="219" w:lineRule="auto"/>
        <w:ind w:left="485"/>
        <w:rPr>
          <w:rFonts w:hint="eastAsia" w:ascii="宋体" w:hAnsi="宋体" w:eastAsia="宋体" w:cs="宋体"/>
        </w:rPr>
      </w:pPr>
      <w:r>
        <w:rPr>
          <w:rFonts w:hint="eastAsia" w:ascii="宋体" w:hAnsi="宋体" w:eastAsia="宋体" w:cs="宋体"/>
          <w:spacing w:val="-1"/>
        </w:rPr>
        <w:t>（5）参加政府采购活动前三年内，在经营活动中没有重大违法记录；</w:t>
      </w:r>
    </w:p>
    <w:p w14:paraId="69E4DDEE">
      <w:pPr>
        <w:pStyle w:val="3"/>
        <w:shd w:val="clear"/>
        <w:spacing w:before="182" w:line="221" w:lineRule="auto"/>
        <w:ind w:left="485"/>
        <w:rPr>
          <w:rFonts w:hint="eastAsia" w:ascii="宋体" w:hAnsi="宋体" w:eastAsia="宋体" w:cs="宋体"/>
        </w:rPr>
      </w:pPr>
      <w:r>
        <w:rPr>
          <w:rFonts w:hint="eastAsia" w:ascii="宋体" w:hAnsi="宋体" w:eastAsia="宋体" w:cs="宋体"/>
          <w:spacing w:val="-2"/>
        </w:rPr>
        <w:t>（6）法律、行政法规规定的其他条件。</w:t>
      </w:r>
    </w:p>
    <w:p w14:paraId="5A5ADE04">
      <w:pPr>
        <w:pStyle w:val="3"/>
        <w:shd w:val="clear"/>
        <w:spacing w:before="181" w:line="360" w:lineRule="auto"/>
        <w:ind w:left="2" w:firstLine="475"/>
        <w:rPr>
          <w:rFonts w:hint="eastAsia" w:ascii="宋体" w:hAnsi="宋体" w:eastAsia="宋体" w:cs="宋体"/>
        </w:rPr>
      </w:pPr>
      <w:r>
        <w:rPr>
          <w:rFonts w:hint="eastAsia" w:ascii="宋体" w:hAnsi="宋体" w:eastAsia="宋体" w:cs="宋体"/>
          <w:spacing w:val="-2"/>
        </w:rPr>
        <w:t>5.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eastAsia="宋体" w:cs="宋体"/>
          <w:spacing w:val="2"/>
        </w:rPr>
        <w:t>），</w:t>
      </w:r>
      <w:r>
        <w:rPr>
          <w:rFonts w:hint="eastAsia" w:ascii="宋体" w:hAnsi="宋体" w:eastAsia="宋体" w:cs="宋体"/>
          <w:spacing w:val="-2"/>
        </w:rPr>
        <w:t>未被列入失信被执行人、重大税收违法案件当事人名单、政府采购严重违法失信行为记录名单，完全符合《中华人民共和</w:t>
      </w:r>
      <w:r>
        <w:rPr>
          <w:rFonts w:hint="eastAsia" w:ascii="宋体" w:hAnsi="宋体" w:eastAsia="宋体" w:cs="宋体"/>
          <w:spacing w:val="-1"/>
        </w:rPr>
        <w:t>国政府采购法》第二十二条规定的供应商资格条件，我方对此声明负全部法律责任。</w:t>
      </w:r>
    </w:p>
    <w:p w14:paraId="2C9E05FA">
      <w:pPr>
        <w:pStyle w:val="3"/>
        <w:shd w:val="clear"/>
        <w:spacing w:before="4" w:line="359" w:lineRule="auto"/>
        <w:ind w:left="2" w:right="4" w:firstLine="472"/>
        <w:rPr>
          <w:rFonts w:hint="eastAsia" w:ascii="宋体" w:hAnsi="宋体" w:eastAsia="宋体" w:cs="宋体"/>
        </w:rPr>
      </w:pPr>
      <w:r>
        <w:rPr>
          <w:rFonts w:hint="eastAsia" w:ascii="宋体" w:hAnsi="宋体" w:eastAsia="宋体" w:cs="宋体"/>
          <w:spacing w:val="-2"/>
        </w:rPr>
        <w:t>6.根据《中华人民共和国政府采购法实施条例》第五十条要求对政府采购合同进行公告，但政府采购合同中涉及国家秘密、商业秘密的内容除外。我方就对本次响应文件</w:t>
      </w:r>
      <w:r>
        <w:rPr>
          <w:rFonts w:hint="eastAsia" w:ascii="宋体" w:hAnsi="宋体" w:eastAsia="宋体" w:cs="宋体"/>
        </w:rPr>
        <w:t>进行注明如下</w:t>
      </w:r>
      <w:r>
        <w:rPr>
          <w:rFonts w:hint="eastAsia" w:ascii="宋体" w:hAnsi="宋体" w:eastAsia="宋体" w:cs="宋体"/>
          <w:spacing w:val="-10"/>
        </w:rPr>
        <w:t>：（</w:t>
      </w:r>
      <w:r>
        <w:rPr>
          <w:rFonts w:hint="eastAsia" w:ascii="宋体" w:hAnsi="宋体" w:eastAsia="宋体" w:cs="宋体"/>
        </w:rPr>
        <w:t>两项内容中必须选择一项）</w:t>
      </w:r>
    </w:p>
    <w:p w14:paraId="192B8720">
      <w:pPr>
        <w:shd w:val="clear"/>
        <w:spacing w:line="359" w:lineRule="auto"/>
        <w:rPr>
          <w:rFonts w:hint="eastAsia" w:ascii="宋体" w:hAnsi="宋体" w:eastAsia="宋体" w:cs="宋体"/>
        </w:rPr>
        <w:sectPr>
          <w:footerReference r:id="rId20" w:type="default"/>
          <w:pgSz w:w="11906" w:h="16839"/>
          <w:pgMar w:top="1440" w:right="1080" w:bottom="1440" w:left="1080" w:header="0" w:footer="1200" w:gutter="0"/>
          <w:pgNumType w:fmt="decimal"/>
          <w:cols w:space="720" w:num="1"/>
        </w:sectPr>
      </w:pPr>
    </w:p>
    <w:p w14:paraId="68311DB2">
      <w:pPr>
        <w:shd w:val="clear"/>
        <w:spacing w:line="267" w:lineRule="auto"/>
        <w:rPr>
          <w:rFonts w:hint="eastAsia" w:ascii="宋体" w:hAnsi="宋体" w:eastAsia="宋体" w:cs="宋体"/>
          <w:sz w:val="21"/>
        </w:rPr>
      </w:pPr>
    </w:p>
    <w:p w14:paraId="204388B3">
      <w:pPr>
        <w:shd w:val="clear"/>
        <w:spacing w:line="267" w:lineRule="auto"/>
        <w:rPr>
          <w:rFonts w:hint="eastAsia" w:ascii="宋体" w:hAnsi="宋体" w:eastAsia="宋体" w:cs="宋体"/>
          <w:sz w:val="21"/>
        </w:rPr>
      </w:pPr>
    </w:p>
    <w:p w14:paraId="3874FC7F">
      <w:pPr>
        <w:shd w:val="clear"/>
        <w:spacing w:line="267" w:lineRule="auto"/>
        <w:rPr>
          <w:rFonts w:hint="eastAsia" w:ascii="宋体" w:hAnsi="宋体" w:eastAsia="宋体" w:cs="宋体"/>
          <w:sz w:val="21"/>
        </w:rPr>
      </w:pPr>
    </w:p>
    <w:p w14:paraId="2E213438">
      <w:pPr>
        <w:shd w:val="clear"/>
        <w:spacing w:line="268" w:lineRule="auto"/>
        <w:rPr>
          <w:rFonts w:hint="eastAsia" w:ascii="宋体" w:hAnsi="宋体" w:eastAsia="宋体" w:cs="宋体"/>
          <w:sz w:val="21"/>
        </w:rPr>
      </w:pPr>
    </w:p>
    <w:p w14:paraId="0178EFC4">
      <w:pPr>
        <w:pStyle w:val="3"/>
        <w:shd w:val="clear"/>
        <w:spacing w:before="78" w:line="222" w:lineRule="auto"/>
        <w:ind w:left="494"/>
        <w:rPr>
          <w:rFonts w:hint="eastAsia" w:ascii="宋体" w:hAnsi="宋体" w:eastAsia="宋体" w:cs="宋体"/>
        </w:rPr>
      </w:pPr>
      <w:r>
        <w:rPr>
          <w:rFonts w:hint="eastAsia" w:ascii="宋体" w:hAnsi="宋体" w:eastAsia="宋体" w:cs="宋体"/>
          <w:spacing w:val="-2"/>
        </w:rPr>
        <w:t>□我方本次响应文件内容中未涉及商业秘密；</w:t>
      </w:r>
    </w:p>
    <w:p w14:paraId="72E07324">
      <w:pPr>
        <w:pStyle w:val="3"/>
        <w:shd w:val="clear"/>
        <w:spacing w:before="179" w:line="222" w:lineRule="auto"/>
        <w:ind w:left="494"/>
        <w:rPr>
          <w:rFonts w:hint="eastAsia" w:ascii="宋体" w:hAnsi="宋体" w:eastAsia="宋体" w:cs="宋体"/>
        </w:rPr>
      </w:pPr>
      <w:r>
        <w:rPr>
          <w:rFonts w:hint="eastAsia" w:ascii="宋体" w:hAnsi="宋体" w:eastAsia="宋体" w:cs="宋体"/>
          <w:spacing w:val="-2"/>
        </w:rPr>
        <w:t>□我方本次响应文件涉及商业秘密的内容有</w:t>
      </w:r>
      <w:r>
        <w:rPr>
          <w:rFonts w:hint="eastAsia" w:ascii="宋体" w:hAnsi="宋体" w:eastAsia="宋体" w:cs="宋体"/>
          <w:spacing w:val="1"/>
        </w:rPr>
        <w:t>：</w:t>
      </w:r>
      <w:r>
        <w:rPr>
          <w:rFonts w:hint="eastAsia" w:ascii="宋体" w:hAnsi="宋体" w:eastAsia="宋体" w:cs="宋体"/>
          <w:u w:val="single" w:color="auto"/>
        </w:rPr>
        <w:t xml:space="preserve">                         </w:t>
      </w:r>
      <w:r>
        <w:rPr>
          <w:rFonts w:hint="eastAsia" w:ascii="宋体" w:hAnsi="宋体" w:eastAsia="宋体" w:cs="宋体"/>
          <w:spacing w:val="1"/>
        </w:rPr>
        <w:t>；</w:t>
      </w:r>
    </w:p>
    <w:p w14:paraId="1D1D9E9F">
      <w:pPr>
        <w:pStyle w:val="3"/>
        <w:shd w:val="clear"/>
        <w:spacing w:before="179" w:line="220" w:lineRule="auto"/>
        <w:ind w:left="474"/>
        <w:rPr>
          <w:rFonts w:hint="eastAsia" w:ascii="宋体" w:hAnsi="宋体" w:eastAsia="宋体" w:cs="宋体"/>
        </w:rPr>
      </w:pPr>
      <w:r>
        <w:rPr>
          <w:rFonts w:hint="eastAsia" w:ascii="宋体" w:hAnsi="宋体" w:eastAsia="宋体" w:cs="宋体"/>
          <w:spacing w:val="-2"/>
        </w:rPr>
        <w:t>7.与本磋商有关的一切正式往来信函请寄：</w:t>
      </w:r>
      <w:r>
        <w:rPr>
          <w:rFonts w:hint="eastAsia" w:ascii="宋体" w:hAnsi="宋体" w:eastAsia="宋体" w:cs="宋体"/>
          <w:spacing w:val="-2"/>
          <w:u w:val="single" w:color="auto"/>
        </w:rPr>
        <w:t xml:space="preserve">                  </w:t>
      </w:r>
      <w:r>
        <w:rPr>
          <w:rFonts w:hint="eastAsia" w:ascii="宋体" w:hAnsi="宋体" w:eastAsia="宋体" w:cs="宋体"/>
          <w:spacing w:val="-86"/>
        </w:rPr>
        <w:t xml:space="preserve"> </w:t>
      </w:r>
      <w:r>
        <w:rPr>
          <w:rFonts w:hint="eastAsia" w:ascii="宋体" w:hAnsi="宋体" w:eastAsia="宋体" w:cs="宋体"/>
          <w:spacing w:val="-2"/>
        </w:rPr>
        <w:t>邮政编号：</w:t>
      </w:r>
      <w:r>
        <w:rPr>
          <w:rFonts w:hint="eastAsia" w:ascii="宋体" w:hAnsi="宋体" w:eastAsia="宋体" w:cs="宋体"/>
          <w:spacing w:val="-2"/>
          <w:u w:val="single" w:color="auto"/>
        </w:rPr>
        <w:t xml:space="preserve">      </w:t>
      </w:r>
    </w:p>
    <w:p w14:paraId="7B416ED8">
      <w:pPr>
        <w:pStyle w:val="3"/>
        <w:shd w:val="clear"/>
        <w:spacing w:before="181" w:line="221" w:lineRule="auto"/>
        <w:ind w:left="502"/>
        <w:rPr>
          <w:rFonts w:hint="eastAsia" w:ascii="宋体" w:hAnsi="宋体" w:eastAsia="宋体" w:cs="宋体"/>
        </w:rPr>
      </w:pPr>
      <w:r>
        <w:rPr>
          <w:rFonts w:hint="eastAsia" w:ascii="宋体" w:hAnsi="宋体" w:eastAsia="宋体" w:cs="宋体"/>
          <w:spacing w:val="-8"/>
        </w:rPr>
        <w:t>电话/传真：</w:t>
      </w:r>
      <w:r>
        <w:rPr>
          <w:rFonts w:hint="eastAsia" w:ascii="宋体" w:hAnsi="宋体" w:eastAsia="宋体" w:cs="宋体"/>
          <w:u w:val="single" w:color="auto"/>
        </w:rPr>
        <w:t xml:space="preserve">                        </w:t>
      </w:r>
      <w:r>
        <w:rPr>
          <w:rFonts w:hint="eastAsia" w:ascii="宋体" w:hAnsi="宋体" w:eastAsia="宋体" w:cs="宋体"/>
          <w:spacing w:val="44"/>
        </w:rPr>
        <w:t xml:space="preserve"> </w:t>
      </w:r>
      <w:r>
        <w:rPr>
          <w:rFonts w:hint="eastAsia" w:ascii="宋体" w:hAnsi="宋体" w:eastAsia="宋体" w:cs="宋体"/>
          <w:spacing w:val="-8"/>
        </w:rPr>
        <w:t>电子邮箱：</w:t>
      </w:r>
      <w:r>
        <w:rPr>
          <w:rFonts w:hint="eastAsia" w:ascii="宋体" w:hAnsi="宋体" w:eastAsia="宋体" w:cs="宋体"/>
          <w:u w:val="single" w:color="auto"/>
        </w:rPr>
        <w:t xml:space="preserve">                          </w:t>
      </w:r>
    </w:p>
    <w:p w14:paraId="21B135F3">
      <w:pPr>
        <w:pStyle w:val="3"/>
        <w:shd w:val="clear"/>
        <w:spacing w:before="180" w:line="221" w:lineRule="auto"/>
        <w:ind w:left="497"/>
        <w:rPr>
          <w:rFonts w:hint="eastAsia" w:ascii="宋体" w:hAnsi="宋体" w:eastAsia="宋体" w:cs="宋体"/>
        </w:rPr>
      </w:pPr>
      <w:r>
        <w:rPr>
          <w:rFonts w:hint="eastAsia" w:ascii="宋体" w:hAnsi="宋体" w:eastAsia="宋体" w:cs="宋体"/>
          <w:spacing w:val="-2"/>
        </w:rPr>
        <w:t>开户银行：</w:t>
      </w:r>
      <w:r>
        <w:rPr>
          <w:rFonts w:hint="eastAsia" w:ascii="宋体" w:hAnsi="宋体" w:eastAsia="宋体" w:cs="宋体"/>
          <w:spacing w:val="5"/>
          <w:u w:val="single" w:color="auto"/>
        </w:rPr>
        <w:t xml:space="preserve">                        </w:t>
      </w:r>
      <w:r>
        <w:rPr>
          <w:rFonts w:hint="eastAsia" w:ascii="宋体" w:hAnsi="宋体" w:eastAsia="宋体" w:cs="宋体"/>
          <w:spacing w:val="-2"/>
        </w:rPr>
        <w:t xml:space="preserve">  账号：</w:t>
      </w:r>
      <w:r>
        <w:rPr>
          <w:rFonts w:hint="eastAsia" w:ascii="宋体" w:hAnsi="宋体" w:eastAsia="宋体" w:cs="宋体"/>
          <w:spacing w:val="-2"/>
          <w:u w:val="single" w:color="auto"/>
        </w:rPr>
        <w:t xml:space="preserve">                    </w:t>
      </w:r>
      <w:r>
        <w:rPr>
          <w:rFonts w:hint="eastAsia" w:ascii="宋体" w:hAnsi="宋体" w:eastAsia="宋体" w:cs="宋体"/>
          <w:spacing w:val="-3"/>
          <w:u w:val="single" w:color="auto"/>
        </w:rPr>
        <w:t xml:space="preserve">         </w:t>
      </w:r>
    </w:p>
    <w:p w14:paraId="665B797A">
      <w:pPr>
        <w:pStyle w:val="3"/>
        <w:shd w:val="clear"/>
        <w:spacing w:before="181" w:line="360" w:lineRule="auto"/>
        <w:ind w:firstLine="469"/>
        <w:rPr>
          <w:rFonts w:hint="eastAsia" w:ascii="宋体" w:hAnsi="宋体" w:eastAsia="宋体" w:cs="宋体"/>
        </w:rPr>
      </w:pPr>
      <w:r>
        <w:rPr>
          <w:rFonts w:hint="eastAsia" w:ascii="宋体" w:hAnsi="宋体" w:eastAsia="宋体" w:cs="宋体"/>
          <w:spacing w:val="-2"/>
        </w:rPr>
        <w:t>8.以上事项如有虚假或者隐瞒，我方愿意承担一切后果，并不再寻求任何旨在减轻或者免除法律责任的辩解。</w:t>
      </w:r>
    </w:p>
    <w:p w14:paraId="63DBE6C6">
      <w:pPr>
        <w:pStyle w:val="3"/>
        <w:shd w:val="clear"/>
        <w:spacing w:before="1" w:line="223" w:lineRule="auto"/>
        <w:ind w:left="497"/>
        <w:rPr>
          <w:rFonts w:hint="eastAsia" w:ascii="宋体" w:hAnsi="宋体" w:eastAsia="宋体" w:cs="宋体"/>
        </w:rPr>
      </w:pPr>
      <w:r>
        <w:rPr>
          <w:rFonts w:hint="eastAsia" w:ascii="宋体" w:hAnsi="宋体" w:eastAsia="宋体" w:cs="宋体"/>
          <w:spacing w:val="-4"/>
        </w:rPr>
        <w:t>特此承诺。</w:t>
      </w:r>
    </w:p>
    <w:p w14:paraId="25C893B9">
      <w:pPr>
        <w:pStyle w:val="3"/>
        <w:shd w:val="clear"/>
        <w:spacing w:before="177" w:line="361" w:lineRule="auto"/>
        <w:ind w:firstLine="2"/>
        <w:rPr>
          <w:rFonts w:hint="eastAsia" w:ascii="宋体" w:hAnsi="宋体" w:eastAsia="宋体" w:cs="宋体"/>
        </w:rPr>
      </w:pPr>
      <w:r>
        <w:rPr>
          <w:rFonts w:hint="eastAsia" w:ascii="宋体" w:hAnsi="宋体" w:eastAsia="宋体" w:cs="宋体"/>
          <w:b/>
          <w:bCs/>
          <w:spacing w:val="-4"/>
        </w:rPr>
        <w:t>注：如为联合体竞标，盖章处须加盖联合体牵头人</w:t>
      </w:r>
      <w:r>
        <w:rPr>
          <w:rFonts w:hint="eastAsia" w:ascii="宋体" w:hAnsi="宋体" w:eastAsia="宋体" w:cs="宋体"/>
          <w:b/>
          <w:bCs/>
          <w:spacing w:val="-5"/>
        </w:rPr>
        <w:t>电子签章并由联合体牵头人法定代表</w:t>
      </w:r>
      <w:r>
        <w:rPr>
          <w:rFonts w:hint="eastAsia" w:ascii="宋体" w:hAnsi="宋体" w:eastAsia="宋体" w:cs="宋体"/>
          <w:b/>
          <w:bCs/>
          <w:spacing w:val="-3"/>
        </w:rPr>
        <w:t>人分别签字或者盖章或者电子签名，否则响应文件按无效处理。</w:t>
      </w:r>
    </w:p>
    <w:p w14:paraId="7A8D28D5">
      <w:pPr>
        <w:shd w:val="clear"/>
        <w:spacing w:line="385" w:lineRule="auto"/>
        <w:rPr>
          <w:rFonts w:hint="eastAsia" w:ascii="宋体" w:hAnsi="宋体" w:eastAsia="宋体" w:cs="宋体"/>
          <w:sz w:val="21"/>
        </w:rPr>
      </w:pPr>
    </w:p>
    <w:p w14:paraId="4509E050">
      <w:pPr>
        <w:pStyle w:val="3"/>
        <w:shd w:val="clear"/>
        <w:spacing w:before="79" w:line="222" w:lineRule="auto"/>
        <w:ind w:left="1803"/>
        <w:rPr>
          <w:rFonts w:hint="eastAsia" w:ascii="宋体" w:hAnsi="宋体" w:eastAsia="宋体" w:cs="宋体"/>
        </w:rPr>
      </w:pPr>
      <w:r>
        <w:rPr>
          <w:rFonts w:hint="eastAsia" w:ascii="宋体" w:hAnsi="宋体" w:eastAsia="宋体" w:cs="宋体"/>
          <w:spacing w:val="-2"/>
        </w:rPr>
        <w:t>法定代表人（签字或者盖章或者电子签名</w:t>
      </w:r>
      <w:r>
        <w:rPr>
          <w:rFonts w:hint="eastAsia" w:ascii="宋体" w:hAnsi="宋体" w:eastAsia="宋体" w:cs="宋体"/>
          <w:spacing w:val="5"/>
        </w:rPr>
        <w:t>）：</w:t>
      </w:r>
      <w:r>
        <w:rPr>
          <w:rFonts w:hint="eastAsia" w:ascii="宋体" w:hAnsi="宋体" w:eastAsia="宋体" w:cs="宋体"/>
          <w:u w:val="single" w:color="auto"/>
        </w:rPr>
        <w:t xml:space="preserve">                </w:t>
      </w:r>
    </w:p>
    <w:p w14:paraId="4F017ABE">
      <w:pPr>
        <w:pStyle w:val="3"/>
        <w:shd w:val="clear"/>
        <w:spacing w:before="179" w:line="222" w:lineRule="auto"/>
        <w:ind w:left="4317"/>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3CDBB8D0">
      <w:pPr>
        <w:pStyle w:val="3"/>
        <w:shd w:val="clear"/>
        <w:spacing w:before="179" w:line="222" w:lineRule="auto"/>
        <w:ind w:left="720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13"/>
        </w:rPr>
        <w:t xml:space="preserve">  </w:t>
      </w:r>
      <w:r>
        <w:rPr>
          <w:rFonts w:hint="eastAsia" w:ascii="宋体" w:hAnsi="宋体" w:eastAsia="宋体" w:cs="宋体"/>
          <w:spacing w:val="-16"/>
        </w:rPr>
        <w:t>月</w:t>
      </w:r>
      <w:r>
        <w:rPr>
          <w:rFonts w:hint="eastAsia" w:ascii="宋体" w:hAnsi="宋体" w:eastAsia="宋体" w:cs="宋体"/>
          <w:spacing w:val="33"/>
        </w:rPr>
        <w:t xml:space="preserve">  </w:t>
      </w:r>
      <w:r>
        <w:rPr>
          <w:rFonts w:hint="eastAsia" w:ascii="宋体" w:hAnsi="宋体" w:eastAsia="宋体" w:cs="宋体"/>
          <w:spacing w:val="-16"/>
        </w:rPr>
        <w:t>日</w:t>
      </w:r>
    </w:p>
    <w:p w14:paraId="15FA3957">
      <w:pPr>
        <w:shd w:val="clear"/>
        <w:spacing w:line="222" w:lineRule="auto"/>
        <w:rPr>
          <w:rFonts w:hint="eastAsia" w:ascii="宋体" w:hAnsi="宋体" w:eastAsia="宋体" w:cs="宋体"/>
        </w:rPr>
        <w:sectPr>
          <w:footerReference r:id="rId21" w:type="default"/>
          <w:pgSz w:w="11906" w:h="16839"/>
          <w:pgMar w:top="1440" w:right="1080" w:bottom="1440" w:left="1080" w:header="0" w:footer="1200" w:gutter="0"/>
          <w:pgNumType w:fmt="decimal"/>
          <w:cols w:space="720" w:num="1"/>
        </w:sectPr>
      </w:pPr>
    </w:p>
    <w:p w14:paraId="0CB7D56A">
      <w:pPr>
        <w:pStyle w:val="3"/>
        <w:shd w:val="clear"/>
        <w:spacing w:before="139" w:line="226" w:lineRule="auto"/>
        <w:ind w:left="2787"/>
        <w:rPr>
          <w:rFonts w:hint="eastAsia" w:ascii="宋体" w:hAnsi="宋体" w:eastAsia="宋体" w:cs="宋体"/>
          <w:sz w:val="43"/>
          <w:szCs w:val="43"/>
        </w:rPr>
      </w:pPr>
      <w:r>
        <w:rPr>
          <w:rFonts w:hint="eastAsia" w:ascii="宋体" w:hAnsi="宋体" w:eastAsia="宋体" w:cs="宋体"/>
          <w:spacing w:val="6"/>
          <w:sz w:val="43"/>
          <w:szCs w:val="43"/>
        </w:rPr>
        <w:t>联合体竞标协议书</w:t>
      </w:r>
    </w:p>
    <w:p w14:paraId="22FF2B5B">
      <w:pPr>
        <w:shd w:val="clear"/>
        <w:spacing w:line="455" w:lineRule="auto"/>
        <w:rPr>
          <w:rFonts w:hint="eastAsia" w:ascii="宋体" w:hAnsi="宋体" w:eastAsia="宋体" w:cs="宋体"/>
          <w:sz w:val="21"/>
        </w:rPr>
      </w:pPr>
    </w:p>
    <w:p w14:paraId="2BD87129">
      <w:pPr>
        <w:pStyle w:val="3"/>
        <w:shd w:val="clear"/>
        <w:tabs>
          <w:tab w:val="left" w:pos="1185"/>
        </w:tabs>
        <w:spacing w:before="78" w:line="360" w:lineRule="auto"/>
        <w:ind w:left="7" w:right="12" w:firstLine="459"/>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3"/>
        </w:rPr>
        <w:t>（所有成员单位名称）</w:t>
      </w:r>
      <w:r>
        <w:rPr>
          <w:rFonts w:hint="eastAsia" w:ascii="宋体" w:hAnsi="宋体" w:eastAsia="宋体" w:cs="宋体"/>
          <w:spacing w:val="-38"/>
        </w:rPr>
        <w:t xml:space="preserve"> </w:t>
      </w:r>
      <w:r>
        <w:rPr>
          <w:rFonts w:hint="eastAsia" w:ascii="宋体" w:hAnsi="宋体" w:eastAsia="宋体" w:cs="宋体"/>
          <w:spacing w:val="3"/>
        </w:rPr>
        <w:t>自愿组成</w:t>
      </w:r>
      <w:r>
        <w:rPr>
          <w:rFonts w:hint="eastAsia" w:ascii="宋体" w:hAnsi="宋体" w:eastAsia="宋体" w:cs="宋体"/>
          <w:spacing w:val="-116"/>
        </w:rPr>
        <w:t xml:space="preserve"> </w:t>
      </w:r>
      <w:r>
        <w:rPr>
          <w:rFonts w:hint="eastAsia" w:ascii="宋体" w:hAnsi="宋体" w:eastAsia="宋体" w:cs="宋体"/>
          <w:spacing w:val="3"/>
          <w:u w:val="single" w:color="auto"/>
        </w:rPr>
        <w:t xml:space="preserve">      </w:t>
      </w:r>
      <w:r>
        <w:rPr>
          <w:rFonts w:hint="eastAsia" w:ascii="宋体" w:hAnsi="宋体" w:eastAsia="宋体" w:cs="宋体"/>
          <w:spacing w:val="3"/>
        </w:rPr>
        <w:t>（联合体名称）联合体，共同参加</w:t>
      </w:r>
      <w:r>
        <w:rPr>
          <w:rFonts w:hint="eastAsia" w:ascii="宋体" w:hAnsi="宋体" w:eastAsia="宋体" w:cs="宋体"/>
          <w:spacing w:val="-1"/>
        </w:rPr>
        <w:t>（项目名称）采购项目竞标。现就联合体竞标事宜订立如下协议。</w:t>
      </w:r>
    </w:p>
    <w:p w14:paraId="38B7A084">
      <w:pPr>
        <w:pStyle w:val="3"/>
        <w:shd w:val="clear"/>
        <w:spacing w:before="1" w:line="220" w:lineRule="auto"/>
        <w:ind w:left="492"/>
        <w:rPr>
          <w:rFonts w:hint="eastAsia" w:ascii="宋体" w:hAnsi="宋体" w:eastAsia="宋体" w:cs="宋体"/>
        </w:rPr>
      </w:pPr>
      <w:r>
        <w:rPr>
          <w:rFonts w:hint="eastAsia" w:ascii="宋体" w:hAnsi="宋体" w:eastAsia="宋体" w:cs="宋体"/>
          <w:spacing w:val="-1"/>
        </w:rPr>
        <w:t>1.</w:t>
      </w:r>
      <w:r>
        <w:rPr>
          <w:rFonts w:hint="eastAsia" w:ascii="宋体" w:hAnsi="宋体" w:eastAsia="宋体" w:cs="宋体"/>
          <w:spacing w:val="8"/>
          <w:u w:val="single" w:color="auto"/>
        </w:rPr>
        <w:t xml:space="preserve">       </w:t>
      </w:r>
      <w:r>
        <w:rPr>
          <w:rFonts w:hint="eastAsia" w:ascii="宋体" w:hAnsi="宋体" w:eastAsia="宋体" w:cs="宋体"/>
          <w:spacing w:val="-1"/>
        </w:rPr>
        <w:t>（某成员单位名称）为</w:t>
      </w:r>
      <w:r>
        <w:rPr>
          <w:rFonts w:hint="eastAsia" w:ascii="宋体" w:hAnsi="宋体" w:eastAsia="宋体" w:cs="宋体"/>
          <w:spacing w:val="-1"/>
          <w:u w:val="single" w:color="auto"/>
        </w:rPr>
        <w:t xml:space="preserve">     </w:t>
      </w:r>
      <w:r>
        <w:rPr>
          <w:rFonts w:hint="eastAsia" w:ascii="宋体" w:hAnsi="宋体" w:eastAsia="宋体" w:cs="宋体"/>
          <w:spacing w:val="-1"/>
        </w:rPr>
        <w:t>（联合体名称）牵头人。</w:t>
      </w:r>
    </w:p>
    <w:p w14:paraId="207CAF95">
      <w:pPr>
        <w:pStyle w:val="3"/>
        <w:shd w:val="clear"/>
        <w:spacing w:before="180" w:line="360" w:lineRule="auto"/>
        <w:ind w:left="3" w:right="12" w:firstLine="474"/>
        <w:rPr>
          <w:rFonts w:hint="eastAsia" w:ascii="宋体" w:hAnsi="宋体" w:eastAsia="宋体" w:cs="宋体"/>
        </w:rPr>
      </w:pPr>
      <w:r>
        <w:rPr>
          <w:rFonts w:hint="eastAsia" w:ascii="宋体" w:hAnsi="宋体" w:eastAsia="宋体" w:cs="宋体"/>
          <w:spacing w:val="-2"/>
        </w:rPr>
        <w:t>2.联合体各成员授权牵头人代表联合体参加竞标活动，签署文件及对文件的盖章，提交和接收相关的资料、信息及指示，进行合同磋商活动，负责合同实施阶段的组织和</w:t>
      </w:r>
      <w:r>
        <w:rPr>
          <w:rFonts w:hint="eastAsia" w:ascii="宋体" w:hAnsi="宋体" w:eastAsia="宋体" w:cs="宋体"/>
          <w:spacing w:val="-1"/>
        </w:rPr>
        <w:t>协调工作，以及处理与本竞标项目有关的一切事宜。</w:t>
      </w:r>
    </w:p>
    <w:p w14:paraId="4107FA38">
      <w:pPr>
        <w:pStyle w:val="3"/>
        <w:shd w:val="clear"/>
        <w:spacing w:line="360" w:lineRule="auto"/>
        <w:ind w:left="9" w:right="12" w:firstLine="470"/>
        <w:rPr>
          <w:rFonts w:hint="eastAsia" w:ascii="宋体" w:hAnsi="宋体" w:eastAsia="宋体" w:cs="宋体"/>
        </w:rPr>
      </w:pPr>
      <w:r>
        <w:rPr>
          <w:rFonts w:hint="eastAsia" w:ascii="宋体" w:hAnsi="宋体" w:eastAsia="宋体" w:cs="宋体"/>
          <w:spacing w:val="-2"/>
        </w:rPr>
        <w:t>3.联合体牵头人在本项目中签署和盖章的一切文件和处理的一切事宜，联合体各成员均予以承认。联合体各成员将严格按照磋商文件、响应文件和合同的要求全面履行义务，并向采购人承担连带责任。</w:t>
      </w:r>
    </w:p>
    <w:p w14:paraId="60BC9707">
      <w:pPr>
        <w:pStyle w:val="3"/>
        <w:shd w:val="clear"/>
        <w:spacing w:line="221" w:lineRule="auto"/>
        <w:ind w:left="474"/>
        <w:rPr>
          <w:rFonts w:hint="eastAsia" w:ascii="宋体" w:hAnsi="宋体" w:eastAsia="宋体" w:cs="宋体"/>
        </w:rPr>
      </w:pPr>
      <w:r>
        <w:rPr>
          <w:rFonts w:hint="eastAsia" w:ascii="宋体" w:hAnsi="宋体" w:eastAsia="宋体" w:cs="宋体"/>
        </w:rPr>
        <w:t>4.联合体各成员单位内部的职责分工如下</w:t>
      </w:r>
      <w:r>
        <w:rPr>
          <w:rFonts w:hint="eastAsia" w:ascii="宋体" w:hAnsi="宋体" w:eastAsia="宋体" w:cs="宋体"/>
          <w:spacing w:val="-1"/>
        </w:rPr>
        <w:t>：</w:t>
      </w:r>
      <w:r>
        <w:rPr>
          <w:rFonts w:hint="eastAsia" w:ascii="宋体" w:hAnsi="宋体" w:eastAsia="宋体" w:cs="宋体"/>
          <w:spacing w:val="-1"/>
          <w:u w:val="single" w:color="auto"/>
        </w:rPr>
        <w:t xml:space="preserve">       </w:t>
      </w:r>
      <w:r>
        <w:rPr>
          <w:rFonts w:hint="eastAsia" w:ascii="宋体" w:hAnsi="宋体" w:eastAsia="宋体" w:cs="宋体"/>
          <w:spacing w:val="-1"/>
        </w:rPr>
        <w:t>。</w:t>
      </w:r>
    </w:p>
    <w:p w14:paraId="36AAB161">
      <w:pPr>
        <w:pStyle w:val="3"/>
        <w:shd w:val="clear"/>
        <w:spacing w:before="181" w:line="360" w:lineRule="auto"/>
        <w:ind w:left="3" w:firstLine="476"/>
        <w:rPr>
          <w:rFonts w:hint="eastAsia" w:ascii="宋体" w:hAnsi="宋体" w:eastAsia="宋体" w:cs="宋体"/>
        </w:rPr>
      </w:pPr>
      <w:r>
        <w:rPr>
          <w:rFonts w:hint="eastAsia" w:ascii="宋体" w:hAnsi="宋体" w:eastAsia="宋体" w:cs="宋体"/>
          <w:spacing w:val="-14"/>
        </w:rPr>
        <w:t>5.本协议书自所有成员单位法定代表人（单位负责人）或者其委托代理人签字或者盖单</w:t>
      </w:r>
      <w:r>
        <w:rPr>
          <w:rFonts w:hint="eastAsia" w:ascii="宋体" w:hAnsi="宋体" w:eastAsia="宋体" w:cs="宋体"/>
          <w:spacing w:val="-12"/>
        </w:rPr>
        <w:t>位章之日起生效，合同履行完毕后自动失效。</w:t>
      </w:r>
    </w:p>
    <w:p w14:paraId="23F1D6B0">
      <w:pPr>
        <w:pStyle w:val="3"/>
        <w:shd w:val="clear"/>
        <w:spacing w:before="1" w:line="222" w:lineRule="auto"/>
        <w:ind w:left="477"/>
        <w:rPr>
          <w:rFonts w:hint="eastAsia" w:ascii="宋体" w:hAnsi="宋体" w:eastAsia="宋体" w:cs="宋体"/>
        </w:rPr>
      </w:pPr>
      <w:r>
        <w:rPr>
          <w:rFonts w:hint="eastAsia" w:ascii="宋体" w:hAnsi="宋体" w:eastAsia="宋体" w:cs="宋体"/>
          <w:spacing w:val="-1"/>
        </w:rPr>
        <w:t>6.本协议书一式</w:t>
      </w:r>
      <w:r>
        <w:rPr>
          <w:rFonts w:hint="eastAsia" w:ascii="宋体" w:hAnsi="宋体" w:eastAsia="宋体" w:cs="宋体"/>
          <w:spacing w:val="-1"/>
          <w:u w:val="single" w:color="auto"/>
        </w:rPr>
        <w:t xml:space="preserve">   </w:t>
      </w:r>
      <w:r>
        <w:rPr>
          <w:rFonts w:hint="eastAsia" w:ascii="宋体" w:hAnsi="宋体" w:eastAsia="宋体" w:cs="宋体"/>
          <w:spacing w:val="-105"/>
        </w:rPr>
        <w:t xml:space="preserve"> </w:t>
      </w:r>
      <w:r>
        <w:rPr>
          <w:rFonts w:hint="eastAsia" w:ascii="宋体" w:hAnsi="宋体" w:eastAsia="宋体" w:cs="宋体"/>
          <w:spacing w:val="-1"/>
        </w:rPr>
        <w:t>份，联合体成员和采购人各执一份。</w:t>
      </w:r>
    </w:p>
    <w:p w14:paraId="61D7C35F">
      <w:pPr>
        <w:pStyle w:val="3"/>
        <w:shd w:val="clear"/>
        <w:spacing w:before="179" w:line="361" w:lineRule="auto"/>
        <w:ind w:left="2" w:right="12" w:firstLine="486"/>
        <w:rPr>
          <w:rFonts w:hint="eastAsia" w:ascii="宋体" w:hAnsi="宋体" w:eastAsia="宋体" w:cs="宋体"/>
        </w:rPr>
      </w:pPr>
      <w:r>
        <w:rPr>
          <w:rFonts w:hint="eastAsia" w:ascii="宋体" w:hAnsi="宋体" w:eastAsia="宋体" w:cs="宋体"/>
          <w:spacing w:val="-2"/>
        </w:rPr>
        <w:t>注：本协议书应附法定代表人身份证明书；有委托代理的，应附权委托书（格式自</w:t>
      </w:r>
      <w:r>
        <w:rPr>
          <w:rFonts w:hint="eastAsia" w:ascii="宋体" w:hAnsi="宋体" w:eastAsia="宋体" w:cs="宋体"/>
          <w:spacing w:val="-6"/>
        </w:rPr>
        <w:t>拟）。</w:t>
      </w:r>
    </w:p>
    <w:p w14:paraId="13133C22">
      <w:pPr>
        <w:shd w:val="clear"/>
        <w:spacing w:line="383" w:lineRule="auto"/>
        <w:rPr>
          <w:rFonts w:hint="eastAsia" w:ascii="宋体" w:hAnsi="宋体" w:eastAsia="宋体" w:cs="宋体"/>
          <w:sz w:val="21"/>
        </w:rPr>
      </w:pPr>
    </w:p>
    <w:p w14:paraId="3355A7D4">
      <w:pPr>
        <w:pStyle w:val="3"/>
        <w:shd w:val="clear"/>
        <w:spacing w:before="79" w:line="221" w:lineRule="auto"/>
        <w:rPr>
          <w:rFonts w:hint="eastAsia" w:ascii="宋体" w:hAnsi="宋体" w:eastAsia="宋体" w:cs="宋体"/>
        </w:rPr>
      </w:pPr>
      <w:r>
        <w:rPr>
          <w:rFonts w:hint="eastAsia" w:ascii="宋体" w:hAnsi="宋体" w:eastAsia="宋体" w:cs="宋体"/>
          <w:spacing w:val="-2"/>
        </w:rPr>
        <w:t>联合体牵头人名称（电子签章</w:t>
      </w:r>
      <w:r>
        <w:rPr>
          <w:rFonts w:hint="eastAsia" w:ascii="宋体" w:hAnsi="宋体" w:eastAsia="宋体" w:cs="宋体"/>
          <w:spacing w:val="5"/>
        </w:rPr>
        <w:t>）：</w:t>
      </w:r>
    </w:p>
    <w:p w14:paraId="0DC59C6C">
      <w:pPr>
        <w:pStyle w:val="3"/>
        <w:shd w:val="clear"/>
        <w:spacing w:before="181" w:line="223" w:lineRule="auto"/>
        <w:ind w:left="10"/>
        <w:rPr>
          <w:rFonts w:hint="eastAsia" w:ascii="宋体" w:hAnsi="宋体" w:eastAsia="宋体" w:cs="宋体"/>
        </w:rPr>
      </w:pPr>
      <w:r>
        <w:rPr>
          <w:rFonts w:hint="eastAsia" w:ascii="宋体" w:hAnsi="宋体" w:eastAsia="宋体" w:cs="宋体"/>
          <w:spacing w:val="-1"/>
        </w:rPr>
        <w:t>法定代表人或者其委托代理人（签字或者电</w:t>
      </w:r>
      <w:r>
        <w:rPr>
          <w:rFonts w:hint="eastAsia" w:ascii="宋体" w:hAnsi="宋体" w:eastAsia="宋体" w:cs="宋体"/>
          <w:spacing w:val="-2"/>
        </w:rPr>
        <w:t>子签名</w:t>
      </w:r>
      <w:r>
        <w:rPr>
          <w:rFonts w:hint="eastAsia" w:ascii="宋体" w:hAnsi="宋体" w:eastAsia="宋体" w:cs="宋体"/>
        </w:rPr>
        <w:t>）：</w:t>
      </w:r>
    </w:p>
    <w:p w14:paraId="67AEEE5B">
      <w:pPr>
        <w:shd w:val="clear"/>
        <w:spacing w:line="282" w:lineRule="auto"/>
        <w:rPr>
          <w:rFonts w:hint="eastAsia" w:ascii="宋体" w:hAnsi="宋体" w:eastAsia="宋体" w:cs="宋体"/>
          <w:sz w:val="21"/>
        </w:rPr>
      </w:pPr>
    </w:p>
    <w:p w14:paraId="44BC84A0">
      <w:pPr>
        <w:shd w:val="clear"/>
        <w:spacing w:line="282" w:lineRule="auto"/>
        <w:rPr>
          <w:rFonts w:hint="eastAsia" w:ascii="宋体" w:hAnsi="宋体" w:eastAsia="宋体" w:cs="宋体"/>
          <w:sz w:val="21"/>
        </w:rPr>
      </w:pPr>
    </w:p>
    <w:p w14:paraId="12C7E730">
      <w:pPr>
        <w:pStyle w:val="3"/>
        <w:shd w:val="clear"/>
        <w:spacing w:before="79" w:line="221" w:lineRule="auto"/>
        <w:rPr>
          <w:rFonts w:hint="eastAsia" w:ascii="宋体" w:hAnsi="宋体" w:eastAsia="宋体" w:cs="宋体"/>
        </w:rPr>
      </w:pPr>
      <w:r>
        <w:rPr>
          <w:rFonts w:hint="eastAsia" w:ascii="宋体" w:hAnsi="宋体" w:eastAsia="宋体" w:cs="宋体"/>
          <w:spacing w:val="-1"/>
        </w:rPr>
        <w:t>联合体成员名称（盖公章或者电子签章</w:t>
      </w:r>
      <w:r>
        <w:rPr>
          <w:rFonts w:hint="eastAsia" w:ascii="宋体" w:hAnsi="宋体" w:eastAsia="宋体" w:cs="宋体"/>
          <w:spacing w:val="1"/>
        </w:rPr>
        <w:t>）：</w:t>
      </w:r>
    </w:p>
    <w:p w14:paraId="26432365">
      <w:pPr>
        <w:pStyle w:val="3"/>
        <w:shd w:val="clear"/>
        <w:spacing w:before="181" w:line="223" w:lineRule="auto"/>
        <w:ind w:left="10"/>
        <w:rPr>
          <w:rFonts w:hint="eastAsia" w:ascii="宋体" w:hAnsi="宋体" w:eastAsia="宋体" w:cs="宋体"/>
        </w:rPr>
      </w:pPr>
      <w:r>
        <w:rPr>
          <w:rFonts w:hint="eastAsia" w:ascii="宋体" w:hAnsi="宋体" w:eastAsia="宋体" w:cs="宋体"/>
          <w:spacing w:val="-1"/>
        </w:rPr>
        <w:t>法定代表人或者其委托代理人（签字或者电</w:t>
      </w:r>
      <w:r>
        <w:rPr>
          <w:rFonts w:hint="eastAsia" w:ascii="宋体" w:hAnsi="宋体" w:eastAsia="宋体" w:cs="宋体"/>
          <w:spacing w:val="-2"/>
        </w:rPr>
        <w:t>子签名</w:t>
      </w:r>
      <w:r>
        <w:rPr>
          <w:rFonts w:hint="eastAsia" w:ascii="宋体" w:hAnsi="宋体" w:eastAsia="宋体" w:cs="宋体"/>
        </w:rPr>
        <w:t>）：</w:t>
      </w:r>
    </w:p>
    <w:p w14:paraId="74111D0C">
      <w:pPr>
        <w:shd w:val="clear"/>
        <w:spacing w:line="282" w:lineRule="auto"/>
        <w:rPr>
          <w:rFonts w:hint="eastAsia" w:ascii="宋体" w:hAnsi="宋体" w:eastAsia="宋体" w:cs="宋体"/>
          <w:sz w:val="21"/>
        </w:rPr>
      </w:pPr>
    </w:p>
    <w:p w14:paraId="2529A901">
      <w:pPr>
        <w:shd w:val="clear"/>
        <w:spacing w:line="282" w:lineRule="auto"/>
        <w:rPr>
          <w:rFonts w:hint="eastAsia" w:ascii="宋体" w:hAnsi="宋体" w:eastAsia="宋体" w:cs="宋体"/>
          <w:sz w:val="21"/>
        </w:rPr>
      </w:pPr>
    </w:p>
    <w:p w14:paraId="0D71C7D9">
      <w:pPr>
        <w:pStyle w:val="3"/>
        <w:shd w:val="clear"/>
        <w:spacing w:before="78" w:line="221" w:lineRule="auto"/>
        <w:rPr>
          <w:rFonts w:hint="eastAsia" w:ascii="宋体" w:hAnsi="宋体" w:eastAsia="宋体" w:cs="宋体"/>
        </w:rPr>
      </w:pPr>
      <w:r>
        <w:rPr>
          <w:rFonts w:hint="eastAsia" w:ascii="宋体" w:hAnsi="宋体" w:eastAsia="宋体" w:cs="宋体"/>
          <w:spacing w:val="-1"/>
        </w:rPr>
        <w:t>联合体成员名称（盖公章或者电子签章</w:t>
      </w:r>
      <w:r>
        <w:rPr>
          <w:rFonts w:hint="eastAsia" w:ascii="宋体" w:hAnsi="宋体" w:eastAsia="宋体" w:cs="宋体"/>
          <w:spacing w:val="1"/>
        </w:rPr>
        <w:t>）：</w:t>
      </w:r>
    </w:p>
    <w:p w14:paraId="1DE84DC9">
      <w:pPr>
        <w:pStyle w:val="3"/>
        <w:shd w:val="clear"/>
        <w:spacing w:before="181" w:line="223" w:lineRule="auto"/>
        <w:ind w:left="10"/>
        <w:rPr>
          <w:rFonts w:hint="eastAsia" w:ascii="宋体" w:hAnsi="宋体" w:eastAsia="宋体" w:cs="宋体"/>
        </w:rPr>
      </w:pPr>
      <w:r>
        <w:rPr>
          <w:rFonts w:hint="eastAsia" w:ascii="宋体" w:hAnsi="宋体" w:eastAsia="宋体" w:cs="宋体"/>
          <w:spacing w:val="-1"/>
        </w:rPr>
        <w:t>法定代表人或者其委托代理人（签字或者电</w:t>
      </w:r>
      <w:r>
        <w:rPr>
          <w:rFonts w:hint="eastAsia" w:ascii="宋体" w:hAnsi="宋体" w:eastAsia="宋体" w:cs="宋体"/>
          <w:spacing w:val="-2"/>
        </w:rPr>
        <w:t>子签名</w:t>
      </w:r>
      <w:r>
        <w:rPr>
          <w:rFonts w:hint="eastAsia" w:ascii="宋体" w:hAnsi="宋体" w:eastAsia="宋体" w:cs="宋体"/>
        </w:rPr>
        <w:t>）：</w:t>
      </w:r>
    </w:p>
    <w:p w14:paraId="0DFD630D">
      <w:pPr>
        <w:pStyle w:val="3"/>
        <w:shd w:val="clear"/>
        <w:spacing w:before="99" w:line="383" w:lineRule="exact"/>
        <w:ind w:left="4308"/>
        <w:rPr>
          <w:rFonts w:hint="eastAsia" w:ascii="宋体" w:hAnsi="宋体" w:eastAsia="宋体" w:cs="宋体"/>
        </w:rPr>
      </w:pPr>
      <w:r>
        <w:rPr>
          <w:rFonts w:hint="eastAsia" w:ascii="宋体" w:hAnsi="宋体" w:eastAsia="宋体" w:cs="宋体"/>
          <w:spacing w:val="-13"/>
          <w:position w:val="3"/>
        </w:rPr>
        <w:t>……</w:t>
      </w:r>
    </w:p>
    <w:p w14:paraId="74AB96FE">
      <w:pPr>
        <w:shd w:val="clear"/>
        <w:spacing w:line="383" w:lineRule="exact"/>
        <w:rPr>
          <w:rFonts w:hint="eastAsia" w:ascii="宋体" w:hAnsi="宋体" w:eastAsia="宋体" w:cs="宋体"/>
        </w:rPr>
        <w:sectPr>
          <w:footerReference r:id="rId22" w:type="default"/>
          <w:pgSz w:w="11906" w:h="16839"/>
          <w:pgMar w:top="1440" w:right="1080" w:bottom="1440" w:left="1080" w:header="0" w:footer="1200" w:gutter="0"/>
          <w:pgNumType w:fmt="decimal"/>
          <w:cols w:space="720" w:num="1"/>
        </w:sectPr>
      </w:pPr>
    </w:p>
    <w:p w14:paraId="643A27F4">
      <w:pPr>
        <w:shd w:val="clear"/>
        <w:spacing w:line="247" w:lineRule="auto"/>
        <w:rPr>
          <w:rFonts w:hint="eastAsia" w:ascii="宋体" w:hAnsi="宋体" w:eastAsia="宋体" w:cs="宋体"/>
          <w:sz w:val="21"/>
        </w:rPr>
      </w:pPr>
    </w:p>
    <w:p w14:paraId="3CFA3392">
      <w:pPr>
        <w:pStyle w:val="3"/>
        <w:shd w:val="clear"/>
        <w:spacing w:before="140" w:line="226" w:lineRule="auto"/>
        <w:ind w:left="2186"/>
        <w:rPr>
          <w:rFonts w:hint="eastAsia" w:ascii="宋体" w:hAnsi="宋体" w:eastAsia="宋体" w:cs="宋体"/>
          <w:sz w:val="43"/>
          <w:szCs w:val="43"/>
        </w:rPr>
      </w:pPr>
      <w:r>
        <w:rPr>
          <w:rFonts w:hint="eastAsia" w:ascii="宋体" w:hAnsi="宋体" w:eastAsia="宋体" w:cs="宋体"/>
          <w:spacing w:val="1"/>
          <w:sz w:val="43"/>
          <w:szCs w:val="43"/>
        </w:rPr>
        <w:t>中小企业声明函（服务）</w:t>
      </w:r>
    </w:p>
    <w:p w14:paraId="0025376D">
      <w:pPr>
        <w:shd w:val="clear"/>
        <w:spacing w:line="310" w:lineRule="auto"/>
        <w:rPr>
          <w:rFonts w:hint="eastAsia" w:ascii="宋体" w:hAnsi="宋体" w:eastAsia="宋体" w:cs="宋体"/>
          <w:sz w:val="21"/>
        </w:rPr>
      </w:pPr>
    </w:p>
    <w:p w14:paraId="2AD62B90">
      <w:pPr>
        <w:shd w:val="clear"/>
        <w:spacing w:line="311" w:lineRule="auto"/>
        <w:rPr>
          <w:rFonts w:hint="eastAsia" w:ascii="宋体" w:hAnsi="宋体" w:eastAsia="宋体" w:cs="宋体"/>
          <w:sz w:val="21"/>
        </w:rPr>
      </w:pPr>
    </w:p>
    <w:p w14:paraId="6119B891">
      <w:pPr>
        <w:pStyle w:val="3"/>
        <w:shd w:val="clear"/>
        <w:spacing w:before="78" w:line="385" w:lineRule="auto"/>
        <w:ind w:left="3" w:right="65" w:firstLine="705"/>
        <w:jc w:val="both"/>
        <w:rPr>
          <w:rFonts w:hint="eastAsia" w:ascii="宋体" w:hAnsi="宋体" w:eastAsia="宋体" w:cs="宋体"/>
        </w:rPr>
      </w:pPr>
      <w:r>
        <w:rPr>
          <w:rFonts w:hint="eastAsia" w:ascii="宋体" w:hAnsi="宋体" w:eastAsia="宋体" w:cs="宋体"/>
          <w:spacing w:val="-6"/>
        </w:rPr>
        <w:t>本公司（联合体）郑重声明，根据《政府采购促进中小企业发展管理办法》（财</w:t>
      </w:r>
      <w:r>
        <w:rPr>
          <w:rFonts w:hint="eastAsia" w:ascii="宋体" w:hAnsi="宋体" w:eastAsia="宋体" w:cs="宋体"/>
          <w:spacing w:val="-1"/>
        </w:rPr>
        <w:t>库﹝2020﹞46</w:t>
      </w:r>
      <w:r>
        <w:rPr>
          <w:rFonts w:hint="eastAsia" w:ascii="宋体" w:hAnsi="宋体" w:eastAsia="宋体" w:cs="宋体"/>
          <w:spacing w:val="-39"/>
        </w:rPr>
        <w:t xml:space="preserve"> </w:t>
      </w:r>
      <w:r>
        <w:rPr>
          <w:rFonts w:hint="eastAsia" w:ascii="宋体" w:hAnsi="宋体" w:eastAsia="宋体" w:cs="宋体"/>
          <w:spacing w:val="-1"/>
        </w:rPr>
        <w:t>号）的规定，本公司（联合体）参加</w:t>
      </w:r>
      <w:r>
        <w:rPr>
          <w:rFonts w:hint="eastAsia" w:ascii="宋体" w:hAnsi="宋体" w:eastAsia="宋体" w:cs="宋体"/>
          <w:spacing w:val="-1"/>
          <w:u w:val="single" w:color="auto"/>
        </w:rPr>
        <w:t>（单位</w:t>
      </w:r>
      <w:r>
        <w:rPr>
          <w:rFonts w:hint="eastAsia" w:ascii="宋体" w:hAnsi="宋体" w:eastAsia="宋体" w:cs="宋体"/>
          <w:spacing w:val="-2"/>
          <w:u w:val="single" w:color="auto"/>
        </w:rPr>
        <w:t>名称）</w:t>
      </w:r>
      <w:r>
        <w:rPr>
          <w:rFonts w:hint="eastAsia" w:ascii="宋体" w:hAnsi="宋体" w:eastAsia="宋体" w:cs="宋体"/>
          <w:spacing w:val="-2"/>
        </w:rPr>
        <w:t>的</w:t>
      </w:r>
      <w:r>
        <w:rPr>
          <w:rFonts w:hint="eastAsia" w:ascii="宋体" w:hAnsi="宋体" w:eastAsia="宋体" w:cs="宋体"/>
          <w:spacing w:val="-2"/>
          <w:u w:val="single" w:color="auto"/>
        </w:rPr>
        <w:t>（项目名称）</w:t>
      </w:r>
      <w:r>
        <w:rPr>
          <w:rFonts w:hint="eastAsia" w:ascii="宋体" w:hAnsi="宋体" w:eastAsia="宋体" w:cs="宋体"/>
          <w:spacing w:val="-2"/>
        </w:rPr>
        <w:t>采购</w:t>
      </w:r>
      <w:r>
        <w:rPr>
          <w:rFonts w:hint="eastAsia" w:ascii="宋体" w:hAnsi="宋体" w:eastAsia="宋体" w:cs="宋体"/>
          <w:spacing w:val="-4"/>
        </w:rPr>
        <w:t>活动，服务全部由符合政策要求的中小企业承接。相关企业（含联合体中的中小企业、</w:t>
      </w:r>
      <w:r>
        <w:rPr>
          <w:rFonts w:hint="eastAsia" w:ascii="宋体" w:hAnsi="宋体" w:eastAsia="宋体" w:cs="宋体"/>
          <w:spacing w:val="-1"/>
        </w:rPr>
        <w:t>签订分包意向协议的中小企业）的具体情况如下：</w:t>
      </w:r>
    </w:p>
    <w:p w14:paraId="7FD282CF">
      <w:pPr>
        <w:pStyle w:val="3"/>
        <w:shd w:val="clear"/>
        <w:spacing w:before="115" w:line="386" w:lineRule="auto"/>
        <w:ind w:right="141" w:firstLine="783"/>
        <w:rPr>
          <w:rFonts w:hint="eastAsia" w:ascii="宋体" w:hAnsi="宋体" w:eastAsia="宋体" w:cs="宋体"/>
        </w:rPr>
      </w:pPr>
      <w:r>
        <w:rPr>
          <w:rFonts w:hint="eastAsia" w:ascii="宋体" w:hAnsi="宋体" w:eastAsia="宋体" w:cs="宋体"/>
          <w:spacing w:val="-2"/>
        </w:rPr>
        <w:t>1.</w:t>
      </w:r>
      <w:r>
        <w:rPr>
          <w:rFonts w:hint="eastAsia" w:ascii="宋体" w:hAnsi="宋体" w:eastAsia="宋体" w:cs="宋体"/>
          <w:spacing w:val="-2"/>
          <w:u w:val="single" w:color="auto"/>
        </w:rPr>
        <w:t>（标的名称</w:t>
      </w:r>
      <w:r>
        <w:rPr>
          <w:rFonts w:hint="eastAsia" w:ascii="宋体" w:hAnsi="宋体" w:eastAsia="宋体" w:cs="宋体"/>
          <w:spacing w:val="8"/>
          <w:u w:val="single" w:color="auto"/>
        </w:rPr>
        <w:t>）</w:t>
      </w:r>
      <w:r>
        <w:rPr>
          <w:rFonts w:hint="eastAsia" w:ascii="宋体" w:hAnsi="宋体" w:eastAsia="宋体" w:cs="宋体"/>
          <w:spacing w:val="8"/>
        </w:rPr>
        <w:t>，</w:t>
      </w:r>
      <w:r>
        <w:rPr>
          <w:rFonts w:hint="eastAsia" w:ascii="宋体" w:hAnsi="宋体" w:eastAsia="宋体" w:cs="宋体"/>
          <w:spacing w:val="-2"/>
        </w:rPr>
        <w:t>属于</w:t>
      </w:r>
      <w:r>
        <w:rPr>
          <w:rFonts w:hint="eastAsia" w:ascii="宋体" w:hAnsi="宋体" w:eastAsia="宋体" w:cs="宋体"/>
          <w:spacing w:val="-2"/>
          <w:u w:val="single" w:color="auto"/>
        </w:rPr>
        <w:t>（采购文件中明确的所属行业</w:t>
      </w:r>
      <w:r>
        <w:rPr>
          <w:rFonts w:hint="eastAsia" w:ascii="宋体" w:hAnsi="宋体" w:eastAsia="宋体" w:cs="宋体"/>
          <w:spacing w:val="8"/>
          <w:u w:val="single" w:color="auto"/>
        </w:rPr>
        <w:t>）</w:t>
      </w:r>
      <w:r>
        <w:rPr>
          <w:rFonts w:hint="eastAsia" w:ascii="宋体" w:hAnsi="宋体" w:eastAsia="宋体" w:cs="宋体"/>
          <w:spacing w:val="8"/>
        </w:rPr>
        <w:t>；</w:t>
      </w:r>
      <w:r>
        <w:rPr>
          <w:rFonts w:hint="eastAsia" w:ascii="宋体" w:hAnsi="宋体" w:eastAsia="宋体" w:cs="宋体"/>
          <w:spacing w:val="-2"/>
        </w:rPr>
        <w:t>承接企业为</w:t>
      </w:r>
      <w:r>
        <w:rPr>
          <w:rFonts w:hint="eastAsia" w:ascii="宋体" w:hAnsi="宋体" w:eastAsia="宋体" w:cs="宋体"/>
          <w:spacing w:val="-2"/>
          <w:u w:val="single" w:color="auto"/>
        </w:rPr>
        <w:t>（企业名</w:t>
      </w:r>
      <w:r>
        <w:rPr>
          <w:rFonts w:hint="eastAsia" w:ascii="宋体" w:hAnsi="宋体" w:eastAsia="宋体" w:cs="宋体"/>
          <w:spacing w:val="-5"/>
          <w:u w:val="single" w:color="auto"/>
        </w:rPr>
        <w:t>称</w:t>
      </w:r>
      <w:r>
        <w:rPr>
          <w:rFonts w:hint="eastAsia" w:ascii="宋体" w:hAnsi="宋体" w:eastAsia="宋体" w:cs="宋体"/>
          <w:spacing w:val="-20"/>
          <w:u w:val="single" w:color="auto"/>
        </w:rPr>
        <w:t>）</w:t>
      </w:r>
      <w:r>
        <w:rPr>
          <w:rFonts w:hint="eastAsia" w:ascii="宋体" w:hAnsi="宋体" w:eastAsia="宋体" w:cs="宋体"/>
          <w:spacing w:val="-20"/>
        </w:rPr>
        <w:t>，</w:t>
      </w:r>
      <w:r>
        <w:rPr>
          <w:rFonts w:hint="eastAsia" w:ascii="宋体" w:hAnsi="宋体" w:eastAsia="宋体" w:cs="宋体"/>
          <w:spacing w:val="-5"/>
        </w:rPr>
        <w:t>从业人员</w:t>
      </w:r>
      <w:r>
        <w:rPr>
          <w:rFonts w:hint="eastAsia" w:ascii="宋体" w:hAnsi="宋体" w:eastAsia="宋体" w:cs="宋体"/>
          <w:spacing w:val="-5"/>
          <w:u w:val="single" w:color="auto"/>
        </w:rPr>
        <w:t xml:space="preserve">      </w:t>
      </w:r>
      <w:r>
        <w:rPr>
          <w:rFonts w:hint="eastAsia" w:ascii="宋体" w:hAnsi="宋体" w:eastAsia="宋体" w:cs="宋体"/>
          <w:spacing w:val="-99"/>
        </w:rPr>
        <w:t xml:space="preserve"> </w:t>
      </w:r>
      <w:r>
        <w:rPr>
          <w:rFonts w:hint="eastAsia" w:ascii="宋体" w:hAnsi="宋体" w:eastAsia="宋体" w:cs="宋体"/>
          <w:spacing w:val="-5"/>
        </w:rPr>
        <w:t>人，营业收入为</w:t>
      </w:r>
      <w:r>
        <w:rPr>
          <w:rFonts w:hint="eastAsia" w:ascii="宋体" w:hAnsi="宋体" w:eastAsia="宋体" w:cs="宋体"/>
          <w:spacing w:val="-5"/>
          <w:u w:val="single" w:color="auto"/>
        </w:rPr>
        <w:t xml:space="preserve">      </w:t>
      </w:r>
      <w:r>
        <w:rPr>
          <w:rFonts w:hint="eastAsia" w:ascii="宋体" w:hAnsi="宋体" w:eastAsia="宋体" w:cs="宋体"/>
          <w:spacing w:val="-102"/>
        </w:rPr>
        <w:t xml:space="preserve"> </w:t>
      </w:r>
      <w:r>
        <w:rPr>
          <w:rFonts w:hint="eastAsia" w:ascii="宋体" w:hAnsi="宋体" w:eastAsia="宋体" w:cs="宋体"/>
          <w:spacing w:val="-5"/>
        </w:rPr>
        <w:t>万元，资产总额为</w:t>
      </w:r>
      <w:r>
        <w:rPr>
          <w:rFonts w:hint="eastAsia" w:ascii="宋体" w:hAnsi="宋体" w:eastAsia="宋体" w:cs="宋体"/>
          <w:spacing w:val="-5"/>
          <w:u w:val="single" w:color="auto"/>
        </w:rPr>
        <w:t xml:space="preserve">      </w:t>
      </w:r>
      <w:r>
        <w:rPr>
          <w:rFonts w:hint="eastAsia" w:ascii="宋体" w:hAnsi="宋体" w:eastAsia="宋体" w:cs="宋体"/>
          <w:spacing w:val="-101"/>
        </w:rPr>
        <w:t xml:space="preserve"> </w:t>
      </w:r>
      <w:r>
        <w:rPr>
          <w:rFonts w:hint="eastAsia" w:ascii="宋体" w:hAnsi="宋体" w:eastAsia="宋体" w:cs="宋体"/>
          <w:spacing w:val="-5"/>
        </w:rPr>
        <w:t>万元，属于</w:t>
      </w:r>
      <w:r>
        <w:rPr>
          <w:rFonts w:hint="eastAsia" w:ascii="宋体" w:hAnsi="宋体" w:eastAsia="宋体" w:cs="宋体"/>
          <w:spacing w:val="-5"/>
          <w:u w:val="single" w:color="auto"/>
        </w:rPr>
        <w:t>（中</w:t>
      </w:r>
      <w:r>
        <w:rPr>
          <w:rFonts w:hint="eastAsia" w:ascii="宋体" w:hAnsi="宋体" w:eastAsia="宋体" w:cs="宋体"/>
          <w:spacing w:val="-2"/>
          <w:u w:val="single" w:color="auto"/>
        </w:rPr>
        <w:t>型企业、小型企业、微型企业</w:t>
      </w:r>
      <w:r>
        <w:rPr>
          <w:rFonts w:hint="eastAsia" w:ascii="宋体" w:hAnsi="宋体" w:eastAsia="宋体" w:cs="宋体"/>
          <w:spacing w:val="4"/>
          <w:u w:val="single" w:color="auto"/>
        </w:rPr>
        <w:t>）</w:t>
      </w:r>
      <w:r>
        <w:rPr>
          <w:rFonts w:hint="eastAsia" w:ascii="宋体" w:hAnsi="宋体" w:eastAsia="宋体" w:cs="宋体"/>
          <w:spacing w:val="4"/>
        </w:rPr>
        <w:t>；</w:t>
      </w:r>
    </w:p>
    <w:p w14:paraId="51A26FC2">
      <w:pPr>
        <w:pStyle w:val="3"/>
        <w:shd w:val="clear"/>
        <w:spacing w:before="13" w:line="386" w:lineRule="auto"/>
        <w:ind w:right="83" w:firstLine="768"/>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color="auto"/>
        </w:rPr>
        <w:t>（标的名称</w:t>
      </w:r>
      <w:r>
        <w:rPr>
          <w:rFonts w:hint="eastAsia" w:ascii="宋体" w:hAnsi="宋体" w:eastAsia="宋体" w:cs="宋体"/>
          <w:spacing w:val="10"/>
          <w:u w:val="single" w:color="auto"/>
        </w:rPr>
        <w:t>）</w:t>
      </w:r>
      <w:r>
        <w:rPr>
          <w:rFonts w:hint="eastAsia" w:ascii="宋体" w:hAnsi="宋体" w:eastAsia="宋体" w:cs="宋体"/>
          <w:spacing w:val="10"/>
        </w:rPr>
        <w:t>，</w:t>
      </w:r>
      <w:r>
        <w:rPr>
          <w:rFonts w:hint="eastAsia" w:ascii="宋体" w:hAnsi="宋体" w:eastAsia="宋体" w:cs="宋体"/>
        </w:rPr>
        <w:t>属于</w:t>
      </w:r>
      <w:r>
        <w:rPr>
          <w:rFonts w:hint="eastAsia" w:ascii="宋体" w:hAnsi="宋体" w:eastAsia="宋体" w:cs="宋体"/>
          <w:u w:val="single" w:color="auto"/>
        </w:rPr>
        <w:t>（采购文件中明确的所属行业</w:t>
      </w:r>
      <w:r>
        <w:rPr>
          <w:rFonts w:hint="eastAsia" w:ascii="宋体" w:hAnsi="宋体" w:eastAsia="宋体" w:cs="宋体"/>
          <w:spacing w:val="10"/>
          <w:u w:val="single" w:color="auto"/>
        </w:rPr>
        <w:t>）</w:t>
      </w:r>
      <w:r>
        <w:rPr>
          <w:rFonts w:hint="eastAsia" w:ascii="宋体" w:hAnsi="宋体" w:eastAsia="宋体" w:cs="宋体"/>
          <w:spacing w:val="10"/>
        </w:rPr>
        <w:t>；</w:t>
      </w:r>
      <w:r>
        <w:rPr>
          <w:rFonts w:hint="eastAsia" w:ascii="宋体" w:hAnsi="宋体" w:eastAsia="宋体" w:cs="宋体"/>
        </w:rPr>
        <w:t>承接企业为</w:t>
      </w:r>
      <w:r>
        <w:rPr>
          <w:rFonts w:hint="eastAsia" w:ascii="宋体" w:hAnsi="宋体" w:eastAsia="宋体" w:cs="宋体"/>
          <w:u w:val="single" w:color="auto"/>
        </w:rPr>
        <w:t>（企业名</w:t>
      </w:r>
      <w:r>
        <w:rPr>
          <w:rFonts w:hint="eastAsia" w:ascii="宋体" w:hAnsi="宋体" w:eastAsia="宋体" w:cs="宋体"/>
          <w:spacing w:val="-4"/>
          <w:u w:val="single" w:color="auto"/>
        </w:rPr>
        <w:t>称</w:t>
      </w:r>
      <w:r>
        <w:rPr>
          <w:rFonts w:hint="eastAsia" w:ascii="宋体" w:hAnsi="宋体" w:eastAsia="宋体" w:cs="宋体"/>
          <w:spacing w:val="-13"/>
          <w:u w:val="single" w:color="auto"/>
        </w:rPr>
        <w:t>）</w:t>
      </w:r>
      <w:r>
        <w:rPr>
          <w:rFonts w:hint="eastAsia" w:ascii="宋体" w:hAnsi="宋体" w:eastAsia="宋体" w:cs="宋体"/>
          <w:spacing w:val="-13"/>
        </w:rPr>
        <w:t>，</w:t>
      </w:r>
      <w:r>
        <w:rPr>
          <w:rFonts w:hint="eastAsia" w:ascii="宋体" w:hAnsi="宋体" w:eastAsia="宋体" w:cs="宋体"/>
          <w:spacing w:val="-4"/>
        </w:rPr>
        <w:t>从业人员</w:t>
      </w:r>
      <w:r>
        <w:rPr>
          <w:rFonts w:hint="eastAsia" w:ascii="宋体" w:hAnsi="宋体" w:eastAsia="宋体" w:cs="宋体"/>
          <w:spacing w:val="-4"/>
          <w:u w:val="single" w:color="auto"/>
        </w:rPr>
        <w:t xml:space="preserve">      </w:t>
      </w:r>
      <w:r>
        <w:rPr>
          <w:rFonts w:hint="eastAsia" w:ascii="宋体" w:hAnsi="宋体" w:eastAsia="宋体" w:cs="宋体"/>
          <w:spacing w:val="-100"/>
        </w:rPr>
        <w:t xml:space="preserve"> </w:t>
      </w:r>
      <w:r>
        <w:rPr>
          <w:rFonts w:hint="eastAsia" w:ascii="宋体" w:hAnsi="宋体" w:eastAsia="宋体" w:cs="宋体"/>
          <w:spacing w:val="-4"/>
        </w:rPr>
        <w:t>人，营业收入为</w:t>
      </w:r>
      <w:r>
        <w:rPr>
          <w:rFonts w:hint="eastAsia" w:ascii="宋体" w:hAnsi="宋体" w:eastAsia="宋体" w:cs="宋体"/>
          <w:spacing w:val="-4"/>
          <w:u w:val="single" w:color="auto"/>
        </w:rPr>
        <w:t xml:space="preserve">      </w:t>
      </w:r>
      <w:r>
        <w:rPr>
          <w:rFonts w:hint="eastAsia" w:ascii="宋体" w:hAnsi="宋体" w:eastAsia="宋体" w:cs="宋体"/>
          <w:spacing w:val="-102"/>
        </w:rPr>
        <w:t xml:space="preserve"> </w:t>
      </w:r>
      <w:r>
        <w:rPr>
          <w:rFonts w:hint="eastAsia" w:ascii="宋体" w:hAnsi="宋体" w:eastAsia="宋体" w:cs="宋体"/>
          <w:spacing w:val="-4"/>
        </w:rPr>
        <w:t>万元，资产总额为</w:t>
      </w:r>
      <w:r>
        <w:rPr>
          <w:rFonts w:hint="eastAsia" w:ascii="宋体" w:hAnsi="宋体" w:eastAsia="宋体" w:cs="宋体"/>
          <w:spacing w:val="-4"/>
          <w:u w:val="single" w:color="auto"/>
        </w:rPr>
        <w:t xml:space="preserve">      </w:t>
      </w:r>
      <w:r>
        <w:rPr>
          <w:rFonts w:hint="eastAsia" w:ascii="宋体" w:hAnsi="宋体" w:eastAsia="宋体" w:cs="宋体"/>
          <w:spacing w:val="-101"/>
        </w:rPr>
        <w:t xml:space="preserve"> </w:t>
      </w:r>
      <w:r>
        <w:rPr>
          <w:rFonts w:hint="eastAsia" w:ascii="宋体" w:hAnsi="宋体" w:eastAsia="宋体" w:cs="宋体"/>
          <w:spacing w:val="-4"/>
        </w:rPr>
        <w:t>万元，属于</w:t>
      </w:r>
      <w:r>
        <w:rPr>
          <w:rFonts w:hint="eastAsia" w:ascii="宋体" w:hAnsi="宋体" w:eastAsia="宋体" w:cs="宋体"/>
          <w:spacing w:val="-4"/>
          <w:u w:val="single" w:color="auto"/>
        </w:rPr>
        <w:t>（中</w:t>
      </w:r>
      <w:r>
        <w:rPr>
          <w:rFonts w:hint="eastAsia" w:ascii="宋体" w:hAnsi="宋体" w:eastAsia="宋体" w:cs="宋体"/>
          <w:spacing w:val="-2"/>
          <w:u w:val="single" w:color="auto"/>
        </w:rPr>
        <w:t>型企业、小型企业、微型企业</w:t>
      </w:r>
      <w:r>
        <w:rPr>
          <w:rFonts w:hint="eastAsia" w:ascii="宋体" w:hAnsi="宋体" w:eastAsia="宋体" w:cs="宋体"/>
          <w:spacing w:val="4"/>
          <w:u w:val="single" w:color="auto"/>
        </w:rPr>
        <w:t>）</w:t>
      </w:r>
      <w:r>
        <w:rPr>
          <w:rFonts w:hint="eastAsia" w:ascii="宋体" w:hAnsi="宋体" w:eastAsia="宋体" w:cs="宋体"/>
          <w:spacing w:val="4"/>
        </w:rPr>
        <w:t>；</w:t>
      </w:r>
    </w:p>
    <w:p w14:paraId="519CE130">
      <w:pPr>
        <w:pStyle w:val="3"/>
        <w:shd w:val="clear"/>
        <w:spacing w:before="32" w:line="382" w:lineRule="exact"/>
        <w:ind w:left="717"/>
        <w:rPr>
          <w:rFonts w:hint="eastAsia" w:ascii="宋体" w:hAnsi="宋体" w:eastAsia="宋体" w:cs="宋体"/>
        </w:rPr>
      </w:pPr>
      <w:r>
        <w:rPr>
          <w:rFonts w:hint="eastAsia" w:ascii="宋体" w:hAnsi="宋体" w:eastAsia="宋体" w:cs="宋体"/>
          <w:spacing w:val="-13"/>
          <w:position w:val="3"/>
        </w:rPr>
        <w:t>……</w:t>
      </w:r>
    </w:p>
    <w:p w14:paraId="5FD2E381">
      <w:pPr>
        <w:pStyle w:val="3"/>
        <w:shd w:val="clear"/>
        <w:spacing w:before="235" w:line="384" w:lineRule="auto"/>
        <w:ind w:left="3" w:right="139" w:firstLine="728"/>
        <w:rPr>
          <w:rFonts w:hint="eastAsia" w:ascii="宋体" w:hAnsi="宋体" w:eastAsia="宋体" w:cs="宋体"/>
        </w:rPr>
      </w:pPr>
      <w:r>
        <w:rPr>
          <w:rFonts w:hint="eastAsia" w:ascii="宋体" w:hAnsi="宋体" w:eastAsia="宋体" w:cs="宋体"/>
          <w:spacing w:val="1"/>
        </w:rPr>
        <w:t>以上企业，不属于大企业的分支机构，不存在控股股</w:t>
      </w:r>
      <w:r>
        <w:rPr>
          <w:rFonts w:hint="eastAsia" w:ascii="宋体" w:hAnsi="宋体" w:eastAsia="宋体" w:cs="宋体"/>
        </w:rPr>
        <w:t>东为大企业的情形，也不</w:t>
      </w:r>
      <w:r>
        <w:rPr>
          <w:rFonts w:hint="eastAsia" w:ascii="宋体" w:hAnsi="宋体" w:eastAsia="宋体" w:cs="宋体"/>
          <w:spacing w:val="-2"/>
        </w:rPr>
        <w:t>存在与大企业的负责人为同一人的情形。</w:t>
      </w:r>
    </w:p>
    <w:p w14:paraId="281C23A4">
      <w:pPr>
        <w:pStyle w:val="3"/>
        <w:shd w:val="clear"/>
        <w:spacing w:before="124" w:line="220" w:lineRule="auto"/>
        <w:ind w:left="708"/>
        <w:rPr>
          <w:rFonts w:hint="eastAsia" w:ascii="宋体" w:hAnsi="宋体" w:eastAsia="宋体" w:cs="宋体"/>
        </w:rPr>
      </w:pPr>
      <w:r>
        <w:rPr>
          <w:rFonts w:hint="eastAsia" w:ascii="宋体" w:hAnsi="宋体" w:eastAsia="宋体" w:cs="宋体"/>
          <w:spacing w:val="-1"/>
        </w:rPr>
        <w:t>本企业对上述声明内容的真实性负责。如有虚假，将依法承担相应责任。</w:t>
      </w:r>
    </w:p>
    <w:p w14:paraId="03D038EF">
      <w:pPr>
        <w:shd w:val="clear"/>
        <w:spacing w:line="289" w:lineRule="auto"/>
        <w:rPr>
          <w:rFonts w:hint="eastAsia" w:ascii="宋体" w:hAnsi="宋体" w:eastAsia="宋体" w:cs="宋体"/>
          <w:sz w:val="21"/>
        </w:rPr>
      </w:pPr>
    </w:p>
    <w:p w14:paraId="1B1E6478">
      <w:pPr>
        <w:shd w:val="clear"/>
        <w:spacing w:line="289" w:lineRule="auto"/>
        <w:rPr>
          <w:rFonts w:hint="eastAsia" w:ascii="宋体" w:hAnsi="宋体" w:eastAsia="宋体" w:cs="宋体"/>
          <w:sz w:val="21"/>
        </w:rPr>
      </w:pPr>
    </w:p>
    <w:p w14:paraId="5EA2C9AF">
      <w:pPr>
        <w:shd w:val="clear"/>
        <w:spacing w:line="290" w:lineRule="auto"/>
        <w:rPr>
          <w:rFonts w:hint="eastAsia" w:ascii="宋体" w:hAnsi="宋体" w:eastAsia="宋体" w:cs="宋体"/>
          <w:sz w:val="21"/>
        </w:rPr>
      </w:pPr>
    </w:p>
    <w:p w14:paraId="3B4E2320">
      <w:pPr>
        <w:pStyle w:val="3"/>
        <w:shd w:val="clear"/>
        <w:spacing w:before="79" w:line="221" w:lineRule="auto"/>
        <w:ind w:left="5628"/>
        <w:rPr>
          <w:rFonts w:hint="eastAsia" w:ascii="宋体" w:hAnsi="宋体" w:eastAsia="宋体" w:cs="宋体"/>
        </w:rPr>
      </w:pPr>
      <w:r>
        <w:rPr>
          <w:rFonts w:hint="eastAsia" w:ascii="宋体" w:hAnsi="宋体" w:eastAsia="宋体" w:cs="宋体"/>
          <w:spacing w:val="-2"/>
        </w:rPr>
        <w:t>企业名称（电子签章</w:t>
      </w:r>
      <w:r>
        <w:rPr>
          <w:rFonts w:hint="eastAsia" w:ascii="宋体" w:hAnsi="宋体" w:eastAsia="宋体" w:cs="宋体"/>
        </w:rPr>
        <w:t>）：</w:t>
      </w:r>
    </w:p>
    <w:p w14:paraId="550485B5">
      <w:pPr>
        <w:shd w:val="clear"/>
        <w:spacing w:line="254" w:lineRule="auto"/>
        <w:rPr>
          <w:rFonts w:hint="eastAsia" w:ascii="宋体" w:hAnsi="宋体" w:eastAsia="宋体" w:cs="宋体"/>
          <w:sz w:val="21"/>
        </w:rPr>
      </w:pPr>
    </w:p>
    <w:p w14:paraId="54E0E3FA">
      <w:pPr>
        <w:pStyle w:val="3"/>
        <w:shd w:val="clear"/>
        <w:spacing w:before="78" w:line="223" w:lineRule="auto"/>
        <w:ind w:left="5678"/>
        <w:rPr>
          <w:rFonts w:hint="eastAsia" w:ascii="宋体" w:hAnsi="宋体" w:eastAsia="宋体" w:cs="宋体"/>
        </w:rPr>
      </w:pPr>
      <w:r>
        <w:rPr>
          <w:rFonts w:hint="eastAsia" w:ascii="宋体" w:hAnsi="宋体" w:eastAsia="宋体" w:cs="宋体"/>
          <w:spacing w:val="17"/>
        </w:rPr>
        <w:t>日期：</w:t>
      </w:r>
    </w:p>
    <w:p w14:paraId="67DA8310">
      <w:pPr>
        <w:shd w:val="clear"/>
        <w:spacing w:line="268" w:lineRule="auto"/>
        <w:rPr>
          <w:rFonts w:hint="eastAsia" w:ascii="宋体" w:hAnsi="宋体" w:eastAsia="宋体" w:cs="宋体"/>
          <w:sz w:val="21"/>
        </w:rPr>
      </w:pPr>
    </w:p>
    <w:p w14:paraId="50AE4B1A">
      <w:pPr>
        <w:pStyle w:val="3"/>
        <w:shd w:val="clear"/>
        <w:spacing w:before="79" w:line="400" w:lineRule="auto"/>
        <w:ind w:firstLine="6"/>
        <w:jc w:val="both"/>
        <w:rPr>
          <w:rFonts w:hint="eastAsia" w:ascii="宋体" w:hAnsi="宋体" w:eastAsia="宋体" w:cs="宋体"/>
        </w:rPr>
      </w:pPr>
      <w:r>
        <w:rPr>
          <w:rFonts w:hint="eastAsia" w:ascii="宋体" w:hAnsi="宋体" w:eastAsia="宋体" w:cs="宋体"/>
          <w:spacing w:val="-4"/>
        </w:rPr>
        <w:t>注：享受《政府采购促进中小企业发展管理办法》（财库〔2020〕46</w:t>
      </w:r>
      <w:r>
        <w:rPr>
          <w:rFonts w:hint="eastAsia" w:ascii="宋体" w:hAnsi="宋体" w:eastAsia="宋体" w:cs="宋体"/>
          <w:spacing w:val="-28"/>
        </w:rPr>
        <w:t xml:space="preserve"> </w:t>
      </w:r>
      <w:r>
        <w:rPr>
          <w:rFonts w:hint="eastAsia" w:ascii="宋体" w:hAnsi="宋体" w:eastAsia="宋体" w:cs="宋体"/>
          <w:spacing w:val="-4"/>
        </w:rPr>
        <w:t>号）规定的中小企</w:t>
      </w:r>
      <w:r>
        <w:rPr>
          <w:rFonts w:hint="eastAsia" w:ascii="宋体" w:hAnsi="宋体" w:eastAsia="宋体" w:cs="宋体"/>
          <w:spacing w:val="-2"/>
        </w:rPr>
        <w:t>业扶持政策的，采购人、采购代理机构应当随成交结果公开成交供应商的《中小企业声明函》。从业人员、营业收入、资产总额填报上一年度数据，无上一年度数据的新成立</w:t>
      </w:r>
      <w:r>
        <w:rPr>
          <w:rFonts w:hint="eastAsia" w:ascii="宋体" w:hAnsi="宋体" w:eastAsia="宋体" w:cs="宋体"/>
          <w:spacing w:val="-3"/>
        </w:rPr>
        <w:t>企业可不填报。</w:t>
      </w:r>
    </w:p>
    <w:p w14:paraId="7F727387">
      <w:pPr>
        <w:shd w:val="clear"/>
        <w:spacing w:line="400" w:lineRule="auto"/>
        <w:rPr>
          <w:rFonts w:hint="eastAsia" w:ascii="宋体" w:hAnsi="宋体" w:eastAsia="宋体" w:cs="宋体"/>
        </w:rPr>
        <w:sectPr>
          <w:footerReference r:id="rId23" w:type="default"/>
          <w:pgSz w:w="11906" w:h="16839"/>
          <w:pgMar w:top="1440" w:right="1080" w:bottom="1440" w:left="1080" w:header="0" w:footer="1200" w:gutter="0"/>
          <w:pgNumType w:fmt="decimal"/>
          <w:cols w:space="720" w:num="1"/>
        </w:sectPr>
      </w:pPr>
    </w:p>
    <w:p w14:paraId="10F65B77">
      <w:pPr>
        <w:pStyle w:val="3"/>
        <w:shd w:val="clear"/>
        <w:spacing w:before="140" w:line="224" w:lineRule="auto"/>
        <w:ind w:left="2132"/>
        <w:rPr>
          <w:rFonts w:hint="eastAsia" w:ascii="宋体" w:hAnsi="宋体" w:eastAsia="宋体" w:cs="宋体"/>
          <w:sz w:val="43"/>
          <w:szCs w:val="43"/>
        </w:rPr>
      </w:pPr>
      <w:r>
        <w:rPr>
          <w:rFonts w:hint="eastAsia" w:ascii="宋体" w:hAnsi="宋体" w:eastAsia="宋体" w:cs="宋体"/>
          <w:spacing w:val="7"/>
          <w:sz w:val="43"/>
          <w:szCs w:val="43"/>
        </w:rPr>
        <w:t>残疾人福利性单位声明函</w:t>
      </w:r>
    </w:p>
    <w:p w14:paraId="55DBEBAB">
      <w:pPr>
        <w:shd w:val="clear"/>
        <w:spacing w:line="307" w:lineRule="auto"/>
        <w:rPr>
          <w:rFonts w:hint="eastAsia" w:ascii="宋体" w:hAnsi="宋体" w:eastAsia="宋体" w:cs="宋体"/>
          <w:sz w:val="21"/>
        </w:rPr>
      </w:pPr>
    </w:p>
    <w:p w14:paraId="5A07DF66">
      <w:pPr>
        <w:shd w:val="clear"/>
        <w:spacing w:line="308" w:lineRule="auto"/>
        <w:rPr>
          <w:rFonts w:hint="eastAsia" w:ascii="宋体" w:hAnsi="宋体" w:eastAsia="宋体" w:cs="宋体"/>
          <w:sz w:val="21"/>
        </w:rPr>
      </w:pPr>
    </w:p>
    <w:p w14:paraId="48B9827B">
      <w:pPr>
        <w:pStyle w:val="3"/>
        <w:shd w:val="clear"/>
        <w:spacing w:before="78" w:line="360" w:lineRule="auto"/>
        <w:ind w:firstLine="480"/>
        <w:jc w:val="both"/>
        <w:rPr>
          <w:rFonts w:hint="eastAsia" w:ascii="宋体" w:hAnsi="宋体" w:eastAsia="宋体" w:cs="宋体"/>
        </w:rPr>
      </w:pPr>
      <w:r>
        <w:rPr>
          <w:rFonts w:hint="eastAsia" w:ascii="宋体" w:hAnsi="宋体" w:eastAsia="宋体" w:cs="宋体"/>
          <w:spacing w:val="-5"/>
        </w:rPr>
        <w:t>本单位郑重声明，根据《财政部</w:t>
      </w:r>
      <w:r>
        <w:rPr>
          <w:rFonts w:hint="eastAsia" w:ascii="宋体" w:hAnsi="宋体" w:eastAsia="宋体" w:cs="宋体"/>
          <w:spacing w:val="62"/>
        </w:rPr>
        <w:t xml:space="preserve"> </w:t>
      </w:r>
      <w:r>
        <w:rPr>
          <w:rFonts w:hint="eastAsia" w:ascii="宋体" w:hAnsi="宋体" w:eastAsia="宋体" w:cs="宋体"/>
          <w:spacing w:val="-5"/>
        </w:rPr>
        <w:t>民政部</w:t>
      </w:r>
      <w:r>
        <w:rPr>
          <w:rFonts w:hint="eastAsia" w:ascii="宋体" w:hAnsi="宋体" w:eastAsia="宋体" w:cs="宋体"/>
          <w:spacing w:val="47"/>
        </w:rPr>
        <w:t xml:space="preserve"> </w:t>
      </w:r>
      <w:r>
        <w:rPr>
          <w:rFonts w:hint="eastAsia" w:ascii="宋体" w:hAnsi="宋体" w:eastAsia="宋体" w:cs="宋体"/>
          <w:spacing w:val="-5"/>
        </w:rPr>
        <w:t>中国残疾人联合会关于促进残疾人就业政</w:t>
      </w:r>
      <w:r>
        <w:rPr>
          <w:rFonts w:hint="eastAsia" w:ascii="宋体" w:hAnsi="宋体" w:eastAsia="宋体" w:cs="宋体"/>
          <w:spacing w:val="-1"/>
        </w:rPr>
        <w:t>府采购政策的通知》（财库〔2017〕141</w:t>
      </w:r>
      <w:r>
        <w:rPr>
          <w:rFonts w:hint="eastAsia" w:ascii="宋体" w:hAnsi="宋体" w:eastAsia="宋体" w:cs="宋体"/>
          <w:spacing w:val="-24"/>
        </w:rPr>
        <w:t xml:space="preserve"> </w:t>
      </w:r>
      <w:r>
        <w:rPr>
          <w:rFonts w:hint="eastAsia" w:ascii="宋体" w:hAnsi="宋体" w:eastAsia="宋体" w:cs="宋体"/>
          <w:spacing w:val="-1"/>
        </w:rPr>
        <w:t>号）的规定，本单位为符合条件的残疾人福利</w:t>
      </w:r>
      <w:r>
        <w:rPr>
          <w:rFonts w:hint="eastAsia" w:ascii="宋体" w:hAnsi="宋体" w:eastAsia="宋体" w:cs="宋体"/>
          <w:spacing w:val="-6"/>
        </w:rPr>
        <w:t>性单位，且本单位参加</w:t>
      </w:r>
      <w:r>
        <w:rPr>
          <w:rFonts w:hint="eastAsia" w:ascii="宋体" w:hAnsi="宋体" w:eastAsia="宋体" w:cs="宋体"/>
          <w:spacing w:val="-109"/>
        </w:rPr>
        <w:t xml:space="preserve"> </w:t>
      </w:r>
      <w:r>
        <w:rPr>
          <w:rFonts w:hint="eastAsia" w:ascii="宋体" w:hAnsi="宋体" w:eastAsia="宋体" w:cs="宋体"/>
          <w:u w:val="single" w:color="auto"/>
        </w:rPr>
        <w:t xml:space="preserve">       </w:t>
      </w:r>
      <w:r>
        <w:rPr>
          <w:rFonts w:hint="eastAsia" w:ascii="宋体" w:hAnsi="宋体" w:eastAsia="宋体" w:cs="宋体"/>
          <w:spacing w:val="-99"/>
        </w:rPr>
        <w:t xml:space="preserve"> </w:t>
      </w:r>
      <w:r>
        <w:rPr>
          <w:rFonts w:hint="eastAsia" w:ascii="宋体" w:hAnsi="宋体" w:eastAsia="宋体" w:cs="宋体"/>
          <w:spacing w:val="-6"/>
        </w:rPr>
        <w:t>单位的</w:t>
      </w:r>
      <w:r>
        <w:rPr>
          <w:rFonts w:hint="eastAsia" w:ascii="宋体" w:hAnsi="宋体" w:eastAsia="宋体" w:cs="宋体"/>
          <w:spacing w:val="-6"/>
          <w:u w:val="single" w:color="auto"/>
        </w:rPr>
        <w:t xml:space="preserve">        </w:t>
      </w:r>
      <w:r>
        <w:rPr>
          <w:rFonts w:hint="eastAsia" w:ascii="宋体" w:hAnsi="宋体" w:eastAsia="宋体" w:cs="宋体"/>
          <w:spacing w:val="-103"/>
        </w:rPr>
        <w:t xml:space="preserve"> </w:t>
      </w:r>
      <w:r>
        <w:rPr>
          <w:rFonts w:hint="eastAsia" w:ascii="宋体" w:hAnsi="宋体" w:eastAsia="宋体" w:cs="宋体"/>
          <w:spacing w:val="-6"/>
        </w:rPr>
        <w:t>项目采购活动提供本单位制造的货物（由</w:t>
      </w:r>
      <w:r>
        <w:rPr>
          <w:rFonts w:hint="eastAsia" w:ascii="宋体" w:hAnsi="宋体" w:eastAsia="宋体" w:cs="宋体"/>
          <w:spacing w:val="1"/>
        </w:rPr>
        <w:t>本单位承担工程/提供服务</w:t>
      </w:r>
      <w:r>
        <w:rPr>
          <w:rFonts w:hint="eastAsia" w:ascii="宋体" w:hAnsi="宋体" w:eastAsia="宋体" w:cs="宋体"/>
          <w:spacing w:val="13"/>
        </w:rPr>
        <w:t>），</w:t>
      </w:r>
      <w:r>
        <w:rPr>
          <w:rFonts w:hint="eastAsia" w:ascii="宋体" w:hAnsi="宋体" w:eastAsia="宋体" w:cs="宋体"/>
          <w:spacing w:val="1"/>
        </w:rPr>
        <w:t>或者提供其他残疾人福利性单位制造的货</w:t>
      </w:r>
      <w:r>
        <w:rPr>
          <w:rFonts w:hint="eastAsia" w:ascii="宋体" w:hAnsi="宋体" w:eastAsia="宋体" w:cs="宋体"/>
        </w:rPr>
        <w:t>物（不包括使</w:t>
      </w:r>
      <w:r>
        <w:rPr>
          <w:rFonts w:hint="eastAsia" w:ascii="宋体" w:hAnsi="宋体" w:eastAsia="宋体" w:cs="宋体"/>
          <w:spacing w:val="-1"/>
        </w:rPr>
        <w:t>用非残疾人福利性单位注册商标的货物）。</w:t>
      </w:r>
    </w:p>
    <w:p w14:paraId="2E387D35">
      <w:pPr>
        <w:pStyle w:val="3"/>
        <w:shd w:val="clear"/>
        <w:spacing w:line="220" w:lineRule="auto"/>
        <w:ind w:left="481"/>
        <w:rPr>
          <w:rFonts w:hint="eastAsia" w:ascii="宋体" w:hAnsi="宋体" w:eastAsia="宋体" w:cs="宋体"/>
        </w:rPr>
      </w:pPr>
      <w:r>
        <w:rPr>
          <w:rFonts w:hint="eastAsia" w:ascii="宋体" w:hAnsi="宋体" w:eastAsia="宋体" w:cs="宋体"/>
          <w:spacing w:val="-1"/>
        </w:rPr>
        <w:t>本单位对上述声明的真实性负责。如有虚假，将依法承担相应责任。</w:t>
      </w:r>
    </w:p>
    <w:p w14:paraId="6A1791E7">
      <w:pPr>
        <w:shd w:val="clear"/>
        <w:spacing w:line="249" w:lineRule="auto"/>
        <w:rPr>
          <w:rFonts w:hint="eastAsia" w:ascii="宋体" w:hAnsi="宋体" w:eastAsia="宋体" w:cs="宋体"/>
          <w:sz w:val="21"/>
        </w:rPr>
      </w:pPr>
    </w:p>
    <w:p w14:paraId="11401D5F">
      <w:pPr>
        <w:shd w:val="clear"/>
        <w:spacing w:line="249" w:lineRule="auto"/>
        <w:rPr>
          <w:rFonts w:hint="eastAsia" w:ascii="宋体" w:hAnsi="宋体" w:eastAsia="宋体" w:cs="宋体"/>
          <w:sz w:val="21"/>
        </w:rPr>
      </w:pPr>
    </w:p>
    <w:p w14:paraId="232DFC43">
      <w:pPr>
        <w:shd w:val="clear"/>
        <w:spacing w:line="250" w:lineRule="auto"/>
        <w:rPr>
          <w:rFonts w:hint="eastAsia" w:ascii="宋体" w:hAnsi="宋体" w:eastAsia="宋体" w:cs="宋体"/>
          <w:sz w:val="21"/>
        </w:rPr>
      </w:pPr>
    </w:p>
    <w:p w14:paraId="16AEB0EB">
      <w:pPr>
        <w:shd w:val="clear"/>
        <w:spacing w:line="250" w:lineRule="auto"/>
        <w:rPr>
          <w:rFonts w:hint="eastAsia" w:ascii="宋体" w:hAnsi="宋体" w:eastAsia="宋体" w:cs="宋体"/>
          <w:sz w:val="21"/>
        </w:rPr>
      </w:pPr>
    </w:p>
    <w:p w14:paraId="20BE586B">
      <w:pPr>
        <w:shd w:val="clear"/>
        <w:spacing w:line="250" w:lineRule="auto"/>
        <w:rPr>
          <w:rFonts w:hint="eastAsia" w:ascii="宋体" w:hAnsi="宋体" w:eastAsia="宋体" w:cs="宋体"/>
          <w:sz w:val="21"/>
        </w:rPr>
      </w:pPr>
    </w:p>
    <w:p w14:paraId="0C68974D">
      <w:pPr>
        <w:shd w:val="clear"/>
        <w:spacing w:line="250" w:lineRule="auto"/>
        <w:rPr>
          <w:rFonts w:hint="eastAsia" w:ascii="宋体" w:hAnsi="宋体" w:eastAsia="宋体" w:cs="宋体"/>
          <w:sz w:val="21"/>
        </w:rPr>
      </w:pPr>
    </w:p>
    <w:p w14:paraId="08E0F526">
      <w:pPr>
        <w:pStyle w:val="3"/>
        <w:shd w:val="clear"/>
        <w:spacing w:before="78" w:line="221" w:lineRule="auto"/>
        <w:ind w:left="2405"/>
        <w:rPr>
          <w:rFonts w:hint="eastAsia" w:ascii="宋体" w:hAnsi="宋体" w:eastAsia="宋体" w:cs="宋体"/>
        </w:rPr>
      </w:pPr>
      <w:r>
        <w:rPr>
          <w:rFonts w:hint="eastAsia" w:ascii="宋体" w:hAnsi="宋体" w:eastAsia="宋体" w:cs="宋体"/>
          <w:spacing w:val="-3"/>
        </w:rPr>
        <w:t>单位名称（盖章</w:t>
      </w:r>
      <w:r>
        <w:rPr>
          <w:rFonts w:hint="eastAsia" w:ascii="宋体" w:hAnsi="宋体" w:eastAsia="宋体" w:cs="宋体"/>
        </w:rPr>
        <w:t>）：</w:t>
      </w:r>
    </w:p>
    <w:p w14:paraId="69F3004B">
      <w:pPr>
        <w:pStyle w:val="3"/>
        <w:shd w:val="clear"/>
        <w:spacing w:before="181" w:line="223" w:lineRule="auto"/>
        <w:ind w:left="3651"/>
        <w:rPr>
          <w:rFonts w:hint="eastAsia" w:ascii="宋体" w:hAnsi="宋体" w:eastAsia="宋体" w:cs="宋体"/>
        </w:rPr>
      </w:pPr>
      <w:r>
        <w:rPr>
          <w:rFonts w:hint="eastAsia" w:ascii="宋体" w:hAnsi="宋体" w:eastAsia="宋体" w:cs="宋体"/>
          <w:spacing w:val="-28"/>
        </w:rPr>
        <w:t>日</w:t>
      </w:r>
      <w:r>
        <w:rPr>
          <w:rFonts w:hint="eastAsia" w:ascii="宋体" w:hAnsi="宋体" w:eastAsia="宋体" w:cs="宋体"/>
          <w:spacing w:val="8"/>
        </w:rPr>
        <w:t xml:space="preserve">  </w:t>
      </w:r>
      <w:r>
        <w:rPr>
          <w:rFonts w:hint="eastAsia" w:ascii="宋体" w:hAnsi="宋体" w:eastAsia="宋体" w:cs="宋体"/>
          <w:spacing w:val="-28"/>
        </w:rPr>
        <w:t>期：</w:t>
      </w:r>
    </w:p>
    <w:p w14:paraId="4F4A5D76">
      <w:pPr>
        <w:shd w:val="clear"/>
        <w:spacing w:line="249" w:lineRule="auto"/>
        <w:rPr>
          <w:rFonts w:hint="eastAsia" w:ascii="宋体" w:hAnsi="宋体" w:eastAsia="宋体" w:cs="宋体"/>
          <w:sz w:val="21"/>
        </w:rPr>
      </w:pPr>
    </w:p>
    <w:p w14:paraId="56A51142">
      <w:pPr>
        <w:shd w:val="clear"/>
        <w:spacing w:line="249" w:lineRule="auto"/>
        <w:rPr>
          <w:rFonts w:hint="eastAsia" w:ascii="宋体" w:hAnsi="宋体" w:eastAsia="宋体" w:cs="宋体"/>
          <w:sz w:val="21"/>
        </w:rPr>
      </w:pPr>
    </w:p>
    <w:p w14:paraId="10200AFA">
      <w:pPr>
        <w:shd w:val="clear"/>
        <w:spacing w:line="249" w:lineRule="auto"/>
        <w:rPr>
          <w:rFonts w:hint="eastAsia" w:ascii="宋体" w:hAnsi="宋体" w:eastAsia="宋体" w:cs="宋体"/>
          <w:sz w:val="21"/>
        </w:rPr>
      </w:pPr>
    </w:p>
    <w:p w14:paraId="6B043A69">
      <w:pPr>
        <w:shd w:val="clear"/>
        <w:spacing w:line="249" w:lineRule="auto"/>
        <w:rPr>
          <w:rFonts w:hint="eastAsia" w:ascii="宋体" w:hAnsi="宋体" w:eastAsia="宋体" w:cs="宋体"/>
          <w:sz w:val="21"/>
        </w:rPr>
      </w:pPr>
    </w:p>
    <w:p w14:paraId="5AE60D3E">
      <w:pPr>
        <w:shd w:val="clear"/>
        <w:spacing w:line="249" w:lineRule="auto"/>
        <w:rPr>
          <w:rFonts w:hint="eastAsia" w:ascii="宋体" w:hAnsi="宋体" w:eastAsia="宋体" w:cs="宋体"/>
          <w:sz w:val="21"/>
        </w:rPr>
      </w:pPr>
    </w:p>
    <w:p w14:paraId="0EEF6310">
      <w:pPr>
        <w:shd w:val="clear"/>
        <w:spacing w:line="249" w:lineRule="auto"/>
        <w:rPr>
          <w:rFonts w:hint="eastAsia" w:ascii="宋体" w:hAnsi="宋体" w:eastAsia="宋体" w:cs="宋体"/>
          <w:sz w:val="21"/>
        </w:rPr>
      </w:pPr>
    </w:p>
    <w:p w14:paraId="0A1E316C">
      <w:pPr>
        <w:pStyle w:val="3"/>
        <w:shd w:val="clear"/>
        <w:spacing w:before="78" w:line="361" w:lineRule="auto"/>
        <w:ind w:right="2" w:firstLine="7"/>
        <w:jc w:val="both"/>
        <w:rPr>
          <w:rFonts w:hint="eastAsia" w:ascii="宋体" w:hAnsi="宋体" w:eastAsia="宋体" w:cs="宋体"/>
        </w:rPr>
      </w:pPr>
      <w:r>
        <w:rPr>
          <w:rFonts w:hint="eastAsia" w:ascii="宋体" w:hAnsi="宋体" w:eastAsia="宋体" w:cs="宋体"/>
          <w:spacing w:val="-2"/>
        </w:rPr>
        <w:t>注：请根据自己的真实情况出具《残疾人福利性单位声明函》。依法享受中小企业优惠政策的，采购人或者采购代理机构在公告成交结果时，同时公告其《残疾人福利性单位声明函》，接受社会监督。</w:t>
      </w:r>
    </w:p>
    <w:p w14:paraId="6674F8B8">
      <w:pPr>
        <w:shd w:val="clear"/>
        <w:spacing w:line="384" w:lineRule="auto"/>
        <w:rPr>
          <w:rFonts w:hint="eastAsia" w:ascii="宋体" w:hAnsi="宋体" w:eastAsia="宋体" w:cs="宋体"/>
          <w:sz w:val="21"/>
        </w:rPr>
      </w:pPr>
    </w:p>
    <w:p w14:paraId="6E836F2B">
      <w:pPr>
        <w:pStyle w:val="3"/>
        <w:shd w:val="clear"/>
        <w:spacing w:before="79" w:line="222" w:lineRule="auto"/>
        <w:ind w:left="6401"/>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3"/>
        </w:rPr>
        <w:t xml:space="preserve">     </w:t>
      </w:r>
      <w:r>
        <w:rPr>
          <w:rFonts w:hint="eastAsia" w:ascii="宋体" w:hAnsi="宋体" w:eastAsia="宋体" w:cs="宋体"/>
          <w:spacing w:val="-16"/>
        </w:rPr>
        <w:t>日</w:t>
      </w:r>
    </w:p>
    <w:p w14:paraId="409A1788">
      <w:pPr>
        <w:shd w:val="clear"/>
        <w:spacing w:line="222" w:lineRule="auto"/>
        <w:rPr>
          <w:rFonts w:hint="eastAsia" w:ascii="宋体" w:hAnsi="宋体" w:eastAsia="宋体" w:cs="宋体"/>
        </w:rPr>
      </w:pPr>
    </w:p>
    <w:p w14:paraId="22FE4AE2">
      <w:pPr>
        <w:shd w:val="clear"/>
        <w:spacing w:line="222" w:lineRule="auto"/>
        <w:rPr>
          <w:rFonts w:hint="eastAsia" w:ascii="宋体" w:hAnsi="宋体" w:eastAsia="宋体" w:cs="宋体"/>
        </w:rPr>
      </w:pPr>
    </w:p>
    <w:p w14:paraId="527DD036">
      <w:pPr>
        <w:shd w:val="clear"/>
        <w:spacing w:line="222" w:lineRule="auto"/>
        <w:rPr>
          <w:rFonts w:hint="eastAsia" w:ascii="宋体" w:hAnsi="宋体" w:eastAsia="宋体" w:cs="宋体"/>
        </w:rPr>
      </w:pPr>
    </w:p>
    <w:p w14:paraId="0212B0C7">
      <w:pPr>
        <w:shd w:val="clear"/>
        <w:spacing w:line="222" w:lineRule="auto"/>
        <w:rPr>
          <w:rFonts w:hint="eastAsia" w:ascii="宋体" w:hAnsi="宋体" w:eastAsia="宋体" w:cs="宋体"/>
        </w:rPr>
      </w:pPr>
    </w:p>
    <w:p w14:paraId="33A8221D">
      <w:pPr>
        <w:shd w:val="clear"/>
        <w:spacing w:line="222" w:lineRule="auto"/>
        <w:rPr>
          <w:rFonts w:hint="eastAsia" w:ascii="宋体" w:hAnsi="宋体" w:eastAsia="宋体" w:cs="宋体"/>
        </w:rPr>
      </w:pPr>
    </w:p>
    <w:p w14:paraId="6B5F9C67">
      <w:pPr>
        <w:shd w:val="clear"/>
        <w:spacing w:line="222" w:lineRule="auto"/>
        <w:rPr>
          <w:rFonts w:hint="eastAsia" w:ascii="宋体" w:hAnsi="宋体" w:eastAsia="宋体" w:cs="宋体"/>
        </w:rPr>
      </w:pPr>
    </w:p>
    <w:p w14:paraId="43A4D2AB">
      <w:pPr>
        <w:shd w:val="clear"/>
        <w:spacing w:line="222" w:lineRule="auto"/>
        <w:rPr>
          <w:rFonts w:hint="eastAsia" w:ascii="宋体" w:hAnsi="宋体" w:eastAsia="宋体" w:cs="宋体"/>
        </w:rPr>
      </w:pPr>
    </w:p>
    <w:p w14:paraId="2318445E">
      <w:pPr>
        <w:shd w:val="clear"/>
        <w:spacing w:line="222" w:lineRule="auto"/>
        <w:rPr>
          <w:rFonts w:hint="eastAsia" w:ascii="宋体" w:hAnsi="宋体" w:eastAsia="宋体" w:cs="宋体"/>
        </w:rPr>
      </w:pPr>
    </w:p>
    <w:p w14:paraId="7879AACD">
      <w:pPr>
        <w:shd w:val="clear"/>
        <w:spacing w:line="222" w:lineRule="auto"/>
        <w:rPr>
          <w:rFonts w:hint="eastAsia" w:ascii="宋体" w:hAnsi="宋体" w:eastAsia="宋体" w:cs="宋体"/>
        </w:rPr>
      </w:pPr>
    </w:p>
    <w:p w14:paraId="470BC4A0">
      <w:pPr>
        <w:shd w:val="clear"/>
        <w:spacing w:line="222" w:lineRule="auto"/>
        <w:rPr>
          <w:rFonts w:hint="eastAsia" w:ascii="宋体" w:hAnsi="宋体" w:eastAsia="宋体" w:cs="宋体"/>
        </w:rPr>
      </w:pPr>
    </w:p>
    <w:p w14:paraId="0E0F563A">
      <w:pPr>
        <w:shd w:val="clear"/>
        <w:spacing w:line="222" w:lineRule="auto"/>
        <w:rPr>
          <w:rFonts w:hint="eastAsia" w:ascii="宋体" w:hAnsi="宋体" w:eastAsia="宋体" w:cs="宋体"/>
        </w:rPr>
      </w:pPr>
    </w:p>
    <w:p w14:paraId="443DE4AD">
      <w:pPr>
        <w:shd w:val="clear"/>
        <w:spacing w:line="222" w:lineRule="auto"/>
        <w:rPr>
          <w:rFonts w:hint="eastAsia" w:ascii="宋体" w:hAnsi="宋体" w:eastAsia="宋体" w:cs="宋体"/>
        </w:rPr>
      </w:pPr>
    </w:p>
    <w:p w14:paraId="69C1FEA4">
      <w:pPr>
        <w:shd w:val="clear"/>
        <w:spacing w:line="222" w:lineRule="auto"/>
        <w:rPr>
          <w:rFonts w:hint="eastAsia" w:ascii="宋体" w:hAnsi="宋体" w:eastAsia="宋体" w:cs="宋体"/>
        </w:rPr>
      </w:pPr>
    </w:p>
    <w:p w14:paraId="64CDD0A1">
      <w:pPr>
        <w:shd w:val="clear"/>
        <w:spacing w:line="222" w:lineRule="auto"/>
        <w:rPr>
          <w:rFonts w:hint="eastAsia" w:ascii="宋体" w:hAnsi="宋体" w:eastAsia="宋体" w:cs="宋体"/>
        </w:rPr>
      </w:pPr>
    </w:p>
    <w:p w14:paraId="411AF872">
      <w:pPr>
        <w:pStyle w:val="3"/>
        <w:shd w:val="clear"/>
        <w:rPr>
          <w:color w:val="auto"/>
          <w:highlight w:val="none"/>
        </w:rPr>
      </w:pPr>
    </w:p>
    <w:p w14:paraId="62994B55">
      <w:pPr>
        <w:widowControl/>
        <w:shd w:val="clear" w:color="auto"/>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5012A8DE">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0166DEF7">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F3F949B">
      <w:pPr>
        <w:widowControl/>
        <w:shd w:val="clear" w:color="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70C6E052">
      <w:pPr>
        <w:widowControl/>
        <w:shd w:val="clear" w:color="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color w:val="auto"/>
          <w:kern w:val="0"/>
          <w:sz w:val="24"/>
          <w:highlight w:val="none"/>
        </w:rPr>
        <w:t>在中国境内完成。</w:t>
      </w:r>
    </w:p>
    <w:p w14:paraId="1D0AEE99">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31229D2A">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4A4BDCFE">
      <w:pPr>
        <w:widowControl/>
        <w:shd w:val="clear" w:color="auto"/>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6BD31C73">
      <w:pPr>
        <w:widowControl/>
        <w:shd w:val="clear" w:color="auto"/>
        <w:spacing w:before="30" w:after="30"/>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2397CA87">
      <w:pPr>
        <w:widowControl/>
        <w:shd w:val="clear" w:color="auto"/>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4F5A2033">
      <w:pPr>
        <w:widowControl/>
        <w:shd w:val="clear" w:color="auto"/>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35491730">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325F50D4">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7EB0A761">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6D896091">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346FCDD8">
      <w:pPr>
        <w:shd w:val="clear"/>
        <w:rPr>
          <w:rFonts w:ascii="宋体" w:hAnsi="宋体"/>
          <w:color w:val="auto"/>
          <w:sz w:val="24"/>
          <w:highlight w:val="none"/>
        </w:rPr>
      </w:pPr>
      <w:r>
        <w:rPr>
          <w:rFonts w:hint="eastAsia" w:ascii="宋体" w:hAnsi="宋体" w:cs="宋体"/>
          <w:color w:val="auto"/>
          <w:kern w:val="0"/>
          <w:szCs w:val="21"/>
          <w:highlight w:val="none"/>
        </w:rPr>
        <w:t>5.该产品的关键工序要求实施前，“关键工序”栏可不填，下同。</w:t>
      </w:r>
      <w:r>
        <w:rPr>
          <w:rFonts w:ascii="宋体" w:hAnsi="宋体"/>
          <w:color w:val="auto"/>
          <w:sz w:val="24"/>
          <w:highlight w:val="none"/>
        </w:rPr>
        <w:br w:type="page"/>
      </w:r>
    </w:p>
    <w:p w14:paraId="4F1F1804">
      <w:pPr>
        <w:shd w:val="clear"/>
        <w:spacing w:line="222" w:lineRule="auto"/>
        <w:rPr>
          <w:rFonts w:hint="eastAsia" w:ascii="宋体" w:hAnsi="宋体" w:eastAsia="宋体" w:cs="宋体"/>
        </w:rPr>
        <w:sectPr>
          <w:footerReference r:id="rId24" w:type="default"/>
          <w:pgSz w:w="11906" w:h="16839"/>
          <w:pgMar w:top="1440" w:right="1080" w:bottom="1440" w:left="1080" w:header="0" w:footer="1200" w:gutter="0"/>
          <w:pgNumType w:fmt="decimal"/>
          <w:cols w:space="720" w:num="1"/>
        </w:sectPr>
      </w:pPr>
    </w:p>
    <w:p w14:paraId="752682E7">
      <w:pPr>
        <w:pStyle w:val="3"/>
        <w:shd w:val="clear"/>
        <w:spacing w:before="101" w:line="228" w:lineRule="auto"/>
        <w:rPr>
          <w:rFonts w:hint="eastAsia" w:ascii="宋体" w:hAnsi="宋体" w:eastAsia="宋体" w:cs="宋体"/>
          <w:sz w:val="31"/>
          <w:szCs w:val="31"/>
        </w:rPr>
      </w:pPr>
      <w:r>
        <w:rPr>
          <w:rFonts w:hint="eastAsia" w:ascii="宋体" w:hAnsi="宋体" w:eastAsia="宋体" w:cs="宋体"/>
          <w:b/>
          <w:bCs/>
          <w:spacing w:val="3"/>
          <w:sz w:val="31"/>
          <w:szCs w:val="31"/>
        </w:rPr>
        <w:t>二、报价文件格式</w:t>
      </w:r>
    </w:p>
    <w:p w14:paraId="74D24F8D">
      <w:pPr>
        <w:pStyle w:val="3"/>
        <w:shd w:val="clear"/>
        <w:spacing w:before="291" w:line="228" w:lineRule="auto"/>
        <w:ind w:left="3"/>
        <w:rPr>
          <w:rFonts w:hint="eastAsia" w:ascii="宋体" w:hAnsi="宋体" w:eastAsia="宋体" w:cs="宋体"/>
          <w:sz w:val="31"/>
          <w:szCs w:val="31"/>
        </w:rPr>
      </w:pPr>
      <w:r>
        <w:rPr>
          <w:rFonts w:hint="eastAsia" w:ascii="宋体" w:hAnsi="宋体" w:eastAsia="宋体" w:cs="宋体"/>
          <w:b/>
          <w:bCs/>
          <w:spacing w:val="3"/>
          <w:sz w:val="31"/>
          <w:szCs w:val="31"/>
        </w:rPr>
        <w:t>1.报价文件封面格式</w:t>
      </w:r>
    </w:p>
    <w:p w14:paraId="2DF0E0B1">
      <w:pPr>
        <w:shd w:val="clear"/>
        <w:spacing w:line="279" w:lineRule="auto"/>
        <w:rPr>
          <w:rFonts w:hint="eastAsia" w:ascii="宋体" w:hAnsi="宋体" w:eastAsia="宋体" w:cs="宋体"/>
          <w:sz w:val="21"/>
        </w:rPr>
      </w:pPr>
    </w:p>
    <w:p w14:paraId="3ADA5320">
      <w:pPr>
        <w:shd w:val="clear"/>
        <w:spacing w:line="279" w:lineRule="auto"/>
        <w:rPr>
          <w:rFonts w:hint="eastAsia" w:ascii="宋体" w:hAnsi="宋体" w:eastAsia="宋体" w:cs="宋体"/>
          <w:sz w:val="21"/>
        </w:rPr>
      </w:pPr>
    </w:p>
    <w:p w14:paraId="2546A9BB">
      <w:pPr>
        <w:shd w:val="clear"/>
        <w:spacing w:line="280" w:lineRule="auto"/>
        <w:rPr>
          <w:rFonts w:hint="eastAsia" w:ascii="宋体" w:hAnsi="宋体" w:eastAsia="宋体" w:cs="宋体"/>
          <w:sz w:val="21"/>
        </w:rPr>
      </w:pPr>
    </w:p>
    <w:p w14:paraId="7BB11262">
      <w:pPr>
        <w:pStyle w:val="3"/>
        <w:shd w:val="clear"/>
        <w:spacing w:before="140" w:line="226" w:lineRule="auto"/>
        <w:ind w:left="2712"/>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18DD5262">
      <w:pPr>
        <w:shd w:val="clear"/>
        <w:spacing w:line="247" w:lineRule="auto"/>
        <w:rPr>
          <w:rFonts w:hint="eastAsia" w:ascii="宋体" w:hAnsi="宋体" w:eastAsia="宋体" w:cs="宋体"/>
          <w:sz w:val="21"/>
        </w:rPr>
      </w:pPr>
    </w:p>
    <w:p w14:paraId="73FEDECC">
      <w:pPr>
        <w:shd w:val="clear"/>
        <w:spacing w:line="247" w:lineRule="auto"/>
        <w:rPr>
          <w:rFonts w:hint="eastAsia" w:ascii="宋体" w:hAnsi="宋体" w:eastAsia="宋体" w:cs="宋体"/>
          <w:sz w:val="21"/>
        </w:rPr>
      </w:pPr>
    </w:p>
    <w:p w14:paraId="5DF9705C">
      <w:pPr>
        <w:shd w:val="clear"/>
        <w:spacing w:line="247" w:lineRule="auto"/>
        <w:rPr>
          <w:rFonts w:hint="eastAsia" w:ascii="宋体" w:hAnsi="宋体" w:eastAsia="宋体" w:cs="宋体"/>
          <w:sz w:val="21"/>
        </w:rPr>
      </w:pPr>
    </w:p>
    <w:p w14:paraId="40B67249">
      <w:pPr>
        <w:shd w:val="clear"/>
        <w:spacing w:line="247" w:lineRule="auto"/>
        <w:rPr>
          <w:rFonts w:hint="eastAsia" w:ascii="宋体" w:hAnsi="宋体" w:eastAsia="宋体" w:cs="宋体"/>
          <w:sz w:val="21"/>
        </w:rPr>
      </w:pPr>
    </w:p>
    <w:p w14:paraId="3E919E4A">
      <w:pPr>
        <w:pStyle w:val="3"/>
        <w:shd w:val="clear"/>
        <w:spacing w:before="140" w:line="226" w:lineRule="auto"/>
        <w:ind w:left="2995"/>
        <w:rPr>
          <w:rFonts w:hint="eastAsia" w:ascii="宋体" w:hAnsi="宋体" w:eastAsia="宋体" w:cs="宋体"/>
          <w:sz w:val="43"/>
          <w:szCs w:val="43"/>
        </w:rPr>
      </w:pPr>
      <w:r>
        <w:rPr>
          <w:rFonts w:hint="eastAsia" w:ascii="宋体" w:hAnsi="宋体" w:eastAsia="宋体" w:cs="宋体"/>
          <w:spacing w:val="-16"/>
          <w:sz w:val="43"/>
          <w:szCs w:val="43"/>
        </w:rPr>
        <w:t>报</w:t>
      </w:r>
      <w:r>
        <w:rPr>
          <w:rFonts w:hint="eastAsia" w:ascii="宋体" w:hAnsi="宋体" w:eastAsia="宋体" w:cs="宋体"/>
          <w:spacing w:val="20"/>
          <w:sz w:val="43"/>
          <w:szCs w:val="43"/>
        </w:rPr>
        <w:t xml:space="preserve">  </w:t>
      </w:r>
      <w:r>
        <w:rPr>
          <w:rFonts w:hint="eastAsia" w:ascii="宋体" w:hAnsi="宋体" w:eastAsia="宋体" w:cs="宋体"/>
          <w:spacing w:val="-16"/>
          <w:sz w:val="43"/>
          <w:szCs w:val="43"/>
        </w:rPr>
        <w:t>价</w:t>
      </w:r>
      <w:r>
        <w:rPr>
          <w:rFonts w:hint="eastAsia" w:ascii="宋体" w:hAnsi="宋体" w:eastAsia="宋体" w:cs="宋体"/>
          <w:spacing w:val="21"/>
          <w:sz w:val="43"/>
          <w:szCs w:val="43"/>
        </w:rPr>
        <w:t xml:space="preserve">  </w:t>
      </w:r>
      <w:r>
        <w:rPr>
          <w:rFonts w:hint="eastAsia" w:ascii="宋体" w:hAnsi="宋体" w:eastAsia="宋体" w:cs="宋体"/>
          <w:spacing w:val="-16"/>
          <w:sz w:val="43"/>
          <w:szCs w:val="43"/>
        </w:rPr>
        <w:t>文</w:t>
      </w:r>
      <w:r>
        <w:rPr>
          <w:rFonts w:hint="eastAsia" w:ascii="宋体" w:hAnsi="宋体" w:eastAsia="宋体" w:cs="宋体"/>
          <w:spacing w:val="20"/>
          <w:sz w:val="43"/>
          <w:szCs w:val="43"/>
        </w:rPr>
        <w:t xml:space="preserve">  </w:t>
      </w:r>
      <w:r>
        <w:rPr>
          <w:rFonts w:hint="eastAsia" w:ascii="宋体" w:hAnsi="宋体" w:eastAsia="宋体" w:cs="宋体"/>
          <w:spacing w:val="-16"/>
          <w:sz w:val="43"/>
          <w:szCs w:val="43"/>
        </w:rPr>
        <w:t>件</w:t>
      </w:r>
    </w:p>
    <w:p w14:paraId="22A49CDF">
      <w:pPr>
        <w:shd w:val="clear"/>
        <w:rPr>
          <w:rFonts w:hint="eastAsia" w:ascii="宋体" w:hAnsi="宋体" w:eastAsia="宋体" w:cs="宋体"/>
          <w:sz w:val="21"/>
        </w:rPr>
      </w:pPr>
    </w:p>
    <w:p w14:paraId="330D299C">
      <w:pPr>
        <w:shd w:val="clear"/>
        <w:rPr>
          <w:rFonts w:hint="eastAsia" w:ascii="宋体" w:hAnsi="宋体" w:eastAsia="宋体" w:cs="宋体"/>
          <w:sz w:val="21"/>
        </w:rPr>
      </w:pPr>
    </w:p>
    <w:p w14:paraId="4141525E">
      <w:pPr>
        <w:shd w:val="clear"/>
        <w:rPr>
          <w:rFonts w:hint="eastAsia" w:ascii="宋体" w:hAnsi="宋体" w:eastAsia="宋体" w:cs="宋体"/>
          <w:sz w:val="21"/>
        </w:rPr>
      </w:pPr>
    </w:p>
    <w:p w14:paraId="4414D4D1">
      <w:pPr>
        <w:shd w:val="clear"/>
        <w:rPr>
          <w:rFonts w:hint="eastAsia" w:ascii="宋体" w:hAnsi="宋体" w:eastAsia="宋体" w:cs="宋体"/>
          <w:sz w:val="21"/>
        </w:rPr>
      </w:pPr>
    </w:p>
    <w:p w14:paraId="2B927BE2">
      <w:pPr>
        <w:shd w:val="clear"/>
        <w:rPr>
          <w:rFonts w:hint="eastAsia" w:ascii="宋体" w:hAnsi="宋体" w:eastAsia="宋体" w:cs="宋体"/>
          <w:sz w:val="21"/>
        </w:rPr>
      </w:pPr>
    </w:p>
    <w:p w14:paraId="5C38953C">
      <w:pPr>
        <w:shd w:val="clear"/>
        <w:spacing w:line="241" w:lineRule="auto"/>
        <w:rPr>
          <w:rFonts w:hint="eastAsia" w:ascii="宋体" w:hAnsi="宋体" w:eastAsia="宋体" w:cs="宋体"/>
          <w:sz w:val="21"/>
        </w:rPr>
      </w:pPr>
    </w:p>
    <w:p w14:paraId="3558180F">
      <w:pPr>
        <w:shd w:val="clear"/>
        <w:spacing w:line="241" w:lineRule="auto"/>
        <w:rPr>
          <w:rFonts w:hint="eastAsia" w:ascii="宋体" w:hAnsi="宋体" w:eastAsia="宋体" w:cs="宋体"/>
          <w:sz w:val="21"/>
        </w:rPr>
      </w:pPr>
    </w:p>
    <w:p w14:paraId="4AF8AC7A">
      <w:pPr>
        <w:shd w:val="clear"/>
        <w:spacing w:line="241" w:lineRule="auto"/>
        <w:rPr>
          <w:rFonts w:hint="eastAsia" w:ascii="宋体" w:hAnsi="宋体" w:eastAsia="宋体" w:cs="宋体"/>
          <w:sz w:val="21"/>
        </w:rPr>
      </w:pPr>
    </w:p>
    <w:p w14:paraId="6CF13AD2">
      <w:pPr>
        <w:shd w:val="clear"/>
        <w:spacing w:line="241" w:lineRule="auto"/>
        <w:rPr>
          <w:rFonts w:hint="eastAsia" w:ascii="宋体" w:hAnsi="宋体" w:eastAsia="宋体" w:cs="宋体"/>
          <w:sz w:val="21"/>
        </w:rPr>
      </w:pPr>
    </w:p>
    <w:p w14:paraId="6A291ABC">
      <w:pPr>
        <w:shd w:val="clear"/>
        <w:spacing w:line="241" w:lineRule="auto"/>
        <w:rPr>
          <w:rFonts w:hint="eastAsia" w:ascii="宋体" w:hAnsi="宋体" w:eastAsia="宋体" w:cs="宋体"/>
          <w:sz w:val="21"/>
        </w:rPr>
      </w:pPr>
    </w:p>
    <w:p w14:paraId="7AA1F9FF">
      <w:pPr>
        <w:pStyle w:val="3"/>
        <w:shd w:val="clear"/>
        <w:spacing w:before="101" w:line="226" w:lineRule="auto"/>
        <w:ind w:left="631"/>
        <w:rPr>
          <w:rFonts w:hint="eastAsia" w:ascii="宋体" w:hAnsi="宋体" w:eastAsia="宋体" w:cs="宋体"/>
          <w:sz w:val="31"/>
          <w:szCs w:val="31"/>
        </w:rPr>
      </w:pPr>
      <w:r>
        <w:rPr>
          <w:rFonts w:hint="eastAsia" w:ascii="宋体" w:hAnsi="宋体" w:eastAsia="宋体" w:cs="宋体"/>
          <w:spacing w:val="3"/>
          <w:sz w:val="31"/>
          <w:szCs w:val="31"/>
        </w:rPr>
        <w:t>项目名称：</w:t>
      </w:r>
    </w:p>
    <w:p w14:paraId="50483DB4">
      <w:pPr>
        <w:shd w:val="clear"/>
        <w:spacing w:line="327" w:lineRule="auto"/>
        <w:rPr>
          <w:rFonts w:hint="eastAsia" w:ascii="宋体" w:hAnsi="宋体" w:eastAsia="宋体" w:cs="宋体"/>
          <w:sz w:val="21"/>
        </w:rPr>
      </w:pPr>
    </w:p>
    <w:p w14:paraId="44B01EBC">
      <w:pPr>
        <w:shd w:val="clear"/>
        <w:spacing w:line="328" w:lineRule="auto"/>
        <w:rPr>
          <w:rFonts w:hint="eastAsia" w:ascii="宋体" w:hAnsi="宋体" w:eastAsia="宋体" w:cs="宋体"/>
          <w:sz w:val="21"/>
        </w:rPr>
      </w:pPr>
    </w:p>
    <w:p w14:paraId="6DE0B087">
      <w:pPr>
        <w:pStyle w:val="3"/>
        <w:shd w:val="clear"/>
        <w:spacing w:before="101" w:line="229" w:lineRule="auto"/>
        <w:ind w:left="631"/>
        <w:rPr>
          <w:rFonts w:hint="eastAsia" w:ascii="宋体" w:hAnsi="宋体" w:eastAsia="宋体" w:cs="宋体"/>
          <w:sz w:val="31"/>
          <w:szCs w:val="31"/>
        </w:rPr>
      </w:pPr>
      <w:r>
        <w:rPr>
          <w:rFonts w:hint="eastAsia" w:ascii="宋体" w:hAnsi="宋体" w:eastAsia="宋体" w:cs="宋体"/>
          <w:spacing w:val="3"/>
          <w:sz w:val="31"/>
          <w:szCs w:val="31"/>
        </w:rPr>
        <w:t>项目编号：</w:t>
      </w:r>
    </w:p>
    <w:p w14:paraId="45037ABD">
      <w:pPr>
        <w:shd w:val="clear"/>
        <w:spacing w:line="326" w:lineRule="auto"/>
        <w:rPr>
          <w:rFonts w:hint="eastAsia" w:ascii="宋体" w:hAnsi="宋体" w:eastAsia="宋体" w:cs="宋体"/>
          <w:sz w:val="21"/>
        </w:rPr>
      </w:pPr>
    </w:p>
    <w:p w14:paraId="70044338">
      <w:pPr>
        <w:shd w:val="clear"/>
        <w:spacing w:line="326" w:lineRule="auto"/>
        <w:rPr>
          <w:rFonts w:hint="eastAsia" w:ascii="宋体" w:hAnsi="宋体" w:eastAsia="宋体" w:cs="宋体"/>
          <w:sz w:val="21"/>
        </w:rPr>
      </w:pPr>
    </w:p>
    <w:p w14:paraId="35737A29">
      <w:pPr>
        <w:pStyle w:val="3"/>
        <w:shd w:val="clear"/>
        <w:spacing w:before="101" w:line="228" w:lineRule="auto"/>
        <w:jc w:val="right"/>
        <w:rPr>
          <w:rFonts w:hint="eastAsia" w:ascii="宋体" w:hAnsi="宋体" w:eastAsia="宋体" w:cs="宋体"/>
          <w:sz w:val="31"/>
          <w:szCs w:val="31"/>
        </w:rPr>
      </w:pPr>
      <w:r>
        <w:rPr>
          <w:rFonts w:hint="eastAsia" w:ascii="宋体" w:hAnsi="宋体" w:eastAsia="宋体" w:cs="宋体"/>
          <w:spacing w:val="7"/>
          <w:sz w:val="31"/>
          <w:szCs w:val="31"/>
        </w:rPr>
        <w:t>所竞分标（如有则填写，无分标时填写“无</w:t>
      </w:r>
      <w:r>
        <w:rPr>
          <w:rFonts w:hint="eastAsia" w:ascii="宋体" w:hAnsi="宋体" w:eastAsia="宋体" w:cs="宋体"/>
          <w:spacing w:val="-112"/>
          <w:sz w:val="31"/>
          <w:szCs w:val="31"/>
        </w:rPr>
        <w:t xml:space="preserve"> </w:t>
      </w:r>
      <w:r>
        <w:rPr>
          <w:rFonts w:hint="eastAsia" w:ascii="宋体" w:hAnsi="宋体" w:eastAsia="宋体" w:cs="宋体"/>
          <w:spacing w:val="7"/>
          <w:sz w:val="31"/>
          <w:szCs w:val="31"/>
        </w:rPr>
        <w:t>”或者留空</w:t>
      </w:r>
      <w:r>
        <w:rPr>
          <w:rFonts w:hint="eastAsia" w:ascii="宋体" w:hAnsi="宋体" w:eastAsia="宋体" w:cs="宋体"/>
          <w:spacing w:val="-25"/>
          <w:sz w:val="31"/>
          <w:szCs w:val="31"/>
        </w:rPr>
        <w:t>）：</w:t>
      </w:r>
    </w:p>
    <w:p w14:paraId="387F6A46">
      <w:pPr>
        <w:shd w:val="clear"/>
        <w:spacing w:line="275" w:lineRule="auto"/>
        <w:rPr>
          <w:rFonts w:hint="eastAsia" w:ascii="宋体" w:hAnsi="宋体" w:eastAsia="宋体" w:cs="宋体"/>
          <w:sz w:val="21"/>
        </w:rPr>
      </w:pPr>
    </w:p>
    <w:p w14:paraId="0C4ED4E9">
      <w:pPr>
        <w:shd w:val="clear"/>
        <w:spacing w:line="275" w:lineRule="auto"/>
        <w:rPr>
          <w:rFonts w:hint="eastAsia" w:ascii="宋体" w:hAnsi="宋体" w:eastAsia="宋体" w:cs="宋体"/>
          <w:sz w:val="21"/>
        </w:rPr>
      </w:pPr>
    </w:p>
    <w:p w14:paraId="254183B6">
      <w:pPr>
        <w:pStyle w:val="3"/>
        <w:shd w:val="clear"/>
        <w:spacing w:before="102" w:line="226" w:lineRule="auto"/>
        <w:ind w:left="631"/>
        <w:rPr>
          <w:rFonts w:hint="eastAsia" w:ascii="宋体" w:hAnsi="宋体" w:eastAsia="宋体" w:cs="宋体"/>
          <w:sz w:val="31"/>
          <w:szCs w:val="31"/>
        </w:rPr>
      </w:pPr>
      <w:r>
        <w:rPr>
          <w:rFonts w:hint="eastAsia" w:ascii="宋体" w:hAnsi="宋体" w:eastAsia="宋体" w:cs="宋体"/>
          <w:spacing w:val="4"/>
          <w:sz w:val="31"/>
          <w:szCs w:val="31"/>
        </w:rPr>
        <w:t>供应商名称：</w:t>
      </w:r>
    </w:p>
    <w:p w14:paraId="0284A200">
      <w:pPr>
        <w:shd w:val="clear"/>
        <w:spacing w:line="242" w:lineRule="auto"/>
        <w:rPr>
          <w:rFonts w:hint="eastAsia" w:ascii="宋体" w:hAnsi="宋体" w:eastAsia="宋体" w:cs="宋体"/>
          <w:sz w:val="21"/>
        </w:rPr>
      </w:pPr>
    </w:p>
    <w:p w14:paraId="080AF363">
      <w:pPr>
        <w:shd w:val="clear"/>
        <w:spacing w:line="242" w:lineRule="auto"/>
        <w:rPr>
          <w:rFonts w:hint="eastAsia" w:ascii="宋体" w:hAnsi="宋体" w:eastAsia="宋体" w:cs="宋体"/>
          <w:sz w:val="21"/>
        </w:rPr>
      </w:pPr>
    </w:p>
    <w:p w14:paraId="4CB0B83E">
      <w:pPr>
        <w:shd w:val="clear"/>
        <w:spacing w:line="242" w:lineRule="auto"/>
        <w:rPr>
          <w:rFonts w:hint="eastAsia" w:ascii="宋体" w:hAnsi="宋体" w:eastAsia="宋体" w:cs="宋体"/>
          <w:sz w:val="21"/>
        </w:rPr>
      </w:pPr>
    </w:p>
    <w:p w14:paraId="3A0191B0">
      <w:pPr>
        <w:shd w:val="clear"/>
        <w:spacing w:line="242" w:lineRule="auto"/>
        <w:rPr>
          <w:rFonts w:hint="eastAsia" w:ascii="宋体" w:hAnsi="宋体" w:eastAsia="宋体" w:cs="宋体"/>
          <w:sz w:val="21"/>
        </w:rPr>
      </w:pPr>
    </w:p>
    <w:p w14:paraId="3B32604F">
      <w:pPr>
        <w:shd w:val="clear"/>
        <w:spacing w:line="242" w:lineRule="auto"/>
        <w:rPr>
          <w:rFonts w:hint="eastAsia" w:ascii="宋体" w:hAnsi="宋体" w:eastAsia="宋体" w:cs="宋体"/>
          <w:sz w:val="21"/>
        </w:rPr>
      </w:pPr>
    </w:p>
    <w:p w14:paraId="7EE540D1">
      <w:pPr>
        <w:shd w:val="clear"/>
        <w:spacing w:line="243" w:lineRule="auto"/>
        <w:rPr>
          <w:rFonts w:hint="eastAsia" w:ascii="宋体" w:hAnsi="宋体" w:eastAsia="宋体" w:cs="宋体"/>
          <w:sz w:val="21"/>
        </w:rPr>
      </w:pPr>
    </w:p>
    <w:p w14:paraId="12C5FCD6">
      <w:pPr>
        <w:shd w:val="clear"/>
        <w:spacing w:line="243" w:lineRule="auto"/>
        <w:rPr>
          <w:rFonts w:hint="eastAsia" w:ascii="宋体" w:hAnsi="宋体" w:eastAsia="宋体" w:cs="宋体"/>
          <w:sz w:val="21"/>
        </w:rPr>
      </w:pPr>
    </w:p>
    <w:p w14:paraId="0A11FB40">
      <w:pPr>
        <w:pStyle w:val="3"/>
        <w:shd w:val="clear"/>
        <w:spacing w:before="101" w:line="228" w:lineRule="auto"/>
        <w:ind w:left="3413"/>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3A9DE1BB">
      <w:pPr>
        <w:shd w:val="clear"/>
        <w:spacing w:line="228" w:lineRule="auto"/>
        <w:rPr>
          <w:rFonts w:hint="eastAsia" w:ascii="宋体" w:hAnsi="宋体" w:eastAsia="宋体" w:cs="宋体"/>
          <w:sz w:val="31"/>
          <w:szCs w:val="31"/>
        </w:rPr>
        <w:sectPr>
          <w:footerReference r:id="rId25" w:type="default"/>
          <w:pgSz w:w="11906" w:h="16839"/>
          <w:pgMar w:top="1440" w:right="1080" w:bottom="1440" w:left="1080" w:header="0" w:footer="1200" w:gutter="0"/>
          <w:pgNumType w:fmt="decimal"/>
          <w:cols w:space="720" w:num="1"/>
        </w:sectPr>
      </w:pPr>
    </w:p>
    <w:p w14:paraId="6E264C86">
      <w:pPr>
        <w:pStyle w:val="3"/>
        <w:shd w:val="clear"/>
        <w:spacing w:before="101" w:line="228" w:lineRule="auto"/>
        <w:ind w:left="79"/>
        <w:rPr>
          <w:rFonts w:hint="eastAsia" w:ascii="宋体" w:hAnsi="宋体" w:eastAsia="宋体" w:cs="宋体"/>
          <w:sz w:val="31"/>
          <w:szCs w:val="31"/>
        </w:rPr>
      </w:pPr>
      <w:r>
        <w:rPr>
          <w:rFonts w:hint="eastAsia" w:ascii="宋体" w:hAnsi="宋体" w:eastAsia="宋体" w:cs="宋体"/>
          <w:b/>
          <w:bCs/>
          <w:spacing w:val="4"/>
          <w:sz w:val="31"/>
          <w:szCs w:val="31"/>
        </w:rPr>
        <w:t>2.报价文件目录</w:t>
      </w:r>
    </w:p>
    <w:p w14:paraId="4EB991F5">
      <w:pPr>
        <w:shd w:val="clear"/>
        <w:spacing w:line="280" w:lineRule="auto"/>
        <w:rPr>
          <w:rFonts w:hint="eastAsia" w:ascii="宋体" w:hAnsi="宋体" w:eastAsia="宋体" w:cs="宋体"/>
          <w:sz w:val="21"/>
        </w:rPr>
      </w:pPr>
    </w:p>
    <w:p w14:paraId="215D40B0">
      <w:pPr>
        <w:pStyle w:val="3"/>
        <w:shd w:val="clear"/>
        <w:spacing w:before="100" w:line="226" w:lineRule="auto"/>
        <w:jc w:val="right"/>
        <w:rPr>
          <w:rFonts w:hint="eastAsia" w:ascii="宋体" w:hAnsi="宋体" w:eastAsia="宋体" w:cs="宋体"/>
          <w:sz w:val="31"/>
          <w:szCs w:val="31"/>
        </w:rPr>
      </w:pPr>
      <w:r>
        <w:rPr>
          <w:rFonts w:hint="eastAsia" w:ascii="宋体" w:hAnsi="宋体" w:eastAsia="宋体" w:cs="宋体"/>
          <w:spacing w:val="9"/>
          <w:sz w:val="31"/>
          <w:szCs w:val="31"/>
        </w:rPr>
        <w:t>根据磋商文件规定及供应商提供的材料自行编写目录（部分格式</w:t>
      </w:r>
    </w:p>
    <w:p w14:paraId="318FE195">
      <w:pPr>
        <w:pStyle w:val="3"/>
        <w:shd w:val="clear"/>
        <w:spacing w:before="141" w:line="229" w:lineRule="auto"/>
        <w:ind w:left="3841"/>
        <w:rPr>
          <w:rFonts w:hint="eastAsia" w:ascii="宋体" w:hAnsi="宋体" w:eastAsia="宋体" w:cs="宋体"/>
          <w:sz w:val="31"/>
          <w:szCs w:val="31"/>
        </w:rPr>
      </w:pPr>
      <w:r>
        <w:rPr>
          <w:rFonts w:hint="eastAsia" w:ascii="宋体" w:hAnsi="宋体" w:eastAsia="宋体" w:cs="宋体"/>
          <w:spacing w:val="-2"/>
          <w:sz w:val="31"/>
          <w:szCs w:val="31"/>
        </w:rPr>
        <w:t>后附）。</w:t>
      </w:r>
    </w:p>
    <w:p w14:paraId="60AA9457">
      <w:pPr>
        <w:shd w:val="clear"/>
        <w:spacing w:line="229" w:lineRule="auto"/>
        <w:rPr>
          <w:rFonts w:hint="eastAsia" w:ascii="宋体" w:hAnsi="宋体" w:eastAsia="宋体" w:cs="宋体"/>
          <w:sz w:val="31"/>
          <w:szCs w:val="31"/>
        </w:rPr>
        <w:sectPr>
          <w:footerReference r:id="rId26" w:type="default"/>
          <w:pgSz w:w="11906" w:h="16839"/>
          <w:pgMar w:top="1440" w:right="1080" w:bottom="1440" w:left="1080" w:header="0" w:footer="1200" w:gutter="0"/>
          <w:pgNumType w:fmt="decimal"/>
          <w:cols w:space="720" w:num="1"/>
        </w:sectPr>
      </w:pPr>
    </w:p>
    <w:p w14:paraId="57EA152B">
      <w:pPr>
        <w:pStyle w:val="3"/>
        <w:shd w:val="clear"/>
        <w:spacing w:before="139" w:line="226" w:lineRule="auto"/>
        <w:ind w:left="2580"/>
        <w:rPr>
          <w:rFonts w:hint="eastAsia" w:ascii="宋体" w:hAnsi="宋体" w:eastAsia="宋体" w:cs="宋体"/>
          <w:sz w:val="43"/>
          <w:szCs w:val="43"/>
        </w:rPr>
      </w:pPr>
      <w:r>
        <w:rPr>
          <w:rFonts w:hint="eastAsia" w:ascii="宋体" w:hAnsi="宋体" w:eastAsia="宋体" w:cs="宋体"/>
          <w:spacing w:val="-19"/>
          <w:sz w:val="43"/>
          <w:szCs w:val="43"/>
        </w:rPr>
        <w:t>竞</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标</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报</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价</w:t>
      </w:r>
      <w:r>
        <w:rPr>
          <w:rFonts w:hint="eastAsia" w:ascii="宋体" w:hAnsi="宋体" w:eastAsia="宋体" w:cs="宋体"/>
          <w:spacing w:val="23"/>
          <w:sz w:val="43"/>
          <w:szCs w:val="43"/>
        </w:rPr>
        <w:t xml:space="preserve">  </w:t>
      </w:r>
      <w:r>
        <w:rPr>
          <w:rFonts w:hint="eastAsia" w:ascii="宋体" w:hAnsi="宋体" w:eastAsia="宋体" w:cs="宋体"/>
          <w:spacing w:val="-19"/>
          <w:sz w:val="43"/>
          <w:szCs w:val="43"/>
        </w:rPr>
        <w:t>表</w:t>
      </w:r>
    </w:p>
    <w:p w14:paraId="61394FDB">
      <w:pPr>
        <w:shd w:val="clear"/>
        <w:spacing w:line="427" w:lineRule="auto"/>
        <w:rPr>
          <w:rFonts w:hint="eastAsia" w:ascii="宋体" w:hAnsi="宋体" w:eastAsia="宋体" w:cs="宋体"/>
          <w:sz w:val="21"/>
        </w:rPr>
      </w:pPr>
    </w:p>
    <w:p w14:paraId="437FD2AC">
      <w:pPr>
        <w:pStyle w:val="3"/>
        <w:shd w:val="clear"/>
        <w:spacing w:before="178" w:line="221" w:lineRule="auto"/>
        <w:ind w:left="5763"/>
        <w:jc w:val="center"/>
        <w:rPr>
          <w:rFonts w:hint="eastAsia" w:ascii="宋体" w:hAnsi="宋体" w:eastAsia="宋体" w:cs="宋体"/>
          <w:b/>
          <w:bCs/>
        </w:rPr>
      </w:pPr>
      <w:r>
        <w:rPr>
          <w:rFonts w:hint="eastAsia" w:ascii="宋体" w:hAnsi="宋体" w:eastAsia="宋体" w:cs="宋体"/>
          <w:spacing w:val="-1"/>
          <w:lang w:val="en-US" w:eastAsia="zh-CN"/>
        </w:rPr>
        <w:t xml:space="preserve"> </w:t>
      </w:r>
      <w:r>
        <w:rPr>
          <w:rFonts w:hint="eastAsia" w:ascii="宋体" w:hAnsi="宋体" w:eastAsia="宋体" w:cs="宋体"/>
          <w:b/>
          <w:bCs/>
          <w:spacing w:val="-1"/>
          <w:lang w:val="en-US" w:eastAsia="zh-CN"/>
        </w:rPr>
        <w:t xml:space="preserve"> </w:t>
      </w:r>
      <w:r>
        <w:rPr>
          <w:rFonts w:hint="eastAsia" w:ascii="宋体" w:hAnsi="宋体" w:eastAsia="宋体" w:cs="宋体"/>
          <w:b/>
          <w:bCs/>
          <w:spacing w:val="-1"/>
        </w:rPr>
        <w:t>单位：元</w:t>
      </w:r>
    </w:p>
    <w:tbl>
      <w:tblPr>
        <w:tblStyle w:val="11"/>
        <w:tblW w:w="9789" w:type="dxa"/>
        <w:tblInd w:w="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5"/>
        <w:gridCol w:w="3885"/>
        <w:gridCol w:w="857"/>
        <w:gridCol w:w="842"/>
        <w:gridCol w:w="1343"/>
        <w:gridCol w:w="1459"/>
        <w:gridCol w:w="818"/>
      </w:tblGrid>
      <w:tr w14:paraId="17FF4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585" w:type="dxa"/>
            <w:vAlign w:val="center"/>
          </w:tcPr>
          <w:p w14:paraId="4E1CC4C0">
            <w:pPr>
              <w:pStyle w:val="12"/>
              <w:shd w:val="clear"/>
              <w:spacing w:before="175" w:line="202" w:lineRule="auto"/>
              <w:jc w:val="center"/>
              <w:rPr>
                <w:rFonts w:hint="eastAsia" w:ascii="宋体" w:hAnsi="宋体" w:eastAsia="宋体" w:cs="宋体"/>
              </w:rPr>
            </w:pPr>
            <w:r>
              <w:rPr>
                <w:rFonts w:hint="eastAsia" w:ascii="宋体" w:hAnsi="宋体" w:eastAsia="宋体" w:cs="宋体"/>
                <w:spacing w:val="5"/>
              </w:rPr>
              <w:t>序号</w:t>
            </w:r>
          </w:p>
        </w:tc>
        <w:tc>
          <w:tcPr>
            <w:tcW w:w="3885" w:type="dxa"/>
            <w:vAlign w:val="center"/>
          </w:tcPr>
          <w:p w14:paraId="7230F465">
            <w:pPr>
              <w:shd w:val="clear"/>
              <w:spacing w:line="329" w:lineRule="auto"/>
              <w:jc w:val="center"/>
              <w:rPr>
                <w:rFonts w:hint="eastAsia" w:ascii="宋体" w:hAnsi="宋体" w:eastAsia="宋体" w:cs="宋体"/>
                <w:sz w:val="21"/>
              </w:rPr>
            </w:pPr>
          </w:p>
          <w:p w14:paraId="0640B4A7">
            <w:pPr>
              <w:pStyle w:val="12"/>
              <w:shd w:val="clear"/>
              <w:spacing w:before="78" w:line="221" w:lineRule="auto"/>
              <w:ind w:left="1185"/>
              <w:jc w:val="both"/>
              <w:rPr>
                <w:rFonts w:hint="eastAsia" w:ascii="宋体" w:hAnsi="宋体" w:eastAsia="宋体" w:cs="宋体"/>
              </w:rPr>
            </w:pPr>
            <w:r>
              <w:rPr>
                <w:rFonts w:hint="eastAsia" w:ascii="宋体" w:hAnsi="宋体" w:eastAsia="宋体" w:cs="宋体"/>
                <w:b/>
                <w:bCs/>
                <w:spacing w:val="-6"/>
              </w:rPr>
              <w:t>标的名称</w:t>
            </w:r>
          </w:p>
        </w:tc>
        <w:tc>
          <w:tcPr>
            <w:tcW w:w="857" w:type="dxa"/>
            <w:vAlign w:val="center"/>
          </w:tcPr>
          <w:p w14:paraId="7841F7A3">
            <w:pPr>
              <w:shd w:val="clear"/>
              <w:spacing w:line="329" w:lineRule="auto"/>
              <w:jc w:val="center"/>
              <w:rPr>
                <w:rFonts w:hint="eastAsia" w:ascii="宋体" w:hAnsi="宋体" w:eastAsia="宋体" w:cs="宋体"/>
                <w:sz w:val="21"/>
              </w:rPr>
            </w:pPr>
          </w:p>
          <w:p w14:paraId="73AC8C49">
            <w:pPr>
              <w:pStyle w:val="12"/>
              <w:shd w:val="clear"/>
              <w:spacing w:before="78" w:line="223" w:lineRule="auto"/>
              <w:jc w:val="center"/>
              <w:rPr>
                <w:rFonts w:hint="eastAsia" w:ascii="宋体" w:hAnsi="宋体" w:eastAsia="宋体" w:cs="宋体"/>
              </w:rPr>
            </w:pPr>
            <w:r>
              <w:rPr>
                <w:rFonts w:hint="eastAsia" w:ascii="宋体" w:hAnsi="宋体" w:eastAsia="宋体" w:cs="宋体"/>
                <w:spacing w:val="-11"/>
              </w:rPr>
              <w:t>单位</w:t>
            </w:r>
          </w:p>
        </w:tc>
        <w:tc>
          <w:tcPr>
            <w:tcW w:w="842" w:type="dxa"/>
            <w:vAlign w:val="center"/>
          </w:tcPr>
          <w:p w14:paraId="47D5F8C1">
            <w:pPr>
              <w:shd w:val="clear"/>
              <w:spacing w:line="329" w:lineRule="auto"/>
              <w:jc w:val="center"/>
              <w:rPr>
                <w:rFonts w:hint="eastAsia" w:ascii="宋体" w:hAnsi="宋体" w:eastAsia="宋体" w:cs="宋体"/>
                <w:sz w:val="21"/>
              </w:rPr>
            </w:pPr>
          </w:p>
          <w:p w14:paraId="662BC1C6">
            <w:pPr>
              <w:pStyle w:val="12"/>
              <w:shd w:val="clear"/>
              <w:spacing w:before="78" w:line="221" w:lineRule="auto"/>
              <w:jc w:val="center"/>
              <w:rPr>
                <w:rFonts w:hint="eastAsia" w:ascii="宋体" w:hAnsi="宋体" w:eastAsia="宋体" w:cs="宋体"/>
              </w:rPr>
            </w:pPr>
            <w:r>
              <w:rPr>
                <w:rFonts w:hint="eastAsia" w:ascii="宋体" w:hAnsi="宋体" w:eastAsia="宋体" w:cs="宋体"/>
                <w:spacing w:val="-8"/>
              </w:rPr>
              <w:t>数量</w:t>
            </w:r>
            <w:r>
              <w:rPr>
                <w:rFonts w:hint="eastAsia" w:ascii="宋体" w:hAnsi="宋体" w:eastAsia="宋体" w:cs="宋体"/>
                <w:color w:val="0D0D0D"/>
                <w:szCs w:val="22"/>
              </w:rPr>
              <w:t>①</w:t>
            </w:r>
          </w:p>
        </w:tc>
        <w:tc>
          <w:tcPr>
            <w:tcW w:w="1343" w:type="dxa"/>
            <w:vAlign w:val="center"/>
          </w:tcPr>
          <w:p w14:paraId="4EE766EB">
            <w:pPr>
              <w:pStyle w:val="12"/>
              <w:shd w:val="clear"/>
              <w:spacing w:before="78" w:line="222" w:lineRule="auto"/>
              <w:jc w:val="center"/>
              <w:rPr>
                <w:rFonts w:hint="eastAsia" w:ascii="宋体" w:hAnsi="宋体" w:eastAsia="宋体" w:cs="宋体"/>
              </w:rPr>
            </w:pPr>
            <w:r>
              <w:rPr>
                <w:rFonts w:hint="eastAsia" w:ascii="宋体" w:hAnsi="宋体" w:eastAsia="宋体" w:cs="宋体"/>
              </w:rPr>
              <w:t>单价(元)</w:t>
            </w:r>
          </w:p>
          <w:p w14:paraId="52EB0595">
            <w:pPr>
              <w:pStyle w:val="12"/>
              <w:shd w:val="clear"/>
              <w:spacing w:before="78" w:line="222" w:lineRule="auto"/>
              <w:jc w:val="center"/>
              <w:rPr>
                <w:rFonts w:hint="eastAsia" w:ascii="宋体" w:hAnsi="宋体" w:eastAsia="宋体" w:cs="宋体"/>
              </w:rPr>
            </w:pPr>
            <w:r>
              <w:rPr>
                <w:rFonts w:hint="eastAsia" w:ascii="宋体" w:hAnsi="宋体" w:eastAsia="宋体" w:cs="宋体"/>
              </w:rPr>
              <w:t>②</w:t>
            </w:r>
          </w:p>
        </w:tc>
        <w:tc>
          <w:tcPr>
            <w:tcW w:w="1459" w:type="dxa"/>
            <w:vAlign w:val="center"/>
          </w:tcPr>
          <w:p w14:paraId="4F3776C0">
            <w:pPr>
              <w:pStyle w:val="12"/>
              <w:shd w:val="clear"/>
              <w:spacing w:before="78" w:line="222" w:lineRule="auto"/>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rPr>
              <w:t>单</w:t>
            </w:r>
            <w:r>
              <w:rPr>
                <w:rFonts w:hint="eastAsia" w:ascii="宋体" w:hAnsi="宋体" w:eastAsia="宋体" w:cs="宋体"/>
                <w:lang w:val="en-US" w:eastAsia="en-US"/>
              </w:rPr>
              <w:t>项</w:t>
            </w:r>
            <w:r>
              <w:rPr>
                <w:rFonts w:hint="eastAsia" w:ascii="宋体" w:hAnsi="宋体" w:eastAsia="宋体" w:cs="宋体"/>
                <w:snapToGrid w:val="0"/>
                <w:color w:val="000000"/>
                <w:kern w:val="0"/>
                <w:sz w:val="24"/>
                <w:szCs w:val="24"/>
                <w:lang w:val="en-US" w:eastAsia="en-US" w:bidi="ar-SA"/>
              </w:rPr>
              <w:t>合价</w:t>
            </w:r>
          </w:p>
          <w:p w14:paraId="6B110324">
            <w:pPr>
              <w:pStyle w:val="12"/>
              <w:shd w:val="clear"/>
              <w:spacing w:before="78" w:line="222" w:lineRule="auto"/>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（元）</w:t>
            </w:r>
          </w:p>
          <w:p w14:paraId="5A91838E">
            <w:pPr>
              <w:pStyle w:val="12"/>
              <w:shd w:val="clear"/>
              <w:spacing w:before="78" w:line="224" w:lineRule="auto"/>
              <w:jc w:val="center"/>
              <w:rPr>
                <w:rFonts w:hint="eastAsia" w:ascii="宋体" w:hAnsi="宋体" w:eastAsia="宋体" w:cs="宋体"/>
              </w:rPr>
            </w:pPr>
            <w:r>
              <w:rPr>
                <w:rFonts w:hint="eastAsia" w:ascii="宋体" w:hAnsi="宋体" w:eastAsia="宋体" w:cs="宋体"/>
                <w:color w:val="0D0D0D"/>
                <w:szCs w:val="22"/>
              </w:rPr>
              <w:t>③＝①×②</w:t>
            </w:r>
          </w:p>
        </w:tc>
        <w:tc>
          <w:tcPr>
            <w:tcW w:w="818" w:type="dxa"/>
            <w:vAlign w:val="center"/>
          </w:tcPr>
          <w:p w14:paraId="4811262B">
            <w:pPr>
              <w:pStyle w:val="12"/>
              <w:shd w:val="clear"/>
              <w:spacing w:before="78" w:line="224" w:lineRule="auto"/>
              <w:ind w:firstLine="222" w:firstLineChars="100"/>
              <w:jc w:val="both"/>
              <w:rPr>
                <w:rFonts w:hint="eastAsia" w:ascii="宋体" w:hAnsi="宋体" w:eastAsia="宋体" w:cs="宋体"/>
                <w:spacing w:val="-9"/>
                <w:lang w:val="en-US" w:eastAsia="zh-CN"/>
              </w:rPr>
            </w:pPr>
            <w:r>
              <w:rPr>
                <w:rFonts w:hint="eastAsia" w:ascii="宋体" w:hAnsi="宋体" w:eastAsia="宋体" w:cs="宋体"/>
                <w:spacing w:val="-9"/>
                <w:lang w:val="en-US" w:eastAsia="zh-CN"/>
              </w:rPr>
              <w:t>备注</w:t>
            </w:r>
          </w:p>
        </w:tc>
      </w:tr>
      <w:tr w14:paraId="30FC8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85" w:type="dxa"/>
            <w:vAlign w:val="top"/>
          </w:tcPr>
          <w:p w14:paraId="7D29475C">
            <w:pPr>
              <w:pStyle w:val="12"/>
              <w:shd w:val="clear"/>
              <w:spacing w:before="78" w:line="315" w:lineRule="exact"/>
              <w:ind w:left="261"/>
              <w:rPr>
                <w:rFonts w:hint="eastAsia" w:ascii="宋体" w:hAnsi="宋体" w:eastAsia="宋体" w:cs="宋体"/>
                <w:lang w:val="en-US" w:eastAsia="zh-CN"/>
              </w:rPr>
            </w:pPr>
            <w:r>
              <w:rPr>
                <w:rFonts w:hint="eastAsia" w:ascii="宋体" w:hAnsi="宋体" w:eastAsia="宋体" w:cs="宋体"/>
                <w:lang w:val="en-US" w:eastAsia="zh-CN"/>
              </w:rPr>
              <w:t>1</w:t>
            </w:r>
          </w:p>
        </w:tc>
        <w:tc>
          <w:tcPr>
            <w:tcW w:w="3885" w:type="dxa"/>
            <w:vAlign w:val="top"/>
          </w:tcPr>
          <w:p w14:paraId="0F323778">
            <w:pPr>
              <w:shd w:val="clear"/>
              <w:spacing w:line="278" w:lineRule="auto"/>
              <w:rPr>
                <w:rFonts w:hint="eastAsia" w:ascii="宋体" w:hAnsi="宋体" w:eastAsia="宋体" w:cs="宋体"/>
                <w:sz w:val="21"/>
              </w:rPr>
            </w:pPr>
          </w:p>
          <w:p w14:paraId="39698C66">
            <w:pPr>
              <w:pStyle w:val="12"/>
              <w:shd w:val="clear"/>
              <w:spacing w:before="78" w:line="361" w:lineRule="auto"/>
              <w:ind w:left="478" w:right="217" w:hanging="247"/>
              <w:rPr>
                <w:rFonts w:hint="eastAsia" w:ascii="宋体" w:hAnsi="宋体" w:eastAsia="宋体" w:cs="宋体"/>
                <w:lang w:eastAsia="zh-CN"/>
              </w:rPr>
            </w:pPr>
          </w:p>
        </w:tc>
        <w:tc>
          <w:tcPr>
            <w:tcW w:w="857" w:type="dxa"/>
            <w:vAlign w:val="top"/>
          </w:tcPr>
          <w:p w14:paraId="1D308F6E">
            <w:pPr>
              <w:shd w:val="clear"/>
              <w:spacing w:line="255" w:lineRule="auto"/>
              <w:rPr>
                <w:rFonts w:hint="eastAsia" w:ascii="宋体" w:hAnsi="宋体" w:eastAsia="宋体" w:cs="宋体"/>
                <w:sz w:val="21"/>
              </w:rPr>
            </w:pPr>
          </w:p>
          <w:p w14:paraId="36D101E9">
            <w:pPr>
              <w:shd w:val="clear"/>
              <w:spacing w:line="255" w:lineRule="auto"/>
              <w:rPr>
                <w:rFonts w:hint="eastAsia" w:ascii="宋体" w:hAnsi="宋体" w:eastAsia="宋体" w:cs="宋体"/>
                <w:sz w:val="21"/>
              </w:rPr>
            </w:pPr>
          </w:p>
          <w:p w14:paraId="37B98D94">
            <w:pPr>
              <w:pStyle w:val="12"/>
              <w:shd w:val="clear"/>
              <w:spacing w:before="78" w:line="315" w:lineRule="exact"/>
              <w:ind w:left="588"/>
              <w:rPr>
                <w:rFonts w:hint="eastAsia" w:ascii="宋体" w:hAnsi="宋体" w:eastAsia="宋体" w:cs="宋体"/>
              </w:rPr>
            </w:pPr>
          </w:p>
        </w:tc>
        <w:tc>
          <w:tcPr>
            <w:tcW w:w="842" w:type="dxa"/>
            <w:vAlign w:val="top"/>
          </w:tcPr>
          <w:p w14:paraId="45B304E7">
            <w:pPr>
              <w:shd w:val="clear"/>
              <w:spacing w:line="254" w:lineRule="auto"/>
              <w:rPr>
                <w:rFonts w:hint="eastAsia" w:ascii="宋体" w:hAnsi="宋体" w:eastAsia="宋体" w:cs="宋体"/>
                <w:sz w:val="21"/>
              </w:rPr>
            </w:pPr>
            <w:bookmarkStart w:id="10" w:name="_GoBack"/>
            <w:bookmarkEnd w:id="10"/>
          </w:p>
          <w:p w14:paraId="2F6EA98A">
            <w:pPr>
              <w:shd w:val="clear"/>
              <w:spacing w:line="255" w:lineRule="auto"/>
              <w:rPr>
                <w:rFonts w:hint="eastAsia" w:ascii="宋体" w:hAnsi="宋体" w:eastAsia="宋体" w:cs="宋体"/>
                <w:sz w:val="21"/>
              </w:rPr>
            </w:pPr>
          </w:p>
          <w:p w14:paraId="43E0E11F">
            <w:pPr>
              <w:pStyle w:val="12"/>
              <w:shd w:val="clear"/>
              <w:spacing w:before="78" w:line="224" w:lineRule="auto"/>
              <w:ind w:left="556"/>
              <w:rPr>
                <w:rFonts w:hint="eastAsia" w:ascii="宋体" w:hAnsi="宋体" w:eastAsia="宋体" w:cs="宋体"/>
              </w:rPr>
            </w:pPr>
          </w:p>
        </w:tc>
        <w:tc>
          <w:tcPr>
            <w:tcW w:w="1343" w:type="dxa"/>
            <w:vAlign w:val="top"/>
          </w:tcPr>
          <w:p w14:paraId="58C7B296">
            <w:pPr>
              <w:shd w:val="clear"/>
              <w:rPr>
                <w:rFonts w:hint="eastAsia" w:ascii="宋体" w:hAnsi="宋体" w:eastAsia="宋体" w:cs="宋体"/>
                <w:sz w:val="21"/>
              </w:rPr>
            </w:pPr>
          </w:p>
        </w:tc>
        <w:tc>
          <w:tcPr>
            <w:tcW w:w="1459" w:type="dxa"/>
            <w:vAlign w:val="top"/>
          </w:tcPr>
          <w:p w14:paraId="0CE49CFA">
            <w:pPr>
              <w:shd w:val="clear"/>
              <w:rPr>
                <w:rFonts w:hint="eastAsia" w:ascii="宋体" w:hAnsi="宋体" w:eastAsia="宋体" w:cs="宋体"/>
                <w:sz w:val="21"/>
              </w:rPr>
            </w:pPr>
          </w:p>
        </w:tc>
        <w:tc>
          <w:tcPr>
            <w:tcW w:w="818" w:type="dxa"/>
            <w:vAlign w:val="top"/>
          </w:tcPr>
          <w:p w14:paraId="27935FB9">
            <w:pPr>
              <w:shd w:val="clear"/>
              <w:rPr>
                <w:rFonts w:hint="eastAsia" w:ascii="宋体" w:hAnsi="宋体" w:eastAsia="宋体" w:cs="宋体"/>
                <w:sz w:val="21"/>
              </w:rPr>
            </w:pPr>
          </w:p>
        </w:tc>
      </w:tr>
      <w:tr w14:paraId="345E1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585" w:type="dxa"/>
            <w:vAlign w:val="top"/>
          </w:tcPr>
          <w:p w14:paraId="3A9CE264">
            <w:pPr>
              <w:pStyle w:val="12"/>
              <w:shd w:val="clear"/>
              <w:spacing w:before="78" w:line="315" w:lineRule="exact"/>
              <w:ind w:left="261"/>
              <w:rPr>
                <w:rFonts w:hint="eastAsia" w:ascii="宋体" w:hAnsi="宋体" w:eastAsia="宋体" w:cs="宋体"/>
                <w:position w:val="1"/>
                <w:lang w:val="en-US" w:eastAsia="zh-CN"/>
              </w:rPr>
            </w:pPr>
            <w:r>
              <w:rPr>
                <w:rFonts w:hint="eastAsia" w:ascii="宋体" w:hAnsi="宋体" w:eastAsia="宋体" w:cs="宋体"/>
                <w:position w:val="1"/>
                <w:lang w:val="en-US" w:eastAsia="zh-CN"/>
              </w:rPr>
              <w:t>2</w:t>
            </w:r>
          </w:p>
        </w:tc>
        <w:tc>
          <w:tcPr>
            <w:tcW w:w="3885" w:type="dxa"/>
            <w:vAlign w:val="top"/>
          </w:tcPr>
          <w:p w14:paraId="37CCB669">
            <w:pPr>
              <w:pStyle w:val="12"/>
              <w:shd w:val="clear"/>
              <w:spacing w:before="78" w:line="361" w:lineRule="auto"/>
              <w:ind w:left="478" w:right="217" w:hanging="247"/>
              <w:rPr>
                <w:rFonts w:hint="eastAsia" w:ascii="宋体" w:hAnsi="宋体" w:eastAsia="宋体" w:cs="宋体"/>
                <w:spacing w:val="-2"/>
                <w:lang w:eastAsia="zh-CN"/>
              </w:rPr>
            </w:pPr>
          </w:p>
        </w:tc>
        <w:tc>
          <w:tcPr>
            <w:tcW w:w="857" w:type="dxa"/>
            <w:vAlign w:val="top"/>
          </w:tcPr>
          <w:p w14:paraId="31776FF5">
            <w:pPr>
              <w:pStyle w:val="12"/>
              <w:shd w:val="clear"/>
              <w:spacing w:before="78" w:line="315" w:lineRule="exact"/>
              <w:ind w:left="588"/>
              <w:rPr>
                <w:rFonts w:hint="eastAsia" w:ascii="宋体" w:hAnsi="宋体" w:eastAsia="宋体" w:cs="宋体"/>
                <w:position w:val="1"/>
              </w:rPr>
            </w:pPr>
          </w:p>
        </w:tc>
        <w:tc>
          <w:tcPr>
            <w:tcW w:w="842" w:type="dxa"/>
            <w:vAlign w:val="top"/>
          </w:tcPr>
          <w:p w14:paraId="04A8B293">
            <w:pPr>
              <w:pStyle w:val="12"/>
              <w:shd w:val="clear"/>
              <w:spacing w:before="78" w:line="224" w:lineRule="auto"/>
              <w:ind w:left="556"/>
              <w:rPr>
                <w:rFonts w:hint="eastAsia" w:ascii="宋体" w:hAnsi="宋体" w:eastAsia="宋体" w:cs="宋体"/>
              </w:rPr>
            </w:pPr>
          </w:p>
        </w:tc>
        <w:tc>
          <w:tcPr>
            <w:tcW w:w="1343" w:type="dxa"/>
            <w:vAlign w:val="top"/>
          </w:tcPr>
          <w:p w14:paraId="0146CF78">
            <w:pPr>
              <w:shd w:val="clear"/>
              <w:rPr>
                <w:rFonts w:hint="eastAsia" w:ascii="宋体" w:hAnsi="宋体" w:eastAsia="宋体" w:cs="宋体"/>
                <w:sz w:val="21"/>
              </w:rPr>
            </w:pPr>
          </w:p>
        </w:tc>
        <w:tc>
          <w:tcPr>
            <w:tcW w:w="1459" w:type="dxa"/>
            <w:vAlign w:val="top"/>
          </w:tcPr>
          <w:p w14:paraId="0910BA0C">
            <w:pPr>
              <w:shd w:val="clear"/>
              <w:rPr>
                <w:rFonts w:hint="eastAsia" w:ascii="宋体" w:hAnsi="宋体" w:eastAsia="宋体" w:cs="宋体"/>
                <w:sz w:val="21"/>
              </w:rPr>
            </w:pPr>
          </w:p>
        </w:tc>
        <w:tc>
          <w:tcPr>
            <w:tcW w:w="818" w:type="dxa"/>
            <w:vAlign w:val="top"/>
          </w:tcPr>
          <w:p w14:paraId="47B842ED">
            <w:pPr>
              <w:shd w:val="clear"/>
              <w:rPr>
                <w:rFonts w:hint="eastAsia" w:ascii="宋体" w:hAnsi="宋体" w:eastAsia="宋体" w:cs="宋体"/>
                <w:sz w:val="21"/>
              </w:rPr>
            </w:pPr>
          </w:p>
        </w:tc>
      </w:tr>
      <w:tr w14:paraId="40A7B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585" w:type="dxa"/>
            <w:vAlign w:val="top"/>
          </w:tcPr>
          <w:p w14:paraId="09348988">
            <w:pPr>
              <w:pStyle w:val="12"/>
              <w:shd w:val="clear"/>
              <w:spacing w:before="78" w:line="315" w:lineRule="exact"/>
              <w:ind w:left="261"/>
              <w:rPr>
                <w:rFonts w:hint="eastAsia" w:ascii="宋体" w:hAnsi="宋体" w:eastAsia="宋体" w:cs="宋体"/>
                <w:position w:val="1"/>
                <w:lang w:val="en-US" w:eastAsia="zh-CN"/>
              </w:rPr>
            </w:pPr>
            <w:r>
              <w:rPr>
                <w:rFonts w:hint="eastAsia" w:ascii="宋体" w:hAnsi="宋体" w:eastAsia="宋体" w:cs="宋体"/>
                <w:position w:val="1"/>
                <w:lang w:val="en-US" w:eastAsia="zh-CN"/>
              </w:rPr>
              <w:t>3</w:t>
            </w:r>
          </w:p>
        </w:tc>
        <w:tc>
          <w:tcPr>
            <w:tcW w:w="3885" w:type="dxa"/>
            <w:vAlign w:val="top"/>
          </w:tcPr>
          <w:p w14:paraId="40E53C36">
            <w:pPr>
              <w:pStyle w:val="12"/>
              <w:shd w:val="clear"/>
              <w:spacing w:before="78" w:line="361" w:lineRule="auto"/>
              <w:ind w:left="478" w:right="217" w:hanging="247"/>
              <w:rPr>
                <w:rFonts w:hint="eastAsia" w:ascii="宋体" w:hAnsi="宋体" w:eastAsia="宋体" w:cs="宋体"/>
                <w:spacing w:val="-2"/>
                <w:lang w:eastAsia="zh-CN"/>
              </w:rPr>
            </w:pPr>
          </w:p>
        </w:tc>
        <w:tc>
          <w:tcPr>
            <w:tcW w:w="857" w:type="dxa"/>
            <w:vAlign w:val="top"/>
          </w:tcPr>
          <w:p w14:paraId="653840BB">
            <w:pPr>
              <w:pStyle w:val="12"/>
              <w:shd w:val="clear"/>
              <w:spacing w:before="78" w:line="315" w:lineRule="exact"/>
              <w:ind w:left="588"/>
              <w:rPr>
                <w:rFonts w:hint="eastAsia" w:ascii="宋体" w:hAnsi="宋体" w:eastAsia="宋体" w:cs="宋体"/>
                <w:position w:val="1"/>
              </w:rPr>
            </w:pPr>
          </w:p>
        </w:tc>
        <w:tc>
          <w:tcPr>
            <w:tcW w:w="842" w:type="dxa"/>
            <w:vAlign w:val="top"/>
          </w:tcPr>
          <w:p w14:paraId="32192419">
            <w:pPr>
              <w:pStyle w:val="12"/>
              <w:shd w:val="clear"/>
              <w:spacing w:before="78" w:line="224" w:lineRule="auto"/>
              <w:ind w:left="556"/>
              <w:rPr>
                <w:rFonts w:hint="eastAsia" w:ascii="宋体" w:hAnsi="宋体" w:eastAsia="宋体" w:cs="宋体"/>
              </w:rPr>
            </w:pPr>
          </w:p>
        </w:tc>
        <w:tc>
          <w:tcPr>
            <w:tcW w:w="1343" w:type="dxa"/>
            <w:vAlign w:val="top"/>
          </w:tcPr>
          <w:p w14:paraId="321694BA">
            <w:pPr>
              <w:shd w:val="clear"/>
              <w:rPr>
                <w:rFonts w:hint="eastAsia" w:ascii="宋体" w:hAnsi="宋体" w:eastAsia="宋体" w:cs="宋体"/>
                <w:sz w:val="21"/>
              </w:rPr>
            </w:pPr>
          </w:p>
        </w:tc>
        <w:tc>
          <w:tcPr>
            <w:tcW w:w="1459" w:type="dxa"/>
            <w:vAlign w:val="top"/>
          </w:tcPr>
          <w:p w14:paraId="644DEAE3">
            <w:pPr>
              <w:shd w:val="clear"/>
              <w:rPr>
                <w:rFonts w:hint="eastAsia" w:ascii="宋体" w:hAnsi="宋体" w:eastAsia="宋体" w:cs="宋体"/>
                <w:sz w:val="21"/>
              </w:rPr>
            </w:pPr>
          </w:p>
        </w:tc>
        <w:tc>
          <w:tcPr>
            <w:tcW w:w="818" w:type="dxa"/>
            <w:vAlign w:val="top"/>
          </w:tcPr>
          <w:p w14:paraId="6F891911">
            <w:pPr>
              <w:shd w:val="clear"/>
              <w:rPr>
                <w:rFonts w:hint="eastAsia" w:ascii="宋体" w:hAnsi="宋体" w:eastAsia="宋体" w:cs="宋体"/>
                <w:sz w:val="21"/>
              </w:rPr>
            </w:pPr>
          </w:p>
        </w:tc>
      </w:tr>
      <w:tr w14:paraId="43416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85" w:type="dxa"/>
            <w:vAlign w:val="top"/>
          </w:tcPr>
          <w:p w14:paraId="68943614">
            <w:pPr>
              <w:pStyle w:val="12"/>
              <w:shd w:val="clear"/>
              <w:spacing w:before="78" w:line="315" w:lineRule="exact"/>
              <w:ind w:left="261"/>
              <w:rPr>
                <w:rFonts w:hint="eastAsia" w:ascii="宋体" w:hAnsi="宋体" w:eastAsia="宋体" w:cs="宋体"/>
                <w:position w:val="1"/>
                <w:lang w:val="en-US" w:eastAsia="zh-CN"/>
              </w:rPr>
            </w:pPr>
            <w:r>
              <w:rPr>
                <w:rFonts w:hint="eastAsia" w:ascii="宋体" w:hAnsi="宋体" w:eastAsia="宋体" w:cs="宋体"/>
                <w:position w:val="1"/>
                <w:lang w:val="en-US" w:eastAsia="zh-CN"/>
              </w:rPr>
              <w:t>...</w:t>
            </w:r>
          </w:p>
        </w:tc>
        <w:tc>
          <w:tcPr>
            <w:tcW w:w="3885" w:type="dxa"/>
            <w:vAlign w:val="top"/>
          </w:tcPr>
          <w:p w14:paraId="1FA8D018">
            <w:pPr>
              <w:pStyle w:val="12"/>
              <w:shd w:val="clear"/>
              <w:spacing w:before="78" w:line="361" w:lineRule="auto"/>
              <w:ind w:left="478" w:right="217" w:hanging="247"/>
              <w:rPr>
                <w:rFonts w:hint="eastAsia" w:ascii="宋体" w:hAnsi="宋体" w:eastAsia="宋体" w:cs="宋体"/>
                <w:spacing w:val="-2"/>
                <w:lang w:eastAsia="zh-CN"/>
              </w:rPr>
            </w:pPr>
          </w:p>
        </w:tc>
        <w:tc>
          <w:tcPr>
            <w:tcW w:w="857" w:type="dxa"/>
            <w:vAlign w:val="top"/>
          </w:tcPr>
          <w:p w14:paraId="7C5F39EC">
            <w:pPr>
              <w:pStyle w:val="12"/>
              <w:shd w:val="clear"/>
              <w:spacing w:before="78" w:line="315" w:lineRule="exact"/>
              <w:ind w:left="588"/>
              <w:rPr>
                <w:rFonts w:hint="eastAsia" w:ascii="宋体" w:hAnsi="宋体" w:eastAsia="宋体" w:cs="宋体"/>
                <w:position w:val="1"/>
              </w:rPr>
            </w:pPr>
          </w:p>
        </w:tc>
        <w:tc>
          <w:tcPr>
            <w:tcW w:w="842" w:type="dxa"/>
            <w:vAlign w:val="top"/>
          </w:tcPr>
          <w:p w14:paraId="7506B093">
            <w:pPr>
              <w:pStyle w:val="12"/>
              <w:shd w:val="clear"/>
              <w:spacing w:before="78" w:line="224" w:lineRule="auto"/>
              <w:ind w:left="556"/>
              <w:rPr>
                <w:rFonts w:hint="eastAsia" w:ascii="宋体" w:hAnsi="宋体" w:eastAsia="宋体" w:cs="宋体"/>
              </w:rPr>
            </w:pPr>
          </w:p>
        </w:tc>
        <w:tc>
          <w:tcPr>
            <w:tcW w:w="1343" w:type="dxa"/>
            <w:vAlign w:val="top"/>
          </w:tcPr>
          <w:p w14:paraId="2F4FC8E8">
            <w:pPr>
              <w:shd w:val="clear"/>
              <w:rPr>
                <w:rFonts w:hint="eastAsia" w:ascii="宋体" w:hAnsi="宋体" w:eastAsia="宋体" w:cs="宋体"/>
                <w:sz w:val="21"/>
              </w:rPr>
            </w:pPr>
          </w:p>
        </w:tc>
        <w:tc>
          <w:tcPr>
            <w:tcW w:w="1459" w:type="dxa"/>
            <w:vAlign w:val="top"/>
          </w:tcPr>
          <w:p w14:paraId="32475C38">
            <w:pPr>
              <w:shd w:val="clear"/>
              <w:rPr>
                <w:rFonts w:hint="eastAsia" w:ascii="宋体" w:hAnsi="宋体" w:eastAsia="宋体" w:cs="宋体"/>
                <w:sz w:val="21"/>
              </w:rPr>
            </w:pPr>
          </w:p>
        </w:tc>
        <w:tc>
          <w:tcPr>
            <w:tcW w:w="818" w:type="dxa"/>
            <w:vAlign w:val="top"/>
          </w:tcPr>
          <w:p w14:paraId="226BEF25">
            <w:pPr>
              <w:shd w:val="clear"/>
              <w:rPr>
                <w:rFonts w:hint="eastAsia" w:ascii="宋体" w:hAnsi="宋体" w:eastAsia="宋体" w:cs="宋体"/>
                <w:sz w:val="21"/>
              </w:rPr>
            </w:pPr>
          </w:p>
        </w:tc>
      </w:tr>
      <w:tr w14:paraId="2728F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971" w:type="dxa"/>
            <w:gridSpan w:val="6"/>
            <w:vAlign w:val="top"/>
          </w:tcPr>
          <w:p w14:paraId="06D120E2">
            <w:pPr>
              <w:pStyle w:val="12"/>
              <w:shd w:val="clear"/>
              <w:spacing w:before="175" w:line="222" w:lineRule="auto"/>
              <w:ind w:left="251"/>
              <w:rPr>
                <w:rFonts w:hint="eastAsia" w:ascii="宋体" w:hAnsi="宋体" w:eastAsia="宋体" w:cs="宋体"/>
              </w:rPr>
            </w:pPr>
            <w:r>
              <w:rPr>
                <w:rFonts w:hint="eastAsia" w:ascii="宋体" w:hAnsi="宋体" w:eastAsia="宋体" w:cs="宋体"/>
                <w:spacing w:val="-4"/>
              </w:rPr>
              <w:t>合计金额大写：人民币</w:t>
            </w:r>
            <w:r>
              <w:rPr>
                <w:rFonts w:hint="eastAsia" w:ascii="宋体" w:hAnsi="宋体" w:eastAsia="宋体" w:cs="宋体"/>
                <w:spacing w:val="8"/>
                <w:u w:val="single" w:color="auto"/>
              </w:rPr>
              <w:t xml:space="preserve">              </w:t>
            </w:r>
            <w:r>
              <w:rPr>
                <w:rFonts w:hint="eastAsia" w:ascii="宋体" w:hAnsi="宋体" w:eastAsia="宋体" w:cs="宋体"/>
                <w:spacing w:val="-4"/>
              </w:rPr>
              <w:t xml:space="preserve"> (￥</w:t>
            </w:r>
            <w:r>
              <w:rPr>
                <w:rFonts w:hint="eastAsia" w:ascii="宋体" w:hAnsi="宋体" w:eastAsia="宋体" w:cs="宋体"/>
                <w:spacing w:val="-81"/>
              </w:rPr>
              <w:t xml:space="preserve"> </w:t>
            </w:r>
            <w:r>
              <w:rPr>
                <w:rFonts w:hint="eastAsia" w:ascii="宋体" w:hAnsi="宋体" w:eastAsia="宋体" w:cs="宋体"/>
                <w:u w:val="single" w:color="auto"/>
              </w:rPr>
              <w:t xml:space="preserve">           </w:t>
            </w:r>
            <w:r>
              <w:rPr>
                <w:rFonts w:hint="eastAsia" w:ascii="宋体" w:hAnsi="宋体" w:eastAsia="宋体" w:cs="宋体"/>
                <w:spacing w:val="-110"/>
              </w:rPr>
              <w:t xml:space="preserve"> </w:t>
            </w:r>
            <w:r>
              <w:rPr>
                <w:rFonts w:hint="eastAsia" w:ascii="宋体" w:hAnsi="宋体" w:eastAsia="宋体" w:cs="宋体"/>
                <w:spacing w:val="-4"/>
              </w:rPr>
              <w:t>)</w:t>
            </w:r>
          </w:p>
        </w:tc>
        <w:tc>
          <w:tcPr>
            <w:tcW w:w="818" w:type="dxa"/>
            <w:vAlign w:val="top"/>
          </w:tcPr>
          <w:p w14:paraId="40D2E9DB">
            <w:pPr>
              <w:pStyle w:val="12"/>
              <w:shd w:val="clear"/>
              <w:spacing w:before="175" w:line="222" w:lineRule="auto"/>
              <w:ind w:left="251"/>
              <w:rPr>
                <w:rFonts w:hint="eastAsia" w:ascii="宋体" w:hAnsi="宋体" w:eastAsia="宋体" w:cs="宋体"/>
                <w:spacing w:val="-4"/>
              </w:rPr>
            </w:pPr>
          </w:p>
        </w:tc>
      </w:tr>
      <w:tr w14:paraId="43CD7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971" w:type="dxa"/>
            <w:gridSpan w:val="6"/>
            <w:vAlign w:val="top"/>
          </w:tcPr>
          <w:p w14:paraId="47FBEEEB">
            <w:pPr>
              <w:pStyle w:val="12"/>
              <w:shd w:val="clear"/>
              <w:spacing w:before="180" w:line="222" w:lineRule="auto"/>
              <w:ind w:left="131"/>
              <w:rPr>
                <w:rFonts w:hint="eastAsia" w:ascii="宋体" w:hAnsi="宋体" w:eastAsia="宋体" w:cs="宋体"/>
              </w:rPr>
            </w:pPr>
            <w:r>
              <w:rPr>
                <w:rFonts w:hint="eastAsia" w:ascii="宋体" w:hAnsi="宋体" w:eastAsia="宋体" w:cs="宋体"/>
                <w:spacing w:val="-4"/>
              </w:rPr>
              <w:t>合同履约期限：</w:t>
            </w:r>
          </w:p>
        </w:tc>
        <w:tc>
          <w:tcPr>
            <w:tcW w:w="818" w:type="dxa"/>
            <w:vAlign w:val="top"/>
          </w:tcPr>
          <w:p w14:paraId="63D00D22">
            <w:pPr>
              <w:pStyle w:val="12"/>
              <w:shd w:val="clear"/>
              <w:spacing w:before="180" w:line="222" w:lineRule="auto"/>
              <w:ind w:left="131"/>
              <w:rPr>
                <w:rFonts w:hint="eastAsia" w:ascii="宋体" w:hAnsi="宋体" w:eastAsia="宋体" w:cs="宋体"/>
                <w:spacing w:val="-4"/>
              </w:rPr>
            </w:pPr>
          </w:p>
        </w:tc>
      </w:tr>
    </w:tbl>
    <w:p w14:paraId="1001F8C5">
      <w:pPr>
        <w:shd w:val="clear"/>
        <w:spacing w:line="251" w:lineRule="auto"/>
        <w:rPr>
          <w:rFonts w:hint="eastAsia" w:ascii="宋体" w:hAnsi="宋体" w:eastAsia="宋体" w:cs="宋体"/>
          <w:sz w:val="21"/>
        </w:rPr>
      </w:pPr>
    </w:p>
    <w:p w14:paraId="267DDFD4">
      <w:pPr>
        <w:shd w:val="clear"/>
        <w:spacing w:line="252" w:lineRule="auto"/>
        <w:rPr>
          <w:rFonts w:hint="eastAsia" w:ascii="宋体" w:hAnsi="宋体" w:eastAsia="宋体" w:cs="宋体"/>
          <w:sz w:val="21"/>
        </w:rPr>
      </w:pPr>
    </w:p>
    <w:p w14:paraId="4BC5DAB8">
      <w:pPr>
        <w:pStyle w:val="3"/>
        <w:shd w:val="clear"/>
        <w:spacing w:before="78" w:line="230" w:lineRule="auto"/>
        <w:ind w:left="5"/>
        <w:rPr>
          <w:rFonts w:hint="eastAsia" w:ascii="宋体" w:hAnsi="宋体" w:eastAsia="宋体" w:cs="宋体"/>
        </w:rPr>
      </w:pPr>
      <w:r>
        <w:rPr>
          <w:rFonts w:hint="eastAsia" w:ascii="宋体" w:hAnsi="宋体" w:eastAsia="宋体" w:cs="宋体"/>
          <w:spacing w:val="5"/>
        </w:rPr>
        <w:t>注:</w:t>
      </w:r>
    </w:p>
    <w:p w14:paraId="32ADCDC9">
      <w:pPr>
        <w:pStyle w:val="3"/>
        <w:shd w:val="clear"/>
        <w:spacing w:before="169" w:line="360" w:lineRule="auto"/>
        <w:ind w:left="2" w:right="372" w:firstLine="486"/>
        <w:rPr>
          <w:rFonts w:hint="eastAsia" w:ascii="宋体" w:hAnsi="宋体" w:eastAsia="宋体" w:cs="宋体"/>
        </w:rPr>
      </w:pPr>
      <w:r>
        <w:rPr>
          <w:rFonts w:hint="eastAsia" w:ascii="宋体" w:hAnsi="宋体" w:eastAsia="宋体" w:cs="宋体"/>
          <w:spacing w:val="-1"/>
        </w:rPr>
        <w:t>1. 供应商的报价表必须加盖供应商电子签章并由法定代表人或者委托代理人签字</w:t>
      </w:r>
      <w:r>
        <w:rPr>
          <w:rFonts w:hint="eastAsia" w:ascii="宋体" w:hAnsi="宋体" w:eastAsia="宋体" w:cs="宋体"/>
          <w:spacing w:val="-3"/>
        </w:rPr>
        <w:t>或者电子签名，</w:t>
      </w:r>
      <w:r>
        <w:rPr>
          <w:rFonts w:hint="eastAsia" w:ascii="宋体" w:hAnsi="宋体" w:eastAsia="宋体" w:cs="宋体"/>
          <w:b/>
          <w:bCs/>
          <w:spacing w:val="-3"/>
        </w:rPr>
        <w:t>否则其响应文件按无效处理</w:t>
      </w:r>
      <w:r>
        <w:rPr>
          <w:rFonts w:hint="eastAsia" w:ascii="宋体" w:hAnsi="宋体" w:eastAsia="宋体" w:cs="宋体"/>
          <w:spacing w:val="-3"/>
        </w:rPr>
        <w:t>。</w:t>
      </w:r>
    </w:p>
    <w:p w14:paraId="6B6210CC">
      <w:pPr>
        <w:pStyle w:val="3"/>
        <w:shd w:val="clear"/>
        <w:spacing w:before="3" w:line="359" w:lineRule="auto"/>
        <w:ind w:left="2" w:right="372" w:firstLine="471"/>
        <w:rPr>
          <w:rFonts w:hint="eastAsia" w:ascii="宋体" w:hAnsi="宋体" w:eastAsia="宋体" w:cs="宋体"/>
        </w:rPr>
      </w:pPr>
      <w:r>
        <w:rPr>
          <w:rFonts w:hint="eastAsia" w:ascii="宋体" w:hAnsi="宋体" w:eastAsia="宋体" w:cs="宋体"/>
        </w:rPr>
        <w:t>2. 报价一经涂改，应在涂改处加盖供应商公章或者</w:t>
      </w:r>
      <w:r>
        <w:rPr>
          <w:rFonts w:hint="eastAsia" w:ascii="宋体" w:hAnsi="宋体" w:eastAsia="宋体" w:cs="宋体"/>
          <w:spacing w:val="-1"/>
        </w:rPr>
        <w:t>加盖电子签章或者由法定代表</w:t>
      </w:r>
      <w:r>
        <w:rPr>
          <w:rFonts w:hint="eastAsia" w:ascii="宋体" w:hAnsi="宋体" w:eastAsia="宋体" w:cs="宋体"/>
          <w:spacing w:val="-2"/>
        </w:rPr>
        <w:t>人或者授权委托人签字（或者电子签名</w:t>
      </w:r>
      <w:r>
        <w:rPr>
          <w:rFonts w:hint="eastAsia" w:ascii="宋体" w:hAnsi="宋体" w:eastAsia="宋体" w:cs="宋体"/>
          <w:spacing w:val="9"/>
        </w:rPr>
        <w:t>）</w:t>
      </w:r>
      <w:r>
        <w:rPr>
          <w:rFonts w:hint="eastAsia" w:ascii="宋体" w:hAnsi="宋体" w:eastAsia="宋体" w:cs="宋体"/>
          <w:b/>
          <w:bCs/>
          <w:spacing w:val="9"/>
        </w:rPr>
        <w:t>，</w:t>
      </w:r>
      <w:r>
        <w:rPr>
          <w:rFonts w:hint="eastAsia" w:ascii="宋体" w:hAnsi="宋体" w:eastAsia="宋体" w:cs="宋体"/>
          <w:b/>
          <w:bCs/>
          <w:spacing w:val="-2"/>
        </w:rPr>
        <w:t>否则其响应文件按无</w:t>
      </w:r>
      <w:r>
        <w:rPr>
          <w:rFonts w:hint="eastAsia" w:ascii="宋体" w:hAnsi="宋体" w:eastAsia="宋体" w:cs="宋体"/>
          <w:b/>
          <w:bCs/>
          <w:spacing w:val="-3"/>
        </w:rPr>
        <w:t>效处理。</w:t>
      </w:r>
    </w:p>
    <w:p w14:paraId="44F49D08">
      <w:pPr>
        <w:pStyle w:val="3"/>
        <w:shd w:val="clear"/>
        <w:spacing w:line="360" w:lineRule="auto"/>
        <w:ind w:left="2" w:right="300" w:firstLine="473"/>
        <w:rPr>
          <w:rFonts w:hint="eastAsia" w:ascii="宋体" w:hAnsi="宋体" w:eastAsia="宋体" w:cs="宋体"/>
        </w:rPr>
      </w:pPr>
      <w:r>
        <w:rPr>
          <w:rFonts w:hint="eastAsia" w:ascii="宋体" w:hAnsi="宋体" w:eastAsia="宋体" w:cs="宋体"/>
          <w:spacing w:val="-3"/>
        </w:rPr>
        <w:t>3.如为联合体竞标，“供应商名称</w:t>
      </w:r>
      <w:r>
        <w:rPr>
          <w:rFonts w:hint="eastAsia" w:ascii="宋体" w:hAnsi="宋体" w:eastAsia="宋体" w:cs="宋体"/>
          <w:spacing w:val="-72"/>
        </w:rPr>
        <w:t xml:space="preserve"> </w:t>
      </w:r>
      <w:r>
        <w:rPr>
          <w:rFonts w:hint="eastAsia" w:ascii="宋体" w:hAnsi="宋体" w:eastAsia="宋体" w:cs="宋体"/>
          <w:spacing w:val="-3"/>
        </w:rPr>
        <w:t>”处必须列明联合体各方名称，标注联合体牵头人名称，</w:t>
      </w:r>
      <w:r>
        <w:rPr>
          <w:rFonts w:hint="eastAsia" w:ascii="宋体" w:hAnsi="宋体" w:eastAsia="宋体" w:cs="宋体"/>
          <w:b/>
          <w:bCs/>
          <w:spacing w:val="-3"/>
        </w:rPr>
        <w:t>否则其响应文件按无效响应处理。</w:t>
      </w:r>
    </w:p>
    <w:p w14:paraId="2F797B10">
      <w:pPr>
        <w:pStyle w:val="3"/>
        <w:shd w:val="clear"/>
        <w:spacing w:before="2" w:line="359" w:lineRule="auto"/>
        <w:ind w:right="300" w:firstLine="470"/>
        <w:rPr>
          <w:rFonts w:hint="eastAsia" w:ascii="宋体" w:hAnsi="宋体" w:eastAsia="宋体" w:cs="宋体"/>
        </w:rPr>
      </w:pPr>
      <w:r>
        <w:rPr>
          <w:rFonts w:hint="eastAsia" w:ascii="宋体" w:hAnsi="宋体" w:eastAsia="宋体" w:cs="宋体"/>
          <w:spacing w:val="-8"/>
        </w:rPr>
        <w:t>4. 如为联合体竞标，</w:t>
      </w:r>
      <w:r>
        <w:rPr>
          <w:rFonts w:hint="eastAsia" w:ascii="宋体" w:hAnsi="宋体" w:eastAsia="宋体" w:cs="宋体"/>
          <w:spacing w:val="-18"/>
        </w:rPr>
        <w:t xml:space="preserve"> </w:t>
      </w:r>
      <w:r>
        <w:rPr>
          <w:rFonts w:hint="eastAsia" w:ascii="宋体" w:hAnsi="宋体" w:eastAsia="宋体" w:cs="宋体"/>
          <w:spacing w:val="-8"/>
        </w:rPr>
        <w:t>盖章处须加盖联合体牵头人电子签章，</w:t>
      </w:r>
      <w:r>
        <w:rPr>
          <w:rFonts w:hint="eastAsia" w:ascii="宋体" w:hAnsi="宋体" w:eastAsia="宋体" w:cs="宋体"/>
          <w:b/>
          <w:bCs/>
          <w:spacing w:val="-8"/>
        </w:rPr>
        <w:t>否则其响应文件按无效</w:t>
      </w:r>
      <w:r>
        <w:rPr>
          <w:rFonts w:hint="eastAsia" w:ascii="宋体" w:hAnsi="宋体" w:eastAsia="宋体" w:cs="宋体"/>
          <w:b/>
          <w:bCs/>
          <w:spacing w:val="-9"/>
        </w:rPr>
        <w:t>处理。</w:t>
      </w:r>
    </w:p>
    <w:p w14:paraId="7E9E0828">
      <w:pPr>
        <w:pStyle w:val="3"/>
        <w:shd w:val="clear"/>
        <w:spacing w:before="1" w:line="222" w:lineRule="auto"/>
        <w:ind w:left="476"/>
        <w:rPr>
          <w:rFonts w:hint="eastAsia" w:ascii="宋体" w:hAnsi="宋体" w:eastAsia="宋体" w:cs="宋体"/>
        </w:rPr>
      </w:pPr>
      <w:r>
        <w:rPr>
          <w:rFonts w:hint="eastAsia" w:ascii="宋体" w:hAnsi="宋体" w:eastAsia="宋体" w:cs="宋体"/>
          <w:spacing w:val="-12"/>
        </w:rPr>
        <w:t>5.如有多分标，分别列明各分标的报价表，</w:t>
      </w:r>
      <w:r>
        <w:rPr>
          <w:rFonts w:hint="eastAsia" w:ascii="宋体" w:hAnsi="宋体" w:eastAsia="宋体" w:cs="宋体"/>
          <w:b/>
          <w:bCs/>
          <w:spacing w:val="-12"/>
        </w:rPr>
        <w:t>否则其响应文件按无效响应处理。</w:t>
      </w:r>
    </w:p>
    <w:p w14:paraId="2A724000">
      <w:pPr>
        <w:shd w:val="clear"/>
        <w:spacing w:line="282" w:lineRule="auto"/>
        <w:rPr>
          <w:rFonts w:hint="eastAsia" w:ascii="宋体" w:hAnsi="宋体" w:eastAsia="宋体" w:cs="宋体"/>
          <w:sz w:val="21"/>
        </w:rPr>
      </w:pPr>
    </w:p>
    <w:p w14:paraId="77EBF76C">
      <w:pPr>
        <w:shd w:val="clear"/>
        <w:spacing w:line="283" w:lineRule="auto"/>
        <w:rPr>
          <w:rFonts w:hint="eastAsia" w:ascii="宋体" w:hAnsi="宋体" w:eastAsia="宋体" w:cs="宋体"/>
          <w:sz w:val="21"/>
        </w:rPr>
      </w:pPr>
    </w:p>
    <w:p w14:paraId="35F48AD9">
      <w:pPr>
        <w:pStyle w:val="3"/>
        <w:shd w:val="clear"/>
        <w:spacing w:before="79" w:line="222" w:lineRule="auto"/>
        <w:ind w:left="1803"/>
        <w:rPr>
          <w:rFonts w:hint="eastAsia" w:ascii="宋体" w:hAnsi="宋体" w:eastAsia="宋体" w:cs="宋体"/>
        </w:rPr>
      </w:pPr>
      <w:r>
        <w:rPr>
          <w:rFonts w:hint="eastAsia" w:ascii="宋体" w:hAnsi="宋体" w:eastAsia="宋体" w:cs="宋体"/>
          <w:spacing w:val="-2"/>
        </w:rPr>
        <w:t>法定代表人（签字或者盖章或者电子签名</w:t>
      </w:r>
      <w:r>
        <w:rPr>
          <w:rFonts w:hint="eastAsia" w:ascii="宋体" w:hAnsi="宋体" w:eastAsia="宋体" w:cs="宋体"/>
          <w:spacing w:val="5"/>
        </w:rPr>
        <w:t>）：</w:t>
      </w:r>
      <w:r>
        <w:rPr>
          <w:rFonts w:hint="eastAsia" w:ascii="宋体" w:hAnsi="宋体" w:eastAsia="宋体" w:cs="宋体"/>
          <w:u w:val="single" w:color="auto"/>
        </w:rPr>
        <w:t xml:space="preserve">                </w:t>
      </w:r>
    </w:p>
    <w:p w14:paraId="075F87C0">
      <w:pPr>
        <w:pStyle w:val="3"/>
        <w:shd w:val="clear"/>
        <w:spacing w:before="179" w:line="222" w:lineRule="auto"/>
        <w:ind w:left="4317"/>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0597084B">
      <w:pPr>
        <w:pStyle w:val="3"/>
        <w:shd w:val="clear"/>
        <w:spacing w:before="179" w:line="222" w:lineRule="auto"/>
        <w:ind w:left="720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13"/>
        </w:rPr>
        <w:t xml:space="preserve">  </w:t>
      </w:r>
      <w:r>
        <w:rPr>
          <w:rFonts w:hint="eastAsia" w:ascii="宋体" w:hAnsi="宋体" w:eastAsia="宋体" w:cs="宋体"/>
          <w:spacing w:val="-16"/>
        </w:rPr>
        <w:t>月</w:t>
      </w:r>
      <w:r>
        <w:rPr>
          <w:rFonts w:hint="eastAsia" w:ascii="宋体" w:hAnsi="宋体" w:eastAsia="宋体" w:cs="宋体"/>
          <w:spacing w:val="33"/>
        </w:rPr>
        <w:t xml:space="preserve">  </w:t>
      </w:r>
      <w:r>
        <w:rPr>
          <w:rFonts w:hint="eastAsia" w:ascii="宋体" w:hAnsi="宋体" w:eastAsia="宋体" w:cs="宋体"/>
          <w:spacing w:val="-16"/>
        </w:rPr>
        <w:t>日</w:t>
      </w:r>
    </w:p>
    <w:p w14:paraId="4C9AF2EC">
      <w:pPr>
        <w:shd w:val="clear"/>
        <w:spacing w:line="222" w:lineRule="auto"/>
        <w:rPr>
          <w:rFonts w:hint="eastAsia" w:ascii="宋体" w:hAnsi="宋体" w:eastAsia="宋体" w:cs="宋体"/>
        </w:rPr>
        <w:sectPr>
          <w:footerReference r:id="rId27" w:type="default"/>
          <w:pgSz w:w="11906" w:h="16839"/>
          <w:pgMar w:top="1440" w:right="1080" w:bottom="1440" w:left="1080" w:header="0" w:footer="1200" w:gutter="0"/>
          <w:pgNumType w:fmt="decimal"/>
          <w:cols w:space="720" w:num="1"/>
        </w:sectPr>
      </w:pPr>
    </w:p>
    <w:p w14:paraId="58F553BA">
      <w:pPr>
        <w:pStyle w:val="3"/>
        <w:shd w:val="clear"/>
        <w:spacing w:before="101" w:line="228" w:lineRule="auto"/>
        <w:rPr>
          <w:rFonts w:hint="eastAsia" w:ascii="宋体" w:hAnsi="宋体" w:eastAsia="宋体" w:cs="宋体"/>
          <w:sz w:val="31"/>
          <w:szCs w:val="31"/>
        </w:rPr>
      </w:pPr>
      <w:r>
        <w:rPr>
          <w:rFonts w:hint="eastAsia" w:ascii="宋体" w:hAnsi="宋体" w:eastAsia="宋体" w:cs="宋体"/>
          <w:b/>
          <w:bCs/>
          <w:spacing w:val="4"/>
          <w:sz w:val="31"/>
          <w:szCs w:val="31"/>
        </w:rPr>
        <w:t>三、商务技术文件格式</w:t>
      </w:r>
    </w:p>
    <w:p w14:paraId="47B49F0F">
      <w:pPr>
        <w:pStyle w:val="3"/>
        <w:shd w:val="clear"/>
        <w:spacing w:before="291" w:line="228" w:lineRule="auto"/>
        <w:ind w:left="4"/>
        <w:rPr>
          <w:rFonts w:hint="eastAsia" w:ascii="宋体" w:hAnsi="宋体" w:eastAsia="宋体" w:cs="宋体"/>
          <w:sz w:val="31"/>
          <w:szCs w:val="31"/>
        </w:rPr>
      </w:pPr>
      <w:r>
        <w:rPr>
          <w:rFonts w:hint="eastAsia" w:ascii="宋体" w:hAnsi="宋体" w:eastAsia="宋体" w:cs="宋体"/>
          <w:b/>
          <w:bCs/>
          <w:spacing w:val="4"/>
          <w:sz w:val="31"/>
          <w:szCs w:val="31"/>
        </w:rPr>
        <w:t>1.商务技术文件封面格式</w:t>
      </w:r>
    </w:p>
    <w:p w14:paraId="71197AE5">
      <w:pPr>
        <w:shd w:val="clear"/>
        <w:spacing w:line="279" w:lineRule="auto"/>
        <w:rPr>
          <w:rFonts w:hint="eastAsia" w:ascii="宋体" w:hAnsi="宋体" w:eastAsia="宋体" w:cs="宋体"/>
          <w:sz w:val="21"/>
        </w:rPr>
      </w:pPr>
    </w:p>
    <w:p w14:paraId="1E87D3B0">
      <w:pPr>
        <w:shd w:val="clear"/>
        <w:spacing w:line="279" w:lineRule="auto"/>
        <w:rPr>
          <w:rFonts w:hint="eastAsia" w:ascii="宋体" w:hAnsi="宋体" w:eastAsia="宋体" w:cs="宋体"/>
          <w:sz w:val="21"/>
        </w:rPr>
      </w:pPr>
    </w:p>
    <w:p w14:paraId="21A377BC">
      <w:pPr>
        <w:shd w:val="clear"/>
        <w:spacing w:line="280" w:lineRule="auto"/>
        <w:rPr>
          <w:rFonts w:hint="eastAsia" w:ascii="宋体" w:hAnsi="宋体" w:eastAsia="宋体" w:cs="宋体"/>
          <w:sz w:val="21"/>
        </w:rPr>
      </w:pPr>
    </w:p>
    <w:p w14:paraId="19DBDB72">
      <w:pPr>
        <w:pStyle w:val="3"/>
        <w:shd w:val="clear"/>
        <w:spacing w:before="140" w:line="226" w:lineRule="auto"/>
        <w:ind w:left="2713"/>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01865414">
      <w:pPr>
        <w:shd w:val="clear"/>
        <w:spacing w:line="247" w:lineRule="auto"/>
        <w:rPr>
          <w:rFonts w:hint="eastAsia" w:ascii="宋体" w:hAnsi="宋体" w:eastAsia="宋体" w:cs="宋体"/>
          <w:sz w:val="21"/>
        </w:rPr>
      </w:pPr>
    </w:p>
    <w:p w14:paraId="4DC6CA39">
      <w:pPr>
        <w:shd w:val="clear"/>
        <w:spacing w:line="247" w:lineRule="auto"/>
        <w:rPr>
          <w:rFonts w:hint="eastAsia" w:ascii="宋体" w:hAnsi="宋体" w:eastAsia="宋体" w:cs="宋体"/>
          <w:sz w:val="21"/>
        </w:rPr>
      </w:pPr>
    </w:p>
    <w:p w14:paraId="419DFFA7">
      <w:pPr>
        <w:shd w:val="clear"/>
        <w:spacing w:line="247" w:lineRule="auto"/>
        <w:rPr>
          <w:rFonts w:hint="eastAsia" w:ascii="宋体" w:hAnsi="宋体" w:eastAsia="宋体" w:cs="宋体"/>
          <w:sz w:val="21"/>
        </w:rPr>
      </w:pPr>
    </w:p>
    <w:p w14:paraId="634DB28B">
      <w:pPr>
        <w:shd w:val="clear"/>
        <w:spacing w:line="247" w:lineRule="auto"/>
        <w:rPr>
          <w:rFonts w:hint="eastAsia" w:ascii="宋体" w:hAnsi="宋体" w:eastAsia="宋体" w:cs="宋体"/>
          <w:sz w:val="21"/>
        </w:rPr>
      </w:pPr>
    </w:p>
    <w:p w14:paraId="335B864C">
      <w:pPr>
        <w:pStyle w:val="3"/>
        <w:shd w:val="clear"/>
        <w:spacing w:before="140" w:line="226" w:lineRule="auto"/>
        <w:ind w:left="2131"/>
        <w:rPr>
          <w:rFonts w:hint="eastAsia" w:ascii="宋体" w:hAnsi="宋体" w:eastAsia="宋体" w:cs="宋体"/>
          <w:sz w:val="43"/>
          <w:szCs w:val="43"/>
        </w:rPr>
      </w:pPr>
      <w:r>
        <w:rPr>
          <w:rFonts w:hint="eastAsia" w:ascii="宋体" w:hAnsi="宋体" w:eastAsia="宋体" w:cs="宋体"/>
          <w:spacing w:val="-22"/>
          <w:sz w:val="43"/>
          <w:szCs w:val="43"/>
        </w:rPr>
        <w:t>商</w:t>
      </w:r>
      <w:r>
        <w:rPr>
          <w:rFonts w:hint="eastAsia" w:ascii="宋体" w:hAnsi="宋体" w:eastAsia="宋体" w:cs="宋体"/>
          <w:spacing w:val="26"/>
          <w:sz w:val="43"/>
          <w:szCs w:val="43"/>
        </w:rPr>
        <w:t xml:space="preserve">  </w:t>
      </w:r>
      <w:r>
        <w:rPr>
          <w:rFonts w:hint="eastAsia" w:ascii="宋体" w:hAnsi="宋体" w:eastAsia="宋体" w:cs="宋体"/>
          <w:spacing w:val="-22"/>
          <w:sz w:val="43"/>
          <w:szCs w:val="43"/>
        </w:rPr>
        <w:t>务</w:t>
      </w:r>
      <w:r>
        <w:rPr>
          <w:rFonts w:hint="eastAsia" w:ascii="宋体" w:hAnsi="宋体" w:eastAsia="宋体" w:cs="宋体"/>
          <w:spacing w:val="20"/>
          <w:sz w:val="43"/>
          <w:szCs w:val="43"/>
        </w:rPr>
        <w:t xml:space="preserve">  </w:t>
      </w:r>
      <w:r>
        <w:rPr>
          <w:rFonts w:hint="eastAsia" w:ascii="宋体" w:hAnsi="宋体" w:eastAsia="宋体" w:cs="宋体"/>
          <w:spacing w:val="-22"/>
          <w:sz w:val="43"/>
          <w:szCs w:val="43"/>
        </w:rPr>
        <w:t>技</w:t>
      </w:r>
      <w:r>
        <w:rPr>
          <w:rFonts w:hint="eastAsia" w:ascii="宋体" w:hAnsi="宋体" w:eastAsia="宋体" w:cs="宋体"/>
          <w:spacing w:val="21"/>
          <w:sz w:val="43"/>
          <w:szCs w:val="43"/>
        </w:rPr>
        <w:t xml:space="preserve">  </w:t>
      </w:r>
      <w:r>
        <w:rPr>
          <w:rFonts w:hint="eastAsia" w:ascii="宋体" w:hAnsi="宋体" w:eastAsia="宋体" w:cs="宋体"/>
          <w:spacing w:val="-22"/>
          <w:sz w:val="43"/>
          <w:szCs w:val="43"/>
        </w:rPr>
        <w:t>术</w:t>
      </w:r>
      <w:r>
        <w:rPr>
          <w:rFonts w:hint="eastAsia" w:ascii="宋体" w:hAnsi="宋体" w:eastAsia="宋体" w:cs="宋体"/>
          <w:spacing w:val="21"/>
          <w:sz w:val="43"/>
          <w:szCs w:val="43"/>
        </w:rPr>
        <w:t xml:space="preserve">  </w:t>
      </w:r>
      <w:r>
        <w:rPr>
          <w:rFonts w:hint="eastAsia" w:ascii="宋体" w:hAnsi="宋体" w:eastAsia="宋体" w:cs="宋体"/>
          <w:spacing w:val="-22"/>
          <w:sz w:val="43"/>
          <w:szCs w:val="43"/>
        </w:rPr>
        <w:t>文</w:t>
      </w:r>
      <w:r>
        <w:rPr>
          <w:rFonts w:hint="eastAsia" w:ascii="宋体" w:hAnsi="宋体" w:eastAsia="宋体" w:cs="宋体"/>
          <w:spacing w:val="19"/>
          <w:sz w:val="43"/>
          <w:szCs w:val="43"/>
        </w:rPr>
        <w:t xml:space="preserve">  </w:t>
      </w:r>
      <w:r>
        <w:rPr>
          <w:rFonts w:hint="eastAsia" w:ascii="宋体" w:hAnsi="宋体" w:eastAsia="宋体" w:cs="宋体"/>
          <w:spacing w:val="-22"/>
          <w:sz w:val="43"/>
          <w:szCs w:val="43"/>
        </w:rPr>
        <w:t>件</w:t>
      </w:r>
    </w:p>
    <w:p w14:paraId="4F12E3C2">
      <w:pPr>
        <w:shd w:val="clear"/>
        <w:rPr>
          <w:rFonts w:hint="eastAsia" w:ascii="宋体" w:hAnsi="宋体" w:eastAsia="宋体" w:cs="宋体"/>
          <w:sz w:val="21"/>
        </w:rPr>
      </w:pPr>
    </w:p>
    <w:p w14:paraId="53C6FCEF">
      <w:pPr>
        <w:shd w:val="clear"/>
        <w:rPr>
          <w:rFonts w:hint="eastAsia" w:ascii="宋体" w:hAnsi="宋体" w:eastAsia="宋体" w:cs="宋体"/>
          <w:sz w:val="21"/>
        </w:rPr>
      </w:pPr>
    </w:p>
    <w:p w14:paraId="3BB3574E">
      <w:pPr>
        <w:shd w:val="clear"/>
        <w:rPr>
          <w:rFonts w:hint="eastAsia" w:ascii="宋体" w:hAnsi="宋体" w:eastAsia="宋体" w:cs="宋体"/>
          <w:sz w:val="21"/>
        </w:rPr>
      </w:pPr>
    </w:p>
    <w:p w14:paraId="289BF669">
      <w:pPr>
        <w:shd w:val="clear"/>
        <w:rPr>
          <w:rFonts w:hint="eastAsia" w:ascii="宋体" w:hAnsi="宋体" w:eastAsia="宋体" w:cs="宋体"/>
          <w:sz w:val="21"/>
        </w:rPr>
      </w:pPr>
    </w:p>
    <w:p w14:paraId="21DF039E">
      <w:pPr>
        <w:shd w:val="clear"/>
        <w:rPr>
          <w:rFonts w:hint="eastAsia" w:ascii="宋体" w:hAnsi="宋体" w:eastAsia="宋体" w:cs="宋体"/>
          <w:sz w:val="21"/>
        </w:rPr>
      </w:pPr>
    </w:p>
    <w:p w14:paraId="7592A015">
      <w:pPr>
        <w:shd w:val="clear"/>
        <w:spacing w:line="241" w:lineRule="auto"/>
        <w:rPr>
          <w:rFonts w:hint="eastAsia" w:ascii="宋体" w:hAnsi="宋体" w:eastAsia="宋体" w:cs="宋体"/>
          <w:sz w:val="21"/>
        </w:rPr>
      </w:pPr>
    </w:p>
    <w:p w14:paraId="67829B19">
      <w:pPr>
        <w:shd w:val="clear"/>
        <w:spacing w:line="241" w:lineRule="auto"/>
        <w:rPr>
          <w:rFonts w:hint="eastAsia" w:ascii="宋体" w:hAnsi="宋体" w:eastAsia="宋体" w:cs="宋体"/>
          <w:sz w:val="21"/>
        </w:rPr>
      </w:pPr>
    </w:p>
    <w:p w14:paraId="62120E5F">
      <w:pPr>
        <w:shd w:val="clear"/>
        <w:spacing w:line="241" w:lineRule="auto"/>
        <w:rPr>
          <w:rFonts w:hint="eastAsia" w:ascii="宋体" w:hAnsi="宋体" w:eastAsia="宋体" w:cs="宋体"/>
          <w:sz w:val="21"/>
        </w:rPr>
      </w:pPr>
    </w:p>
    <w:p w14:paraId="301D121C">
      <w:pPr>
        <w:shd w:val="clear"/>
        <w:spacing w:line="241" w:lineRule="auto"/>
        <w:rPr>
          <w:rFonts w:hint="eastAsia" w:ascii="宋体" w:hAnsi="宋体" w:eastAsia="宋体" w:cs="宋体"/>
          <w:sz w:val="21"/>
        </w:rPr>
      </w:pPr>
    </w:p>
    <w:p w14:paraId="1B3A0EA2">
      <w:pPr>
        <w:shd w:val="clear"/>
        <w:spacing w:line="241" w:lineRule="auto"/>
        <w:rPr>
          <w:rFonts w:hint="eastAsia" w:ascii="宋体" w:hAnsi="宋体" w:eastAsia="宋体" w:cs="宋体"/>
          <w:sz w:val="21"/>
        </w:rPr>
      </w:pPr>
    </w:p>
    <w:p w14:paraId="274D2A20">
      <w:pPr>
        <w:pStyle w:val="3"/>
        <w:shd w:val="clear"/>
        <w:spacing w:before="101" w:line="226" w:lineRule="auto"/>
        <w:ind w:left="633"/>
        <w:rPr>
          <w:rFonts w:hint="eastAsia" w:ascii="宋体" w:hAnsi="宋体" w:eastAsia="宋体" w:cs="宋体"/>
          <w:sz w:val="31"/>
          <w:szCs w:val="31"/>
        </w:rPr>
      </w:pPr>
      <w:r>
        <w:rPr>
          <w:rFonts w:hint="eastAsia" w:ascii="宋体" w:hAnsi="宋体" w:eastAsia="宋体" w:cs="宋体"/>
          <w:spacing w:val="3"/>
          <w:sz w:val="31"/>
          <w:szCs w:val="31"/>
        </w:rPr>
        <w:t>项目名称：</w:t>
      </w:r>
    </w:p>
    <w:p w14:paraId="24265544">
      <w:pPr>
        <w:shd w:val="clear"/>
        <w:spacing w:line="327" w:lineRule="auto"/>
        <w:rPr>
          <w:rFonts w:hint="eastAsia" w:ascii="宋体" w:hAnsi="宋体" w:eastAsia="宋体" w:cs="宋体"/>
          <w:sz w:val="21"/>
        </w:rPr>
      </w:pPr>
    </w:p>
    <w:p w14:paraId="537F5206">
      <w:pPr>
        <w:shd w:val="clear"/>
        <w:spacing w:line="328" w:lineRule="auto"/>
        <w:rPr>
          <w:rFonts w:hint="eastAsia" w:ascii="宋体" w:hAnsi="宋体" w:eastAsia="宋体" w:cs="宋体"/>
          <w:sz w:val="21"/>
        </w:rPr>
      </w:pPr>
    </w:p>
    <w:p w14:paraId="55AE4187">
      <w:pPr>
        <w:pStyle w:val="3"/>
        <w:shd w:val="clear"/>
        <w:spacing w:before="101" w:line="229" w:lineRule="auto"/>
        <w:ind w:left="633"/>
        <w:rPr>
          <w:rFonts w:hint="eastAsia" w:ascii="宋体" w:hAnsi="宋体" w:eastAsia="宋体" w:cs="宋体"/>
          <w:sz w:val="31"/>
          <w:szCs w:val="31"/>
        </w:rPr>
      </w:pPr>
      <w:r>
        <w:rPr>
          <w:rFonts w:hint="eastAsia" w:ascii="宋体" w:hAnsi="宋体" w:eastAsia="宋体" w:cs="宋体"/>
          <w:spacing w:val="3"/>
          <w:sz w:val="31"/>
          <w:szCs w:val="31"/>
        </w:rPr>
        <w:t>项目编号：</w:t>
      </w:r>
    </w:p>
    <w:p w14:paraId="2F4F111C">
      <w:pPr>
        <w:shd w:val="clear"/>
        <w:spacing w:line="326" w:lineRule="auto"/>
        <w:rPr>
          <w:rFonts w:hint="eastAsia" w:ascii="宋体" w:hAnsi="宋体" w:eastAsia="宋体" w:cs="宋体"/>
          <w:sz w:val="21"/>
        </w:rPr>
      </w:pPr>
    </w:p>
    <w:p w14:paraId="5C2FCF83">
      <w:pPr>
        <w:shd w:val="clear"/>
        <w:spacing w:line="326" w:lineRule="auto"/>
        <w:rPr>
          <w:rFonts w:hint="eastAsia" w:ascii="宋体" w:hAnsi="宋体" w:eastAsia="宋体" w:cs="宋体"/>
          <w:sz w:val="21"/>
        </w:rPr>
      </w:pPr>
    </w:p>
    <w:p w14:paraId="45DBEECF">
      <w:pPr>
        <w:pStyle w:val="3"/>
        <w:shd w:val="clear"/>
        <w:spacing w:before="101" w:line="228" w:lineRule="auto"/>
        <w:jc w:val="right"/>
        <w:rPr>
          <w:rFonts w:hint="eastAsia" w:ascii="宋体" w:hAnsi="宋体" w:eastAsia="宋体" w:cs="宋体"/>
          <w:sz w:val="31"/>
          <w:szCs w:val="31"/>
        </w:rPr>
      </w:pPr>
      <w:r>
        <w:rPr>
          <w:rFonts w:hint="eastAsia" w:ascii="宋体" w:hAnsi="宋体" w:eastAsia="宋体" w:cs="宋体"/>
          <w:spacing w:val="7"/>
          <w:sz w:val="31"/>
          <w:szCs w:val="31"/>
        </w:rPr>
        <w:t>所竞分标（如有则填写，无分标时填写“无</w:t>
      </w:r>
      <w:r>
        <w:rPr>
          <w:rFonts w:hint="eastAsia" w:ascii="宋体" w:hAnsi="宋体" w:eastAsia="宋体" w:cs="宋体"/>
          <w:spacing w:val="-112"/>
          <w:sz w:val="31"/>
          <w:szCs w:val="31"/>
        </w:rPr>
        <w:t xml:space="preserve"> </w:t>
      </w:r>
      <w:r>
        <w:rPr>
          <w:rFonts w:hint="eastAsia" w:ascii="宋体" w:hAnsi="宋体" w:eastAsia="宋体" w:cs="宋体"/>
          <w:spacing w:val="7"/>
          <w:sz w:val="31"/>
          <w:szCs w:val="31"/>
        </w:rPr>
        <w:t>”或者留空</w:t>
      </w:r>
      <w:r>
        <w:rPr>
          <w:rFonts w:hint="eastAsia" w:ascii="宋体" w:hAnsi="宋体" w:eastAsia="宋体" w:cs="宋体"/>
          <w:spacing w:val="-25"/>
          <w:sz w:val="31"/>
          <w:szCs w:val="31"/>
        </w:rPr>
        <w:t>）：</w:t>
      </w:r>
    </w:p>
    <w:p w14:paraId="685979C6">
      <w:pPr>
        <w:shd w:val="clear"/>
        <w:spacing w:line="275" w:lineRule="auto"/>
        <w:rPr>
          <w:rFonts w:hint="eastAsia" w:ascii="宋体" w:hAnsi="宋体" w:eastAsia="宋体" w:cs="宋体"/>
          <w:sz w:val="21"/>
        </w:rPr>
      </w:pPr>
    </w:p>
    <w:p w14:paraId="1D117D3C">
      <w:pPr>
        <w:shd w:val="clear"/>
        <w:spacing w:line="275" w:lineRule="auto"/>
        <w:rPr>
          <w:rFonts w:hint="eastAsia" w:ascii="宋体" w:hAnsi="宋体" w:eastAsia="宋体" w:cs="宋体"/>
          <w:sz w:val="21"/>
        </w:rPr>
      </w:pPr>
    </w:p>
    <w:p w14:paraId="49F5EE3F">
      <w:pPr>
        <w:pStyle w:val="3"/>
        <w:shd w:val="clear"/>
        <w:spacing w:before="102" w:line="226" w:lineRule="auto"/>
        <w:ind w:left="633"/>
        <w:rPr>
          <w:rFonts w:hint="eastAsia" w:ascii="宋体" w:hAnsi="宋体" w:eastAsia="宋体" w:cs="宋体"/>
          <w:sz w:val="31"/>
          <w:szCs w:val="31"/>
        </w:rPr>
      </w:pPr>
      <w:r>
        <w:rPr>
          <w:rFonts w:hint="eastAsia" w:ascii="宋体" w:hAnsi="宋体" w:eastAsia="宋体" w:cs="宋体"/>
          <w:spacing w:val="4"/>
          <w:sz w:val="31"/>
          <w:szCs w:val="31"/>
        </w:rPr>
        <w:t>供应商名称：</w:t>
      </w:r>
    </w:p>
    <w:p w14:paraId="4C51899B">
      <w:pPr>
        <w:shd w:val="clear"/>
        <w:spacing w:line="242" w:lineRule="auto"/>
        <w:rPr>
          <w:rFonts w:hint="eastAsia" w:ascii="宋体" w:hAnsi="宋体" w:eastAsia="宋体" w:cs="宋体"/>
          <w:sz w:val="21"/>
        </w:rPr>
      </w:pPr>
    </w:p>
    <w:p w14:paraId="32A42EFC">
      <w:pPr>
        <w:shd w:val="clear"/>
        <w:spacing w:line="242" w:lineRule="auto"/>
        <w:rPr>
          <w:rFonts w:hint="eastAsia" w:ascii="宋体" w:hAnsi="宋体" w:eastAsia="宋体" w:cs="宋体"/>
          <w:sz w:val="21"/>
        </w:rPr>
      </w:pPr>
    </w:p>
    <w:p w14:paraId="3CB59E52">
      <w:pPr>
        <w:shd w:val="clear"/>
        <w:spacing w:line="242" w:lineRule="auto"/>
        <w:rPr>
          <w:rFonts w:hint="eastAsia" w:ascii="宋体" w:hAnsi="宋体" w:eastAsia="宋体" w:cs="宋体"/>
          <w:sz w:val="21"/>
        </w:rPr>
      </w:pPr>
    </w:p>
    <w:p w14:paraId="3D9C41B4">
      <w:pPr>
        <w:shd w:val="clear"/>
        <w:spacing w:line="242" w:lineRule="auto"/>
        <w:rPr>
          <w:rFonts w:hint="eastAsia" w:ascii="宋体" w:hAnsi="宋体" w:eastAsia="宋体" w:cs="宋体"/>
          <w:sz w:val="21"/>
        </w:rPr>
      </w:pPr>
    </w:p>
    <w:p w14:paraId="43E51522">
      <w:pPr>
        <w:shd w:val="clear"/>
        <w:spacing w:line="242" w:lineRule="auto"/>
        <w:rPr>
          <w:rFonts w:hint="eastAsia" w:ascii="宋体" w:hAnsi="宋体" w:eastAsia="宋体" w:cs="宋体"/>
          <w:sz w:val="21"/>
        </w:rPr>
      </w:pPr>
    </w:p>
    <w:p w14:paraId="0FF81712">
      <w:pPr>
        <w:shd w:val="clear"/>
        <w:spacing w:line="243" w:lineRule="auto"/>
        <w:rPr>
          <w:rFonts w:hint="eastAsia" w:ascii="宋体" w:hAnsi="宋体" w:eastAsia="宋体" w:cs="宋体"/>
          <w:sz w:val="21"/>
        </w:rPr>
      </w:pPr>
    </w:p>
    <w:p w14:paraId="77763F05">
      <w:pPr>
        <w:shd w:val="clear"/>
        <w:spacing w:line="243" w:lineRule="auto"/>
        <w:rPr>
          <w:rFonts w:hint="eastAsia" w:ascii="宋体" w:hAnsi="宋体" w:eastAsia="宋体" w:cs="宋体"/>
          <w:sz w:val="21"/>
        </w:rPr>
      </w:pPr>
    </w:p>
    <w:p w14:paraId="53D4E81F">
      <w:pPr>
        <w:pStyle w:val="3"/>
        <w:shd w:val="clear"/>
        <w:spacing w:before="101" w:line="228" w:lineRule="auto"/>
        <w:ind w:left="3415"/>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54FDAF69">
      <w:pPr>
        <w:shd w:val="clear"/>
        <w:spacing w:line="228" w:lineRule="auto"/>
        <w:rPr>
          <w:rFonts w:hint="eastAsia" w:ascii="宋体" w:hAnsi="宋体" w:eastAsia="宋体" w:cs="宋体"/>
          <w:sz w:val="31"/>
          <w:szCs w:val="31"/>
        </w:rPr>
        <w:sectPr>
          <w:footerReference r:id="rId28" w:type="default"/>
          <w:pgSz w:w="11906" w:h="16839"/>
          <w:pgMar w:top="1440" w:right="1080" w:bottom="1440" w:left="1080" w:header="0" w:footer="1200" w:gutter="0"/>
          <w:pgNumType w:fmt="decimal"/>
          <w:cols w:space="720" w:num="1"/>
        </w:sectPr>
      </w:pPr>
    </w:p>
    <w:p w14:paraId="42E9D055">
      <w:pPr>
        <w:pStyle w:val="3"/>
        <w:shd w:val="clear"/>
        <w:spacing w:before="101" w:line="228" w:lineRule="auto"/>
        <w:ind w:left="234"/>
        <w:rPr>
          <w:rFonts w:hint="eastAsia" w:ascii="宋体" w:hAnsi="宋体" w:eastAsia="宋体" w:cs="宋体"/>
          <w:sz w:val="31"/>
          <w:szCs w:val="31"/>
        </w:rPr>
      </w:pPr>
      <w:r>
        <w:rPr>
          <w:rFonts w:hint="eastAsia" w:ascii="宋体" w:hAnsi="宋体" w:eastAsia="宋体" w:cs="宋体"/>
          <w:b/>
          <w:bCs/>
          <w:spacing w:val="5"/>
          <w:sz w:val="31"/>
          <w:szCs w:val="31"/>
        </w:rPr>
        <w:t>2.商务技术文件目录</w:t>
      </w:r>
    </w:p>
    <w:p w14:paraId="3ED50447">
      <w:pPr>
        <w:shd w:val="clear"/>
        <w:spacing w:line="293" w:lineRule="auto"/>
        <w:rPr>
          <w:rFonts w:hint="eastAsia" w:ascii="宋体" w:hAnsi="宋体" w:eastAsia="宋体" w:cs="宋体"/>
          <w:sz w:val="21"/>
        </w:rPr>
      </w:pPr>
    </w:p>
    <w:p w14:paraId="36C35584">
      <w:pPr>
        <w:pStyle w:val="3"/>
        <w:shd w:val="clear"/>
        <w:spacing w:before="100" w:line="372" w:lineRule="auto"/>
        <w:ind w:firstLine="643"/>
        <w:rPr>
          <w:rFonts w:hint="eastAsia" w:ascii="宋体" w:hAnsi="宋体" w:eastAsia="宋体" w:cs="宋体"/>
          <w:sz w:val="31"/>
          <w:szCs w:val="31"/>
        </w:rPr>
      </w:pPr>
      <w:r>
        <w:rPr>
          <w:rFonts w:hint="eastAsia" w:ascii="宋体" w:hAnsi="宋体" w:eastAsia="宋体" w:cs="宋体"/>
          <w:spacing w:val="13"/>
          <w:sz w:val="31"/>
          <w:szCs w:val="31"/>
        </w:rPr>
        <w:t>根据磋商文件规定及供应商提供的材料自行编写目录（部分</w:t>
      </w:r>
      <w:r>
        <w:rPr>
          <w:rFonts w:hint="eastAsia" w:ascii="宋体" w:hAnsi="宋体" w:eastAsia="宋体" w:cs="宋体"/>
          <w:spacing w:val="3"/>
          <w:sz w:val="31"/>
          <w:szCs w:val="31"/>
        </w:rPr>
        <w:t>格式后附）。</w:t>
      </w:r>
    </w:p>
    <w:p w14:paraId="0C3B528D">
      <w:pPr>
        <w:shd w:val="clear"/>
        <w:spacing w:line="372" w:lineRule="auto"/>
        <w:rPr>
          <w:rFonts w:hint="eastAsia" w:ascii="宋体" w:hAnsi="宋体" w:eastAsia="宋体" w:cs="宋体"/>
          <w:sz w:val="31"/>
          <w:szCs w:val="31"/>
        </w:rPr>
        <w:sectPr>
          <w:footerReference r:id="rId29" w:type="default"/>
          <w:pgSz w:w="11906" w:h="16839"/>
          <w:pgMar w:top="1440" w:right="1080" w:bottom="1440" w:left="1080" w:header="0" w:footer="1200" w:gutter="0"/>
          <w:pgNumType w:fmt="decimal"/>
          <w:cols w:space="720" w:num="1"/>
        </w:sectPr>
      </w:pPr>
    </w:p>
    <w:p w14:paraId="5380557E">
      <w:pPr>
        <w:pStyle w:val="3"/>
        <w:shd w:val="clear"/>
        <w:spacing w:before="140" w:line="223" w:lineRule="auto"/>
        <w:ind w:left="2135"/>
        <w:rPr>
          <w:rFonts w:hint="eastAsia" w:ascii="宋体" w:hAnsi="宋体" w:eastAsia="宋体" w:cs="宋体"/>
          <w:sz w:val="43"/>
          <w:szCs w:val="43"/>
        </w:rPr>
      </w:pPr>
      <w:r>
        <w:rPr>
          <w:rFonts w:hint="eastAsia" w:ascii="宋体" w:hAnsi="宋体" w:eastAsia="宋体" w:cs="宋体"/>
          <w:spacing w:val="6"/>
          <w:sz w:val="43"/>
          <w:szCs w:val="43"/>
        </w:rPr>
        <w:t>无串通竞标行为的承诺函</w:t>
      </w:r>
    </w:p>
    <w:p w14:paraId="4BB983AC">
      <w:pPr>
        <w:shd w:val="clear"/>
        <w:spacing w:line="309" w:lineRule="auto"/>
        <w:rPr>
          <w:rFonts w:hint="eastAsia" w:ascii="宋体" w:hAnsi="宋体" w:eastAsia="宋体" w:cs="宋体"/>
          <w:sz w:val="21"/>
        </w:rPr>
      </w:pPr>
    </w:p>
    <w:p w14:paraId="4C9F5680">
      <w:pPr>
        <w:shd w:val="clear"/>
        <w:spacing w:line="309" w:lineRule="auto"/>
        <w:rPr>
          <w:rFonts w:hint="eastAsia" w:ascii="宋体" w:hAnsi="宋体" w:eastAsia="宋体" w:cs="宋体"/>
          <w:sz w:val="21"/>
        </w:rPr>
      </w:pPr>
    </w:p>
    <w:p w14:paraId="2E9E404A">
      <w:pPr>
        <w:pStyle w:val="3"/>
        <w:shd w:val="clear"/>
        <w:spacing w:before="78" w:line="219" w:lineRule="auto"/>
        <w:ind w:left="483"/>
        <w:rPr>
          <w:rFonts w:hint="eastAsia" w:ascii="宋体" w:hAnsi="宋体" w:eastAsia="宋体" w:cs="宋体"/>
        </w:rPr>
      </w:pPr>
      <w:r>
        <w:rPr>
          <w:rFonts w:hint="eastAsia" w:ascii="宋体" w:hAnsi="宋体" w:eastAsia="宋体" w:cs="宋体"/>
          <w:b/>
          <w:bCs/>
          <w:spacing w:val="-3"/>
        </w:rPr>
        <w:t>一、我方承诺无下列相互串通竞标的情形：</w:t>
      </w:r>
    </w:p>
    <w:p w14:paraId="330B9EF2">
      <w:pPr>
        <w:pStyle w:val="3"/>
        <w:shd w:val="clear"/>
        <w:spacing w:before="182" w:line="221" w:lineRule="auto"/>
        <w:ind w:left="490"/>
        <w:rPr>
          <w:rFonts w:hint="eastAsia" w:ascii="宋体" w:hAnsi="宋体" w:eastAsia="宋体" w:cs="宋体"/>
        </w:rPr>
      </w:pPr>
      <w:r>
        <w:rPr>
          <w:rFonts w:hint="eastAsia" w:ascii="宋体" w:hAnsi="宋体" w:eastAsia="宋体" w:cs="宋体"/>
          <w:spacing w:val="-1"/>
        </w:rPr>
        <w:t>1.不同供应商的响应文件由同一单位或者个</w:t>
      </w:r>
      <w:r>
        <w:rPr>
          <w:rFonts w:hint="eastAsia" w:ascii="宋体" w:hAnsi="宋体" w:eastAsia="宋体" w:cs="宋体"/>
          <w:spacing w:val="-2"/>
        </w:rPr>
        <w:t>人编制；</w:t>
      </w:r>
    </w:p>
    <w:p w14:paraId="3A3CF136">
      <w:pPr>
        <w:pStyle w:val="3"/>
        <w:shd w:val="clear"/>
        <w:spacing w:before="180" w:line="221" w:lineRule="auto"/>
        <w:ind w:left="475"/>
        <w:rPr>
          <w:rFonts w:hint="eastAsia" w:ascii="宋体" w:hAnsi="宋体" w:eastAsia="宋体" w:cs="宋体"/>
        </w:rPr>
      </w:pPr>
      <w:r>
        <w:rPr>
          <w:rFonts w:hint="eastAsia" w:ascii="宋体" w:hAnsi="宋体" w:eastAsia="宋体" w:cs="宋体"/>
          <w:spacing w:val="-1"/>
        </w:rPr>
        <w:t>2.不同供应商委托同一单位或者个人办理竞标事宜；</w:t>
      </w:r>
    </w:p>
    <w:p w14:paraId="00CFE2A4">
      <w:pPr>
        <w:pStyle w:val="3"/>
        <w:shd w:val="clear"/>
        <w:spacing w:before="181" w:line="222" w:lineRule="auto"/>
        <w:ind w:left="477"/>
        <w:rPr>
          <w:rFonts w:hint="eastAsia" w:ascii="宋体" w:hAnsi="宋体" w:eastAsia="宋体" w:cs="宋体"/>
        </w:rPr>
      </w:pPr>
      <w:r>
        <w:rPr>
          <w:rFonts w:hint="eastAsia" w:ascii="宋体" w:hAnsi="宋体" w:eastAsia="宋体" w:cs="宋体"/>
          <w:spacing w:val="-1"/>
        </w:rPr>
        <w:t>3.不同供应商的响应文件载明的项目管理员为同一个人；</w:t>
      </w:r>
    </w:p>
    <w:p w14:paraId="30C075AE">
      <w:pPr>
        <w:pStyle w:val="3"/>
        <w:shd w:val="clear"/>
        <w:spacing w:before="179" w:line="220" w:lineRule="auto"/>
        <w:ind w:left="471"/>
        <w:rPr>
          <w:rFonts w:hint="eastAsia" w:ascii="宋体" w:hAnsi="宋体" w:eastAsia="宋体" w:cs="宋体"/>
        </w:rPr>
      </w:pPr>
      <w:r>
        <w:rPr>
          <w:rFonts w:hint="eastAsia" w:ascii="宋体" w:hAnsi="宋体" w:eastAsia="宋体" w:cs="宋体"/>
          <w:spacing w:val="-10"/>
        </w:rPr>
        <w:t>4.不同供应商的响应文件异常一致或者竞标报价</w:t>
      </w:r>
      <w:r>
        <w:rPr>
          <w:rFonts w:hint="eastAsia" w:ascii="宋体" w:hAnsi="宋体" w:eastAsia="宋体" w:cs="宋体"/>
          <w:spacing w:val="-11"/>
        </w:rPr>
        <w:t>呈规律性差异；</w:t>
      </w:r>
    </w:p>
    <w:p w14:paraId="1E4CEA6F">
      <w:pPr>
        <w:pStyle w:val="3"/>
        <w:shd w:val="clear"/>
        <w:spacing w:before="181" w:line="222" w:lineRule="auto"/>
        <w:ind w:left="477"/>
        <w:rPr>
          <w:rFonts w:hint="eastAsia" w:ascii="宋体" w:hAnsi="宋体" w:eastAsia="宋体" w:cs="宋体"/>
        </w:rPr>
      </w:pPr>
      <w:r>
        <w:rPr>
          <w:rFonts w:hint="eastAsia" w:ascii="宋体" w:hAnsi="宋体" w:eastAsia="宋体" w:cs="宋体"/>
          <w:spacing w:val="-1"/>
        </w:rPr>
        <w:t>5.不同供应商的响应文件相互混装；</w:t>
      </w:r>
    </w:p>
    <w:p w14:paraId="3ED0B891">
      <w:pPr>
        <w:pStyle w:val="3"/>
        <w:shd w:val="clear"/>
        <w:spacing w:before="180" w:line="219" w:lineRule="auto"/>
        <w:ind w:left="474"/>
        <w:rPr>
          <w:rFonts w:hint="eastAsia" w:ascii="宋体" w:hAnsi="宋体" w:eastAsia="宋体" w:cs="宋体"/>
        </w:rPr>
      </w:pPr>
      <w:r>
        <w:rPr>
          <w:rFonts w:hint="eastAsia" w:ascii="宋体" w:hAnsi="宋体" w:eastAsia="宋体" w:cs="宋体"/>
          <w:spacing w:val="-1"/>
        </w:rPr>
        <w:t>6.不同供应商的磋商保证金从同一单位或者个人账户转出。</w:t>
      </w:r>
    </w:p>
    <w:p w14:paraId="6C06EE9B">
      <w:pPr>
        <w:pStyle w:val="3"/>
        <w:shd w:val="clear"/>
        <w:spacing w:before="184" w:line="219" w:lineRule="auto"/>
        <w:ind w:left="487"/>
        <w:rPr>
          <w:rFonts w:hint="eastAsia" w:ascii="宋体" w:hAnsi="宋体" w:eastAsia="宋体" w:cs="宋体"/>
        </w:rPr>
      </w:pPr>
      <w:r>
        <w:rPr>
          <w:rFonts w:hint="eastAsia" w:ascii="宋体" w:hAnsi="宋体" w:eastAsia="宋体" w:cs="宋体"/>
          <w:b/>
          <w:bCs/>
          <w:spacing w:val="-4"/>
        </w:rPr>
        <w:t>二、我方承诺无下列恶意串通的情形：</w:t>
      </w:r>
    </w:p>
    <w:p w14:paraId="7DF18B3C">
      <w:pPr>
        <w:pStyle w:val="3"/>
        <w:shd w:val="clear"/>
        <w:spacing w:before="182" w:line="360" w:lineRule="auto"/>
        <w:ind w:left="2" w:right="12" w:firstLine="487"/>
        <w:rPr>
          <w:rFonts w:hint="eastAsia" w:ascii="宋体" w:hAnsi="宋体" w:eastAsia="宋体" w:cs="宋体"/>
        </w:rPr>
      </w:pPr>
      <w:r>
        <w:rPr>
          <w:rFonts w:hint="eastAsia" w:ascii="宋体" w:hAnsi="宋体" w:eastAsia="宋体" w:cs="宋体"/>
          <w:spacing w:val="5"/>
        </w:rPr>
        <w:t>1.供应商直接或者间接从采购人或者采购代</w:t>
      </w:r>
      <w:r>
        <w:rPr>
          <w:rFonts w:hint="eastAsia" w:ascii="宋体" w:hAnsi="宋体" w:eastAsia="宋体" w:cs="宋体"/>
          <w:spacing w:val="4"/>
        </w:rPr>
        <w:t>理机构处获得其他供应商的相关信息</w:t>
      </w:r>
      <w:r>
        <w:rPr>
          <w:rFonts w:hint="eastAsia" w:ascii="宋体" w:hAnsi="宋体" w:eastAsia="宋体" w:cs="宋体"/>
          <w:spacing w:val="-3"/>
        </w:rPr>
        <w:t>并修改其响应文件；</w:t>
      </w:r>
    </w:p>
    <w:p w14:paraId="48B591BB">
      <w:pPr>
        <w:pStyle w:val="3"/>
        <w:shd w:val="clear"/>
        <w:spacing w:before="1" w:line="222" w:lineRule="auto"/>
        <w:ind w:left="475"/>
        <w:rPr>
          <w:rFonts w:hint="eastAsia" w:ascii="宋体" w:hAnsi="宋体" w:eastAsia="宋体" w:cs="宋体"/>
        </w:rPr>
      </w:pPr>
      <w:r>
        <w:rPr>
          <w:rFonts w:hint="eastAsia" w:ascii="宋体" w:hAnsi="宋体" w:eastAsia="宋体" w:cs="宋体"/>
          <w:spacing w:val="-1"/>
        </w:rPr>
        <w:t>2.供应商按照采购人或者采购代理机构的授意撤换、修改响应文件；</w:t>
      </w:r>
    </w:p>
    <w:p w14:paraId="0834D4BF">
      <w:pPr>
        <w:pStyle w:val="3"/>
        <w:shd w:val="clear"/>
        <w:spacing w:before="179" w:line="220" w:lineRule="auto"/>
        <w:ind w:left="477"/>
        <w:rPr>
          <w:rFonts w:hint="eastAsia" w:ascii="宋体" w:hAnsi="宋体" w:eastAsia="宋体" w:cs="宋体"/>
        </w:rPr>
      </w:pPr>
      <w:r>
        <w:rPr>
          <w:rFonts w:hint="eastAsia" w:ascii="宋体" w:hAnsi="宋体" w:eastAsia="宋体" w:cs="宋体"/>
          <w:spacing w:val="-11"/>
        </w:rPr>
        <w:t>3.供应商之间协商报价、技术方案等响应文件的实质性内容；</w:t>
      </w:r>
    </w:p>
    <w:p w14:paraId="5F67A075">
      <w:pPr>
        <w:pStyle w:val="3"/>
        <w:shd w:val="clear"/>
        <w:spacing w:before="182" w:line="360" w:lineRule="auto"/>
        <w:ind w:right="11" w:firstLine="471"/>
        <w:rPr>
          <w:rFonts w:hint="eastAsia" w:ascii="宋体" w:hAnsi="宋体" w:eastAsia="宋体" w:cs="宋体"/>
        </w:rPr>
      </w:pPr>
      <w:r>
        <w:rPr>
          <w:rFonts w:hint="eastAsia" w:ascii="宋体" w:hAnsi="宋体" w:eastAsia="宋体" w:cs="宋体"/>
          <w:spacing w:val="-2"/>
        </w:rPr>
        <w:t>4.属于同一集团、协会、商会等组织成员的供应商按照该组织要求协同参加政府采</w:t>
      </w:r>
      <w:r>
        <w:rPr>
          <w:rFonts w:hint="eastAsia" w:ascii="宋体" w:hAnsi="宋体" w:eastAsia="宋体" w:cs="宋体"/>
          <w:spacing w:val="-4"/>
        </w:rPr>
        <w:t>购活动；</w:t>
      </w:r>
    </w:p>
    <w:p w14:paraId="6A7CFDA8">
      <w:pPr>
        <w:pStyle w:val="3"/>
        <w:shd w:val="clear"/>
        <w:spacing w:line="360" w:lineRule="auto"/>
        <w:ind w:left="1" w:right="11" w:firstLine="475"/>
        <w:rPr>
          <w:rFonts w:hint="eastAsia" w:ascii="宋体" w:hAnsi="宋体" w:eastAsia="宋体" w:cs="宋体"/>
        </w:rPr>
      </w:pPr>
      <w:r>
        <w:rPr>
          <w:rFonts w:hint="eastAsia" w:ascii="宋体" w:hAnsi="宋体" w:eastAsia="宋体" w:cs="宋体"/>
          <w:spacing w:val="-2"/>
        </w:rPr>
        <w:t>5.供应商之间事先约定一致抬高或者压低竞标报价，或者在竞争性磋商项目中事先约定轮流以高价位或者低价位成交，或者事先约定由某一特定供应商成交，然后再参加</w:t>
      </w:r>
      <w:r>
        <w:rPr>
          <w:rFonts w:hint="eastAsia" w:ascii="宋体" w:hAnsi="宋体" w:eastAsia="宋体" w:cs="宋体"/>
          <w:spacing w:val="-6"/>
        </w:rPr>
        <w:t>竞标；</w:t>
      </w:r>
    </w:p>
    <w:p w14:paraId="0EA0389A">
      <w:pPr>
        <w:pStyle w:val="3"/>
        <w:shd w:val="clear"/>
        <w:spacing w:line="222" w:lineRule="auto"/>
        <w:ind w:left="474"/>
        <w:rPr>
          <w:rFonts w:hint="eastAsia" w:ascii="宋体" w:hAnsi="宋体" w:eastAsia="宋体" w:cs="宋体"/>
        </w:rPr>
      </w:pPr>
      <w:r>
        <w:rPr>
          <w:rFonts w:hint="eastAsia" w:ascii="宋体" w:hAnsi="宋体" w:eastAsia="宋体" w:cs="宋体"/>
        </w:rPr>
        <w:t>6.供应商之间商定部分供应商放弃参加政</w:t>
      </w:r>
      <w:r>
        <w:rPr>
          <w:rFonts w:hint="eastAsia" w:ascii="宋体" w:hAnsi="宋体" w:eastAsia="宋体" w:cs="宋体"/>
          <w:spacing w:val="-1"/>
        </w:rPr>
        <w:t>府采购活动或者放弃成交；</w:t>
      </w:r>
    </w:p>
    <w:p w14:paraId="5820715B">
      <w:pPr>
        <w:pStyle w:val="3"/>
        <w:shd w:val="clear"/>
        <w:spacing w:before="178" w:line="360" w:lineRule="auto"/>
        <w:ind w:left="5" w:firstLine="472"/>
        <w:rPr>
          <w:rFonts w:hint="eastAsia" w:ascii="宋体" w:hAnsi="宋体" w:eastAsia="宋体" w:cs="宋体"/>
        </w:rPr>
      </w:pPr>
      <w:r>
        <w:rPr>
          <w:rFonts w:hint="eastAsia" w:ascii="宋体" w:hAnsi="宋体" w:eastAsia="宋体" w:cs="宋体"/>
          <w:spacing w:val="-1"/>
        </w:rPr>
        <w:t>7.供应商与采购人或者采购代理机构之间、供应</w:t>
      </w:r>
      <w:r>
        <w:rPr>
          <w:rFonts w:hint="eastAsia" w:ascii="宋体" w:hAnsi="宋体" w:eastAsia="宋体" w:cs="宋体"/>
          <w:spacing w:val="-2"/>
        </w:rPr>
        <w:t>商相互之间，为谋求特定供应商成</w:t>
      </w:r>
      <w:r>
        <w:rPr>
          <w:rFonts w:hint="eastAsia" w:ascii="宋体" w:hAnsi="宋体" w:eastAsia="宋体" w:cs="宋体"/>
          <w:spacing w:val="-12"/>
        </w:rPr>
        <w:t>交或者排斥其他供应商的其他串通行为。</w:t>
      </w:r>
    </w:p>
    <w:p w14:paraId="20E00EF5">
      <w:pPr>
        <w:shd w:val="clear"/>
        <w:spacing w:line="388" w:lineRule="auto"/>
        <w:rPr>
          <w:rFonts w:hint="eastAsia" w:ascii="宋体" w:hAnsi="宋体" w:eastAsia="宋体" w:cs="宋体"/>
          <w:sz w:val="21"/>
        </w:rPr>
      </w:pPr>
    </w:p>
    <w:p w14:paraId="3CC5E4C4">
      <w:pPr>
        <w:pStyle w:val="3"/>
        <w:shd w:val="clear"/>
        <w:spacing w:before="79" w:line="361" w:lineRule="auto"/>
        <w:ind w:left="11" w:right="12" w:firstLine="493"/>
        <w:rPr>
          <w:rFonts w:hint="eastAsia" w:ascii="宋体" w:hAnsi="宋体" w:eastAsia="宋体" w:cs="宋体"/>
        </w:rPr>
      </w:pPr>
      <w:r>
        <w:rPr>
          <w:rFonts w:hint="eastAsia" w:ascii="宋体" w:hAnsi="宋体" w:eastAsia="宋体" w:cs="宋体"/>
          <w:b/>
          <w:bCs/>
          <w:spacing w:val="-5"/>
        </w:rPr>
        <w:t>以上情形一经核查属实，我方愿意承担一切后果，并不再寻求任何旨在减轻或者免除法律责任的辩解。</w:t>
      </w:r>
    </w:p>
    <w:p w14:paraId="148C1371">
      <w:pPr>
        <w:shd w:val="clear"/>
        <w:spacing w:line="385" w:lineRule="auto"/>
        <w:rPr>
          <w:rFonts w:hint="eastAsia" w:ascii="宋体" w:hAnsi="宋体" w:eastAsia="宋体" w:cs="宋体"/>
          <w:sz w:val="21"/>
        </w:rPr>
      </w:pPr>
    </w:p>
    <w:p w14:paraId="28573659">
      <w:pPr>
        <w:pStyle w:val="3"/>
        <w:shd w:val="clear"/>
        <w:spacing w:before="78" w:line="222" w:lineRule="auto"/>
        <w:ind w:left="3600"/>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45002444">
      <w:pPr>
        <w:pStyle w:val="3"/>
        <w:shd w:val="clear"/>
        <w:spacing w:before="180" w:line="222" w:lineRule="auto"/>
        <w:ind w:left="592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9"/>
        </w:rPr>
        <w:t xml:space="preserve">   </w:t>
      </w:r>
      <w:r>
        <w:rPr>
          <w:rFonts w:hint="eastAsia" w:ascii="宋体" w:hAnsi="宋体" w:eastAsia="宋体" w:cs="宋体"/>
          <w:spacing w:val="-16"/>
        </w:rPr>
        <w:t>月</w:t>
      </w:r>
      <w:r>
        <w:rPr>
          <w:rFonts w:hint="eastAsia" w:ascii="宋体" w:hAnsi="宋体" w:eastAsia="宋体" w:cs="宋体"/>
          <w:spacing w:val="22"/>
        </w:rPr>
        <w:t xml:space="preserve">   </w:t>
      </w:r>
      <w:r>
        <w:rPr>
          <w:rFonts w:hint="eastAsia" w:ascii="宋体" w:hAnsi="宋体" w:eastAsia="宋体" w:cs="宋体"/>
          <w:spacing w:val="-16"/>
        </w:rPr>
        <w:t>日</w:t>
      </w:r>
    </w:p>
    <w:p w14:paraId="2708AE14">
      <w:pPr>
        <w:shd w:val="clear"/>
        <w:spacing w:line="222" w:lineRule="auto"/>
        <w:rPr>
          <w:rFonts w:hint="eastAsia" w:ascii="宋体" w:hAnsi="宋体" w:eastAsia="宋体" w:cs="宋体"/>
        </w:rPr>
        <w:sectPr>
          <w:footerReference r:id="rId30" w:type="default"/>
          <w:pgSz w:w="11906" w:h="16839"/>
          <w:pgMar w:top="1440" w:right="1080" w:bottom="1440" w:left="1080" w:header="0" w:footer="1200" w:gutter="0"/>
          <w:pgNumType w:fmt="decimal"/>
          <w:cols w:space="720" w:num="1"/>
        </w:sectPr>
      </w:pPr>
    </w:p>
    <w:p w14:paraId="35A104DA">
      <w:pPr>
        <w:pStyle w:val="3"/>
        <w:shd w:val="clear"/>
        <w:spacing w:before="140" w:line="227" w:lineRule="auto"/>
        <w:ind w:left="2797"/>
        <w:rPr>
          <w:rFonts w:hint="eastAsia" w:ascii="宋体" w:hAnsi="宋体" w:eastAsia="宋体" w:cs="宋体"/>
          <w:sz w:val="43"/>
          <w:szCs w:val="43"/>
        </w:rPr>
      </w:pPr>
      <w:r>
        <w:rPr>
          <w:rFonts w:hint="eastAsia" w:ascii="宋体" w:hAnsi="宋体" w:eastAsia="宋体" w:cs="宋体"/>
          <w:spacing w:val="4"/>
          <w:sz w:val="43"/>
          <w:szCs w:val="43"/>
        </w:rPr>
        <w:t>法定代表人证明书</w:t>
      </w:r>
    </w:p>
    <w:p w14:paraId="61276335">
      <w:pPr>
        <w:shd w:val="clear"/>
        <w:spacing w:line="304" w:lineRule="auto"/>
        <w:rPr>
          <w:rFonts w:hint="eastAsia" w:ascii="宋体" w:hAnsi="宋体" w:eastAsia="宋体" w:cs="宋体"/>
          <w:sz w:val="21"/>
        </w:rPr>
      </w:pPr>
    </w:p>
    <w:p w14:paraId="4CD84A3F">
      <w:pPr>
        <w:shd w:val="clear"/>
        <w:spacing w:line="305" w:lineRule="auto"/>
        <w:rPr>
          <w:rFonts w:hint="eastAsia" w:ascii="宋体" w:hAnsi="宋体" w:eastAsia="宋体" w:cs="宋体"/>
          <w:sz w:val="21"/>
        </w:rPr>
      </w:pPr>
    </w:p>
    <w:p w14:paraId="73A141FE">
      <w:pPr>
        <w:pStyle w:val="3"/>
        <w:shd w:val="clear"/>
        <w:spacing w:before="78" w:line="221" w:lineRule="auto"/>
        <w:ind w:left="534"/>
        <w:rPr>
          <w:rFonts w:hint="eastAsia" w:ascii="宋体" w:hAnsi="宋体" w:eastAsia="宋体" w:cs="宋体"/>
        </w:rPr>
      </w:pPr>
      <w:r>
        <w:rPr>
          <w:rFonts w:hint="eastAsia" w:ascii="宋体" w:hAnsi="宋体" w:eastAsia="宋体" w:cs="宋体"/>
          <w:spacing w:val="-3"/>
        </w:rPr>
        <w:t>供应商名称：</w:t>
      </w:r>
      <w:r>
        <w:rPr>
          <w:rFonts w:hint="eastAsia" w:ascii="宋体" w:hAnsi="宋体" w:eastAsia="宋体" w:cs="宋体"/>
          <w:u w:val="single" w:color="auto"/>
        </w:rPr>
        <w:t xml:space="preserve">                                        </w:t>
      </w:r>
    </w:p>
    <w:p w14:paraId="70C1F051">
      <w:pPr>
        <w:pStyle w:val="3"/>
        <w:shd w:val="clear"/>
        <w:spacing w:before="180" w:line="232" w:lineRule="auto"/>
        <w:ind w:left="534"/>
        <w:rPr>
          <w:rFonts w:hint="eastAsia" w:ascii="宋体" w:hAnsi="宋体" w:eastAsia="宋体" w:cs="宋体"/>
        </w:rPr>
      </w:pPr>
      <w:r>
        <w:rPr>
          <w:rFonts w:hint="eastAsia" w:ascii="宋体" w:hAnsi="宋体" w:eastAsia="宋体" w:cs="宋体"/>
          <w:spacing w:val="-24"/>
        </w:rPr>
        <w:t>地</w:t>
      </w:r>
      <w:r>
        <w:rPr>
          <w:rFonts w:hint="eastAsia" w:ascii="宋体" w:hAnsi="宋体" w:eastAsia="宋体" w:cs="宋体"/>
          <w:spacing w:val="5"/>
        </w:rPr>
        <w:t xml:space="preserve">    </w:t>
      </w:r>
      <w:r>
        <w:rPr>
          <w:rFonts w:hint="eastAsia" w:ascii="宋体" w:hAnsi="宋体" w:eastAsia="宋体" w:cs="宋体"/>
          <w:spacing w:val="-24"/>
        </w:rPr>
        <w:t>址</w:t>
      </w:r>
      <w:r>
        <w:rPr>
          <w:rFonts w:hint="eastAsia" w:ascii="宋体" w:hAnsi="宋体" w:eastAsia="宋体" w:cs="宋体"/>
          <w:spacing w:val="-86"/>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p>
    <w:p w14:paraId="501FDD24">
      <w:pPr>
        <w:pStyle w:val="3"/>
        <w:shd w:val="clear"/>
        <w:spacing w:before="166" w:line="220" w:lineRule="auto"/>
        <w:ind w:left="533"/>
        <w:rPr>
          <w:rFonts w:hint="eastAsia" w:ascii="宋体" w:hAnsi="宋体" w:eastAsia="宋体" w:cs="宋体"/>
        </w:rPr>
      </w:pPr>
      <w:r>
        <w:rPr>
          <w:rFonts w:hint="eastAsia" w:ascii="宋体" w:hAnsi="宋体" w:eastAsia="宋体" w:cs="宋体"/>
          <w:spacing w:val="-24"/>
        </w:rPr>
        <w:t>姓</w:t>
      </w:r>
      <w:r>
        <w:rPr>
          <w:rFonts w:hint="eastAsia" w:ascii="宋体" w:hAnsi="宋体" w:eastAsia="宋体" w:cs="宋体"/>
          <w:spacing w:val="5"/>
        </w:rPr>
        <w:t xml:space="preserve">    </w:t>
      </w:r>
      <w:r>
        <w:rPr>
          <w:rFonts w:hint="eastAsia" w:ascii="宋体" w:hAnsi="宋体" w:eastAsia="宋体" w:cs="宋体"/>
          <w:spacing w:val="-24"/>
        </w:rPr>
        <w:t>名</w:t>
      </w:r>
      <w:r>
        <w:rPr>
          <w:rFonts w:hint="eastAsia" w:ascii="宋体" w:hAnsi="宋体" w:eastAsia="宋体" w:cs="宋体"/>
          <w:spacing w:val="-86"/>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r>
        <w:rPr>
          <w:rFonts w:hint="eastAsia" w:ascii="宋体" w:hAnsi="宋体" w:eastAsia="宋体" w:cs="宋体"/>
          <w:spacing w:val="-100"/>
        </w:rPr>
        <w:t xml:space="preserve"> </w:t>
      </w:r>
      <w:r>
        <w:rPr>
          <w:rFonts w:hint="eastAsia" w:ascii="宋体" w:hAnsi="宋体" w:eastAsia="宋体" w:cs="宋体"/>
          <w:spacing w:val="-24"/>
        </w:rPr>
        <w:t>性</w:t>
      </w:r>
      <w:r>
        <w:rPr>
          <w:rFonts w:hint="eastAsia" w:ascii="宋体" w:hAnsi="宋体" w:eastAsia="宋体" w:cs="宋体"/>
          <w:spacing w:val="3"/>
        </w:rPr>
        <w:t xml:space="preserve">     </w:t>
      </w:r>
      <w:r>
        <w:rPr>
          <w:rFonts w:hint="eastAsia" w:ascii="宋体" w:hAnsi="宋体" w:eastAsia="宋体" w:cs="宋体"/>
          <w:spacing w:val="-24"/>
        </w:rPr>
        <w:t>别</w:t>
      </w:r>
      <w:r>
        <w:rPr>
          <w:rFonts w:hint="eastAsia" w:ascii="宋体" w:hAnsi="宋体" w:eastAsia="宋体" w:cs="宋体"/>
          <w:spacing w:val="-82"/>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p>
    <w:p w14:paraId="3909A5C3">
      <w:pPr>
        <w:pStyle w:val="3"/>
        <w:shd w:val="clear"/>
        <w:spacing w:before="182" w:line="222" w:lineRule="auto"/>
        <w:ind w:left="538"/>
        <w:rPr>
          <w:rFonts w:hint="eastAsia" w:ascii="宋体" w:hAnsi="宋体" w:eastAsia="宋体" w:cs="宋体"/>
        </w:rPr>
      </w:pPr>
      <w:r>
        <w:rPr>
          <w:rFonts w:hint="eastAsia" w:ascii="宋体" w:hAnsi="宋体" w:eastAsia="宋体" w:cs="宋体"/>
          <w:spacing w:val="-24"/>
        </w:rPr>
        <w:t>年</w:t>
      </w:r>
      <w:r>
        <w:rPr>
          <w:rFonts w:hint="eastAsia" w:ascii="宋体" w:hAnsi="宋体" w:eastAsia="宋体" w:cs="宋体"/>
          <w:spacing w:val="4"/>
        </w:rPr>
        <w:t xml:space="preserve">    </w:t>
      </w:r>
      <w:r>
        <w:rPr>
          <w:rFonts w:hint="eastAsia" w:ascii="宋体" w:hAnsi="宋体" w:eastAsia="宋体" w:cs="宋体"/>
          <w:spacing w:val="-24"/>
        </w:rPr>
        <w:t>龄</w:t>
      </w:r>
      <w:r>
        <w:rPr>
          <w:rFonts w:hint="eastAsia" w:ascii="宋体" w:hAnsi="宋体" w:eastAsia="宋体" w:cs="宋体"/>
          <w:spacing w:val="-86"/>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r>
        <w:rPr>
          <w:rFonts w:hint="eastAsia" w:ascii="宋体" w:hAnsi="宋体" w:eastAsia="宋体" w:cs="宋体"/>
          <w:spacing w:val="-105"/>
        </w:rPr>
        <w:t xml:space="preserve"> </w:t>
      </w:r>
      <w:r>
        <w:rPr>
          <w:rFonts w:hint="eastAsia" w:ascii="宋体" w:hAnsi="宋体" w:eastAsia="宋体" w:cs="宋体"/>
          <w:spacing w:val="-24"/>
        </w:rPr>
        <w:t>职</w:t>
      </w:r>
      <w:r>
        <w:rPr>
          <w:rFonts w:hint="eastAsia" w:ascii="宋体" w:hAnsi="宋体" w:eastAsia="宋体" w:cs="宋体"/>
          <w:spacing w:val="4"/>
        </w:rPr>
        <w:t xml:space="preserve">     </w:t>
      </w:r>
      <w:r>
        <w:rPr>
          <w:rFonts w:hint="eastAsia" w:ascii="宋体" w:hAnsi="宋体" w:eastAsia="宋体" w:cs="宋体"/>
          <w:spacing w:val="-24"/>
        </w:rPr>
        <w:t>务</w:t>
      </w:r>
      <w:r>
        <w:rPr>
          <w:rFonts w:hint="eastAsia" w:ascii="宋体" w:hAnsi="宋体" w:eastAsia="宋体" w:cs="宋体"/>
          <w:spacing w:val="-83"/>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p>
    <w:p w14:paraId="7E68BB1C">
      <w:pPr>
        <w:pStyle w:val="3"/>
        <w:shd w:val="clear"/>
        <w:spacing w:before="179" w:line="222" w:lineRule="auto"/>
        <w:ind w:left="533"/>
        <w:rPr>
          <w:rFonts w:hint="eastAsia" w:ascii="宋体" w:hAnsi="宋体" w:eastAsia="宋体" w:cs="宋体"/>
        </w:rPr>
      </w:pPr>
      <w:r>
        <w:rPr>
          <w:rFonts w:hint="eastAsia" w:ascii="宋体" w:hAnsi="宋体" w:eastAsia="宋体" w:cs="宋体"/>
          <w:spacing w:val="-3"/>
        </w:rPr>
        <w:t>身份证号码：</w:t>
      </w:r>
      <w:r>
        <w:rPr>
          <w:rFonts w:hint="eastAsia" w:ascii="宋体" w:hAnsi="宋体" w:eastAsia="宋体" w:cs="宋体"/>
          <w:u w:val="single" w:color="auto"/>
        </w:rPr>
        <w:t xml:space="preserve">                                        </w:t>
      </w:r>
    </w:p>
    <w:p w14:paraId="304A3C2C">
      <w:pPr>
        <w:pStyle w:val="3"/>
        <w:shd w:val="clear"/>
        <w:spacing w:before="179" w:line="221" w:lineRule="auto"/>
        <w:ind w:left="482"/>
        <w:rPr>
          <w:rFonts w:hint="eastAsia" w:ascii="宋体" w:hAnsi="宋体" w:eastAsia="宋体" w:cs="宋体"/>
        </w:rPr>
      </w:pPr>
      <w:r>
        <w:rPr>
          <w:rFonts w:hint="eastAsia" w:ascii="宋体" w:hAnsi="宋体" w:eastAsia="宋体" w:cs="宋体"/>
          <w:spacing w:val="-2"/>
        </w:rPr>
        <w:t>系</w:t>
      </w:r>
      <w:r>
        <w:rPr>
          <w:rFonts w:hint="eastAsia" w:ascii="宋体" w:hAnsi="宋体" w:eastAsia="宋体" w:cs="宋体"/>
          <w:spacing w:val="-2"/>
          <w:u w:val="single" w:color="auto"/>
        </w:rPr>
        <w:t>（供应商名称）</w:t>
      </w:r>
      <w:r>
        <w:rPr>
          <w:rFonts w:hint="eastAsia" w:ascii="宋体" w:hAnsi="宋体" w:eastAsia="宋体" w:cs="宋体"/>
          <w:spacing w:val="-2"/>
        </w:rPr>
        <w:t>的法定代表人。</w:t>
      </w:r>
    </w:p>
    <w:p w14:paraId="12DA78BA">
      <w:pPr>
        <w:pStyle w:val="3"/>
        <w:shd w:val="clear"/>
        <w:spacing w:before="180" w:line="224" w:lineRule="auto"/>
        <w:ind w:left="532"/>
        <w:rPr>
          <w:rFonts w:hint="eastAsia" w:ascii="宋体" w:hAnsi="宋体" w:eastAsia="宋体" w:cs="宋体"/>
        </w:rPr>
      </w:pPr>
      <w:r>
        <w:rPr>
          <w:rFonts w:hint="eastAsia" w:ascii="宋体" w:hAnsi="宋体" w:eastAsia="宋体" w:cs="宋体"/>
          <w:spacing w:val="-4"/>
        </w:rPr>
        <w:t>特此证明。</w:t>
      </w:r>
    </w:p>
    <w:p w14:paraId="2ECB6237">
      <w:pPr>
        <w:shd w:val="clear"/>
        <w:spacing w:line="248" w:lineRule="auto"/>
        <w:rPr>
          <w:rFonts w:hint="eastAsia" w:ascii="宋体" w:hAnsi="宋体" w:eastAsia="宋体" w:cs="宋体"/>
          <w:sz w:val="21"/>
        </w:rPr>
      </w:pPr>
    </w:p>
    <w:p w14:paraId="372F9A4A">
      <w:pPr>
        <w:shd w:val="clear"/>
        <w:spacing w:line="249" w:lineRule="auto"/>
        <w:rPr>
          <w:rFonts w:hint="eastAsia" w:ascii="宋体" w:hAnsi="宋体" w:eastAsia="宋体" w:cs="宋体"/>
          <w:sz w:val="21"/>
        </w:rPr>
      </w:pPr>
    </w:p>
    <w:p w14:paraId="6FECE979">
      <w:pPr>
        <w:shd w:val="clear"/>
        <w:spacing w:line="249" w:lineRule="auto"/>
        <w:rPr>
          <w:rFonts w:hint="eastAsia" w:ascii="宋体" w:hAnsi="宋体" w:eastAsia="宋体" w:cs="宋体"/>
          <w:sz w:val="21"/>
        </w:rPr>
      </w:pPr>
    </w:p>
    <w:p w14:paraId="72C6ACE9">
      <w:pPr>
        <w:shd w:val="clear"/>
        <w:spacing w:line="249" w:lineRule="auto"/>
        <w:rPr>
          <w:rFonts w:hint="eastAsia" w:ascii="宋体" w:hAnsi="宋体" w:eastAsia="宋体" w:cs="宋体"/>
          <w:sz w:val="21"/>
        </w:rPr>
      </w:pPr>
    </w:p>
    <w:p w14:paraId="13C9319C">
      <w:pPr>
        <w:shd w:val="clear"/>
        <w:spacing w:line="249" w:lineRule="auto"/>
        <w:rPr>
          <w:rFonts w:hint="eastAsia" w:ascii="宋体" w:hAnsi="宋体" w:eastAsia="宋体" w:cs="宋体"/>
          <w:sz w:val="21"/>
        </w:rPr>
      </w:pPr>
    </w:p>
    <w:p w14:paraId="3391D586">
      <w:pPr>
        <w:shd w:val="clear"/>
        <w:spacing w:line="249" w:lineRule="auto"/>
        <w:rPr>
          <w:rFonts w:hint="eastAsia" w:ascii="宋体" w:hAnsi="宋体" w:eastAsia="宋体" w:cs="宋体"/>
          <w:sz w:val="21"/>
        </w:rPr>
      </w:pPr>
    </w:p>
    <w:p w14:paraId="58630443">
      <w:pPr>
        <w:pStyle w:val="3"/>
        <w:shd w:val="clear"/>
        <w:spacing w:before="79" w:line="222" w:lineRule="auto"/>
        <w:ind w:left="543"/>
        <w:rPr>
          <w:rFonts w:hint="eastAsia" w:ascii="宋体" w:hAnsi="宋体" w:eastAsia="宋体" w:cs="宋体"/>
        </w:rPr>
      </w:pPr>
      <w:r>
        <w:rPr>
          <w:rFonts w:hint="eastAsia" w:ascii="宋体" w:hAnsi="宋体" w:eastAsia="宋体" w:cs="宋体"/>
          <w:spacing w:val="-2"/>
        </w:rPr>
        <w:t>附件：法定代表人有效身份证正反面复印件</w:t>
      </w:r>
    </w:p>
    <w:p w14:paraId="7C244AE5">
      <w:pPr>
        <w:shd w:val="clear"/>
        <w:spacing w:line="283" w:lineRule="auto"/>
        <w:rPr>
          <w:rFonts w:hint="eastAsia" w:ascii="宋体" w:hAnsi="宋体" w:eastAsia="宋体" w:cs="宋体"/>
          <w:sz w:val="21"/>
        </w:rPr>
      </w:pPr>
    </w:p>
    <w:p w14:paraId="0F67A3C8">
      <w:pPr>
        <w:shd w:val="clear"/>
        <w:spacing w:line="283" w:lineRule="auto"/>
        <w:rPr>
          <w:rFonts w:hint="eastAsia" w:ascii="宋体" w:hAnsi="宋体" w:eastAsia="宋体" w:cs="宋体"/>
          <w:sz w:val="21"/>
        </w:rPr>
      </w:pPr>
    </w:p>
    <w:p w14:paraId="31890358">
      <w:pPr>
        <w:pStyle w:val="3"/>
        <w:shd w:val="clear"/>
        <w:spacing w:before="79" w:line="222" w:lineRule="auto"/>
        <w:ind w:left="4561"/>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4E48983E">
      <w:pPr>
        <w:pStyle w:val="3"/>
        <w:shd w:val="clear"/>
        <w:tabs>
          <w:tab w:val="left" w:pos="7129"/>
        </w:tabs>
        <w:spacing w:before="179" w:line="222" w:lineRule="auto"/>
        <w:ind w:left="6529"/>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98"/>
        </w:rPr>
        <w:t xml:space="preserve"> </w:t>
      </w:r>
      <w:r>
        <w:rPr>
          <w:rFonts w:hint="eastAsia" w:ascii="宋体" w:hAnsi="宋体" w:eastAsia="宋体" w:cs="宋体"/>
          <w:spacing w:val="-39"/>
        </w:rPr>
        <w:t>年</w:t>
      </w:r>
      <w:r>
        <w:rPr>
          <w:rFonts w:hint="eastAsia" w:ascii="宋体" w:hAnsi="宋体" w:eastAsia="宋体" w:cs="宋体"/>
          <w:u w:val="single" w:color="auto"/>
        </w:rPr>
        <w:t xml:space="preserve">     </w:t>
      </w:r>
      <w:r>
        <w:rPr>
          <w:rFonts w:hint="eastAsia" w:ascii="宋体" w:hAnsi="宋体" w:eastAsia="宋体" w:cs="宋体"/>
          <w:spacing w:val="-93"/>
        </w:rPr>
        <w:t xml:space="preserve"> </w:t>
      </w:r>
      <w:r>
        <w:rPr>
          <w:rFonts w:hint="eastAsia" w:ascii="宋体" w:hAnsi="宋体" w:eastAsia="宋体" w:cs="宋体"/>
          <w:spacing w:val="-39"/>
        </w:rPr>
        <w:t>月</w:t>
      </w:r>
      <w:r>
        <w:rPr>
          <w:rFonts w:hint="eastAsia" w:ascii="宋体" w:hAnsi="宋体" w:eastAsia="宋体" w:cs="宋体"/>
          <w:u w:val="single" w:color="auto"/>
        </w:rPr>
        <w:t xml:space="preserve">     </w:t>
      </w:r>
      <w:r>
        <w:rPr>
          <w:rFonts w:hint="eastAsia" w:ascii="宋体" w:hAnsi="宋体" w:eastAsia="宋体" w:cs="宋体"/>
          <w:spacing w:val="-53"/>
        </w:rPr>
        <w:t xml:space="preserve"> </w:t>
      </w:r>
      <w:r>
        <w:rPr>
          <w:rFonts w:hint="eastAsia" w:ascii="宋体" w:hAnsi="宋体" w:eastAsia="宋体" w:cs="宋体"/>
          <w:spacing w:val="-39"/>
        </w:rPr>
        <w:t>日</w:t>
      </w:r>
    </w:p>
    <w:p w14:paraId="3A9B2CD8">
      <w:pPr>
        <w:shd w:val="clear"/>
        <w:spacing w:line="257" w:lineRule="auto"/>
        <w:rPr>
          <w:rFonts w:hint="eastAsia" w:ascii="宋体" w:hAnsi="宋体" w:eastAsia="宋体" w:cs="宋体"/>
          <w:sz w:val="21"/>
        </w:rPr>
      </w:pPr>
    </w:p>
    <w:p w14:paraId="65B68A79">
      <w:pPr>
        <w:shd w:val="clear"/>
        <w:spacing w:line="258" w:lineRule="auto"/>
        <w:rPr>
          <w:rFonts w:hint="eastAsia" w:ascii="宋体" w:hAnsi="宋体" w:eastAsia="宋体" w:cs="宋体"/>
          <w:sz w:val="21"/>
        </w:rPr>
      </w:pPr>
    </w:p>
    <w:p w14:paraId="54E95F2E">
      <w:pPr>
        <w:shd w:val="clear"/>
        <w:spacing w:line="258" w:lineRule="auto"/>
        <w:rPr>
          <w:rFonts w:hint="eastAsia" w:ascii="宋体" w:hAnsi="宋体" w:eastAsia="宋体" w:cs="宋体"/>
          <w:sz w:val="21"/>
        </w:rPr>
      </w:pPr>
    </w:p>
    <w:p w14:paraId="164AFDF5">
      <w:pPr>
        <w:shd w:val="clear"/>
        <w:spacing w:line="258" w:lineRule="auto"/>
        <w:rPr>
          <w:rFonts w:hint="eastAsia" w:ascii="宋体" w:hAnsi="宋体" w:eastAsia="宋体" w:cs="宋体"/>
          <w:sz w:val="21"/>
        </w:rPr>
      </w:pPr>
    </w:p>
    <w:p w14:paraId="5F759042">
      <w:pPr>
        <w:pStyle w:val="3"/>
        <w:shd w:val="clear"/>
        <w:spacing w:before="78" w:line="222" w:lineRule="auto"/>
        <w:rPr>
          <w:rFonts w:hint="eastAsia" w:ascii="宋体" w:hAnsi="宋体" w:eastAsia="宋体" w:cs="宋体"/>
        </w:rPr>
      </w:pPr>
      <w:r>
        <w:rPr>
          <w:rFonts w:hint="eastAsia" w:ascii="宋体" w:hAnsi="宋体" w:eastAsia="宋体" w:cs="宋体"/>
          <w:spacing w:val="-3"/>
        </w:rPr>
        <w:t>注：</w:t>
      </w:r>
      <w:r>
        <w:rPr>
          <w:rFonts w:hint="eastAsia" w:ascii="宋体" w:hAnsi="宋体" w:eastAsia="宋体" w:cs="宋体"/>
          <w:spacing w:val="-59"/>
        </w:rPr>
        <w:t xml:space="preserve"> </w:t>
      </w:r>
      <w:r>
        <w:rPr>
          <w:rFonts w:hint="eastAsia" w:ascii="宋体" w:hAnsi="宋体" w:eastAsia="宋体" w:cs="宋体"/>
          <w:spacing w:val="-3"/>
        </w:rPr>
        <w:t>自然人竞标的无需提供，联合体竞标的只需牵头</w:t>
      </w:r>
      <w:r>
        <w:rPr>
          <w:rFonts w:hint="eastAsia" w:ascii="宋体" w:hAnsi="宋体" w:eastAsia="宋体" w:cs="宋体"/>
          <w:spacing w:val="-4"/>
        </w:rPr>
        <w:t>人出具。</w:t>
      </w:r>
    </w:p>
    <w:p w14:paraId="4A9C4B58">
      <w:pPr>
        <w:shd w:val="clear"/>
        <w:spacing w:line="222" w:lineRule="auto"/>
        <w:rPr>
          <w:rFonts w:hint="eastAsia" w:ascii="宋体" w:hAnsi="宋体" w:eastAsia="宋体" w:cs="宋体"/>
        </w:rPr>
        <w:sectPr>
          <w:footerReference r:id="rId31" w:type="default"/>
          <w:pgSz w:w="11906" w:h="16839"/>
          <w:pgMar w:top="1440" w:right="1080" w:bottom="1440" w:left="1080" w:header="0" w:footer="1200" w:gutter="0"/>
          <w:pgNumType w:fmt="decimal"/>
          <w:cols w:space="720" w:num="1"/>
        </w:sectPr>
      </w:pPr>
    </w:p>
    <w:p w14:paraId="09BF4450">
      <w:pPr>
        <w:pStyle w:val="3"/>
        <w:shd w:val="clear"/>
        <w:spacing w:before="140" w:line="226" w:lineRule="auto"/>
        <w:ind w:left="3450"/>
        <w:rPr>
          <w:rFonts w:hint="eastAsia" w:ascii="宋体" w:hAnsi="宋体" w:eastAsia="宋体" w:cs="宋体"/>
          <w:sz w:val="43"/>
          <w:szCs w:val="43"/>
        </w:rPr>
      </w:pPr>
      <w:r>
        <w:rPr>
          <w:rFonts w:hint="eastAsia" w:ascii="宋体" w:hAnsi="宋体" w:eastAsia="宋体" w:cs="宋体"/>
          <w:spacing w:val="3"/>
          <w:sz w:val="43"/>
          <w:szCs w:val="43"/>
        </w:rPr>
        <w:t>授权委托书</w:t>
      </w:r>
    </w:p>
    <w:p w14:paraId="51610389">
      <w:pPr>
        <w:pStyle w:val="3"/>
        <w:shd w:val="clear"/>
        <w:spacing w:before="96" w:line="228" w:lineRule="auto"/>
        <w:ind w:left="2948"/>
        <w:rPr>
          <w:rFonts w:hint="eastAsia" w:ascii="宋体" w:hAnsi="宋体" w:eastAsia="宋体" w:cs="宋体"/>
          <w:sz w:val="31"/>
          <w:szCs w:val="31"/>
        </w:rPr>
      </w:pPr>
      <w:r>
        <w:rPr>
          <w:rFonts w:hint="eastAsia" w:ascii="宋体" w:hAnsi="宋体" w:eastAsia="宋体" w:cs="宋体"/>
          <w:spacing w:val="6"/>
          <w:sz w:val="31"/>
          <w:szCs w:val="31"/>
        </w:rPr>
        <w:t>（非联合体竞标格式）</w:t>
      </w:r>
    </w:p>
    <w:p w14:paraId="51C42A98">
      <w:pPr>
        <w:pStyle w:val="3"/>
        <w:shd w:val="clear"/>
        <w:spacing w:before="137" w:line="228" w:lineRule="auto"/>
        <w:ind w:left="3428"/>
        <w:rPr>
          <w:rFonts w:hint="eastAsia" w:ascii="宋体" w:hAnsi="宋体" w:eastAsia="宋体" w:cs="宋体"/>
          <w:sz w:val="31"/>
          <w:szCs w:val="31"/>
        </w:rPr>
      </w:pPr>
      <w:r>
        <w:rPr>
          <w:rFonts w:hint="eastAsia" w:ascii="宋体" w:hAnsi="宋体" w:eastAsia="宋体" w:cs="宋体"/>
          <w:spacing w:val="4"/>
          <w:sz w:val="31"/>
          <w:szCs w:val="31"/>
        </w:rPr>
        <w:t>（如有委托时）</w:t>
      </w:r>
    </w:p>
    <w:p w14:paraId="26B1AFB3">
      <w:pPr>
        <w:shd w:val="clear"/>
        <w:spacing w:line="273" w:lineRule="auto"/>
        <w:rPr>
          <w:rFonts w:hint="eastAsia" w:ascii="宋体" w:hAnsi="宋体" w:eastAsia="宋体" w:cs="宋体"/>
          <w:sz w:val="21"/>
        </w:rPr>
      </w:pPr>
    </w:p>
    <w:p w14:paraId="4BD15173">
      <w:pPr>
        <w:shd w:val="clear"/>
        <w:spacing w:line="273" w:lineRule="auto"/>
        <w:rPr>
          <w:rFonts w:hint="eastAsia" w:ascii="宋体" w:hAnsi="宋体" w:eastAsia="宋体" w:cs="宋体"/>
          <w:sz w:val="21"/>
        </w:rPr>
      </w:pPr>
    </w:p>
    <w:p w14:paraId="3CB1904B">
      <w:pPr>
        <w:pStyle w:val="3"/>
        <w:shd w:val="clear"/>
        <w:spacing w:before="78" w:line="221" w:lineRule="auto"/>
        <w:ind w:left="3"/>
        <w:rPr>
          <w:rFonts w:hint="eastAsia" w:ascii="宋体" w:hAnsi="宋体" w:eastAsia="宋体" w:cs="宋体"/>
        </w:rPr>
      </w:pPr>
      <w:r>
        <w:rPr>
          <w:rFonts w:hint="eastAsia" w:ascii="宋体" w:hAnsi="宋体" w:eastAsia="宋体" w:cs="宋体"/>
          <w:spacing w:val="8"/>
        </w:rPr>
        <w:t>致</w:t>
      </w:r>
      <w:r>
        <w:rPr>
          <w:rFonts w:hint="eastAsia" w:ascii="宋体" w:hAnsi="宋体" w:eastAsia="宋体" w:cs="宋体"/>
          <w:spacing w:val="-17"/>
        </w:rPr>
        <w:t>：</w:t>
      </w:r>
      <w:r>
        <w:rPr>
          <w:rFonts w:hint="eastAsia" w:ascii="宋体" w:hAnsi="宋体" w:eastAsia="宋体" w:cs="宋体"/>
          <w:spacing w:val="-17"/>
          <w:u w:val="single" w:color="auto"/>
        </w:rPr>
        <w:t>（</w:t>
      </w:r>
      <w:r>
        <w:rPr>
          <w:rFonts w:hint="eastAsia" w:ascii="宋体" w:hAnsi="宋体" w:eastAsia="宋体" w:cs="宋体"/>
          <w:spacing w:val="8"/>
          <w:u w:val="single" w:color="auto"/>
        </w:rPr>
        <w:t>采购人名称</w:t>
      </w:r>
      <w:r>
        <w:rPr>
          <w:rFonts w:hint="eastAsia" w:ascii="宋体" w:hAnsi="宋体" w:eastAsia="宋体" w:cs="宋体"/>
          <w:spacing w:val="-17"/>
          <w:u w:val="single" w:color="auto"/>
        </w:rPr>
        <w:t>）</w:t>
      </w:r>
      <w:r>
        <w:rPr>
          <w:rFonts w:hint="eastAsia" w:ascii="宋体" w:hAnsi="宋体" w:eastAsia="宋体" w:cs="宋体"/>
          <w:spacing w:val="-17"/>
        </w:rPr>
        <w:t>：</w:t>
      </w:r>
    </w:p>
    <w:p w14:paraId="41E23209">
      <w:pPr>
        <w:pStyle w:val="3"/>
        <w:shd w:val="clear"/>
        <w:spacing w:before="181" w:line="360" w:lineRule="auto"/>
        <w:ind w:firstLine="489"/>
        <w:jc w:val="both"/>
        <w:rPr>
          <w:rFonts w:hint="eastAsia" w:ascii="宋体" w:hAnsi="宋体" w:eastAsia="宋体" w:cs="宋体"/>
        </w:rPr>
      </w:pPr>
      <w:r>
        <w:rPr>
          <w:rFonts w:hint="eastAsia" w:ascii="宋体" w:hAnsi="宋体" w:eastAsia="宋体" w:cs="宋体"/>
          <w:spacing w:val="-5"/>
        </w:rPr>
        <w:t>我</w:t>
      </w:r>
      <w:r>
        <w:rPr>
          <w:rFonts w:hint="eastAsia" w:ascii="宋体" w:hAnsi="宋体" w:eastAsia="宋体" w:cs="宋体"/>
          <w:spacing w:val="68"/>
          <w:u w:val="single" w:color="auto"/>
        </w:rPr>
        <w:t xml:space="preserve"> </w:t>
      </w:r>
      <w:r>
        <w:rPr>
          <w:rFonts w:hint="eastAsia" w:ascii="宋体" w:hAnsi="宋体" w:eastAsia="宋体" w:cs="宋体"/>
          <w:spacing w:val="-5"/>
          <w:u w:val="single" w:color="auto"/>
        </w:rPr>
        <w:t>（姓名）</w:t>
      </w:r>
      <w:r>
        <w:rPr>
          <w:rFonts w:hint="eastAsia" w:ascii="宋体" w:hAnsi="宋体" w:eastAsia="宋体" w:cs="宋体"/>
          <w:spacing w:val="62"/>
          <w:u w:val="single" w:color="auto"/>
        </w:rPr>
        <w:t xml:space="preserve"> </w:t>
      </w:r>
      <w:r>
        <w:rPr>
          <w:rFonts w:hint="eastAsia" w:ascii="宋体" w:hAnsi="宋体" w:eastAsia="宋体" w:cs="宋体"/>
          <w:spacing w:val="-94"/>
        </w:rPr>
        <w:t xml:space="preserve"> </w:t>
      </w:r>
      <w:r>
        <w:rPr>
          <w:rFonts w:hint="eastAsia" w:ascii="宋体" w:hAnsi="宋体" w:eastAsia="宋体" w:cs="宋体"/>
          <w:spacing w:val="-5"/>
        </w:rPr>
        <w:t>系</w:t>
      </w:r>
      <w:r>
        <w:rPr>
          <w:rFonts w:hint="eastAsia" w:ascii="宋体" w:hAnsi="宋体" w:eastAsia="宋体" w:cs="宋体"/>
          <w:spacing w:val="64"/>
          <w:u w:val="single" w:color="auto"/>
        </w:rPr>
        <w:t xml:space="preserve"> </w:t>
      </w:r>
      <w:r>
        <w:rPr>
          <w:rFonts w:hint="eastAsia" w:ascii="宋体" w:hAnsi="宋体" w:eastAsia="宋体" w:cs="宋体"/>
          <w:spacing w:val="-5"/>
          <w:u w:val="single" w:color="auto"/>
        </w:rPr>
        <w:t>（供应商名称）</w:t>
      </w:r>
      <w:r>
        <w:rPr>
          <w:rFonts w:hint="eastAsia" w:ascii="宋体" w:hAnsi="宋体" w:eastAsia="宋体" w:cs="宋体"/>
          <w:spacing w:val="62"/>
          <w:u w:val="single" w:color="auto"/>
        </w:rPr>
        <w:t xml:space="preserve"> </w:t>
      </w:r>
      <w:r>
        <w:rPr>
          <w:rFonts w:hint="eastAsia" w:ascii="宋体" w:hAnsi="宋体" w:eastAsia="宋体" w:cs="宋体"/>
          <w:spacing w:val="-89"/>
        </w:rPr>
        <w:t xml:space="preserve"> </w:t>
      </w:r>
      <w:r>
        <w:rPr>
          <w:rFonts w:hint="eastAsia" w:ascii="宋体" w:hAnsi="宋体" w:eastAsia="宋体" w:cs="宋体"/>
          <w:spacing w:val="-5"/>
        </w:rPr>
        <w:t>的</w:t>
      </w:r>
      <w:r>
        <w:rPr>
          <w:rFonts w:hint="eastAsia" w:ascii="宋体" w:hAnsi="宋体" w:eastAsia="宋体" w:cs="宋体"/>
          <w:spacing w:val="-39"/>
        </w:rPr>
        <w:t xml:space="preserve"> </w:t>
      </w:r>
      <w:r>
        <w:rPr>
          <w:rFonts w:hint="eastAsia" w:ascii="宋体" w:hAnsi="宋体" w:eastAsia="宋体" w:cs="宋体"/>
          <w:spacing w:val="-5"/>
        </w:rPr>
        <w:t>(</w:t>
      </w:r>
      <w:r>
        <w:rPr>
          <w:rFonts w:hint="eastAsia" w:ascii="宋体" w:hAnsi="宋体" w:eastAsia="宋体" w:cs="宋体"/>
          <w:spacing w:val="-88"/>
        </w:rPr>
        <w:t xml:space="preserve"> </w:t>
      </w:r>
      <w:r>
        <w:rPr>
          <w:rFonts w:hint="eastAsia" w:ascii="宋体" w:hAnsi="宋体" w:eastAsia="宋体" w:cs="宋体"/>
          <w:spacing w:val="-86"/>
          <w:u w:val="single" w:color="auto"/>
        </w:rPr>
        <w:t xml:space="preserve"> </w:t>
      </w:r>
      <w:r>
        <w:rPr>
          <w:rFonts w:hint="eastAsia" w:ascii="宋体" w:hAnsi="宋体" w:eastAsia="宋体" w:cs="宋体"/>
          <w:spacing w:val="-5"/>
          <w:u w:val="single" w:color="auto"/>
        </w:rPr>
        <w:t>□法定代表人/□负责人/□</w:t>
      </w:r>
      <w:r>
        <w:rPr>
          <w:rFonts w:hint="eastAsia" w:ascii="宋体" w:hAnsi="宋体" w:eastAsia="宋体" w:cs="宋体"/>
          <w:spacing w:val="-6"/>
          <w:u w:val="single" w:color="auto"/>
        </w:rPr>
        <w:t>自然人本人</w:t>
      </w:r>
      <w:r>
        <w:rPr>
          <w:rFonts w:hint="eastAsia" w:ascii="宋体" w:hAnsi="宋体" w:eastAsia="宋体" w:cs="宋体"/>
          <w:spacing w:val="-58"/>
          <w:w w:val="87"/>
        </w:rPr>
        <w:t>），</w:t>
      </w:r>
      <w:r>
        <w:rPr>
          <w:rFonts w:hint="eastAsia" w:ascii="宋体" w:hAnsi="宋体" w:eastAsia="宋体" w:cs="宋体"/>
          <w:spacing w:val="-3"/>
        </w:rPr>
        <w:t>现授权</w:t>
      </w:r>
      <w:r>
        <w:rPr>
          <w:rFonts w:hint="eastAsia" w:ascii="宋体" w:hAnsi="宋体" w:eastAsia="宋体" w:cs="宋体"/>
          <w:spacing w:val="-3"/>
          <w:u w:val="single" w:color="auto"/>
        </w:rPr>
        <w:t xml:space="preserve"> （姓名） </w:t>
      </w:r>
      <w:r>
        <w:rPr>
          <w:rFonts w:hint="eastAsia" w:ascii="宋体" w:hAnsi="宋体" w:eastAsia="宋体" w:cs="宋体"/>
          <w:spacing w:val="-64"/>
        </w:rPr>
        <w:t xml:space="preserve"> </w:t>
      </w:r>
      <w:r>
        <w:rPr>
          <w:rFonts w:hint="eastAsia" w:ascii="宋体" w:hAnsi="宋体" w:eastAsia="宋体" w:cs="宋体"/>
          <w:spacing w:val="-3"/>
        </w:rPr>
        <w:t>以我方的名义参加</w:t>
      </w:r>
      <w:r>
        <w:rPr>
          <w:rFonts w:hint="eastAsia" w:ascii="宋体" w:hAnsi="宋体" w:eastAsia="宋体" w:cs="宋体"/>
          <w:spacing w:val="-3"/>
          <w:u w:val="single" w:color="auto"/>
        </w:rPr>
        <w:t xml:space="preserve">              </w:t>
      </w:r>
      <w:r>
        <w:rPr>
          <w:rFonts w:hint="eastAsia" w:ascii="宋体" w:hAnsi="宋体" w:eastAsia="宋体" w:cs="宋体"/>
          <w:spacing w:val="-103"/>
        </w:rPr>
        <w:t xml:space="preserve"> </w:t>
      </w:r>
      <w:r>
        <w:rPr>
          <w:rFonts w:hint="eastAsia" w:ascii="宋体" w:hAnsi="宋体" w:eastAsia="宋体" w:cs="宋体"/>
          <w:spacing w:val="-3"/>
        </w:rPr>
        <w:t>项目的竞标活动，并代表我方全权</w:t>
      </w:r>
      <w:r>
        <w:rPr>
          <w:rFonts w:hint="eastAsia" w:ascii="宋体" w:hAnsi="宋体" w:eastAsia="宋体" w:cs="宋体"/>
          <w:spacing w:val="-1"/>
        </w:rPr>
        <w:t>办理针对上述项目的所有采购程序和环节的具体事务和签署相关文件。</w:t>
      </w:r>
    </w:p>
    <w:p w14:paraId="3533F632">
      <w:pPr>
        <w:pStyle w:val="3"/>
        <w:shd w:val="clear"/>
        <w:spacing w:line="222" w:lineRule="auto"/>
        <w:ind w:left="489"/>
        <w:rPr>
          <w:rFonts w:hint="eastAsia" w:ascii="宋体" w:hAnsi="宋体" w:eastAsia="宋体" w:cs="宋体"/>
        </w:rPr>
      </w:pPr>
      <w:r>
        <w:rPr>
          <w:rFonts w:hint="eastAsia" w:ascii="宋体" w:hAnsi="宋体" w:eastAsia="宋体" w:cs="宋体"/>
          <w:spacing w:val="-1"/>
        </w:rPr>
        <w:t>我方对委托代理人的签字或者电子签名事项负全部责任。</w:t>
      </w:r>
    </w:p>
    <w:p w14:paraId="6073B4EF">
      <w:pPr>
        <w:pStyle w:val="3"/>
        <w:shd w:val="clear"/>
        <w:spacing w:before="178" w:line="360" w:lineRule="auto"/>
        <w:ind w:right="65" w:firstLine="480"/>
        <w:rPr>
          <w:rFonts w:hint="eastAsia" w:ascii="宋体" w:hAnsi="宋体" w:eastAsia="宋体" w:cs="宋体"/>
        </w:rPr>
      </w:pPr>
      <w:r>
        <w:rPr>
          <w:rFonts w:hint="eastAsia" w:ascii="宋体" w:hAnsi="宋体" w:eastAsia="宋体" w:cs="宋体"/>
          <w:spacing w:val="-2"/>
        </w:rPr>
        <w:t>本授权书自签署之日起生效，在撤销授权的书面通知以前，本授权书一直有效。委</w:t>
      </w:r>
      <w:r>
        <w:rPr>
          <w:rFonts w:hint="eastAsia" w:ascii="宋体" w:hAnsi="宋体" w:eastAsia="宋体" w:cs="宋体"/>
          <w:spacing w:val="-1"/>
        </w:rPr>
        <w:t>托代理人在授权书有效期内签署的所有文件不因授权的撤销而失效。</w:t>
      </w:r>
    </w:p>
    <w:p w14:paraId="2B6DE4F0">
      <w:pPr>
        <w:pStyle w:val="3"/>
        <w:shd w:val="clear"/>
        <w:spacing w:before="1" w:line="219" w:lineRule="auto"/>
        <w:ind w:left="490"/>
        <w:rPr>
          <w:rFonts w:hint="eastAsia" w:ascii="宋体" w:hAnsi="宋体" w:eastAsia="宋体" w:cs="宋体"/>
        </w:rPr>
      </w:pPr>
      <w:r>
        <w:rPr>
          <w:rFonts w:hint="eastAsia" w:ascii="宋体" w:hAnsi="宋体" w:eastAsia="宋体" w:cs="宋体"/>
          <w:spacing w:val="-2"/>
        </w:rPr>
        <w:t>委托代理人无转委托权，特此委托。</w:t>
      </w:r>
    </w:p>
    <w:p w14:paraId="1CF6A701">
      <w:pPr>
        <w:pStyle w:val="3"/>
        <w:shd w:val="clear"/>
        <w:spacing w:before="183" w:line="222" w:lineRule="auto"/>
        <w:ind w:left="491"/>
        <w:rPr>
          <w:rFonts w:hint="eastAsia" w:ascii="宋体" w:hAnsi="宋体" w:eastAsia="宋体" w:cs="宋体"/>
        </w:rPr>
      </w:pPr>
      <w:r>
        <w:rPr>
          <w:rFonts w:hint="eastAsia" w:ascii="宋体" w:hAnsi="宋体" w:eastAsia="宋体" w:cs="宋体"/>
          <w:spacing w:val="-1"/>
        </w:rPr>
        <w:t>附：法定代表人身份证正反面复印件及委托代理人有效身份证正反面复印件</w:t>
      </w:r>
    </w:p>
    <w:p w14:paraId="0A7D795E">
      <w:pPr>
        <w:shd w:val="clear"/>
        <w:spacing w:line="283" w:lineRule="auto"/>
        <w:rPr>
          <w:rFonts w:hint="eastAsia" w:ascii="宋体" w:hAnsi="宋体" w:eastAsia="宋体" w:cs="宋体"/>
          <w:sz w:val="21"/>
        </w:rPr>
      </w:pPr>
    </w:p>
    <w:p w14:paraId="3709C40F">
      <w:pPr>
        <w:shd w:val="clear"/>
        <w:spacing w:line="283" w:lineRule="auto"/>
        <w:rPr>
          <w:rFonts w:hint="eastAsia" w:ascii="宋体" w:hAnsi="宋体" w:eastAsia="宋体" w:cs="宋体"/>
          <w:sz w:val="21"/>
        </w:rPr>
      </w:pPr>
    </w:p>
    <w:p w14:paraId="1D770B24">
      <w:pPr>
        <w:pStyle w:val="3"/>
        <w:shd w:val="clear"/>
        <w:spacing w:before="79" w:line="222" w:lineRule="auto"/>
        <w:jc w:val="right"/>
        <w:rPr>
          <w:rFonts w:hint="eastAsia" w:ascii="宋体" w:hAnsi="宋体" w:eastAsia="宋体" w:cs="宋体"/>
        </w:rPr>
      </w:pPr>
      <w:r>
        <w:rPr>
          <w:rFonts w:hint="eastAsia" w:ascii="宋体" w:hAnsi="宋体" w:eastAsia="宋体" w:cs="宋体"/>
          <w:spacing w:val="-2"/>
        </w:rPr>
        <w:t>委托代理人（签字或者电子签名</w:t>
      </w:r>
      <w:r>
        <w:rPr>
          <w:rFonts w:hint="eastAsia" w:ascii="宋体" w:hAnsi="宋体" w:eastAsia="宋体" w:cs="宋体"/>
          <w:spacing w:val="-20"/>
        </w:rPr>
        <w:t>）：</w:t>
      </w:r>
      <w:r>
        <w:rPr>
          <w:rFonts w:hint="eastAsia" w:ascii="宋体" w:hAnsi="宋体" w:eastAsia="宋体" w:cs="宋体"/>
          <w:spacing w:val="3"/>
        </w:rPr>
        <w:t xml:space="preserve">     </w:t>
      </w:r>
      <w:r>
        <w:rPr>
          <w:rFonts w:hint="eastAsia" w:ascii="宋体" w:hAnsi="宋体" w:eastAsia="宋体" w:cs="宋体"/>
          <w:spacing w:val="-2"/>
        </w:rPr>
        <w:t>法定代表人（签字或者盖章或</w:t>
      </w:r>
      <w:r>
        <w:rPr>
          <w:rFonts w:hint="eastAsia" w:ascii="宋体" w:hAnsi="宋体" w:eastAsia="宋体" w:cs="宋体"/>
          <w:spacing w:val="-3"/>
        </w:rPr>
        <w:t>者电子签名</w:t>
      </w:r>
      <w:r>
        <w:rPr>
          <w:rFonts w:hint="eastAsia" w:ascii="宋体" w:hAnsi="宋体" w:eastAsia="宋体" w:cs="宋体"/>
          <w:spacing w:val="-20"/>
        </w:rPr>
        <w:t>）：</w:t>
      </w:r>
    </w:p>
    <w:p w14:paraId="3680E0FB">
      <w:pPr>
        <w:pStyle w:val="3"/>
        <w:shd w:val="clear"/>
        <w:spacing w:before="179" w:line="222" w:lineRule="auto"/>
        <w:ind w:left="10"/>
        <w:rPr>
          <w:rFonts w:hint="eastAsia" w:ascii="宋体" w:hAnsi="宋体" w:eastAsia="宋体" w:cs="宋体"/>
        </w:rPr>
      </w:pPr>
      <w:r>
        <w:rPr>
          <w:rFonts w:hint="eastAsia" w:ascii="宋体" w:hAnsi="宋体" w:eastAsia="宋体" w:cs="宋体"/>
          <w:spacing w:val="-3"/>
        </w:rPr>
        <w:t>委托代理人身份证号码：</w:t>
      </w:r>
    </w:p>
    <w:p w14:paraId="6DB5E424">
      <w:pPr>
        <w:shd w:val="clear"/>
        <w:spacing w:line="282" w:lineRule="auto"/>
        <w:rPr>
          <w:rFonts w:hint="eastAsia" w:ascii="宋体" w:hAnsi="宋体" w:eastAsia="宋体" w:cs="宋体"/>
          <w:sz w:val="21"/>
        </w:rPr>
      </w:pPr>
    </w:p>
    <w:p w14:paraId="0F850F91">
      <w:pPr>
        <w:shd w:val="clear"/>
        <w:spacing w:line="283" w:lineRule="auto"/>
        <w:rPr>
          <w:rFonts w:hint="eastAsia" w:ascii="宋体" w:hAnsi="宋体" w:eastAsia="宋体" w:cs="宋体"/>
          <w:sz w:val="21"/>
        </w:rPr>
      </w:pPr>
    </w:p>
    <w:p w14:paraId="3412A116">
      <w:pPr>
        <w:pStyle w:val="3"/>
        <w:shd w:val="clear"/>
        <w:spacing w:before="79" w:line="222" w:lineRule="auto"/>
        <w:ind w:left="3001"/>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5A4B9600">
      <w:pPr>
        <w:pStyle w:val="3"/>
        <w:shd w:val="clear"/>
        <w:spacing w:before="180" w:line="222" w:lineRule="auto"/>
        <w:ind w:left="4925"/>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5D286E99">
      <w:pPr>
        <w:shd w:val="clear"/>
        <w:spacing w:line="282" w:lineRule="auto"/>
        <w:rPr>
          <w:rFonts w:hint="eastAsia" w:ascii="宋体" w:hAnsi="宋体" w:eastAsia="宋体" w:cs="宋体"/>
          <w:sz w:val="21"/>
        </w:rPr>
      </w:pPr>
    </w:p>
    <w:p w14:paraId="01DF6515">
      <w:pPr>
        <w:shd w:val="clear"/>
        <w:spacing w:line="282" w:lineRule="auto"/>
        <w:rPr>
          <w:rFonts w:hint="eastAsia" w:ascii="宋体" w:hAnsi="宋体" w:eastAsia="宋体" w:cs="宋体"/>
          <w:sz w:val="21"/>
        </w:rPr>
      </w:pPr>
    </w:p>
    <w:p w14:paraId="75ED9045">
      <w:pPr>
        <w:pStyle w:val="3"/>
        <w:shd w:val="clear"/>
        <w:spacing w:before="78" w:line="360" w:lineRule="auto"/>
        <w:ind w:left="2" w:right="65" w:firstLine="4"/>
        <w:rPr>
          <w:rFonts w:hint="eastAsia" w:ascii="宋体" w:hAnsi="宋体" w:eastAsia="宋体" w:cs="宋体"/>
        </w:rPr>
      </w:pPr>
      <w:r>
        <w:rPr>
          <w:rFonts w:hint="eastAsia" w:ascii="宋体" w:hAnsi="宋体" w:eastAsia="宋体" w:cs="宋体"/>
          <w:spacing w:val="1"/>
        </w:rPr>
        <w:t>注：1. 法定代表人必须在授权委托书上签字或者盖章或者电子签名，委托代理人必须</w:t>
      </w:r>
      <w:r>
        <w:rPr>
          <w:rFonts w:hint="eastAsia" w:ascii="宋体" w:hAnsi="宋体" w:eastAsia="宋体" w:cs="宋体"/>
          <w:spacing w:val="-2"/>
        </w:rPr>
        <w:t>在授权委托书上签字或者电子签名，</w:t>
      </w:r>
      <w:r>
        <w:rPr>
          <w:rFonts w:hint="eastAsia" w:ascii="宋体" w:hAnsi="宋体" w:eastAsia="宋体" w:cs="宋体"/>
          <w:b/>
          <w:bCs/>
          <w:spacing w:val="-2"/>
        </w:rPr>
        <w:t>否则其响应文件按无效响应处理。</w:t>
      </w:r>
    </w:p>
    <w:p w14:paraId="6451A28B">
      <w:pPr>
        <w:pStyle w:val="3"/>
        <w:shd w:val="clear"/>
        <w:spacing w:before="2" w:line="363" w:lineRule="auto"/>
        <w:ind w:left="4" w:right="65" w:firstLine="471"/>
        <w:rPr>
          <w:rFonts w:hint="eastAsia" w:ascii="宋体" w:hAnsi="宋体" w:eastAsia="宋体" w:cs="宋体"/>
        </w:rPr>
      </w:pPr>
      <w:r>
        <w:rPr>
          <w:rFonts w:hint="eastAsia" w:ascii="宋体" w:hAnsi="宋体" w:eastAsia="宋体" w:cs="宋体"/>
          <w:spacing w:val="-10"/>
        </w:rPr>
        <w:t>2.法人、其他组织竞标时“我方</w:t>
      </w:r>
      <w:r>
        <w:rPr>
          <w:rFonts w:hint="eastAsia" w:ascii="宋体" w:hAnsi="宋体" w:eastAsia="宋体" w:cs="宋体"/>
          <w:spacing w:val="-88"/>
        </w:rPr>
        <w:t xml:space="preserve"> </w:t>
      </w:r>
      <w:r>
        <w:rPr>
          <w:rFonts w:hint="eastAsia" w:ascii="宋体" w:hAnsi="宋体" w:eastAsia="宋体" w:cs="宋体"/>
          <w:spacing w:val="-10"/>
        </w:rPr>
        <w:t>”是指“我单</w:t>
      </w:r>
      <w:r>
        <w:rPr>
          <w:rFonts w:hint="eastAsia" w:ascii="宋体" w:hAnsi="宋体" w:eastAsia="宋体" w:cs="宋体"/>
          <w:spacing w:val="-11"/>
        </w:rPr>
        <w:t>位</w:t>
      </w:r>
      <w:r>
        <w:rPr>
          <w:rFonts w:hint="eastAsia" w:ascii="宋体" w:hAnsi="宋体" w:eastAsia="宋体" w:cs="宋体"/>
          <w:spacing w:val="-88"/>
        </w:rPr>
        <w:t xml:space="preserve"> </w:t>
      </w:r>
      <w:r>
        <w:rPr>
          <w:rFonts w:hint="eastAsia" w:ascii="宋体" w:hAnsi="宋体" w:eastAsia="宋体" w:cs="宋体"/>
          <w:spacing w:val="-11"/>
        </w:rPr>
        <w:t>”，自然人竞标时“我方</w:t>
      </w:r>
      <w:r>
        <w:rPr>
          <w:rFonts w:hint="eastAsia" w:ascii="宋体" w:hAnsi="宋体" w:eastAsia="宋体" w:cs="宋体"/>
          <w:spacing w:val="-88"/>
        </w:rPr>
        <w:t xml:space="preserve"> </w:t>
      </w:r>
      <w:r>
        <w:rPr>
          <w:rFonts w:hint="eastAsia" w:ascii="宋体" w:hAnsi="宋体" w:eastAsia="宋体" w:cs="宋体"/>
          <w:spacing w:val="-11"/>
        </w:rPr>
        <w:t>”是指“本</w:t>
      </w:r>
      <w:r>
        <w:rPr>
          <w:rFonts w:hint="eastAsia" w:ascii="宋体" w:hAnsi="宋体" w:eastAsia="宋体" w:cs="宋体"/>
          <w:spacing w:val="-6"/>
        </w:rPr>
        <w:t>人</w:t>
      </w:r>
      <w:r>
        <w:rPr>
          <w:rFonts w:hint="eastAsia" w:ascii="宋体" w:hAnsi="宋体" w:eastAsia="宋体" w:cs="宋体"/>
          <w:spacing w:val="-89"/>
        </w:rPr>
        <w:t xml:space="preserve"> </w:t>
      </w:r>
      <w:r>
        <w:rPr>
          <w:rFonts w:hint="eastAsia" w:ascii="宋体" w:hAnsi="宋体" w:eastAsia="宋体" w:cs="宋体"/>
          <w:spacing w:val="-6"/>
        </w:rPr>
        <w:t>”。</w:t>
      </w:r>
    </w:p>
    <w:p w14:paraId="578AA9A1">
      <w:pPr>
        <w:shd w:val="clear"/>
        <w:spacing w:line="363" w:lineRule="auto"/>
        <w:rPr>
          <w:rFonts w:hint="eastAsia" w:ascii="宋体" w:hAnsi="宋体" w:eastAsia="宋体" w:cs="宋体"/>
        </w:rPr>
        <w:sectPr>
          <w:footerReference r:id="rId32" w:type="default"/>
          <w:pgSz w:w="11906" w:h="16839"/>
          <w:pgMar w:top="1440" w:right="1080" w:bottom="1440" w:left="1080" w:header="0" w:footer="1200" w:gutter="0"/>
          <w:pgNumType w:fmt="decimal"/>
          <w:cols w:space="720" w:num="1"/>
        </w:sectPr>
      </w:pPr>
    </w:p>
    <w:p w14:paraId="7E57D727">
      <w:pPr>
        <w:pStyle w:val="3"/>
        <w:shd w:val="clear"/>
        <w:spacing w:before="140" w:line="226" w:lineRule="auto"/>
        <w:ind w:left="3449"/>
        <w:rPr>
          <w:rFonts w:hint="eastAsia" w:ascii="宋体" w:hAnsi="宋体" w:eastAsia="宋体" w:cs="宋体"/>
          <w:sz w:val="43"/>
          <w:szCs w:val="43"/>
        </w:rPr>
      </w:pPr>
      <w:r>
        <w:rPr>
          <w:rFonts w:hint="eastAsia" w:ascii="宋体" w:hAnsi="宋体" w:eastAsia="宋体" w:cs="宋体"/>
          <w:spacing w:val="3"/>
          <w:sz w:val="43"/>
          <w:szCs w:val="43"/>
        </w:rPr>
        <w:t>授权委托书</w:t>
      </w:r>
    </w:p>
    <w:p w14:paraId="50EB42B4">
      <w:pPr>
        <w:pStyle w:val="3"/>
        <w:shd w:val="clear"/>
        <w:spacing w:before="77" w:line="228" w:lineRule="auto"/>
        <w:ind w:left="3105"/>
        <w:rPr>
          <w:rFonts w:hint="eastAsia" w:ascii="宋体" w:hAnsi="宋体" w:eastAsia="宋体" w:cs="宋体"/>
          <w:sz w:val="31"/>
          <w:szCs w:val="31"/>
        </w:rPr>
      </w:pPr>
      <w:r>
        <w:rPr>
          <w:rFonts w:hint="eastAsia" w:ascii="宋体" w:hAnsi="宋体" w:eastAsia="宋体" w:cs="宋体"/>
          <w:spacing w:val="5"/>
          <w:sz w:val="31"/>
          <w:szCs w:val="31"/>
        </w:rPr>
        <w:t>（联合体竞标格式）</w:t>
      </w:r>
    </w:p>
    <w:p w14:paraId="7C3AA739">
      <w:pPr>
        <w:pStyle w:val="3"/>
        <w:shd w:val="clear"/>
        <w:spacing w:before="116" w:line="228" w:lineRule="auto"/>
        <w:ind w:left="3427"/>
        <w:rPr>
          <w:rFonts w:hint="eastAsia" w:ascii="宋体" w:hAnsi="宋体" w:eastAsia="宋体" w:cs="宋体"/>
          <w:sz w:val="31"/>
          <w:szCs w:val="31"/>
        </w:rPr>
      </w:pPr>
      <w:r>
        <w:rPr>
          <w:rFonts w:hint="eastAsia" w:ascii="宋体" w:hAnsi="宋体" w:eastAsia="宋体" w:cs="宋体"/>
          <w:spacing w:val="4"/>
          <w:sz w:val="31"/>
          <w:szCs w:val="31"/>
        </w:rPr>
        <w:t>（如有委托时）</w:t>
      </w:r>
    </w:p>
    <w:p w14:paraId="600AD76C">
      <w:pPr>
        <w:shd w:val="clear"/>
        <w:spacing w:line="255" w:lineRule="auto"/>
        <w:rPr>
          <w:rFonts w:hint="eastAsia" w:ascii="宋体" w:hAnsi="宋体" w:eastAsia="宋体" w:cs="宋体"/>
          <w:sz w:val="21"/>
        </w:rPr>
      </w:pPr>
    </w:p>
    <w:p w14:paraId="7D8A80C3">
      <w:pPr>
        <w:shd w:val="clear"/>
        <w:spacing w:line="255" w:lineRule="auto"/>
        <w:rPr>
          <w:rFonts w:hint="eastAsia" w:ascii="宋体" w:hAnsi="宋体" w:eastAsia="宋体" w:cs="宋体"/>
          <w:sz w:val="21"/>
        </w:rPr>
      </w:pPr>
    </w:p>
    <w:p w14:paraId="3720C8CA">
      <w:pPr>
        <w:shd w:val="clear"/>
        <w:spacing w:line="255" w:lineRule="auto"/>
        <w:rPr>
          <w:rFonts w:hint="eastAsia" w:ascii="宋体" w:hAnsi="宋体" w:eastAsia="宋体" w:cs="宋体"/>
          <w:sz w:val="21"/>
        </w:rPr>
      </w:pPr>
    </w:p>
    <w:p w14:paraId="1A75AD2E">
      <w:pPr>
        <w:shd w:val="clear"/>
        <w:spacing w:line="256" w:lineRule="auto"/>
        <w:rPr>
          <w:rFonts w:hint="eastAsia" w:ascii="宋体" w:hAnsi="宋体" w:eastAsia="宋体" w:cs="宋体"/>
          <w:sz w:val="21"/>
        </w:rPr>
      </w:pPr>
    </w:p>
    <w:p w14:paraId="064F36B6">
      <w:pPr>
        <w:pStyle w:val="3"/>
        <w:shd w:val="clear"/>
        <w:spacing w:before="78" w:line="360" w:lineRule="auto"/>
        <w:ind w:left="3" w:firstLine="477"/>
        <w:jc w:val="both"/>
        <w:rPr>
          <w:rFonts w:hint="eastAsia" w:ascii="宋体" w:hAnsi="宋体" w:eastAsia="宋体" w:cs="宋体"/>
        </w:rPr>
      </w:pPr>
      <w:r>
        <w:rPr>
          <w:rFonts w:hint="eastAsia" w:ascii="宋体" w:hAnsi="宋体" w:eastAsia="宋体" w:cs="宋体"/>
          <w:spacing w:val="-1"/>
        </w:rPr>
        <w:t>本授权委托书声明：根据</w:t>
      </w:r>
      <w:r>
        <w:rPr>
          <w:rFonts w:hint="eastAsia" w:ascii="宋体" w:hAnsi="宋体" w:eastAsia="宋体" w:cs="宋体"/>
          <w:spacing w:val="-1"/>
          <w:u w:val="single" w:color="auto"/>
        </w:rPr>
        <w:t xml:space="preserve">                </w:t>
      </w:r>
      <w:r>
        <w:rPr>
          <w:rFonts w:hint="eastAsia" w:ascii="宋体" w:hAnsi="宋体" w:eastAsia="宋体" w:cs="宋体"/>
          <w:spacing w:val="-1"/>
        </w:rPr>
        <w:t>（牵头人名称）与</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r>
        <w:rPr>
          <w:rFonts w:hint="eastAsia" w:ascii="宋体" w:hAnsi="宋体" w:eastAsia="宋体" w:cs="宋体"/>
          <w:spacing w:val="-2"/>
        </w:rPr>
        <w:t>（联</w:t>
      </w:r>
      <w:r>
        <w:rPr>
          <w:rFonts w:hint="eastAsia" w:ascii="宋体" w:hAnsi="宋体" w:eastAsia="宋体" w:cs="宋体"/>
          <w:spacing w:val="-9"/>
        </w:rPr>
        <w:t>合体其他成员名称）签订的《联合体竞标协</w:t>
      </w:r>
      <w:r>
        <w:rPr>
          <w:rFonts w:hint="eastAsia" w:ascii="宋体" w:hAnsi="宋体" w:eastAsia="宋体" w:cs="宋体"/>
          <w:spacing w:val="-10"/>
        </w:rPr>
        <w:t>议书》的内容</w:t>
      </w:r>
      <w:r>
        <w:rPr>
          <w:rFonts w:hint="eastAsia" w:ascii="宋体" w:hAnsi="宋体" w:eastAsia="宋体" w:cs="宋体"/>
          <w:spacing w:val="-56"/>
          <w:w w:val="84"/>
        </w:rPr>
        <w:t>，</w:t>
      </w:r>
      <w:r>
        <w:rPr>
          <w:rFonts w:hint="eastAsia" w:ascii="宋体" w:hAnsi="宋体" w:eastAsia="宋体" w:cs="宋体"/>
          <w:u w:val="single" w:color="auto"/>
        </w:rPr>
        <w:t xml:space="preserve">                       </w:t>
      </w:r>
      <w:r>
        <w:rPr>
          <w:rFonts w:hint="eastAsia" w:ascii="宋体" w:hAnsi="宋体" w:eastAsia="宋体" w:cs="宋体"/>
          <w:spacing w:val="-56"/>
          <w:w w:val="84"/>
        </w:rPr>
        <w:t>（</w:t>
      </w:r>
      <w:r>
        <w:rPr>
          <w:rFonts w:hint="eastAsia" w:ascii="宋体" w:hAnsi="宋体" w:eastAsia="宋体" w:cs="宋体"/>
          <w:spacing w:val="-10"/>
        </w:rPr>
        <w:t>牵</w:t>
      </w:r>
      <w:r>
        <w:rPr>
          <w:rFonts w:hint="eastAsia" w:ascii="宋体" w:hAnsi="宋体" w:eastAsia="宋体" w:cs="宋体"/>
          <w:spacing w:val="-1"/>
        </w:rPr>
        <w:t>头人名称）的法定代表人</w:t>
      </w:r>
      <w:r>
        <w:rPr>
          <w:rFonts w:hint="eastAsia" w:ascii="宋体" w:hAnsi="宋体" w:eastAsia="宋体" w:cs="宋体"/>
          <w:spacing w:val="-1"/>
          <w:u w:val="single" w:color="auto"/>
        </w:rPr>
        <w:t xml:space="preserve">      </w:t>
      </w:r>
      <w:r>
        <w:rPr>
          <w:rFonts w:hint="eastAsia" w:ascii="宋体" w:hAnsi="宋体" w:eastAsia="宋体" w:cs="宋体"/>
          <w:spacing w:val="-1"/>
        </w:rPr>
        <w:t>（姓</w:t>
      </w:r>
      <w:r>
        <w:rPr>
          <w:rFonts w:hint="eastAsia" w:ascii="宋体" w:hAnsi="宋体" w:eastAsia="宋体" w:cs="宋体"/>
          <w:spacing w:val="-2"/>
        </w:rPr>
        <w:t>名）现授权</w:t>
      </w:r>
      <w:r>
        <w:rPr>
          <w:rFonts w:hint="eastAsia" w:ascii="宋体" w:hAnsi="宋体" w:eastAsia="宋体" w:cs="宋体"/>
          <w:spacing w:val="-2"/>
          <w:u w:val="single" w:color="auto"/>
        </w:rPr>
        <w:t xml:space="preserve">      </w:t>
      </w:r>
      <w:r>
        <w:rPr>
          <w:rFonts w:hint="eastAsia" w:ascii="宋体" w:hAnsi="宋体" w:eastAsia="宋体" w:cs="宋体"/>
          <w:spacing w:val="-2"/>
        </w:rPr>
        <w:t>（姓名）为联合委托代理人，并</w:t>
      </w:r>
      <w:r>
        <w:rPr>
          <w:rFonts w:hint="eastAsia" w:ascii="宋体" w:hAnsi="宋体" w:eastAsia="宋体" w:cs="宋体"/>
          <w:spacing w:val="-1"/>
        </w:rPr>
        <w:t>代表我方全权办理针对上述项目的所有采购程序和环节的具体事务和签署相关文件。</w:t>
      </w:r>
    </w:p>
    <w:p w14:paraId="567C45E6">
      <w:pPr>
        <w:pStyle w:val="3"/>
        <w:shd w:val="clear"/>
        <w:spacing w:line="222" w:lineRule="auto"/>
        <w:ind w:left="488"/>
        <w:rPr>
          <w:rFonts w:hint="eastAsia" w:ascii="宋体" w:hAnsi="宋体" w:eastAsia="宋体" w:cs="宋体"/>
        </w:rPr>
      </w:pPr>
      <w:r>
        <w:rPr>
          <w:rFonts w:hint="eastAsia" w:ascii="宋体" w:hAnsi="宋体" w:eastAsia="宋体" w:cs="宋体"/>
          <w:spacing w:val="-1"/>
        </w:rPr>
        <w:t>我方对委托代理人的签字或者电子签名事项负全部责任。</w:t>
      </w:r>
    </w:p>
    <w:p w14:paraId="3ABDDC69">
      <w:pPr>
        <w:pStyle w:val="3"/>
        <w:shd w:val="clear"/>
        <w:spacing w:before="178" w:line="360" w:lineRule="auto"/>
        <w:ind w:firstLine="480"/>
        <w:rPr>
          <w:rFonts w:hint="eastAsia" w:ascii="宋体" w:hAnsi="宋体" w:eastAsia="宋体" w:cs="宋体"/>
        </w:rPr>
      </w:pPr>
      <w:r>
        <w:rPr>
          <w:rFonts w:hint="eastAsia" w:ascii="宋体" w:hAnsi="宋体" w:eastAsia="宋体" w:cs="宋体"/>
          <w:spacing w:val="-2"/>
        </w:rPr>
        <w:t>本授权书自签署之日起生效，在撤销授权的书面通知以前，本授权书一直有效。委</w:t>
      </w:r>
      <w:r>
        <w:rPr>
          <w:rFonts w:hint="eastAsia" w:ascii="宋体" w:hAnsi="宋体" w:eastAsia="宋体" w:cs="宋体"/>
          <w:spacing w:val="-1"/>
        </w:rPr>
        <w:t>托代理人在授权书有效期内签署的所有文件不因授权的撤销而失效。</w:t>
      </w:r>
    </w:p>
    <w:p w14:paraId="100B3291">
      <w:pPr>
        <w:pStyle w:val="3"/>
        <w:shd w:val="clear"/>
        <w:spacing w:line="219" w:lineRule="auto"/>
        <w:ind w:left="489"/>
        <w:rPr>
          <w:rFonts w:hint="eastAsia" w:ascii="宋体" w:hAnsi="宋体" w:eastAsia="宋体" w:cs="宋体"/>
        </w:rPr>
      </w:pPr>
      <w:r>
        <w:rPr>
          <w:rFonts w:hint="eastAsia" w:ascii="宋体" w:hAnsi="宋体" w:eastAsia="宋体" w:cs="宋体"/>
          <w:spacing w:val="-2"/>
        </w:rPr>
        <w:t>委托代理人无转委托权，特此委托。</w:t>
      </w:r>
    </w:p>
    <w:p w14:paraId="1B03512A">
      <w:pPr>
        <w:pStyle w:val="3"/>
        <w:shd w:val="clear"/>
        <w:spacing w:before="184" w:line="360" w:lineRule="auto"/>
        <w:ind w:left="490" w:right="672"/>
        <w:rPr>
          <w:rFonts w:hint="eastAsia" w:ascii="宋体" w:hAnsi="宋体" w:eastAsia="宋体" w:cs="宋体"/>
        </w:rPr>
      </w:pPr>
      <w:r>
        <w:rPr>
          <w:rFonts w:hint="eastAsia" w:ascii="宋体" w:hAnsi="宋体" w:eastAsia="宋体" w:cs="宋体"/>
          <w:spacing w:val="-1"/>
        </w:rPr>
        <w:t>附：法定代表人身份证正反面复印件及委托代理人有效身份证正反面复印件</w:t>
      </w:r>
      <w:r>
        <w:rPr>
          <w:rFonts w:hint="eastAsia" w:ascii="宋体" w:hAnsi="宋体" w:eastAsia="宋体" w:cs="宋体"/>
          <w:spacing w:val="-2"/>
        </w:rPr>
        <w:t>牵头人法定代表人（签字或者盖章或者电子签名</w:t>
      </w:r>
      <w:r>
        <w:rPr>
          <w:rFonts w:hint="eastAsia" w:ascii="宋体" w:hAnsi="宋体" w:eastAsia="宋体" w:cs="宋体"/>
          <w:spacing w:val="7"/>
        </w:rPr>
        <w:t>）：</w:t>
      </w:r>
    </w:p>
    <w:p w14:paraId="4B91D810">
      <w:pPr>
        <w:pStyle w:val="3"/>
        <w:shd w:val="clear"/>
        <w:spacing w:line="222" w:lineRule="auto"/>
        <w:ind w:left="3130"/>
        <w:rPr>
          <w:rFonts w:hint="eastAsia" w:ascii="宋体" w:hAnsi="宋体" w:eastAsia="宋体" w:cs="宋体"/>
        </w:rPr>
      </w:pPr>
      <w:r>
        <w:rPr>
          <w:rFonts w:hint="eastAsia" w:ascii="宋体" w:hAnsi="宋体" w:eastAsia="宋体" w:cs="宋体"/>
          <w:spacing w:val="-4"/>
        </w:rPr>
        <w:t>牵头人（电子签章</w:t>
      </w:r>
      <w:r>
        <w:rPr>
          <w:rFonts w:hint="eastAsia" w:ascii="宋体" w:hAnsi="宋体" w:eastAsia="宋体" w:cs="宋体"/>
          <w:spacing w:val="2"/>
        </w:rPr>
        <w:t>）：</w:t>
      </w:r>
    </w:p>
    <w:p w14:paraId="7338DD2B">
      <w:pPr>
        <w:pStyle w:val="3"/>
        <w:shd w:val="clear"/>
        <w:spacing w:before="180" w:line="222" w:lineRule="auto"/>
        <w:ind w:left="3890"/>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6"/>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2FE0470B">
      <w:pPr>
        <w:shd w:val="clear"/>
        <w:spacing w:line="282" w:lineRule="auto"/>
        <w:rPr>
          <w:rFonts w:hint="eastAsia" w:ascii="宋体" w:hAnsi="宋体" w:eastAsia="宋体" w:cs="宋体"/>
          <w:sz w:val="21"/>
        </w:rPr>
      </w:pPr>
    </w:p>
    <w:p w14:paraId="71ED3E14">
      <w:pPr>
        <w:shd w:val="clear"/>
        <w:spacing w:line="283" w:lineRule="auto"/>
        <w:rPr>
          <w:rFonts w:hint="eastAsia" w:ascii="宋体" w:hAnsi="宋体" w:eastAsia="宋体" w:cs="宋体"/>
          <w:sz w:val="21"/>
        </w:rPr>
      </w:pPr>
    </w:p>
    <w:p w14:paraId="72605FA3">
      <w:pPr>
        <w:pStyle w:val="3"/>
        <w:shd w:val="clear"/>
        <w:spacing w:before="79" w:line="222" w:lineRule="auto"/>
        <w:ind w:left="3120"/>
        <w:rPr>
          <w:rFonts w:hint="eastAsia" w:ascii="宋体" w:hAnsi="宋体" w:eastAsia="宋体" w:cs="宋体"/>
        </w:rPr>
      </w:pPr>
      <w:r>
        <w:rPr>
          <w:rFonts w:hint="eastAsia" w:ascii="宋体" w:hAnsi="宋体" w:eastAsia="宋体" w:cs="宋体"/>
          <w:spacing w:val="-2"/>
        </w:rPr>
        <w:t>被授权人（签字或者电子签名</w:t>
      </w:r>
      <w:r>
        <w:rPr>
          <w:rFonts w:hint="eastAsia" w:ascii="宋体" w:hAnsi="宋体" w:eastAsia="宋体" w:cs="宋体"/>
          <w:spacing w:val="4"/>
        </w:rPr>
        <w:t>）：</w:t>
      </w:r>
    </w:p>
    <w:p w14:paraId="285E31A5">
      <w:pPr>
        <w:pStyle w:val="3"/>
        <w:shd w:val="clear"/>
        <w:spacing w:before="179" w:line="222" w:lineRule="auto"/>
        <w:ind w:left="3890"/>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6"/>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5D58450D">
      <w:pPr>
        <w:shd w:val="clear"/>
        <w:spacing w:line="282" w:lineRule="auto"/>
        <w:rPr>
          <w:rFonts w:hint="eastAsia" w:ascii="宋体" w:hAnsi="宋体" w:eastAsia="宋体" w:cs="宋体"/>
          <w:sz w:val="21"/>
        </w:rPr>
      </w:pPr>
    </w:p>
    <w:p w14:paraId="324E7DC7">
      <w:pPr>
        <w:shd w:val="clear"/>
        <w:spacing w:line="282" w:lineRule="auto"/>
        <w:rPr>
          <w:rFonts w:hint="eastAsia" w:ascii="宋体" w:hAnsi="宋体" w:eastAsia="宋体" w:cs="宋体"/>
          <w:sz w:val="21"/>
        </w:rPr>
      </w:pPr>
    </w:p>
    <w:p w14:paraId="4B067E8F">
      <w:pPr>
        <w:pStyle w:val="3"/>
        <w:shd w:val="clear"/>
        <w:spacing w:before="78" w:line="360" w:lineRule="auto"/>
        <w:ind w:left="1" w:firstLine="4"/>
        <w:rPr>
          <w:rFonts w:hint="eastAsia" w:ascii="宋体" w:hAnsi="宋体" w:eastAsia="宋体" w:cs="宋体"/>
        </w:rPr>
      </w:pPr>
      <w:r>
        <w:rPr>
          <w:rFonts w:hint="eastAsia" w:ascii="宋体" w:hAnsi="宋体" w:eastAsia="宋体" w:cs="宋体"/>
          <w:spacing w:val="1"/>
        </w:rPr>
        <w:t>注：1. 法定代表人必须在授权委托书上签字或者盖章或者电子签名，委托代理人必须</w:t>
      </w:r>
      <w:r>
        <w:rPr>
          <w:rFonts w:hint="eastAsia" w:ascii="宋体" w:hAnsi="宋体" w:eastAsia="宋体" w:cs="宋体"/>
          <w:spacing w:val="-2"/>
        </w:rPr>
        <w:t>在授权委托书上签字或者电子签名，</w:t>
      </w:r>
      <w:r>
        <w:rPr>
          <w:rFonts w:hint="eastAsia" w:ascii="宋体" w:hAnsi="宋体" w:eastAsia="宋体" w:cs="宋体"/>
          <w:b/>
          <w:bCs/>
          <w:spacing w:val="-2"/>
        </w:rPr>
        <w:t>否则其响应文件按无效响应处理。</w:t>
      </w:r>
    </w:p>
    <w:p w14:paraId="2568C05A">
      <w:pPr>
        <w:pStyle w:val="3"/>
        <w:shd w:val="clear"/>
        <w:spacing w:before="2" w:line="363" w:lineRule="auto"/>
        <w:ind w:left="3" w:firstLine="471"/>
        <w:rPr>
          <w:rFonts w:hint="eastAsia" w:ascii="宋体" w:hAnsi="宋体" w:eastAsia="宋体" w:cs="宋体"/>
        </w:rPr>
      </w:pPr>
      <w:r>
        <w:rPr>
          <w:rFonts w:hint="eastAsia" w:ascii="宋体" w:hAnsi="宋体" w:eastAsia="宋体" w:cs="宋体"/>
          <w:spacing w:val="-10"/>
        </w:rPr>
        <w:t>2.法人、其他组织竞标时“我方</w:t>
      </w:r>
      <w:r>
        <w:rPr>
          <w:rFonts w:hint="eastAsia" w:ascii="宋体" w:hAnsi="宋体" w:eastAsia="宋体" w:cs="宋体"/>
          <w:spacing w:val="-88"/>
        </w:rPr>
        <w:t xml:space="preserve"> </w:t>
      </w:r>
      <w:r>
        <w:rPr>
          <w:rFonts w:hint="eastAsia" w:ascii="宋体" w:hAnsi="宋体" w:eastAsia="宋体" w:cs="宋体"/>
          <w:spacing w:val="-10"/>
        </w:rPr>
        <w:t>”是指“我单</w:t>
      </w:r>
      <w:r>
        <w:rPr>
          <w:rFonts w:hint="eastAsia" w:ascii="宋体" w:hAnsi="宋体" w:eastAsia="宋体" w:cs="宋体"/>
          <w:spacing w:val="-11"/>
        </w:rPr>
        <w:t>位</w:t>
      </w:r>
      <w:r>
        <w:rPr>
          <w:rFonts w:hint="eastAsia" w:ascii="宋体" w:hAnsi="宋体" w:eastAsia="宋体" w:cs="宋体"/>
          <w:spacing w:val="-88"/>
        </w:rPr>
        <w:t xml:space="preserve"> </w:t>
      </w:r>
      <w:r>
        <w:rPr>
          <w:rFonts w:hint="eastAsia" w:ascii="宋体" w:hAnsi="宋体" w:eastAsia="宋体" w:cs="宋体"/>
          <w:spacing w:val="-11"/>
        </w:rPr>
        <w:t>”，自然人竞标时“我方</w:t>
      </w:r>
      <w:r>
        <w:rPr>
          <w:rFonts w:hint="eastAsia" w:ascii="宋体" w:hAnsi="宋体" w:eastAsia="宋体" w:cs="宋体"/>
          <w:spacing w:val="-88"/>
        </w:rPr>
        <w:t xml:space="preserve"> </w:t>
      </w:r>
      <w:r>
        <w:rPr>
          <w:rFonts w:hint="eastAsia" w:ascii="宋体" w:hAnsi="宋体" w:eastAsia="宋体" w:cs="宋体"/>
          <w:spacing w:val="-11"/>
        </w:rPr>
        <w:t>”是指“本</w:t>
      </w:r>
      <w:r>
        <w:rPr>
          <w:rFonts w:hint="eastAsia" w:ascii="宋体" w:hAnsi="宋体" w:eastAsia="宋体" w:cs="宋体"/>
          <w:spacing w:val="-6"/>
        </w:rPr>
        <w:t>人</w:t>
      </w:r>
      <w:r>
        <w:rPr>
          <w:rFonts w:hint="eastAsia" w:ascii="宋体" w:hAnsi="宋体" w:eastAsia="宋体" w:cs="宋体"/>
          <w:spacing w:val="-89"/>
        </w:rPr>
        <w:t xml:space="preserve"> </w:t>
      </w:r>
      <w:r>
        <w:rPr>
          <w:rFonts w:hint="eastAsia" w:ascii="宋体" w:hAnsi="宋体" w:eastAsia="宋体" w:cs="宋体"/>
          <w:spacing w:val="-6"/>
        </w:rPr>
        <w:t>”。</w:t>
      </w:r>
    </w:p>
    <w:p w14:paraId="5DBFF9D2">
      <w:pPr>
        <w:shd w:val="clear"/>
        <w:spacing w:line="363" w:lineRule="auto"/>
        <w:rPr>
          <w:rFonts w:hint="eastAsia" w:ascii="宋体" w:hAnsi="宋体" w:eastAsia="宋体" w:cs="宋体"/>
        </w:rPr>
        <w:sectPr>
          <w:footerReference r:id="rId33" w:type="default"/>
          <w:pgSz w:w="11906" w:h="16839"/>
          <w:pgMar w:top="1440" w:right="1080" w:bottom="1440" w:left="1080" w:header="0" w:footer="1200" w:gutter="0"/>
          <w:pgNumType w:fmt="decimal"/>
          <w:cols w:space="720" w:num="1"/>
        </w:sectPr>
      </w:pPr>
    </w:p>
    <w:p w14:paraId="54ECB3A0">
      <w:pPr>
        <w:pStyle w:val="3"/>
        <w:shd w:val="clear"/>
        <w:spacing w:before="140" w:line="226" w:lineRule="auto"/>
        <w:ind w:left="2712"/>
        <w:rPr>
          <w:rFonts w:hint="eastAsia" w:ascii="宋体" w:hAnsi="宋体" w:eastAsia="宋体" w:cs="宋体"/>
          <w:sz w:val="43"/>
          <w:szCs w:val="43"/>
        </w:rPr>
      </w:pPr>
      <w:r>
        <w:rPr>
          <w:rFonts w:hint="eastAsia" w:ascii="宋体" w:hAnsi="宋体" w:eastAsia="宋体" w:cs="宋体"/>
          <w:spacing w:val="4"/>
          <w:sz w:val="43"/>
          <w:szCs w:val="43"/>
        </w:rPr>
        <w:t>商务要求偏离表格式</w:t>
      </w:r>
    </w:p>
    <w:p w14:paraId="02D7B488">
      <w:pPr>
        <w:shd w:val="clear"/>
        <w:spacing w:before="19"/>
        <w:rPr>
          <w:rFonts w:hint="eastAsia" w:ascii="宋体" w:hAnsi="宋体" w:eastAsia="宋体" w:cs="宋体"/>
        </w:rPr>
      </w:pPr>
    </w:p>
    <w:tbl>
      <w:tblPr>
        <w:tblStyle w:val="11"/>
        <w:tblW w:w="93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3"/>
        <w:gridCol w:w="3136"/>
        <w:gridCol w:w="3107"/>
        <w:gridCol w:w="2116"/>
      </w:tblGrid>
      <w:tr w14:paraId="082B6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53" w:type="dxa"/>
            <w:vAlign w:val="top"/>
          </w:tcPr>
          <w:p w14:paraId="4874F4EC">
            <w:pPr>
              <w:pStyle w:val="12"/>
              <w:shd w:val="clear"/>
              <w:spacing w:before="205" w:line="224" w:lineRule="auto"/>
              <w:jc w:val="center"/>
              <w:rPr>
                <w:rFonts w:hint="eastAsia" w:ascii="宋体" w:hAnsi="宋体" w:eastAsia="宋体" w:cs="宋体"/>
                <w:lang w:eastAsia="zh-CN"/>
              </w:rPr>
            </w:pPr>
            <w:r>
              <w:rPr>
                <w:rFonts w:hint="eastAsia" w:ascii="宋体" w:hAnsi="宋体" w:eastAsia="宋体" w:cs="宋体"/>
                <w:spacing w:val="-9"/>
                <w:lang w:val="en-US" w:eastAsia="zh-CN"/>
              </w:rPr>
              <w:t>序号</w:t>
            </w:r>
          </w:p>
        </w:tc>
        <w:tc>
          <w:tcPr>
            <w:tcW w:w="3136" w:type="dxa"/>
            <w:vAlign w:val="top"/>
          </w:tcPr>
          <w:p w14:paraId="24714EA3">
            <w:pPr>
              <w:pStyle w:val="12"/>
              <w:shd w:val="clear"/>
              <w:spacing w:before="206" w:line="222" w:lineRule="auto"/>
              <w:ind w:left="386"/>
              <w:rPr>
                <w:rFonts w:hint="eastAsia" w:ascii="宋体" w:hAnsi="宋体" w:eastAsia="宋体" w:cs="宋体"/>
              </w:rPr>
            </w:pPr>
            <w:r>
              <w:rPr>
                <w:rFonts w:hint="eastAsia" w:ascii="宋体" w:hAnsi="宋体" w:eastAsia="宋体" w:cs="宋体"/>
                <w:spacing w:val="-2"/>
              </w:rPr>
              <w:t>磋商文件商务要求</w:t>
            </w:r>
          </w:p>
        </w:tc>
        <w:tc>
          <w:tcPr>
            <w:tcW w:w="3107" w:type="dxa"/>
            <w:vAlign w:val="top"/>
          </w:tcPr>
          <w:p w14:paraId="110452EC">
            <w:pPr>
              <w:pStyle w:val="12"/>
              <w:shd w:val="clear"/>
              <w:spacing w:before="206" w:line="223" w:lineRule="auto"/>
              <w:ind w:left="470"/>
              <w:rPr>
                <w:rFonts w:hint="eastAsia" w:ascii="宋体" w:hAnsi="宋体" w:eastAsia="宋体" w:cs="宋体"/>
              </w:rPr>
            </w:pPr>
            <w:r>
              <w:rPr>
                <w:rFonts w:hint="eastAsia" w:ascii="宋体" w:hAnsi="宋体" w:eastAsia="宋体" w:cs="宋体"/>
                <w:spacing w:val="-3"/>
              </w:rPr>
              <w:t>供应商的响应</w:t>
            </w:r>
          </w:p>
        </w:tc>
        <w:tc>
          <w:tcPr>
            <w:tcW w:w="2116" w:type="dxa"/>
            <w:vAlign w:val="top"/>
          </w:tcPr>
          <w:p w14:paraId="272FEE89">
            <w:pPr>
              <w:pStyle w:val="12"/>
              <w:shd w:val="clear"/>
              <w:spacing w:before="206" w:line="222" w:lineRule="auto"/>
              <w:ind w:left="593"/>
              <w:rPr>
                <w:rFonts w:hint="eastAsia" w:ascii="宋体" w:hAnsi="宋体" w:eastAsia="宋体" w:cs="宋体"/>
              </w:rPr>
            </w:pPr>
            <w:r>
              <w:rPr>
                <w:rFonts w:hint="eastAsia" w:ascii="宋体" w:hAnsi="宋体" w:eastAsia="宋体" w:cs="宋体"/>
                <w:spacing w:val="-5"/>
              </w:rPr>
              <w:t>偏离说明</w:t>
            </w:r>
          </w:p>
        </w:tc>
      </w:tr>
      <w:tr w14:paraId="09F30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53" w:type="dxa"/>
            <w:vAlign w:val="top"/>
          </w:tcPr>
          <w:p w14:paraId="5929A2BE">
            <w:pPr>
              <w:pStyle w:val="12"/>
              <w:shd w:val="clear"/>
              <w:spacing w:before="205" w:line="224" w:lineRule="auto"/>
              <w:jc w:val="center"/>
              <w:rPr>
                <w:rFonts w:hint="eastAsia" w:ascii="宋体" w:hAnsi="宋体" w:eastAsia="宋体" w:cs="宋体"/>
                <w:spacing w:val="-9"/>
                <w:lang w:val="en-US" w:eastAsia="zh-CN"/>
              </w:rPr>
            </w:pPr>
            <w:r>
              <w:rPr>
                <w:rFonts w:hint="eastAsia" w:ascii="宋体" w:hAnsi="宋体" w:eastAsia="宋体" w:cs="宋体"/>
                <w:spacing w:val="-9"/>
                <w:lang w:val="en-US" w:eastAsia="zh-CN"/>
              </w:rPr>
              <w:t>1</w:t>
            </w:r>
          </w:p>
        </w:tc>
        <w:tc>
          <w:tcPr>
            <w:tcW w:w="3136" w:type="dxa"/>
            <w:vAlign w:val="top"/>
          </w:tcPr>
          <w:p w14:paraId="7392A66B">
            <w:pPr>
              <w:shd w:val="clear"/>
              <w:rPr>
                <w:rFonts w:hint="eastAsia" w:ascii="宋体" w:hAnsi="宋体" w:eastAsia="宋体" w:cs="宋体"/>
                <w:sz w:val="21"/>
              </w:rPr>
            </w:pPr>
          </w:p>
        </w:tc>
        <w:tc>
          <w:tcPr>
            <w:tcW w:w="3107" w:type="dxa"/>
            <w:vAlign w:val="top"/>
          </w:tcPr>
          <w:p w14:paraId="3ECEC846">
            <w:pPr>
              <w:shd w:val="clear"/>
              <w:rPr>
                <w:rFonts w:hint="eastAsia" w:ascii="宋体" w:hAnsi="宋体" w:eastAsia="宋体" w:cs="宋体"/>
                <w:sz w:val="21"/>
              </w:rPr>
            </w:pPr>
          </w:p>
        </w:tc>
        <w:tc>
          <w:tcPr>
            <w:tcW w:w="2116" w:type="dxa"/>
            <w:vAlign w:val="top"/>
          </w:tcPr>
          <w:p w14:paraId="0A4E6174">
            <w:pPr>
              <w:shd w:val="clear"/>
              <w:rPr>
                <w:rFonts w:hint="eastAsia" w:ascii="宋体" w:hAnsi="宋体" w:eastAsia="宋体" w:cs="宋体"/>
                <w:sz w:val="21"/>
              </w:rPr>
            </w:pPr>
          </w:p>
        </w:tc>
      </w:tr>
      <w:tr w14:paraId="000BE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53" w:type="dxa"/>
            <w:vAlign w:val="top"/>
          </w:tcPr>
          <w:p w14:paraId="389E35D0">
            <w:pPr>
              <w:pStyle w:val="12"/>
              <w:shd w:val="clear"/>
              <w:spacing w:before="205" w:line="224" w:lineRule="auto"/>
              <w:jc w:val="center"/>
              <w:rPr>
                <w:rFonts w:hint="eastAsia" w:ascii="宋体" w:hAnsi="宋体" w:eastAsia="宋体" w:cs="宋体"/>
                <w:spacing w:val="-9"/>
                <w:lang w:val="en-US" w:eastAsia="zh-CN"/>
              </w:rPr>
            </w:pPr>
            <w:r>
              <w:rPr>
                <w:rFonts w:hint="eastAsia" w:ascii="宋体" w:hAnsi="宋体" w:eastAsia="宋体" w:cs="宋体"/>
                <w:spacing w:val="-9"/>
                <w:lang w:val="en-US" w:eastAsia="zh-CN"/>
              </w:rPr>
              <w:t>2</w:t>
            </w:r>
          </w:p>
        </w:tc>
        <w:tc>
          <w:tcPr>
            <w:tcW w:w="3136" w:type="dxa"/>
            <w:vAlign w:val="top"/>
          </w:tcPr>
          <w:p w14:paraId="0D5DB7DF">
            <w:pPr>
              <w:shd w:val="clear"/>
              <w:rPr>
                <w:rFonts w:hint="eastAsia" w:ascii="宋体" w:hAnsi="宋体" w:eastAsia="宋体" w:cs="宋体"/>
                <w:sz w:val="21"/>
              </w:rPr>
            </w:pPr>
          </w:p>
        </w:tc>
        <w:tc>
          <w:tcPr>
            <w:tcW w:w="3107" w:type="dxa"/>
            <w:vAlign w:val="top"/>
          </w:tcPr>
          <w:p w14:paraId="3DDA3A34">
            <w:pPr>
              <w:shd w:val="clear"/>
              <w:rPr>
                <w:rFonts w:hint="eastAsia" w:ascii="宋体" w:hAnsi="宋体" w:eastAsia="宋体" w:cs="宋体"/>
                <w:sz w:val="21"/>
              </w:rPr>
            </w:pPr>
          </w:p>
        </w:tc>
        <w:tc>
          <w:tcPr>
            <w:tcW w:w="2116" w:type="dxa"/>
            <w:vAlign w:val="top"/>
          </w:tcPr>
          <w:p w14:paraId="1220348B">
            <w:pPr>
              <w:shd w:val="clear"/>
              <w:rPr>
                <w:rFonts w:hint="eastAsia" w:ascii="宋体" w:hAnsi="宋体" w:eastAsia="宋体" w:cs="宋体"/>
                <w:sz w:val="21"/>
              </w:rPr>
            </w:pPr>
          </w:p>
        </w:tc>
      </w:tr>
      <w:tr w14:paraId="6E697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53" w:type="dxa"/>
            <w:vAlign w:val="top"/>
          </w:tcPr>
          <w:p w14:paraId="0B3E5BD4">
            <w:pPr>
              <w:pStyle w:val="12"/>
              <w:shd w:val="clear"/>
              <w:spacing w:before="269" w:line="383" w:lineRule="exact"/>
              <w:jc w:val="center"/>
              <w:rPr>
                <w:rFonts w:hint="eastAsia" w:ascii="宋体" w:hAnsi="宋体" w:eastAsia="宋体" w:cs="宋体"/>
              </w:rPr>
            </w:pPr>
            <w:r>
              <w:rPr>
                <w:rFonts w:hint="eastAsia" w:ascii="宋体" w:hAnsi="宋体" w:eastAsia="宋体" w:cs="宋体"/>
                <w:position w:val="3"/>
              </w:rPr>
              <w:t>…</w:t>
            </w:r>
          </w:p>
        </w:tc>
        <w:tc>
          <w:tcPr>
            <w:tcW w:w="3136" w:type="dxa"/>
            <w:vAlign w:val="top"/>
          </w:tcPr>
          <w:p w14:paraId="4E49F94E">
            <w:pPr>
              <w:shd w:val="clear"/>
              <w:rPr>
                <w:rFonts w:hint="eastAsia" w:ascii="宋体" w:hAnsi="宋体" w:eastAsia="宋体" w:cs="宋体"/>
                <w:sz w:val="21"/>
              </w:rPr>
            </w:pPr>
          </w:p>
        </w:tc>
        <w:tc>
          <w:tcPr>
            <w:tcW w:w="3107" w:type="dxa"/>
            <w:vAlign w:val="top"/>
          </w:tcPr>
          <w:p w14:paraId="669D4A9C">
            <w:pPr>
              <w:shd w:val="clear"/>
              <w:rPr>
                <w:rFonts w:hint="eastAsia" w:ascii="宋体" w:hAnsi="宋体" w:eastAsia="宋体" w:cs="宋体"/>
                <w:sz w:val="21"/>
              </w:rPr>
            </w:pPr>
          </w:p>
        </w:tc>
        <w:tc>
          <w:tcPr>
            <w:tcW w:w="2116" w:type="dxa"/>
            <w:vAlign w:val="top"/>
          </w:tcPr>
          <w:p w14:paraId="1D1031B1">
            <w:pPr>
              <w:shd w:val="clear"/>
              <w:rPr>
                <w:rFonts w:hint="eastAsia" w:ascii="宋体" w:hAnsi="宋体" w:eastAsia="宋体" w:cs="宋体"/>
                <w:sz w:val="21"/>
              </w:rPr>
            </w:pPr>
          </w:p>
        </w:tc>
      </w:tr>
    </w:tbl>
    <w:p w14:paraId="07056976">
      <w:pPr>
        <w:shd w:val="clear"/>
        <w:spacing w:line="251" w:lineRule="auto"/>
        <w:rPr>
          <w:rFonts w:hint="eastAsia" w:ascii="宋体" w:hAnsi="宋体" w:eastAsia="宋体" w:cs="宋体"/>
          <w:sz w:val="21"/>
        </w:rPr>
      </w:pPr>
    </w:p>
    <w:p w14:paraId="7A049048">
      <w:pPr>
        <w:shd w:val="clear"/>
        <w:spacing w:line="252" w:lineRule="auto"/>
        <w:rPr>
          <w:rFonts w:hint="eastAsia" w:ascii="宋体" w:hAnsi="宋体" w:eastAsia="宋体" w:cs="宋体"/>
          <w:sz w:val="21"/>
        </w:rPr>
      </w:pPr>
    </w:p>
    <w:p w14:paraId="7AC72A93">
      <w:pPr>
        <w:pStyle w:val="3"/>
        <w:shd w:val="clear"/>
        <w:spacing w:before="79" w:line="230" w:lineRule="auto"/>
        <w:ind w:left="134"/>
        <w:rPr>
          <w:rFonts w:hint="eastAsia" w:ascii="宋体" w:hAnsi="宋体" w:eastAsia="宋体" w:cs="宋体"/>
        </w:rPr>
      </w:pPr>
      <w:r>
        <w:rPr>
          <w:rFonts w:hint="eastAsia" w:ascii="宋体" w:hAnsi="宋体" w:eastAsia="宋体" w:cs="宋体"/>
          <w:spacing w:val="-12"/>
        </w:rPr>
        <w:t>注：</w:t>
      </w:r>
    </w:p>
    <w:p w14:paraId="299633CB">
      <w:pPr>
        <w:pStyle w:val="3"/>
        <w:shd w:val="clear"/>
        <w:spacing w:before="169" w:line="360" w:lineRule="auto"/>
        <w:ind w:left="151" w:right="133" w:hanging="14"/>
        <w:rPr>
          <w:rFonts w:hint="eastAsia" w:ascii="宋体" w:hAnsi="宋体" w:eastAsia="宋体" w:cs="宋体"/>
        </w:rPr>
      </w:pPr>
      <w:r>
        <w:rPr>
          <w:rFonts w:hint="eastAsia" w:ascii="宋体" w:hAnsi="宋体" w:eastAsia="宋体" w:cs="宋体"/>
          <w:spacing w:val="-3"/>
        </w:rPr>
        <w:t>1. 说明：应对照磋商文件“第三章 采购需求</w:t>
      </w:r>
      <w:r>
        <w:rPr>
          <w:rFonts w:hint="eastAsia" w:ascii="宋体" w:hAnsi="宋体" w:eastAsia="宋体" w:cs="宋体"/>
          <w:spacing w:val="-76"/>
        </w:rPr>
        <w:t xml:space="preserve"> </w:t>
      </w:r>
      <w:r>
        <w:rPr>
          <w:rFonts w:hint="eastAsia" w:ascii="宋体" w:hAnsi="宋体" w:eastAsia="宋体" w:cs="宋体"/>
          <w:spacing w:val="-3"/>
        </w:rPr>
        <w:t>”中的商务要求逐条作出明确响应，并作</w:t>
      </w:r>
      <w:r>
        <w:rPr>
          <w:rFonts w:hint="eastAsia" w:ascii="宋体" w:hAnsi="宋体" w:eastAsia="宋体" w:cs="宋体"/>
          <w:spacing w:val="-7"/>
        </w:rPr>
        <w:t>出偏离说明。</w:t>
      </w:r>
    </w:p>
    <w:p w14:paraId="4B7CA859">
      <w:pPr>
        <w:pStyle w:val="3"/>
        <w:shd w:val="clear"/>
        <w:spacing w:before="2" w:line="360" w:lineRule="auto"/>
        <w:ind w:left="128" w:right="133" w:hanging="5"/>
        <w:rPr>
          <w:rFonts w:hint="eastAsia" w:ascii="宋体" w:hAnsi="宋体" w:eastAsia="宋体" w:cs="宋体"/>
        </w:rPr>
      </w:pPr>
      <w:r>
        <w:rPr>
          <w:rFonts w:hint="eastAsia" w:ascii="宋体" w:hAnsi="宋体" w:eastAsia="宋体" w:cs="宋体"/>
          <w:spacing w:val="-9"/>
        </w:rPr>
        <w:t>2.供应商应根据自身的承诺，对照磋商文件要求在“偏离说明</w:t>
      </w:r>
      <w:r>
        <w:rPr>
          <w:rFonts w:hint="eastAsia" w:ascii="宋体" w:hAnsi="宋体" w:eastAsia="宋体" w:cs="宋体"/>
          <w:spacing w:val="-88"/>
        </w:rPr>
        <w:t xml:space="preserve"> </w:t>
      </w:r>
      <w:r>
        <w:rPr>
          <w:rFonts w:hint="eastAsia" w:ascii="宋体" w:hAnsi="宋体" w:eastAsia="宋体" w:cs="宋体"/>
          <w:spacing w:val="-9"/>
        </w:rPr>
        <w:t>”中注明“正偏</w:t>
      </w:r>
      <w:r>
        <w:rPr>
          <w:rFonts w:hint="eastAsia" w:ascii="宋体" w:hAnsi="宋体" w:eastAsia="宋体" w:cs="宋体"/>
          <w:spacing w:val="-10"/>
        </w:rPr>
        <w:t>离</w:t>
      </w:r>
      <w:r>
        <w:rPr>
          <w:rFonts w:hint="eastAsia" w:ascii="宋体" w:hAnsi="宋体" w:eastAsia="宋体" w:cs="宋体"/>
          <w:spacing w:val="-88"/>
        </w:rPr>
        <w:t xml:space="preserve"> </w:t>
      </w:r>
      <w:r>
        <w:rPr>
          <w:rFonts w:hint="eastAsia" w:ascii="宋体" w:hAnsi="宋体" w:eastAsia="宋体" w:cs="宋体"/>
          <w:spacing w:val="-10"/>
        </w:rPr>
        <w:t>”、“负</w:t>
      </w:r>
      <w:r>
        <w:rPr>
          <w:rFonts w:hint="eastAsia" w:ascii="宋体" w:hAnsi="宋体" w:eastAsia="宋体" w:cs="宋体"/>
          <w:spacing w:val="-4"/>
        </w:rPr>
        <w:t>偏离</w:t>
      </w:r>
      <w:r>
        <w:rPr>
          <w:rFonts w:hint="eastAsia" w:ascii="宋体" w:hAnsi="宋体" w:eastAsia="宋体" w:cs="宋体"/>
          <w:spacing w:val="-84"/>
        </w:rPr>
        <w:t xml:space="preserve"> </w:t>
      </w:r>
      <w:r>
        <w:rPr>
          <w:rFonts w:hint="eastAsia" w:ascii="宋体" w:hAnsi="宋体" w:eastAsia="宋体" w:cs="宋体"/>
          <w:spacing w:val="-4"/>
        </w:rPr>
        <w:t>”或者“无偏离</w:t>
      </w:r>
      <w:r>
        <w:rPr>
          <w:rFonts w:hint="eastAsia" w:ascii="宋体" w:hAnsi="宋体" w:eastAsia="宋体" w:cs="宋体"/>
          <w:spacing w:val="-88"/>
        </w:rPr>
        <w:t xml:space="preserve"> </w:t>
      </w:r>
      <w:r>
        <w:rPr>
          <w:rFonts w:hint="eastAsia" w:ascii="宋体" w:hAnsi="宋体" w:eastAsia="宋体" w:cs="宋体"/>
          <w:spacing w:val="-4"/>
        </w:rPr>
        <w:t>”。既不属于“正偏离</w:t>
      </w:r>
      <w:r>
        <w:rPr>
          <w:rFonts w:hint="eastAsia" w:ascii="宋体" w:hAnsi="宋体" w:eastAsia="宋体" w:cs="宋体"/>
          <w:spacing w:val="-88"/>
        </w:rPr>
        <w:t xml:space="preserve"> </w:t>
      </w:r>
      <w:r>
        <w:rPr>
          <w:rFonts w:hint="eastAsia" w:ascii="宋体" w:hAnsi="宋体" w:eastAsia="宋体" w:cs="宋体"/>
          <w:spacing w:val="-4"/>
        </w:rPr>
        <w:t>”也不属于“负偏离</w:t>
      </w:r>
      <w:r>
        <w:rPr>
          <w:rFonts w:hint="eastAsia" w:ascii="宋体" w:hAnsi="宋体" w:eastAsia="宋体" w:cs="宋体"/>
          <w:spacing w:val="-88"/>
        </w:rPr>
        <w:t xml:space="preserve"> </w:t>
      </w:r>
      <w:r>
        <w:rPr>
          <w:rFonts w:hint="eastAsia" w:ascii="宋体" w:hAnsi="宋体" w:eastAsia="宋体" w:cs="宋体"/>
          <w:spacing w:val="-4"/>
        </w:rPr>
        <w:t>”即为“无偏离</w:t>
      </w:r>
      <w:r>
        <w:rPr>
          <w:rFonts w:hint="eastAsia" w:ascii="宋体" w:hAnsi="宋体" w:eastAsia="宋体" w:cs="宋体"/>
          <w:spacing w:val="-88"/>
        </w:rPr>
        <w:t xml:space="preserve"> </w:t>
      </w:r>
      <w:r>
        <w:rPr>
          <w:rFonts w:hint="eastAsia" w:ascii="宋体" w:hAnsi="宋体" w:eastAsia="宋体" w:cs="宋体"/>
          <w:spacing w:val="-4"/>
        </w:rPr>
        <w:t>”。</w:t>
      </w:r>
    </w:p>
    <w:p w14:paraId="7E855EFA">
      <w:pPr>
        <w:shd w:val="clear"/>
        <w:spacing w:line="385" w:lineRule="auto"/>
        <w:rPr>
          <w:rFonts w:hint="eastAsia" w:ascii="宋体" w:hAnsi="宋体" w:eastAsia="宋体" w:cs="宋体"/>
          <w:sz w:val="21"/>
        </w:rPr>
      </w:pPr>
    </w:p>
    <w:p w14:paraId="5BA4AA87">
      <w:pPr>
        <w:pStyle w:val="3"/>
        <w:shd w:val="clear"/>
        <w:spacing w:before="78" w:line="223" w:lineRule="auto"/>
        <w:ind w:left="2319"/>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p>
    <w:p w14:paraId="11D63E5F">
      <w:pPr>
        <w:pStyle w:val="3"/>
        <w:shd w:val="clear"/>
        <w:spacing w:before="179" w:line="222" w:lineRule="auto"/>
        <w:ind w:left="2768"/>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376FFF9B">
      <w:pPr>
        <w:pStyle w:val="3"/>
        <w:shd w:val="clear"/>
        <w:spacing w:before="179" w:line="222" w:lineRule="auto"/>
        <w:ind w:left="4258"/>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8"/>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782420AD">
      <w:pPr>
        <w:shd w:val="clear"/>
        <w:spacing w:line="222" w:lineRule="auto"/>
        <w:rPr>
          <w:rFonts w:hint="eastAsia" w:ascii="宋体" w:hAnsi="宋体" w:eastAsia="宋体" w:cs="宋体"/>
        </w:rPr>
        <w:sectPr>
          <w:footerReference r:id="rId34" w:type="default"/>
          <w:pgSz w:w="11906" w:h="16839"/>
          <w:pgMar w:top="1440" w:right="1080" w:bottom="1440" w:left="1080" w:header="0" w:footer="1200" w:gutter="0"/>
          <w:pgNumType w:fmt="decimal"/>
          <w:cols w:space="720" w:num="1"/>
        </w:sectPr>
      </w:pPr>
    </w:p>
    <w:p w14:paraId="19C1B5AE">
      <w:pPr>
        <w:pStyle w:val="3"/>
        <w:shd w:val="clear"/>
        <w:spacing w:before="140" w:line="226" w:lineRule="auto"/>
        <w:ind w:left="3140"/>
        <w:rPr>
          <w:rFonts w:hint="eastAsia" w:ascii="宋体" w:hAnsi="宋体" w:eastAsia="宋体" w:cs="宋体"/>
          <w:sz w:val="43"/>
          <w:szCs w:val="43"/>
        </w:rPr>
      </w:pPr>
      <w:r>
        <w:rPr>
          <w:rFonts w:hint="eastAsia" w:ascii="宋体" w:hAnsi="宋体" w:eastAsia="宋体" w:cs="宋体"/>
          <w:spacing w:val="5"/>
          <w:sz w:val="43"/>
          <w:szCs w:val="43"/>
        </w:rPr>
        <w:t>技术要求偏离表</w:t>
      </w:r>
    </w:p>
    <w:p w14:paraId="34A8791B">
      <w:pPr>
        <w:shd w:val="clear"/>
        <w:spacing w:line="336" w:lineRule="auto"/>
        <w:rPr>
          <w:rFonts w:hint="eastAsia" w:ascii="宋体" w:hAnsi="宋体" w:eastAsia="宋体" w:cs="宋体"/>
          <w:sz w:val="21"/>
        </w:rPr>
      </w:pPr>
    </w:p>
    <w:p w14:paraId="063DBE30">
      <w:pPr>
        <w:shd w:val="clear"/>
        <w:spacing w:line="337" w:lineRule="auto"/>
        <w:rPr>
          <w:rFonts w:hint="eastAsia" w:ascii="宋体" w:hAnsi="宋体" w:eastAsia="宋体" w:cs="宋体"/>
          <w:sz w:val="21"/>
        </w:rPr>
      </w:pPr>
    </w:p>
    <w:tbl>
      <w:tblPr>
        <w:tblStyle w:val="9"/>
        <w:tblW w:w="9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688"/>
        <w:gridCol w:w="862"/>
        <w:gridCol w:w="1850"/>
        <w:gridCol w:w="1336"/>
        <w:gridCol w:w="851"/>
        <w:gridCol w:w="1350"/>
        <w:gridCol w:w="1391"/>
      </w:tblGrid>
      <w:tr w14:paraId="5219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32" w:type="dxa"/>
            <w:vMerge w:val="restart"/>
            <w:tcBorders>
              <w:top w:val="single" w:color="auto" w:sz="4" w:space="0"/>
              <w:left w:val="single" w:color="auto" w:sz="4" w:space="0"/>
              <w:bottom w:val="single" w:color="auto" w:sz="4" w:space="0"/>
              <w:right w:val="single" w:color="auto" w:sz="4" w:space="0"/>
            </w:tcBorders>
            <w:noWrap w:val="0"/>
            <w:vAlign w:val="center"/>
          </w:tcPr>
          <w:p w14:paraId="4FD5B23B">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lang w:val="en-US" w:eastAsia="zh-CN"/>
              </w:rPr>
              <w:t>序</w:t>
            </w:r>
            <w:r>
              <w:rPr>
                <w:rFonts w:hint="eastAsia" w:ascii="宋体" w:hAnsi="宋体" w:eastAsia="宋体" w:cs="宋体"/>
                <w:spacing w:val="-3"/>
              </w:rPr>
              <w:t>号</w:t>
            </w:r>
          </w:p>
        </w:tc>
        <w:tc>
          <w:tcPr>
            <w:tcW w:w="4400" w:type="dxa"/>
            <w:gridSpan w:val="3"/>
            <w:tcBorders>
              <w:top w:val="single" w:color="auto" w:sz="4" w:space="0"/>
              <w:left w:val="single" w:color="auto" w:sz="4" w:space="0"/>
              <w:bottom w:val="single" w:color="auto" w:sz="4" w:space="0"/>
              <w:right w:val="single" w:color="auto" w:sz="4" w:space="0"/>
            </w:tcBorders>
            <w:noWrap w:val="0"/>
            <w:vAlign w:val="center"/>
          </w:tcPr>
          <w:p w14:paraId="2E3AAE38">
            <w:pPr>
              <w:pStyle w:val="3"/>
              <w:shd w:val="clear"/>
              <w:spacing w:before="169" w:line="360" w:lineRule="auto"/>
              <w:ind w:left="151" w:right="113" w:hanging="14"/>
              <w:jc w:val="center"/>
              <w:rPr>
                <w:rFonts w:hint="eastAsia" w:ascii="宋体" w:hAnsi="宋体" w:eastAsia="宋体" w:cs="宋体"/>
                <w:spacing w:val="-3"/>
              </w:rPr>
            </w:pPr>
            <w:r>
              <w:rPr>
                <w:rFonts w:hint="eastAsia" w:ascii="宋体" w:hAnsi="宋体" w:eastAsia="宋体" w:cs="宋体"/>
                <w:spacing w:val="-3"/>
              </w:rPr>
              <w:t>竞争性磋商采购文件需求</w:t>
            </w:r>
          </w:p>
        </w:tc>
        <w:tc>
          <w:tcPr>
            <w:tcW w:w="3537" w:type="dxa"/>
            <w:gridSpan w:val="3"/>
            <w:tcBorders>
              <w:top w:val="single" w:color="auto" w:sz="4" w:space="0"/>
              <w:left w:val="single" w:color="auto" w:sz="4" w:space="0"/>
              <w:bottom w:val="single" w:color="auto" w:sz="4" w:space="0"/>
              <w:right w:val="single" w:color="auto" w:sz="4" w:space="0"/>
            </w:tcBorders>
            <w:noWrap w:val="0"/>
            <w:vAlign w:val="center"/>
          </w:tcPr>
          <w:p w14:paraId="5163337D">
            <w:pPr>
              <w:pStyle w:val="3"/>
              <w:shd w:val="clear"/>
              <w:spacing w:before="169" w:line="360" w:lineRule="auto"/>
              <w:ind w:left="151" w:right="113" w:hanging="14"/>
              <w:jc w:val="center"/>
              <w:rPr>
                <w:rFonts w:hint="eastAsia" w:ascii="宋体" w:hAnsi="宋体" w:eastAsia="宋体" w:cs="宋体"/>
                <w:spacing w:val="-3"/>
              </w:rPr>
            </w:pPr>
            <w:r>
              <w:rPr>
                <w:rFonts w:hint="eastAsia" w:ascii="宋体" w:hAnsi="宋体" w:eastAsia="宋体" w:cs="宋体"/>
                <w:spacing w:val="-3"/>
              </w:rPr>
              <w:t>响应文件承诺</w:t>
            </w:r>
          </w:p>
        </w:tc>
        <w:tc>
          <w:tcPr>
            <w:tcW w:w="1391" w:type="dxa"/>
            <w:vMerge w:val="restart"/>
            <w:tcBorders>
              <w:top w:val="single" w:color="auto" w:sz="4" w:space="0"/>
              <w:left w:val="single" w:color="auto" w:sz="4" w:space="0"/>
              <w:bottom w:val="single" w:color="auto" w:sz="4" w:space="0"/>
              <w:right w:val="single" w:color="auto" w:sz="4" w:space="0"/>
            </w:tcBorders>
            <w:noWrap w:val="0"/>
            <w:vAlign w:val="center"/>
          </w:tcPr>
          <w:p w14:paraId="6D58A001">
            <w:pPr>
              <w:pStyle w:val="3"/>
              <w:shd w:val="clear"/>
              <w:spacing w:before="169" w:line="360" w:lineRule="auto"/>
              <w:ind w:right="113"/>
              <w:jc w:val="center"/>
              <w:rPr>
                <w:rFonts w:hint="eastAsia" w:ascii="宋体" w:hAnsi="宋体" w:eastAsia="宋体" w:cs="宋体"/>
                <w:spacing w:val="-3"/>
              </w:rPr>
            </w:pPr>
            <w:r>
              <w:rPr>
                <w:rFonts w:hint="eastAsia" w:ascii="宋体" w:hAnsi="宋体" w:eastAsia="宋体" w:cs="宋体"/>
                <w:spacing w:val="-3"/>
              </w:rPr>
              <w:t>偏离说明</w:t>
            </w:r>
          </w:p>
        </w:tc>
      </w:tr>
      <w:tr w14:paraId="4376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532" w:type="dxa"/>
            <w:vMerge w:val="continue"/>
            <w:tcBorders>
              <w:top w:val="single" w:color="auto" w:sz="4" w:space="0"/>
              <w:left w:val="single" w:color="auto" w:sz="4" w:space="0"/>
              <w:bottom w:val="single" w:color="auto" w:sz="4" w:space="0"/>
              <w:right w:val="single" w:color="auto" w:sz="4" w:space="0"/>
            </w:tcBorders>
            <w:noWrap w:val="0"/>
            <w:vAlign w:val="center"/>
          </w:tcPr>
          <w:p w14:paraId="64DCFBA6">
            <w:pPr>
              <w:pStyle w:val="3"/>
              <w:shd w:val="clear"/>
              <w:spacing w:before="169" w:line="360" w:lineRule="auto"/>
              <w:ind w:left="151" w:right="113" w:hanging="14"/>
              <w:rPr>
                <w:rFonts w:hint="eastAsia" w:ascii="宋体" w:hAnsi="宋体" w:eastAsia="宋体" w:cs="宋体"/>
                <w:spacing w:val="-3"/>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A42181F">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lang w:val="en-US" w:eastAsia="zh-CN"/>
              </w:rPr>
              <w:t>标的</w:t>
            </w:r>
            <w:r>
              <w:rPr>
                <w:rFonts w:hint="eastAsia" w:ascii="宋体" w:hAnsi="宋体" w:eastAsia="宋体" w:cs="宋体"/>
                <w:spacing w:val="-3"/>
              </w:rPr>
              <w:t>名称</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310C35F">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rPr>
              <w:t>数量</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EF79AC0">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rPr>
              <w:t>参数要求</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03C0D8A">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lang w:val="en-US" w:eastAsia="zh-CN"/>
              </w:rPr>
              <w:t>标的</w:t>
            </w:r>
            <w:r>
              <w:rPr>
                <w:rFonts w:hint="eastAsia" w:ascii="宋体" w:hAnsi="宋体" w:eastAsia="宋体" w:cs="宋体"/>
                <w:spacing w:val="-3"/>
              </w:rPr>
              <w:t>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3F8E41B">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rPr>
              <w:t>数量</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2C4F2BE">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lang w:val="en-US" w:eastAsia="zh-CN"/>
              </w:rPr>
              <w:t>响应</w:t>
            </w:r>
            <w:r>
              <w:rPr>
                <w:rFonts w:hint="eastAsia" w:ascii="宋体" w:hAnsi="宋体" w:eastAsia="宋体" w:cs="宋体"/>
                <w:spacing w:val="-3"/>
              </w:rPr>
              <w:t>参数</w:t>
            </w:r>
          </w:p>
        </w:tc>
        <w:tc>
          <w:tcPr>
            <w:tcW w:w="1391" w:type="dxa"/>
            <w:vMerge w:val="continue"/>
            <w:tcBorders>
              <w:top w:val="single" w:color="auto" w:sz="4" w:space="0"/>
              <w:left w:val="single" w:color="auto" w:sz="4" w:space="0"/>
              <w:bottom w:val="single" w:color="auto" w:sz="4" w:space="0"/>
              <w:right w:val="single" w:color="auto" w:sz="4" w:space="0"/>
            </w:tcBorders>
            <w:noWrap w:val="0"/>
            <w:vAlign w:val="center"/>
          </w:tcPr>
          <w:p w14:paraId="0910BE8B">
            <w:pPr>
              <w:pStyle w:val="3"/>
              <w:shd w:val="clear"/>
              <w:spacing w:before="169" w:line="360" w:lineRule="auto"/>
              <w:ind w:left="151" w:right="113" w:hanging="14"/>
              <w:rPr>
                <w:rFonts w:hint="eastAsia" w:ascii="宋体" w:hAnsi="宋体" w:eastAsia="宋体" w:cs="宋体"/>
                <w:spacing w:val="-3"/>
              </w:rPr>
            </w:pPr>
          </w:p>
        </w:tc>
      </w:tr>
      <w:tr w14:paraId="3992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532" w:type="dxa"/>
            <w:tcBorders>
              <w:top w:val="single" w:color="auto" w:sz="4" w:space="0"/>
              <w:left w:val="single" w:color="auto" w:sz="4" w:space="0"/>
              <w:bottom w:val="single" w:color="auto" w:sz="4" w:space="0"/>
              <w:right w:val="single" w:color="auto" w:sz="4" w:space="0"/>
            </w:tcBorders>
            <w:noWrap w:val="0"/>
            <w:vAlign w:val="center"/>
          </w:tcPr>
          <w:p w14:paraId="3E2D46E5">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1C6AA91">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6C1220E">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309C5019">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492A2AB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6C56D4B2">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41C7635A">
            <w:pPr>
              <w:pStyle w:val="3"/>
              <w:shd w:val="clear"/>
              <w:spacing w:before="169" w:line="360" w:lineRule="auto"/>
              <w:ind w:left="151" w:right="113" w:hanging="14"/>
              <w:rPr>
                <w:rFonts w:hint="eastAsia" w:ascii="宋体" w:hAnsi="宋体" w:eastAsia="宋体" w:cs="宋体"/>
                <w:spacing w:val="-3"/>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952B95A">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7536E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8F75C1C">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1F7BD09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34A27341">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2CB902F8">
            <w:pPr>
              <w:pStyle w:val="3"/>
              <w:shd w:val="clear"/>
              <w:spacing w:before="169" w:line="360" w:lineRule="auto"/>
              <w:ind w:left="151" w:right="113" w:hanging="14"/>
              <w:rPr>
                <w:rFonts w:hint="eastAsia" w:ascii="宋体" w:hAnsi="宋体" w:eastAsia="宋体" w:cs="宋体"/>
                <w:spacing w:val="-3"/>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196D655A">
            <w:pPr>
              <w:pStyle w:val="3"/>
              <w:shd w:val="clear"/>
              <w:spacing w:before="169" w:line="360" w:lineRule="auto"/>
              <w:ind w:left="151" w:right="113" w:hanging="14"/>
              <w:rPr>
                <w:rFonts w:hint="eastAsia" w:ascii="宋体" w:hAnsi="宋体" w:eastAsia="宋体" w:cs="宋体"/>
                <w:spacing w:val="-3"/>
              </w:rPr>
            </w:pPr>
          </w:p>
        </w:tc>
      </w:tr>
      <w:tr w14:paraId="3DA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532" w:type="dxa"/>
            <w:tcBorders>
              <w:top w:val="single" w:color="auto" w:sz="4" w:space="0"/>
              <w:left w:val="single" w:color="auto" w:sz="4" w:space="0"/>
              <w:bottom w:val="single" w:color="auto" w:sz="4" w:space="0"/>
              <w:right w:val="single" w:color="auto" w:sz="4" w:space="0"/>
            </w:tcBorders>
            <w:noWrap w:val="0"/>
            <w:vAlign w:val="center"/>
          </w:tcPr>
          <w:p w14:paraId="689E3E6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22FEBFE0">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50D5522">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7933B6C1">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3250ADD5">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49AEF16E">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450219FE">
            <w:pPr>
              <w:pStyle w:val="3"/>
              <w:shd w:val="clear"/>
              <w:spacing w:before="169" w:line="360" w:lineRule="auto"/>
              <w:ind w:left="151" w:right="113" w:hanging="14"/>
              <w:rPr>
                <w:rFonts w:hint="eastAsia" w:ascii="宋体" w:hAnsi="宋体" w:eastAsia="宋体" w:cs="宋体"/>
                <w:spacing w:val="-3"/>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54A01BD">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A7E6CCB">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E486A77">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65C0EBC7">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09EFFF75">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5C1517A6">
            <w:pPr>
              <w:pStyle w:val="3"/>
              <w:shd w:val="clear"/>
              <w:spacing w:before="169" w:line="360" w:lineRule="auto"/>
              <w:ind w:right="113"/>
              <w:rPr>
                <w:rFonts w:hint="eastAsia" w:ascii="宋体" w:hAnsi="宋体" w:eastAsia="宋体" w:cs="宋体"/>
                <w:spacing w:val="-3"/>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2E90A0F6">
            <w:pPr>
              <w:pStyle w:val="3"/>
              <w:shd w:val="clear"/>
              <w:spacing w:before="169" w:line="360" w:lineRule="auto"/>
              <w:ind w:left="151" w:right="113" w:hanging="14"/>
              <w:rPr>
                <w:rFonts w:hint="eastAsia" w:ascii="宋体" w:hAnsi="宋体" w:eastAsia="宋体" w:cs="宋体"/>
                <w:spacing w:val="-3"/>
              </w:rPr>
            </w:pPr>
          </w:p>
        </w:tc>
      </w:tr>
      <w:tr w14:paraId="1AF2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32" w:type="dxa"/>
            <w:tcBorders>
              <w:top w:val="single" w:color="auto" w:sz="4" w:space="0"/>
              <w:left w:val="single" w:color="auto" w:sz="4" w:space="0"/>
              <w:bottom w:val="single" w:color="auto" w:sz="4" w:space="0"/>
              <w:right w:val="single" w:color="auto" w:sz="4" w:space="0"/>
            </w:tcBorders>
            <w:noWrap w:val="0"/>
            <w:vAlign w:val="center"/>
          </w:tcPr>
          <w:p w14:paraId="1A4929B8">
            <w:pPr>
              <w:shd w:val="clear"/>
              <w:rPr>
                <w:rFonts w:hint="eastAsia" w:ascii="宋体" w:hAnsi="宋体" w:eastAsia="宋体" w:cs="宋体"/>
                <w:color w:val="0D0D0D"/>
                <w:szCs w:val="21"/>
              </w:rPr>
            </w:pPr>
            <w:r>
              <w:rPr>
                <w:rFonts w:hint="eastAsia" w:ascii="宋体" w:hAnsi="宋体" w:eastAsia="宋体" w:cs="宋体"/>
                <w:color w:val="0D0D0D"/>
                <w:szCs w:val="21"/>
              </w:rPr>
              <w:t>...</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FC2AA98">
            <w:pPr>
              <w:shd w:val="clear"/>
              <w:rPr>
                <w:rFonts w:hint="eastAsia" w:ascii="宋体" w:hAnsi="宋体" w:eastAsia="宋体" w:cs="宋体"/>
                <w:color w:val="0D0D0D"/>
                <w:szCs w:val="21"/>
              </w:rPr>
            </w:pPr>
          </w:p>
        </w:tc>
        <w:tc>
          <w:tcPr>
            <w:tcW w:w="862" w:type="dxa"/>
            <w:tcBorders>
              <w:top w:val="single" w:color="auto" w:sz="4" w:space="0"/>
              <w:left w:val="single" w:color="auto" w:sz="4" w:space="0"/>
              <w:bottom w:val="single" w:color="auto" w:sz="4" w:space="0"/>
              <w:right w:val="single" w:color="auto" w:sz="4" w:space="0"/>
            </w:tcBorders>
            <w:noWrap w:val="0"/>
            <w:vAlign w:val="center"/>
          </w:tcPr>
          <w:p w14:paraId="7C3BF910">
            <w:pPr>
              <w:shd w:val="clear"/>
              <w:rPr>
                <w:rFonts w:hint="eastAsia" w:ascii="宋体" w:hAnsi="宋体" w:eastAsia="宋体" w:cs="宋体"/>
                <w:color w:val="0D0D0D"/>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1D5200B">
            <w:pPr>
              <w:shd w:val="clear"/>
              <w:rPr>
                <w:rFonts w:hint="eastAsia" w:ascii="宋体" w:hAnsi="宋体" w:eastAsia="宋体" w:cs="宋体"/>
                <w:color w:val="0D0D0D"/>
                <w:szCs w:val="21"/>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EFB2F58">
            <w:pPr>
              <w:shd w:val="clear"/>
              <w:rPr>
                <w:rFonts w:hint="eastAsia" w:ascii="宋体" w:hAnsi="宋体" w:eastAsia="宋体" w:cs="宋体"/>
                <w:color w:val="0D0D0D"/>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BA8418A">
            <w:pPr>
              <w:shd w:val="clear"/>
              <w:rPr>
                <w:rFonts w:hint="eastAsia" w:ascii="宋体" w:hAnsi="宋体" w:eastAsia="宋体" w:cs="宋体"/>
                <w:color w:val="0D0D0D"/>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BA74C14">
            <w:pPr>
              <w:shd w:val="clear"/>
              <w:rPr>
                <w:rFonts w:hint="eastAsia" w:ascii="宋体" w:hAnsi="宋体" w:eastAsia="宋体" w:cs="宋体"/>
                <w:color w:val="0D0D0D"/>
                <w:szCs w:val="21"/>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51F89C58">
            <w:pPr>
              <w:shd w:val="clear"/>
              <w:rPr>
                <w:rFonts w:hint="eastAsia" w:ascii="宋体" w:hAnsi="宋体" w:eastAsia="宋体" w:cs="宋体"/>
                <w:color w:val="0D0D0D"/>
                <w:szCs w:val="21"/>
              </w:rPr>
            </w:pPr>
          </w:p>
        </w:tc>
      </w:tr>
    </w:tbl>
    <w:p w14:paraId="2AB6BE4D">
      <w:pPr>
        <w:shd w:val="clear"/>
        <w:spacing w:line="251" w:lineRule="auto"/>
        <w:rPr>
          <w:rFonts w:hint="eastAsia" w:ascii="宋体" w:hAnsi="宋体" w:eastAsia="宋体" w:cs="宋体"/>
          <w:sz w:val="21"/>
        </w:rPr>
      </w:pPr>
    </w:p>
    <w:p w14:paraId="3595A02C">
      <w:pPr>
        <w:shd w:val="clear"/>
        <w:spacing w:line="251" w:lineRule="auto"/>
        <w:rPr>
          <w:rFonts w:hint="eastAsia" w:ascii="宋体" w:hAnsi="宋体" w:eastAsia="宋体" w:cs="宋体"/>
          <w:sz w:val="21"/>
        </w:rPr>
      </w:pPr>
    </w:p>
    <w:p w14:paraId="51B68403">
      <w:pPr>
        <w:pStyle w:val="3"/>
        <w:shd w:val="clear"/>
        <w:spacing w:before="78" w:line="230" w:lineRule="auto"/>
        <w:ind w:left="134"/>
        <w:rPr>
          <w:rFonts w:hint="eastAsia" w:ascii="宋体" w:hAnsi="宋体" w:eastAsia="宋体" w:cs="宋体"/>
        </w:rPr>
      </w:pPr>
      <w:r>
        <w:rPr>
          <w:rFonts w:hint="eastAsia" w:ascii="宋体" w:hAnsi="宋体" w:eastAsia="宋体" w:cs="宋体"/>
          <w:spacing w:val="-12"/>
        </w:rPr>
        <w:t>注：</w:t>
      </w:r>
    </w:p>
    <w:p w14:paraId="2CBBDE5D">
      <w:pPr>
        <w:pStyle w:val="3"/>
        <w:shd w:val="clear"/>
        <w:spacing w:before="169" w:line="360" w:lineRule="auto"/>
        <w:ind w:left="151" w:right="113" w:hanging="14"/>
        <w:rPr>
          <w:rFonts w:hint="eastAsia" w:ascii="宋体" w:hAnsi="宋体" w:eastAsia="宋体" w:cs="宋体"/>
        </w:rPr>
      </w:pPr>
      <w:r>
        <w:rPr>
          <w:rFonts w:hint="eastAsia" w:ascii="宋体" w:hAnsi="宋体" w:eastAsia="宋体" w:cs="宋体"/>
          <w:spacing w:val="-3"/>
        </w:rPr>
        <w:t>1. 说明：应对照磋商文件“第三章 采购需求</w:t>
      </w:r>
      <w:r>
        <w:rPr>
          <w:rFonts w:hint="eastAsia" w:ascii="宋体" w:hAnsi="宋体" w:eastAsia="宋体" w:cs="宋体"/>
          <w:spacing w:val="-76"/>
        </w:rPr>
        <w:t xml:space="preserve"> </w:t>
      </w:r>
      <w:r>
        <w:rPr>
          <w:rFonts w:hint="eastAsia" w:ascii="宋体" w:hAnsi="宋体" w:eastAsia="宋体" w:cs="宋体"/>
          <w:spacing w:val="-3"/>
        </w:rPr>
        <w:t>”中的技术参数及性能（配置）要求逐条作出明确响应，并作</w:t>
      </w:r>
      <w:r>
        <w:rPr>
          <w:rFonts w:hint="eastAsia" w:ascii="宋体" w:hAnsi="宋体" w:eastAsia="宋体" w:cs="宋体"/>
          <w:spacing w:val="-7"/>
        </w:rPr>
        <w:t>出偏离说明。</w:t>
      </w:r>
    </w:p>
    <w:p w14:paraId="7F226EEA">
      <w:pPr>
        <w:pStyle w:val="3"/>
        <w:shd w:val="clear"/>
        <w:spacing w:before="2" w:line="360" w:lineRule="auto"/>
        <w:ind w:left="107" w:right="30" w:firstLine="15"/>
        <w:rPr>
          <w:rFonts w:hint="eastAsia" w:ascii="宋体" w:hAnsi="宋体" w:eastAsia="宋体" w:cs="宋体"/>
        </w:rPr>
      </w:pPr>
      <w:r>
        <w:rPr>
          <w:rFonts w:hint="eastAsia" w:ascii="宋体" w:hAnsi="宋体" w:eastAsia="宋体" w:cs="宋体"/>
          <w:spacing w:val="-1"/>
        </w:rPr>
        <w:t>2.供应商应根据自身的承诺，对照磋商文件要求，在“偏离说明</w:t>
      </w:r>
      <w:r>
        <w:rPr>
          <w:rFonts w:hint="eastAsia" w:ascii="宋体" w:hAnsi="宋体" w:eastAsia="宋体" w:cs="宋体"/>
          <w:spacing w:val="-88"/>
        </w:rPr>
        <w:t xml:space="preserve"> </w:t>
      </w:r>
      <w:r>
        <w:rPr>
          <w:rFonts w:hint="eastAsia" w:ascii="宋体" w:hAnsi="宋体" w:eastAsia="宋体" w:cs="宋体"/>
          <w:spacing w:val="-1"/>
        </w:rPr>
        <w:t>”中注明“正</w:t>
      </w:r>
      <w:r>
        <w:rPr>
          <w:rFonts w:hint="eastAsia" w:ascii="宋体" w:hAnsi="宋体" w:eastAsia="宋体" w:cs="宋体"/>
          <w:spacing w:val="-2"/>
        </w:rPr>
        <w:t>偏离</w:t>
      </w:r>
      <w:r>
        <w:rPr>
          <w:rFonts w:hint="eastAsia" w:ascii="宋体" w:hAnsi="宋体" w:eastAsia="宋体" w:cs="宋体"/>
          <w:spacing w:val="-88"/>
        </w:rPr>
        <w:t xml:space="preserve"> </w:t>
      </w:r>
      <w:r>
        <w:rPr>
          <w:rFonts w:hint="eastAsia" w:ascii="宋体" w:hAnsi="宋体" w:eastAsia="宋体" w:cs="宋体"/>
          <w:spacing w:val="-2"/>
        </w:rPr>
        <w:t>”、</w:t>
      </w:r>
      <w:r>
        <w:rPr>
          <w:rFonts w:hint="eastAsia" w:ascii="宋体" w:hAnsi="宋体" w:eastAsia="宋体" w:cs="宋体"/>
        </w:rPr>
        <w:t xml:space="preserve"> </w:t>
      </w:r>
      <w:r>
        <w:rPr>
          <w:rFonts w:hint="eastAsia" w:ascii="宋体" w:hAnsi="宋体" w:eastAsia="宋体" w:cs="宋体"/>
          <w:spacing w:val="-9"/>
        </w:rPr>
        <w:t>“负偏离</w:t>
      </w:r>
      <w:r>
        <w:rPr>
          <w:rFonts w:hint="eastAsia" w:ascii="宋体" w:hAnsi="宋体" w:eastAsia="宋体" w:cs="宋体"/>
          <w:spacing w:val="-88"/>
        </w:rPr>
        <w:t xml:space="preserve"> </w:t>
      </w:r>
      <w:r>
        <w:rPr>
          <w:rFonts w:hint="eastAsia" w:ascii="宋体" w:hAnsi="宋体" w:eastAsia="宋体" w:cs="宋体"/>
          <w:spacing w:val="-9"/>
        </w:rPr>
        <w:t>”或者“无偏离</w:t>
      </w:r>
      <w:r>
        <w:rPr>
          <w:rFonts w:hint="eastAsia" w:ascii="宋体" w:hAnsi="宋体" w:eastAsia="宋体" w:cs="宋体"/>
          <w:spacing w:val="-88"/>
        </w:rPr>
        <w:t xml:space="preserve"> </w:t>
      </w:r>
      <w:r>
        <w:rPr>
          <w:rFonts w:hint="eastAsia" w:ascii="宋体" w:hAnsi="宋体" w:eastAsia="宋体" w:cs="宋体"/>
          <w:spacing w:val="-9"/>
        </w:rPr>
        <w:t>”。既不属于“正偏离</w:t>
      </w:r>
      <w:r>
        <w:rPr>
          <w:rFonts w:hint="eastAsia" w:ascii="宋体" w:hAnsi="宋体" w:eastAsia="宋体" w:cs="宋体"/>
          <w:spacing w:val="-88"/>
        </w:rPr>
        <w:t xml:space="preserve"> </w:t>
      </w:r>
      <w:r>
        <w:rPr>
          <w:rFonts w:hint="eastAsia" w:ascii="宋体" w:hAnsi="宋体" w:eastAsia="宋体" w:cs="宋体"/>
          <w:spacing w:val="-9"/>
        </w:rPr>
        <w:t>”也不属于“负</w:t>
      </w:r>
      <w:r>
        <w:rPr>
          <w:rFonts w:hint="eastAsia" w:ascii="宋体" w:hAnsi="宋体" w:eastAsia="宋体" w:cs="宋体"/>
          <w:spacing w:val="-10"/>
        </w:rPr>
        <w:t>偏离</w:t>
      </w:r>
      <w:r>
        <w:rPr>
          <w:rFonts w:hint="eastAsia" w:ascii="宋体" w:hAnsi="宋体" w:eastAsia="宋体" w:cs="宋体"/>
          <w:spacing w:val="-88"/>
        </w:rPr>
        <w:t xml:space="preserve"> </w:t>
      </w:r>
      <w:r>
        <w:rPr>
          <w:rFonts w:hint="eastAsia" w:ascii="宋体" w:hAnsi="宋体" w:eastAsia="宋体" w:cs="宋体"/>
          <w:spacing w:val="-10"/>
        </w:rPr>
        <w:t>”即为“无偏离</w:t>
      </w:r>
      <w:r>
        <w:rPr>
          <w:rFonts w:hint="eastAsia" w:ascii="宋体" w:hAnsi="宋体" w:eastAsia="宋体" w:cs="宋体"/>
          <w:spacing w:val="-88"/>
        </w:rPr>
        <w:t xml:space="preserve"> </w:t>
      </w:r>
      <w:r>
        <w:rPr>
          <w:rFonts w:hint="eastAsia" w:ascii="宋体" w:hAnsi="宋体" w:eastAsia="宋体" w:cs="宋体"/>
          <w:spacing w:val="-10"/>
        </w:rPr>
        <w:t>”。</w:t>
      </w:r>
    </w:p>
    <w:p w14:paraId="7165A651">
      <w:pPr>
        <w:shd w:val="clear"/>
        <w:spacing w:line="385" w:lineRule="auto"/>
        <w:rPr>
          <w:rFonts w:hint="eastAsia" w:ascii="宋体" w:hAnsi="宋体" w:eastAsia="宋体" w:cs="宋体"/>
          <w:sz w:val="21"/>
        </w:rPr>
      </w:pPr>
    </w:p>
    <w:p w14:paraId="251E8E2D">
      <w:pPr>
        <w:pStyle w:val="3"/>
        <w:shd w:val="clear"/>
        <w:spacing w:before="79" w:line="223" w:lineRule="auto"/>
        <w:ind w:left="2319"/>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p>
    <w:p w14:paraId="7E0CB669">
      <w:pPr>
        <w:pStyle w:val="3"/>
        <w:shd w:val="clear"/>
        <w:spacing w:before="178" w:line="222" w:lineRule="auto"/>
        <w:ind w:left="2768"/>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4C26443C">
      <w:pPr>
        <w:pStyle w:val="3"/>
        <w:shd w:val="clear"/>
        <w:spacing w:before="179" w:line="222" w:lineRule="auto"/>
        <w:ind w:left="4258"/>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8"/>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3ECE2CB0">
      <w:pPr>
        <w:shd w:val="clear"/>
        <w:spacing w:line="222" w:lineRule="auto"/>
        <w:rPr>
          <w:rFonts w:hint="eastAsia" w:ascii="宋体" w:hAnsi="宋体" w:eastAsia="宋体" w:cs="宋体"/>
        </w:rPr>
        <w:sectPr>
          <w:footerReference r:id="rId35" w:type="default"/>
          <w:pgSz w:w="11906" w:h="16839"/>
          <w:pgMar w:top="1440" w:right="1080" w:bottom="1440" w:left="1080" w:header="0" w:footer="1200" w:gutter="0"/>
          <w:pgNumType w:fmt="decimal"/>
          <w:cols w:space="720" w:num="1"/>
        </w:sectPr>
      </w:pPr>
    </w:p>
    <w:p w14:paraId="4FC7ECA2">
      <w:pPr>
        <w:pStyle w:val="3"/>
        <w:shd w:val="clear"/>
        <w:spacing w:before="78" w:line="220" w:lineRule="auto"/>
        <w:ind w:left="128"/>
        <w:rPr>
          <w:rFonts w:hint="eastAsia" w:ascii="宋体" w:hAnsi="宋体" w:eastAsia="宋体" w:cs="宋体"/>
        </w:rPr>
      </w:pPr>
      <w:r>
        <w:rPr>
          <w:rFonts w:hint="eastAsia" w:ascii="宋体" w:hAnsi="宋体" w:eastAsia="宋体" w:cs="宋体"/>
          <w:b/>
          <w:bCs/>
          <w:spacing w:val="-4"/>
        </w:rPr>
        <w:t>供应商业绩证明材料</w:t>
      </w:r>
    </w:p>
    <w:p w14:paraId="1AA32C44">
      <w:pPr>
        <w:shd w:val="clear"/>
        <w:spacing w:line="401" w:lineRule="auto"/>
        <w:rPr>
          <w:rFonts w:hint="eastAsia" w:ascii="宋体" w:hAnsi="宋体" w:eastAsia="宋体" w:cs="宋体"/>
          <w:sz w:val="21"/>
        </w:rPr>
      </w:pPr>
    </w:p>
    <w:p w14:paraId="051B3449">
      <w:pPr>
        <w:pStyle w:val="3"/>
        <w:shd w:val="clear"/>
        <w:spacing w:before="101" w:line="226" w:lineRule="auto"/>
        <w:ind w:left="3293"/>
        <w:rPr>
          <w:rFonts w:hint="eastAsia" w:ascii="宋体" w:hAnsi="宋体" w:eastAsia="宋体" w:cs="宋体"/>
          <w:sz w:val="31"/>
          <w:szCs w:val="31"/>
        </w:rPr>
      </w:pPr>
      <w:r>
        <w:rPr>
          <w:rFonts w:hint="eastAsia" w:ascii="宋体" w:hAnsi="宋体" w:eastAsia="宋体" w:cs="宋体"/>
          <w:b/>
          <w:bCs/>
          <w:spacing w:val="5"/>
          <w:sz w:val="31"/>
          <w:szCs w:val="31"/>
        </w:rPr>
        <w:t>业绩证明材料一览表</w:t>
      </w:r>
    </w:p>
    <w:p w14:paraId="67ABF17C">
      <w:pPr>
        <w:shd w:val="clear"/>
        <w:spacing w:before="57"/>
        <w:rPr>
          <w:rFonts w:hint="eastAsia" w:ascii="宋体" w:hAnsi="宋体" w:eastAsia="宋体" w:cs="宋体"/>
        </w:rPr>
      </w:pPr>
    </w:p>
    <w:tbl>
      <w:tblPr>
        <w:tblStyle w:val="11"/>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5"/>
        <w:gridCol w:w="1927"/>
        <w:gridCol w:w="1927"/>
        <w:gridCol w:w="3113"/>
      </w:tblGrid>
      <w:tr w14:paraId="59C81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2325" w:type="dxa"/>
            <w:vAlign w:val="top"/>
          </w:tcPr>
          <w:p w14:paraId="44B6D6A1">
            <w:pPr>
              <w:shd w:val="clear"/>
              <w:spacing w:line="470" w:lineRule="auto"/>
              <w:rPr>
                <w:rFonts w:hint="eastAsia" w:ascii="宋体" w:hAnsi="宋体" w:eastAsia="宋体" w:cs="宋体"/>
                <w:sz w:val="21"/>
              </w:rPr>
            </w:pPr>
          </w:p>
          <w:p w14:paraId="4412E4A7">
            <w:pPr>
              <w:pStyle w:val="12"/>
              <w:shd w:val="clear"/>
              <w:spacing w:before="78" w:line="221" w:lineRule="auto"/>
              <w:ind w:left="578"/>
              <w:rPr>
                <w:rFonts w:hint="eastAsia" w:ascii="宋体" w:hAnsi="宋体" w:eastAsia="宋体" w:cs="宋体"/>
              </w:rPr>
            </w:pPr>
            <w:r>
              <w:rPr>
                <w:rFonts w:hint="eastAsia" w:ascii="宋体" w:hAnsi="宋体" w:eastAsia="宋体" w:cs="宋体"/>
                <w:spacing w:val="-4"/>
              </w:rPr>
              <w:t>采购人名称</w:t>
            </w:r>
          </w:p>
        </w:tc>
        <w:tc>
          <w:tcPr>
            <w:tcW w:w="1927" w:type="dxa"/>
            <w:vAlign w:val="top"/>
          </w:tcPr>
          <w:p w14:paraId="5AAF933E">
            <w:pPr>
              <w:shd w:val="clear"/>
              <w:spacing w:line="470" w:lineRule="auto"/>
              <w:rPr>
                <w:rFonts w:hint="eastAsia" w:ascii="宋体" w:hAnsi="宋体" w:eastAsia="宋体" w:cs="宋体"/>
                <w:sz w:val="21"/>
              </w:rPr>
            </w:pPr>
          </w:p>
          <w:p w14:paraId="2F44C0BE">
            <w:pPr>
              <w:pStyle w:val="12"/>
              <w:shd w:val="clear"/>
              <w:spacing w:before="78" w:line="221" w:lineRule="auto"/>
              <w:ind w:left="498"/>
              <w:rPr>
                <w:rFonts w:hint="eastAsia" w:ascii="宋体" w:hAnsi="宋体" w:eastAsia="宋体" w:cs="宋体"/>
              </w:rPr>
            </w:pPr>
            <w:r>
              <w:rPr>
                <w:rFonts w:hint="eastAsia" w:ascii="宋体" w:hAnsi="宋体" w:eastAsia="宋体" w:cs="宋体"/>
                <w:spacing w:val="-5"/>
              </w:rPr>
              <w:t>项目名称</w:t>
            </w:r>
          </w:p>
        </w:tc>
        <w:tc>
          <w:tcPr>
            <w:tcW w:w="1927" w:type="dxa"/>
            <w:vAlign w:val="top"/>
          </w:tcPr>
          <w:p w14:paraId="6AE3E62C">
            <w:pPr>
              <w:shd w:val="clear"/>
              <w:spacing w:line="315" w:lineRule="auto"/>
              <w:rPr>
                <w:rFonts w:hint="eastAsia" w:ascii="宋体" w:hAnsi="宋体" w:eastAsia="宋体" w:cs="宋体"/>
                <w:sz w:val="21"/>
              </w:rPr>
            </w:pPr>
          </w:p>
          <w:p w14:paraId="13BEA92A">
            <w:pPr>
              <w:pStyle w:val="12"/>
              <w:shd w:val="clear"/>
              <w:spacing w:before="78" w:line="243" w:lineRule="auto"/>
              <w:ind w:left="502" w:right="480" w:firstLine="1"/>
              <w:rPr>
                <w:rFonts w:hint="eastAsia" w:ascii="宋体" w:hAnsi="宋体" w:eastAsia="宋体" w:cs="宋体"/>
              </w:rPr>
            </w:pPr>
            <w:r>
              <w:rPr>
                <w:rFonts w:hint="eastAsia" w:ascii="宋体" w:hAnsi="宋体" w:eastAsia="宋体" w:cs="宋体"/>
                <w:spacing w:val="-6"/>
              </w:rPr>
              <w:t>合同金额（万元）</w:t>
            </w:r>
          </w:p>
        </w:tc>
        <w:tc>
          <w:tcPr>
            <w:tcW w:w="3113" w:type="dxa"/>
            <w:vAlign w:val="top"/>
          </w:tcPr>
          <w:p w14:paraId="1ACB117C">
            <w:pPr>
              <w:shd w:val="clear"/>
              <w:spacing w:line="316" w:lineRule="auto"/>
              <w:rPr>
                <w:rFonts w:hint="eastAsia" w:ascii="宋体" w:hAnsi="宋体" w:eastAsia="宋体" w:cs="宋体"/>
                <w:sz w:val="21"/>
              </w:rPr>
            </w:pPr>
          </w:p>
          <w:p w14:paraId="781B8929">
            <w:pPr>
              <w:pStyle w:val="12"/>
              <w:shd w:val="clear"/>
              <w:spacing w:before="78" w:line="241" w:lineRule="auto"/>
              <w:ind w:left="1085" w:right="715" w:hanging="355"/>
              <w:rPr>
                <w:rFonts w:hint="eastAsia" w:ascii="宋体" w:hAnsi="宋体" w:eastAsia="宋体" w:cs="宋体"/>
              </w:rPr>
            </w:pPr>
            <w:r>
              <w:rPr>
                <w:rFonts w:hint="eastAsia" w:ascii="宋体" w:hAnsi="宋体" w:eastAsia="宋体" w:cs="宋体"/>
                <w:spacing w:val="-3"/>
              </w:rPr>
              <w:t>采购人联系人及</w:t>
            </w:r>
            <w:r>
              <w:rPr>
                <w:rFonts w:hint="eastAsia" w:ascii="宋体" w:hAnsi="宋体" w:eastAsia="宋体" w:cs="宋体"/>
                <w:spacing w:val="-4"/>
              </w:rPr>
              <w:t>联系电话</w:t>
            </w:r>
          </w:p>
        </w:tc>
      </w:tr>
      <w:tr w14:paraId="18271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2325" w:type="dxa"/>
            <w:vAlign w:val="top"/>
          </w:tcPr>
          <w:p w14:paraId="4881BA0F">
            <w:pPr>
              <w:shd w:val="clear"/>
              <w:rPr>
                <w:rFonts w:hint="eastAsia" w:ascii="宋体" w:hAnsi="宋体" w:eastAsia="宋体" w:cs="宋体"/>
                <w:sz w:val="21"/>
              </w:rPr>
            </w:pPr>
          </w:p>
        </w:tc>
        <w:tc>
          <w:tcPr>
            <w:tcW w:w="1927" w:type="dxa"/>
            <w:vAlign w:val="top"/>
          </w:tcPr>
          <w:p w14:paraId="6264DB1A">
            <w:pPr>
              <w:shd w:val="clear"/>
              <w:rPr>
                <w:rFonts w:hint="eastAsia" w:ascii="宋体" w:hAnsi="宋体" w:eastAsia="宋体" w:cs="宋体"/>
                <w:sz w:val="21"/>
              </w:rPr>
            </w:pPr>
          </w:p>
        </w:tc>
        <w:tc>
          <w:tcPr>
            <w:tcW w:w="1927" w:type="dxa"/>
            <w:vAlign w:val="top"/>
          </w:tcPr>
          <w:p w14:paraId="1A9480EE">
            <w:pPr>
              <w:shd w:val="clear"/>
              <w:rPr>
                <w:rFonts w:hint="eastAsia" w:ascii="宋体" w:hAnsi="宋体" w:eastAsia="宋体" w:cs="宋体"/>
                <w:sz w:val="21"/>
              </w:rPr>
            </w:pPr>
          </w:p>
        </w:tc>
        <w:tc>
          <w:tcPr>
            <w:tcW w:w="3113" w:type="dxa"/>
            <w:vAlign w:val="top"/>
          </w:tcPr>
          <w:p w14:paraId="2E8DCD32">
            <w:pPr>
              <w:shd w:val="clear"/>
              <w:rPr>
                <w:rFonts w:hint="eastAsia" w:ascii="宋体" w:hAnsi="宋体" w:eastAsia="宋体" w:cs="宋体"/>
                <w:sz w:val="21"/>
              </w:rPr>
            </w:pPr>
          </w:p>
        </w:tc>
      </w:tr>
      <w:tr w14:paraId="6CEFC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25" w:type="dxa"/>
            <w:vAlign w:val="top"/>
          </w:tcPr>
          <w:p w14:paraId="0BD66019">
            <w:pPr>
              <w:shd w:val="clear"/>
              <w:rPr>
                <w:rFonts w:hint="eastAsia" w:ascii="宋体" w:hAnsi="宋体" w:eastAsia="宋体" w:cs="宋体"/>
                <w:sz w:val="21"/>
              </w:rPr>
            </w:pPr>
          </w:p>
        </w:tc>
        <w:tc>
          <w:tcPr>
            <w:tcW w:w="1927" w:type="dxa"/>
            <w:vAlign w:val="top"/>
          </w:tcPr>
          <w:p w14:paraId="7DEFD136">
            <w:pPr>
              <w:shd w:val="clear"/>
              <w:rPr>
                <w:rFonts w:hint="eastAsia" w:ascii="宋体" w:hAnsi="宋体" w:eastAsia="宋体" w:cs="宋体"/>
                <w:sz w:val="21"/>
              </w:rPr>
            </w:pPr>
          </w:p>
        </w:tc>
        <w:tc>
          <w:tcPr>
            <w:tcW w:w="1927" w:type="dxa"/>
            <w:vAlign w:val="top"/>
          </w:tcPr>
          <w:p w14:paraId="50EAFAF4">
            <w:pPr>
              <w:shd w:val="clear"/>
              <w:rPr>
                <w:rFonts w:hint="eastAsia" w:ascii="宋体" w:hAnsi="宋体" w:eastAsia="宋体" w:cs="宋体"/>
                <w:sz w:val="21"/>
              </w:rPr>
            </w:pPr>
          </w:p>
        </w:tc>
        <w:tc>
          <w:tcPr>
            <w:tcW w:w="3113" w:type="dxa"/>
            <w:vAlign w:val="top"/>
          </w:tcPr>
          <w:p w14:paraId="10E03FD1">
            <w:pPr>
              <w:shd w:val="clear"/>
              <w:rPr>
                <w:rFonts w:hint="eastAsia" w:ascii="宋体" w:hAnsi="宋体" w:eastAsia="宋体" w:cs="宋体"/>
                <w:sz w:val="21"/>
              </w:rPr>
            </w:pPr>
          </w:p>
        </w:tc>
      </w:tr>
      <w:tr w14:paraId="7EA02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325" w:type="dxa"/>
            <w:vAlign w:val="top"/>
          </w:tcPr>
          <w:p w14:paraId="68B374F6">
            <w:pPr>
              <w:shd w:val="clear"/>
              <w:rPr>
                <w:rFonts w:hint="eastAsia" w:ascii="宋体" w:hAnsi="宋体" w:eastAsia="宋体" w:cs="宋体"/>
                <w:sz w:val="21"/>
              </w:rPr>
            </w:pPr>
          </w:p>
        </w:tc>
        <w:tc>
          <w:tcPr>
            <w:tcW w:w="1927" w:type="dxa"/>
            <w:vAlign w:val="top"/>
          </w:tcPr>
          <w:p w14:paraId="59417586">
            <w:pPr>
              <w:shd w:val="clear"/>
              <w:rPr>
                <w:rFonts w:hint="eastAsia" w:ascii="宋体" w:hAnsi="宋体" w:eastAsia="宋体" w:cs="宋体"/>
                <w:sz w:val="21"/>
              </w:rPr>
            </w:pPr>
          </w:p>
        </w:tc>
        <w:tc>
          <w:tcPr>
            <w:tcW w:w="1927" w:type="dxa"/>
            <w:vAlign w:val="top"/>
          </w:tcPr>
          <w:p w14:paraId="08DD09D9">
            <w:pPr>
              <w:shd w:val="clear"/>
              <w:rPr>
                <w:rFonts w:hint="eastAsia" w:ascii="宋体" w:hAnsi="宋体" w:eastAsia="宋体" w:cs="宋体"/>
                <w:sz w:val="21"/>
              </w:rPr>
            </w:pPr>
          </w:p>
        </w:tc>
        <w:tc>
          <w:tcPr>
            <w:tcW w:w="3113" w:type="dxa"/>
            <w:vAlign w:val="top"/>
          </w:tcPr>
          <w:p w14:paraId="1451D170">
            <w:pPr>
              <w:shd w:val="clear"/>
              <w:rPr>
                <w:rFonts w:hint="eastAsia" w:ascii="宋体" w:hAnsi="宋体" w:eastAsia="宋体" w:cs="宋体"/>
                <w:sz w:val="21"/>
              </w:rPr>
            </w:pPr>
          </w:p>
        </w:tc>
      </w:tr>
      <w:tr w14:paraId="65AC2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25" w:type="dxa"/>
            <w:vAlign w:val="top"/>
          </w:tcPr>
          <w:p w14:paraId="54094793">
            <w:pPr>
              <w:shd w:val="clear"/>
              <w:rPr>
                <w:rFonts w:hint="eastAsia" w:ascii="宋体" w:hAnsi="宋体" w:eastAsia="宋体" w:cs="宋体"/>
                <w:sz w:val="21"/>
              </w:rPr>
            </w:pPr>
          </w:p>
        </w:tc>
        <w:tc>
          <w:tcPr>
            <w:tcW w:w="1927" w:type="dxa"/>
            <w:vAlign w:val="top"/>
          </w:tcPr>
          <w:p w14:paraId="4D8541E6">
            <w:pPr>
              <w:shd w:val="clear"/>
              <w:rPr>
                <w:rFonts w:hint="eastAsia" w:ascii="宋体" w:hAnsi="宋体" w:eastAsia="宋体" w:cs="宋体"/>
                <w:sz w:val="21"/>
              </w:rPr>
            </w:pPr>
          </w:p>
        </w:tc>
        <w:tc>
          <w:tcPr>
            <w:tcW w:w="1927" w:type="dxa"/>
            <w:vAlign w:val="top"/>
          </w:tcPr>
          <w:p w14:paraId="65CDD5F7">
            <w:pPr>
              <w:shd w:val="clear"/>
              <w:rPr>
                <w:rFonts w:hint="eastAsia" w:ascii="宋体" w:hAnsi="宋体" w:eastAsia="宋体" w:cs="宋体"/>
                <w:sz w:val="21"/>
              </w:rPr>
            </w:pPr>
          </w:p>
        </w:tc>
        <w:tc>
          <w:tcPr>
            <w:tcW w:w="3113" w:type="dxa"/>
            <w:vAlign w:val="top"/>
          </w:tcPr>
          <w:p w14:paraId="66C6252C">
            <w:pPr>
              <w:shd w:val="clear"/>
              <w:rPr>
                <w:rFonts w:hint="eastAsia" w:ascii="宋体" w:hAnsi="宋体" w:eastAsia="宋体" w:cs="宋体"/>
                <w:sz w:val="21"/>
              </w:rPr>
            </w:pPr>
          </w:p>
        </w:tc>
      </w:tr>
      <w:tr w14:paraId="44500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2325" w:type="dxa"/>
            <w:vAlign w:val="top"/>
          </w:tcPr>
          <w:p w14:paraId="0A9CD4CB">
            <w:pPr>
              <w:shd w:val="clear"/>
              <w:rPr>
                <w:rFonts w:hint="eastAsia" w:ascii="宋体" w:hAnsi="宋体" w:eastAsia="宋体" w:cs="宋体"/>
                <w:sz w:val="21"/>
              </w:rPr>
            </w:pPr>
          </w:p>
        </w:tc>
        <w:tc>
          <w:tcPr>
            <w:tcW w:w="1927" w:type="dxa"/>
            <w:vAlign w:val="top"/>
          </w:tcPr>
          <w:p w14:paraId="4266AC90">
            <w:pPr>
              <w:shd w:val="clear"/>
              <w:rPr>
                <w:rFonts w:hint="eastAsia" w:ascii="宋体" w:hAnsi="宋体" w:eastAsia="宋体" w:cs="宋体"/>
                <w:sz w:val="21"/>
              </w:rPr>
            </w:pPr>
          </w:p>
        </w:tc>
        <w:tc>
          <w:tcPr>
            <w:tcW w:w="1927" w:type="dxa"/>
            <w:vAlign w:val="top"/>
          </w:tcPr>
          <w:p w14:paraId="1B1CA52F">
            <w:pPr>
              <w:shd w:val="clear"/>
              <w:rPr>
                <w:rFonts w:hint="eastAsia" w:ascii="宋体" w:hAnsi="宋体" w:eastAsia="宋体" w:cs="宋体"/>
                <w:sz w:val="21"/>
              </w:rPr>
            </w:pPr>
          </w:p>
        </w:tc>
        <w:tc>
          <w:tcPr>
            <w:tcW w:w="3113" w:type="dxa"/>
            <w:vAlign w:val="top"/>
          </w:tcPr>
          <w:p w14:paraId="5C15F344">
            <w:pPr>
              <w:shd w:val="clear"/>
              <w:rPr>
                <w:rFonts w:hint="eastAsia" w:ascii="宋体" w:hAnsi="宋体" w:eastAsia="宋体" w:cs="宋体"/>
                <w:sz w:val="21"/>
              </w:rPr>
            </w:pPr>
          </w:p>
        </w:tc>
      </w:tr>
    </w:tbl>
    <w:p w14:paraId="1FC4D377">
      <w:pPr>
        <w:shd w:val="clear"/>
        <w:spacing w:line="250" w:lineRule="auto"/>
        <w:rPr>
          <w:rFonts w:hint="eastAsia" w:ascii="宋体" w:hAnsi="宋体" w:eastAsia="宋体" w:cs="宋体"/>
          <w:sz w:val="21"/>
        </w:rPr>
      </w:pPr>
    </w:p>
    <w:p w14:paraId="610D941B">
      <w:pPr>
        <w:shd w:val="clear"/>
        <w:spacing w:line="251" w:lineRule="auto"/>
        <w:rPr>
          <w:rFonts w:hint="eastAsia" w:ascii="宋体" w:hAnsi="宋体" w:eastAsia="宋体" w:cs="宋体"/>
          <w:sz w:val="21"/>
        </w:rPr>
      </w:pPr>
    </w:p>
    <w:p w14:paraId="240086E1">
      <w:pPr>
        <w:pStyle w:val="3"/>
        <w:shd w:val="clear"/>
        <w:spacing w:before="79" w:line="220" w:lineRule="auto"/>
        <w:ind w:left="134"/>
        <w:rPr>
          <w:rFonts w:hint="eastAsia" w:ascii="宋体" w:hAnsi="宋体" w:eastAsia="宋体" w:cs="宋体"/>
        </w:rPr>
      </w:pPr>
      <w:r>
        <w:rPr>
          <w:rFonts w:hint="eastAsia" w:ascii="宋体" w:hAnsi="宋体" w:eastAsia="宋体" w:cs="宋体"/>
          <w:spacing w:val="-1"/>
        </w:rPr>
        <w:t>注：供应商根据评标标准具体要求附业绩证明材料。</w:t>
      </w:r>
    </w:p>
    <w:p w14:paraId="47DEB800">
      <w:pPr>
        <w:pStyle w:val="3"/>
        <w:shd w:val="clear"/>
        <w:spacing w:before="182" w:line="223" w:lineRule="auto"/>
        <w:ind w:left="135"/>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r>
        <w:rPr>
          <w:rFonts w:hint="eastAsia" w:ascii="宋体" w:hAnsi="宋体" w:eastAsia="宋体" w:cs="宋体"/>
          <w:u w:val="single" w:color="auto"/>
        </w:rPr>
        <w:t xml:space="preserve">          </w:t>
      </w:r>
    </w:p>
    <w:p w14:paraId="2E5BD56F">
      <w:pPr>
        <w:pStyle w:val="3"/>
        <w:shd w:val="clear"/>
        <w:spacing w:before="255" w:line="221" w:lineRule="auto"/>
        <w:ind w:left="272"/>
        <w:rPr>
          <w:rFonts w:hint="eastAsia" w:ascii="宋体" w:hAnsi="宋体" w:eastAsia="宋体" w:cs="宋体"/>
        </w:rPr>
      </w:pPr>
      <w:r>
        <w:rPr>
          <w:rFonts w:hint="eastAsia" w:ascii="宋体" w:hAnsi="宋体" w:eastAsia="宋体" w:cs="宋体"/>
          <w:spacing w:val="-2"/>
        </w:rPr>
        <w:t>供应商名称（电子签章</w:t>
      </w:r>
      <w:r>
        <w:rPr>
          <w:rFonts w:hint="eastAsia" w:ascii="宋体" w:hAnsi="宋体" w:eastAsia="宋体" w:cs="宋体"/>
          <w:spacing w:val="1"/>
        </w:rPr>
        <w:t>）：</w:t>
      </w:r>
      <w:r>
        <w:rPr>
          <w:rFonts w:hint="eastAsia" w:ascii="宋体" w:hAnsi="宋体" w:eastAsia="宋体" w:cs="宋体"/>
        </w:rPr>
        <w:t xml:space="preserve"> </w:t>
      </w:r>
      <w:r>
        <w:rPr>
          <w:rFonts w:hint="eastAsia" w:ascii="宋体" w:hAnsi="宋体" w:eastAsia="宋体" w:cs="宋体"/>
          <w:u w:val="single" w:color="auto"/>
        </w:rPr>
        <w:t xml:space="preserve">                </w:t>
      </w:r>
    </w:p>
    <w:p w14:paraId="219D175F">
      <w:pPr>
        <w:pStyle w:val="3"/>
        <w:shd w:val="clear"/>
        <w:spacing w:before="25" w:line="222" w:lineRule="auto"/>
        <w:ind w:left="276" w:firstLine="2496" w:firstLineChars="1200"/>
        <w:rPr>
          <w:rFonts w:hint="eastAsia" w:ascii="宋体" w:hAnsi="宋体" w:eastAsia="宋体" w:cs="宋体"/>
          <w:spacing w:val="-16"/>
        </w:rPr>
      </w:pPr>
    </w:p>
    <w:p w14:paraId="1CC350F3">
      <w:pPr>
        <w:pStyle w:val="3"/>
        <w:shd w:val="clear"/>
        <w:spacing w:before="25" w:line="222" w:lineRule="auto"/>
        <w:ind w:left="276" w:firstLine="2496" w:firstLineChars="120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207213AE">
      <w:pPr>
        <w:shd w:val="clear"/>
        <w:spacing w:line="222" w:lineRule="auto"/>
        <w:rPr>
          <w:rFonts w:hint="eastAsia" w:ascii="宋体" w:hAnsi="宋体" w:eastAsia="宋体" w:cs="宋体"/>
        </w:rPr>
        <w:sectPr>
          <w:footerReference r:id="rId36" w:type="default"/>
          <w:pgSz w:w="11906" w:h="16839"/>
          <w:pgMar w:top="1440" w:right="1080" w:bottom="1440" w:left="1080" w:header="0" w:footer="1200" w:gutter="0"/>
          <w:pgNumType w:fmt="decimal"/>
          <w:cols w:space="720" w:num="1"/>
        </w:sectPr>
      </w:pPr>
    </w:p>
    <w:p w14:paraId="101F07BE">
      <w:pPr>
        <w:pStyle w:val="3"/>
        <w:shd w:val="clear"/>
        <w:spacing w:before="78" w:line="222" w:lineRule="auto"/>
        <w:ind w:left="272"/>
        <w:rPr>
          <w:rFonts w:hint="eastAsia" w:ascii="宋体" w:hAnsi="宋体" w:eastAsia="宋体" w:cs="宋体"/>
        </w:rPr>
      </w:pPr>
      <w:r>
        <w:rPr>
          <w:rFonts w:hint="eastAsia" w:ascii="宋体" w:hAnsi="宋体" w:eastAsia="宋体" w:cs="宋体"/>
          <w:b/>
          <w:bCs/>
          <w:spacing w:val="-4"/>
        </w:rPr>
        <w:t>项目实施人员一览表格式</w:t>
      </w:r>
    </w:p>
    <w:p w14:paraId="11D527F7">
      <w:pPr>
        <w:shd w:val="clear"/>
        <w:spacing w:line="276" w:lineRule="auto"/>
        <w:rPr>
          <w:rFonts w:hint="eastAsia" w:ascii="宋体" w:hAnsi="宋体" w:eastAsia="宋体" w:cs="宋体"/>
          <w:sz w:val="21"/>
        </w:rPr>
      </w:pPr>
    </w:p>
    <w:p w14:paraId="480A59A5">
      <w:pPr>
        <w:shd w:val="clear"/>
        <w:spacing w:line="277" w:lineRule="auto"/>
        <w:rPr>
          <w:rFonts w:hint="eastAsia" w:ascii="宋体" w:hAnsi="宋体" w:eastAsia="宋体" w:cs="宋体"/>
          <w:sz w:val="21"/>
        </w:rPr>
      </w:pPr>
    </w:p>
    <w:p w14:paraId="2501581B">
      <w:pPr>
        <w:pStyle w:val="3"/>
        <w:shd w:val="clear"/>
        <w:spacing w:before="101" w:line="228" w:lineRule="auto"/>
        <w:ind w:left="3294"/>
        <w:rPr>
          <w:rFonts w:hint="eastAsia" w:ascii="宋体" w:hAnsi="宋体" w:eastAsia="宋体" w:cs="宋体"/>
          <w:sz w:val="31"/>
          <w:szCs w:val="31"/>
        </w:rPr>
      </w:pPr>
      <w:r>
        <w:rPr>
          <w:rFonts w:hint="eastAsia" w:ascii="宋体" w:hAnsi="宋体" w:eastAsia="宋体" w:cs="宋体"/>
          <w:b/>
          <w:bCs/>
          <w:spacing w:val="5"/>
          <w:sz w:val="31"/>
          <w:szCs w:val="31"/>
        </w:rPr>
        <w:t>项目实施人员一览表</w:t>
      </w:r>
    </w:p>
    <w:p w14:paraId="76690560">
      <w:pPr>
        <w:shd w:val="clear"/>
        <w:spacing w:line="66" w:lineRule="exact"/>
        <w:rPr>
          <w:rFonts w:hint="eastAsia" w:ascii="宋体" w:hAnsi="宋体" w:eastAsia="宋体" w:cs="宋体"/>
        </w:rPr>
      </w:pPr>
    </w:p>
    <w:tbl>
      <w:tblPr>
        <w:tblStyle w:val="11"/>
        <w:tblW w:w="93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2"/>
        <w:gridCol w:w="804"/>
        <w:gridCol w:w="1930"/>
        <w:gridCol w:w="1611"/>
        <w:gridCol w:w="1927"/>
        <w:gridCol w:w="2097"/>
      </w:tblGrid>
      <w:tr w14:paraId="26FB6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9" w:hRule="atLeast"/>
        </w:trPr>
        <w:tc>
          <w:tcPr>
            <w:tcW w:w="932" w:type="dxa"/>
            <w:vAlign w:val="top"/>
          </w:tcPr>
          <w:p w14:paraId="655B4D7D">
            <w:pPr>
              <w:shd w:val="clear"/>
              <w:spacing w:line="281" w:lineRule="auto"/>
              <w:rPr>
                <w:rFonts w:hint="eastAsia" w:ascii="宋体" w:hAnsi="宋体" w:eastAsia="宋体" w:cs="宋体"/>
                <w:sz w:val="21"/>
              </w:rPr>
            </w:pPr>
          </w:p>
          <w:p w14:paraId="1560237E">
            <w:pPr>
              <w:shd w:val="clear"/>
              <w:spacing w:line="281" w:lineRule="auto"/>
              <w:rPr>
                <w:rFonts w:hint="eastAsia" w:ascii="宋体" w:hAnsi="宋体" w:eastAsia="宋体" w:cs="宋体"/>
                <w:sz w:val="21"/>
              </w:rPr>
            </w:pPr>
          </w:p>
          <w:p w14:paraId="5762CBC2">
            <w:pPr>
              <w:shd w:val="clear"/>
              <w:spacing w:line="281" w:lineRule="auto"/>
              <w:rPr>
                <w:rFonts w:hint="eastAsia" w:ascii="宋体" w:hAnsi="宋体" w:eastAsia="宋体" w:cs="宋体"/>
                <w:sz w:val="21"/>
              </w:rPr>
            </w:pPr>
          </w:p>
          <w:p w14:paraId="5ECFC4C9">
            <w:pPr>
              <w:pStyle w:val="12"/>
              <w:shd w:val="clear"/>
              <w:spacing w:before="78" w:line="224" w:lineRule="auto"/>
              <w:ind w:left="240"/>
              <w:rPr>
                <w:rFonts w:hint="eastAsia" w:ascii="宋体" w:hAnsi="宋体" w:eastAsia="宋体" w:cs="宋体"/>
              </w:rPr>
            </w:pPr>
            <w:r>
              <w:rPr>
                <w:rFonts w:hint="eastAsia" w:ascii="宋体" w:hAnsi="宋体" w:eastAsia="宋体" w:cs="宋体"/>
                <w:spacing w:val="-8"/>
              </w:rPr>
              <w:t>姓名</w:t>
            </w:r>
          </w:p>
        </w:tc>
        <w:tc>
          <w:tcPr>
            <w:tcW w:w="804" w:type="dxa"/>
            <w:vAlign w:val="top"/>
          </w:tcPr>
          <w:p w14:paraId="4E343FCC">
            <w:pPr>
              <w:shd w:val="clear"/>
              <w:spacing w:line="281" w:lineRule="auto"/>
              <w:rPr>
                <w:rFonts w:hint="eastAsia" w:ascii="宋体" w:hAnsi="宋体" w:eastAsia="宋体" w:cs="宋体"/>
                <w:sz w:val="21"/>
              </w:rPr>
            </w:pPr>
          </w:p>
          <w:p w14:paraId="513B8621">
            <w:pPr>
              <w:shd w:val="clear"/>
              <w:spacing w:line="281" w:lineRule="auto"/>
              <w:rPr>
                <w:rFonts w:hint="eastAsia" w:ascii="宋体" w:hAnsi="宋体" w:eastAsia="宋体" w:cs="宋体"/>
                <w:sz w:val="21"/>
              </w:rPr>
            </w:pPr>
          </w:p>
          <w:p w14:paraId="77533E74">
            <w:pPr>
              <w:shd w:val="clear"/>
              <w:spacing w:line="281" w:lineRule="auto"/>
              <w:rPr>
                <w:rFonts w:hint="eastAsia" w:ascii="宋体" w:hAnsi="宋体" w:eastAsia="宋体" w:cs="宋体"/>
                <w:sz w:val="21"/>
              </w:rPr>
            </w:pPr>
          </w:p>
          <w:p w14:paraId="492F8FC0">
            <w:pPr>
              <w:pStyle w:val="12"/>
              <w:shd w:val="clear"/>
              <w:spacing w:before="78" w:line="223" w:lineRule="auto"/>
              <w:ind w:left="173"/>
              <w:rPr>
                <w:rFonts w:hint="eastAsia" w:ascii="宋体" w:hAnsi="宋体" w:eastAsia="宋体" w:cs="宋体"/>
              </w:rPr>
            </w:pPr>
            <w:r>
              <w:rPr>
                <w:rFonts w:hint="eastAsia" w:ascii="宋体" w:hAnsi="宋体" w:eastAsia="宋体" w:cs="宋体"/>
                <w:spacing w:val="-8"/>
              </w:rPr>
              <w:t>职务</w:t>
            </w:r>
          </w:p>
        </w:tc>
        <w:tc>
          <w:tcPr>
            <w:tcW w:w="1930" w:type="dxa"/>
            <w:vAlign w:val="top"/>
          </w:tcPr>
          <w:p w14:paraId="5CC68FE5">
            <w:pPr>
              <w:pStyle w:val="12"/>
              <w:shd w:val="clear"/>
              <w:spacing w:before="305" w:line="222" w:lineRule="auto"/>
              <w:ind w:left="261"/>
              <w:rPr>
                <w:rFonts w:hint="eastAsia" w:ascii="宋体" w:hAnsi="宋体" w:eastAsia="宋体" w:cs="宋体"/>
              </w:rPr>
            </w:pPr>
            <w:r>
              <w:rPr>
                <w:rFonts w:hint="eastAsia" w:ascii="宋体" w:hAnsi="宋体" w:eastAsia="宋体" w:cs="宋体"/>
                <w:spacing w:val="-4"/>
              </w:rPr>
              <w:t>专业技术资格</w:t>
            </w:r>
          </w:p>
          <w:p w14:paraId="79F2560C">
            <w:pPr>
              <w:pStyle w:val="12"/>
              <w:shd w:val="clear"/>
              <w:spacing w:before="20" w:line="221" w:lineRule="auto"/>
              <w:ind w:left="143"/>
              <w:rPr>
                <w:rFonts w:hint="eastAsia" w:ascii="宋体" w:hAnsi="宋体" w:eastAsia="宋体" w:cs="宋体"/>
              </w:rPr>
            </w:pPr>
            <w:r>
              <w:rPr>
                <w:rFonts w:hint="eastAsia" w:ascii="宋体" w:hAnsi="宋体" w:eastAsia="宋体" w:cs="宋体"/>
                <w:spacing w:val="-3"/>
              </w:rPr>
              <w:t>（职称）或者职</w:t>
            </w:r>
          </w:p>
          <w:p w14:paraId="689674FB">
            <w:pPr>
              <w:pStyle w:val="12"/>
              <w:shd w:val="clear"/>
              <w:spacing w:before="25" w:line="222" w:lineRule="auto"/>
              <w:ind w:left="138"/>
              <w:rPr>
                <w:rFonts w:hint="eastAsia" w:ascii="宋体" w:hAnsi="宋体" w:eastAsia="宋体" w:cs="宋体"/>
              </w:rPr>
            </w:pPr>
            <w:r>
              <w:rPr>
                <w:rFonts w:hint="eastAsia" w:ascii="宋体" w:hAnsi="宋体" w:eastAsia="宋体" w:cs="宋体"/>
                <w:spacing w:val="-3"/>
              </w:rPr>
              <w:t>业资格或者执业</w:t>
            </w:r>
          </w:p>
          <w:p w14:paraId="24037CA3">
            <w:pPr>
              <w:pStyle w:val="12"/>
              <w:shd w:val="clear"/>
              <w:spacing w:before="20" w:line="222" w:lineRule="auto"/>
              <w:ind w:left="150"/>
              <w:rPr>
                <w:rFonts w:hint="eastAsia" w:ascii="宋体" w:hAnsi="宋体" w:eastAsia="宋体" w:cs="宋体"/>
              </w:rPr>
            </w:pPr>
            <w:r>
              <w:rPr>
                <w:rFonts w:hint="eastAsia" w:ascii="宋体" w:hAnsi="宋体" w:eastAsia="宋体" w:cs="宋体"/>
                <w:spacing w:val="-5"/>
              </w:rPr>
              <w:t>资格证或者其他</w:t>
            </w:r>
          </w:p>
          <w:p w14:paraId="3CEF9CCA">
            <w:pPr>
              <w:pStyle w:val="12"/>
              <w:shd w:val="clear"/>
              <w:spacing w:before="23" w:line="224" w:lineRule="auto"/>
              <w:ind w:left="737"/>
              <w:rPr>
                <w:rFonts w:hint="eastAsia" w:ascii="宋体" w:hAnsi="宋体" w:eastAsia="宋体" w:cs="宋体"/>
              </w:rPr>
            </w:pPr>
            <w:r>
              <w:rPr>
                <w:rFonts w:hint="eastAsia" w:ascii="宋体" w:hAnsi="宋体" w:eastAsia="宋体" w:cs="宋体"/>
                <w:spacing w:val="-8"/>
              </w:rPr>
              <w:t>证书</w:t>
            </w:r>
          </w:p>
        </w:tc>
        <w:tc>
          <w:tcPr>
            <w:tcW w:w="1611" w:type="dxa"/>
            <w:vAlign w:val="top"/>
          </w:tcPr>
          <w:p w14:paraId="73F5D116">
            <w:pPr>
              <w:shd w:val="clear"/>
              <w:spacing w:line="280" w:lineRule="auto"/>
              <w:rPr>
                <w:rFonts w:hint="eastAsia" w:ascii="宋体" w:hAnsi="宋体" w:eastAsia="宋体" w:cs="宋体"/>
                <w:sz w:val="21"/>
              </w:rPr>
            </w:pPr>
          </w:p>
          <w:p w14:paraId="47EC9C5E">
            <w:pPr>
              <w:shd w:val="clear"/>
              <w:spacing w:line="281" w:lineRule="auto"/>
              <w:rPr>
                <w:rFonts w:hint="eastAsia" w:ascii="宋体" w:hAnsi="宋体" w:eastAsia="宋体" w:cs="宋体"/>
                <w:sz w:val="21"/>
              </w:rPr>
            </w:pPr>
          </w:p>
          <w:p w14:paraId="7EFBDF7A">
            <w:pPr>
              <w:shd w:val="clear"/>
              <w:spacing w:line="281" w:lineRule="auto"/>
              <w:rPr>
                <w:rFonts w:hint="eastAsia" w:ascii="宋体" w:hAnsi="宋体" w:eastAsia="宋体" w:cs="宋体"/>
                <w:sz w:val="21"/>
              </w:rPr>
            </w:pPr>
          </w:p>
          <w:p w14:paraId="52CECAC4">
            <w:pPr>
              <w:pStyle w:val="12"/>
              <w:shd w:val="clear"/>
              <w:spacing w:before="78" w:line="224" w:lineRule="auto"/>
              <w:ind w:left="339"/>
              <w:rPr>
                <w:rFonts w:hint="eastAsia" w:ascii="宋体" w:hAnsi="宋体" w:eastAsia="宋体" w:cs="宋体"/>
              </w:rPr>
            </w:pPr>
            <w:r>
              <w:rPr>
                <w:rFonts w:hint="eastAsia" w:ascii="宋体" w:hAnsi="宋体" w:eastAsia="宋体" w:cs="宋体"/>
                <w:spacing w:val="-4"/>
              </w:rPr>
              <w:t>证书编号</w:t>
            </w:r>
          </w:p>
        </w:tc>
        <w:tc>
          <w:tcPr>
            <w:tcW w:w="1927" w:type="dxa"/>
            <w:vAlign w:val="top"/>
          </w:tcPr>
          <w:p w14:paraId="1910CDE7">
            <w:pPr>
              <w:shd w:val="clear"/>
              <w:spacing w:line="306" w:lineRule="auto"/>
              <w:rPr>
                <w:rFonts w:hint="eastAsia" w:ascii="宋体" w:hAnsi="宋体" w:eastAsia="宋体" w:cs="宋体"/>
                <w:sz w:val="21"/>
              </w:rPr>
            </w:pPr>
          </w:p>
          <w:p w14:paraId="2F94F254">
            <w:pPr>
              <w:shd w:val="clear"/>
              <w:spacing w:line="306" w:lineRule="auto"/>
              <w:rPr>
                <w:rFonts w:hint="eastAsia" w:ascii="宋体" w:hAnsi="宋体" w:eastAsia="宋体" w:cs="宋体"/>
                <w:sz w:val="21"/>
              </w:rPr>
            </w:pPr>
          </w:p>
          <w:p w14:paraId="7CDA276A">
            <w:pPr>
              <w:pStyle w:val="12"/>
              <w:shd w:val="clear"/>
              <w:spacing w:before="78" w:line="358" w:lineRule="auto"/>
              <w:ind w:left="502" w:right="360" w:hanging="121"/>
              <w:rPr>
                <w:rFonts w:hint="eastAsia" w:ascii="宋体" w:hAnsi="宋体" w:eastAsia="宋体" w:cs="宋体"/>
              </w:rPr>
            </w:pPr>
            <w:r>
              <w:rPr>
                <w:rFonts w:hint="eastAsia" w:ascii="宋体" w:hAnsi="宋体" w:eastAsia="宋体" w:cs="宋体"/>
                <w:spacing w:val="-4"/>
              </w:rPr>
              <w:t>参加本单位</w:t>
            </w:r>
            <w:r>
              <w:rPr>
                <w:rFonts w:hint="eastAsia" w:ascii="宋体" w:hAnsi="宋体" w:eastAsia="宋体" w:cs="宋体"/>
                <w:spacing w:val="-6"/>
              </w:rPr>
              <w:t>工作时间</w:t>
            </w:r>
          </w:p>
        </w:tc>
        <w:tc>
          <w:tcPr>
            <w:tcW w:w="2097" w:type="dxa"/>
            <w:vAlign w:val="top"/>
          </w:tcPr>
          <w:p w14:paraId="4E60C85C">
            <w:pPr>
              <w:shd w:val="clear"/>
              <w:spacing w:line="280" w:lineRule="auto"/>
              <w:rPr>
                <w:rFonts w:hint="eastAsia" w:ascii="宋体" w:hAnsi="宋体" w:eastAsia="宋体" w:cs="宋体"/>
                <w:sz w:val="21"/>
              </w:rPr>
            </w:pPr>
          </w:p>
          <w:p w14:paraId="2286F587">
            <w:pPr>
              <w:shd w:val="clear"/>
              <w:spacing w:line="281" w:lineRule="auto"/>
              <w:rPr>
                <w:rFonts w:hint="eastAsia" w:ascii="宋体" w:hAnsi="宋体" w:eastAsia="宋体" w:cs="宋体"/>
                <w:sz w:val="21"/>
              </w:rPr>
            </w:pPr>
          </w:p>
          <w:p w14:paraId="53CB29C4">
            <w:pPr>
              <w:shd w:val="clear"/>
              <w:spacing w:line="281" w:lineRule="auto"/>
              <w:rPr>
                <w:rFonts w:hint="eastAsia" w:ascii="宋体" w:hAnsi="宋体" w:eastAsia="宋体" w:cs="宋体"/>
                <w:sz w:val="21"/>
              </w:rPr>
            </w:pPr>
          </w:p>
          <w:p w14:paraId="4FE6A089">
            <w:pPr>
              <w:pStyle w:val="12"/>
              <w:shd w:val="clear"/>
              <w:spacing w:before="78" w:line="224" w:lineRule="auto"/>
              <w:ind w:left="354"/>
              <w:rPr>
                <w:rFonts w:hint="eastAsia" w:ascii="宋体" w:hAnsi="宋体" w:eastAsia="宋体" w:cs="宋体"/>
              </w:rPr>
            </w:pPr>
            <w:r>
              <w:rPr>
                <w:rFonts w:hint="eastAsia" w:ascii="宋体" w:hAnsi="宋体" w:eastAsia="宋体" w:cs="宋体"/>
                <w:spacing w:val="-5"/>
              </w:rPr>
              <w:t>劳动合同编号</w:t>
            </w:r>
          </w:p>
        </w:tc>
      </w:tr>
      <w:tr w14:paraId="2A122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932" w:type="dxa"/>
            <w:vAlign w:val="top"/>
          </w:tcPr>
          <w:p w14:paraId="1B5C608F">
            <w:pPr>
              <w:shd w:val="clear"/>
              <w:rPr>
                <w:rFonts w:hint="eastAsia" w:ascii="宋体" w:hAnsi="宋体" w:eastAsia="宋体" w:cs="宋体"/>
                <w:sz w:val="21"/>
              </w:rPr>
            </w:pPr>
          </w:p>
        </w:tc>
        <w:tc>
          <w:tcPr>
            <w:tcW w:w="804" w:type="dxa"/>
            <w:vAlign w:val="top"/>
          </w:tcPr>
          <w:p w14:paraId="61CAA360">
            <w:pPr>
              <w:shd w:val="clear"/>
              <w:rPr>
                <w:rFonts w:hint="eastAsia" w:ascii="宋体" w:hAnsi="宋体" w:eastAsia="宋体" w:cs="宋体"/>
                <w:sz w:val="21"/>
              </w:rPr>
            </w:pPr>
          </w:p>
        </w:tc>
        <w:tc>
          <w:tcPr>
            <w:tcW w:w="1930" w:type="dxa"/>
            <w:vAlign w:val="top"/>
          </w:tcPr>
          <w:p w14:paraId="39E8A626">
            <w:pPr>
              <w:shd w:val="clear"/>
              <w:rPr>
                <w:rFonts w:hint="eastAsia" w:ascii="宋体" w:hAnsi="宋体" w:eastAsia="宋体" w:cs="宋体"/>
                <w:sz w:val="21"/>
              </w:rPr>
            </w:pPr>
          </w:p>
        </w:tc>
        <w:tc>
          <w:tcPr>
            <w:tcW w:w="1611" w:type="dxa"/>
            <w:vAlign w:val="top"/>
          </w:tcPr>
          <w:p w14:paraId="7BF7C9AE">
            <w:pPr>
              <w:shd w:val="clear"/>
              <w:rPr>
                <w:rFonts w:hint="eastAsia" w:ascii="宋体" w:hAnsi="宋体" w:eastAsia="宋体" w:cs="宋体"/>
                <w:sz w:val="21"/>
              </w:rPr>
            </w:pPr>
          </w:p>
        </w:tc>
        <w:tc>
          <w:tcPr>
            <w:tcW w:w="1927" w:type="dxa"/>
            <w:vAlign w:val="top"/>
          </w:tcPr>
          <w:p w14:paraId="27DD08C0">
            <w:pPr>
              <w:shd w:val="clear"/>
              <w:rPr>
                <w:rFonts w:hint="eastAsia" w:ascii="宋体" w:hAnsi="宋体" w:eastAsia="宋体" w:cs="宋体"/>
                <w:sz w:val="21"/>
              </w:rPr>
            </w:pPr>
          </w:p>
        </w:tc>
        <w:tc>
          <w:tcPr>
            <w:tcW w:w="2097" w:type="dxa"/>
            <w:vAlign w:val="top"/>
          </w:tcPr>
          <w:p w14:paraId="6DB7CAD7">
            <w:pPr>
              <w:shd w:val="clear"/>
              <w:rPr>
                <w:rFonts w:hint="eastAsia" w:ascii="宋体" w:hAnsi="宋体" w:eastAsia="宋体" w:cs="宋体"/>
                <w:sz w:val="21"/>
              </w:rPr>
            </w:pPr>
          </w:p>
        </w:tc>
      </w:tr>
      <w:tr w14:paraId="79B47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932" w:type="dxa"/>
            <w:vAlign w:val="top"/>
          </w:tcPr>
          <w:p w14:paraId="51D1C894">
            <w:pPr>
              <w:shd w:val="clear"/>
              <w:rPr>
                <w:rFonts w:hint="eastAsia" w:ascii="宋体" w:hAnsi="宋体" w:eastAsia="宋体" w:cs="宋体"/>
                <w:sz w:val="21"/>
              </w:rPr>
            </w:pPr>
          </w:p>
        </w:tc>
        <w:tc>
          <w:tcPr>
            <w:tcW w:w="804" w:type="dxa"/>
            <w:vAlign w:val="top"/>
          </w:tcPr>
          <w:p w14:paraId="5E8AD51A">
            <w:pPr>
              <w:shd w:val="clear"/>
              <w:rPr>
                <w:rFonts w:hint="eastAsia" w:ascii="宋体" w:hAnsi="宋体" w:eastAsia="宋体" w:cs="宋体"/>
                <w:sz w:val="21"/>
              </w:rPr>
            </w:pPr>
          </w:p>
        </w:tc>
        <w:tc>
          <w:tcPr>
            <w:tcW w:w="1930" w:type="dxa"/>
            <w:vAlign w:val="top"/>
          </w:tcPr>
          <w:p w14:paraId="441C9892">
            <w:pPr>
              <w:shd w:val="clear"/>
              <w:rPr>
                <w:rFonts w:hint="eastAsia" w:ascii="宋体" w:hAnsi="宋体" w:eastAsia="宋体" w:cs="宋体"/>
                <w:sz w:val="21"/>
              </w:rPr>
            </w:pPr>
          </w:p>
        </w:tc>
        <w:tc>
          <w:tcPr>
            <w:tcW w:w="1611" w:type="dxa"/>
            <w:vAlign w:val="top"/>
          </w:tcPr>
          <w:p w14:paraId="603498A2">
            <w:pPr>
              <w:shd w:val="clear"/>
              <w:rPr>
                <w:rFonts w:hint="eastAsia" w:ascii="宋体" w:hAnsi="宋体" w:eastAsia="宋体" w:cs="宋体"/>
                <w:sz w:val="21"/>
              </w:rPr>
            </w:pPr>
          </w:p>
        </w:tc>
        <w:tc>
          <w:tcPr>
            <w:tcW w:w="1927" w:type="dxa"/>
            <w:vAlign w:val="top"/>
          </w:tcPr>
          <w:p w14:paraId="1E33C3CC">
            <w:pPr>
              <w:shd w:val="clear"/>
              <w:rPr>
                <w:rFonts w:hint="eastAsia" w:ascii="宋体" w:hAnsi="宋体" w:eastAsia="宋体" w:cs="宋体"/>
                <w:sz w:val="21"/>
              </w:rPr>
            </w:pPr>
          </w:p>
        </w:tc>
        <w:tc>
          <w:tcPr>
            <w:tcW w:w="2097" w:type="dxa"/>
            <w:vAlign w:val="top"/>
          </w:tcPr>
          <w:p w14:paraId="1AFF33E3">
            <w:pPr>
              <w:shd w:val="clear"/>
              <w:rPr>
                <w:rFonts w:hint="eastAsia" w:ascii="宋体" w:hAnsi="宋体" w:eastAsia="宋体" w:cs="宋体"/>
                <w:sz w:val="21"/>
              </w:rPr>
            </w:pPr>
          </w:p>
        </w:tc>
      </w:tr>
      <w:tr w14:paraId="680AB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932" w:type="dxa"/>
            <w:vAlign w:val="top"/>
          </w:tcPr>
          <w:p w14:paraId="3D19A855">
            <w:pPr>
              <w:shd w:val="clear"/>
              <w:rPr>
                <w:rFonts w:hint="eastAsia" w:ascii="宋体" w:hAnsi="宋体" w:eastAsia="宋体" w:cs="宋体"/>
                <w:sz w:val="21"/>
              </w:rPr>
            </w:pPr>
          </w:p>
        </w:tc>
        <w:tc>
          <w:tcPr>
            <w:tcW w:w="804" w:type="dxa"/>
            <w:vAlign w:val="top"/>
          </w:tcPr>
          <w:p w14:paraId="0A814592">
            <w:pPr>
              <w:shd w:val="clear"/>
              <w:rPr>
                <w:rFonts w:hint="eastAsia" w:ascii="宋体" w:hAnsi="宋体" w:eastAsia="宋体" w:cs="宋体"/>
                <w:sz w:val="21"/>
              </w:rPr>
            </w:pPr>
          </w:p>
        </w:tc>
        <w:tc>
          <w:tcPr>
            <w:tcW w:w="1930" w:type="dxa"/>
            <w:vAlign w:val="top"/>
          </w:tcPr>
          <w:p w14:paraId="5E5FF14F">
            <w:pPr>
              <w:shd w:val="clear"/>
              <w:rPr>
                <w:rFonts w:hint="eastAsia" w:ascii="宋体" w:hAnsi="宋体" w:eastAsia="宋体" w:cs="宋体"/>
                <w:sz w:val="21"/>
              </w:rPr>
            </w:pPr>
          </w:p>
        </w:tc>
        <w:tc>
          <w:tcPr>
            <w:tcW w:w="1611" w:type="dxa"/>
            <w:vAlign w:val="top"/>
          </w:tcPr>
          <w:p w14:paraId="2453D649">
            <w:pPr>
              <w:shd w:val="clear"/>
              <w:rPr>
                <w:rFonts w:hint="eastAsia" w:ascii="宋体" w:hAnsi="宋体" w:eastAsia="宋体" w:cs="宋体"/>
                <w:sz w:val="21"/>
              </w:rPr>
            </w:pPr>
          </w:p>
        </w:tc>
        <w:tc>
          <w:tcPr>
            <w:tcW w:w="1927" w:type="dxa"/>
            <w:vAlign w:val="top"/>
          </w:tcPr>
          <w:p w14:paraId="1AD10894">
            <w:pPr>
              <w:shd w:val="clear"/>
              <w:rPr>
                <w:rFonts w:hint="eastAsia" w:ascii="宋体" w:hAnsi="宋体" w:eastAsia="宋体" w:cs="宋体"/>
                <w:sz w:val="21"/>
              </w:rPr>
            </w:pPr>
          </w:p>
        </w:tc>
        <w:tc>
          <w:tcPr>
            <w:tcW w:w="2097" w:type="dxa"/>
            <w:vAlign w:val="top"/>
          </w:tcPr>
          <w:p w14:paraId="138BD80A">
            <w:pPr>
              <w:shd w:val="clear"/>
              <w:rPr>
                <w:rFonts w:hint="eastAsia" w:ascii="宋体" w:hAnsi="宋体" w:eastAsia="宋体" w:cs="宋体"/>
                <w:sz w:val="21"/>
              </w:rPr>
            </w:pPr>
          </w:p>
        </w:tc>
      </w:tr>
    </w:tbl>
    <w:p w14:paraId="3148BD61">
      <w:pPr>
        <w:pStyle w:val="3"/>
        <w:shd w:val="clear"/>
        <w:spacing w:before="115" w:line="230" w:lineRule="auto"/>
        <w:ind w:left="134"/>
        <w:rPr>
          <w:rFonts w:hint="eastAsia" w:ascii="宋体" w:hAnsi="宋体" w:eastAsia="宋体" w:cs="宋体"/>
        </w:rPr>
      </w:pPr>
      <w:r>
        <w:rPr>
          <w:rFonts w:hint="eastAsia" w:ascii="宋体" w:hAnsi="宋体" w:eastAsia="宋体" w:cs="宋体"/>
          <w:spacing w:val="-12"/>
        </w:rPr>
        <w:t>注：</w:t>
      </w:r>
    </w:p>
    <w:p w14:paraId="1383B957">
      <w:pPr>
        <w:pStyle w:val="3"/>
        <w:shd w:val="clear"/>
        <w:spacing w:before="169" w:line="219" w:lineRule="auto"/>
        <w:ind w:left="137"/>
        <w:rPr>
          <w:rFonts w:hint="eastAsia" w:ascii="宋体" w:hAnsi="宋体" w:eastAsia="宋体" w:cs="宋体"/>
        </w:rPr>
      </w:pPr>
      <w:r>
        <w:rPr>
          <w:rFonts w:hint="eastAsia" w:ascii="宋体" w:hAnsi="宋体" w:eastAsia="宋体" w:cs="宋体"/>
          <w:spacing w:val="-1"/>
        </w:rPr>
        <w:t>1.在填写时，如本表格不适合供应商的实际情况，可根据本表格式自行制表填写。</w:t>
      </w:r>
    </w:p>
    <w:p w14:paraId="2544669F">
      <w:pPr>
        <w:pStyle w:val="3"/>
        <w:shd w:val="clear"/>
        <w:spacing w:before="183" w:line="220" w:lineRule="auto"/>
        <w:ind w:left="123"/>
        <w:rPr>
          <w:rFonts w:hint="eastAsia" w:ascii="宋体" w:hAnsi="宋体" w:eastAsia="宋体" w:cs="宋体"/>
        </w:rPr>
      </w:pPr>
      <w:r>
        <w:rPr>
          <w:rFonts w:hint="eastAsia" w:ascii="宋体" w:hAnsi="宋体" w:eastAsia="宋体" w:cs="宋体"/>
          <w:spacing w:val="-1"/>
        </w:rPr>
        <w:t>2.供应商应当附本表所列证书的复印件并加盖供应商电子签章。</w:t>
      </w:r>
    </w:p>
    <w:p w14:paraId="5A8EF5C8">
      <w:pPr>
        <w:shd w:val="clear"/>
        <w:spacing w:line="244" w:lineRule="auto"/>
        <w:rPr>
          <w:rFonts w:hint="eastAsia" w:ascii="宋体" w:hAnsi="宋体" w:eastAsia="宋体" w:cs="宋体"/>
          <w:sz w:val="21"/>
        </w:rPr>
      </w:pPr>
    </w:p>
    <w:p w14:paraId="4B070D3B">
      <w:pPr>
        <w:shd w:val="clear"/>
        <w:spacing w:line="245" w:lineRule="auto"/>
        <w:rPr>
          <w:rFonts w:hint="eastAsia" w:ascii="宋体" w:hAnsi="宋体" w:eastAsia="宋体" w:cs="宋体"/>
          <w:sz w:val="21"/>
        </w:rPr>
      </w:pPr>
    </w:p>
    <w:p w14:paraId="6AEA8D23">
      <w:pPr>
        <w:pStyle w:val="3"/>
        <w:shd w:val="clear"/>
        <w:spacing w:before="79" w:line="223" w:lineRule="auto"/>
        <w:ind w:left="135"/>
        <w:rPr>
          <w:rFonts w:hint="eastAsia" w:ascii="宋体" w:hAnsi="宋体" w:eastAsia="宋体" w:cs="宋体"/>
        </w:rPr>
      </w:pPr>
      <w:r>
        <w:rPr>
          <w:rFonts w:hint="eastAsia" w:ascii="宋体" w:hAnsi="宋体" w:eastAsia="宋体" w:cs="宋体"/>
          <w:spacing w:val="-2"/>
        </w:rPr>
        <w:t>法定代表人或者委托代理人签字或电子签名：</w:t>
      </w:r>
      <w:r>
        <w:rPr>
          <w:rFonts w:hint="eastAsia" w:ascii="宋体" w:hAnsi="宋体" w:eastAsia="宋体" w:cs="宋体"/>
          <w:spacing w:val="-65"/>
        </w:rPr>
        <w:t xml:space="preserve"> </w:t>
      </w:r>
      <w:r>
        <w:rPr>
          <w:rFonts w:hint="eastAsia" w:ascii="宋体" w:hAnsi="宋体" w:eastAsia="宋体" w:cs="宋体"/>
          <w:u w:val="single" w:color="auto"/>
        </w:rPr>
        <w:t xml:space="preserve">           </w:t>
      </w:r>
    </w:p>
    <w:p w14:paraId="19B26743">
      <w:pPr>
        <w:pStyle w:val="3"/>
        <w:shd w:val="clear"/>
        <w:spacing w:before="101" w:line="222" w:lineRule="auto"/>
        <w:ind w:left="128"/>
        <w:rPr>
          <w:rFonts w:hint="eastAsia" w:ascii="宋体" w:hAnsi="宋体" w:eastAsia="宋体" w:cs="宋体"/>
        </w:rPr>
      </w:pPr>
      <w:r>
        <w:rPr>
          <w:rFonts w:hint="eastAsia" w:ascii="宋体" w:hAnsi="宋体" w:eastAsia="宋体" w:cs="宋体"/>
          <w:spacing w:val="-11"/>
        </w:rPr>
        <w:t>供</w:t>
      </w:r>
      <w:r>
        <w:rPr>
          <w:rFonts w:hint="eastAsia" w:ascii="宋体" w:hAnsi="宋体" w:eastAsia="宋体" w:cs="宋体"/>
          <w:spacing w:val="-63"/>
        </w:rPr>
        <w:t xml:space="preserve"> </w:t>
      </w:r>
      <w:r>
        <w:rPr>
          <w:rFonts w:hint="eastAsia" w:ascii="宋体" w:hAnsi="宋体" w:eastAsia="宋体" w:cs="宋体"/>
          <w:spacing w:val="-11"/>
        </w:rPr>
        <w:t>应商（ 电</w:t>
      </w:r>
      <w:r>
        <w:rPr>
          <w:rFonts w:hint="eastAsia" w:ascii="宋体" w:hAnsi="宋体" w:eastAsia="宋体" w:cs="宋体"/>
          <w:spacing w:val="-55"/>
        </w:rPr>
        <w:t xml:space="preserve"> </w:t>
      </w:r>
      <w:r>
        <w:rPr>
          <w:rFonts w:hint="eastAsia" w:ascii="宋体" w:hAnsi="宋体" w:eastAsia="宋体" w:cs="宋体"/>
          <w:spacing w:val="-11"/>
        </w:rPr>
        <w:t>子</w:t>
      </w:r>
      <w:r>
        <w:rPr>
          <w:rFonts w:hint="eastAsia" w:ascii="宋体" w:hAnsi="宋体" w:eastAsia="宋体" w:cs="宋体"/>
          <w:spacing w:val="-58"/>
        </w:rPr>
        <w:t xml:space="preserve"> </w:t>
      </w:r>
      <w:r>
        <w:rPr>
          <w:rFonts w:hint="eastAsia" w:ascii="宋体" w:hAnsi="宋体" w:eastAsia="宋体" w:cs="宋体"/>
          <w:spacing w:val="-11"/>
        </w:rPr>
        <w:t>签</w:t>
      </w:r>
      <w:r>
        <w:rPr>
          <w:rFonts w:hint="eastAsia" w:ascii="宋体" w:hAnsi="宋体" w:eastAsia="宋体" w:cs="宋体"/>
          <w:spacing w:val="-61"/>
        </w:rPr>
        <w:t xml:space="preserve"> </w:t>
      </w:r>
      <w:r>
        <w:rPr>
          <w:rFonts w:hint="eastAsia" w:ascii="宋体" w:hAnsi="宋体" w:eastAsia="宋体" w:cs="宋体"/>
          <w:spacing w:val="-11"/>
        </w:rPr>
        <w:t>章</w:t>
      </w:r>
      <w:r>
        <w:rPr>
          <w:rFonts w:hint="eastAsia" w:ascii="宋体" w:hAnsi="宋体" w:eastAsia="宋体" w:cs="宋体"/>
          <w:spacing w:val="-47"/>
        </w:rPr>
        <w:t xml:space="preserve"> </w:t>
      </w:r>
      <w:r>
        <w:rPr>
          <w:rFonts w:hint="eastAsia" w:ascii="宋体" w:hAnsi="宋体" w:eastAsia="宋体" w:cs="宋体"/>
          <w:spacing w:val="-35"/>
        </w:rPr>
        <w:t>）</w:t>
      </w:r>
      <w:r>
        <w:rPr>
          <w:rFonts w:hint="eastAsia" w:ascii="宋体" w:hAnsi="宋体" w:eastAsia="宋体" w:cs="宋体"/>
          <w:spacing w:val="-45"/>
        </w:rPr>
        <w:t xml:space="preserve"> </w:t>
      </w:r>
      <w:r>
        <w:rPr>
          <w:rFonts w:hint="eastAsia" w:ascii="宋体" w:hAnsi="宋体" w:eastAsia="宋体" w:cs="宋体"/>
          <w:spacing w:val="-35"/>
        </w:rPr>
        <w:t>：</w:t>
      </w:r>
      <w:r>
        <w:rPr>
          <w:rFonts w:hint="eastAsia" w:ascii="宋体" w:hAnsi="宋体" w:eastAsia="宋体" w:cs="宋体"/>
          <w:spacing w:val="-80"/>
        </w:rPr>
        <w:t xml:space="preserve"> </w:t>
      </w:r>
      <w:r>
        <w:rPr>
          <w:rFonts w:hint="eastAsia" w:ascii="宋体" w:hAnsi="宋体" w:eastAsia="宋体" w:cs="宋体"/>
          <w:u w:val="single" w:color="auto"/>
        </w:rPr>
        <w:t xml:space="preserve">                </w:t>
      </w:r>
    </w:p>
    <w:p w14:paraId="7E05F7FD">
      <w:pPr>
        <w:pStyle w:val="3"/>
        <w:shd w:val="clear"/>
        <w:spacing w:before="179" w:line="223" w:lineRule="auto"/>
        <w:ind w:left="178"/>
        <w:rPr>
          <w:rFonts w:hint="eastAsia" w:ascii="宋体" w:hAnsi="宋体" w:eastAsia="宋体" w:cs="宋体"/>
        </w:rPr>
      </w:pPr>
      <w:r>
        <w:rPr>
          <w:rFonts w:hint="eastAsia" w:ascii="宋体" w:hAnsi="宋体" w:eastAsia="宋体" w:cs="宋体"/>
          <w:spacing w:val="-39"/>
        </w:rPr>
        <w:t>日</w:t>
      </w:r>
      <w:r>
        <w:rPr>
          <w:rFonts w:hint="eastAsia" w:ascii="宋体" w:hAnsi="宋体" w:eastAsia="宋体" w:cs="宋体"/>
          <w:spacing w:val="97"/>
        </w:rPr>
        <w:t xml:space="preserve"> </w:t>
      </w:r>
      <w:r>
        <w:rPr>
          <w:rFonts w:hint="eastAsia" w:ascii="宋体" w:hAnsi="宋体" w:eastAsia="宋体" w:cs="宋体"/>
          <w:spacing w:val="-39"/>
        </w:rPr>
        <w:t>期</w:t>
      </w:r>
      <w:r>
        <w:rPr>
          <w:rFonts w:hint="eastAsia" w:ascii="宋体" w:hAnsi="宋体" w:eastAsia="宋体" w:cs="宋体"/>
          <w:spacing w:val="-46"/>
        </w:rPr>
        <w:t xml:space="preserve"> </w:t>
      </w:r>
      <w:r>
        <w:rPr>
          <w:rFonts w:hint="eastAsia" w:ascii="宋体" w:hAnsi="宋体" w:eastAsia="宋体" w:cs="宋体"/>
          <w:spacing w:val="-39"/>
        </w:rPr>
        <w:t>：</w:t>
      </w:r>
      <w:r>
        <w:rPr>
          <w:rFonts w:hint="eastAsia" w:ascii="宋体" w:hAnsi="宋体" w:eastAsia="宋体" w:cs="宋体"/>
          <w:spacing w:val="-82"/>
        </w:rPr>
        <w:t xml:space="preserve"> </w:t>
      </w:r>
      <w:r>
        <w:rPr>
          <w:rFonts w:hint="eastAsia" w:ascii="宋体" w:hAnsi="宋体" w:eastAsia="宋体" w:cs="宋体"/>
          <w:u w:val="single" w:color="auto"/>
        </w:rPr>
        <w:t xml:space="preserve">            </w:t>
      </w:r>
    </w:p>
    <w:p w14:paraId="22A5982E">
      <w:pPr>
        <w:shd w:val="clear"/>
        <w:spacing w:line="223" w:lineRule="auto"/>
        <w:rPr>
          <w:rFonts w:hint="eastAsia" w:ascii="宋体" w:hAnsi="宋体" w:eastAsia="宋体" w:cs="宋体"/>
        </w:rPr>
        <w:sectPr>
          <w:footerReference r:id="rId37" w:type="default"/>
          <w:pgSz w:w="11906" w:h="16839"/>
          <w:pgMar w:top="1440" w:right="1080" w:bottom="1440" w:left="1080" w:header="0" w:footer="1200" w:gutter="0"/>
          <w:pgNumType w:fmt="decimal"/>
          <w:cols w:space="720" w:num="1"/>
        </w:sectPr>
      </w:pPr>
    </w:p>
    <w:p w14:paraId="02D7FECB">
      <w:pPr>
        <w:pStyle w:val="3"/>
        <w:shd w:val="clear"/>
        <w:spacing w:before="78" w:line="222" w:lineRule="auto"/>
        <w:rPr>
          <w:rFonts w:hint="eastAsia" w:ascii="宋体" w:hAnsi="宋体" w:eastAsia="宋体" w:cs="宋体"/>
        </w:rPr>
      </w:pPr>
      <w:r>
        <w:rPr>
          <w:rFonts w:hint="eastAsia" w:ascii="宋体" w:hAnsi="宋体" w:eastAsia="宋体" w:cs="宋体"/>
          <w:b/>
          <w:bCs/>
          <w:spacing w:val="-4"/>
        </w:rPr>
        <w:t>其他文书、文件格式</w:t>
      </w:r>
    </w:p>
    <w:p w14:paraId="236EE85E">
      <w:pPr>
        <w:pStyle w:val="3"/>
        <w:shd w:val="clear"/>
        <w:spacing w:before="140" w:line="226" w:lineRule="auto"/>
        <w:ind w:left="3019"/>
        <w:rPr>
          <w:rFonts w:hint="eastAsia" w:ascii="宋体" w:hAnsi="宋体" w:eastAsia="宋体" w:cs="宋体"/>
          <w:sz w:val="43"/>
          <w:szCs w:val="43"/>
        </w:rPr>
      </w:pPr>
      <w:r>
        <w:rPr>
          <w:rFonts w:hint="eastAsia" w:ascii="宋体" w:hAnsi="宋体" w:eastAsia="宋体" w:cs="宋体"/>
          <w:spacing w:val="2"/>
          <w:sz w:val="43"/>
          <w:szCs w:val="43"/>
        </w:rPr>
        <w:t>质疑函（格式）</w:t>
      </w:r>
    </w:p>
    <w:p w14:paraId="72AE1304">
      <w:pPr>
        <w:pStyle w:val="3"/>
        <w:shd w:val="clear"/>
        <w:spacing w:before="118" w:line="222" w:lineRule="auto"/>
        <w:ind w:left="481"/>
        <w:rPr>
          <w:rFonts w:hint="eastAsia" w:ascii="宋体" w:hAnsi="宋体" w:eastAsia="宋体" w:cs="宋体"/>
        </w:rPr>
      </w:pPr>
      <w:r>
        <w:rPr>
          <w:rFonts w:hint="eastAsia" w:ascii="宋体" w:hAnsi="宋体" w:eastAsia="宋体" w:cs="宋体"/>
          <w:b/>
          <w:bCs/>
          <w:spacing w:val="-4"/>
        </w:rPr>
        <w:t>一、质疑供应商基本信息：</w:t>
      </w:r>
    </w:p>
    <w:p w14:paraId="2C6A0F3E">
      <w:pPr>
        <w:pStyle w:val="3"/>
        <w:shd w:val="clear"/>
        <w:spacing w:before="179" w:line="223" w:lineRule="auto"/>
        <w:ind w:left="483"/>
        <w:rPr>
          <w:rFonts w:hint="eastAsia" w:ascii="宋体" w:hAnsi="宋体" w:eastAsia="宋体" w:cs="宋体"/>
        </w:rPr>
      </w:pPr>
      <w:r>
        <w:rPr>
          <w:rFonts w:hint="eastAsia" w:ascii="宋体" w:hAnsi="宋体" w:eastAsia="宋体" w:cs="宋体"/>
          <w:spacing w:val="-3"/>
        </w:rPr>
        <w:t>质疑供应商：</w:t>
      </w:r>
      <w:r>
        <w:rPr>
          <w:rFonts w:hint="eastAsia" w:ascii="宋体" w:hAnsi="宋体" w:eastAsia="宋体" w:cs="宋体"/>
          <w:spacing w:val="-3"/>
          <w:u w:val="single" w:color="auto"/>
        </w:rPr>
        <w:t xml:space="preserve">                                   </w:t>
      </w:r>
      <w:r>
        <w:rPr>
          <w:rFonts w:hint="eastAsia" w:ascii="宋体" w:hAnsi="宋体" w:eastAsia="宋体" w:cs="宋体"/>
          <w:spacing w:val="-4"/>
          <w:u w:val="single" w:color="auto"/>
        </w:rPr>
        <w:t xml:space="preserve">     </w:t>
      </w:r>
    </w:p>
    <w:p w14:paraId="5A9C9C2F">
      <w:pPr>
        <w:pStyle w:val="3"/>
        <w:shd w:val="clear"/>
        <w:spacing w:before="178" w:line="222" w:lineRule="auto"/>
        <w:ind w:left="479"/>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20C2E5D7">
      <w:pPr>
        <w:pStyle w:val="3"/>
        <w:shd w:val="clear"/>
        <w:spacing w:before="180" w:line="223" w:lineRule="auto"/>
        <w:ind w:left="475"/>
        <w:rPr>
          <w:rFonts w:hint="eastAsia" w:ascii="宋体" w:hAnsi="宋体" w:eastAsia="宋体" w:cs="宋体"/>
        </w:rPr>
      </w:pPr>
      <w:r>
        <w:rPr>
          <w:rFonts w:hint="eastAsia" w:ascii="宋体" w:hAnsi="宋体" w:eastAsia="宋体" w:cs="宋体"/>
          <w:spacing w:val="-1"/>
        </w:rPr>
        <w:t>联系人：</w:t>
      </w:r>
      <w:r>
        <w:rPr>
          <w:rFonts w:hint="eastAsia" w:ascii="宋体" w:hAnsi="宋体" w:eastAsia="宋体" w:cs="宋体"/>
          <w:spacing w:val="-1"/>
          <w:u w:val="single" w:color="auto"/>
        </w:rPr>
        <w:t xml:space="preserve">                     </w:t>
      </w:r>
      <w:r>
        <w:rPr>
          <w:rFonts w:hint="eastAsia" w:ascii="宋体" w:hAnsi="宋体" w:eastAsia="宋体" w:cs="宋体"/>
          <w:spacing w:val="-105"/>
        </w:rPr>
        <w:t xml:space="preserve"> </w:t>
      </w:r>
      <w:r>
        <w:rPr>
          <w:rFonts w:hint="eastAsia" w:ascii="宋体" w:hAnsi="宋体" w:eastAsia="宋体" w:cs="宋体"/>
          <w:spacing w:val="-1"/>
        </w:rPr>
        <w:t>联系电话：</w:t>
      </w:r>
      <w:r>
        <w:rPr>
          <w:rFonts w:hint="eastAsia" w:ascii="宋体" w:hAnsi="宋体" w:eastAsia="宋体" w:cs="宋体"/>
          <w:u w:val="single" w:color="auto"/>
        </w:rPr>
        <w:t xml:space="preserve">                 </w:t>
      </w:r>
    </w:p>
    <w:p w14:paraId="7C1FF999">
      <w:pPr>
        <w:pStyle w:val="3"/>
        <w:shd w:val="clear"/>
        <w:spacing w:before="178" w:line="222" w:lineRule="auto"/>
        <w:ind w:left="478"/>
        <w:rPr>
          <w:rFonts w:hint="eastAsia" w:ascii="宋体" w:hAnsi="宋体" w:eastAsia="宋体" w:cs="宋体"/>
        </w:rPr>
      </w:pPr>
      <w:r>
        <w:rPr>
          <w:rFonts w:hint="eastAsia" w:ascii="宋体" w:hAnsi="宋体" w:eastAsia="宋体" w:cs="宋体"/>
          <w:spacing w:val="-4"/>
        </w:rPr>
        <w:t>授权代表：</w:t>
      </w:r>
      <w:r>
        <w:rPr>
          <w:rFonts w:hint="eastAsia" w:ascii="宋体" w:hAnsi="宋体" w:eastAsia="宋体" w:cs="宋体"/>
          <w:u w:val="single" w:color="auto"/>
        </w:rPr>
        <w:t xml:space="preserve">                      </w:t>
      </w:r>
    </w:p>
    <w:p w14:paraId="1B0FF814">
      <w:pPr>
        <w:pStyle w:val="3"/>
        <w:shd w:val="clear"/>
        <w:spacing w:before="179" w:line="223" w:lineRule="auto"/>
        <w:ind w:left="475"/>
        <w:rPr>
          <w:rFonts w:hint="eastAsia" w:ascii="宋体" w:hAnsi="宋体" w:eastAsia="宋体" w:cs="宋体"/>
        </w:rPr>
      </w:pPr>
      <w:r>
        <w:rPr>
          <w:rFonts w:hint="eastAsia" w:ascii="宋体" w:hAnsi="宋体" w:eastAsia="宋体" w:cs="宋体"/>
          <w:spacing w:val="-3"/>
        </w:rPr>
        <w:t>联系电话：</w:t>
      </w:r>
      <w:r>
        <w:rPr>
          <w:rFonts w:hint="eastAsia" w:ascii="宋体" w:hAnsi="宋体" w:eastAsia="宋体" w:cs="宋体"/>
          <w:u w:val="single" w:color="auto"/>
        </w:rPr>
        <w:t xml:space="preserve">                      </w:t>
      </w:r>
    </w:p>
    <w:p w14:paraId="0E83C2E5">
      <w:pPr>
        <w:pStyle w:val="3"/>
        <w:shd w:val="clear"/>
        <w:spacing w:before="178" w:line="222" w:lineRule="auto"/>
        <w:ind w:left="479"/>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3ED809E0">
      <w:pPr>
        <w:pStyle w:val="3"/>
        <w:shd w:val="clear"/>
        <w:spacing w:before="180" w:line="222" w:lineRule="auto"/>
        <w:ind w:left="485"/>
        <w:rPr>
          <w:rFonts w:hint="eastAsia" w:ascii="宋体" w:hAnsi="宋体" w:eastAsia="宋体" w:cs="宋体"/>
        </w:rPr>
      </w:pPr>
      <w:r>
        <w:rPr>
          <w:rFonts w:hint="eastAsia" w:ascii="宋体" w:hAnsi="宋体" w:eastAsia="宋体" w:cs="宋体"/>
          <w:b/>
          <w:bCs/>
          <w:spacing w:val="-4"/>
        </w:rPr>
        <w:t>二、质疑项目基本情况：</w:t>
      </w:r>
    </w:p>
    <w:p w14:paraId="47409B80">
      <w:pPr>
        <w:pStyle w:val="3"/>
        <w:shd w:val="clear"/>
        <w:spacing w:before="179" w:line="221" w:lineRule="auto"/>
        <w:ind w:left="503"/>
        <w:rPr>
          <w:rFonts w:hint="eastAsia" w:ascii="宋体" w:hAnsi="宋体" w:eastAsia="宋体" w:cs="宋体"/>
        </w:rPr>
      </w:pPr>
      <w:r>
        <w:rPr>
          <w:rFonts w:hint="eastAsia" w:ascii="宋体" w:hAnsi="宋体" w:eastAsia="宋体" w:cs="宋体"/>
          <w:spacing w:val="-3"/>
        </w:rPr>
        <w:t>质疑项目的名称：</w:t>
      </w:r>
      <w:r>
        <w:rPr>
          <w:rFonts w:hint="eastAsia" w:ascii="宋体" w:hAnsi="宋体" w:eastAsia="宋体" w:cs="宋体"/>
          <w:u w:val="single" w:color="auto"/>
        </w:rPr>
        <w:t xml:space="preserve">                                     </w:t>
      </w:r>
    </w:p>
    <w:p w14:paraId="7CA92F4D">
      <w:pPr>
        <w:pStyle w:val="3"/>
        <w:shd w:val="clear"/>
        <w:spacing w:before="180" w:line="224" w:lineRule="auto"/>
        <w:ind w:left="503"/>
        <w:rPr>
          <w:rFonts w:hint="eastAsia" w:ascii="宋体" w:hAnsi="宋体" w:eastAsia="宋体" w:cs="宋体"/>
        </w:rPr>
      </w:pPr>
      <w:r>
        <w:rPr>
          <w:rFonts w:hint="eastAsia" w:ascii="宋体" w:hAnsi="宋体" w:eastAsia="宋体" w:cs="宋体"/>
          <w:spacing w:val="-3"/>
        </w:rPr>
        <w:t>质疑项目的编号：</w:t>
      </w:r>
      <w:r>
        <w:rPr>
          <w:rFonts w:hint="eastAsia" w:ascii="宋体" w:hAnsi="宋体" w:eastAsia="宋体" w:cs="宋体"/>
          <w:u w:val="single" w:color="auto"/>
        </w:rPr>
        <w:t xml:space="preserve">                                     </w:t>
      </w:r>
    </w:p>
    <w:p w14:paraId="615F7DA3">
      <w:pPr>
        <w:pStyle w:val="3"/>
        <w:shd w:val="clear"/>
        <w:spacing w:before="177" w:line="221" w:lineRule="auto"/>
        <w:ind w:left="499"/>
        <w:rPr>
          <w:rFonts w:hint="eastAsia" w:ascii="宋体" w:hAnsi="宋体" w:eastAsia="宋体" w:cs="宋体"/>
        </w:rPr>
      </w:pPr>
      <w:r>
        <w:rPr>
          <w:rFonts w:hint="eastAsia" w:ascii="宋体" w:hAnsi="宋体" w:eastAsia="宋体" w:cs="宋体"/>
          <w:spacing w:val="-3"/>
        </w:rPr>
        <w:t>采购人名称：</w:t>
      </w:r>
      <w:r>
        <w:rPr>
          <w:rFonts w:hint="eastAsia" w:ascii="宋体" w:hAnsi="宋体" w:eastAsia="宋体" w:cs="宋体"/>
          <w:u w:val="single" w:color="auto"/>
        </w:rPr>
        <w:t xml:space="preserve">                                         </w:t>
      </w:r>
    </w:p>
    <w:p w14:paraId="16C4EEDB">
      <w:pPr>
        <w:pStyle w:val="3"/>
        <w:shd w:val="clear"/>
        <w:spacing w:before="181" w:line="223" w:lineRule="auto"/>
        <w:ind w:left="503"/>
        <w:rPr>
          <w:rFonts w:hint="eastAsia" w:ascii="宋体" w:hAnsi="宋体" w:eastAsia="宋体" w:cs="宋体"/>
        </w:rPr>
      </w:pPr>
      <w:r>
        <w:rPr>
          <w:rFonts w:hint="eastAsia" w:ascii="宋体" w:hAnsi="宋体" w:eastAsia="宋体" w:cs="宋体"/>
          <w:spacing w:val="-5"/>
        </w:rPr>
        <w:t>质疑事项：</w:t>
      </w:r>
    </w:p>
    <w:p w14:paraId="42AD60A2">
      <w:pPr>
        <w:pStyle w:val="3"/>
        <w:shd w:val="clear"/>
        <w:spacing w:before="179" w:line="222" w:lineRule="auto"/>
        <w:ind w:left="395"/>
        <w:rPr>
          <w:rFonts w:hint="eastAsia" w:ascii="宋体" w:hAnsi="宋体" w:eastAsia="宋体" w:cs="宋体"/>
        </w:rPr>
      </w:pPr>
      <w:r>
        <w:rPr>
          <w:rFonts w:hint="eastAsia" w:ascii="宋体" w:hAnsi="宋体" w:eastAsia="宋体" w:cs="宋体"/>
          <w:spacing w:val="-3"/>
        </w:rPr>
        <w:t>□采购文件   采购文件获取日期：</w:t>
      </w:r>
      <w:r>
        <w:rPr>
          <w:rFonts w:hint="eastAsia" w:ascii="宋体" w:hAnsi="宋体" w:eastAsia="宋体" w:cs="宋体"/>
          <w:spacing w:val="-3"/>
          <w:u w:val="single" w:color="auto"/>
        </w:rPr>
        <w:t xml:space="preserve">                                    </w:t>
      </w:r>
    </w:p>
    <w:p w14:paraId="04AE4FE7">
      <w:pPr>
        <w:pStyle w:val="3"/>
        <w:shd w:val="clear"/>
        <w:spacing w:before="179" w:line="222" w:lineRule="auto"/>
        <w:ind w:left="395"/>
        <w:rPr>
          <w:rFonts w:hint="eastAsia" w:ascii="宋体" w:hAnsi="宋体" w:eastAsia="宋体" w:cs="宋体"/>
        </w:rPr>
      </w:pPr>
      <w:r>
        <w:rPr>
          <w:rFonts w:hint="eastAsia" w:ascii="宋体" w:hAnsi="宋体" w:eastAsia="宋体" w:cs="宋体"/>
          <w:spacing w:val="-7"/>
        </w:rPr>
        <w:t>□采购过程</w:t>
      </w:r>
    </w:p>
    <w:p w14:paraId="59801004">
      <w:pPr>
        <w:pStyle w:val="3"/>
        <w:shd w:val="clear"/>
        <w:spacing w:before="179" w:line="222" w:lineRule="auto"/>
        <w:ind w:left="395"/>
        <w:rPr>
          <w:rFonts w:hint="eastAsia" w:ascii="宋体" w:hAnsi="宋体" w:eastAsia="宋体" w:cs="宋体"/>
        </w:rPr>
      </w:pPr>
      <w:r>
        <w:rPr>
          <w:rFonts w:hint="eastAsia" w:ascii="宋体" w:hAnsi="宋体" w:eastAsia="宋体" w:cs="宋体"/>
          <w:spacing w:val="-7"/>
        </w:rPr>
        <w:t>□成交结果</w:t>
      </w:r>
    </w:p>
    <w:p w14:paraId="4D9FE19D">
      <w:pPr>
        <w:pStyle w:val="3"/>
        <w:shd w:val="clear"/>
        <w:spacing w:before="180" w:line="222" w:lineRule="auto"/>
        <w:ind w:left="501"/>
        <w:rPr>
          <w:rFonts w:hint="eastAsia" w:ascii="宋体" w:hAnsi="宋体" w:eastAsia="宋体" w:cs="宋体"/>
        </w:rPr>
      </w:pPr>
      <w:r>
        <w:rPr>
          <w:rFonts w:hint="eastAsia" w:ascii="宋体" w:hAnsi="宋体" w:eastAsia="宋体" w:cs="宋体"/>
          <w:b/>
          <w:bCs/>
          <w:spacing w:val="-4"/>
        </w:rPr>
        <w:t>三、质疑事项具体内容</w:t>
      </w:r>
    </w:p>
    <w:p w14:paraId="43D18C62">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8"/>
        </w:rPr>
        <w:t>质疑事项</w:t>
      </w:r>
      <w:r>
        <w:rPr>
          <w:rFonts w:hint="eastAsia" w:ascii="宋体" w:hAnsi="宋体" w:eastAsia="宋体" w:cs="宋体"/>
          <w:spacing w:val="-34"/>
        </w:rPr>
        <w:t xml:space="preserve"> </w:t>
      </w:r>
      <w:r>
        <w:rPr>
          <w:rFonts w:hint="eastAsia" w:ascii="宋体" w:hAnsi="宋体" w:eastAsia="宋体" w:cs="宋体"/>
          <w:spacing w:val="-8"/>
        </w:rPr>
        <w:t>1：</w:t>
      </w:r>
      <w:r>
        <w:rPr>
          <w:rFonts w:hint="eastAsia" w:ascii="宋体" w:hAnsi="宋体" w:eastAsia="宋体" w:cs="宋体"/>
          <w:u w:val="single" w:color="auto"/>
        </w:rPr>
        <w:tab/>
      </w:r>
      <w:r>
        <w:rPr>
          <w:rFonts w:hint="eastAsia" w:ascii="宋体" w:hAnsi="宋体" w:eastAsia="宋体" w:cs="宋体"/>
        </w:rPr>
        <w:t xml:space="preserve"> </w:t>
      </w:r>
    </w:p>
    <w:p w14:paraId="50EA1AB8">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4"/>
        </w:rPr>
        <w:t>事实依据：</w:t>
      </w:r>
      <w:r>
        <w:rPr>
          <w:rFonts w:hint="eastAsia" w:ascii="宋体" w:hAnsi="宋体" w:eastAsia="宋体" w:cs="宋体"/>
          <w:u w:val="single" w:color="auto"/>
        </w:rPr>
        <w:tab/>
      </w:r>
      <w:r>
        <w:rPr>
          <w:rFonts w:hint="eastAsia" w:ascii="宋体" w:hAnsi="宋体" w:eastAsia="宋体" w:cs="宋体"/>
        </w:rPr>
        <w:t xml:space="preserve"> </w:t>
      </w:r>
    </w:p>
    <w:p w14:paraId="2AD808F0">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4"/>
        </w:rPr>
        <w:t>法律依据：</w:t>
      </w:r>
      <w:r>
        <w:rPr>
          <w:rFonts w:hint="eastAsia" w:ascii="宋体" w:hAnsi="宋体" w:eastAsia="宋体" w:cs="宋体"/>
          <w:u w:val="single" w:color="auto"/>
        </w:rPr>
        <w:tab/>
      </w:r>
      <w:r>
        <w:rPr>
          <w:rFonts w:hint="eastAsia" w:ascii="宋体" w:hAnsi="宋体" w:eastAsia="宋体" w:cs="宋体"/>
        </w:rPr>
        <w:t xml:space="preserve"> </w:t>
      </w:r>
    </w:p>
    <w:p w14:paraId="1ACC11DF">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8"/>
        </w:rPr>
        <w:t>质疑事项2</w:t>
      </w:r>
    </w:p>
    <w:p w14:paraId="0D4CA40D">
      <w:pPr>
        <w:pStyle w:val="3"/>
        <w:shd w:val="clear"/>
        <w:spacing w:line="383" w:lineRule="exact"/>
        <w:ind w:left="506"/>
        <w:rPr>
          <w:rFonts w:hint="eastAsia" w:ascii="宋体" w:hAnsi="宋体" w:eastAsia="宋体" w:cs="宋体"/>
        </w:rPr>
      </w:pPr>
      <w:r>
        <w:rPr>
          <w:rFonts w:hint="eastAsia" w:ascii="宋体" w:hAnsi="宋体" w:eastAsia="宋体" w:cs="宋体"/>
          <w:spacing w:val="-13"/>
          <w:position w:val="3"/>
        </w:rPr>
        <w:t>……</w:t>
      </w:r>
    </w:p>
    <w:p w14:paraId="2C2CA8E3">
      <w:pPr>
        <w:pStyle w:val="3"/>
        <w:shd w:val="clear"/>
        <w:spacing w:before="85" w:line="220" w:lineRule="auto"/>
        <w:ind w:left="525"/>
        <w:rPr>
          <w:rFonts w:hint="eastAsia" w:ascii="宋体" w:hAnsi="宋体" w:eastAsia="宋体" w:cs="宋体"/>
        </w:rPr>
      </w:pPr>
      <w:r>
        <w:rPr>
          <w:rFonts w:hint="eastAsia" w:ascii="宋体" w:hAnsi="宋体" w:eastAsia="宋体" w:cs="宋体"/>
          <w:spacing w:val="-3"/>
        </w:rPr>
        <w:t>四、与质疑事项相关的质疑请求：</w:t>
      </w:r>
    </w:p>
    <w:p w14:paraId="06140D88">
      <w:pPr>
        <w:pStyle w:val="3"/>
        <w:shd w:val="clear"/>
        <w:spacing w:before="182" w:line="220" w:lineRule="auto"/>
        <w:ind w:left="497"/>
        <w:rPr>
          <w:rFonts w:hint="eastAsia" w:ascii="宋体" w:hAnsi="宋体" w:eastAsia="宋体" w:cs="宋体"/>
        </w:rPr>
      </w:pPr>
      <w:r>
        <w:rPr>
          <w:rFonts w:hint="eastAsia" w:ascii="宋体" w:hAnsi="宋体" w:eastAsia="宋体" w:cs="宋体"/>
          <w:spacing w:val="-4"/>
        </w:rPr>
        <w:t>请求：</w:t>
      </w:r>
      <w:r>
        <w:rPr>
          <w:rFonts w:hint="eastAsia" w:ascii="宋体" w:hAnsi="宋体" w:eastAsia="宋体" w:cs="宋体"/>
          <w:spacing w:val="-4"/>
          <w:u w:val="single" w:color="auto"/>
        </w:rPr>
        <w:t xml:space="preserve">                                                                  </w:t>
      </w:r>
    </w:p>
    <w:p w14:paraId="1E86ADBC">
      <w:pPr>
        <w:shd w:val="clear"/>
        <w:spacing w:line="284" w:lineRule="auto"/>
        <w:rPr>
          <w:rFonts w:hint="eastAsia" w:ascii="宋体" w:hAnsi="宋体" w:eastAsia="宋体" w:cs="宋体"/>
          <w:sz w:val="21"/>
        </w:rPr>
      </w:pPr>
    </w:p>
    <w:p w14:paraId="58505467">
      <w:pPr>
        <w:shd w:val="clear"/>
        <w:spacing w:line="284" w:lineRule="auto"/>
        <w:rPr>
          <w:rFonts w:hint="eastAsia" w:ascii="宋体" w:hAnsi="宋体" w:eastAsia="宋体" w:cs="宋体"/>
          <w:sz w:val="21"/>
        </w:rPr>
      </w:pPr>
    </w:p>
    <w:p w14:paraId="1D2BFA1A">
      <w:pPr>
        <w:pStyle w:val="3"/>
        <w:shd w:val="clear"/>
        <w:spacing w:before="79" w:line="222" w:lineRule="auto"/>
        <w:ind w:left="503"/>
        <w:rPr>
          <w:rFonts w:hint="eastAsia" w:ascii="宋体" w:hAnsi="宋体" w:eastAsia="宋体" w:cs="宋体"/>
        </w:rPr>
      </w:pPr>
      <w:r>
        <w:rPr>
          <w:rFonts w:hint="eastAsia" w:ascii="宋体" w:hAnsi="宋体" w:eastAsia="宋体" w:cs="宋体"/>
          <w:spacing w:val="-6"/>
        </w:rPr>
        <w:t>签字（签章</w:t>
      </w:r>
      <w:r>
        <w:rPr>
          <w:rFonts w:hint="eastAsia" w:ascii="宋体" w:hAnsi="宋体" w:eastAsia="宋体" w:cs="宋体"/>
          <w:spacing w:val="2"/>
        </w:rPr>
        <w:t>）：</w:t>
      </w:r>
      <w:r>
        <w:rPr>
          <w:rFonts w:hint="eastAsia" w:ascii="宋体" w:hAnsi="宋体" w:eastAsia="宋体" w:cs="宋体"/>
          <w:spacing w:val="1"/>
        </w:rPr>
        <w:t xml:space="preserve">                    </w:t>
      </w:r>
      <w:r>
        <w:rPr>
          <w:rFonts w:hint="eastAsia" w:ascii="宋体" w:hAnsi="宋体" w:eastAsia="宋体" w:cs="宋体"/>
        </w:rPr>
        <w:t xml:space="preserve">                   </w:t>
      </w:r>
      <w:r>
        <w:rPr>
          <w:rFonts w:hint="eastAsia" w:ascii="宋体" w:hAnsi="宋体" w:eastAsia="宋体" w:cs="宋体"/>
          <w:spacing w:val="-6"/>
        </w:rPr>
        <w:t>公章：</w:t>
      </w:r>
    </w:p>
    <w:p w14:paraId="71801FC6">
      <w:pPr>
        <w:pStyle w:val="3"/>
        <w:shd w:val="clear"/>
        <w:spacing w:before="179" w:line="223" w:lineRule="auto"/>
        <w:ind w:left="528"/>
        <w:jc w:val="center"/>
        <w:rPr>
          <w:rFonts w:hint="eastAsia" w:ascii="宋体" w:hAnsi="宋体" w:eastAsia="宋体" w:cs="宋体"/>
        </w:rPr>
      </w:pPr>
      <w:r>
        <w:rPr>
          <w:rFonts w:hint="eastAsia" w:ascii="宋体" w:hAnsi="宋体" w:eastAsia="宋体" w:cs="宋体"/>
          <w:spacing w:val="-23"/>
          <w:lang w:val="en-US" w:eastAsia="zh-CN"/>
        </w:rPr>
        <w:t xml:space="preserve">                                       </w:t>
      </w:r>
      <w:r>
        <w:rPr>
          <w:rFonts w:hint="eastAsia" w:ascii="宋体" w:hAnsi="宋体" w:eastAsia="宋体" w:cs="宋体"/>
          <w:spacing w:val="-23"/>
        </w:rPr>
        <w:t>日期：</w:t>
      </w:r>
    </w:p>
    <w:p w14:paraId="4EE0D776">
      <w:pPr>
        <w:shd w:val="clear"/>
        <w:spacing w:line="223" w:lineRule="auto"/>
        <w:rPr>
          <w:rFonts w:hint="eastAsia" w:ascii="宋体" w:hAnsi="宋体" w:eastAsia="宋体" w:cs="宋体"/>
        </w:rPr>
        <w:sectPr>
          <w:footerReference r:id="rId38" w:type="default"/>
          <w:pgSz w:w="11906" w:h="16839"/>
          <w:pgMar w:top="1440" w:right="1080" w:bottom="1440" w:left="1080" w:header="0" w:footer="1200" w:gutter="0"/>
          <w:pgNumType w:fmt="decimal"/>
          <w:cols w:space="720" w:num="1"/>
        </w:sectPr>
      </w:pPr>
    </w:p>
    <w:p w14:paraId="40FF7774">
      <w:pPr>
        <w:pStyle w:val="3"/>
        <w:shd w:val="clear"/>
        <w:spacing w:before="78" w:line="224" w:lineRule="auto"/>
        <w:rPr>
          <w:rFonts w:hint="eastAsia" w:ascii="宋体" w:hAnsi="宋体" w:eastAsia="宋体" w:cs="宋体"/>
        </w:rPr>
      </w:pPr>
      <w:r>
        <w:rPr>
          <w:rFonts w:hint="eastAsia" w:ascii="宋体" w:hAnsi="宋体" w:eastAsia="宋体" w:cs="宋体"/>
          <w:b/>
          <w:bCs/>
          <w:spacing w:val="-9"/>
        </w:rPr>
        <w:t>说明：</w:t>
      </w:r>
    </w:p>
    <w:p w14:paraId="080D2309">
      <w:pPr>
        <w:pStyle w:val="3"/>
        <w:shd w:val="clear"/>
        <w:spacing w:before="177" w:line="220" w:lineRule="auto"/>
        <w:ind w:left="388"/>
        <w:rPr>
          <w:rFonts w:hint="eastAsia" w:ascii="宋体" w:hAnsi="宋体" w:eastAsia="宋体" w:cs="宋体"/>
        </w:rPr>
      </w:pPr>
      <w:r>
        <w:rPr>
          <w:rFonts w:hint="eastAsia" w:ascii="宋体" w:hAnsi="宋体" w:eastAsia="宋体" w:cs="宋体"/>
          <w:b/>
          <w:bCs/>
          <w:spacing w:val="-3"/>
        </w:rPr>
        <w:t>1.供应商提出质疑时，应提交质疑函和必要的证明材料。</w:t>
      </w:r>
    </w:p>
    <w:p w14:paraId="2911550F">
      <w:pPr>
        <w:pStyle w:val="3"/>
        <w:shd w:val="clear"/>
        <w:spacing w:before="181" w:line="360" w:lineRule="auto"/>
        <w:ind w:left="26" w:firstLine="347"/>
        <w:rPr>
          <w:rFonts w:hint="eastAsia" w:ascii="宋体" w:hAnsi="宋体" w:eastAsia="宋体" w:cs="宋体"/>
        </w:rPr>
      </w:pPr>
      <w:r>
        <w:rPr>
          <w:rFonts w:hint="eastAsia" w:ascii="宋体" w:hAnsi="宋体" w:eastAsia="宋体" w:cs="宋体"/>
          <w:b/>
          <w:bCs/>
          <w:spacing w:val="-2"/>
        </w:rPr>
        <w:t>2.质疑供应商若委托代理人进行质疑的，质疑</w:t>
      </w:r>
      <w:r>
        <w:rPr>
          <w:rFonts w:hint="eastAsia" w:ascii="宋体" w:hAnsi="宋体" w:eastAsia="宋体" w:cs="宋体"/>
          <w:b/>
          <w:bCs/>
          <w:spacing w:val="-3"/>
        </w:rPr>
        <w:t>函应按要求列明“授权代表</w:t>
      </w:r>
      <w:r>
        <w:rPr>
          <w:rFonts w:hint="eastAsia" w:ascii="宋体" w:hAnsi="宋体" w:eastAsia="宋体" w:cs="宋体"/>
          <w:spacing w:val="-86"/>
        </w:rPr>
        <w:t xml:space="preserve"> </w:t>
      </w:r>
      <w:r>
        <w:rPr>
          <w:rFonts w:hint="eastAsia" w:ascii="宋体" w:hAnsi="宋体" w:eastAsia="宋体" w:cs="宋体"/>
          <w:b/>
          <w:bCs/>
          <w:spacing w:val="-3"/>
        </w:rPr>
        <w:t>”的有关</w:t>
      </w:r>
      <w:r>
        <w:rPr>
          <w:rFonts w:hint="eastAsia" w:ascii="宋体" w:hAnsi="宋体" w:eastAsia="宋体" w:cs="宋体"/>
          <w:b/>
          <w:bCs/>
          <w:spacing w:val="-5"/>
        </w:rPr>
        <w:t>内容，并在附件中提交由质疑供应商签署的授权委托书。授权委托书应载明代理人的姓</w:t>
      </w:r>
      <w:r>
        <w:rPr>
          <w:rFonts w:hint="eastAsia" w:ascii="宋体" w:hAnsi="宋体" w:eastAsia="宋体" w:cs="宋体"/>
          <w:b/>
          <w:bCs/>
          <w:spacing w:val="-3"/>
        </w:rPr>
        <w:t>名或者名称、代理事项、具体权限、期限和相关事项。</w:t>
      </w:r>
    </w:p>
    <w:p w14:paraId="26B3C910">
      <w:pPr>
        <w:pStyle w:val="3"/>
        <w:shd w:val="clear"/>
        <w:spacing w:line="220" w:lineRule="auto"/>
        <w:ind w:left="375"/>
        <w:rPr>
          <w:rFonts w:hint="eastAsia" w:ascii="宋体" w:hAnsi="宋体" w:eastAsia="宋体" w:cs="宋体"/>
        </w:rPr>
      </w:pPr>
      <w:r>
        <w:rPr>
          <w:rFonts w:hint="eastAsia" w:ascii="宋体" w:hAnsi="宋体" w:eastAsia="宋体" w:cs="宋体"/>
          <w:b/>
          <w:bCs/>
          <w:spacing w:val="-2"/>
        </w:rPr>
        <w:t>3.质疑函的质疑事项应具体、明确，并有必要的事实依据和</w:t>
      </w:r>
      <w:r>
        <w:rPr>
          <w:rFonts w:hint="eastAsia" w:ascii="宋体" w:hAnsi="宋体" w:eastAsia="宋体" w:cs="宋体"/>
          <w:b/>
          <w:bCs/>
          <w:spacing w:val="-3"/>
        </w:rPr>
        <w:t>法律依据。</w:t>
      </w:r>
    </w:p>
    <w:p w14:paraId="7EE58587">
      <w:pPr>
        <w:pStyle w:val="3"/>
        <w:shd w:val="clear"/>
        <w:spacing w:before="181" w:line="220" w:lineRule="auto"/>
        <w:ind w:left="369"/>
        <w:rPr>
          <w:rFonts w:hint="eastAsia" w:ascii="宋体" w:hAnsi="宋体" w:eastAsia="宋体" w:cs="宋体"/>
        </w:rPr>
      </w:pPr>
      <w:r>
        <w:rPr>
          <w:rFonts w:hint="eastAsia" w:ascii="宋体" w:hAnsi="宋体" w:eastAsia="宋体" w:cs="宋体"/>
          <w:b/>
          <w:bCs/>
          <w:spacing w:val="-3"/>
        </w:rPr>
        <w:t>4.质疑函的质疑请求应与质疑事项相关。</w:t>
      </w:r>
    </w:p>
    <w:p w14:paraId="5B120B5B">
      <w:pPr>
        <w:pStyle w:val="3"/>
        <w:shd w:val="clear"/>
        <w:spacing w:before="181" w:line="360" w:lineRule="auto"/>
        <w:ind w:left="27" w:firstLine="348"/>
        <w:rPr>
          <w:rFonts w:hint="eastAsia" w:ascii="宋体" w:hAnsi="宋体" w:eastAsia="宋体" w:cs="宋体"/>
        </w:rPr>
      </w:pPr>
      <w:r>
        <w:rPr>
          <w:rFonts w:hint="eastAsia" w:ascii="宋体" w:hAnsi="宋体" w:eastAsia="宋体" w:cs="宋体"/>
          <w:b/>
          <w:bCs/>
          <w:spacing w:val="-1"/>
        </w:rPr>
        <w:t>5.质疑供应商为法人或者其他组织的，质</w:t>
      </w:r>
      <w:r>
        <w:rPr>
          <w:rFonts w:hint="eastAsia" w:ascii="宋体" w:hAnsi="宋体" w:eastAsia="宋体" w:cs="宋体"/>
          <w:b/>
          <w:bCs/>
          <w:spacing w:val="-2"/>
        </w:rPr>
        <w:t>疑函应由法定代表人、主要负责人，或者</w:t>
      </w:r>
      <w:r>
        <w:rPr>
          <w:rFonts w:hint="eastAsia" w:ascii="宋体" w:hAnsi="宋体" w:eastAsia="宋体" w:cs="宋体"/>
          <w:b/>
          <w:bCs/>
          <w:spacing w:val="-3"/>
        </w:rPr>
        <w:t>其授权代表签字或者盖章，并加盖公章。</w:t>
      </w:r>
    </w:p>
    <w:p w14:paraId="6584CF13">
      <w:pPr>
        <w:shd w:val="clear"/>
        <w:spacing w:line="360" w:lineRule="auto"/>
        <w:rPr>
          <w:rFonts w:hint="eastAsia" w:ascii="宋体" w:hAnsi="宋体" w:eastAsia="宋体" w:cs="宋体"/>
        </w:rPr>
        <w:sectPr>
          <w:footerReference r:id="rId39" w:type="default"/>
          <w:pgSz w:w="11906" w:h="16839"/>
          <w:pgMar w:top="1440" w:right="1080" w:bottom="1440" w:left="1080" w:header="0" w:footer="1200" w:gutter="0"/>
          <w:pgNumType w:fmt="decimal"/>
          <w:cols w:space="720" w:num="1"/>
        </w:sectPr>
      </w:pPr>
    </w:p>
    <w:p w14:paraId="71013A9E">
      <w:pPr>
        <w:pStyle w:val="3"/>
        <w:shd w:val="clear"/>
        <w:spacing w:before="140" w:line="226" w:lineRule="auto"/>
        <w:ind w:left="3003"/>
        <w:rPr>
          <w:rFonts w:hint="eastAsia" w:ascii="宋体" w:hAnsi="宋体" w:eastAsia="宋体" w:cs="宋体"/>
          <w:sz w:val="43"/>
          <w:szCs w:val="43"/>
        </w:rPr>
      </w:pPr>
      <w:r>
        <w:rPr>
          <w:rFonts w:hint="eastAsia" w:ascii="宋体" w:hAnsi="宋体" w:eastAsia="宋体" w:cs="宋体"/>
          <w:spacing w:val="4"/>
          <w:sz w:val="43"/>
          <w:szCs w:val="43"/>
        </w:rPr>
        <w:t>投诉书（格式）</w:t>
      </w:r>
    </w:p>
    <w:p w14:paraId="7B79D538">
      <w:pPr>
        <w:pStyle w:val="3"/>
        <w:shd w:val="clear"/>
        <w:spacing w:before="39" w:line="222" w:lineRule="auto"/>
        <w:ind w:left="478"/>
        <w:rPr>
          <w:rFonts w:hint="eastAsia" w:ascii="宋体" w:hAnsi="宋体" w:eastAsia="宋体" w:cs="宋体"/>
        </w:rPr>
      </w:pPr>
      <w:r>
        <w:rPr>
          <w:rFonts w:hint="eastAsia" w:ascii="宋体" w:hAnsi="宋体" w:eastAsia="宋体" w:cs="宋体"/>
          <w:b/>
          <w:bCs/>
          <w:spacing w:val="-4"/>
        </w:rPr>
        <w:t>一、投诉相关主体基本情况：</w:t>
      </w:r>
    </w:p>
    <w:p w14:paraId="640D9399">
      <w:pPr>
        <w:pStyle w:val="3"/>
        <w:shd w:val="clear"/>
        <w:spacing w:before="179" w:line="223" w:lineRule="auto"/>
        <w:ind w:left="475"/>
        <w:rPr>
          <w:rFonts w:hint="eastAsia" w:ascii="宋体" w:hAnsi="宋体" w:eastAsia="宋体" w:cs="宋体"/>
        </w:rPr>
      </w:pPr>
      <w:r>
        <w:rPr>
          <w:rFonts w:hint="eastAsia" w:ascii="宋体" w:hAnsi="宋体" w:eastAsia="宋体" w:cs="宋体"/>
          <w:spacing w:val="-2"/>
        </w:rPr>
        <w:t>供应商：</w:t>
      </w:r>
      <w:r>
        <w:rPr>
          <w:rFonts w:hint="eastAsia" w:ascii="宋体" w:hAnsi="宋体" w:eastAsia="宋体" w:cs="宋体"/>
          <w:spacing w:val="-2"/>
          <w:u w:val="single" w:color="auto"/>
        </w:rPr>
        <w:t xml:space="preserve">                 </w:t>
      </w:r>
      <w:r>
        <w:rPr>
          <w:rFonts w:hint="eastAsia" w:ascii="宋体" w:hAnsi="宋体" w:eastAsia="宋体" w:cs="宋体"/>
          <w:spacing w:val="-3"/>
          <w:u w:val="single" w:color="auto"/>
        </w:rPr>
        <w:t xml:space="preserve">                                                </w:t>
      </w:r>
    </w:p>
    <w:p w14:paraId="5A23B001">
      <w:pPr>
        <w:pStyle w:val="3"/>
        <w:shd w:val="clear"/>
        <w:spacing w:before="175" w:line="222" w:lineRule="auto"/>
        <w:ind w:left="475"/>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7765F1D0">
      <w:pPr>
        <w:pStyle w:val="3"/>
        <w:shd w:val="clear"/>
        <w:spacing w:before="179" w:line="223" w:lineRule="auto"/>
        <w:ind w:left="481"/>
        <w:rPr>
          <w:rFonts w:hint="eastAsia" w:ascii="宋体" w:hAnsi="宋体" w:eastAsia="宋体" w:cs="宋体"/>
        </w:rPr>
      </w:pPr>
      <w:r>
        <w:rPr>
          <w:rFonts w:hint="eastAsia" w:ascii="宋体" w:hAnsi="宋体" w:eastAsia="宋体" w:cs="宋体"/>
          <w:spacing w:val="-2"/>
        </w:rPr>
        <w:t>法定代表人/主要负责人：</w:t>
      </w:r>
      <w:r>
        <w:rPr>
          <w:rFonts w:hint="eastAsia" w:ascii="宋体" w:hAnsi="宋体" w:eastAsia="宋体" w:cs="宋体"/>
          <w:u w:val="single" w:color="auto"/>
        </w:rPr>
        <w:t xml:space="preserve">                                                 </w:t>
      </w:r>
    </w:p>
    <w:p w14:paraId="429B2B7A">
      <w:pPr>
        <w:pStyle w:val="3"/>
        <w:shd w:val="clear"/>
        <w:spacing w:before="176" w:line="223" w:lineRule="auto"/>
        <w:ind w:left="471"/>
        <w:rPr>
          <w:rFonts w:hint="eastAsia" w:ascii="宋体" w:hAnsi="宋体" w:eastAsia="宋体" w:cs="宋体"/>
        </w:rPr>
      </w:pPr>
      <w:r>
        <w:rPr>
          <w:rFonts w:hint="eastAsia" w:ascii="宋体" w:hAnsi="宋体" w:eastAsia="宋体" w:cs="宋体"/>
          <w:spacing w:val="-3"/>
        </w:rPr>
        <w:t>联系电话：</w:t>
      </w:r>
      <w:r>
        <w:rPr>
          <w:rFonts w:hint="eastAsia" w:ascii="宋体" w:hAnsi="宋体" w:eastAsia="宋体" w:cs="宋体"/>
          <w:u w:val="single" w:color="auto"/>
        </w:rPr>
        <w:t xml:space="preserve">                                         </w:t>
      </w:r>
    </w:p>
    <w:p w14:paraId="63980772">
      <w:pPr>
        <w:pStyle w:val="3"/>
        <w:shd w:val="clear"/>
        <w:spacing w:before="179" w:line="222" w:lineRule="auto"/>
        <w:ind w:left="474"/>
        <w:rPr>
          <w:rFonts w:hint="eastAsia" w:ascii="宋体" w:hAnsi="宋体" w:eastAsia="宋体" w:cs="宋体"/>
        </w:rPr>
      </w:pPr>
      <w:r>
        <w:rPr>
          <w:rFonts w:hint="eastAsia" w:ascii="宋体" w:hAnsi="宋体" w:eastAsia="宋体" w:cs="宋体"/>
          <w:spacing w:val="-1"/>
        </w:rPr>
        <w:t>授权代表：</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r>
        <w:rPr>
          <w:rFonts w:hint="eastAsia" w:ascii="宋体" w:hAnsi="宋体" w:eastAsia="宋体" w:cs="宋体"/>
          <w:spacing w:val="-106"/>
        </w:rPr>
        <w:t xml:space="preserve"> </w:t>
      </w:r>
      <w:r>
        <w:rPr>
          <w:rFonts w:hint="eastAsia" w:ascii="宋体" w:hAnsi="宋体" w:eastAsia="宋体" w:cs="宋体"/>
          <w:spacing w:val="-2"/>
        </w:rPr>
        <w:t>联系电话：</w:t>
      </w:r>
      <w:r>
        <w:rPr>
          <w:rFonts w:hint="eastAsia" w:ascii="宋体" w:hAnsi="宋体" w:eastAsia="宋体" w:cs="宋体"/>
          <w:spacing w:val="-2"/>
          <w:u w:val="single" w:color="auto"/>
        </w:rPr>
        <w:t xml:space="preserve">           </w:t>
      </w:r>
    </w:p>
    <w:p w14:paraId="3B52209F">
      <w:pPr>
        <w:pStyle w:val="3"/>
        <w:shd w:val="clear"/>
        <w:spacing w:before="176" w:line="232" w:lineRule="auto"/>
        <w:ind w:left="475"/>
        <w:rPr>
          <w:rFonts w:hint="eastAsia" w:ascii="宋体" w:hAnsi="宋体" w:eastAsia="宋体" w:cs="宋体"/>
        </w:rPr>
      </w:pPr>
      <w:r>
        <w:rPr>
          <w:rFonts w:hint="eastAsia" w:ascii="宋体" w:hAnsi="宋体" w:eastAsia="宋体" w:cs="宋体"/>
          <w:spacing w:val="-6"/>
        </w:rPr>
        <w:t>地址：</w:t>
      </w:r>
      <w:r>
        <w:rPr>
          <w:rFonts w:hint="eastAsia" w:ascii="宋体" w:hAnsi="宋体" w:eastAsia="宋体" w:cs="宋体"/>
          <w:u w:val="single" w:color="auto"/>
        </w:rPr>
        <w:t xml:space="preserve">                                                            </w:t>
      </w:r>
    </w:p>
    <w:p w14:paraId="77E4AD8A">
      <w:pPr>
        <w:pStyle w:val="3"/>
        <w:shd w:val="clear"/>
        <w:spacing w:before="166" w:line="222" w:lineRule="auto"/>
        <w:ind w:left="492"/>
        <w:rPr>
          <w:rFonts w:hint="eastAsia" w:ascii="宋体" w:hAnsi="宋体" w:eastAsia="宋体" w:cs="宋体"/>
        </w:rPr>
      </w:pPr>
      <w:r>
        <w:rPr>
          <w:rFonts w:hint="eastAsia" w:ascii="宋体" w:hAnsi="宋体" w:eastAsia="宋体" w:cs="宋体"/>
          <w:spacing w:val="-12"/>
        </w:rPr>
        <w:t>邮编：</w:t>
      </w:r>
      <w:r>
        <w:rPr>
          <w:rFonts w:hint="eastAsia" w:ascii="宋体" w:hAnsi="宋体" w:eastAsia="宋体" w:cs="宋体"/>
          <w:u w:val="single" w:color="auto"/>
        </w:rPr>
        <w:t xml:space="preserve">         </w:t>
      </w:r>
    </w:p>
    <w:p w14:paraId="0A86DC34">
      <w:pPr>
        <w:pStyle w:val="3"/>
        <w:shd w:val="clear"/>
        <w:spacing w:before="180" w:line="222" w:lineRule="auto"/>
        <w:ind w:left="474"/>
        <w:rPr>
          <w:rFonts w:hint="eastAsia" w:ascii="宋体" w:hAnsi="宋体" w:eastAsia="宋体" w:cs="宋体"/>
        </w:rPr>
      </w:pPr>
      <w:r>
        <w:rPr>
          <w:rFonts w:hint="eastAsia" w:ascii="宋体" w:hAnsi="宋体" w:eastAsia="宋体" w:cs="宋体"/>
          <w:spacing w:val="-7"/>
        </w:rPr>
        <w:t>被投诉人</w:t>
      </w:r>
      <w:r>
        <w:rPr>
          <w:rFonts w:hint="eastAsia" w:ascii="宋体" w:hAnsi="宋体" w:eastAsia="宋体" w:cs="宋体"/>
          <w:spacing w:val="-34"/>
        </w:rPr>
        <w:t xml:space="preserve"> </w:t>
      </w:r>
      <w:r>
        <w:rPr>
          <w:rFonts w:hint="eastAsia" w:ascii="宋体" w:hAnsi="宋体" w:eastAsia="宋体" w:cs="宋体"/>
          <w:spacing w:val="-7"/>
        </w:rPr>
        <w:t>1：</w:t>
      </w:r>
    </w:p>
    <w:p w14:paraId="10DE7F16">
      <w:pPr>
        <w:pStyle w:val="3"/>
        <w:shd w:val="clear"/>
        <w:spacing w:before="177" w:line="232" w:lineRule="auto"/>
        <w:ind w:left="475"/>
        <w:rPr>
          <w:rFonts w:hint="eastAsia" w:ascii="宋体" w:hAnsi="宋体" w:eastAsia="宋体" w:cs="宋体"/>
        </w:rPr>
      </w:pPr>
      <w:r>
        <w:rPr>
          <w:rFonts w:hint="eastAsia" w:ascii="宋体" w:hAnsi="宋体" w:eastAsia="宋体" w:cs="宋体"/>
          <w:spacing w:val="-6"/>
        </w:rPr>
        <w:t>地址：</w:t>
      </w:r>
      <w:r>
        <w:rPr>
          <w:rFonts w:hint="eastAsia" w:ascii="宋体" w:hAnsi="宋体" w:eastAsia="宋体" w:cs="宋体"/>
          <w:u w:val="single" w:color="auto"/>
        </w:rPr>
        <w:t xml:space="preserve">                                                            </w:t>
      </w:r>
    </w:p>
    <w:p w14:paraId="3F5A19C0">
      <w:pPr>
        <w:pStyle w:val="3"/>
        <w:shd w:val="clear"/>
        <w:spacing w:before="163" w:line="222" w:lineRule="auto"/>
        <w:ind w:left="492"/>
        <w:rPr>
          <w:rFonts w:hint="eastAsia" w:ascii="宋体" w:hAnsi="宋体" w:eastAsia="宋体" w:cs="宋体"/>
        </w:rPr>
      </w:pPr>
      <w:r>
        <w:rPr>
          <w:rFonts w:hint="eastAsia" w:ascii="宋体" w:hAnsi="宋体" w:eastAsia="宋体" w:cs="宋体"/>
          <w:spacing w:val="-12"/>
        </w:rPr>
        <w:t>邮编：</w:t>
      </w:r>
      <w:r>
        <w:rPr>
          <w:rFonts w:hint="eastAsia" w:ascii="宋体" w:hAnsi="宋体" w:eastAsia="宋体" w:cs="宋体"/>
          <w:u w:val="single" w:color="auto"/>
        </w:rPr>
        <w:t xml:space="preserve">         </w:t>
      </w:r>
    </w:p>
    <w:p w14:paraId="6A6CD970">
      <w:pPr>
        <w:pStyle w:val="3"/>
        <w:shd w:val="clear"/>
        <w:spacing w:before="180" w:line="223" w:lineRule="auto"/>
        <w:ind w:left="471"/>
        <w:rPr>
          <w:rFonts w:hint="eastAsia" w:ascii="宋体" w:hAnsi="宋体" w:eastAsia="宋体" w:cs="宋体"/>
        </w:rPr>
      </w:pPr>
      <w:r>
        <w:rPr>
          <w:rFonts w:hint="eastAsia" w:ascii="宋体" w:hAnsi="宋体" w:eastAsia="宋体" w:cs="宋体"/>
          <w:spacing w:val="-1"/>
        </w:rPr>
        <w:t>联系人：</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r>
        <w:rPr>
          <w:rFonts w:hint="eastAsia" w:ascii="宋体" w:hAnsi="宋体" w:eastAsia="宋体" w:cs="宋体"/>
          <w:spacing w:val="-107"/>
        </w:rPr>
        <w:t xml:space="preserve"> </w:t>
      </w:r>
      <w:r>
        <w:rPr>
          <w:rFonts w:hint="eastAsia" w:ascii="宋体" w:hAnsi="宋体" w:eastAsia="宋体" w:cs="宋体"/>
          <w:spacing w:val="-2"/>
        </w:rPr>
        <w:t>联系电话：</w:t>
      </w:r>
      <w:r>
        <w:rPr>
          <w:rFonts w:hint="eastAsia" w:ascii="宋体" w:hAnsi="宋体" w:eastAsia="宋体" w:cs="宋体"/>
          <w:spacing w:val="-2"/>
          <w:u w:val="single" w:color="auto"/>
        </w:rPr>
        <w:t xml:space="preserve">      </w:t>
      </w:r>
    </w:p>
    <w:p w14:paraId="17B4FAE9">
      <w:pPr>
        <w:pStyle w:val="3"/>
        <w:shd w:val="clear"/>
        <w:spacing w:before="179" w:line="222" w:lineRule="auto"/>
        <w:ind w:left="474"/>
        <w:rPr>
          <w:rFonts w:hint="eastAsia" w:ascii="宋体" w:hAnsi="宋体" w:eastAsia="宋体" w:cs="宋体"/>
        </w:rPr>
      </w:pPr>
      <w:r>
        <w:rPr>
          <w:rFonts w:hint="eastAsia" w:ascii="宋体" w:hAnsi="宋体" w:eastAsia="宋体" w:cs="宋体"/>
          <w:spacing w:val="-5"/>
        </w:rPr>
        <w:t>被投诉人</w:t>
      </w:r>
      <w:r>
        <w:rPr>
          <w:rFonts w:hint="eastAsia" w:ascii="宋体" w:hAnsi="宋体" w:eastAsia="宋体" w:cs="宋体"/>
          <w:spacing w:val="-47"/>
        </w:rPr>
        <w:t xml:space="preserve"> </w:t>
      </w:r>
      <w:r>
        <w:rPr>
          <w:rFonts w:hint="eastAsia" w:ascii="宋体" w:hAnsi="宋体" w:eastAsia="宋体" w:cs="宋体"/>
          <w:spacing w:val="-5"/>
        </w:rPr>
        <w:t>2：</w:t>
      </w:r>
    </w:p>
    <w:p w14:paraId="0B056894">
      <w:pPr>
        <w:pStyle w:val="3"/>
        <w:shd w:val="clear"/>
        <w:spacing w:before="176" w:line="383" w:lineRule="exact"/>
        <w:ind w:left="483"/>
        <w:rPr>
          <w:rFonts w:hint="eastAsia" w:ascii="宋体" w:hAnsi="宋体" w:eastAsia="宋体" w:cs="宋体"/>
        </w:rPr>
      </w:pPr>
      <w:r>
        <w:rPr>
          <w:rFonts w:hint="eastAsia" w:ascii="宋体" w:hAnsi="宋体" w:eastAsia="宋体" w:cs="宋体"/>
          <w:spacing w:val="-13"/>
          <w:position w:val="3"/>
        </w:rPr>
        <w:t>……</w:t>
      </w:r>
    </w:p>
    <w:p w14:paraId="69EE2C49">
      <w:pPr>
        <w:pStyle w:val="3"/>
        <w:shd w:val="clear"/>
        <w:spacing w:before="85" w:line="222" w:lineRule="auto"/>
        <w:ind w:left="476"/>
        <w:rPr>
          <w:rFonts w:hint="eastAsia" w:ascii="宋体" w:hAnsi="宋体" w:eastAsia="宋体" w:cs="宋体"/>
        </w:rPr>
      </w:pPr>
      <w:r>
        <w:rPr>
          <w:rFonts w:hint="eastAsia" w:ascii="宋体" w:hAnsi="宋体" w:eastAsia="宋体" w:cs="宋体"/>
          <w:spacing w:val="-3"/>
        </w:rPr>
        <w:t>相关供应商：</w:t>
      </w:r>
      <w:r>
        <w:rPr>
          <w:rFonts w:hint="eastAsia" w:ascii="宋体" w:hAnsi="宋体" w:eastAsia="宋体" w:cs="宋体"/>
          <w:u w:val="single" w:color="auto"/>
        </w:rPr>
        <w:t xml:space="preserve">                                                            </w:t>
      </w:r>
    </w:p>
    <w:p w14:paraId="6DC92F7F">
      <w:pPr>
        <w:pStyle w:val="3"/>
        <w:shd w:val="clear"/>
        <w:spacing w:before="177" w:line="222" w:lineRule="auto"/>
        <w:ind w:left="475"/>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4C38A0F3">
      <w:pPr>
        <w:pStyle w:val="3"/>
        <w:shd w:val="clear"/>
        <w:spacing w:before="180" w:line="223" w:lineRule="auto"/>
        <w:ind w:left="471"/>
        <w:rPr>
          <w:rFonts w:hint="eastAsia" w:ascii="宋体" w:hAnsi="宋体" w:eastAsia="宋体" w:cs="宋体"/>
        </w:rPr>
      </w:pPr>
      <w:r>
        <w:rPr>
          <w:rFonts w:hint="eastAsia" w:ascii="宋体" w:hAnsi="宋体" w:eastAsia="宋体" w:cs="宋体"/>
          <w:spacing w:val="-1"/>
        </w:rPr>
        <w:t>联系人：</w:t>
      </w:r>
      <w:r>
        <w:rPr>
          <w:rFonts w:hint="eastAsia" w:ascii="宋体" w:hAnsi="宋体" w:eastAsia="宋体" w:cs="宋体"/>
          <w:spacing w:val="-1"/>
          <w:u w:val="single" w:color="auto"/>
        </w:rPr>
        <w:t xml:space="preserve">                                            </w:t>
      </w:r>
      <w:r>
        <w:rPr>
          <w:rFonts w:hint="eastAsia" w:ascii="宋体" w:hAnsi="宋体" w:eastAsia="宋体" w:cs="宋体"/>
          <w:spacing w:val="-107"/>
        </w:rPr>
        <w:t xml:space="preserve"> </w:t>
      </w:r>
      <w:r>
        <w:rPr>
          <w:rFonts w:hint="eastAsia" w:ascii="宋体" w:hAnsi="宋体" w:eastAsia="宋体" w:cs="宋体"/>
          <w:spacing w:val="-1"/>
        </w:rPr>
        <w:t>联系</w:t>
      </w:r>
      <w:r>
        <w:rPr>
          <w:rFonts w:hint="eastAsia" w:ascii="宋体" w:hAnsi="宋体" w:eastAsia="宋体" w:cs="宋体"/>
          <w:spacing w:val="-2"/>
        </w:rPr>
        <w:t>电话：</w:t>
      </w:r>
      <w:r>
        <w:rPr>
          <w:rFonts w:hint="eastAsia" w:ascii="宋体" w:hAnsi="宋体" w:eastAsia="宋体" w:cs="宋体"/>
          <w:spacing w:val="-2"/>
          <w:u w:val="single" w:color="auto"/>
        </w:rPr>
        <w:t xml:space="preserve">          </w:t>
      </w:r>
    </w:p>
    <w:p w14:paraId="384FD175">
      <w:pPr>
        <w:pStyle w:val="3"/>
        <w:shd w:val="clear"/>
        <w:spacing w:before="176" w:line="222" w:lineRule="auto"/>
        <w:ind w:left="481"/>
        <w:rPr>
          <w:rFonts w:hint="eastAsia" w:ascii="宋体" w:hAnsi="宋体" w:eastAsia="宋体" w:cs="宋体"/>
        </w:rPr>
      </w:pPr>
      <w:r>
        <w:rPr>
          <w:rFonts w:hint="eastAsia" w:ascii="宋体" w:hAnsi="宋体" w:eastAsia="宋体" w:cs="宋体"/>
          <w:b/>
          <w:bCs/>
          <w:spacing w:val="-4"/>
        </w:rPr>
        <w:t>二、投诉项目基本情况：</w:t>
      </w:r>
    </w:p>
    <w:p w14:paraId="213866BE">
      <w:pPr>
        <w:pStyle w:val="3"/>
        <w:shd w:val="clear"/>
        <w:spacing w:before="258" w:line="221" w:lineRule="auto"/>
        <w:ind w:left="495"/>
        <w:rPr>
          <w:rFonts w:hint="eastAsia" w:ascii="宋体" w:hAnsi="宋体" w:eastAsia="宋体" w:cs="宋体"/>
        </w:rPr>
      </w:pPr>
      <w:r>
        <w:rPr>
          <w:rFonts w:hint="eastAsia" w:ascii="宋体" w:hAnsi="宋体" w:eastAsia="宋体" w:cs="宋体"/>
          <w:spacing w:val="-1"/>
        </w:rPr>
        <w:t>采购项目的名称：</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3FD8B22A">
      <w:pPr>
        <w:pStyle w:val="3"/>
        <w:shd w:val="clear"/>
        <w:spacing w:before="181" w:line="222" w:lineRule="auto"/>
        <w:ind w:left="495"/>
        <w:rPr>
          <w:rFonts w:hint="eastAsia" w:ascii="宋体" w:hAnsi="宋体" w:eastAsia="宋体" w:cs="宋体"/>
        </w:rPr>
      </w:pPr>
      <w:r>
        <w:rPr>
          <w:rFonts w:hint="eastAsia" w:ascii="宋体" w:hAnsi="宋体" w:eastAsia="宋体" w:cs="宋体"/>
          <w:spacing w:val="-3"/>
        </w:rPr>
        <w:t>采购项目的编号：</w:t>
      </w:r>
      <w:r>
        <w:rPr>
          <w:rFonts w:hint="eastAsia" w:ascii="宋体" w:hAnsi="宋体" w:eastAsia="宋体" w:cs="宋体"/>
          <w:u w:val="single" w:color="auto"/>
        </w:rPr>
        <w:t xml:space="preserve">                                          </w:t>
      </w:r>
    </w:p>
    <w:p w14:paraId="5E620A61">
      <w:pPr>
        <w:pStyle w:val="3"/>
        <w:shd w:val="clear"/>
        <w:tabs>
          <w:tab w:val="left" w:pos="9050"/>
        </w:tabs>
        <w:spacing w:before="179" w:line="360" w:lineRule="auto"/>
        <w:ind w:left="495"/>
        <w:jc w:val="both"/>
        <w:rPr>
          <w:rFonts w:hint="eastAsia" w:ascii="宋体" w:hAnsi="宋体" w:eastAsia="宋体" w:cs="宋体"/>
        </w:rPr>
      </w:pPr>
      <w:r>
        <w:rPr>
          <w:rFonts w:hint="eastAsia" w:ascii="宋体" w:hAnsi="宋体" w:eastAsia="宋体" w:cs="宋体"/>
          <w:spacing w:val="-3"/>
        </w:rPr>
        <w:t>采购人名称：</w:t>
      </w:r>
      <w:r>
        <w:rPr>
          <w:rFonts w:hint="eastAsia" w:ascii="宋体" w:hAnsi="宋体" w:eastAsia="宋体" w:cs="宋体"/>
          <w:u w:val="single" w:color="auto"/>
        </w:rPr>
        <w:tab/>
      </w:r>
      <w:r>
        <w:rPr>
          <w:rFonts w:hint="eastAsia" w:ascii="宋体" w:hAnsi="宋体" w:eastAsia="宋体" w:cs="宋体"/>
        </w:rPr>
        <w:t xml:space="preserve"> </w:t>
      </w:r>
    </w:p>
    <w:p w14:paraId="64AEEDD5">
      <w:pPr>
        <w:pStyle w:val="3"/>
        <w:shd w:val="clear"/>
        <w:tabs>
          <w:tab w:val="left" w:pos="9050"/>
        </w:tabs>
        <w:spacing w:before="179" w:line="360" w:lineRule="auto"/>
        <w:ind w:left="495"/>
        <w:jc w:val="both"/>
        <w:rPr>
          <w:rFonts w:hint="eastAsia" w:ascii="宋体" w:hAnsi="宋体" w:eastAsia="宋体" w:cs="宋体"/>
        </w:rPr>
      </w:pPr>
      <w:r>
        <w:rPr>
          <w:rFonts w:hint="eastAsia" w:ascii="宋体" w:hAnsi="宋体" w:eastAsia="宋体" w:cs="宋体"/>
          <w:spacing w:val="-3"/>
        </w:rPr>
        <w:t>代理机构名称：</w:t>
      </w:r>
      <w:r>
        <w:rPr>
          <w:rFonts w:hint="eastAsia" w:ascii="宋体" w:hAnsi="宋体" w:eastAsia="宋体" w:cs="宋体"/>
          <w:u w:val="single" w:color="auto"/>
        </w:rPr>
        <w:tab/>
      </w:r>
      <w:r>
        <w:rPr>
          <w:rFonts w:hint="eastAsia" w:ascii="宋体" w:hAnsi="宋体" w:eastAsia="宋体" w:cs="宋体"/>
        </w:rPr>
        <w:t xml:space="preserve"> </w:t>
      </w:r>
    </w:p>
    <w:p w14:paraId="49FC6018">
      <w:pPr>
        <w:pStyle w:val="3"/>
        <w:shd w:val="clear"/>
        <w:tabs>
          <w:tab w:val="left" w:pos="9050"/>
        </w:tabs>
        <w:spacing w:before="179" w:line="360" w:lineRule="auto"/>
        <w:ind w:left="495"/>
        <w:jc w:val="both"/>
        <w:rPr>
          <w:rFonts w:hint="eastAsia" w:ascii="宋体" w:hAnsi="宋体" w:eastAsia="宋体" w:cs="宋体"/>
        </w:rPr>
      </w:pPr>
      <w:r>
        <w:rPr>
          <w:rFonts w:hint="eastAsia" w:ascii="宋体" w:hAnsi="宋体" w:eastAsia="宋体" w:cs="宋体"/>
          <w:spacing w:val="-1"/>
        </w:rPr>
        <w:t>采购文件公告：</w:t>
      </w:r>
      <w:r>
        <w:rPr>
          <w:rFonts w:hint="eastAsia" w:ascii="宋体" w:hAnsi="宋体" w:eastAsia="宋体" w:cs="宋体"/>
          <w:spacing w:val="-1"/>
          <w:u w:val="single" w:color="auto"/>
        </w:rPr>
        <w:t>是/否</w:t>
      </w:r>
      <w:r>
        <w:rPr>
          <w:rFonts w:hint="eastAsia" w:ascii="宋体" w:hAnsi="宋体" w:eastAsia="宋体" w:cs="宋体"/>
          <w:spacing w:val="-1"/>
        </w:rPr>
        <w:t>公告期限：</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0A736D76">
      <w:pPr>
        <w:pStyle w:val="3"/>
        <w:shd w:val="clear"/>
        <w:spacing w:before="1" w:line="222" w:lineRule="auto"/>
        <w:ind w:left="495"/>
        <w:rPr>
          <w:rFonts w:hint="eastAsia" w:ascii="宋体" w:hAnsi="宋体" w:eastAsia="宋体" w:cs="宋体"/>
        </w:rPr>
      </w:pPr>
      <w:r>
        <w:rPr>
          <w:rFonts w:hint="eastAsia" w:ascii="宋体" w:hAnsi="宋体" w:eastAsia="宋体" w:cs="宋体"/>
          <w:spacing w:val="-1"/>
        </w:rPr>
        <w:t>采购结果公告：</w:t>
      </w:r>
      <w:r>
        <w:rPr>
          <w:rFonts w:hint="eastAsia" w:ascii="宋体" w:hAnsi="宋体" w:eastAsia="宋体" w:cs="宋体"/>
          <w:spacing w:val="-1"/>
          <w:u w:val="single" w:color="auto"/>
        </w:rPr>
        <w:t>是/否</w:t>
      </w:r>
      <w:r>
        <w:rPr>
          <w:rFonts w:hint="eastAsia" w:ascii="宋体" w:hAnsi="宋体" w:eastAsia="宋体" w:cs="宋体"/>
          <w:spacing w:val="-1"/>
        </w:rPr>
        <w:t>公告期限：</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62BBCB0B">
      <w:pPr>
        <w:pStyle w:val="3"/>
        <w:shd w:val="clear"/>
        <w:spacing w:before="179" w:line="222" w:lineRule="auto"/>
        <w:ind w:left="497"/>
        <w:rPr>
          <w:rFonts w:hint="eastAsia" w:ascii="宋体" w:hAnsi="宋体" w:eastAsia="宋体" w:cs="宋体"/>
        </w:rPr>
      </w:pPr>
      <w:r>
        <w:rPr>
          <w:rFonts w:hint="eastAsia" w:ascii="宋体" w:hAnsi="宋体" w:eastAsia="宋体" w:cs="宋体"/>
          <w:b/>
          <w:bCs/>
          <w:spacing w:val="-5"/>
        </w:rPr>
        <w:t>三、质疑基本情况</w:t>
      </w:r>
    </w:p>
    <w:p w14:paraId="21F79124">
      <w:pPr>
        <w:pStyle w:val="3"/>
        <w:shd w:val="clear"/>
        <w:spacing w:before="180" w:line="361" w:lineRule="auto"/>
        <w:ind w:right="6" w:firstLine="473"/>
        <w:rPr>
          <w:rFonts w:hint="eastAsia" w:ascii="宋体" w:hAnsi="宋体" w:eastAsia="宋体" w:cs="宋体"/>
          <w:u w:val="none"/>
        </w:rPr>
      </w:pPr>
      <w:r>
        <w:rPr>
          <w:rFonts w:hint="eastAsia" w:ascii="宋体" w:hAnsi="宋体" w:eastAsia="宋体" w:cs="宋体"/>
          <w:spacing w:val="-9"/>
        </w:rPr>
        <w:t>投诉人于</w:t>
      </w:r>
      <w:r>
        <w:rPr>
          <w:rFonts w:hint="eastAsia" w:ascii="宋体" w:hAnsi="宋体" w:eastAsia="宋体" w:cs="宋体"/>
          <w:spacing w:val="2"/>
          <w:u w:val="single" w:color="auto"/>
        </w:rPr>
        <w:t xml:space="preserve">      </w:t>
      </w:r>
      <w:r>
        <w:rPr>
          <w:rFonts w:hint="eastAsia" w:ascii="宋体" w:hAnsi="宋体" w:eastAsia="宋体" w:cs="宋体"/>
          <w:spacing w:val="-96"/>
        </w:rPr>
        <w:t xml:space="preserve"> </w:t>
      </w:r>
      <w:r>
        <w:rPr>
          <w:rFonts w:hint="eastAsia" w:ascii="宋体" w:hAnsi="宋体" w:eastAsia="宋体" w:cs="宋体"/>
          <w:spacing w:val="-9"/>
        </w:rPr>
        <w:t>年</w:t>
      </w:r>
      <w:r>
        <w:rPr>
          <w:rFonts w:hint="eastAsia" w:ascii="宋体" w:hAnsi="宋体" w:eastAsia="宋体" w:cs="宋体"/>
          <w:spacing w:val="-9"/>
          <w:u w:val="single" w:color="auto"/>
        </w:rPr>
        <w:t xml:space="preserve">   </w:t>
      </w:r>
      <w:r>
        <w:rPr>
          <w:rFonts w:hint="eastAsia" w:ascii="宋体" w:hAnsi="宋体" w:eastAsia="宋体" w:cs="宋体"/>
          <w:spacing w:val="-93"/>
        </w:rPr>
        <w:t xml:space="preserve"> </w:t>
      </w:r>
      <w:r>
        <w:rPr>
          <w:rFonts w:hint="eastAsia" w:ascii="宋体" w:hAnsi="宋体" w:eastAsia="宋体" w:cs="宋体"/>
          <w:spacing w:val="-9"/>
        </w:rPr>
        <w:t>月</w:t>
      </w:r>
      <w:r>
        <w:rPr>
          <w:rFonts w:hint="eastAsia" w:ascii="宋体" w:hAnsi="宋体" w:eastAsia="宋体" w:cs="宋体"/>
          <w:u w:val="single" w:color="auto"/>
        </w:rPr>
        <w:t xml:space="preserve">   </w:t>
      </w:r>
      <w:r>
        <w:rPr>
          <w:rFonts w:hint="eastAsia" w:ascii="宋体" w:hAnsi="宋体" w:eastAsia="宋体" w:cs="宋体"/>
          <w:spacing w:val="-53"/>
        </w:rPr>
        <w:t xml:space="preserve"> </w:t>
      </w:r>
      <w:r>
        <w:rPr>
          <w:rFonts w:hint="eastAsia" w:ascii="宋体" w:hAnsi="宋体" w:eastAsia="宋体" w:cs="宋体"/>
          <w:spacing w:val="-9"/>
        </w:rPr>
        <w:t>日，向</w:t>
      </w:r>
      <w:r>
        <w:rPr>
          <w:rFonts w:hint="eastAsia" w:ascii="宋体" w:hAnsi="宋体" w:eastAsia="宋体" w:cs="宋体"/>
          <w:spacing w:val="-9"/>
          <w:u w:val="single" w:color="auto"/>
        </w:rPr>
        <w:t xml:space="preserve">                                  </w:t>
      </w:r>
      <w:r>
        <w:rPr>
          <w:rFonts w:hint="eastAsia" w:ascii="宋体" w:hAnsi="宋体" w:eastAsia="宋体" w:cs="宋体"/>
          <w:spacing w:val="-102"/>
        </w:rPr>
        <w:t xml:space="preserve"> </w:t>
      </w:r>
      <w:r>
        <w:rPr>
          <w:rFonts w:hint="eastAsia" w:ascii="宋体" w:hAnsi="宋体" w:eastAsia="宋体" w:cs="宋体"/>
          <w:spacing w:val="-9"/>
        </w:rPr>
        <w:t>提出质疑，</w:t>
      </w:r>
      <w:r>
        <w:rPr>
          <w:rFonts w:hint="eastAsia" w:ascii="宋体" w:hAnsi="宋体" w:eastAsia="宋体" w:cs="宋体"/>
          <w:spacing w:val="-4"/>
        </w:rPr>
        <w:t>质疑事项为：</w:t>
      </w:r>
    </w:p>
    <w:p w14:paraId="224D38E2">
      <w:pPr>
        <w:shd w:val="clear"/>
        <w:spacing w:line="361" w:lineRule="auto"/>
        <w:rPr>
          <w:rFonts w:hint="eastAsia" w:ascii="宋体" w:hAnsi="宋体" w:eastAsia="宋体" w:cs="宋体"/>
          <w:u w:val="none"/>
        </w:rPr>
        <w:sectPr>
          <w:footerReference r:id="rId40" w:type="default"/>
          <w:pgSz w:w="11906" w:h="16839"/>
          <w:pgMar w:top="1440" w:right="1080" w:bottom="1440" w:left="1080" w:header="0" w:footer="1200" w:gutter="0"/>
          <w:pgNumType w:fmt="decimal"/>
          <w:cols w:space="720" w:num="1"/>
        </w:sectPr>
      </w:pPr>
    </w:p>
    <w:p w14:paraId="510C648D">
      <w:pPr>
        <w:pStyle w:val="3"/>
        <w:shd w:val="clear"/>
        <w:spacing w:before="78" w:line="360" w:lineRule="auto"/>
        <w:ind w:left="28" w:right="65" w:firstLine="452"/>
        <w:rPr>
          <w:rFonts w:hint="eastAsia" w:ascii="宋体" w:hAnsi="宋体" w:eastAsia="宋体" w:cs="宋体"/>
        </w:rPr>
      </w:pPr>
      <w:r>
        <w:rPr>
          <w:rFonts w:hint="eastAsia" w:ascii="宋体" w:hAnsi="宋体" w:eastAsia="宋体" w:cs="宋体"/>
          <w:spacing w:val="-4"/>
          <w:u w:val="single" w:color="auto"/>
        </w:rPr>
        <w:t>采购人/代理机构</w:t>
      </w:r>
      <w:r>
        <w:rPr>
          <w:rFonts w:hint="eastAsia" w:ascii="宋体" w:hAnsi="宋体" w:eastAsia="宋体" w:cs="宋体"/>
          <w:spacing w:val="-4"/>
        </w:rPr>
        <w:t>于</w:t>
      </w:r>
      <w:r>
        <w:rPr>
          <w:rFonts w:hint="eastAsia" w:ascii="宋体" w:hAnsi="宋体" w:eastAsia="宋体" w:cs="宋体"/>
          <w:spacing w:val="-4"/>
          <w:u w:val="single" w:color="auto"/>
        </w:rPr>
        <w:t xml:space="preserve">      </w:t>
      </w:r>
      <w:r>
        <w:rPr>
          <w:rFonts w:hint="eastAsia" w:ascii="宋体" w:hAnsi="宋体" w:eastAsia="宋体" w:cs="宋体"/>
          <w:spacing w:val="-100"/>
        </w:rPr>
        <w:t xml:space="preserve"> </w:t>
      </w:r>
      <w:r>
        <w:rPr>
          <w:rFonts w:hint="eastAsia" w:ascii="宋体" w:hAnsi="宋体" w:eastAsia="宋体" w:cs="宋体"/>
          <w:spacing w:val="-4"/>
        </w:rPr>
        <w:t>年</w:t>
      </w:r>
      <w:r>
        <w:rPr>
          <w:rFonts w:hint="eastAsia" w:ascii="宋体" w:hAnsi="宋体" w:eastAsia="宋体" w:cs="宋体"/>
          <w:spacing w:val="-4"/>
          <w:u w:val="single" w:color="auto"/>
        </w:rPr>
        <w:t xml:space="preserve">   </w:t>
      </w:r>
      <w:r>
        <w:rPr>
          <w:rFonts w:hint="eastAsia" w:ascii="宋体" w:hAnsi="宋体" w:eastAsia="宋体" w:cs="宋体"/>
          <w:spacing w:val="-93"/>
        </w:rPr>
        <w:t xml:space="preserve"> </w:t>
      </w:r>
      <w:r>
        <w:rPr>
          <w:rFonts w:hint="eastAsia" w:ascii="宋体" w:hAnsi="宋体" w:eastAsia="宋体" w:cs="宋体"/>
          <w:spacing w:val="-4"/>
        </w:rPr>
        <w:t>月</w:t>
      </w:r>
      <w:r>
        <w:rPr>
          <w:rFonts w:hint="eastAsia" w:ascii="宋体" w:hAnsi="宋体" w:eastAsia="宋体" w:cs="宋体"/>
          <w:spacing w:val="-4"/>
          <w:u w:val="single" w:color="auto"/>
        </w:rPr>
        <w:t xml:space="preserve">   </w:t>
      </w:r>
      <w:r>
        <w:rPr>
          <w:rFonts w:hint="eastAsia" w:ascii="宋体" w:hAnsi="宋体" w:eastAsia="宋体" w:cs="宋体"/>
          <w:spacing w:val="-53"/>
        </w:rPr>
        <w:t xml:space="preserve"> </w:t>
      </w:r>
      <w:r>
        <w:rPr>
          <w:rFonts w:hint="eastAsia" w:ascii="宋体" w:hAnsi="宋体" w:eastAsia="宋体" w:cs="宋体"/>
          <w:spacing w:val="-4"/>
        </w:rPr>
        <w:t>日，就质疑事项作出了答</w:t>
      </w:r>
      <w:r>
        <w:rPr>
          <w:rFonts w:hint="eastAsia" w:ascii="宋体" w:hAnsi="宋体" w:eastAsia="宋体" w:cs="宋体"/>
          <w:spacing w:val="-5"/>
        </w:rPr>
        <w:t>复/没有在法定期限</w:t>
      </w:r>
      <w:r>
        <w:rPr>
          <w:rFonts w:hint="eastAsia" w:ascii="宋体" w:hAnsi="宋体" w:eastAsia="宋体" w:cs="宋体"/>
          <w:spacing w:val="-8"/>
        </w:rPr>
        <w:t>内作出答复。</w:t>
      </w:r>
    </w:p>
    <w:p w14:paraId="64A3D125">
      <w:pPr>
        <w:pStyle w:val="3"/>
        <w:shd w:val="clear"/>
        <w:spacing w:line="222" w:lineRule="auto"/>
        <w:ind w:left="524"/>
        <w:rPr>
          <w:rFonts w:hint="eastAsia" w:ascii="宋体" w:hAnsi="宋体" w:eastAsia="宋体" w:cs="宋体"/>
        </w:rPr>
      </w:pPr>
      <w:r>
        <w:rPr>
          <w:rFonts w:hint="eastAsia" w:ascii="宋体" w:hAnsi="宋体" w:eastAsia="宋体" w:cs="宋体"/>
          <w:b/>
          <w:bCs/>
          <w:spacing w:val="-6"/>
        </w:rPr>
        <w:t>四、投诉事项具体内容</w:t>
      </w:r>
    </w:p>
    <w:p w14:paraId="22B268F4">
      <w:pPr>
        <w:pStyle w:val="3"/>
        <w:shd w:val="clear"/>
        <w:tabs>
          <w:tab w:val="left" w:pos="9055"/>
        </w:tabs>
        <w:spacing w:before="180" w:line="389" w:lineRule="auto"/>
        <w:ind w:left="479" w:right="65" w:firstLine="18"/>
        <w:jc w:val="both"/>
        <w:rPr>
          <w:rFonts w:hint="eastAsia" w:ascii="宋体" w:hAnsi="宋体" w:eastAsia="宋体" w:cs="宋体"/>
          <w:sz w:val="21"/>
          <w:szCs w:val="21"/>
        </w:rPr>
      </w:pPr>
      <w:r>
        <w:rPr>
          <w:rFonts w:hint="eastAsia" w:ascii="宋体" w:hAnsi="宋体" w:eastAsia="宋体" w:cs="宋体"/>
          <w:spacing w:val="-7"/>
        </w:rPr>
        <w:t>投诉事项</w:t>
      </w:r>
      <w:r>
        <w:rPr>
          <w:rFonts w:hint="eastAsia" w:ascii="宋体" w:hAnsi="宋体" w:eastAsia="宋体" w:cs="宋体"/>
          <w:spacing w:val="-34"/>
        </w:rPr>
        <w:t xml:space="preserve"> </w:t>
      </w:r>
      <w:r>
        <w:rPr>
          <w:rFonts w:hint="eastAsia" w:ascii="宋体" w:hAnsi="宋体" w:eastAsia="宋体" w:cs="宋体"/>
          <w:spacing w:val="-7"/>
        </w:rPr>
        <w:t>1：</w:t>
      </w:r>
      <w:r>
        <w:rPr>
          <w:rFonts w:hint="eastAsia" w:ascii="宋体" w:hAnsi="宋体" w:eastAsia="宋体" w:cs="宋体"/>
          <w:u w:val="single" w:color="auto"/>
        </w:rPr>
        <w:tab/>
      </w:r>
      <w:r>
        <w:rPr>
          <w:rFonts w:hint="eastAsia" w:ascii="宋体" w:hAnsi="宋体" w:eastAsia="宋体" w:cs="宋体"/>
        </w:rPr>
        <w:t xml:space="preserve"> </w:t>
      </w:r>
      <w:r>
        <w:rPr>
          <w:rFonts w:hint="eastAsia" w:ascii="宋体" w:hAnsi="宋体" w:eastAsia="宋体" w:cs="宋体"/>
          <w:spacing w:val="-3"/>
        </w:rPr>
        <w:t xml:space="preserve">事实依据： </w:t>
      </w:r>
      <w:r>
        <w:rPr>
          <w:rFonts w:hint="eastAsia" w:ascii="宋体" w:hAnsi="宋体" w:eastAsia="宋体" w:cs="宋体"/>
          <w:u w:val="single" w:color="auto"/>
        </w:rPr>
        <w:tab/>
      </w:r>
      <w:r>
        <w:rPr>
          <w:rFonts w:hint="eastAsia" w:ascii="宋体" w:hAnsi="宋体" w:eastAsia="宋体" w:cs="宋体"/>
        </w:rPr>
        <w:t xml:space="preserve"> </w:t>
      </w:r>
      <w:r>
        <w:rPr>
          <w:rFonts w:hint="eastAsia" w:ascii="宋体" w:hAnsi="宋体" w:eastAsia="宋体" w:cs="宋体"/>
          <w:sz w:val="21"/>
          <w:szCs w:val="21"/>
          <w:u w:val="single" w:color="auto"/>
        </w:rPr>
        <w:tab/>
      </w:r>
    </w:p>
    <w:p w14:paraId="285A4F63">
      <w:pPr>
        <w:pStyle w:val="3"/>
        <w:shd w:val="clear"/>
        <w:tabs>
          <w:tab w:val="left" w:pos="9055"/>
        </w:tabs>
        <w:spacing w:before="2" w:line="405" w:lineRule="auto"/>
        <w:ind w:left="482" w:right="65" w:firstLine="4"/>
        <w:rPr>
          <w:rFonts w:hint="eastAsia" w:ascii="宋体" w:hAnsi="宋体" w:eastAsia="宋体" w:cs="宋体"/>
          <w:sz w:val="21"/>
          <w:szCs w:val="21"/>
        </w:rPr>
      </w:pPr>
      <w:r>
        <w:rPr>
          <w:rFonts w:hint="eastAsia" w:ascii="宋体" w:hAnsi="宋体" w:eastAsia="宋体" w:cs="宋体"/>
          <w:spacing w:val="-4"/>
        </w:rPr>
        <w:t xml:space="preserve">法律依据： </w:t>
      </w:r>
      <w:r>
        <w:rPr>
          <w:rFonts w:hint="eastAsia" w:ascii="宋体" w:hAnsi="宋体" w:eastAsia="宋体" w:cs="宋体"/>
          <w:spacing w:val="1"/>
          <w:u w:val="single" w:color="auto"/>
        </w:rPr>
        <w:t xml:space="preserve">                                                            </w:t>
      </w:r>
      <w:r>
        <w:rPr>
          <w:rFonts w:hint="eastAsia" w:ascii="宋体" w:hAnsi="宋体" w:eastAsia="宋体" w:cs="宋体"/>
          <w:sz w:val="21"/>
          <w:szCs w:val="21"/>
          <w:u w:val="single" w:color="auto"/>
        </w:rPr>
        <w:tab/>
      </w:r>
    </w:p>
    <w:p w14:paraId="1A4E16F2">
      <w:pPr>
        <w:pStyle w:val="3"/>
        <w:shd w:val="clear"/>
        <w:spacing w:line="222" w:lineRule="auto"/>
        <w:ind w:left="497"/>
        <w:rPr>
          <w:rFonts w:hint="eastAsia" w:ascii="宋体" w:hAnsi="宋体" w:eastAsia="宋体" w:cs="宋体"/>
        </w:rPr>
      </w:pPr>
      <w:r>
        <w:rPr>
          <w:rFonts w:hint="eastAsia" w:ascii="宋体" w:hAnsi="宋体" w:eastAsia="宋体" w:cs="宋体"/>
          <w:spacing w:val="8"/>
        </w:rPr>
        <w:t>投诉事项2</w:t>
      </w:r>
    </w:p>
    <w:p w14:paraId="1E727734">
      <w:pPr>
        <w:pStyle w:val="3"/>
        <w:shd w:val="clear"/>
        <w:spacing w:before="178" w:line="383" w:lineRule="exact"/>
        <w:ind w:left="507"/>
        <w:rPr>
          <w:rFonts w:hint="eastAsia" w:ascii="宋体" w:hAnsi="宋体" w:eastAsia="宋体" w:cs="宋体"/>
        </w:rPr>
      </w:pPr>
      <w:r>
        <w:rPr>
          <w:rFonts w:hint="eastAsia" w:ascii="宋体" w:hAnsi="宋体" w:eastAsia="宋体" w:cs="宋体"/>
          <w:spacing w:val="-13"/>
          <w:position w:val="3"/>
        </w:rPr>
        <w:t>……</w:t>
      </w:r>
    </w:p>
    <w:p w14:paraId="3F414A8F">
      <w:pPr>
        <w:pStyle w:val="3"/>
        <w:shd w:val="clear"/>
        <w:spacing w:before="85" w:line="220" w:lineRule="auto"/>
        <w:ind w:left="499"/>
        <w:rPr>
          <w:rFonts w:hint="eastAsia" w:ascii="宋体" w:hAnsi="宋体" w:eastAsia="宋体" w:cs="宋体"/>
        </w:rPr>
      </w:pPr>
      <w:r>
        <w:rPr>
          <w:rFonts w:hint="eastAsia" w:ascii="宋体" w:hAnsi="宋体" w:eastAsia="宋体" w:cs="宋体"/>
          <w:b/>
          <w:bCs/>
          <w:spacing w:val="-4"/>
        </w:rPr>
        <w:t>五、与投诉事项相关的投诉请求：</w:t>
      </w:r>
    </w:p>
    <w:p w14:paraId="5D0C03E4">
      <w:pPr>
        <w:pStyle w:val="3"/>
        <w:shd w:val="clear"/>
        <w:spacing w:before="182" w:line="220" w:lineRule="auto"/>
        <w:ind w:left="498"/>
        <w:rPr>
          <w:rFonts w:hint="eastAsia" w:ascii="宋体" w:hAnsi="宋体" w:eastAsia="宋体" w:cs="宋体"/>
        </w:rPr>
      </w:pPr>
      <w:r>
        <w:rPr>
          <w:rFonts w:hint="eastAsia" w:ascii="宋体" w:hAnsi="宋体" w:eastAsia="宋体" w:cs="宋体"/>
          <w:spacing w:val="-3"/>
        </w:rPr>
        <w:t>请求：</w:t>
      </w:r>
      <w:r>
        <w:rPr>
          <w:rFonts w:hint="eastAsia" w:ascii="宋体" w:hAnsi="宋体" w:eastAsia="宋体" w:cs="宋体"/>
          <w:spacing w:val="-3"/>
          <w:u w:val="single" w:color="auto"/>
        </w:rPr>
        <w:t xml:space="preserve">                                                                   </w:t>
      </w:r>
    </w:p>
    <w:p w14:paraId="5F26455E">
      <w:pPr>
        <w:shd w:val="clear"/>
        <w:spacing w:line="284" w:lineRule="auto"/>
        <w:rPr>
          <w:rFonts w:hint="eastAsia" w:ascii="宋体" w:hAnsi="宋体" w:eastAsia="宋体" w:cs="宋体"/>
          <w:sz w:val="21"/>
        </w:rPr>
      </w:pPr>
    </w:p>
    <w:p w14:paraId="2F81FD17">
      <w:pPr>
        <w:shd w:val="clear"/>
        <w:spacing w:line="284" w:lineRule="auto"/>
        <w:rPr>
          <w:rFonts w:hint="eastAsia" w:ascii="宋体" w:hAnsi="宋体" w:eastAsia="宋体" w:cs="宋体"/>
          <w:sz w:val="21"/>
        </w:rPr>
      </w:pPr>
    </w:p>
    <w:p w14:paraId="764A4C38">
      <w:pPr>
        <w:pStyle w:val="3"/>
        <w:shd w:val="clear"/>
        <w:spacing w:before="79" w:line="222" w:lineRule="auto"/>
        <w:ind w:left="503"/>
        <w:rPr>
          <w:rFonts w:hint="eastAsia" w:ascii="宋体" w:hAnsi="宋体" w:eastAsia="宋体" w:cs="宋体"/>
        </w:rPr>
      </w:pPr>
      <w:r>
        <w:rPr>
          <w:rFonts w:hint="eastAsia" w:ascii="宋体" w:hAnsi="宋体" w:eastAsia="宋体" w:cs="宋体"/>
          <w:spacing w:val="-6"/>
        </w:rPr>
        <w:t>签字（签章</w:t>
      </w:r>
      <w:r>
        <w:rPr>
          <w:rFonts w:hint="eastAsia" w:ascii="宋体" w:hAnsi="宋体" w:eastAsia="宋体" w:cs="宋体"/>
          <w:spacing w:val="2"/>
        </w:rPr>
        <w:t>）：</w:t>
      </w:r>
      <w:r>
        <w:rPr>
          <w:rFonts w:hint="eastAsia" w:ascii="宋体" w:hAnsi="宋体" w:eastAsia="宋体" w:cs="宋体"/>
          <w:spacing w:val="1"/>
        </w:rPr>
        <w:t xml:space="preserve">                    </w:t>
      </w:r>
      <w:r>
        <w:rPr>
          <w:rFonts w:hint="eastAsia" w:ascii="宋体" w:hAnsi="宋体" w:eastAsia="宋体" w:cs="宋体"/>
        </w:rPr>
        <w:t xml:space="preserve">                   </w:t>
      </w:r>
      <w:r>
        <w:rPr>
          <w:rFonts w:hint="eastAsia" w:ascii="宋体" w:hAnsi="宋体" w:eastAsia="宋体" w:cs="宋体"/>
          <w:spacing w:val="-6"/>
        </w:rPr>
        <w:t>公章：</w:t>
      </w:r>
    </w:p>
    <w:p w14:paraId="28081746">
      <w:pPr>
        <w:shd w:val="clear"/>
        <w:spacing w:line="282" w:lineRule="auto"/>
        <w:rPr>
          <w:rFonts w:hint="eastAsia" w:ascii="宋体" w:hAnsi="宋体" w:eastAsia="宋体" w:cs="宋体"/>
          <w:sz w:val="21"/>
        </w:rPr>
      </w:pPr>
    </w:p>
    <w:p w14:paraId="25768AD5">
      <w:pPr>
        <w:shd w:val="clear"/>
        <w:spacing w:line="283" w:lineRule="auto"/>
        <w:rPr>
          <w:rFonts w:hint="eastAsia" w:ascii="宋体" w:hAnsi="宋体" w:eastAsia="宋体" w:cs="宋体"/>
          <w:sz w:val="21"/>
        </w:rPr>
      </w:pPr>
    </w:p>
    <w:p w14:paraId="18AC44AC">
      <w:pPr>
        <w:pStyle w:val="3"/>
        <w:shd w:val="clear"/>
        <w:spacing w:before="79" w:line="223" w:lineRule="auto"/>
        <w:ind w:left="548"/>
        <w:rPr>
          <w:rFonts w:hint="eastAsia" w:ascii="宋体" w:hAnsi="宋体" w:eastAsia="宋体" w:cs="宋体"/>
        </w:rPr>
      </w:pPr>
      <w:r>
        <w:rPr>
          <w:rFonts w:hint="eastAsia" w:ascii="宋体" w:hAnsi="宋体" w:eastAsia="宋体" w:cs="宋体"/>
          <w:spacing w:val="-23"/>
        </w:rPr>
        <w:t>日期：</w:t>
      </w:r>
    </w:p>
    <w:p w14:paraId="012182B3">
      <w:pPr>
        <w:shd w:val="clear"/>
        <w:spacing w:line="242" w:lineRule="auto"/>
        <w:rPr>
          <w:rFonts w:hint="eastAsia" w:ascii="宋体" w:hAnsi="宋体" w:eastAsia="宋体" w:cs="宋体"/>
          <w:sz w:val="21"/>
        </w:rPr>
      </w:pPr>
    </w:p>
    <w:p w14:paraId="200A5525">
      <w:pPr>
        <w:shd w:val="clear"/>
        <w:spacing w:line="243" w:lineRule="auto"/>
        <w:rPr>
          <w:rFonts w:hint="eastAsia" w:ascii="宋体" w:hAnsi="宋体" w:eastAsia="宋体" w:cs="宋体"/>
          <w:sz w:val="21"/>
        </w:rPr>
      </w:pPr>
    </w:p>
    <w:p w14:paraId="6C891927">
      <w:pPr>
        <w:pStyle w:val="3"/>
        <w:shd w:val="clear"/>
        <w:spacing w:before="78" w:line="224" w:lineRule="auto"/>
        <w:rPr>
          <w:rFonts w:hint="eastAsia" w:ascii="宋体" w:hAnsi="宋体" w:eastAsia="宋体" w:cs="宋体"/>
        </w:rPr>
      </w:pPr>
      <w:r>
        <w:rPr>
          <w:rFonts w:hint="eastAsia" w:ascii="宋体" w:hAnsi="宋体" w:eastAsia="宋体" w:cs="宋体"/>
          <w:b/>
          <w:bCs/>
          <w:spacing w:val="-9"/>
        </w:rPr>
        <w:t>说明：</w:t>
      </w:r>
    </w:p>
    <w:p w14:paraId="1CF8834C">
      <w:pPr>
        <w:pStyle w:val="3"/>
        <w:shd w:val="clear"/>
        <w:spacing w:before="254" w:line="360" w:lineRule="auto"/>
        <w:ind w:left="25" w:right="65" w:firstLine="363"/>
        <w:rPr>
          <w:rFonts w:hint="eastAsia" w:ascii="宋体" w:hAnsi="宋体" w:eastAsia="宋体" w:cs="宋体"/>
        </w:rPr>
      </w:pPr>
      <w:r>
        <w:rPr>
          <w:rFonts w:hint="eastAsia" w:ascii="宋体" w:hAnsi="宋体" w:eastAsia="宋体" w:cs="宋体"/>
          <w:b/>
          <w:bCs/>
          <w:spacing w:val="-2"/>
        </w:rPr>
        <w:t>1.投诉人提起投诉时，应当提交投诉书和必要的证明材料，并按照被投诉人和与投</w:t>
      </w:r>
      <w:r>
        <w:rPr>
          <w:rFonts w:hint="eastAsia" w:ascii="宋体" w:hAnsi="宋体" w:eastAsia="宋体" w:cs="宋体"/>
          <w:b/>
          <w:bCs/>
          <w:spacing w:val="-3"/>
        </w:rPr>
        <w:t>诉事项有关的供应商数量提供投诉书副本。</w:t>
      </w:r>
    </w:p>
    <w:p w14:paraId="5C461CB9">
      <w:pPr>
        <w:pStyle w:val="3"/>
        <w:shd w:val="clear"/>
        <w:spacing w:line="360" w:lineRule="auto"/>
        <w:ind w:left="25" w:firstLine="348"/>
        <w:rPr>
          <w:rFonts w:hint="eastAsia" w:ascii="宋体" w:hAnsi="宋体" w:eastAsia="宋体" w:cs="宋体"/>
        </w:rPr>
      </w:pPr>
      <w:r>
        <w:rPr>
          <w:rFonts w:hint="eastAsia" w:ascii="宋体" w:hAnsi="宋体" w:eastAsia="宋体" w:cs="宋体"/>
          <w:b/>
          <w:bCs/>
          <w:spacing w:val="-7"/>
        </w:rPr>
        <w:t>2.投诉人若委托代理人进行投诉的，投诉书应按要求列明“授权代表</w:t>
      </w:r>
      <w:r>
        <w:rPr>
          <w:rFonts w:hint="eastAsia" w:ascii="宋体" w:hAnsi="宋体" w:eastAsia="宋体" w:cs="宋体"/>
          <w:spacing w:val="-84"/>
        </w:rPr>
        <w:t xml:space="preserve"> </w:t>
      </w:r>
      <w:r>
        <w:rPr>
          <w:rFonts w:hint="eastAsia" w:ascii="宋体" w:hAnsi="宋体" w:eastAsia="宋体" w:cs="宋体"/>
          <w:b/>
          <w:bCs/>
          <w:spacing w:val="-7"/>
        </w:rPr>
        <w:t>”的有关内容，</w:t>
      </w:r>
      <w:r>
        <w:rPr>
          <w:rFonts w:hint="eastAsia" w:ascii="宋体" w:hAnsi="宋体" w:eastAsia="宋体" w:cs="宋体"/>
          <w:b/>
          <w:bCs/>
          <w:spacing w:val="-5"/>
        </w:rPr>
        <w:t>并在附件中提交由投诉人签署的授权委托书。授权委托书应当载明代理人的姓名或者名</w:t>
      </w:r>
      <w:r>
        <w:rPr>
          <w:rFonts w:hint="eastAsia" w:ascii="宋体" w:hAnsi="宋体" w:eastAsia="宋体" w:cs="宋体"/>
          <w:b/>
          <w:bCs/>
          <w:spacing w:val="-3"/>
        </w:rPr>
        <w:t>称、代理事项、具体权限、期限和相关事项。</w:t>
      </w:r>
    </w:p>
    <w:p w14:paraId="3E9A0FAC">
      <w:pPr>
        <w:pStyle w:val="3"/>
        <w:shd w:val="clear"/>
        <w:spacing w:line="220" w:lineRule="auto"/>
        <w:ind w:left="375"/>
        <w:rPr>
          <w:rFonts w:hint="eastAsia" w:ascii="宋体" w:hAnsi="宋体" w:eastAsia="宋体" w:cs="宋体"/>
        </w:rPr>
      </w:pPr>
      <w:r>
        <w:rPr>
          <w:rFonts w:hint="eastAsia" w:ascii="宋体" w:hAnsi="宋体" w:eastAsia="宋体" w:cs="宋体"/>
          <w:b/>
          <w:bCs/>
          <w:spacing w:val="-2"/>
        </w:rPr>
        <w:t>3.投诉书应简要列明质疑事项，质疑函、质疑答复等作为附</w:t>
      </w:r>
      <w:r>
        <w:rPr>
          <w:rFonts w:hint="eastAsia" w:ascii="宋体" w:hAnsi="宋体" w:eastAsia="宋体" w:cs="宋体"/>
          <w:b/>
          <w:bCs/>
          <w:spacing w:val="-3"/>
        </w:rPr>
        <w:t>件材料提供。</w:t>
      </w:r>
    </w:p>
    <w:p w14:paraId="55801751">
      <w:pPr>
        <w:pStyle w:val="3"/>
        <w:shd w:val="clear"/>
        <w:spacing w:before="182" w:line="220" w:lineRule="auto"/>
        <w:ind w:left="369"/>
        <w:rPr>
          <w:rFonts w:hint="eastAsia" w:ascii="宋体" w:hAnsi="宋体" w:eastAsia="宋体" w:cs="宋体"/>
        </w:rPr>
      </w:pPr>
      <w:r>
        <w:rPr>
          <w:rFonts w:hint="eastAsia" w:ascii="宋体" w:hAnsi="宋体" w:eastAsia="宋体" w:cs="宋体"/>
          <w:b/>
          <w:bCs/>
          <w:spacing w:val="-2"/>
        </w:rPr>
        <w:t>4.投诉书的投诉事项应具体、明确，并有必要的事实依据和法律依据。</w:t>
      </w:r>
    </w:p>
    <w:p w14:paraId="338B29B1">
      <w:pPr>
        <w:pStyle w:val="3"/>
        <w:shd w:val="clear"/>
        <w:spacing w:before="182" w:line="220" w:lineRule="auto"/>
        <w:ind w:left="375"/>
        <w:rPr>
          <w:rFonts w:hint="eastAsia" w:ascii="宋体" w:hAnsi="宋体" w:eastAsia="宋体" w:cs="宋体"/>
        </w:rPr>
      </w:pPr>
      <w:r>
        <w:rPr>
          <w:rFonts w:hint="eastAsia" w:ascii="宋体" w:hAnsi="宋体" w:eastAsia="宋体" w:cs="宋体"/>
          <w:b/>
          <w:bCs/>
          <w:spacing w:val="-3"/>
        </w:rPr>
        <w:t>5.投诉书的投诉请求应与投诉事项相关。</w:t>
      </w:r>
    </w:p>
    <w:p w14:paraId="12A7FB9D">
      <w:pPr>
        <w:pStyle w:val="3"/>
        <w:shd w:val="clear"/>
        <w:spacing w:before="182" w:line="360" w:lineRule="auto"/>
        <w:ind w:left="24" w:right="65" w:firstLine="347"/>
        <w:rPr>
          <w:rFonts w:hint="eastAsia" w:ascii="宋体" w:hAnsi="宋体" w:eastAsia="宋体" w:cs="宋体"/>
        </w:rPr>
      </w:pPr>
      <w:r>
        <w:rPr>
          <w:rFonts w:hint="eastAsia" w:ascii="宋体" w:hAnsi="宋体" w:eastAsia="宋体" w:cs="宋体"/>
          <w:b/>
          <w:bCs/>
          <w:spacing w:val="-1"/>
        </w:rPr>
        <w:t>6.投诉人为法人或者其他组织的，投诉书应由法</w:t>
      </w:r>
      <w:r>
        <w:rPr>
          <w:rFonts w:hint="eastAsia" w:ascii="宋体" w:hAnsi="宋体" w:eastAsia="宋体" w:cs="宋体"/>
          <w:b/>
          <w:bCs/>
          <w:spacing w:val="-2"/>
        </w:rPr>
        <w:t>定代表人、主要负责人，或者其授</w:t>
      </w:r>
      <w:r>
        <w:rPr>
          <w:rFonts w:hint="eastAsia" w:ascii="宋体" w:hAnsi="宋体" w:eastAsia="宋体" w:cs="宋体"/>
          <w:b/>
          <w:bCs/>
          <w:spacing w:val="-3"/>
        </w:rPr>
        <w:t>权代表签字或者盖章，并加盖公章。</w:t>
      </w:r>
    </w:p>
    <w:p w14:paraId="2A92AE31">
      <w:pPr>
        <w:shd w:val="clear"/>
        <w:spacing w:line="360" w:lineRule="auto"/>
        <w:rPr>
          <w:rFonts w:hint="eastAsia" w:ascii="宋体" w:hAnsi="宋体" w:eastAsia="宋体" w:cs="宋体"/>
        </w:rPr>
        <w:sectPr>
          <w:footerReference r:id="rId41" w:type="default"/>
          <w:pgSz w:w="11906" w:h="16839"/>
          <w:pgMar w:top="1440" w:right="1080" w:bottom="1440" w:left="1080" w:header="0" w:footer="1200" w:gutter="0"/>
          <w:pgNumType w:fmt="decimal"/>
          <w:cols w:space="720" w:num="1"/>
        </w:sectPr>
      </w:pPr>
    </w:p>
    <w:p w14:paraId="6F12F500">
      <w:pPr>
        <w:shd w:val="clear"/>
        <w:spacing w:line="262" w:lineRule="auto"/>
        <w:rPr>
          <w:rFonts w:hint="eastAsia" w:ascii="宋体" w:hAnsi="宋体" w:eastAsia="宋体" w:cs="宋体"/>
          <w:sz w:val="21"/>
        </w:rPr>
      </w:pPr>
    </w:p>
    <w:p w14:paraId="68119E71">
      <w:pPr>
        <w:shd w:val="clear"/>
        <w:spacing w:line="263" w:lineRule="auto"/>
        <w:rPr>
          <w:rFonts w:hint="eastAsia" w:ascii="宋体" w:hAnsi="宋体" w:eastAsia="宋体" w:cs="宋体"/>
          <w:sz w:val="21"/>
        </w:rPr>
      </w:pPr>
    </w:p>
    <w:p w14:paraId="4A0BB33E">
      <w:pPr>
        <w:shd w:val="clear"/>
        <w:spacing w:line="263" w:lineRule="auto"/>
        <w:rPr>
          <w:rFonts w:hint="eastAsia" w:ascii="宋体" w:hAnsi="宋体" w:eastAsia="宋体" w:cs="宋体"/>
          <w:sz w:val="21"/>
        </w:rPr>
      </w:pPr>
    </w:p>
    <w:p w14:paraId="218D5198">
      <w:pPr>
        <w:shd w:val="clear"/>
        <w:spacing w:line="263" w:lineRule="auto"/>
        <w:rPr>
          <w:rFonts w:hint="eastAsia" w:ascii="宋体" w:hAnsi="宋体" w:eastAsia="宋体" w:cs="宋体"/>
          <w:sz w:val="21"/>
        </w:rPr>
      </w:pPr>
    </w:p>
    <w:p w14:paraId="62872496">
      <w:pPr>
        <w:pStyle w:val="3"/>
        <w:shd w:val="clear"/>
        <w:spacing w:before="139" w:line="226" w:lineRule="auto"/>
        <w:ind w:left="3039"/>
        <w:outlineLvl w:val="0"/>
        <w:rPr>
          <w:rFonts w:hint="eastAsia" w:ascii="宋体" w:hAnsi="宋体" w:eastAsia="宋体" w:cs="宋体"/>
          <w:sz w:val="43"/>
          <w:szCs w:val="43"/>
        </w:rPr>
      </w:pPr>
      <w:bookmarkStart w:id="9" w:name="_Toc11343"/>
      <w:r>
        <w:rPr>
          <w:rFonts w:hint="eastAsia" w:ascii="宋体" w:hAnsi="宋体" w:eastAsia="宋体" w:cs="宋体"/>
          <w:b/>
          <w:bCs/>
          <w:spacing w:val="-7"/>
          <w:sz w:val="43"/>
          <w:szCs w:val="43"/>
        </w:rPr>
        <w:t>第六章</w:t>
      </w:r>
      <w:r>
        <w:rPr>
          <w:rFonts w:hint="eastAsia" w:ascii="宋体" w:hAnsi="宋体" w:eastAsia="宋体" w:cs="宋体"/>
          <w:spacing w:val="52"/>
          <w:sz w:val="43"/>
          <w:szCs w:val="43"/>
        </w:rPr>
        <w:t xml:space="preserve"> </w:t>
      </w:r>
      <w:r>
        <w:rPr>
          <w:rFonts w:hint="eastAsia" w:ascii="宋体" w:hAnsi="宋体" w:eastAsia="宋体" w:cs="宋体"/>
          <w:b/>
          <w:bCs/>
          <w:spacing w:val="-7"/>
          <w:sz w:val="43"/>
          <w:szCs w:val="43"/>
        </w:rPr>
        <w:t>合同文本</w:t>
      </w:r>
      <w:bookmarkEnd w:id="9"/>
    </w:p>
    <w:p w14:paraId="29F9161B">
      <w:pPr>
        <w:shd w:val="clear"/>
        <w:spacing w:line="313" w:lineRule="auto"/>
        <w:rPr>
          <w:rFonts w:hint="eastAsia" w:ascii="宋体" w:hAnsi="宋体" w:eastAsia="宋体" w:cs="宋体"/>
          <w:sz w:val="21"/>
        </w:rPr>
      </w:pPr>
    </w:p>
    <w:p w14:paraId="654057E8">
      <w:pPr>
        <w:shd w:val="clear"/>
        <w:spacing w:line="313" w:lineRule="auto"/>
        <w:rPr>
          <w:rFonts w:hint="eastAsia" w:ascii="宋体" w:hAnsi="宋体" w:eastAsia="宋体" w:cs="宋体"/>
          <w:sz w:val="21"/>
        </w:rPr>
      </w:pPr>
    </w:p>
    <w:p w14:paraId="16FC0FF2">
      <w:pPr>
        <w:shd w:val="clear"/>
        <w:spacing w:line="313" w:lineRule="auto"/>
        <w:rPr>
          <w:rFonts w:hint="eastAsia" w:ascii="宋体" w:hAnsi="宋体" w:eastAsia="宋体" w:cs="宋体"/>
          <w:sz w:val="21"/>
        </w:rPr>
      </w:pPr>
    </w:p>
    <w:p w14:paraId="3C6586D9">
      <w:pPr>
        <w:pStyle w:val="3"/>
        <w:shd w:val="clear"/>
        <w:spacing w:before="65" w:line="232" w:lineRule="auto"/>
        <w:ind w:left="126"/>
        <w:rPr>
          <w:rFonts w:hint="eastAsia" w:ascii="宋体" w:hAnsi="宋体" w:eastAsia="宋体" w:cs="宋体"/>
          <w:sz w:val="20"/>
          <w:szCs w:val="20"/>
        </w:rPr>
      </w:pPr>
      <w:r>
        <w:rPr>
          <w:rFonts w:hint="eastAsia" w:ascii="宋体" w:hAnsi="宋体" w:eastAsia="宋体" w:cs="宋体"/>
          <w:b/>
          <w:bCs/>
          <w:spacing w:val="-1"/>
          <w:sz w:val="20"/>
          <w:szCs w:val="20"/>
        </w:rPr>
        <w:t>说明：</w:t>
      </w:r>
    </w:p>
    <w:p w14:paraId="4DFDBBE8">
      <w:pPr>
        <w:pStyle w:val="3"/>
        <w:shd w:val="clear"/>
        <w:spacing w:before="124" w:line="231" w:lineRule="auto"/>
        <w:ind w:left="134"/>
        <w:rPr>
          <w:rFonts w:hint="eastAsia" w:ascii="宋体" w:hAnsi="宋体" w:eastAsia="宋体" w:cs="宋体"/>
          <w:sz w:val="20"/>
          <w:szCs w:val="20"/>
        </w:rPr>
      </w:pPr>
      <w:r>
        <w:rPr>
          <w:rFonts w:hint="eastAsia" w:ascii="宋体" w:hAnsi="宋体" w:eastAsia="宋体" w:cs="宋体"/>
          <w:b/>
          <w:bCs/>
          <w:spacing w:val="8"/>
          <w:sz w:val="20"/>
          <w:szCs w:val="20"/>
        </w:rPr>
        <w:t>1、本合同书仅供签订正式合同时参考用，正</w:t>
      </w:r>
      <w:r>
        <w:rPr>
          <w:rFonts w:hint="eastAsia" w:ascii="宋体" w:hAnsi="宋体" w:eastAsia="宋体" w:cs="宋体"/>
          <w:b/>
          <w:bCs/>
          <w:spacing w:val="7"/>
          <w:sz w:val="20"/>
          <w:szCs w:val="20"/>
        </w:rPr>
        <w:t>式合同书应包括此参考格式之内容。</w:t>
      </w:r>
    </w:p>
    <w:p w14:paraId="55F99B22">
      <w:pPr>
        <w:pStyle w:val="3"/>
        <w:shd w:val="clear"/>
        <w:spacing w:before="181" w:line="312" w:lineRule="auto"/>
        <w:ind w:left="124" w:right="79" w:hanging="3"/>
        <w:rPr>
          <w:rFonts w:hint="eastAsia" w:ascii="宋体" w:hAnsi="宋体" w:eastAsia="宋体" w:cs="宋体"/>
          <w:sz w:val="20"/>
          <w:szCs w:val="20"/>
        </w:rPr>
      </w:pPr>
      <w:r>
        <w:rPr>
          <w:rFonts w:hint="eastAsia" w:ascii="宋体" w:hAnsi="宋体" w:eastAsia="宋体" w:cs="宋体"/>
          <w:b/>
          <w:bCs/>
          <w:spacing w:val="6"/>
          <w:sz w:val="20"/>
          <w:szCs w:val="20"/>
        </w:rPr>
        <w:t>2、合同签订双方可根据项目的具体要求进行修订，但合同条款不得与采购文件和成交供应商响应文</w:t>
      </w:r>
      <w:r>
        <w:rPr>
          <w:rFonts w:hint="eastAsia" w:ascii="宋体" w:hAnsi="宋体" w:eastAsia="宋体" w:cs="宋体"/>
          <w:b/>
          <w:bCs/>
          <w:spacing w:val="5"/>
          <w:sz w:val="20"/>
          <w:szCs w:val="20"/>
        </w:rPr>
        <w:t>件有实质性偏离。</w:t>
      </w:r>
    </w:p>
    <w:p w14:paraId="6A05E84C">
      <w:pPr>
        <w:shd w:val="clear"/>
        <w:spacing w:line="272" w:lineRule="auto"/>
        <w:rPr>
          <w:rFonts w:hint="eastAsia" w:ascii="宋体" w:hAnsi="宋体" w:eastAsia="宋体" w:cs="宋体"/>
          <w:sz w:val="21"/>
        </w:rPr>
      </w:pPr>
    </w:p>
    <w:p w14:paraId="4BD70DA9">
      <w:pPr>
        <w:shd w:val="clear"/>
        <w:spacing w:line="272" w:lineRule="auto"/>
        <w:rPr>
          <w:rFonts w:hint="eastAsia" w:ascii="宋体" w:hAnsi="宋体" w:eastAsia="宋体" w:cs="宋体"/>
          <w:sz w:val="21"/>
        </w:rPr>
      </w:pPr>
    </w:p>
    <w:p w14:paraId="50E371AE">
      <w:pPr>
        <w:shd w:val="clear"/>
        <w:spacing w:line="272" w:lineRule="auto"/>
        <w:rPr>
          <w:rFonts w:hint="eastAsia" w:ascii="宋体" w:hAnsi="宋体" w:eastAsia="宋体" w:cs="宋体"/>
          <w:sz w:val="21"/>
        </w:rPr>
      </w:pPr>
    </w:p>
    <w:p w14:paraId="5584001D">
      <w:pPr>
        <w:shd w:val="clear"/>
        <w:spacing w:line="272" w:lineRule="auto"/>
        <w:rPr>
          <w:rFonts w:hint="eastAsia" w:ascii="宋体" w:hAnsi="宋体" w:eastAsia="宋体" w:cs="宋体"/>
          <w:sz w:val="21"/>
        </w:rPr>
      </w:pPr>
    </w:p>
    <w:p w14:paraId="6340CB09">
      <w:pPr>
        <w:shd w:val="clear"/>
        <w:spacing w:line="272" w:lineRule="auto"/>
        <w:rPr>
          <w:rFonts w:hint="eastAsia" w:ascii="宋体" w:hAnsi="宋体" w:eastAsia="宋体" w:cs="宋体"/>
          <w:sz w:val="21"/>
        </w:rPr>
      </w:pPr>
    </w:p>
    <w:p w14:paraId="3941B0AB">
      <w:pPr>
        <w:shd w:val="clear"/>
        <w:spacing w:line="272" w:lineRule="auto"/>
        <w:rPr>
          <w:rFonts w:hint="eastAsia" w:ascii="宋体" w:hAnsi="宋体" w:eastAsia="宋体" w:cs="宋体"/>
          <w:sz w:val="21"/>
        </w:rPr>
      </w:pPr>
    </w:p>
    <w:p w14:paraId="08DC750F">
      <w:pPr>
        <w:shd w:val="clear"/>
        <w:spacing w:line="272" w:lineRule="auto"/>
        <w:rPr>
          <w:rFonts w:hint="eastAsia" w:ascii="宋体" w:hAnsi="宋体" w:eastAsia="宋体" w:cs="宋体"/>
          <w:sz w:val="21"/>
        </w:rPr>
      </w:pPr>
    </w:p>
    <w:p w14:paraId="200EA6B0">
      <w:pPr>
        <w:shd w:val="clear"/>
        <w:spacing w:line="272" w:lineRule="auto"/>
        <w:rPr>
          <w:rFonts w:hint="eastAsia" w:ascii="宋体" w:hAnsi="宋体" w:eastAsia="宋体" w:cs="宋体"/>
          <w:sz w:val="21"/>
        </w:rPr>
      </w:pPr>
    </w:p>
    <w:p w14:paraId="71AEDC27">
      <w:pPr>
        <w:shd w:val="clear"/>
        <w:spacing w:line="272" w:lineRule="auto"/>
        <w:rPr>
          <w:rFonts w:hint="eastAsia" w:ascii="宋体" w:hAnsi="宋体" w:eastAsia="宋体" w:cs="宋体"/>
          <w:sz w:val="21"/>
        </w:rPr>
      </w:pPr>
    </w:p>
    <w:p w14:paraId="2DD71F7A">
      <w:pPr>
        <w:shd w:val="clear"/>
        <w:spacing w:line="272" w:lineRule="auto"/>
        <w:rPr>
          <w:rFonts w:hint="eastAsia" w:ascii="宋体" w:hAnsi="宋体" w:eastAsia="宋体" w:cs="宋体"/>
          <w:sz w:val="21"/>
        </w:rPr>
      </w:pPr>
    </w:p>
    <w:p w14:paraId="25361D76">
      <w:pPr>
        <w:shd w:val="clear"/>
        <w:spacing w:line="272" w:lineRule="auto"/>
        <w:rPr>
          <w:rFonts w:hint="eastAsia" w:ascii="宋体" w:hAnsi="宋体" w:eastAsia="宋体" w:cs="宋体"/>
          <w:sz w:val="21"/>
        </w:rPr>
      </w:pPr>
    </w:p>
    <w:p w14:paraId="0083E620">
      <w:pPr>
        <w:shd w:val="clear"/>
        <w:spacing w:line="272" w:lineRule="auto"/>
        <w:rPr>
          <w:rFonts w:hint="eastAsia" w:ascii="宋体" w:hAnsi="宋体" w:eastAsia="宋体" w:cs="宋体"/>
          <w:sz w:val="21"/>
        </w:rPr>
      </w:pPr>
    </w:p>
    <w:p w14:paraId="250EE796">
      <w:pPr>
        <w:shd w:val="clear"/>
        <w:spacing w:line="272" w:lineRule="auto"/>
        <w:rPr>
          <w:rFonts w:hint="eastAsia" w:ascii="宋体" w:hAnsi="宋体" w:eastAsia="宋体" w:cs="宋体"/>
          <w:sz w:val="21"/>
        </w:rPr>
      </w:pPr>
    </w:p>
    <w:p w14:paraId="4E8CC664">
      <w:pPr>
        <w:shd w:val="clear"/>
        <w:spacing w:line="272" w:lineRule="auto"/>
        <w:rPr>
          <w:rFonts w:hint="eastAsia" w:ascii="宋体" w:hAnsi="宋体" w:eastAsia="宋体" w:cs="宋体"/>
          <w:sz w:val="21"/>
        </w:rPr>
      </w:pPr>
    </w:p>
    <w:p w14:paraId="3D37DA54">
      <w:pPr>
        <w:shd w:val="clear"/>
        <w:spacing w:line="272" w:lineRule="auto"/>
        <w:rPr>
          <w:rFonts w:hint="eastAsia" w:ascii="宋体" w:hAnsi="宋体" w:eastAsia="宋体" w:cs="宋体"/>
          <w:sz w:val="21"/>
        </w:rPr>
      </w:pPr>
    </w:p>
    <w:p w14:paraId="06FB8FFB">
      <w:pPr>
        <w:shd w:val="clear"/>
        <w:spacing w:line="272" w:lineRule="auto"/>
        <w:rPr>
          <w:rFonts w:hint="eastAsia" w:ascii="宋体" w:hAnsi="宋体" w:eastAsia="宋体" w:cs="宋体"/>
          <w:sz w:val="21"/>
        </w:rPr>
      </w:pPr>
    </w:p>
    <w:p w14:paraId="074F10EA">
      <w:pPr>
        <w:shd w:val="clear"/>
        <w:spacing w:line="272" w:lineRule="auto"/>
        <w:rPr>
          <w:rFonts w:hint="eastAsia" w:ascii="宋体" w:hAnsi="宋体" w:eastAsia="宋体" w:cs="宋体"/>
          <w:sz w:val="21"/>
        </w:rPr>
      </w:pPr>
    </w:p>
    <w:p w14:paraId="35B10259">
      <w:pPr>
        <w:shd w:val="clear"/>
        <w:spacing w:line="272" w:lineRule="auto"/>
        <w:rPr>
          <w:rFonts w:hint="eastAsia" w:ascii="宋体" w:hAnsi="宋体" w:eastAsia="宋体" w:cs="宋体"/>
          <w:sz w:val="21"/>
        </w:rPr>
      </w:pPr>
    </w:p>
    <w:p w14:paraId="6590E4EA">
      <w:pPr>
        <w:shd w:val="clear"/>
        <w:spacing w:line="272" w:lineRule="auto"/>
        <w:rPr>
          <w:rFonts w:hint="eastAsia" w:ascii="宋体" w:hAnsi="宋体" w:eastAsia="宋体" w:cs="宋体"/>
          <w:sz w:val="21"/>
        </w:rPr>
      </w:pPr>
    </w:p>
    <w:p w14:paraId="3A8EF3AC">
      <w:pPr>
        <w:shd w:val="clear"/>
        <w:spacing w:line="272" w:lineRule="auto"/>
        <w:rPr>
          <w:rFonts w:hint="eastAsia" w:ascii="宋体" w:hAnsi="宋体" w:eastAsia="宋体" w:cs="宋体"/>
          <w:sz w:val="21"/>
        </w:rPr>
      </w:pPr>
    </w:p>
    <w:p w14:paraId="56F2F19B">
      <w:pPr>
        <w:shd w:val="clear"/>
        <w:spacing w:line="272" w:lineRule="auto"/>
        <w:rPr>
          <w:rFonts w:hint="eastAsia" w:ascii="宋体" w:hAnsi="宋体" w:eastAsia="宋体" w:cs="宋体"/>
          <w:sz w:val="21"/>
        </w:rPr>
      </w:pPr>
    </w:p>
    <w:p w14:paraId="627C2F89">
      <w:pPr>
        <w:shd w:val="clear"/>
        <w:spacing w:line="272" w:lineRule="auto"/>
        <w:rPr>
          <w:rFonts w:hint="eastAsia" w:ascii="宋体" w:hAnsi="宋体" w:eastAsia="宋体" w:cs="宋体"/>
          <w:sz w:val="21"/>
        </w:rPr>
      </w:pPr>
    </w:p>
    <w:p w14:paraId="6FE62764">
      <w:pPr>
        <w:shd w:val="clear"/>
        <w:spacing w:line="272" w:lineRule="auto"/>
        <w:rPr>
          <w:rFonts w:hint="eastAsia" w:ascii="宋体" w:hAnsi="宋体" w:eastAsia="宋体" w:cs="宋体"/>
          <w:sz w:val="21"/>
        </w:rPr>
      </w:pPr>
    </w:p>
    <w:p w14:paraId="54C5C229">
      <w:pPr>
        <w:shd w:val="clear"/>
        <w:spacing w:line="272" w:lineRule="auto"/>
        <w:rPr>
          <w:rFonts w:hint="eastAsia" w:ascii="宋体" w:hAnsi="宋体" w:eastAsia="宋体" w:cs="宋体"/>
          <w:sz w:val="21"/>
        </w:rPr>
      </w:pPr>
    </w:p>
    <w:p w14:paraId="1C25E26E">
      <w:pPr>
        <w:shd w:val="clear"/>
        <w:spacing w:line="272" w:lineRule="auto"/>
        <w:rPr>
          <w:rFonts w:hint="eastAsia" w:ascii="宋体" w:hAnsi="宋体" w:eastAsia="宋体" w:cs="宋体"/>
          <w:sz w:val="21"/>
        </w:rPr>
      </w:pPr>
    </w:p>
    <w:p w14:paraId="3EB28318">
      <w:pPr>
        <w:shd w:val="clear"/>
        <w:spacing w:line="272" w:lineRule="auto"/>
        <w:rPr>
          <w:rFonts w:hint="eastAsia" w:ascii="宋体" w:hAnsi="宋体" w:eastAsia="宋体" w:cs="宋体"/>
          <w:sz w:val="21"/>
        </w:rPr>
      </w:pPr>
    </w:p>
    <w:p w14:paraId="74A9B3AA">
      <w:pPr>
        <w:shd w:val="clear"/>
        <w:spacing w:line="272" w:lineRule="auto"/>
        <w:rPr>
          <w:rFonts w:hint="eastAsia" w:ascii="宋体" w:hAnsi="宋体" w:eastAsia="宋体" w:cs="宋体"/>
          <w:sz w:val="21"/>
        </w:rPr>
      </w:pPr>
    </w:p>
    <w:p w14:paraId="15F48AC6">
      <w:pPr>
        <w:shd w:val="clear"/>
        <w:spacing w:line="272" w:lineRule="auto"/>
        <w:rPr>
          <w:rFonts w:hint="eastAsia" w:ascii="宋体" w:hAnsi="宋体" w:eastAsia="宋体" w:cs="宋体"/>
          <w:sz w:val="21"/>
        </w:rPr>
      </w:pPr>
    </w:p>
    <w:p w14:paraId="207CBA56">
      <w:pPr>
        <w:shd w:val="clear"/>
        <w:spacing w:line="272" w:lineRule="auto"/>
        <w:rPr>
          <w:rFonts w:hint="eastAsia" w:ascii="宋体" w:hAnsi="宋体" w:eastAsia="宋体" w:cs="宋体"/>
          <w:sz w:val="21"/>
        </w:rPr>
      </w:pPr>
    </w:p>
    <w:p w14:paraId="07937BD0">
      <w:pPr>
        <w:shd w:val="clear"/>
        <w:spacing w:line="272" w:lineRule="auto"/>
        <w:rPr>
          <w:rFonts w:hint="eastAsia" w:ascii="宋体" w:hAnsi="宋体" w:eastAsia="宋体" w:cs="宋体"/>
          <w:sz w:val="21"/>
        </w:rPr>
      </w:pPr>
    </w:p>
    <w:p w14:paraId="212C69D8">
      <w:pPr>
        <w:pStyle w:val="3"/>
        <w:shd w:val="clear"/>
        <w:spacing w:before="140" w:line="226" w:lineRule="auto"/>
        <w:ind w:left="3805"/>
        <w:rPr>
          <w:rFonts w:hint="eastAsia" w:ascii="宋体" w:hAnsi="宋体" w:eastAsia="宋体" w:cs="宋体"/>
          <w:sz w:val="43"/>
          <w:szCs w:val="43"/>
        </w:rPr>
      </w:pPr>
      <w:r>
        <w:rPr>
          <w:rFonts w:hint="eastAsia" w:ascii="宋体" w:hAnsi="宋体" w:eastAsia="宋体" w:cs="宋体"/>
          <w:b/>
          <w:bCs/>
          <w:spacing w:val="-4"/>
          <w:sz w:val="43"/>
          <w:szCs w:val="43"/>
        </w:rPr>
        <w:t>合同文本</w:t>
      </w:r>
    </w:p>
    <w:p w14:paraId="08C3B73C">
      <w:pPr>
        <w:shd w:val="clear"/>
        <w:spacing w:before="37"/>
        <w:rPr>
          <w:rFonts w:hint="eastAsia" w:ascii="宋体" w:hAnsi="宋体" w:eastAsia="宋体" w:cs="宋体"/>
        </w:rPr>
      </w:pPr>
    </w:p>
    <w:p w14:paraId="3D39456C">
      <w:pPr>
        <w:shd w:val="clear"/>
        <w:spacing w:before="37"/>
        <w:rPr>
          <w:rFonts w:hint="eastAsia" w:ascii="宋体" w:hAnsi="宋体" w:eastAsia="宋体" w:cs="宋体"/>
        </w:rPr>
      </w:pPr>
    </w:p>
    <w:p w14:paraId="22C0B8DA">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采购计划号：                            合同编号：                         </w:t>
      </w:r>
    </w:p>
    <w:p w14:paraId="5B7E7309">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采购人（甲方）：                         供应商（乙方）：                   </w:t>
      </w:r>
    </w:p>
    <w:p w14:paraId="7A3EF2C5">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项目名称：                              项目编号：                         </w:t>
      </w:r>
    </w:p>
    <w:p w14:paraId="6D2CD4DC">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签订地点：                              签订时间：                         </w:t>
      </w:r>
    </w:p>
    <w:p w14:paraId="7DEFC1B8">
      <w:pPr>
        <w:pStyle w:val="3"/>
        <w:shd w:val="clear"/>
        <w:spacing w:before="78" w:line="360" w:lineRule="auto"/>
        <w:ind w:left="28" w:right="65" w:firstLine="452"/>
        <w:rPr>
          <w:rFonts w:hint="eastAsia" w:ascii="宋体" w:hAnsi="宋体" w:eastAsia="宋体" w:cs="宋体"/>
          <w:spacing w:val="-4"/>
          <w:u w:val="none" w:color="auto"/>
          <w:lang w:eastAsia="zh-CN"/>
        </w:rPr>
      </w:pPr>
    </w:p>
    <w:p w14:paraId="75B1500E">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根据《中华人民共和国政府采购法》、《中华人民共和国民法典》等法律、法规规定，按照磋商 文件规定条款和乙方响应文件及其承诺， 甲乙双方签订本合同。</w:t>
      </w:r>
    </w:p>
    <w:p w14:paraId="261EB779">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第一条  合同标的</w:t>
      </w:r>
    </w:p>
    <w:p w14:paraId="7B92599A">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val="en-US" w:eastAsia="zh-CN"/>
        </w:rPr>
        <w:t>1.供货</w:t>
      </w:r>
      <w:r>
        <w:rPr>
          <w:rFonts w:hint="eastAsia" w:ascii="宋体" w:hAnsi="宋体" w:eastAsia="宋体" w:cs="宋体"/>
          <w:spacing w:val="-4"/>
          <w:u w:val="none" w:color="auto"/>
          <w:lang w:eastAsia="zh-CN"/>
        </w:rPr>
        <w:t>一览表</w:t>
      </w:r>
    </w:p>
    <w:tbl>
      <w:tblPr>
        <w:tblStyle w:val="11"/>
        <w:tblW w:w="8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1093"/>
        <w:gridCol w:w="2473"/>
        <w:gridCol w:w="741"/>
        <w:gridCol w:w="787"/>
        <w:gridCol w:w="1379"/>
        <w:gridCol w:w="1306"/>
      </w:tblGrid>
      <w:tr w14:paraId="57C19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878" w:type="dxa"/>
            <w:noWrap w:val="0"/>
            <w:vAlign w:val="top"/>
          </w:tcPr>
          <w:p w14:paraId="30A6E0D5">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序号</w:t>
            </w:r>
          </w:p>
        </w:tc>
        <w:tc>
          <w:tcPr>
            <w:tcW w:w="1093" w:type="dxa"/>
            <w:noWrap w:val="0"/>
            <w:vAlign w:val="top"/>
          </w:tcPr>
          <w:p w14:paraId="5FA2CCCD">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val="en-US" w:eastAsia="zh-CN"/>
              </w:rPr>
              <w:t>标的</w:t>
            </w:r>
            <w:r>
              <w:rPr>
                <w:rFonts w:hint="eastAsia" w:ascii="宋体" w:hAnsi="宋体" w:eastAsia="宋体" w:cs="宋体"/>
                <w:spacing w:val="-4"/>
                <w:u w:val="none" w:color="auto"/>
                <w:lang w:eastAsia="zh-CN"/>
              </w:rPr>
              <w:t>名称</w:t>
            </w:r>
          </w:p>
        </w:tc>
        <w:tc>
          <w:tcPr>
            <w:tcW w:w="2473" w:type="dxa"/>
            <w:noWrap w:val="0"/>
            <w:vAlign w:val="top"/>
          </w:tcPr>
          <w:p w14:paraId="1BFC6E89">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内容</w:t>
            </w:r>
          </w:p>
        </w:tc>
        <w:tc>
          <w:tcPr>
            <w:tcW w:w="741" w:type="dxa"/>
            <w:noWrap w:val="0"/>
            <w:vAlign w:val="top"/>
          </w:tcPr>
          <w:p w14:paraId="7676A84A">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数量</w:t>
            </w:r>
          </w:p>
        </w:tc>
        <w:tc>
          <w:tcPr>
            <w:tcW w:w="787" w:type="dxa"/>
            <w:noWrap w:val="0"/>
            <w:vAlign w:val="top"/>
          </w:tcPr>
          <w:p w14:paraId="0DF393AC">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单位</w:t>
            </w:r>
          </w:p>
        </w:tc>
        <w:tc>
          <w:tcPr>
            <w:tcW w:w="1379" w:type="dxa"/>
            <w:noWrap w:val="0"/>
            <w:vAlign w:val="top"/>
          </w:tcPr>
          <w:p w14:paraId="0978AACA">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单价（元）</w:t>
            </w:r>
          </w:p>
        </w:tc>
        <w:tc>
          <w:tcPr>
            <w:tcW w:w="1306" w:type="dxa"/>
            <w:noWrap w:val="0"/>
            <w:vAlign w:val="top"/>
          </w:tcPr>
          <w:p w14:paraId="141392DD">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val="en-US" w:eastAsia="zh-CN"/>
              </w:rPr>
              <w:t>金额</w:t>
            </w:r>
            <w:r>
              <w:rPr>
                <w:rFonts w:hint="eastAsia" w:ascii="宋体" w:hAnsi="宋体" w:eastAsia="宋体" w:cs="宋体"/>
                <w:spacing w:val="-4"/>
                <w:u w:val="none" w:color="auto"/>
                <w:lang w:eastAsia="zh-CN"/>
              </w:rPr>
              <w:t>（元）</w:t>
            </w:r>
          </w:p>
        </w:tc>
      </w:tr>
      <w:tr w14:paraId="6A9F2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78" w:type="dxa"/>
            <w:noWrap w:val="0"/>
            <w:vAlign w:val="top"/>
          </w:tcPr>
          <w:p w14:paraId="0CDA173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w:t>
            </w:r>
          </w:p>
        </w:tc>
        <w:tc>
          <w:tcPr>
            <w:tcW w:w="1093" w:type="dxa"/>
            <w:noWrap w:val="0"/>
            <w:vAlign w:val="top"/>
          </w:tcPr>
          <w:p w14:paraId="76543569">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2473" w:type="dxa"/>
            <w:noWrap w:val="0"/>
            <w:vAlign w:val="top"/>
          </w:tcPr>
          <w:p w14:paraId="74D196EE">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41" w:type="dxa"/>
            <w:noWrap w:val="0"/>
            <w:vAlign w:val="top"/>
          </w:tcPr>
          <w:p w14:paraId="62AA75EF">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87" w:type="dxa"/>
            <w:noWrap w:val="0"/>
            <w:vAlign w:val="top"/>
          </w:tcPr>
          <w:p w14:paraId="1D9E2C32">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79" w:type="dxa"/>
            <w:noWrap w:val="0"/>
            <w:vAlign w:val="top"/>
          </w:tcPr>
          <w:p w14:paraId="49BE6078">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06" w:type="dxa"/>
            <w:noWrap w:val="0"/>
            <w:vAlign w:val="top"/>
          </w:tcPr>
          <w:p w14:paraId="16738338">
            <w:pPr>
              <w:pStyle w:val="3"/>
              <w:shd w:val="clear"/>
              <w:spacing w:before="78" w:line="360" w:lineRule="auto"/>
              <w:ind w:left="28" w:right="65" w:firstLine="452"/>
              <w:rPr>
                <w:rFonts w:hint="eastAsia" w:ascii="宋体" w:hAnsi="宋体" w:eastAsia="宋体" w:cs="宋体"/>
                <w:spacing w:val="-4"/>
                <w:u w:val="none" w:color="auto"/>
                <w:lang w:eastAsia="zh-CN"/>
              </w:rPr>
            </w:pPr>
          </w:p>
        </w:tc>
      </w:tr>
      <w:tr w14:paraId="64380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78" w:type="dxa"/>
            <w:noWrap w:val="0"/>
            <w:vAlign w:val="top"/>
          </w:tcPr>
          <w:p w14:paraId="245EEBF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w:t>
            </w:r>
          </w:p>
        </w:tc>
        <w:tc>
          <w:tcPr>
            <w:tcW w:w="1093" w:type="dxa"/>
            <w:noWrap w:val="0"/>
            <w:vAlign w:val="top"/>
          </w:tcPr>
          <w:p w14:paraId="62691000">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2473" w:type="dxa"/>
            <w:noWrap w:val="0"/>
            <w:vAlign w:val="top"/>
          </w:tcPr>
          <w:p w14:paraId="28ABC9F6">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41" w:type="dxa"/>
            <w:noWrap w:val="0"/>
            <w:vAlign w:val="top"/>
          </w:tcPr>
          <w:p w14:paraId="2DB01528">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87" w:type="dxa"/>
            <w:noWrap w:val="0"/>
            <w:vAlign w:val="top"/>
          </w:tcPr>
          <w:p w14:paraId="71F74825">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79" w:type="dxa"/>
            <w:noWrap w:val="0"/>
            <w:vAlign w:val="top"/>
          </w:tcPr>
          <w:p w14:paraId="12096C56">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06" w:type="dxa"/>
            <w:noWrap w:val="0"/>
            <w:vAlign w:val="top"/>
          </w:tcPr>
          <w:p w14:paraId="18F4C561">
            <w:pPr>
              <w:pStyle w:val="3"/>
              <w:shd w:val="clear"/>
              <w:spacing w:before="78" w:line="360" w:lineRule="auto"/>
              <w:ind w:left="28" w:right="65" w:firstLine="452"/>
              <w:rPr>
                <w:rFonts w:hint="eastAsia" w:ascii="宋体" w:hAnsi="宋体" w:eastAsia="宋体" w:cs="宋体"/>
                <w:spacing w:val="-4"/>
                <w:u w:val="none" w:color="auto"/>
                <w:lang w:eastAsia="zh-CN"/>
              </w:rPr>
            </w:pPr>
          </w:p>
        </w:tc>
      </w:tr>
      <w:tr w14:paraId="1B129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78" w:type="dxa"/>
            <w:noWrap w:val="0"/>
            <w:vAlign w:val="top"/>
          </w:tcPr>
          <w:p w14:paraId="3820FDD4">
            <w:pPr>
              <w:pStyle w:val="3"/>
              <w:shd w:val="clear"/>
              <w:spacing w:before="78" w:line="360" w:lineRule="auto"/>
              <w:ind w:right="65"/>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w:t>
            </w:r>
          </w:p>
        </w:tc>
        <w:tc>
          <w:tcPr>
            <w:tcW w:w="1093" w:type="dxa"/>
            <w:noWrap w:val="0"/>
            <w:vAlign w:val="top"/>
          </w:tcPr>
          <w:p w14:paraId="6F8C06FE">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2473" w:type="dxa"/>
            <w:noWrap w:val="0"/>
            <w:vAlign w:val="top"/>
          </w:tcPr>
          <w:p w14:paraId="7A1F07EF">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41" w:type="dxa"/>
            <w:noWrap w:val="0"/>
            <w:vAlign w:val="top"/>
          </w:tcPr>
          <w:p w14:paraId="00DE39BD">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87" w:type="dxa"/>
            <w:noWrap w:val="0"/>
            <w:vAlign w:val="top"/>
          </w:tcPr>
          <w:p w14:paraId="0F0B8DAC">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79" w:type="dxa"/>
            <w:noWrap w:val="0"/>
            <w:vAlign w:val="top"/>
          </w:tcPr>
          <w:p w14:paraId="7AD20069">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06" w:type="dxa"/>
            <w:noWrap w:val="0"/>
            <w:vAlign w:val="top"/>
          </w:tcPr>
          <w:p w14:paraId="161832A5">
            <w:pPr>
              <w:pStyle w:val="3"/>
              <w:shd w:val="clear"/>
              <w:spacing w:before="78" w:line="360" w:lineRule="auto"/>
              <w:ind w:left="28" w:right="65" w:firstLine="452"/>
              <w:rPr>
                <w:rFonts w:hint="eastAsia" w:ascii="宋体" w:hAnsi="宋体" w:eastAsia="宋体" w:cs="宋体"/>
                <w:spacing w:val="-4"/>
                <w:u w:val="none" w:color="auto"/>
                <w:lang w:eastAsia="zh-CN"/>
              </w:rPr>
            </w:pPr>
          </w:p>
        </w:tc>
      </w:tr>
      <w:tr w14:paraId="70665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8657" w:type="dxa"/>
            <w:gridSpan w:val="7"/>
            <w:noWrap w:val="0"/>
            <w:vAlign w:val="top"/>
          </w:tcPr>
          <w:p w14:paraId="35269A41">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人民币合计金额（大写）：       </w:t>
            </w:r>
            <w:r>
              <w:rPr>
                <w:rFonts w:hint="eastAsia" w:ascii="宋体" w:hAnsi="宋体" w:eastAsia="宋体" w:cs="宋体"/>
                <w:spacing w:val="-4"/>
                <w:u w:val="none" w:color="auto"/>
                <w:lang w:val="en-US" w:eastAsia="zh-CN"/>
              </w:rPr>
              <w:t xml:space="preserve">    </w:t>
            </w:r>
            <w:r>
              <w:rPr>
                <w:rFonts w:hint="eastAsia" w:ascii="宋体" w:hAnsi="宋体" w:eastAsia="宋体" w:cs="宋体"/>
                <w:spacing w:val="-4"/>
                <w:u w:val="none" w:color="auto"/>
                <w:lang w:eastAsia="zh-CN"/>
              </w:rPr>
              <w:t xml:space="preserve">     元整 (¥                   )</w:t>
            </w:r>
          </w:p>
        </w:tc>
      </w:tr>
    </w:tbl>
    <w:p w14:paraId="01FAA287">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2</w:t>
      </w:r>
      <w:r>
        <w:rPr>
          <w:rFonts w:hint="eastAsia" w:ascii="宋体" w:hAnsi="宋体" w:eastAsia="宋体" w:cs="宋体"/>
          <w:spacing w:val="-4"/>
          <w:u w:val="none" w:color="auto"/>
          <w:lang w:val="en-US" w:eastAsia="zh-CN"/>
        </w:rPr>
        <w:t>.</w:t>
      </w:r>
      <w:r>
        <w:rPr>
          <w:rFonts w:hint="eastAsia" w:ascii="宋体" w:hAnsi="宋体" w:eastAsia="宋体" w:cs="宋体"/>
          <w:spacing w:val="-4"/>
          <w:u w:val="none" w:color="auto"/>
          <w:lang w:eastAsia="zh-CN"/>
        </w:rPr>
        <w:t>合同合计金额包括货物服务价款，备件、专用工具、安装、调试、检验、技术培训及技术资料和包装、运输等全部费用。如采购文件对其另有规定的，从其规定。</w:t>
      </w:r>
    </w:p>
    <w:p w14:paraId="3E0ECFE7">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第二条  质量保证</w:t>
      </w:r>
    </w:p>
    <w:p w14:paraId="039A246C">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乙方所提供的货物型号、技术规格、技术参数等质量必须与采购文件和承诺相一致，有国家强制性标准的，还必须符合国家强制性标准的规定，没有国家强制性标准但有其他强制性标准的，必须符合其他强制性标准的规定。</w:t>
      </w:r>
    </w:p>
    <w:p w14:paraId="58E42563">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b/>
          <w:bCs/>
          <w:spacing w:val="-4"/>
          <w:u w:val="none" w:color="auto"/>
          <w:lang w:val="en-US" w:eastAsia="zh-CN"/>
        </w:rPr>
        <w:t>第三条  权利保证</w:t>
      </w:r>
    </w:p>
    <w:p w14:paraId="1DC0906D">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1．乙方应保证所提供服务在使用时不会侵犯任何第三方的专利权、商标权、工业设计权等知识产 权及其他合法权利，且所有权、处分权等没有受到任何限制。</w:t>
      </w:r>
    </w:p>
    <w:p w14:paraId="0A15B4B0">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EA50B19">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乙方保证所交付的货物的所有权完全属于乙方且无任何抵押、质押、查封等产权瑕疵。</w:t>
      </w:r>
    </w:p>
    <w:p w14:paraId="513F7BC5">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b/>
          <w:bCs/>
          <w:spacing w:val="-4"/>
          <w:u w:val="none" w:color="auto"/>
          <w:lang w:val="en-US" w:eastAsia="zh-CN"/>
        </w:rPr>
        <w:t>第四条 包装和运输</w:t>
      </w:r>
    </w:p>
    <w:p w14:paraId="1C36C7F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1.乙方提供的货物均应按采购文件要求的包装材料、包装标准、包装方式进行包装，每一包 装单元内应附详细的装箱单和质量合格证。</w:t>
      </w:r>
    </w:p>
    <w:p w14:paraId="7FF6B5B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2.货物的运输方式：                        </w:t>
      </w:r>
    </w:p>
    <w:p w14:paraId="06C773FC">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3.乙方负责货物运输，货物运输合理损耗及计算方法：                    </w:t>
      </w:r>
    </w:p>
    <w:p w14:paraId="57E30A1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第五条 交付和验收</w:t>
      </w:r>
    </w:p>
    <w:p w14:paraId="7D98660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1.交 货 时 间 ：                      </w:t>
      </w:r>
    </w:p>
    <w:p w14:paraId="4E38E119">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地点：                                             </w:t>
      </w:r>
    </w:p>
    <w:p w14:paraId="32CD9F9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2.乙方提供不符合采购文件和本合同规定的货物，甲方有权拒绝接收。</w:t>
      </w:r>
    </w:p>
    <w:p w14:paraId="7AC6E014">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3.乙方应将所提供货物的装箱清单、用户手册、原厂保修卡、随机资料、工具和备品、备件 等交付给甲方，货物属于进口产品的，供货时应同时附上中文使用说明书，如有缺失应及时补齐， 否则视为逾期交货。</w:t>
      </w:r>
    </w:p>
    <w:p w14:paraId="41E04DC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4.甲方应当在到货（安装、调试完成）后七个工作日内进行验收，逾期不验收的，乙方可视同验收合格。验收合格后由甲乙双方签署货物验收单并加盖采购单位公章，甲乙双方各执一份。</w:t>
      </w:r>
    </w:p>
    <w:p w14:paraId="1F1D2ED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5.甲方对验收有异议的，在验收后五个工作日内以书面形式向乙方提出，乙方应自收到甲方书面异议后五个工作日内及时予以解决。</w:t>
      </w:r>
    </w:p>
    <w:p w14:paraId="2FD5FB9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第六条 安装和培训</w:t>
      </w:r>
    </w:p>
    <w:p w14:paraId="490A8F8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1.甲方应提供必要安装条件（如场地、电源、水源等）。</w:t>
      </w:r>
    </w:p>
    <w:p w14:paraId="191FEC0B">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2.乙方负责甲方有关人员的培训。培训时间、地点：                                        </w:t>
      </w:r>
      <w:r>
        <w:rPr>
          <w:rFonts w:hint="eastAsia" w:ascii="宋体" w:hAnsi="宋体" w:eastAsia="宋体" w:cs="宋体"/>
          <w:b/>
          <w:bCs/>
          <w:spacing w:val="-4"/>
          <w:u w:val="none" w:color="auto"/>
          <w:lang w:val="en-US" w:eastAsia="zh-CN"/>
        </w:rPr>
        <w:t>第七条 售后服务、保修期</w:t>
      </w:r>
    </w:p>
    <w:p w14:paraId="3E97F64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1.乙方应按照国家有关法律法规和“三包”规定以及采购文件承诺，为甲方提供售后服务。</w:t>
      </w:r>
    </w:p>
    <w:p w14:paraId="793BBC2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2.货物保修期：                                                </w:t>
      </w:r>
    </w:p>
    <w:p w14:paraId="316D1ED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3.乙方提供的服务承诺和售后服务及保修期责任等其他具体约定事项。</w:t>
      </w:r>
    </w:p>
    <w:p w14:paraId="754F102C">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第八条 付款方式和保证金</w:t>
      </w:r>
    </w:p>
    <w:p w14:paraId="0A3A78E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1.当采购数量与实际使用数量不一致时，乙方应根据实际使用量供货，合同的最终结算金 额按实际使用量乘以成交单价进行计算。</w:t>
      </w:r>
    </w:p>
    <w:p w14:paraId="6C6BD42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2.资 金 性 质 ：财 政 资 金 。</w:t>
      </w:r>
    </w:p>
    <w:p w14:paraId="12A11F45">
      <w:pPr>
        <w:pStyle w:val="3"/>
        <w:shd w:val="clear"/>
        <w:spacing w:before="78" w:line="360" w:lineRule="auto"/>
        <w:ind w:left="28" w:right="65" w:firstLine="452"/>
        <w:rPr>
          <w:rFonts w:hint="eastAsia" w:ascii="宋体" w:hAnsi="宋体" w:eastAsia="宋体" w:cs="宋体"/>
          <w:color w:val="0000FF"/>
          <w:spacing w:val="-4"/>
          <w:u w:val="none" w:color="auto"/>
          <w:lang w:val="en-US" w:eastAsia="zh-CN"/>
        </w:rPr>
      </w:pPr>
      <w:r>
        <w:rPr>
          <w:rFonts w:hint="eastAsia" w:ascii="宋体" w:hAnsi="宋体" w:eastAsia="宋体" w:cs="宋体"/>
          <w:color w:val="0000FF"/>
          <w:spacing w:val="-4"/>
          <w:u w:val="none" w:color="auto"/>
          <w:lang w:val="en-US" w:eastAsia="zh-CN"/>
        </w:rPr>
        <w:t>3.付款方式：当项目完成并通过采购方验收后，一次性支付100%合同款。成交人将全部项目请款材料递交给采购人后，采购人于10个工作日内将请款材料递交县财政局。该项目资金由县财政部门拨款，如因财政政策的影响，拨款未能及时到位，造成采购人不能如约支付款项的，采购人不构成违约，不得追究采购人责任。</w:t>
      </w:r>
    </w:p>
    <w:p w14:paraId="2C45F2C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第九条 履约保证金</w:t>
      </w:r>
    </w:p>
    <w:p w14:paraId="5046FA3C">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合同总金额的 2_ %，待质量保证期过后甲方在五个工作日内一次性无息返还给乙方。</w:t>
      </w:r>
    </w:p>
    <w:p w14:paraId="3C0681D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第十条 税费</w:t>
      </w:r>
    </w:p>
    <w:p w14:paraId="4A31438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本合同执行中相关的一切税费均由乙方负担。</w:t>
      </w:r>
    </w:p>
    <w:p w14:paraId="2D63BC9A">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第十一条 质量保证及售后服务</w:t>
      </w:r>
    </w:p>
    <w:p w14:paraId="54DD4717">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1.乙方应按磋商文件规定的货物性能、技术要求、质量标准向甲方提供未经使用的全新产品。不符合要求者，根据实际情况，经双方协商，可按以下办法处理：</w:t>
      </w:r>
    </w:p>
    <w:p w14:paraId="502F3EB3">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（1）更换：由乙方承担所发生的全部费用。</w:t>
      </w:r>
    </w:p>
    <w:p w14:paraId="429618D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（2）贬值处理：由甲乙双方合议定价。</w:t>
      </w:r>
    </w:p>
    <w:p w14:paraId="7D8032E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（3）退货处理：乙方应退还甲方支付的合同款，同时应承担该货物的直接费用（运输、保险、 检验、货款利息及银行手续费等）。</w:t>
      </w:r>
    </w:p>
    <w:p w14:paraId="1BAC124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2.如在使用过程中发生质量问题，乙方在接到甲方通知后在4小时内到达甲方现场处理。</w:t>
      </w:r>
    </w:p>
    <w:p w14:paraId="455F20A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3.在质保期内，乙方应对货物出现的质量及安全问题负责处理解决并承担一切费用。</w:t>
      </w:r>
    </w:p>
    <w:p w14:paraId="0198BCC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4.货物免费保修期为1年，因人为因素出现的故障不在免费保修范围内。超过保修期的机器设备，终身维修，维修时只收部件成本费。</w:t>
      </w:r>
    </w:p>
    <w:p w14:paraId="1BB52C4A">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第十二条 违约责任</w:t>
      </w:r>
    </w:p>
    <w:p w14:paraId="7B8C3F4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191A6A59">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2.乙方提供的货物如侵犯了第三方合法权益而引发的任何纠纷或诉讼，均由乙方负责交涉并 承担全部责任。</w:t>
      </w:r>
    </w:p>
    <w:p w14:paraId="343BA9A4">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3.因包装、运输引起的货物损坏，按质量不合格处罚。</w:t>
      </w:r>
    </w:p>
    <w:p w14:paraId="3503D25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甲方无故延期接收货物、乙方逾期交货的，每天向对方偿付违约货款额3‰违约金，但违约金累计不得超过违约货款额5%，超过15天对方有权解除合同，违约方承担因此给对方造成经济损失；甲方延期付货款的，每天向乙方偿付延期货款额3‰滞纳金，但滞纳金累计不得超过延期货 款额5%。</w:t>
      </w:r>
    </w:p>
    <w:p w14:paraId="5B3EFF4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5.乙方未按本合同和响应文件中规定的服务承诺提供售后服务的，乙方应按本合同合计金额 5%向甲方支付违约金。</w:t>
      </w:r>
    </w:p>
    <w:p w14:paraId="368C9C4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6.乙方提供的货物在质量保证期内，因设计、工艺或材料的缺陷和其他质量原因造成的问题，由乙方负责，费用从质量保证金中扣除，不足另补。</w:t>
      </w:r>
    </w:p>
    <w:p w14:paraId="52C35D23">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7.其他违约行为按违约货款额5%收取违约金并赔偿经济损失。</w:t>
      </w:r>
    </w:p>
    <w:p w14:paraId="2E5414E4">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第十三条，调试和验收</w:t>
      </w:r>
    </w:p>
    <w:p w14:paraId="4D1AE36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甲方对乙方提交的货物依据磋商文件上的技术规格要求和国家有关质量标准进行现场初步验收，外观、说明书符合磋商文件技术要求的，给予签收，初步验收不合格的不予签收。货到后，甲方应当在到货（安装、调试完成）后七个工作日内进行验收。</w:t>
      </w:r>
    </w:p>
    <w:p w14:paraId="2DA9D53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2.乙方交货前应对产品作出全面检查和对验收文件进行整理，并列出清单，作为甲方收货验收和使用的依据，检验的结果应随货物交甲方。</w:t>
      </w:r>
    </w:p>
    <w:p w14:paraId="0C5B21F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3.甲方对乙方提供的货物在使用前进行调试时，乙方需负责安装并培训甲方的使用操作人员，并协助甲方一起调试，直到符合技术要求，甲方才做最终验收。</w:t>
      </w:r>
    </w:p>
    <w:p w14:paraId="625138A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4.验收时乙方必须在现场，验收完毕后作出验收结果报告；验收费用由乙方负责。</w:t>
      </w:r>
    </w:p>
    <w:p w14:paraId="0F661430">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第十四条 货物包装、发运及运输</w:t>
      </w:r>
    </w:p>
    <w:p w14:paraId="75C5567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1.乙方应在货物发运前对其进行满足运输距离、防潮、防震、防锈和防破损装卸等要求包装，以保证货物安全运达甲方指定地点。</w:t>
      </w:r>
    </w:p>
    <w:p w14:paraId="4408EAB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2.使用说明书（货物属于进口产品的，供货时应同时附上中文使用说明书）、质量检验证明 书、随配附件和工具以及清单一并附于货物内。</w:t>
      </w:r>
    </w:p>
    <w:p w14:paraId="53203F7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3.乙方在货物发运手续办理完毕后二十四小时内或货到甲方四十八小时前通知甲方，以准备接货。</w:t>
      </w:r>
    </w:p>
    <w:p w14:paraId="30D781E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4.货物在交付甲方前发生的风险均由乙方负责。</w:t>
      </w:r>
    </w:p>
    <w:p w14:paraId="34C46B3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5.货物在规定的交付期限内由乙方送达甲方指定的地点视为交付，乙方同时需通知甲方货物已送达。</w:t>
      </w:r>
    </w:p>
    <w:p w14:paraId="0BA0B18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第十五条 不可抗力事件处理</w:t>
      </w:r>
    </w:p>
    <w:p w14:paraId="4BA25C8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1.在合同有效期内，任何一方因不可抗力事件导致不能履行合同，则合同履行期可延长，其延长期与不可抗力影响期相同。</w:t>
      </w:r>
    </w:p>
    <w:p w14:paraId="6486B71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2.不可抗力事件发生后，应立即通知对方，并寄送有关权威机构出具的证明。</w:t>
      </w:r>
    </w:p>
    <w:p w14:paraId="367E4D83">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3.不可抗力事件延续一百二十天以上，双方应通过友好协商，确定是否继续履行合同。</w:t>
      </w:r>
    </w:p>
    <w:p w14:paraId="23EC26C2">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第十六条 合同争议解决</w:t>
      </w:r>
    </w:p>
    <w:p w14:paraId="1D6B8E5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1.因货物质量问题发生争议的，应邀请国家认可的质量检测机构对货物质量进行鉴定。货物符合标准的，鉴定费由甲方承担；货物不符合标准的，鉴定费由乙方承担。</w:t>
      </w:r>
    </w:p>
    <w:p w14:paraId="2A9F735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2.因履行本合同引起的或与本合同有关的争议，甲乙双方应首先通过友好协商解决，如果协商不能解决，可向仲裁委员会申请仲裁或向人民法院提起诉讼。</w:t>
      </w:r>
    </w:p>
    <w:p w14:paraId="7180DFC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3.诉讼期间，本合同继续履行。</w:t>
      </w:r>
    </w:p>
    <w:p w14:paraId="73F94DB7">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第十七条 诉讼</w:t>
      </w:r>
    </w:p>
    <w:p w14:paraId="2F6275C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双方在执行合同中所发生的一切争议，应通过协商解决。如协商不成，可向仲裁委员会申请仲裁或向人民法院提起诉讼。</w:t>
      </w:r>
    </w:p>
    <w:p w14:paraId="106F276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第十八条 合同生效及其它</w:t>
      </w:r>
    </w:p>
    <w:p w14:paraId="6968E2B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1.合同经双方法定代表人或授权代表签字并加盖单位公章后生效。</w:t>
      </w:r>
    </w:p>
    <w:p w14:paraId="1A5759B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2.合同执行中涉及采购资金和采购内容修改或补充的，须经财政部门审批，并签订书面补充协议报财政部门备案，方可作为主合同不可分割的一部分。</w:t>
      </w:r>
    </w:p>
    <w:p w14:paraId="18DDAF5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3.本合同未尽事宜，遵照《民法典》有关条文执行。</w:t>
      </w:r>
    </w:p>
    <w:p w14:paraId="6648F542">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第十九条 合同的变更、终止与转让</w:t>
      </w:r>
    </w:p>
    <w:p w14:paraId="4BAA010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1.除《中华人民共和国政府采购法》第五十条规定的情形外，本合同一经签订，甲乙双方不得擅自变更、中止或终止。</w:t>
      </w:r>
    </w:p>
    <w:p w14:paraId="18333BB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2.乙方不得擅自转让其应履行的合同义务。</w:t>
      </w:r>
    </w:p>
    <w:p w14:paraId="7D0CD3F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第二十条 签订本合同依据</w:t>
      </w:r>
    </w:p>
    <w:p w14:paraId="3D1C73B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1.政府采购磋商文件；</w:t>
      </w:r>
    </w:p>
    <w:p w14:paraId="660628D9">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2.乙方提供的响应（或应答）文件；</w:t>
      </w:r>
    </w:p>
    <w:p w14:paraId="70E8FA0C">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3.竞标承诺书；</w:t>
      </w:r>
    </w:p>
    <w:p w14:paraId="71A11B8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4.成交或成交通知书。</w:t>
      </w:r>
    </w:p>
    <w:p w14:paraId="2977D637">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第二十一条</w:t>
      </w:r>
      <w:r>
        <w:rPr>
          <w:rFonts w:hint="eastAsia" w:ascii="宋体" w:hAnsi="宋体" w:eastAsia="宋体" w:cs="宋体"/>
          <w:spacing w:val="-4"/>
          <w:u w:val="none" w:color="auto"/>
          <w:lang w:val="en-US" w:eastAsia="zh-CN"/>
        </w:rPr>
        <w:t xml:space="preserve"> </w:t>
      </w:r>
    </w:p>
    <w:p w14:paraId="1424330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本合同一式六份，具有同等法律效力，财政部门（政府采购监管部门）、采购代 理机构各一份，甲乙双方各两份（可根据需要另增加）。</w:t>
      </w:r>
    </w:p>
    <w:p w14:paraId="39FAFBF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本合同甲乙双方签字盖章后生效，自签订之日起二个工作日内，采购人或采购代理机构应当将合同副本报同级财政部门备案。</w:t>
      </w:r>
    </w:p>
    <w:p w14:paraId="4BFC1D88">
      <w:pPr>
        <w:shd w:val="clear"/>
        <w:spacing w:before="19"/>
        <w:rPr>
          <w:rFonts w:hint="eastAsia" w:ascii="宋体" w:hAnsi="宋体" w:eastAsia="宋体" w:cs="宋体"/>
        </w:rPr>
      </w:pPr>
    </w:p>
    <w:tbl>
      <w:tblPr>
        <w:tblStyle w:val="11"/>
        <w:tblW w:w="96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56"/>
        <w:gridCol w:w="4809"/>
      </w:tblGrid>
      <w:tr w14:paraId="6F86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87" w:hRule="atLeast"/>
          <w:jc w:val="center"/>
        </w:trPr>
        <w:tc>
          <w:tcPr>
            <w:tcW w:w="4856" w:type="dxa"/>
            <w:noWrap w:val="0"/>
            <w:vAlign w:val="top"/>
          </w:tcPr>
          <w:p w14:paraId="53EE728C">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甲方：（章）</w:t>
            </w:r>
          </w:p>
          <w:p w14:paraId="55126E49">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14:paraId="6FF4C0F4">
            <w:pPr>
              <w:keepNext w:val="0"/>
              <w:keepLines w:val="0"/>
              <w:pageBreakBefore w:val="0"/>
              <w:widowControl w:val="0"/>
              <w:shd w:val="clear"/>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p>
          <w:p w14:paraId="5FBEC094">
            <w:pPr>
              <w:keepNext w:val="0"/>
              <w:keepLines w:val="0"/>
              <w:pageBreakBefore w:val="0"/>
              <w:widowControl w:val="0"/>
              <w:shd w:val="clear"/>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年   月   日</w:t>
            </w:r>
          </w:p>
        </w:tc>
        <w:tc>
          <w:tcPr>
            <w:tcW w:w="4809" w:type="dxa"/>
            <w:noWrap w:val="0"/>
            <w:vAlign w:val="top"/>
          </w:tcPr>
          <w:p w14:paraId="38A9BE59">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乙方：（章）</w:t>
            </w:r>
          </w:p>
          <w:p w14:paraId="0BB4FF5F">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14:paraId="7127D261">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14:paraId="79A832DA">
            <w:pPr>
              <w:keepNext w:val="0"/>
              <w:keepLines w:val="0"/>
              <w:pageBreakBefore w:val="0"/>
              <w:widowControl w:val="0"/>
              <w:shd w:val="clear"/>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年   月   日</w:t>
            </w:r>
          </w:p>
        </w:tc>
      </w:tr>
      <w:tr w14:paraId="2CE2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4856" w:type="dxa"/>
            <w:noWrap w:val="0"/>
            <w:vAlign w:val="top"/>
          </w:tcPr>
          <w:p w14:paraId="2467268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tc>
        <w:tc>
          <w:tcPr>
            <w:tcW w:w="4809" w:type="dxa"/>
            <w:noWrap w:val="0"/>
            <w:vAlign w:val="top"/>
          </w:tcPr>
          <w:p w14:paraId="10D16920">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tc>
      </w:tr>
      <w:tr w14:paraId="02B0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856" w:type="dxa"/>
            <w:noWrap w:val="0"/>
            <w:vAlign w:val="top"/>
          </w:tcPr>
          <w:p w14:paraId="7A67AA5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4809" w:type="dxa"/>
            <w:noWrap w:val="0"/>
            <w:vAlign w:val="top"/>
          </w:tcPr>
          <w:p w14:paraId="7BFAC80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r>
      <w:tr w14:paraId="0C35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856" w:type="dxa"/>
            <w:noWrap w:val="0"/>
            <w:vAlign w:val="top"/>
          </w:tcPr>
          <w:p w14:paraId="4BE7190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委托代理人：</w:t>
            </w:r>
          </w:p>
        </w:tc>
        <w:tc>
          <w:tcPr>
            <w:tcW w:w="4809" w:type="dxa"/>
            <w:noWrap w:val="0"/>
            <w:vAlign w:val="top"/>
          </w:tcPr>
          <w:p w14:paraId="7F303226">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委托代理人：</w:t>
            </w:r>
          </w:p>
        </w:tc>
      </w:tr>
      <w:tr w14:paraId="084A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4856" w:type="dxa"/>
            <w:noWrap w:val="0"/>
            <w:vAlign w:val="top"/>
          </w:tcPr>
          <w:p w14:paraId="58B44F9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电话：</w:t>
            </w:r>
          </w:p>
        </w:tc>
        <w:tc>
          <w:tcPr>
            <w:tcW w:w="4809" w:type="dxa"/>
            <w:noWrap w:val="0"/>
            <w:vAlign w:val="top"/>
          </w:tcPr>
          <w:p w14:paraId="56D19B2C">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电话：</w:t>
            </w:r>
          </w:p>
        </w:tc>
      </w:tr>
      <w:tr w14:paraId="7810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8" w:hRule="atLeast"/>
          <w:jc w:val="center"/>
        </w:trPr>
        <w:tc>
          <w:tcPr>
            <w:tcW w:w="4856" w:type="dxa"/>
            <w:noWrap w:val="0"/>
            <w:vAlign w:val="top"/>
          </w:tcPr>
          <w:p w14:paraId="66D0DDDA">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4809" w:type="dxa"/>
            <w:noWrap w:val="0"/>
            <w:vAlign w:val="top"/>
          </w:tcPr>
          <w:p w14:paraId="49E9CE78">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tc>
      </w:tr>
      <w:tr w14:paraId="6A64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4856" w:type="dxa"/>
            <w:noWrap w:val="0"/>
            <w:vAlign w:val="top"/>
          </w:tcPr>
          <w:p w14:paraId="60BF574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账号：</w:t>
            </w:r>
          </w:p>
        </w:tc>
        <w:tc>
          <w:tcPr>
            <w:tcW w:w="4809" w:type="dxa"/>
            <w:noWrap w:val="0"/>
            <w:vAlign w:val="top"/>
          </w:tcPr>
          <w:p w14:paraId="16D7CE29">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账号：</w:t>
            </w:r>
          </w:p>
        </w:tc>
      </w:tr>
      <w:tr w14:paraId="17AA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4856" w:type="dxa"/>
            <w:noWrap w:val="0"/>
            <w:vAlign w:val="top"/>
          </w:tcPr>
          <w:p w14:paraId="0100356A">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4809" w:type="dxa"/>
            <w:noWrap w:val="0"/>
            <w:vAlign w:val="top"/>
          </w:tcPr>
          <w:p w14:paraId="0BE2D12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邮政编码：</w:t>
            </w:r>
          </w:p>
        </w:tc>
      </w:tr>
    </w:tbl>
    <w:p w14:paraId="6934CB0E">
      <w:pPr>
        <w:shd w:val="clear"/>
        <w:spacing w:before="19"/>
        <w:rPr>
          <w:rFonts w:hint="eastAsia" w:ascii="宋体" w:hAnsi="宋体" w:eastAsia="宋体" w:cs="宋体"/>
        </w:rPr>
      </w:pPr>
    </w:p>
    <w:p w14:paraId="403AA089">
      <w:pPr>
        <w:shd w:val="clear"/>
        <w:spacing w:before="18"/>
        <w:rPr>
          <w:rFonts w:hint="eastAsia" w:ascii="宋体" w:hAnsi="宋体" w:eastAsia="宋体" w:cs="宋体"/>
        </w:rPr>
      </w:pPr>
    </w:p>
    <w:p w14:paraId="00CD9990">
      <w:pPr>
        <w:shd w:val="clear"/>
        <w:spacing w:before="18"/>
        <w:rPr>
          <w:rFonts w:hint="eastAsia" w:ascii="宋体" w:hAnsi="宋体" w:eastAsia="宋体" w:cs="宋体"/>
        </w:rPr>
      </w:pPr>
    </w:p>
    <w:p w14:paraId="136C0368">
      <w:pPr>
        <w:shd w:val="clear"/>
        <w:rPr>
          <w:rFonts w:hint="eastAsia" w:ascii="宋体" w:hAnsi="宋体" w:eastAsia="宋体" w:cs="宋体"/>
          <w:sz w:val="21"/>
        </w:rPr>
      </w:pPr>
    </w:p>
    <w:sectPr>
      <w:footerReference r:id="rId42" w:type="default"/>
      <w:pgSz w:w="11906" w:h="16839"/>
      <w:pgMar w:top="1440" w:right="1080" w:bottom="1440" w:left="1080" w:header="0" w:footer="120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FEA0E">
    <w:pPr>
      <w:spacing w:line="176" w:lineRule="auto"/>
      <w:ind w:left="4372"/>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2EE1">
    <w:pPr>
      <w:spacing w:line="176" w:lineRule="auto"/>
      <w:ind w:left="40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EC31F">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45EC31F">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22B9C">
    <w:pPr>
      <w:spacing w:line="176" w:lineRule="auto"/>
      <w:ind w:left="44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0356F">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0E40356F">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FD0">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FDB19">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FDB19">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31133">
    <w:pPr>
      <w:spacing w:line="176" w:lineRule="auto"/>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722F2">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CC722F2">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936DB">
    <w:pPr>
      <w:spacing w:line="176" w:lineRule="auto"/>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B55C5">
                          <w:pPr>
                            <w:pStyle w:val="5"/>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7BB55C5">
                    <w:pPr>
                      <w:pStyle w:val="5"/>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9DAA4">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C556C">
                          <w:pPr>
                            <w:pStyle w:val="5"/>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0C8C556C">
                    <w:pPr>
                      <w:pStyle w:val="5"/>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47B4">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B0B0C">
                          <w:pPr>
                            <w:pStyle w:val="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3BB0B0C">
                    <w:pPr>
                      <w:pStyle w:val="5"/>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3B203">
    <w:pPr>
      <w:spacing w:line="176" w:lineRule="auto"/>
      <w:ind w:left="44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77761">
                          <w:pPr>
                            <w:pStyle w:val="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0877761">
                    <w:pPr>
                      <w:pStyle w:val="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D5CC">
    <w:pPr>
      <w:spacing w:line="173" w:lineRule="auto"/>
      <w:ind w:left="4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FEB78">
                          <w:pPr>
                            <w:pStyle w:val="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79FEB78">
                    <w:pPr>
                      <w:pStyle w:val="5"/>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2B07B">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DA4CC">
                          <w:pPr>
                            <w:pStyle w:val="5"/>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F2DA4CC">
                    <w:pPr>
                      <w:pStyle w:val="5"/>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6EFB">
    <w:pPr>
      <w:spacing w:line="176"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A3A6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6E7A3A6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2628">
    <w:pPr>
      <w:spacing w:line="173" w:lineRule="auto"/>
      <w:ind w:left="44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02554B">
                          <w:pPr>
                            <w:pStyle w:val="5"/>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7A02554B">
                    <w:pPr>
                      <w:pStyle w:val="5"/>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F2E1F">
    <w:pPr>
      <w:spacing w:line="176"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3C690">
                          <w:pPr>
                            <w:pStyle w:val="5"/>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233C690">
                    <w:pPr>
                      <w:pStyle w:val="5"/>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29A8A">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2DDF8">
                          <w:pPr>
                            <w:pStyle w:val="5"/>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2E2DDF8">
                    <w:pPr>
                      <w:pStyle w:val="5"/>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73C6">
    <w:pPr>
      <w:spacing w:line="176" w:lineRule="auto"/>
      <w:ind w:left="44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32BD6">
                          <w:pPr>
                            <w:pStyle w:val="5"/>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1E32BD6">
                    <w:pPr>
                      <w:pStyle w:val="5"/>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B9501">
    <w:pPr>
      <w:spacing w:line="176" w:lineRule="auto"/>
      <w:ind w:left="44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C844F">
                          <w:pPr>
                            <w:pStyle w:val="5"/>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678C844F">
                    <w:pPr>
                      <w:pStyle w:val="5"/>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1CE6D">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02D69">
                          <w:pPr>
                            <w:pStyle w:val="5"/>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45802D69">
                    <w:pPr>
                      <w:pStyle w:val="5"/>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FCDB">
    <w:pPr>
      <w:spacing w:line="176" w:lineRule="auto"/>
      <w:ind w:left="44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B9FC4">
                          <w:pPr>
                            <w:pStyle w:val="5"/>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FDB9FC4">
                    <w:pPr>
                      <w:pStyle w:val="5"/>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4AE91">
    <w:pPr>
      <w:spacing w:line="176" w:lineRule="auto"/>
      <w:ind w:left="4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295EF">
                          <w:pPr>
                            <w:pStyle w:val="5"/>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49F295EF">
                    <w:pPr>
                      <w:pStyle w:val="5"/>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1FBA">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8CFBC">
                          <w:pPr>
                            <w:pStyle w:val="5"/>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46E8CFBC">
                    <w:pPr>
                      <w:pStyle w:val="5"/>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D4722">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47D53">
                          <w:pPr>
                            <w:pStyle w:val="5"/>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76147D53">
                    <w:pPr>
                      <w:pStyle w:val="5"/>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12198">
    <w:pPr>
      <w:spacing w:line="176" w:lineRule="auto"/>
      <w:ind w:left="44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5B413">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C85B413">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93760">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192AF">
                          <w:pPr>
                            <w:pStyle w:val="5"/>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669192AF">
                    <w:pPr>
                      <w:pStyle w:val="5"/>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B00FA">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F260B">
                          <w:pPr>
                            <w:pStyle w:val="5"/>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046F260B">
                    <w:pPr>
                      <w:pStyle w:val="5"/>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E1D62">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F3E63">
                          <w:pPr>
                            <w:pStyle w:val="5"/>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2E9F3E63">
                    <w:pPr>
                      <w:pStyle w:val="5"/>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7408">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96CB8">
                          <w:pPr>
                            <w:pStyle w:val="5"/>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5096CB8">
                    <w:pPr>
                      <w:pStyle w:val="5"/>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83F3">
    <w:pPr>
      <w:spacing w:line="176" w:lineRule="auto"/>
      <w:ind w:left="44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A16CC">
                          <w:pPr>
                            <w:pStyle w:val="5"/>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574A16CC">
                    <w:pPr>
                      <w:pStyle w:val="5"/>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D09F4">
    <w:pPr>
      <w:spacing w:line="176" w:lineRule="auto"/>
      <w:ind w:left="44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032B4">
                          <w:pPr>
                            <w:pStyle w:val="5"/>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728032B4">
                    <w:pPr>
                      <w:pStyle w:val="5"/>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97861">
    <w:pPr>
      <w:spacing w:line="176" w:lineRule="auto"/>
      <w:ind w:left="44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FF603">
                          <w:pPr>
                            <w:pStyle w:val="5"/>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185FF603">
                    <w:pPr>
                      <w:pStyle w:val="5"/>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1B5E">
    <w:pPr>
      <w:spacing w:line="176" w:lineRule="auto"/>
      <w:ind w:left="45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B8D8C">
                          <w:pPr>
                            <w:pStyle w:val="5"/>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50B8D8C">
                    <w:pPr>
                      <w:pStyle w:val="5"/>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1BA7A">
    <w:pPr>
      <w:spacing w:line="176" w:lineRule="auto"/>
      <w:ind w:left="44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A8E3E">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A8A8E3E">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EF812">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59FCA">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58159FCA">
                    <w:pPr>
                      <w:pStyle w:val="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21F15">
    <w:pPr>
      <w:spacing w:line="176" w:lineRule="auto"/>
      <w:ind w:left="440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26BAA">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17D26BAA">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D5DB7">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9FEC8">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4B29FEC8">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9A176">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0FE1F">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320FE1F">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9F44D">
    <w:pPr>
      <w:spacing w:line="176" w:lineRule="auto"/>
      <w:ind w:left="48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145B0">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C3145B0">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799C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CF44BB"/>
    <w:rsid w:val="06A21D17"/>
    <w:rsid w:val="0F0E4431"/>
    <w:rsid w:val="11A42091"/>
    <w:rsid w:val="122D5F1A"/>
    <w:rsid w:val="14097E34"/>
    <w:rsid w:val="16567055"/>
    <w:rsid w:val="1A7C0C2A"/>
    <w:rsid w:val="1C2505B5"/>
    <w:rsid w:val="21FA6E1A"/>
    <w:rsid w:val="22F2385A"/>
    <w:rsid w:val="2A6A17DF"/>
    <w:rsid w:val="320E4670"/>
    <w:rsid w:val="3A8D52D2"/>
    <w:rsid w:val="3BC87420"/>
    <w:rsid w:val="3CD6157F"/>
    <w:rsid w:val="3D206450"/>
    <w:rsid w:val="40005C40"/>
    <w:rsid w:val="4051227E"/>
    <w:rsid w:val="45EC5E27"/>
    <w:rsid w:val="48F46FCF"/>
    <w:rsid w:val="495A6EFE"/>
    <w:rsid w:val="4C357F1B"/>
    <w:rsid w:val="53D02E05"/>
    <w:rsid w:val="53DD721F"/>
    <w:rsid w:val="54CE325F"/>
    <w:rsid w:val="5A5F3AF8"/>
    <w:rsid w:val="600E7362"/>
    <w:rsid w:val="646627AF"/>
    <w:rsid w:val="64AF5F9E"/>
    <w:rsid w:val="654E4C34"/>
    <w:rsid w:val="67EE0EB1"/>
    <w:rsid w:val="6BA03E71"/>
    <w:rsid w:val="73D0568F"/>
    <w:rsid w:val="775F75EA"/>
    <w:rsid w:val="78CE056F"/>
    <w:rsid w:val="7F9742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unhideWhenUsed/>
    <w:qFormat/>
    <w:uiPriority w:val="1"/>
    <w:rPr>
      <w:rFonts w:ascii="Times New Roman" w:hAnsi="Times New Roman" w:eastAsia="宋体" w:cstheme="minorBidi"/>
    </w:rPr>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semiHidden/>
    <w:unhideWhenUsed/>
    <w:qFormat/>
    <w:uiPriority w:val="99"/>
    <w:rPr>
      <w:rFonts w:ascii="仿宋" w:hAnsi="仿宋" w:eastAsia="仿宋" w:cs="仿宋"/>
      <w:sz w:val="24"/>
      <w:szCs w:val="24"/>
      <w:lang w:val="en-US" w:eastAsia="en-US" w:bidi="ar-SA"/>
    </w:rPr>
  </w:style>
  <w:style w:type="paragraph" w:styleId="4">
    <w:name w:val="Plain Text"/>
    <w:basedOn w:val="1"/>
    <w:qFormat/>
    <w:uiPriority w:val="0"/>
    <w:rPr>
      <w:rFonts w:ascii="宋体" w:hAnsi="Courier New"/>
      <w:szCs w:val="2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paragraph" w:styleId="8">
    <w:name w:val="Normal (Web)"/>
    <w:basedOn w:val="1"/>
    <w:qFormat/>
    <w:uiPriority w:val="0"/>
    <w:rPr>
      <w:sz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4"/>
      <w:szCs w:val="24"/>
      <w:lang w:val="en-US" w:eastAsia="en-US" w:bidi="ar-SA"/>
    </w:rPr>
  </w:style>
  <w:style w:type="paragraph" w:customStyle="1" w:styleId="13">
    <w:name w:val="分类号"/>
    <w:basedOn w:val="1"/>
    <w:qFormat/>
    <w:uiPriority w:val="0"/>
    <w:pPr>
      <w:widowControl w:val="0"/>
      <w:kinsoku/>
      <w:autoSpaceDE/>
      <w:autoSpaceDN/>
      <w:adjustRightInd/>
      <w:snapToGrid/>
      <w:spacing w:line="240" w:lineRule="auto"/>
      <w:jc w:val="both"/>
      <w:textAlignment w:val="auto"/>
    </w:pPr>
    <w:rPr>
      <w:rFonts w:ascii="仿宋_GB2312" w:hAnsi="Times New Roman" w:eastAsia="仿宋_GB2312" w:cs="Times New Roman"/>
      <w:snapToGrid/>
      <w:kern w:val="2"/>
      <w:sz w:val="28"/>
      <w:szCs w:val="28"/>
      <w:lang w:eastAsia="zh-CN"/>
    </w:rPr>
  </w:style>
  <w:style w:type="paragraph" w:customStyle="1" w:styleId="14">
    <w:name w:val="封面日期"/>
    <w:basedOn w:val="1"/>
    <w:qFormat/>
    <w:uiPriority w:val="0"/>
    <w:pPr>
      <w:widowControl w:val="0"/>
      <w:kinsoku/>
      <w:autoSpaceDE/>
      <w:autoSpaceDN/>
      <w:adjustRightInd/>
      <w:snapToGrid/>
      <w:spacing w:line="240" w:lineRule="auto"/>
      <w:jc w:val="center"/>
      <w:textAlignment w:val="auto"/>
    </w:pPr>
    <w:rPr>
      <w:rFonts w:ascii="黑体" w:hAnsi="Times New Roman" w:eastAsia="黑体" w:cs="Times New Roman"/>
      <w:snapToGrid/>
      <w:kern w:val="2"/>
      <w:sz w:val="32"/>
      <w:szCs w:val="32"/>
      <w:lang w:eastAsia="zh-CN"/>
    </w:rPr>
  </w:style>
  <w:style w:type="paragraph" w:customStyle="1" w:styleId="15">
    <w:name w:val="论文标题"/>
    <w:basedOn w:val="1"/>
    <w:qFormat/>
    <w:uiPriority w:val="0"/>
    <w:pPr>
      <w:widowControl w:val="0"/>
      <w:kinsoku/>
      <w:autoSpaceDE/>
      <w:autoSpaceDN/>
      <w:adjustRightInd/>
      <w:snapToGrid/>
      <w:spacing w:line="240" w:lineRule="auto"/>
      <w:jc w:val="center"/>
      <w:textAlignment w:val="auto"/>
    </w:pPr>
    <w:rPr>
      <w:rFonts w:ascii="Times New Roman" w:hAnsi="Times New Roman" w:eastAsia="楷体_GB2312" w:cs="Times New Roman"/>
      <w:b/>
      <w:snapToGrid/>
      <w:kern w:val="36"/>
      <w:sz w:val="52"/>
      <w:szCs w:val="52"/>
      <w:lang w:eastAsia="zh-CN"/>
    </w:rPr>
  </w:style>
  <w:style w:type="paragraph" w:customStyle="1" w:styleId="16">
    <w:name w:val="硕士学位论文"/>
    <w:basedOn w:val="1"/>
    <w:qFormat/>
    <w:uiPriority w:val="0"/>
    <w:pPr>
      <w:widowControl w:val="0"/>
      <w:kinsoku/>
      <w:autoSpaceDE/>
      <w:autoSpaceDN/>
      <w:adjustRightInd/>
      <w:snapToGrid/>
      <w:spacing w:before="240" w:line="240" w:lineRule="auto"/>
      <w:jc w:val="center"/>
      <w:textAlignment w:val="auto"/>
    </w:pPr>
    <w:rPr>
      <w:rFonts w:ascii="Times New Roman" w:hAnsi="Times New Roman" w:eastAsia="宋体" w:cs="Times New Roman"/>
      <w:snapToGrid/>
      <w:kern w:val="2"/>
      <w:sz w:val="44"/>
      <w:szCs w:val="44"/>
      <w:lang w:eastAsia="zh-CN"/>
    </w:rPr>
  </w:style>
  <w:style w:type="paragraph" w:customStyle="1" w:styleId="17">
    <w:name w:val="研究生姓名"/>
    <w:basedOn w:val="1"/>
    <w:qFormat/>
    <w:uiPriority w:val="0"/>
    <w:pPr>
      <w:widowControl w:val="0"/>
      <w:kinsoku/>
      <w:autoSpaceDE/>
      <w:autoSpaceDN/>
      <w:adjustRightInd/>
      <w:snapToGrid/>
      <w:spacing w:line="240" w:lineRule="auto"/>
      <w:ind w:firstLine="700" w:firstLineChars="700"/>
      <w:jc w:val="both"/>
      <w:textAlignment w:val="auto"/>
    </w:pPr>
    <w:rPr>
      <w:rFonts w:ascii="Times New Roman" w:hAnsi="Times New Roman" w:eastAsia="宋体" w:cs="Times New Roman"/>
      <w:snapToGrid/>
      <w:kern w:val="2"/>
      <w:sz w:val="28"/>
      <w:szCs w:val="28"/>
      <w:lang w:eastAsia="zh-CN"/>
    </w:rPr>
  </w:style>
  <w:style w:type="character" w:customStyle="1" w:styleId="18">
    <w:name w:val="font11"/>
    <w:basedOn w:val="10"/>
    <w:qFormat/>
    <w:uiPriority w:val="0"/>
    <w:rPr>
      <w:rFonts w:hint="eastAsia" w:ascii="微软雅黑" w:hAnsi="微软雅黑" w:eastAsia="微软雅黑" w:cs="微软雅黑"/>
      <w:color w:val="000000"/>
      <w:sz w:val="20"/>
      <w:szCs w:val="20"/>
      <w:u w:val="none"/>
    </w:rPr>
  </w:style>
  <w:style w:type="character" w:customStyle="1" w:styleId="19">
    <w:name w:val="font161"/>
    <w:basedOn w:val="10"/>
    <w:qFormat/>
    <w:uiPriority w:val="0"/>
    <w:rPr>
      <w:rFonts w:hint="eastAsia" w:ascii="微软雅黑" w:hAnsi="微软雅黑" w:eastAsia="微软雅黑" w:cs="微软雅黑"/>
      <w:color w:val="000000"/>
      <w:sz w:val="20"/>
      <w:szCs w:val="20"/>
      <w:u w:val="none"/>
      <w:vertAlign w:val="superscript"/>
    </w:rPr>
  </w:style>
  <w:style w:type="character" w:customStyle="1" w:styleId="20">
    <w:name w:val="font112"/>
    <w:basedOn w:val="10"/>
    <w:qFormat/>
    <w:uiPriority w:val="0"/>
    <w:rPr>
      <w:rFonts w:hint="eastAsia" w:ascii="微软雅黑" w:hAnsi="微软雅黑" w:eastAsia="微软雅黑" w:cs="微软雅黑"/>
      <w:b/>
      <w:bCs/>
      <w:color w:val="0000FF"/>
      <w:sz w:val="20"/>
      <w:szCs w:val="20"/>
      <w:u w:val="none"/>
    </w:rPr>
  </w:style>
  <w:style w:type="character" w:customStyle="1" w:styleId="21">
    <w:name w:val="font121"/>
    <w:basedOn w:val="10"/>
    <w:qFormat/>
    <w:uiPriority w:val="0"/>
    <w:rPr>
      <w:rFonts w:hint="eastAsia" w:ascii="微软雅黑" w:hAnsi="微软雅黑" w:eastAsia="微软雅黑" w:cs="微软雅黑"/>
      <w:color w:val="000000"/>
      <w:sz w:val="20"/>
      <w:szCs w:val="20"/>
      <w:u w:val="none"/>
      <w:vertAlign w:val="superscript"/>
    </w:rPr>
  </w:style>
  <w:style w:type="character" w:customStyle="1" w:styleId="22">
    <w:name w:val="font61"/>
    <w:basedOn w:val="10"/>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image" Target="media/image2.png"/><Relationship Id="rId44" Type="http://schemas.openxmlformats.org/officeDocument/2006/relationships/image" Target="media/image1.jpeg"/><Relationship Id="rId43" Type="http://schemas.openxmlformats.org/officeDocument/2006/relationships/theme" Target="theme/theme1.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104</Pages>
  <Words>8098</Words>
  <Characters>8789</Characters>
  <TotalTime>45</TotalTime>
  <ScaleCrop>false</ScaleCrop>
  <LinksUpToDate>false</LinksUpToDate>
  <CharactersWithSpaces>9040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2026-07-28T10:14:00Z</dcterms:created>
  <dc:creator>唐冰</dc:creator>
  <cp:lastModifiedBy>剪秋罗</cp:lastModifiedBy>
  <dcterms:modified xsi:type="dcterms:W3CDTF">2026-09-07T07:49:18Z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2026-08-04T08:52:17Z</vt:filetime>
  </property>
  <property fmtid="{D5CDD505-2E9C-101B-9397-08002B2CF9AE}" pid="4" name="KSOTemplateDocerSaveRecord">
    <vt:lpwstr>eyJoZGlkIjoiMzg1YzdlNWI4MTExYzE2MDA0NWNjNGU2MjJhYzY1NGUiLCJ1c2VySWQiOiIxOTU0MTM2NzcifQ==</vt:lpwstr>
  </property>
  <property fmtid="{D5CDD505-2E9C-101B-9397-08002B2CF9AE}" pid="5" name="KSOProductBuildVer">
    <vt:lpwstr>2052-12.1.0.28505</vt:lpwstr>
  </property>
  <property fmtid="{D5CDD505-2E9C-101B-9397-08002B2CF9AE}" pid="6" name="ICV">
    <vt:lpwstr>550B0B2301DE41EB8E40569106C9B4CD_13</vt:lpwstr>
  </property>
</Properties>
</file>