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rPr>
          <w:rFonts w:hint="eastAsia" w:ascii="宋体" w:hAnsi="宋体" w:eastAsia="宋体" w:cs="宋体"/>
          <w:b/>
          <w:color w:val="auto"/>
          <w:sz w:val="24"/>
          <w:highlight w:val="none"/>
        </w:rPr>
      </w:pPr>
    </w:p>
    <w:p>
      <w:pPr>
        <w:adjustRightInd w:val="0"/>
        <w:spacing w:line="360" w:lineRule="auto"/>
        <w:jc w:val="center"/>
        <w:rPr>
          <w:rFonts w:hint="eastAsia" w:ascii="宋体" w:hAnsi="宋体" w:eastAsia="宋体" w:cs="宋体"/>
          <w:b/>
          <w:color w:val="auto"/>
          <w:sz w:val="24"/>
          <w:highlight w:val="none"/>
        </w:rPr>
      </w:pPr>
    </w:p>
    <w:p>
      <w:pPr>
        <w:spacing w:line="360" w:lineRule="auto"/>
        <w:jc w:val="center"/>
        <w:rPr>
          <w:rFonts w:hint="eastAsia" w:ascii="宋体" w:hAnsi="宋体" w:eastAsia="宋体" w:cs="宋体"/>
          <w:b/>
          <w:color w:val="auto"/>
          <w:sz w:val="44"/>
          <w:szCs w:val="44"/>
          <w:highlight w:val="none"/>
        </w:rPr>
      </w:pPr>
    </w:p>
    <w:p>
      <w:pPr>
        <w:spacing w:line="360" w:lineRule="auto"/>
        <w:jc w:val="center"/>
        <w:rPr>
          <w:rFonts w:hint="eastAsia" w:ascii="宋体" w:hAnsi="宋体" w:eastAsia="宋体" w:cs="宋体"/>
          <w:b/>
          <w:color w:val="auto"/>
          <w:sz w:val="44"/>
          <w:szCs w:val="44"/>
          <w:highlight w:val="none"/>
        </w:rPr>
      </w:pPr>
    </w:p>
    <w:p>
      <w:pPr>
        <w:spacing w:line="360" w:lineRule="auto"/>
        <w:jc w:val="center"/>
        <w:rPr>
          <w:rFonts w:hint="eastAsia" w:ascii="宋体" w:hAnsi="宋体" w:eastAsia="宋体" w:cs="宋体"/>
          <w:b/>
          <w:color w:val="auto"/>
          <w:sz w:val="44"/>
          <w:szCs w:val="44"/>
          <w:highlight w:val="none"/>
        </w:rPr>
      </w:pPr>
    </w:p>
    <w:p>
      <w:pPr>
        <w:spacing w:line="360" w:lineRule="auto"/>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2026年合浦县西场镇五浪江村李国松地磅至东茶村路口道路硬化工程</w:t>
      </w:r>
    </w:p>
    <w:p>
      <w:pPr>
        <w:spacing w:line="360" w:lineRule="auto"/>
        <w:jc w:val="center"/>
        <w:rPr>
          <w:rFonts w:hint="eastAsia" w:ascii="宋体" w:hAnsi="宋体" w:eastAsia="宋体" w:cs="宋体"/>
          <w:b/>
          <w:color w:val="auto"/>
          <w:sz w:val="72"/>
          <w:szCs w:val="72"/>
          <w:highlight w:val="none"/>
        </w:rPr>
      </w:pPr>
      <w:r>
        <w:rPr>
          <w:rFonts w:hint="eastAsia" w:ascii="宋体" w:hAnsi="宋体" w:eastAsia="宋体" w:cs="宋体"/>
          <w:b/>
          <w:bCs/>
          <w:color w:val="auto"/>
          <w:w w:val="95"/>
          <w:sz w:val="72"/>
          <w:szCs w:val="72"/>
          <w:highlight w:val="none"/>
          <w:lang w:val="zh-CN"/>
        </w:rPr>
        <w:t>竞争性磋商</w:t>
      </w:r>
      <w:r>
        <w:rPr>
          <w:rFonts w:hint="eastAsia" w:ascii="宋体" w:hAnsi="宋体" w:eastAsia="宋体" w:cs="宋体"/>
          <w:b/>
          <w:color w:val="auto"/>
          <w:sz w:val="72"/>
          <w:szCs w:val="72"/>
          <w:highlight w:val="none"/>
        </w:rPr>
        <w:t>文件</w:t>
      </w:r>
    </w:p>
    <w:p>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（电子交易）</w:t>
      </w:r>
    </w:p>
    <w:p>
      <w:pPr>
        <w:adjustRightInd w:val="0"/>
        <w:snapToGrid w:val="0"/>
        <w:spacing w:line="360" w:lineRule="auto"/>
        <w:jc w:val="center"/>
        <w:rPr>
          <w:rFonts w:hint="eastAsia" w:ascii="宋体" w:hAnsi="宋体" w:eastAsia="宋体" w:cs="宋体"/>
          <w:color w:val="auto"/>
          <w:sz w:val="30"/>
          <w:szCs w:val="30"/>
          <w:highlight w:val="none"/>
        </w:rPr>
      </w:pPr>
    </w:p>
    <w:p>
      <w:pPr>
        <w:adjustRightInd w:val="0"/>
        <w:snapToGrid w:val="0"/>
        <w:spacing w:line="360" w:lineRule="auto"/>
        <w:jc w:val="center"/>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rPr>
        <w:t>项目编号</w:t>
      </w:r>
      <w:r>
        <w:rPr>
          <w:rFonts w:hint="eastAsia" w:ascii="宋体" w:hAnsi="宋体" w:eastAsia="宋体" w:cs="宋体"/>
          <w:color w:val="auto"/>
          <w:sz w:val="30"/>
          <w:szCs w:val="30"/>
          <w:highlight w:val="none"/>
          <w:lang w:eastAsia="zh-CN"/>
        </w:rPr>
        <w:t>：</w:t>
      </w:r>
      <w:r>
        <w:rPr>
          <w:rFonts w:hint="eastAsia" w:ascii="宋体" w:hAnsi="宋体" w:cs="宋体"/>
          <w:color w:val="auto"/>
          <w:sz w:val="30"/>
          <w:szCs w:val="30"/>
          <w:highlight w:val="none"/>
          <w:lang w:eastAsia="zh-CN"/>
        </w:rPr>
        <w:t>BHZC2026-C2-210153-YXGC</w:t>
      </w:r>
    </w:p>
    <w:p>
      <w:pPr>
        <w:spacing w:line="360" w:lineRule="auto"/>
        <w:rPr>
          <w:rFonts w:hint="eastAsia" w:ascii="宋体" w:hAnsi="宋体" w:eastAsia="宋体" w:cs="宋体"/>
          <w:color w:val="auto"/>
          <w:sz w:val="28"/>
          <w:szCs w:val="20"/>
          <w:highlight w:val="none"/>
        </w:rPr>
      </w:pPr>
    </w:p>
    <w:p>
      <w:pPr>
        <w:adjustRightInd w:val="0"/>
        <w:spacing w:line="360" w:lineRule="auto"/>
        <w:jc w:val="center"/>
        <w:rPr>
          <w:rFonts w:hint="eastAsia" w:ascii="宋体" w:hAnsi="宋体" w:eastAsia="宋体" w:cs="宋体"/>
          <w:color w:val="auto"/>
          <w:sz w:val="24"/>
          <w:highlight w:val="none"/>
        </w:rPr>
      </w:pPr>
    </w:p>
    <w:p>
      <w:pPr>
        <w:adjustRightInd w:val="0"/>
        <w:spacing w:line="360" w:lineRule="auto"/>
        <w:jc w:val="center"/>
        <w:rPr>
          <w:rFonts w:hint="eastAsia" w:ascii="宋体" w:hAnsi="宋体" w:eastAsia="宋体" w:cs="宋体"/>
          <w:color w:val="auto"/>
          <w:sz w:val="24"/>
          <w:highlight w:val="none"/>
        </w:rPr>
      </w:pPr>
    </w:p>
    <w:p>
      <w:pPr>
        <w:adjustRightInd w:val="0"/>
        <w:spacing w:line="360" w:lineRule="auto"/>
        <w:jc w:val="center"/>
        <w:rPr>
          <w:rFonts w:hint="eastAsia" w:ascii="宋体" w:hAnsi="宋体" w:eastAsia="宋体" w:cs="宋体"/>
          <w:color w:val="auto"/>
          <w:sz w:val="24"/>
          <w:highlight w:val="none"/>
        </w:rPr>
      </w:pPr>
    </w:p>
    <w:p>
      <w:pPr>
        <w:adjustRightInd w:val="0"/>
        <w:spacing w:line="360" w:lineRule="auto"/>
        <w:jc w:val="center"/>
        <w:rPr>
          <w:rFonts w:hint="eastAsia" w:ascii="宋体" w:hAnsi="宋体" w:eastAsia="宋体" w:cs="宋体"/>
          <w:color w:val="auto"/>
          <w:sz w:val="24"/>
          <w:highlight w:val="none"/>
        </w:rPr>
      </w:pPr>
    </w:p>
    <w:p>
      <w:pPr>
        <w:adjustRightInd w:val="0"/>
        <w:spacing w:line="360" w:lineRule="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 xml:space="preserve">                                      </w:t>
      </w:r>
    </w:p>
    <w:p>
      <w:pPr>
        <w:adjustRightInd w:val="0"/>
        <w:snapToGrid w:val="0"/>
        <w:spacing w:line="360" w:lineRule="auto"/>
        <w:jc w:val="center"/>
        <w:rPr>
          <w:rFonts w:hint="eastAsia" w:ascii="宋体" w:hAnsi="宋体" w:eastAsia="宋体" w:cs="宋体"/>
          <w:color w:val="auto"/>
          <w:sz w:val="32"/>
          <w:szCs w:val="32"/>
          <w:highlight w:val="none"/>
        </w:rPr>
      </w:pPr>
    </w:p>
    <w:p>
      <w:pPr>
        <w:adjustRightInd w:val="0"/>
        <w:snapToGrid w:val="0"/>
        <w:spacing w:line="360" w:lineRule="auto"/>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合浦县农业农村局</w:t>
      </w:r>
    </w:p>
    <w:p>
      <w:pPr>
        <w:adjustRightInd w:val="0"/>
        <w:snapToGrid w:val="0"/>
        <w:spacing w:line="360" w:lineRule="auto"/>
        <w:jc w:val="center"/>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广西延信工程项目管理有限公司</w:t>
      </w:r>
    </w:p>
    <w:p>
      <w:pPr>
        <w:adjustRightInd w:val="0"/>
        <w:snapToGrid w:val="0"/>
        <w:spacing w:line="360" w:lineRule="auto"/>
        <w:jc w:val="center"/>
        <w:rPr>
          <w:rFonts w:hint="eastAsia" w:ascii="宋体" w:hAnsi="宋体" w:eastAsia="宋体" w:cs="宋体"/>
          <w:color w:val="auto"/>
          <w:sz w:val="32"/>
          <w:szCs w:val="32"/>
          <w:highlight w:val="none"/>
        </w:rPr>
        <w:sectPr>
          <w:headerReference r:id="rId4" w:type="first"/>
          <w:headerReference r:id="rId3" w:type="default"/>
          <w:pgSz w:w="11906" w:h="16838"/>
          <w:pgMar w:top="1474" w:right="1304" w:bottom="1134" w:left="1304" w:header="851" w:footer="992" w:gutter="0"/>
          <w:pgNumType w:start="1"/>
          <w:cols w:space="720" w:num="1"/>
          <w:titlePg/>
          <w:docGrid w:type="lines" w:linePitch="312" w:charSpace="0"/>
        </w:sectPr>
      </w:pPr>
      <w:r>
        <w:rPr>
          <w:rFonts w:hint="eastAsia" w:ascii="宋体" w:hAnsi="宋体" w:eastAsia="宋体" w:cs="宋体"/>
          <w:bCs/>
          <w:color w:val="auto"/>
          <w:sz w:val="32"/>
          <w:szCs w:val="32"/>
          <w:highlight w:val="none"/>
        </w:rPr>
        <w:t>二〇二</w:t>
      </w:r>
      <w:r>
        <w:rPr>
          <w:rFonts w:hint="eastAsia" w:ascii="宋体" w:hAnsi="宋体" w:cs="宋体"/>
          <w:bCs/>
          <w:color w:val="auto"/>
          <w:sz w:val="32"/>
          <w:szCs w:val="32"/>
          <w:highlight w:val="none"/>
          <w:lang w:eastAsia="zh-CN"/>
        </w:rPr>
        <w:t>六</w:t>
      </w:r>
      <w:r>
        <w:rPr>
          <w:rFonts w:hint="eastAsia" w:ascii="宋体" w:hAnsi="宋体" w:eastAsia="宋体" w:cs="宋体"/>
          <w:bCs/>
          <w:color w:val="auto"/>
          <w:sz w:val="32"/>
          <w:szCs w:val="32"/>
          <w:highlight w:val="none"/>
        </w:rPr>
        <w:t>年</w:t>
      </w:r>
      <w:r>
        <w:rPr>
          <w:rFonts w:hint="eastAsia" w:ascii="宋体" w:hAnsi="宋体" w:cs="宋体"/>
          <w:bCs/>
          <w:color w:val="auto"/>
          <w:sz w:val="32"/>
          <w:szCs w:val="32"/>
          <w:highlight w:val="none"/>
          <w:lang w:eastAsia="zh-CN"/>
        </w:rPr>
        <w:t>八</w:t>
      </w:r>
      <w:r>
        <w:rPr>
          <w:rFonts w:hint="eastAsia" w:ascii="宋体" w:hAnsi="宋体" w:eastAsia="宋体" w:cs="宋体"/>
          <w:bCs/>
          <w:color w:val="auto"/>
          <w:sz w:val="32"/>
          <w:szCs w:val="32"/>
          <w:highlight w:val="none"/>
        </w:rPr>
        <w:t>月</w:t>
      </w:r>
    </w:p>
    <w:p>
      <w:pPr>
        <w:pStyle w:val="25"/>
        <w:adjustRightInd w:val="0"/>
        <w:snapToGrid w:val="0"/>
        <w:spacing w:line="360" w:lineRule="auto"/>
        <w:ind w:firstLine="15"/>
        <w:jc w:val="center"/>
        <w:rPr>
          <w:rFonts w:hint="eastAsia" w:ascii="宋体" w:hAnsi="宋体" w:eastAsia="宋体" w:cs="宋体"/>
          <w:color w:val="auto"/>
          <w:sz w:val="32"/>
          <w:szCs w:val="32"/>
          <w:highlight w:val="none"/>
        </w:rPr>
      </w:pPr>
    </w:p>
    <w:p>
      <w:pPr>
        <w:pStyle w:val="25"/>
        <w:adjustRightInd w:val="0"/>
        <w:snapToGrid w:val="0"/>
        <w:spacing w:line="360" w:lineRule="auto"/>
        <w:rPr>
          <w:rFonts w:hint="eastAsia" w:ascii="宋体" w:hAnsi="宋体" w:eastAsia="宋体" w:cs="宋体"/>
          <w:color w:val="auto"/>
          <w:sz w:val="32"/>
          <w:szCs w:val="32"/>
          <w:highlight w:val="none"/>
        </w:rPr>
      </w:pPr>
    </w:p>
    <w:p>
      <w:pPr>
        <w:spacing w:line="800" w:lineRule="exact"/>
        <w:jc w:val="center"/>
        <w:rPr>
          <w:rFonts w:hint="eastAsia" w:ascii="宋体" w:hAnsi="宋体" w:eastAsia="宋体" w:cs="宋体"/>
          <w:color w:val="auto"/>
          <w:sz w:val="48"/>
          <w:szCs w:val="48"/>
          <w:highlight w:val="none"/>
        </w:rPr>
      </w:pPr>
      <w:r>
        <w:rPr>
          <w:rFonts w:hint="eastAsia" w:ascii="宋体" w:hAnsi="宋体" w:eastAsia="宋体" w:cs="宋体"/>
          <w:color w:val="auto"/>
          <w:sz w:val="48"/>
          <w:szCs w:val="48"/>
          <w:highlight w:val="none"/>
        </w:rPr>
        <w:t>目   录</w:t>
      </w:r>
    </w:p>
    <w:p>
      <w:pPr>
        <w:spacing w:line="560" w:lineRule="exact"/>
        <w:ind w:left="1" w:firstLine="2"/>
        <w:rPr>
          <w:rFonts w:hint="eastAsia" w:ascii="宋体" w:hAnsi="宋体" w:eastAsia="宋体" w:cs="宋体"/>
          <w:b/>
          <w:color w:val="auto"/>
          <w:spacing w:val="4"/>
          <w:sz w:val="32"/>
          <w:highlight w:val="none"/>
        </w:rPr>
      </w:pPr>
    </w:p>
    <w:p>
      <w:pPr>
        <w:spacing w:line="400" w:lineRule="exact"/>
        <w:rPr>
          <w:rFonts w:hint="eastAsia" w:ascii="宋体" w:hAnsi="宋体" w:eastAsia="宋体" w:cs="宋体"/>
          <w:b/>
          <w:color w:val="auto"/>
          <w:sz w:val="32"/>
          <w:szCs w:val="32"/>
          <w:highlight w:val="none"/>
        </w:rPr>
      </w:pPr>
    </w:p>
    <w:p>
      <w:pPr>
        <w:pStyle w:val="31"/>
        <w:tabs>
          <w:tab w:val="right" w:leader="dot" w:pos="9288"/>
        </w:tabs>
        <w:spacing w:line="360" w:lineRule="auto"/>
        <w:rPr>
          <w:rFonts w:hint="eastAsia" w:ascii="宋体" w:hAnsi="宋体" w:eastAsia="宋体" w:cs="宋体"/>
          <w:color w:val="auto"/>
          <w:sz w:val="32"/>
          <w:szCs w:val="32"/>
          <w:highlight w:val="none"/>
        </w:rPr>
      </w:pPr>
      <w:r>
        <w:rPr>
          <w:rFonts w:hint="eastAsia" w:ascii="宋体" w:hAnsi="宋体" w:eastAsia="宋体" w:cs="宋体"/>
          <w:bCs/>
          <w:color w:val="auto"/>
          <w:spacing w:val="4"/>
          <w:sz w:val="32"/>
          <w:szCs w:val="32"/>
          <w:highlight w:val="none"/>
        </w:rPr>
        <w:fldChar w:fldCharType="begin"/>
      </w:r>
      <w:r>
        <w:rPr>
          <w:rFonts w:hint="eastAsia" w:ascii="宋体" w:hAnsi="宋体" w:eastAsia="宋体" w:cs="宋体"/>
          <w:bCs/>
          <w:color w:val="auto"/>
          <w:spacing w:val="4"/>
          <w:sz w:val="32"/>
          <w:szCs w:val="32"/>
          <w:highlight w:val="none"/>
        </w:rPr>
        <w:instrText xml:space="preserve"> TOC \o "1-2" \h \z \u </w:instrText>
      </w:r>
      <w:r>
        <w:rPr>
          <w:rFonts w:hint="eastAsia" w:ascii="宋体" w:hAnsi="宋体" w:eastAsia="宋体" w:cs="宋体"/>
          <w:bCs/>
          <w:color w:val="auto"/>
          <w:spacing w:val="4"/>
          <w:sz w:val="32"/>
          <w:szCs w:val="32"/>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"_Toc176861406" </w:instrText>
      </w:r>
      <w:r>
        <w:rPr>
          <w:rFonts w:hint="eastAsia" w:ascii="宋体" w:hAnsi="宋体" w:eastAsia="宋体" w:cs="宋体"/>
          <w:color w:val="auto"/>
          <w:highlight w:val="none"/>
        </w:rPr>
        <w:fldChar w:fldCharType="separate"/>
      </w:r>
      <w:r>
        <w:rPr>
          <w:rStyle w:val="44"/>
          <w:rFonts w:hint="eastAsia" w:ascii="宋体" w:hAnsi="宋体" w:eastAsia="宋体" w:cs="宋体"/>
          <w:color w:val="auto"/>
          <w:sz w:val="32"/>
          <w:szCs w:val="32"/>
          <w:highlight w:val="none"/>
        </w:rPr>
        <w:t>第一章  竞争性磋商公告</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_Toc176861406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2</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fldChar w:fldCharType="end"/>
      </w:r>
    </w:p>
    <w:p>
      <w:pPr>
        <w:pStyle w:val="31"/>
        <w:tabs>
          <w:tab w:val="right" w:leader="dot" w:pos="9288"/>
        </w:tabs>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"_Toc176861407" </w:instrText>
      </w:r>
      <w:r>
        <w:rPr>
          <w:rFonts w:hint="eastAsia" w:ascii="宋体" w:hAnsi="宋体" w:eastAsia="宋体" w:cs="宋体"/>
          <w:color w:val="auto"/>
          <w:highlight w:val="none"/>
        </w:rPr>
        <w:fldChar w:fldCharType="separate"/>
      </w:r>
      <w:r>
        <w:rPr>
          <w:rStyle w:val="44"/>
          <w:rFonts w:hint="eastAsia" w:ascii="宋体" w:hAnsi="宋体" w:eastAsia="宋体" w:cs="宋体"/>
          <w:color w:val="auto"/>
          <w:sz w:val="32"/>
          <w:szCs w:val="32"/>
          <w:highlight w:val="none"/>
        </w:rPr>
        <w:t>第二章  磋商供应商须知</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_Toc176861407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6</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fldChar w:fldCharType="end"/>
      </w:r>
    </w:p>
    <w:p>
      <w:pPr>
        <w:pStyle w:val="31"/>
        <w:tabs>
          <w:tab w:val="right" w:leader="dot" w:pos="9288"/>
        </w:tabs>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"_Toc176861408" </w:instrText>
      </w:r>
      <w:r>
        <w:rPr>
          <w:rFonts w:hint="eastAsia" w:ascii="宋体" w:hAnsi="宋体" w:eastAsia="宋体" w:cs="宋体"/>
          <w:color w:val="auto"/>
          <w:highlight w:val="none"/>
        </w:rPr>
        <w:fldChar w:fldCharType="separate"/>
      </w:r>
      <w:r>
        <w:rPr>
          <w:rStyle w:val="44"/>
          <w:rFonts w:hint="eastAsia" w:ascii="宋体" w:hAnsi="宋体" w:eastAsia="宋体" w:cs="宋体"/>
          <w:color w:val="auto"/>
          <w:sz w:val="32"/>
          <w:szCs w:val="32"/>
          <w:highlight w:val="none"/>
        </w:rPr>
        <w:t>第三章  竞争性磋商响应文件格式</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_Toc176861408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28</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fldChar w:fldCharType="end"/>
      </w:r>
    </w:p>
    <w:p>
      <w:pPr>
        <w:pStyle w:val="31"/>
        <w:tabs>
          <w:tab w:val="right" w:leader="dot" w:pos="9288"/>
        </w:tabs>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"_Toc176861409" </w:instrText>
      </w:r>
      <w:r>
        <w:rPr>
          <w:rFonts w:hint="eastAsia" w:ascii="宋体" w:hAnsi="宋体" w:eastAsia="宋体" w:cs="宋体"/>
          <w:color w:val="auto"/>
          <w:highlight w:val="none"/>
        </w:rPr>
        <w:fldChar w:fldCharType="separate"/>
      </w:r>
      <w:r>
        <w:rPr>
          <w:rStyle w:val="44"/>
          <w:rFonts w:hint="eastAsia" w:ascii="宋体" w:hAnsi="宋体" w:eastAsia="宋体" w:cs="宋体"/>
          <w:color w:val="auto"/>
          <w:sz w:val="32"/>
          <w:szCs w:val="32"/>
          <w:highlight w:val="none"/>
        </w:rPr>
        <w:t>第四章  采购项目需求</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_Toc176861409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56</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fldChar w:fldCharType="end"/>
      </w:r>
    </w:p>
    <w:p>
      <w:pPr>
        <w:pStyle w:val="31"/>
        <w:tabs>
          <w:tab w:val="right" w:leader="dot" w:pos="9288"/>
        </w:tabs>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"_Toc176861410" </w:instrText>
      </w:r>
      <w:r>
        <w:rPr>
          <w:rFonts w:hint="eastAsia" w:ascii="宋体" w:hAnsi="宋体" w:eastAsia="宋体" w:cs="宋体"/>
          <w:color w:val="auto"/>
          <w:highlight w:val="none"/>
        </w:rPr>
        <w:fldChar w:fldCharType="separate"/>
      </w:r>
      <w:r>
        <w:rPr>
          <w:rStyle w:val="44"/>
          <w:rFonts w:hint="eastAsia" w:ascii="宋体" w:hAnsi="宋体" w:eastAsia="宋体" w:cs="宋体"/>
          <w:color w:val="auto"/>
          <w:sz w:val="32"/>
          <w:szCs w:val="32"/>
          <w:highlight w:val="none"/>
        </w:rPr>
        <w:t>第五章  工程量清单及图纸</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_Toc176861410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58</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fldChar w:fldCharType="end"/>
      </w:r>
    </w:p>
    <w:p>
      <w:pPr>
        <w:pStyle w:val="31"/>
        <w:tabs>
          <w:tab w:val="right" w:leader="dot" w:pos="9288"/>
        </w:tabs>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"_Toc176861411" </w:instrText>
      </w:r>
      <w:r>
        <w:rPr>
          <w:rFonts w:hint="eastAsia" w:ascii="宋体" w:hAnsi="宋体" w:eastAsia="宋体" w:cs="宋体"/>
          <w:color w:val="auto"/>
          <w:highlight w:val="none"/>
        </w:rPr>
        <w:fldChar w:fldCharType="separate"/>
      </w:r>
      <w:r>
        <w:rPr>
          <w:rStyle w:val="44"/>
          <w:rFonts w:hint="eastAsia" w:ascii="宋体" w:hAnsi="宋体" w:eastAsia="宋体" w:cs="宋体"/>
          <w:color w:val="auto"/>
          <w:kern w:val="0"/>
          <w:sz w:val="32"/>
          <w:szCs w:val="32"/>
          <w:highlight w:val="none"/>
        </w:rPr>
        <w:t>第六章  合同格式</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_Toc176861411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59</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fldChar w:fldCharType="end"/>
      </w:r>
    </w:p>
    <w:p>
      <w:pPr>
        <w:pStyle w:val="31"/>
        <w:tabs>
          <w:tab w:val="right" w:leader="dot" w:pos="9288"/>
        </w:tabs>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"_Toc176861412" </w:instrText>
      </w:r>
      <w:r>
        <w:rPr>
          <w:rFonts w:hint="eastAsia" w:ascii="宋体" w:hAnsi="宋体" w:eastAsia="宋体" w:cs="宋体"/>
          <w:color w:val="auto"/>
          <w:highlight w:val="none"/>
        </w:rPr>
        <w:fldChar w:fldCharType="separate"/>
      </w:r>
      <w:r>
        <w:rPr>
          <w:rStyle w:val="44"/>
          <w:rFonts w:hint="eastAsia" w:ascii="宋体" w:hAnsi="宋体" w:eastAsia="宋体" w:cs="宋体"/>
          <w:color w:val="auto"/>
          <w:kern w:val="0"/>
          <w:sz w:val="32"/>
          <w:szCs w:val="32"/>
          <w:highlight w:val="none"/>
        </w:rPr>
        <w:t>第七章  评定标准</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_Toc176861412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94</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fldChar w:fldCharType="end"/>
      </w:r>
    </w:p>
    <w:p>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Cs/>
          <w:color w:val="auto"/>
          <w:spacing w:val="4"/>
          <w:sz w:val="32"/>
          <w:szCs w:val="32"/>
          <w:highlight w:val="none"/>
        </w:rPr>
        <w:fldChar w:fldCharType="end"/>
      </w: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rPr>
          <w:rFonts w:hint="eastAsia" w:ascii="宋体" w:hAnsi="宋体" w:eastAsia="宋体" w:cs="宋体"/>
          <w:b/>
          <w:color w:val="auto"/>
          <w:sz w:val="32"/>
          <w:szCs w:val="32"/>
          <w:highlight w:val="none"/>
        </w:rPr>
      </w:pPr>
    </w:p>
    <w:p>
      <w:pPr>
        <w:spacing w:line="400" w:lineRule="exact"/>
        <w:rPr>
          <w:rFonts w:hint="eastAsia" w:ascii="宋体" w:hAnsi="宋体" w:eastAsia="宋体" w:cs="宋体"/>
          <w:b/>
          <w:color w:val="auto"/>
          <w:sz w:val="32"/>
          <w:szCs w:val="32"/>
          <w:highlight w:val="none"/>
        </w:rPr>
        <w:sectPr>
          <w:footerReference r:id="rId6" w:type="first"/>
          <w:footerReference r:id="rId5" w:type="default"/>
          <w:pgSz w:w="11906" w:h="16838"/>
          <w:pgMar w:top="1474" w:right="1304" w:bottom="1134" w:left="1304" w:header="851" w:footer="992" w:gutter="0"/>
          <w:pgNumType w:fmt="decimal" w:start="1"/>
          <w:cols w:space="720" w:num="1"/>
          <w:docGrid w:type="lines" w:linePitch="312" w:charSpace="0"/>
        </w:sectPr>
      </w:pPr>
    </w:p>
    <w:p>
      <w:pPr>
        <w:pStyle w:val="5"/>
        <w:rPr>
          <w:rFonts w:hint="eastAsia" w:ascii="宋体" w:hAnsi="宋体" w:eastAsia="宋体" w:cs="宋体"/>
          <w:color w:val="auto"/>
          <w:highlight w:val="none"/>
        </w:rPr>
      </w:pPr>
    </w:p>
    <w:p>
      <w:pPr>
        <w:spacing w:line="400" w:lineRule="exact"/>
        <w:rPr>
          <w:rFonts w:hint="eastAsia" w:ascii="宋体" w:hAnsi="宋体" w:eastAsia="宋体" w:cs="宋体"/>
          <w:b/>
          <w:color w:val="auto"/>
          <w:sz w:val="32"/>
          <w:szCs w:val="32"/>
          <w:highlight w:val="none"/>
        </w:rPr>
      </w:pPr>
    </w:p>
    <w:p>
      <w:pPr>
        <w:spacing w:line="400" w:lineRule="exact"/>
        <w:rPr>
          <w:rFonts w:hint="eastAsia" w:ascii="宋体" w:hAnsi="宋体" w:eastAsia="宋体" w:cs="宋体"/>
          <w:b/>
          <w:color w:val="auto"/>
          <w:sz w:val="32"/>
          <w:szCs w:val="32"/>
          <w:highlight w:val="none"/>
        </w:rPr>
      </w:pPr>
    </w:p>
    <w:p>
      <w:pPr>
        <w:spacing w:line="400" w:lineRule="exact"/>
        <w:rPr>
          <w:rFonts w:hint="eastAsia" w:ascii="宋体" w:hAnsi="宋体" w:eastAsia="宋体" w:cs="宋体"/>
          <w:b/>
          <w:color w:val="auto"/>
          <w:sz w:val="32"/>
          <w:szCs w:val="32"/>
          <w:highlight w:val="none"/>
        </w:rPr>
      </w:pPr>
    </w:p>
    <w:p>
      <w:pPr>
        <w:spacing w:line="400" w:lineRule="exact"/>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pStyle w:val="5"/>
        <w:rPr>
          <w:rFonts w:hint="eastAsia" w:ascii="宋体" w:hAnsi="宋体" w:eastAsia="宋体" w:cs="宋体"/>
          <w:color w:val="auto"/>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600" w:lineRule="exact"/>
        <w:jc w:val="center"/>
        <w:outlineLvl w:val="0"/>
        <w:rPr>
          <w:rFonts w:hint="eastAsia" w:ascii="宋体" w:hAnsi="宋体" w:eastAsia="宋体" w:cs="宋体"/>
          <w:b/>
          <w:color w:val="auto"/>
          <w:sz w:val="44"/>
          <w:szCs w:val="44"/>
          <w:highlight w:val="none"/>
        </w:rPr>
      </w:pPr>
      <w:bookmarkStart w:id="0" w:name="_Toc23639"/>
      <w:bookmarkStart w:id="1" w:name="_Toc176861406"/>
      <w:bookmarkStart w:id="2" w:name="_Toc3994503"/>
      <w:r>
        <w:rPr>
          <w:rFonts w:hint="eastAsia" w:ascii="宋体" w:hAnsi="宋体" w:eastAsia="宋体" w:cs="宋体"/>
          <w:b/>
          <w:color w:val="auto"/>
          <w:sz w:val="44"/>
          <w:szCs w:val="44"/>
          <w:highlight w:val="none"/>
        </w:rPr>
        <w:t>第一章  竞争性磋商公告</w:t>
      </w:r>
      <w:bookmarkEnd w:id="0"/>
      <w:bookmarkEnd w:id="1"/>
      <w:bookmarkEnd w:id="2"/>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rPr>
          <w:rFonts w:hint="eastAsia" w:ascii="宋体" w:hAnsi="宋体" w:eastAsia="宋体" w:cs="宋体"/>
          <w:b/>
          <w:color w:val="auto"/>
          <w:sz w:val="32"/>
          <w:szCs w:val="32"/>
          <w:highlight w:val="none"/>
        </w:rPr>
      </w:pPr>
    </w:p>
    <w:p>
      <w:pPr>
        <w:tabs>
          <w:tab w:val="left" w:pos="9639"/>
          <w:tab w:val="left" w:pos="9746"/>
        </w:tabs>
        <w:adjustRightInd w:val="0"/>
        <w:snapToGrid w:val="0"/>
        <w:spacing w:line="360" w:lineRule="auto"/>
        <w:jc w:val="center"/>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br w:type="page"/>
      </w:r>
    </w:p>
    <w:p>
      <w:pPr>
        <w:spacing w:line="360" w:lineRule="auto"/>
        <w:ind w:right="-307" w:rightChars="-146"/>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第一章  竞争性磋商公告</w:t>
      </w:r>
    </w:p>
    <w:p>
      <w:pPr>
        <w:tabs>
          <w:tab w:val="left" w:pos="9639"/>
          <w:tab w:val="left" w:pos="9746"/>
        </w:tabs>
        <w:adjustRightInd w:val="0"/>
        <w:snapToGrid w:val="0"/>
        <w:jc w:val="center"/>
        <w:rPr>
          <w:rFonts w:hint="eastAsia" w:ascii="宋体" w:hAnsi="宋体" w:eastAsia="宋体" w:cs="宋体"/>
          <w:color w:val="auto"/>
          <w:kern w:val="0"/>
          <w:szCs w:val="21"/>
          <w:highlight w:val="none"/>
        </w:rPr>
      </w:pPr>
      <w:r>
        <w:rPr>
          <w:rFonts w:hint="eastAsia" w:ascii="宋体" w:hAnsi="宋体" w:eastAsia="宋体" w:cs="宋体"/>
          <w:b/>
          <w:color w:val="auto"/>
          <w:sz w:val="30"/>
          <w:szCs w:val="30"/>
          <w:highlight w:val="none"/>
          <w:lang w:eastAsia="zh-CN"/>
        </w:rPr>
        <w:t>广西延信工程项目管理有限公司</w:t>
      </w:r>
      <w:r>
        <w:rPr>
          <w:rFonts w:hint="eastAsia" w:ascii="宋体" w:hAnsi="宋体" w:eastAsia="宋体" w:cs="宋体"/>
          <w:b/>
          <w:color w:val="auto"/>
          <w:sz w:val="30"/>
          <w:szCs w:val="30"/>
          <w:highlight w:val="none"/>
        </w:rPr>
        <w:t>关于</w:t>
      </w:r>
      <w:r>
        <w:rPr>
          <w:rFonts w:hint="eastAsia" w:ascii="宋体" w:hAnsi="宋体" w:cs="宋体"/>
          <w:b/>
          <w:color w:val="auto"/>
          <w:sz w:val="30"/>
          <w:szCs w:val="30"/>
          <w:highlight w:val="none"/>
          <w:lang w:eastAsia="zh-CN"/>
        </w:rPr>
        <w:t>2026年合浦县西场镇五浪江村李国松地磅至东茶村路口道路硬化工程</w:t>
      </w:r>
      <w:r>
        <w:rPr>
          <w:rFonts w:hint="eastAsia" w:ascii="宋体" w:hAnsi="宋体" w:eastAsia="宋体" w:cs="宋体"/>
          <w:b/>
          <w:color w:val="auto"/>
          <w:sz w:val="30"/>
          <w:szCs w:val="30"/>
          <w:highlight w:val="none"/>
        </w:rPr>
        <w:t>竞争性</w:t>
      </w:r>
      <w:r>
        <w:rPr>
          <w:rFonts w:hint="eastAsia" w:ascii="宋体" w:hAnsi="宋体" w:eastAsia="宋体" w:cs="宋体"/>
          <w:b/>
          <w:color w:val="auto"/>
          <w:sz w:val="30"/>
          <w:szCs w:val="30"/>
          <w:highlight w:val="none"/>
          <w:lang w:eastAsia="zh-CN"/>
        </w:rPr>
        <w:t>磋商</w:t>
      </w:r>
      <w:r>
        <w:rPr>
          <w:rFonts w:hint="eastAsia" w:ascii="宋体" w:hAnsi="宋体" w:eastAsia="宋体" w:cs="宋体"/>
          <w:b/>
          <w:color w:val="auto"/>
          <w:sz w:val="30"/>
          <w:szCs w:val="30"/>
          <w:highlight w:val="none"/>
        </w:rPr>
        <w:t>采购公告</w:t>
      </w:r>
      <w:r>
        <w:rPr>
          <w:rFonts w:hint="eastAsia" w:ascii="宋体" w:hAnsi="宋体" w:eastAsia="宋体" w:cs="宋体"/>
          <w:b/>
          <w:color w:val="auto"/>
          <w:sz w:val="30"/>
          <w:szCs w:val="30"/>
          <w:highlight w:val="none"/>
          <w:lang w:eastAsia="zh-CN"/>
        </w:rPr>
        <w:t>（远程异地评标项目）</w:t>
      </w:r>
    </w:p>
    <w:tbl>
      <w:tblPr>
        <w:tblStyle w:val="39"/>
        <w:tblW w:w="94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105" w:hRule="atLeast"/>
        </w:trPr>
        <w:tc>
          <w:tcPr>
            <w:tcW w:w="9433" w:type="dxa"/>
          </w:tcPr>
          <w:p>
            <w:pPr>
              <w:tabs>
                <w:tab w:val="left" w:pos="9639"/>
                <w:tab w:val="left" w:pos="9746"/>
              </w:tabs>
              <w:adjustRightInd w:val="0"/>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项目概况</w:t>
            </w:r>
          </w:p>
          <w:p>
            <w:pPr>
              <w:tabs>
                <w:tab w:val="left" w:pos="9639"/>
                <w:tab w:val="left" w:pos="9746"/>
              </w:tabs>
              <w:adjustRightInd w:val="0"/>
              <w:snapToGrid w:val="0"/>
              <w:spacing w:line="360" w:lineRule="auto"/>
              <w:ind w:left="105" w:leftChars="50" w:firstLine="315" w:firstLineChars="150"/>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u w:val="single"/>
                <w:lang w:eastAsia="zh-CN"/>
              </w:rPr>
              <w:t>2026年合浦县西场镇五浪江村李国松地磅至东茶村路口道路硬化工程</w:t>
            </w:r>
            <w:r>
              <w:rPr>
                <w:rFonts w:hint="eastAsia" w:ascii="宋体" w:hAnsi="宋体" w:eastAsia="宋体" w:cs="宋体"/>
                <w:color w:val="auto"/>
                <w:kern w:val="0"/>
                <w:sz w:val="21"/>
                <w:szCs w:val="21"/>
                <w:highlight w:val="none"/>
              </w:rPr>
              <w:t>采购项目的潜在供应商应在广西政府采购云平台（https</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//www.gcy.zfcg.gxzf.gov.cn/）获取采购文件，并于</w:t>
            </w:r>
            <w:r>
              <w:rPr>
                <w:rFonts w:hint="eastAsia" w:ascii="宋体" w:hAnsi="宋体" w:cs="宋体"/>
                <w:color w:val="auto"/>
                <w:kern w:val="0"/>
                <w:sz w:val="21"/>
                <w:szCs w:val="21"/>
                <w:highlight w:val="none"/>
                <w:u w:val="single"/>
                <w:lang w:eastAsia="zh-CN"/>
              </w:rPr>
              <w:t>2026年9月8日09点整</w:t>
            </w:r>
            <w:r>
              <w:rPr>
                <w:rFonts w:hint="eastAsia" w:ascii="宋体" w:hAnsi="宋体" w:eastAsia="宋体" w:cs="宋体"/>
                <w:color w:val="auto"/>
                <w:kern w:val="0"/>
                <w:sz w:val="21"/>
                <w:szCs w:val="21"/>
                <w:highlight w:val="none"/>
              </w:rPr>
              <w:t>（北京时间）前提交响应文件。</w:t>
            </w:r>
          </w:p>
        </w:tc>
      </w:tr>
    </w:tbl>
    <w:p>
      <w:pPr>
        <w:keepNext w:val="0"/>
        <w:keepLines w:val="0"/>
        <w:pageBreakBefore w:val="0"/>
        <w:widowControl w:val="0"/>
        <w:tabs>
          <w:tab w:val="left" w:pos="9639"/>
          <w:tab w:val="left" w:pos="9746"/>
        </w:tabs>
        <w:kinsoku/>
        <w:wordWrap/>
        <w:overflowPunct/>
        <w:topLinePunct w:val="0"/>
        <w:autoSpaceDE/>
        <w:autoSpaceDN/>
        <w:bidi w:val="0"/>
        <w:adjustRightInd w:val="0"/>
        <w:snapToGrid w:val="0"/>
        <w:spacing w:before="60" w:line="360" w:lineRule="auto"/>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一、项目基本情况</w:t>
      </w:r>
    </w:p>
    <w:p>
      <w:pPr>
        <w:adjustRightIn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BHZC2026-C2-210153-YXGC</w:t>
      </w:r>
    </w:p>
    <w:p>
      <w:pPr>
        <w:adjustRightInd w:val="0"/>
        <w:spacing w:line="360" w:lineRule="auto"/>
        <w:ind w:firstLine="420" w:firstLineChars="200"/>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eastAsia="zh-CN"/>
        </w:rPr>
        <w:t>2026年合浦县西场镇五浪江村李国松地磅至东茶村路口道路硬化工程</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采购方式：竞争性磋商</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预算金额（元）：</w:t>
      </w:r>
      <w:r>
        <w:rPr>
          <w:rFonts w:hint="eastAsia" w:ascii="宋体" w:hAnsi="宋体" w:cs="宋体"/>
          <w:color w:val="auto"/>
          <w:sz w:val="21"/>
          <w:szCs w:val="21"/>
          <w:highlight w:val="none"/>
          <w:lang w:val="en-US" w:eastAsia="zh-CN"/>
        </w:rPr>
        <w:t>638928.39</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最高限价（元）：</w:t>
      </w:r>
      <w:r>
        <w:rPr>
          <w:rFonts w:hint="eastAsia" w:ascii="宋体" w:hAnsi="宋体" w:cs="宋体"/>
          <w:color w:val="auto"/>
          <w:sz w:val="21"/>
          <w:szCs w:val="21"/>
          <w:highlight w:val="none"/>
          <w:lang w:val="en-US" w:eastAsia="zh-CN"/>
        </w:rPr>
        <w:t>638928.39</w:t>
      </w:r>
      <w:bookmarkStart w:id="1197" w:name="_GoBack"/>
      <w:bookmarkEnd w:id="1197"/>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采购需求：本项目为</w:t>
      </w:r>
      <w:r>
        <w:rPr>
          <w:rFonts w:hint="eastAsia" w:ascii="宋体" w:hAnsi="宋体" w:cs="宋体"/>
          <w:color w:val="auto"/>
          <w:sz w:val="21"/>
          <w:szCs w:val="21"/>
          <w:highlight w:val="none"/>
          <w:lang w:eastAsia="zh-CN"/>
        </w:rPr>
        <w:t>2026年合浦县西场镇五浪江村李国松地磅至东茶村路口道路硬化工程</w:t>
      </w:r>
      <w:r>
        <w:rPr>
          <w:rFonts w:hint="eastAsia" w:ascii="宋体" w:hAnsi="宋体" w:eastAsia="宋体" w:cs="宋体"/>
          <w:color w:val="auto"/>
          <w:sz w:val="21"/>
          <w:szCs w:val="21"/>
          <w:highlight w:val="none"/>
        </w:rPr>
        <w:t>，具体内容详见</w:t>
      </w:r>
      <w:r>
        <w:rPr>
          <w:rFonts w:hint="eastAsia" w:ascii="宋体" w:hAnsi="宋体" w:cs="宋体"/>
          <w:color w:val="auto"/>
          <w:sz w:val="21"/>
          <w:szCs w:val="21"/>
          <w:highlight w:val="none"/>
          <w:lang w:eastAsia="zh-CN"/>
        </w:rPr>
        <w:t>磋商文件</w:t>
      </w:r>
      <w:r>
        <w:rPr>
          <w:rFonts w:hint="eastAsia" w:ascii="宋体" w:hAnsi="宋体" w:eastAsia="宋体" w:cs="宋体"/>
          <w:color w:val="auto"/>
          <w:sz w:val="21"/>
          <w:szCs w:val="21"/>
          <w:highlight w:val="none"/>
        </w:rPr>
        <w:t>，工程量清单及图纸。</w:t>
      </w:r>
    </w:p>
    <w:p>
      <w:pPr>
        <w:adjustRightInd w:val="0"/>
        <w:spacing w:line="360" w:lineRule="auto"/>
        <w:ind w:firstLine="420" w:firstLineChars="200"/>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合同履行期限：自合同签定之日起90天内完成</w:t>
      </w:r>
      <w:r>
        <w:rPr>
          <w:rFonts w:hint="eastAsia" w:ascii="宋体" w:hAnsi="宋体" w:eastAsia="宋体" w:cs="宋体"/>
          <w:color w:val="auto"/>
          <w:sz w:val="21"/>
          <w:szCs w:val="21"/>
          <w:highlight w:val="none"/>
          <w:u w:val="none"/>
          <w:lang w:eastAsia="zh-CN"/>
        </w:rPr>
        <w:t>。</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本项目是否接受联合体磋商：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是，</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w:t>
      </w:r>
    </w:p>
    <w:p>
      <w:pPr>
        <w:tabs>
          <w:tab w:val="left" w:pos="9639"/>
          <w:tab w:val="left" w:pos="9746"/>
        </w:tabs>
        <w:adjustRightInd w:val="0"/>
        <w:snapToGrid w:val="0"/>
        <w:spacing w:line="360" w:lineRule="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二、申请人的资格要求</w:t>
      </w:r>
    </w:p>
    <w:p>
      <w:pPr>
        <w:adjustRightInd w:val="0"/>
        <w:spacing w:line="360" w:lineRule="auto"/>
        <w:ind w:firstLine="48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1.满足《中华人民共和国政府采购法》第二十二条规定；未被“信用中国”（www.creditchina.gov.cn)、中国政府采购网（www.ccgp.gov.cn）列入失信被执行人、重大税收违法案件当事人名单、政府采购严重违法失信行为记录名单；</w:t>
      </w:r>
    </w:p>
    <w:p>
      <w:pPr>
        <w:adjustRightInd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2</w:t>
      </w:r>
      <w:r>
        <w:rPr>
          <w:rFonts w:hint="eastAsia" w:ascii="宋体" w:hAnsi="宋体" w:eastAsia="宋体" w:cs="宋体"/>
          <w:snapToGrid w:val="0"/>
          <w:color w:val="auto"/>
          <w:kern w:val="28"/>
          <w:sz w:val="21"/>
          <w:szCs w:val="21"/>
          <w:highlight w:val="none"/>
        </w:rPr>
        <w:t>.落实政府采购政策需满足的资格要求：</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rPr>
        <w:t>专</w:t>
      </w:r>
      <w:r>
        <w:rPr>
          <w:rFonts w:hint="eastAsia" w:ascii="宋体" w:hAnsi="宋体" w:eastAsia="宋体" w:cs="宋体"/>
          <w:color w:val="auto"/>
          <w:sz w:val="21"/>
          <w:szCs w:val="21"/>
          <w:highlight w:val="none"/>
        </w:rPr>
        <w:t>门面向中小企业</w:t>
      </w:r>
    </w:p>
    <w:p>
      <w:pPr>
        <w:adjustRightInd w:val="0"/>
        <w:spacing w:line="360" w:lineRule="auto"/>
        <w:ind w:firstLine="785" w:firstLineChars="37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服务全部由符合政策要求的中小企业承接，提供中小企业声明函；</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.本项目的特定资格要求：</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（1）磋商供应商须具备</w:t>
      </w:r>
      <w:r>
        <w:rPr>
          <w:rFonts w:hint="eastAsia" w:ascii="宋体" w:hAnsi="宋体" w:eastAsia="宋体" w:cs="宋体"/>
          <w:color w:val="auto"/>
          <w:sz w:val="21"/>
          <w:szCs w:val="21"/>
          <w:highlight w:val="none"/>
          <w:lang w:eastAsia="zh-CN"/>
        </w:rPr>
        <w:t>市政公用</w:t>
      </w:r>
      <w:r>
        <w:rPr>
          <w:rFonts w:hint="eastAsia" w:ascii="宋体" w:hAnsi="宋体" w:eastAsia="宋体" w:cs="宋体"/>
          <w:color w:val="auto"/>
          <w:sz w:val="21"/>
          <w:szCs w:val="21"/>
          <w:highlight w:val="none"/>
        </w:rPr>
        <w:t>工程施工总承包三级（含）以上资质，</w:t>
      </w:r>
      <w:r>
        <w:rPr>
          <w:rFonts w:hint="eastAsia" w:ascii="宋体" w:hAnsi="宋体" w:eastAsia="宋体" w:cs="宋体"/>
          <w:color w:val="auto"/>
          <w:sz w:val="21"/>
          <w:szCs w:val="21"/>
          <w:highlight w:val="none"/>
          <w:lang w:eastAsia="zh-CN"/>
        </w:rPr>
        <w:t>并具备</w:t>
      </w:r>
      <w:r>
        <w:rPr>
          <w:rFonts w:hint="eastAsia" w:ascii="宋体" w:hAnsi="宋体" w:eastAsia="宋体" w:cs="宋体"/>
          <w:color w:val="auto"/>
          <w:sz w:val="21"/>
          <w:szCs w:val="21"/>
          <w:highlight w:val="none"/>
        </w:rPr>
        <w:t>有效的安全生产许可证。</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（2）供应商拟派的项目经理须具备</w:t>
      </w:r>
      <w:r>
        <w:rPr>
          <w:rFonts w:hint="eastAsia" w:ascii="宋体" w:hAnsi="宋体" w:eastAsia="宋体" w:cs="宋体"/>
          <w:color w:val="auto"/>
          <w:sz w:val="21"/>
          <w:szCs w:val="21"/>
          <w:highlight w:val="none"/>
          <w:lang w:eastAsia="zh-CN"/>
        </w:rPr>
        <w:t>市政公用</w:t>
      </w:r>
      <w:r>
        <w:rPr>
          <w:rFonts w:hint="eastAsia" w:ascii="宋体" w:hAnsi="宋体" w:eastAsia="宋体" w:cs="宋体"/>
          <w:color w:val="auto"/>
          <w:sz w:val="21"/>
          <w:szCs w:val="21"/>
          <w:highlight w:val="none"/>
        </w:rPr>
        <w:t>工程专业贰级（含）以上注册建造师执业资格及有效的安全生产考核合格证书（B类）。</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（3）安全员要求：本工程至少投入1名安全员且具备有效的安全生产考核合格证（C证）。</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spacing w:line="360" w:lineRule="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三、获取响应文件</w:t>
      </w:r>
    </w:p>
    <w:p>
      <w:pPr>
        <w:adjustRightInd w:val="0"/>
        <w:spacing w:line="360" w:lineRule="auto"/>
        <w:ind w:firstLine="54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时间：</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28</w:t>
      </w:r>
      <w:r>
        <w:rPr>
          <w:rFonts w:hint="eastAsia" w:ascii="宋体" w:hAnsi="宋体" w:cs="宋体"/>
          <w:color w:val="auto"/>
          <w:sz w:val="21"/>
          <w:szCs w:val="21"/>
          <w:highlight w:val="none"/>
          <w:lang w:eastAsia="zh-CN"/>
        </w:rPr>
        <w:t>日至2026年9月</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日，每天上午0</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lang w:eastAsia="zh-CN"/>
        </w:rPr>
        <w:t>：00至12：00 ，下午15：00至17：00（北京时间，法定节假日除外）</w:t>
      </w:r>
      <w:r>
        <w:rPr>
          <w:rFonts w:hint="eastAsia" w:ascii="宋体" w:hAnsi="宋体" w:eastAsia="宋体" w:cs="宋体"/>
          <w:color w:val="auto"/>
          <w:sz w:val="21"/>
          <w:szCs w:val="21"/>
          <w:highlight w:val="none"/>
        </w:rPr>
        <w:t>；</w:t>
      </w:r>
    </w:p>
    <w:p>
      <w:pPr>
        <w:adjustRightInd w:val="0"/>
        <w:spacing w:line="360" w:lineRule="auto"/>
        <w:ind w:firstLine="540"/>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rPr>
        <w:t>地点（网址）：</w:t>
      </w:r>
      <w:r>
        <w:rPr>
          <w:rFonts w:hint="eastAsia" w:ascii="宋体" w:hAnsi="宋体" w:eastAsia="宋体" w:cs="宋体"/>
          <w:color w:val="auto"/>
          <w:sz w:val="21"/>
          <w:szCs w:val="21"/>
          <w:highlight w:val="none"/>
        </w:rPr>
        <w:t>广西政府采购云平台（https</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//www.gcy.zfcg.gxzf.gov.cn/）</w:t>
      </w:r>
    </w:p>
    <w:p>
      <w:pPr>
        <w:adjustRightInd w:val="0"/>
        <w:spacing w:line="360" w:lineRule="auto"/>
        <w:ind w:firstLine="540"/>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rPr>
        <w:t>方式：</w:t>
      </w:r>
      <w:r>
        <w:rPr>
          <w:rFonts w:hint="eastAsia" w:ascii="宋体" w:hAnsi="宋体" w:eastAsia="宋体" w:cs="宋体"/>
          <w:color w:val="auto"/>
          <w:sz w:val="21"/>
          <w:szCs w:val="21"/>
          <w:highlight w:val="none"/>
        </w:rPr>
        <w:t>供应商登录广西政府采购云平台（https</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//www.gcy.zfcg.gxzf.gov.cn/）在线申请获取采购文件（进入“项目采购”应用，在获取采购文件菜单中选择项目，申请获取采购文件）。</w:t>
      </w:r>
    </w:p>
    <w:p>
      <w:pPr>
        <w:adjustRightInd w:val="0"/>
        <w:spacing w:line="360" w:lineRule="auto"/>
        <w:ind w:firstLine="54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售价：</w:t>
      </w:r>
      <w:r>
        <w:rPr>
          <w:rFonts w:hint="eastAsia" w:ascii="宋体" w:hAnsi="宋体" w:eastAsia="宋体" w:cs="宋体"/>
          <w:color w:val="auto"/>
          <w:sz w:val="21"/>
          <w:szCs w:val="21"/>
          <w:highlight w:val="none"/>
        </w:rPr>
        <w:t>0。</w:t>
      </w:r>
    </w:p>
    <w:p>
      <w:pPr>
        <w:adjustRightInd w:val="0"/>
        <w:snapToGrid w:val="0"/>
        <w:spacing w:line="360" w:lineRule="auto"/>
        <w:jc w:val="left"/>
        <w:rPr>
          <w:rFonts w:hint="eastAsia" w:ascii="宋体" w:hAnsi="宋体" w:eastAsia="宋体" w:cs="宋体"/>
          <w:b/>
          <w:color w:val="auto"/>
          <w:kern w:val="0"/>
          <w:sz w:val="21"/>
          <w:szCs w:val="21"/>
          <w:highlight w:val="none"/>
        </w:rPr>
      </w:pPr>
      <w:bookmarkStart w:id="3" w:name="_Toc35393632"/>
      <w:bookmarkStart w:id="4" w:name="_Toc28359015"/>
      <w:bookmarkStart w:id="5" w:name="_Toc28359092"/>
      <w:bookmarkStart w:id="6" w:name="_Toc35393801"/>
      <w:r>
        <w:rPr>
          <w:rFonts w:hint="eastAsia" w:ascii="宋体" w:hAnsi="宋体" w:eastAsia="宋体" w:cs="宋体"/>
          <w:b/>
          <w:color w:val="auto"/>
          <w:kern w:val="0"/>
          <w:sz w:val="21"/>
          <w:szCs w:val="21"/>
          <w:highlight w:val="none"/>
        </w:rPr>
        <w:t>四、响应文件提交</w:t>
      </w:r>
      <w:bookmarkEnd w:id="3"/>
      <w:bookmarkEnd w:id="4"/>
      <w:bookmarkEnd w:id="5"/>
      <w:bookmarkEnd w:id="6"/>
      <w:r>
        <w:rPr>
          <w:rFonts w:hint="eastAsia" w:ascii="宋体" w:hAnsi="宋体" w:eastAsia="宋体" w:cs="宋体"/>
          <w:b/>
          <w:color w:val="auto"/>
          <w:kern w:val="0"/>
          <w:sz w:val="21"/>
          <w:szCs w:val="21"/>
          <w:highlight w:val="none"/>
        </w:rPr>
        <w:t>（上传）</w:t>
      </w:r>
    </w:p>
    <w:p>
      <w:pPr>
        <w:adjustRightInd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截止时间：</w:t>
      </w:r>
      <w:r>
        <w:rPr>
          <w:rFonts w:hint="eastAsia" w:ascii="宋体" w:hAnsi="宋体" w:cs="宋体"/>
          <w:color w:val="auto"/>
          <w:sz w:val="21"/>
          <w:szCs w:val="21"/>
          <w:highlight w:val="none"/>
          <w:u w:val="single"/>
          <w:lang w:eastAsia="zh-CN"/>
        </w:rPr>
        <w:t>2026年9月8日09点整</w:t>
      </w:r>
      <w:r>
        <w:rPr>
          <w:rFonts w:hint="eastAsia" w:ascii="宋体" w:hAnsi="宋体" w:eastAsia="宋体" w:cs="宋体"/>
          <w:bCs/>
          <w:color w:val="auto"/>
          <w:sz w:val="21"/>
          <w:szCs w:val="21"/>
          <w:highlight w:val="none"/>
        </w:rPr>
        <w:t>（北京时间）</w:t>
      </w:r>
    </w:p>
    <w:p>
      <w:pPr>
        <w:adjustRightInd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地点：广西政府采购云平台（https</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//www.gcy.zfcg.gxzf.gov.cn/）</w:t>
      </w:r>
      <w:r>
        <w:rPr>
          <w:rFonts w:hint="eastAsia" w:ascii="宋体" w:hAnsi="宋体" w:eastAsia="宋体" w:cs="宋体"/>
          <w:b w:val="0"/>
          <w:bCs/>
          <w:color w:val="auto"/>
          <w:sz w:val="21"/>
          <w:szCs w:val="21"/>
          <w:highlight w:val="none"/>
        </w:rPr>
        <w:t>。</w:t>
      </w:r>
    </w:p>
    <w:p>
      <w:pPr>
        <w:adjustRightInd w:val="0"/>
        <w:snapToGrid w:val="0"/>
        <w:spacing w:line="360" w:lineRule="auto"/>
        <w:jc w:val="left"/>
        <w:rPr>
          <w:rFonts w:hint="eastAsia" w:ascii="宋体" w:hAnsi="宋体" w:eastAsia="宋体" w:cs="宋体"/>
          <w:b/>
          <w:color w:val="auto"/>
          <w:kern w:val="0"/>
          <w:sz w:val="21"/>
          <w:szCs w:val="21"/>
          <w:highlight w:val="none"/>
        </w:rPr>
      </w:pPr>
      <w:bookmarkStart w:id="7" w:name="_Toc35393633"/>
      <w:bookmarkStart w:id="8" w:name="_Toc28359093"/>
      <w:bookmarkStart w:id="9" w:name="_Toc28359016"/>
      <w:bookmarkStart w:id="10" w:name="_Toc35393802"/>
      <w:r>
        <w:rPr>
          <w:rFonts w:hint="eastAsia" w:ascii="宋体" w:hAnsi="宋体" w:eastAsia="宋体" w:cs="宋体"/>
          <w:b/>
          <w:color w:val="auto"/>
          <w:kern w:val="0"/>
          <w:sz w:val="21"/>
          <w:szCs w:val="21"/>
          <w:highlight w:val="none"/>
        </w:rPr>
        <w:t>五、响应文件开启</w:t>
      </w:r>
      <w:bookmarkEnd w:id="7"/>
      <w:bookmarkEnd w:id="8"/>
      <w:bookmarkEnd w:id="9"/>
      <w:bookmarkEnd w:id="10"/>
    </w:p>
    <w:p>
      <w:pPr>
        <w:adjustRightInd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时间：</w:t>
      </w:r>
      <w:r>
        <w:rPr>
          <w:rFonts w:hint="eastAsia" w:ascii="宋体" w:hAnsi="宋体" w:cs="宋体"/>
          <w:color w:val="auto"/>
          <w:sz w:val="21"/>
          <w:szCs w:val="21"/>
          <w:highlight w:val="none"/>
          <w:u w:val="single"/>
          <w:lang w:eastAsia="zh-CN"/>
        </w:rPr>
        <w:t>2026年9月8日09点整</w:t>
      </w:r>
      <w:r>
        <w:rPr>
          <w:rFonts w:hint="eastAsia" w:ascii="宋体" w:hAnsi="宋体" w:eastAsia="宋体" w:cs="宋体"/>
          <w:bCs/>
          <w:color w:val="auto"/>
          <w:sz w:val="21"/>
          <w:szCs w:val="21"/>
          <w:highlight w:val="none"/>
        </w:rPr>
        <w:t>（北京时间）</w:t>
      </w:r>
    </w:p>
    <w:p>
      <w:pPr>
        <w:adjustRightInd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地点：广西政府采购云平台（https</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//www.gcy.zfcg.gxzf.gov.cn/）。</w:t>
      </w:r>
    </w:p>
    <w:p>
      <w:pPr>
        <w:adjustRightInd w:val="0"/>
        <w:snapToGrid w:val="0"/>
        <w:spacing w:line="360" w:lineRule="auto"/>
        <w:jc w:val="left"/>
        <w:rPr>
          <w:rFonts w:hint="eastAsia" w:ascii="宋体" w:hAnsi="宋体" w:eastAsia="宋体" w:cs="宋体"/>
          <w:b/>
          <w:color w:val="auto"/>
          <w:kern w:val="0"/>
          <w:sz w:val="21"/>
          <w:szCs w:val="21"/>
          <w:highlight w:val="none"/>
        </w:rPr>
      </w:pPr>
      <w:bookmarkStart w:id="11" w:name="_Toc28359017"/>
      <w:bookmarkStart w:id="12" w:name="_Toc35393634"/>
      <w:bookmarkStart w:id="13" w:name="_Toc28359094"/>
      <w:bookmarkStart w:id="14" w:name="_Toc35393803"/>
      <w:r>
        <w:rPr>
          <w:rFonts w:hint="eastAsia" w:ascii="宋体" w:hAnsi="宋体" w:eastAsia="宋体" w:cs="宋体"/>
          <w:b/>
          <w:color w:val="auto"/>
          <w:kern w:val="0"/>
          <w:sz w:val="21"/>
          <w:szCs w:val="21"/>
          <w:highlight w:val="none"/>
        </w:rPr>
        <w:t>六、公告期限</w:t>
      </w:r>
      <w:bookmarkEnd w:id="11"/>
      <w:bookmarkEnd w:id="12"/>
      <w:bookmarkEnd w:id="13"/>
      <w:bookmarkEnd w:id="14"/>
    </w:p>
    <w:p>
      <w:pPr>
        <w:adjustRightIn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自本公告发布之日起3个工作日。</w:t>
      </w:r>
    </w:p>
    <w:p>
      <w:pPr>
        <w:adjustRightInd w:val="0"/>
        <w:snapToGrid w:val="0"/>
        <w:spacing w:line="360" w:lineRule="auto"/>
        <w:jc w:val="left"/>
        <w:rPr>
          <w:rFonts w:hint="eastAsia" w:ascii="宋体" w:hAnsi="宋体" w:eastAsia="宋体" w:cs="宋体"/>
          <w:b/>
          <w:color w:val="auto"/>
          <w:kern w:val="0"/>
          <w:sz w:val="21"/>
          <w:szCs w:val="21"/>
          <w:highlight w:val="none"/>
        </w:rPr>
      </w:pPr>
      <w:bookmarkStart w:id="15" w:name="_Toc35393635"/>
      <w:bookmarkStart w:id="16" w:name="_Toc35393804"/>
      <w:r>
        <w:rPr>
          <w:rFonts w:hint="eastAsia" w:ascii="宋体" w:hAnsi="宋体" w:eastAsia="宋体" w:cs="宋体"/>
          <w:b/>
          <w:color w:val="auto"/>
          <w:kern w:val="0"/>
          <w:sz w:val="21"/>
          <w:szCs w:val="21"/>
          <w:highlight w:val="none"/>
        </w:rPr>
        <w:t>七、其他补充事宜</w:t>
      </w:r>
      <w:bookmarkEnd w:id="15"/>
      <w:bookmarkEnd w:id="16"/>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1.磋商保证金：</w:t>
      </w:r>
      <w:r>
        <w:rPr>
          <w:rFonts w:hint="eastAsia" w:ascii="宋体" w:hAnsi="宋体" w:cs="宋体"/>
          <w:color w:val="auto"/>
          <w:sz w:val="21"/>
          <w:szCs w:val="21"/>
          <w:highlight w:val="none"/>
          <w:lang w:val="en-US" w:eastAsia="zh-CN"/>
        </w:rPr>
        <w:t>6000.00元</w:t>
      </w:r>
      <w:r>
        <w:rPr>
          <w:rFonts w:hint="eastAsia" w:ascii="宋体" w:hAnsi="宋体" w:eastAsia="宋体" w:cs="宋体"/>
          <w:color w:val="auto"/>
          <w:sz w:val="21"/>
          <w:szCs w:val="21"/>
          <w:highlight w:val="none"/>
        </w:rPr>
        <w:t>。</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工程项目，以及预留份额政府采购工程项目中的非预留部分标项，对小型和微型企业的磋商报价给予3%-5%的扣除，用扣除后的价格参与评审。（4）支持监狱企业、残疾人福利性单位发展：监狱企业、残疾人福利性单位视同小型和微型企业。（5）支持创新发展：优先采购被认定为</w:t>
      </w:r>
      <w:r>
        <w:rPr>
          <w:rFonts w:hint="eastAsia" w:ascii="宋体" w:hAnsi="宋体" w:cs="宋体"/>
          <w:color w:val="auto"/>
          <w:sz w:val="21"/>
          <w:szCs w:val="21"/>
          <w:highlight w:val="none"/>
          <w:lang w:eastAsia="zh-CN"/>
        </w:rPr>
        <w:t>首台或首套</w:t>
      </w:r>
      <w:r>
        <w:rPr>
          <w:rFonts w:hint="eastAsia" w:ascii="宋体" w:hAnsi="宋体" w:eastAsia="宋体" w:cs="宋体"/>
          <w:color w:val="auto"/>
          <w:sz w:val="21"/>
          <w:szCs w:val="21"/>
          <w:highlight w:val="none"/>
        </w:rPr>
        <w:t>产品和“制造精品”的自主创新产品。（6）平等对待内外资企业和符合条件的破产重整企业。</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snapToGrid w:val="0"/>
          <w:color w:val="auto"/>
          <w:kern w:val="28"/>
          <w:sz w:val="21"/>
          <w:szCs w:val="21"/>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4.网上公告媒体查询：中国政府采购网、广西政府采购网、北海市政府采购监管网、采购代理机构网站（如有）。</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//www.ccgp-guangxi.gov.cn/luban/detail?parentId=66479&amp;articleId=pSO9fZ16UrkQX4GkrKyqiA==&amp;utm=luban.luban-PC-38919.1085-pc-wsg-guangxi-secondPage-front.1.2e18f760d69611ed8f2cc9701088ccbf）（广西政府采购网）或（现场办理：https</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//www.gxca.com.cn/detail/detail?articleId=1546808615271264258&amp;classifyId=1546335737551556610&amp;pid=1546335679795990530（广西壮族自治区数字证书认证中心）。</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6.各供应商通过广西政府采购云平台参与政府采购项目投标需下载使用新版客户端，新版客户端下载路径：广西政府采购网（http</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7.本项目采用远程异地评标，评标主会场：广西延信工程项目管理有限公司（合浦）；分会场：广西延信工程项目管理有限公司（百色）。</w:t>
      </w:r>
    </w:p>
    <w:p>
      <w:pPr>
        <w:adjustRightInd w:val="0"/>
        <w:snapToGrid w:val="0"/>
        <w:spacing w:line="360" w:lineRule="auto"/>
        <w:jc w:val="left"/>
        <w:rPr>
          <w:rFonts w:hint="eastAsia" w:ascii="宋体" w:hAnsi="宋体" w:eastAsia="宋体" w:cs="宋体"/>
          <w:b/>
          <w:color w:val="auto"/>
          <w:kern w:val="0"/>
          <w:sz w:val="21"/>
          <w:szCs w:val="21"/>
          <w:highlight w:val="none"/>
        </w:rPr>
      </w:pPr>
      <w:bookmarkStart w:id="17" w:name="_Toc35393636"/>
      <w:bookmarkStart w:id="18" w:name="_Toc35393805"/>
      <w:bookmarkStart w:id="19" w:name="_Toc28359095"/>
      <w:bookmarkStart w:id="20" w:name="_Toc28359018"/>
      <w:r>
        <w:rPr>
          <w:rFonts w:hint="eastAsia" w:ascii="宋体" w:hAnsi="宋体" w:eastAsia="宋体" w:cs="宋体"/>
          <w:b/>
          <w:color w:val="auto"/>
          <w:kern w:val="0"/>
          <w:sz w:val="21"/>
          <w:szCs w:val="21"/>
          <w:highlight w:val="none"/>
        </w:rPr>
        <w:t>八、凡对本次采购提出询问、质疑、投诉，请按以下方式联系</w:t>
      </w:r>
      <w:bookmarkEnd w:id="17"/>
      <w:bookmarkEnd w:id="18"/>
      <w:bookmarkEnd w:id="19"/>
      <w:bookmarkEnd w:id="20"/>
    </w:p>
    <w:p>
      <w:pPr>
        <w:adjustRightInd w:val="0"/>
        <w:snapToGrid w:val="0"/>
        <w:spacing w:line="360" w:lineRule="auto"/>
        <w:jc w:val="left"/>
        <w:rPr>
          <w:rFonts w:hint="eastAsia" w:ascii="宋体" w:hAnsi="宋体" w:eastAsia="宋体" w:cs="宋体"/>
          <w:b/>
          <w:color w:val="auto"/>
          <w:kern w:val="0"/>
          <w:sz w:val="21"/>
          <w:szCs w:val="21"/>
          <w:highlight w:val="none"/>
        </w:rPr>
      </w:pPr>
      <w:bookmarkStart w:id="21" w:name="_Toc35393637"/>
      <w:bookmarkStart w:id="22" w:name="_Toc28359096"/>
      <w:bookmarkStart w:id="23" w:name="_Toc28359019"/>
      <w:bookmarkStart w:id="24" w:name="_Toc35393806"/>
      <w:r>
        <w:rPr>
          <w:rFonts w:hint="eastAsia" w:ascii="宋体" w:hAnsi="宋体" w:eastAsia="宋体" w:cs="宋体"/>
          <w:b/>
          <w:color w:val="auto"/>
          <w:kern w:val="0"/>
          <w:sz w:val="21"/>
          <w:szCs w:val="21"/>
          <w:highlight w:val="none"/>
        </w:rPr>
        <w:t>1.采购人信息</w:t>
      </w:r>
      <w:bookmarkEnd w:id="21"/>
      <w:bookmarkEnd w:id="22"/>
      <w:bookmarkEnd w:id="23"/>
      <w:bookmarkEnd w:id="24"/>
    </w:p>
    <w:p>
      <w:pPr>
        <w:adjustRightIn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名    称： </w:t>
      </w:r>
      <w:r>
        <w:rPr>
          <w:rFonts w:hint="eastAsia" w:ascii="宋体" w:hAnsi="宋体" w:eastAsia="宋体" w:cs="宋体"/>
          <w:color w:val="auto"/>
          <w:sz w:val="21"/>
          <w:szCs w:val="21"/>
          <w:highlight w:val="none"/>
          <w:lang w:eastAsia="zh-CN"/>
        </w:rPr>
        <w:t>合浦县农业农村局</w:t>
      </w:r>
    </w:p>
    <w:p>
      <w:pPr>
        <w:adjustRightIn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    地    址： </w:t>
      </w:r>
      <w:r>
        <w:rPr>
          <w:rFonts w:hint="eastAsia" w:ascii="宋体" w:hAnsi="宋体" w:eastAsia="宋体" w:cs="宋体"/>
          <w:color w:val="auto"/>
          <w:sz w:val="21"/>
          <w:szCs w:val="21"/>
          <w:highlight w:val="none"/>
          <w:lang w:eastAsia="zh-CN"/>
        </w:rPr>
        <w:t>广西合浦县</w:t>
      </w:r>
    </w:p>
    <w:p>
      <w:pPr>
        <w:adjustRightIn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    项目联系人： </w:t>
      </w:r>
      <w:r>
        <w:rPr>
          <w:rFonts w:hint="eastAsia" w:ascii="宋体" w:hAnsi="宋体" w:eastAsia="宋体" w:cs="宋体"/>
          <w:color w:val="auto"/>
          <w:sz w:val="21"/>
          <w:szCs w:val="21"/>
          <w:highlight w:val="none"/>
          <w:lang w:eastAsia="zh-CN"/>
        </w:rPr>
        <w:t>陈工</w:t>
      </w:r>
    </w:p>
    <w:p>
      <w:pPr>
        <w:adjustRightIn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项目联系方式：</w:t>
      </w:r>
      <w:r>
        <w:rPr>
          <w:rFonts w:hint="eastAsia" w:ascii="宋体" w:hAnsi="宋体" w:eastAsia="宋体" w:cs="宋体"/>
          <w:color w:val="auto"/>
          <w:sz w:val="21"/>
          <w:szCs w:val="21"/>
          <w:highlight w:val="none"/>
          <w:lang w:eastAsia="zh-CN"/>
        </w:rPr>
        <w:t>0779-7204121</w:t>
      </w:r>
      <w:r>
        <w:rPr>
          <w:rFonts w:hint="eastAsia" w:ascii="宋体" w:hAnsi="宋体" w:eastAsia="宋体" w:cs="宋体"/>
          <w:color w:val="auto"/>
          <w:sz w:val="21"/>
          <w:szCs w:val="21"/>
          <w:highlight w:val="none"/>
        </w:rPr>
        <w:t xml:space="preserve">  </w:t>
      </w:r>
    </w:p>
    <w:p>
      <w:pPr>
        <w:adjustRightInd w:val="0"/>
        <w:snapToGrid w:val="0"/>
        <w:spacing w:line="360" w:lineRule="auto"/>
        <w:jc w:val="left"/>
        <w:rPr>
          <w:rFonts w:hint="eastAsia" w:ascii="宋体" w:hAnsi="宋体" w:eastAsia="宋体" w:cs="宋体"/>
          <w:b/>
          <w:color w:val="auto"/>
          <w:kern w:val="0"/>
          <w:sz w:val="21"/>
          <w:szCs w:val="21"/>
          <w:highlight w:val="none"/>
        </w:rPr>
      </w:pPr>
      <w:bookmarkStart w:id="25" w:name="_Toc35393807"/>
      <w:bookmarkStart w:id="26" w:name="_Toc28359097"/>
      <w:bookmarkStart w:id="27" w:name="_Toc28359020"/>
      <w:bookmarkStart w:id="28" w:name="_Toc35393638"/>
      <w:r>
        <w:rPr>
          <w:rFonts w:hint="eastAsia" w:ascii="宋体" w:hAnsi="宋体" w:eastAsia="宋体" w:cs="宋体"/>
          <w:b/>
          <w:color w:val="auto"/>
          <w:kern w:val="0"/>
          <w:sz w:val="21"/>
          <w:szCs w:val="21"/>
          <w:highlight w:val="none"/>
        </w:rPr>
        <w:t>2.采购代理机构信息</w:t>
      </w:r>
      <w:bookmarkEnd w:id="25"/>
      <w:bookmarkEnd w:id="26"/>
      <w:bookmarkEnd w:id="27"/>
      <w:bookmarkEnd w:id="28"/>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lang w:eastAsia="zh-CN"/>
        </w:rPr>
        <w:t>广西延信工程项目管理有限公司</w:t>
      </w:r>
      <w:r>
        <w:rPr>
          <w:rFonts w:hint="eastAsia" w:ascii="宋体" w:hAnsi="宋体" w:eastAsia="宋体" w:cs="宋体"/>
          <w:color w:val="auto"/>
          <w:sz w:val="21"/>
          <w:szCs w:val="21"/>
          <w:highlight w:val="none"/>
        </w:rPr>
        <w:t xml:space="preserve"> </w:t>
      </w:r>
    </w:p>
    <w:p>
      <w:pPr>
        <w:adjustRightIn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地    址：</w:t>
      </w:r>
      <w:r>
        <w:rPr>
          <w:rFonts w:hint="eastAsia" w:ascii="宋体" w:hAnsi="宋体" w:eastAsia="宋体" w:cs="宋体"/>
          <w:color w:val="auto"/>
          <w:highlight w:val="none"/>
        </w:rPr>
        <w:t>广西北海市合浦县廉州大道143号</w:t>
      </w:r>
    </w:p>
    <w:p>
      <w:pPr>
        <w:adjustRightIn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    项目联系人：</w:t>
      </w:r>
      <w:r>
        <w:rPr>
          <w:rFonts w:hint="eastAsia" w:ascii="宋体" w:hAnsi="宋体" w:eastAsia="宋体" w:cs="宋体"/>
          <w:color w:val="auto"/>
          <w:sz w:val="21"/>
          <w:szCs w:val="21"/>
          <w:highlight w:val="none"/>
          <w:lang w:eastAsia="zh-CN"/>
        </w:rPr>
        <w:t>庞工</w:t>
      </w:r>
    </w:p>
    <w:p>
      <w:pPr>
        <w:adjustRightIn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项目联系方式：</w:t>
      </w:r>
      <w:r>
        <w:rPr>
          <w:rFonts w:hint="eastAsia" w:ascii="宋体" w:hAnsi="宋体" w:eastAsia="宋体" w:cs="宋体"/>
          <w:color w:val="auto"/>
          <w:sz w:val="21"/>
          <w:szCs w:val="21"/>
          <w:highlight w:val="none"/>
          <w:lang w:val="en-US" w:eastAsia="zh-CN"/>
        </w:rPr>
        <w:t>0779-</w:t>
      </w:r>
      <w:r>
        <w:rPr>
          <w:rFonts w:hint="eastAsia" w:ascii="宋体" w:hAnsi="宋体" w:cs="宋体"/>
          <w:color w:val="auto"/>
          <w:sz w:val="21"/>
          <w:szCs w:val="21"/>
          <w:highlight w:val="none"/>
          <w:lang w:val="en-US" w:eastAsia="zh-CN"/>
        </w:rPr>
        <w:t>7192919</w:t>
      </w:r>
      <w:r>
        <w:rPr>
          <w:rFonts w:hint="eastAsia" w:ascii="宋体" w:hAnsi="宋体" w:eastAsia="宋体" w:cs="宋体"/>
          <w:color w:val="auto"/>
          <w:sz w:val="21"/>
          <w:szCs w:val="21"/>
          <w:highlight w:val="none"/>
        </w:rPr>
        <w:t xml:space="preserve"> </w:t>
      </w:r>
    </w:p>
    <w:p>
      <w:pPr>
        <w:tabs>
          <w:tab w:val="left" w:pos="9639"/>
          <w:tab w:val="left" w:pos="9746"/>
        </w:tabs>
        <w:adjustRightInd w:val="0"/>
        <w:snapToGrid w:val="0"/>
        <w:ind w:firstLine="6377" w:firstLineChars="3037"/>
        <w:rPr>
          <w:rFonts w:hint="eastAsia" w:ascii="宋体" w:hAnsi="宋体" w:eastAsia="宋体" w:cs="宋体"/>
          <w:color w:val="auto"/>
          <w:kern w:val="0"/>
          <w:sz w:val="21"/>
          <w:szCs w:val="21"/>
          <w:highlight w:val="none"/>
        </w:rPr>
      </w:pPr>
    </w:p>
    <w:p>
      <w:pPr>
        <w:adjustRightInd w:val="0"/>
        <w:spacing w:line="360" w:lineRule="auto"/>
        <w:ind w:firstLine="420" w:firstLineChars="200"/>
        <w:rPr>
          <w:rFonts w:hint="eastAsia" w:ascii="宋体" w:hAnsi="宋体" w:eastAsia="宋体" w:cs="宋体"/>
          <w:b/>
          <w:color w:val="auto"/>
          <w:sz w:val="32"/>
          <w:szCs w:val="32"/>
          <w:highlight w:val="none"/>
        </w:rPr>
      </w:pPr>
      <w:r>
        <w:rPr>
          <w:rFonts w:hint="eastAsia" w:ascii="宋体" w:hAnsi="宋体" w:eastAsia="宋体" w:cs="宋体"/>
          <w:color w:val="auto"/>
          <w:sz w:val="21"/>
          <w:szCs w:val="21"/>
          <w:highlight w:val="none"/>
        </w:rPr>
        <w:t>若对项目采购电子交易系统操作有疑问，可登录广西政府采购云平台（https</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//www.zcygov.cn/），点击右侧咨询小采，获取采小蜜智能服务管家帮助，或拨打广西政府采购云平台服务热线95763获取热线服务帮助。</w:t>
      </w:r>
      <w:r>
        <w:rPr>
          <w:rFonts w:hint="eastAsia" w:ascii="宋体" w:hAnsi="宋体" w:eastAsia="宋体" w:cs="宋体"/>
          <w:color w:val="auto"/>
          <w:kern w:val="0"/>
          <w:szCs w:val="21"/>
          <w:highlight w:val="none"/>
        </w:rPr>
        <w:br w:type="page"/>
      </w: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600" w:lineRule="exact"/>
        <w:jc w:val="center"/>
        <w:outlineLvl w:val="0"/>
        <w:rPr>
          <w:rFonts w:hint="eastAsia" w:ascii="宋体" w:hAnsi="宋体" w:eastAsia="宋体" w:cs="宋体"/>
          <w:b/>
          <w:color w:val="auto"/>
          <w:sz w:val="44"/>
          <w:szCs w:val="44"/>
          <w:highlight w:val="none"/>
        </w:rPr>
      </w:pPr>
      <w:bookmarkStart w:id="29" w:name="_Toc176861407"/>
      <w:bookmarkStart w:id="30" w:name="_Toc3943"/>
      <w:bookmarkStart w:id="31" w:name="_Toc3994504"/>
      <w:r>
        <w:rPr>
          <w:rFonts w:hint="eastAsia" w:ascii="宋体" w:hAnsi="宋体" w:eastAsia="宋体" w:cs="宋体"/>
          <w:b/>
          <w:color w:val="auto"/>
          <w:sz w:val="44"/>
          <w:szCs w:val="44"/>
          <w:highlight w:val="none"/>
        </w:rPr>
        <w:t>第二章  磋商供应商须知</w:t>
      </w:r>
      <w:bookmarkEnd w:id="29"/>
      <w:bookmarkEnd w:id="30"/>
      <w:bookmarkEnd w:id="31"/>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p>
    <w:p>
      <w:pPr>
        <w:spacing w:line="400" w:lineRule="exact"/>
        <w:rPr>
          <w:rFonts w:hint="eastAsia" w:ascii="宋体" w:hAnsi="宋体" w:eastAsia="宋体" w:cs="宋体"/>
          <w:b/>
          <w:color w:val="auto"/>
          <w:sz w:val="32"/>
          <w:szCs w:val="32"/>
          <w:highlight w:val="none"/>
        </w:rPr>
      </w:pPr>
    </w:p>
    <w:p>
      <w:pPr>
        <w:spacing w:line="400" w:lineRule="exact"/>
        <w:rPr>
          <w:rFonts w:hint="eastAsia" w:ascii="宋体" w:hAnsi="宋体" w:eastAsia="宋体" w:cs="宋体"/>
          <w:b/>
          <w:color w:val="auto"/>
          <w:sz w:val="32"/>
          <w:szCs w:val="32"/>
          <w:highlight w:val="none"/>
        </w:rPr>
      </w:pPr>
    </w:p>
    <w:p>
      <w:pPr>
        <w:spacing w:line="400" w:lineRule="exact"/>
        <w:rPr>
          <w:rFonts w:hint="eastAsia" w:ascii="宋体" w:hAnsi="宋体" w:eastAsia="宋体" w:cs="宋体"/>
          <w:b/>
          <w:color w:val="auto"/>
          <w:sz w:val="32"/>
          <w:szCs w:val="32"/>
          <w:highlight w:val="none"/>
        </w:rPr>
      </w:pPr>
    </w:p>
    <w:p>
      <w:pPr>
        <w:spacing w:line="400" w:lineRule="exact"/>
        <w:rPr>
          <w:rFonts w:hint="eastAsia" w:ascii="宋体" w:hAnsi="宋体" w:eastAsia="宋体" w:cs="宋体"/>
          <w:b/>
          <w:color w:val="auto"/>
          <w:sz w:val="32"/>
          <w:szCs w:val="32"/>
          <w:highlight w:val="none"/>
        </w:rPr>
      </w:pPr>
    </w:p>
    <w:p>
      <w:pPr>
        <w:spacing w:line="400" w:lineRule="exact"/>
        <w:rPr>
          <w:rFonts w:hint="eastAsia" w:ascii="宋体" w:hAnsi="宋体" w:eastAsia="宋体" w:cs="宋体"/>
          <w:b/>
          <w:color w:val="auto"/>
          <w:sz w:val="32"/>
          <w:szCs w:val="32"/>
          <w:highlight w:val="none"/>
        </w:rPr>
      </w:pPr>
    </w:p>
    <w:p>
      <w:pPr>
        <w:pStyle w:val="5"/>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5"/>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5"/>
        <w:rPr>
          <w:rFonts w:hint="eastAsia" w:ascii="宋体" w:hAnsi="宋体" w:eastAsia="宋体" w:cs="宋体"/>
          <w:color w:val="auto"/>
          <w:highlight w:val="none"/>
        </w:rPr>
      </w:pPr>
    </w:p>
    <w:p>
      <w:pPr>
        <w:spacing w:line="400" w:lineRule="exact"/>
        <w:rPr>
          <w:rFonts w:hint="eastAsia" w:ascii="宋体" w:hAnsi="宋体" w:eastAsia="宋体" w:cs="宋体"/>
          <w:b/>
          <w:color w:val="auto"/>
          <w:sz w:val="32"/>
          <w:szCs w:val="32"/>
          <w:highlight w:val="none"/>
        </w:rPr>
      </w:pPr>
    </w:p>
    <w:p>
      <w:pPr>
        <w:spacing w:line="4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磋商供应商须知前附表</w:t>
      </w:r>
    </w:p>
    <w:tbl>
      <w:tblPr>
        <w:tblStyle w:val="39"/>
        <w:tblW w:w="10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793"/>
        <w:gridCol w:w="8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637"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793"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p>
        </w:tc>
        <w:tc>
          <w:tcPr>
            <w:tcW w:w="8272"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8" w:hRule="atLeast"/>
          <w:jc w:val="center"/>
        </w:trPr>
        <w:tc>
          <w:tcPr>
            <w:tcW w:w="637"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793"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项目名称及编号</w:t>
            </w:r>
          </w:p>
        </w:tc>
        <w:tc>
          <w:tcPr>
            <w:tcW w:w="8272" w:type="dxa"/>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工程名称：</w:t>
            </w:r>
            <w:r>
              <w:rPr>
                <w:rFonts w:hint="eastAsia" w:ascii="宋体" w:hAnsi="宋体" w:cs="宋体"/>
                <w:color w:val="auto"/>
                <w:spacing w:val="2"/>
                <w:sz w:val="21"/>
                <w:szCs w:val="21"/>
                <w:highlight w:val="none"/>
                <w:lang w:eastAsia="zh-CN"/>
              </w:rPr>
              <w:t>2026年合浦县西场镇五浪江村李国松地磅至东茶村路口道路硬化工程</w:t>
            </w:r>
            <w:r>
              <w:rPr>
                <w:rFonts w:hint="eastAsia" w:ascii="宋体" w:hAnsi="宋体" w:eastAsia="宋体" w:cs="宋体"/>
                <w:color w:val="auto"/>
                <w:sz w:val="21"/>
                <w:szCs w:val="21"/>
                <w:highlight w:val="none"/>
              </w:rPr>
              <w:t xml:space="preserve"> </w:t>
            </w:r>
          </w:p>
          <w:p>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项目编号：</w:t>
            </w:r>
            <w:r>
              <w:rPr>
                <w:rFonts w:hint="eastAsia" w:ascii="宋体" w:hAnsi="宋体" w:cs="宋体"/>
                <w:color w:val="auto"/>
                <w:sz w:val="21"/>
                <w:szCs w:val="21"/>
                <w:highlight w:val="none"/>
                <w:lang w:eastAsia="zh-CN"/>
              </w:rPr>
              <w:t>BHZC2026-C2-210153-YXGC</w:t>
            </w:r>
          </w:p>
          <w:p>
            <w:pPr>
              <w:keepNext w:val="0"/>
              <w:keepLines w:val="0"/>
              <w:pageBreakBefore w:val="0"/>
              <w:kinsoku/>
              <w:wordWrap/>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建设地点：</w:t>
            </w:r>
            <w:r>
              <w:rPr>
                <w:rFonts w:hint="eastAsia" w:ascii="宋体" w:hAnsi="宋体" w:eastAsia="宋体" w:cs="宋体"/>
                <w:color w:val="auto"/>
                <w:spacing w:val="2"/>
                <w:sz w:val="21"/>
                <w:szCs w:val="21"/>
                <w:highlight w:val="none"/>
                <w:lang w:eastAsia="zh-CN"/>
              </w:rPr>
              <w:t>采购人指定地点</w:t>
            </w:r>
          </w:p>
          <w:p>
            <w:pPr>
              <w:keepNext w:val="0"/>
              <w:keepLines w:val="0"/>
              <w:pageBreakBefore w:val="0"/>
              <w:kinsoku/>
              <w:wordWrap/>
              <w:topLinePunct w:val="0"/>
              <w:bidi w:val="0"/>
              <w:spacing w:line="360" w:lineRule="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发包方式：包工包料</w:t>
            </w:r>
          </w:p>
          <w:p>
            <w:pPr>
              <w:keepNext w:val="0"/>
              <w:keepLines w:val="0"/>
              <w:pageBreakBefore w:val="0"/>
              <w:kinsoku/>
              <w:wordWrap/>
              <w:topLinePunct w:val="0"/>
              <w:bidi w:val="0"/>
              <w:spacing w:line="360" w:lineRule="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工程质量要求：达到国家工程施工验收规范合格标准</w:t>
            </w:r>
          </w:p>
          <w:p>
            <w:pPr>
              <w:keepNext w:val="0"/>
              <w:keepLines w:val="0"/>
              <w:pageBreakBefore w:val="0"/>
              <w:kinsoku/>
              <w:wordWrap/>
              <w:topLinePunct w:val="0"/>
              <w:bidi w:val="0"/>
              <w:spacing w:line="360" w:lineRule="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要求工期：自合同签定之日起90天内完成</w:t>
            </w:r>
          </w:p>
          <w:p>
            <w:pPr>
              <w:pStyle w:val="7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采购范围：</w:t>
            </w:r>
            <w:r>
              <w:rPr>
                <w:rFonts w:hint="eastAsia" w:ascii="宋体" w:hAnsi="宋体" w:eastAsia="宋体" w:cs="宋体"/>
                <w:color w:val="auto"/>
                <w:spacing w:val="2"/>
                <w:sz w:val="21"/>
                <w:szCs w:val="21"/>
                <w:highlight w:val="none"/>
                <w:lang w:eastAsia="zh-CN"/>
              </w:rPr>
              <w:t>详见</w:t>
            </w:r>
            <w:r>
              <w:rPr>
                <w:rFonts w:hint="eastAsia" w:ascii="宋体" w:hAnsi="宋体" w:eastAsia="宋体" w:cs="宋体"/>
                <w:color w:val="auto"/>
                <w:spacing w:val="2"/>
                <w:sz w:val="21"/>
                <w:szCs w:val="21"/>
                <w:highlight w:val="none"/>
              </w:rPr>
              <w:t>工程量清单及图纸</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37"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793"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资金来源</w:t>
            </w:r>
          </w:p>
        </w:tc>
        <w:tc>
          <w:tcPr>
            <w:tcW w:w="8272" w:type="dxa"/>
            <w:vAlign w:val="center"/>
          </w:tcPr>
          <w:p>
            <w:pPr>
              <w:spacing w:line="360" w:lineRule="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本工程的资金来源为</w:t>
            </w:r>
            <w:r>
              <w:rPr>
                <w:rFonts w:hint="eastAsia" w:ascii="宋体" w:hAnsi="宋体" w:eastAsia="宋体" w:cs="宋体"/>
                <w:color w:val="auto"/>
                <w:spacing w:val="2"/>
                <w:sz w:val="21"/>
                <w:szCs w:val="21"/>
                <w:highlight w:val="none"/>
                <w:u w:val="single"/>
                <w:lang w:eastAsia="zh-CN"/>
              </w:rPr>
              <w:t>财政资金</w:t>
            </w:r>
            <w:r>
              <w:rPr>
                <w:rFonts w:hint="eastAsia" w:ascii="宋体" w:hAnsi="宋体" w:eastAsia="宋体" w:cs="宋体"/>
                <w:color w:val="auto"/>
                <w:spacing w:val="2"/>
                <w:sz w:val="21"/>
                <w:szCs w:val="21"/>
                <w:highlight w:val="none"/>
              </w:rPr>
              <w:t>，资金已落实，并将资金用于本工程合同项下的合格支付。</w:t>
            </w:r>
          </w:p>
          <w:p>
            <w:pPr>
              <w:pStyle w:val="70"/>
              <w:spacing w:line="360" w:lineRule="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本项目采购预算控制价（包含建安劳保费）</w:t>
            </w:r>
            <w:r>
              <w:rPr>
                <w:rFonts w:hint="eastAsia" w:ascii="宋体" w:hAnsi="宋体" w:eastAsia="宋体" w:cs="宋体"/>
                <w:color w:val="auto"/>
                <w:spacing w:val="2"/>
                <w:sz w:val="21"/>
                <w:szCs w:val="21"/>
                <w:highlight w:val="none"/>
                <w:lang w:eastAsia="zh-CN"/>
              </w:rPr>
              <w:t>：</w:t>
            </w:r>
            <w:r>
              <w:rPr>
                <w:rFonts w:hint="eastAsia" w:hAnsi="宋体" w:cs="宋体"/>
                <w:color w:val="auto"/>
                <w:spacing w:val="2"/>
                <w:sz w:val="21"/>
                <w:szCs w:val="21"/>
                <w:highlight w:val="none"/>
                <w:lang w:eastAsia="zh-CN"/>
              </w:rPr>
              <w:t>638928.39</w:t>
            </w:r>
            <w:r>
              <w:rPr>
                <w:rFonts w:hint="eastAsia" w:ascii="宋体" w:hAnsi="宋体" w:eastAsia="宋体" w:cs="宋体"/>
                <w:color w:val="auto"/>
                <w:spacing w:val="2"/>
                <w:sz w:val="21"/>
                <w:szCs w:val="21"/>
                <w:highlight w:val="none"/>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jc w:val="center"/>
        </w:trPr>
        <w:tc>
          <w:tcPr>
            <w:tcW w:w="637" w:type="dxa"/>
            <w:vAlign w:val="center"/>
          </w:tcPr>
          <w:p>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793" w:type="dxa"/>
            <w:vAlign w:val="center"/>
          </w:tcPr>
          <w:p>
            <w:pPr>
              <w:pStyle w:val="95"/>
              <w:ind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采购标的及其对应的中小企业划分标准所属行业</w:t>
            </w:r>
          </w:p>
        </w:tc>
        <w:tc>
          <w:tcPr>
            <w:tcW w:w="8272" w:type="dxa"/>
            <w:vAlign w:val="center"/>
          </w:tcPr>
          <w:p>
            <w:pPr>
              <w:pStyle w:val="95"/>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w:t>
            </w:r>
            <w:r>
              <w:rPr>
                <w:rFonts w:hint="eastAsia" w:cs="宋体"/>
                <w:color w:val="auto"/>
                <w:spacing w:val="2"/>
                <w:sz w:val="21"/>
                <w:szCs w:val="21"/>
                <w:highlight w:val="none"/>
                <w:u w:val="single"/>
                <w:lang w:eastAsia="zh-CN"/>
              </w:rPr>
              <w:t>2026年合浦县西场镇五浪江村李国松地磅至东茶村路口道路硬化工程</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 xml:space="preserve"> 建筑业 </w:t>
            </w:r>
            <w:r>
              <w:rPr>
                <w:rFonts w:hint="eastAsia" w:ascii="宋体" w:hAnsi="宋体" w:eastAsia="宋体" w:cs="宋体"/>
                <w:color w:val="auto"/>
                <w:sz w:val="21"/>
                <w:szCs w:val="21"/>
                <w:highlight w:val="none"/>
              </w:rPr>
              <w:t>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9" w:hRule="atLeast"/>
          <w:jc w:val="center"/>
        </w:trPr>
        <w:tc>
          <w:tcPr>
            <w:tcW w:w="637"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793"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磋商供应商资格</w:t>
            </w:r>
          </w:p>
        </w:tc>
        <w:tc>
          <w:tcPr>
            <w:tcW w:w="8272" w:type="dxa"/>
            <w:vAlign w:val="center"/>
          </w:tcPr>
          <w:p>
            <w:pPr>
              <w:widowControl/>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磋商供应商资格要求：</w:t>
            </w:r>
          </w:p>
          <w:p>
            <w:pPr>
              <w:adjustRightIn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满足《中华人民共和国政府采购法》第二十二条规定；未被“信用中国”（www.creditchina.gov.cn)、中国政府采购网（www.ccgp.gov.cn）列入失信被执行人、重大税收违法案件当事人名单、政府采购严重违法失信行为记录名单；</w:t>
            </w:r>
          </w:p>
          <w:p>
            <w:pPr>
              <w:adjustRightIn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.落实政府采购政策需满足的资格要求：</w:t>
            </w:r>
          </w:p>
          <w:p>
            <w:pPr>
              <w:adjustRightIn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专门面向中小企业</w:t>
            </w:r>
          </w:p>
          <w:p>
            <w:pPr>
              <w:adjustRightIn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服务全部由符合政策要求的中小企业承接，提供中小企业声明函；</w:t>
            </w:r>
          </w:p>
          <w:p>
            <w:pPr>
              <w:adjustRightIn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.本项目的特定资格要求：</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（1）磋商供应商须具备</w:t>
            </w:r>
            <w:r>
              <w:rPr>
                <w:rFonts w:hint="eastAsia" w:ascii="宋体" w:hAnsi="宋体" w:eastAsia="宋体" w:cs="宋体"/>
                <w:color w:val="auto"/>
                <w:sz w:val="21"/>
                <w:szCs w:val="21"/>
                <w:highlight w:val="none"/>
                <w:lang w:eastAsia="zh-CN"/>
              </w:rPr>
              <w:t>市政公用</w:t>
            </w:r>
            <w:r>
              <w:rPr>
                <w:rFonts w:hint="eastAsia" w:ascii="宋体" w:hAnsi="宋体" w:eastAsia="宋体" w:cs="宋体"/>
                <w:color w:val="auto"/>
                <w:sz w:val="21"/>
                <w:szCs w:val="21"/>
                <w:highlight w:val="none"/>
              </w:rPr>
              <w:t>工程施工总承包三级（含）以上资质，</w:t>
            </w:r>
            <w:r>
              <w:rPr>
                <w:rFonts w:hint="eastAsia" w:ascii="宋体" w:hAnsi="宋体" w:eastAsia="宋体" w:cs="宋体"/>
                <w:color w:val="auto"/>
                <w:sz w:val="21"/>
                <w:szCs w:val="21"/>
                <w:highlight w:val="none"/>
                <w:lang w:eastAsia="zh-CN"/>
              </w:rPr>
              <w:t>并具备</w:t>
            </w:r>
            <w:r>
              <w:rPr>
                <w:rFonts w:hint="eastAsia" w:ascii="宋体" w:hAnsi="宋体" w:eastAsia="宋体" w:cs="宋体"/>
                <w:color w:val="auto"/>
                <w:sz w:val="21"/>
                <w:szCs w:val="21"/>
                <w:highlight w:val="none"/>
              </w:rPr>
              <w:t>有效的安全生产许可证。</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（2）供应商拟派的项目经理须具备</w:t>
            </w:r>
            <w:r>
              <w:rPr>
                <w:rFonts w:hint="eastAsia" w:ascii="宋体" w:hAnsi="宋体" w:eastAsia="宋体" w:cs="宋体"/>
                <w:color w:val="auto"/>
                <w:sz w:val="21"/>
                <w:szCs w:val="21"/>
                <w:highlight w:val="none"/>
                <w:lang w:eastAsia="zh-CN"/>
              </w:rPr>
              <w:t>市政公用</w:t>
            </w:r>
            <w:r>
              <w:rPr>
                <w:rFonts w:hint="eastAsia" w:ascii="宋体" w:hAnsi="宋体" w:eastAsia="宋体" w:cs="宋体"/>
                <w:color w:val="auto"/>
                <w:sz w:val="21"/>
                <w:szCs w:val="21"/>
                <w:highlight w:val="none"/>
              </w:rPr>
              <w:t>工程专业贰级（含）以上注册建造师执业资格及有效的安全生产考核合格证书（B类）。</w:t>
            </w:r>
          </w:p>
          <w:p>
            <w:pPr>
              <w:adjustRightIn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 w:val="21"/>
                <w:szCs w:val="21"/>
                <w:highlight w:val="none"/>
              </w:rPr>
              <w:t>（3）安全员要求：本工程至少投入1名安全员且具备有效的安全生产考核合格证（C证）。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37"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793"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磋商保证金</w:t>
            </w:r>
          </w:p>
        </w:tc>
        <w:tc>
          <w:tcPr>
            <w:tcW w:w="8272" w:type="dxa"/>
            <w:tcBorders>
              <w:top w:val="single" w:color="auto" w:sz="4" w:space="0"/>
              <w:left w:val="single" w:color="auto" w:sz="4" w:space="0"/>
              <w:bottom w:val="single" w:color="auto" w:sz="4" w:space="0"/>
              <w:right w:val="single" w:color="auto" w:sz="4" w:space="0"/>
            </w:tcBorders>
            <w:vAlign w:val="center"/>
          </w:tcPr>
          <w:p>
            <w:pPr>
              <w:pStyle w:val="25"/>
              <w:keepNext w:val="0"/>
              <w:keepLines w:val="0"/>
              <w:pageBreakBefore w:val="0"/>
              <w:widowControl w:val="0"/>
              <w:kinsoku/>
              <w:wordWrap/>
              <w:overflowPunct/>
              <w:topLinePunct w:val="0"/>
              <w:autoSpaceDE/>
              <w:autoSpaceDN/>
              <w:bidi w:val="0"/>
              <w:adjustRightInd w:val="0"/>
              <w:snapToGrid w:val="0"/>
              <w:spacing w:before="20" w:line="360"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磋商保证金（人民币）：</w:t>
            </w:r>
            <w:r>
              <w:rPr>
                <w:rFonts w:hint="eastAsia" w:hAnsi="宋体" w:cs="宋体"/>
                <w:color w:val="auto"/>
                <w:highlight w:val="none"/>
                <w:lang w:val="en-US" w:eastAsia="zh-CN"/>
              </w:rPr>
              <w:t>6000.00元</w:t>
            </w:r>
          </w:p>
          <w:p>
            <w:pPr>
              <w:keepNext w:val="0"/>
              <w:keepLines w:val="0"/>
              <w:pageBreakBefore w:val="0"/>
              <w:widowControl w:val="0"/>
              <w:kinsoku/>
              <w:wordWrap/>
              <w:overflowPunct/>
              <w:topLinePunct w:val="0"/>
              <w:autoSpaceDE/>
              <w:autoSpaceDN/>
              <w:bidi w:val="0"/>
              <w:snapToGrid w:val="0"/>
              <w:spacing w:before="20"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银行转账、电汇或网上支付、银行保函。禁止采用现钞交纳方式。【备注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严禁要求投标人只能以现金方式提交保证金的行为。采用银行保函方式的，必须为无条件保函，保函有效期不得低于投标有效期。】</w:t>
            </w:r>
          </w:p>
          <w:p>
            <w:pPr>
              <w:keepNext w:val="0"/>
              <w:keepLines w:val="0"/>
              <w:pageBreakBefore w:val="0"/>
              <w:widowControl w:val="0"/>
              <w:kinsoku/>
              <w:wordWrap/>
              <w:overflowPunct/>
              <w:topLinePunct w:val="0"/>
              <w:autoSpaceDE/>
              <w:autoSpaceDN/>
              <w:bidi w:val="0"/>
              <w:snapToGrid w:val="0"/>
              <w:spacing w:before="20"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投标保证金不足额缴纳的，或银行保函额度不足的，其投标无效。</w:t>
            </w:r>
          </w:p>
          <w:p>
            <w:pPr>
              <w:keepNext w:val="0"/>
              <w:keepLines w:val="0"/>
              <w:pageBreakBefore w:val="0"/>
              <w:widowControl w:val="0"/>
              <w:kinsoku/>
              <w:wordWrap/>
              <w:overflowPunct/>
              <w:topLinePunct w:val="0"/>
              <w:autoSpaceDE/>
              <w:autoSpaceDN/>
              <w:bidi w:val="0"/>
              <w:adjustRightInd w:val="0"/>
              <w:snapToGrid w:val="0"/>
              <w:spacing w:before="20"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开户名称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广西延信工程项目管理有限公司</w:t>
            </w:r>
          </w:p>
          <w:p>
            <w:pPr>
              <w:keepNext w:val="0"/>
              <w:keepLines w:val="0"/>
              <w:pageBreakBefore w:val="0"/>
              <w:widowControl w:val="0"/>
              <w:kinsoku/>
              <w:wordWrap/>
              <w:overflowPunct/>
              <w:topLinePunct w:val="0"/>
              <w:autoSpaceDE/>
              <w:autoSpaceDN/>
              <w:bidi w:val="0"/>
              <w:snapToGrid w:val="0"/>
              <w:spacing w:before="20"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开户银行</w:t>
            </w:r>
            <w:r>
              <w:rPr>
                <w:rFonts w:hint="eastAsia" w:ascii="宋体" w:hAnsi="宋体" w:eastAsia="宋体" w:cs="宋体"/>
                <w:color w:val="auto"/>
                <w:highlight w:val="none"/>
                <w:lang w:eastAsia="zh-CN"/>
              </w:rPr>
              <w:t>：中国建设银行股份有限公司北海银海支行</w:t>
            </w:r>
          </w:p>
          <w:p>
            <w:pPr>
              <w:keepNext w:val="0"/>
              <w:keepLines w:val="0"/>
              <w:pageBreakBefore w:val="0"/>
              <w:widowControl w:val="0"/>
              <w:kinsoku/>
              <w:wordWrap/>
              <w:overflowPunct/>
              <w:topLinePunct w:val="0"/>
              <w:autoSpaceDE/>
              <w:autoSpaceDN/>
              <w:bidi w:val="0"/>
              <w:snapToGrid w:val="0"/>
              <w:spacing w:before="20"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银行账号</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45050165004209999999</w:t>
            </w:r>
          </w:p>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kern w:val="2"/>
                <w:sz w:val="21"/>
                <w:szCs w:val="24"/>
                <w:highlight w:val="none"/>
                <w:lang w:val="en-US" w:eastAsia="zh-CN" w:bidi="ar-SA"/>
              </w:rPr>
              <w:t>注：自成交通知书发出之日起，在采购文件限定要求的签订合同时间内未完成合同签订的，磋商保证金不予退回。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637"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793"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分包</w:t>
            </w:r>
          </w:p>
        </w:tc>
        <w:tc>
          <w:tcPr>
            <w:tcW w:w="827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A同意将非主体、非关键性的工作分包。</w:t>
            </w:r>
          </w:p>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B不同意分包。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637"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793"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报价要求</w:t>
            </w:r>
          </w:p>
        </w:tc>
        <w:tc>
          <w:tcPr>
            <w:tcW w:w="8272" w:type="dxa"/>
            <w:vAlign w:val="center"/>
          </w:tcPr>
          <w:p>
            <w:pPr>
              <w:widowControl/>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供应商应就《采购需求》中所有的服务内容作完整唯一报价。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jc w:val="center"/>
        </w:trPr>
        <w:tc>
          <w:tcPr>
            <w:tcW w:w="637"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793"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磋商前准备</w:t>
            </w:r>
          </w:p>
        </w:tc>
        <w:tc>
          <w:tcPr>
            <w:tcW w:w="8272" w:type="dxa"/>
            <w:vAlign w:val="center"/>
          </w:tcPr>
          <w:p>
            <w:pPr>
              <w:widowControl/>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1.本项目实行网上磋商，采用电子磋商响应文件。若供应商参与磋商，自行承担磋商一切费用。</w:t>
            </w:r>
          </w:p>
          <w:p>
            <w:pPr>
              <w:widowControl/>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2.各供应商应在截标前应确保成为“广西政府采购云平台”正式注册入库供应商，并完成CA数字证书申领。因未注册入库、未办理CA数字证书等原因造成无法磋商或磋商失败等后果由供应商自行承担。</w:t>
            </w:r>
          </w:p>
          <w:p>
            <w:pPr>
              <w:widowControl/>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3.供应商将广西政府采购云平台电子交易客户端下载、安装完成后，可通过账号密码或CA登录客户端进行磋商响应文件制作。新版客户端下载路径：广西政府采购网（http</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zfcg.gxzf.gov.cn/）—办事服务—下载专区—广西政府采购云平台新版客户端。原在广西政府采购云平台注册的临时供应商需在新平台启用后重新注册登记。如有问题可拨打广西政府采购云平台客户服务热线95763进行咨询。</w:t>
            </w:r>
          </w:p>
          <w:p>
            <w:pPr>
              <w:widowControl/>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4.通过“广西政府采购云平台”上传递交的“电子加密磋商响应文件”无法按时解密，视为磋商响应文件撤回，磋商无效。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3" w:hRule="atLeast"/>
          <w:jc w:val="center"/>
        </w:trPr>
        <w:tc>
          <w:tcPr>
            <w:tcW w:w="637"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793"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响应文件递交截止时间</w:t>
            </w:r>
          </w:p>
        </w:tc>
        <w:tc>
          <w:tcPr>
            <w:tcW w:w="8272" w:type="dxa"/>
            <w:vAlign w:val="center"/>
          </w:tcPr>
          <w:p>
            <w:pPr>
              <w:widowControl/>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响应文件递交截止时间： </w:t>
            </w:r>
            <w:r>
              <w:rPr>
                <w:rFonts w:hint="eastAsia" w:ascii="宋体" w:hAnsi="宋体" w:cs="宋体"/>
                <w:color w:val="auto"/>
                <w:sz w:val="21"/>
                <w:szCs w:val="21"/>
                <w:highlight w:val="none"/>
                <w:u w:val="single"/>
                <w:lang w:eastAsia="zh-CN"/>
              </w:rPr>
              <w:t>2026年9月8日09点整</w:t>
            </w:r>
            <w:r>
              <w:rPr>
                <w:rFonts w:hint="eastAsia" w:ascii="宋体" w:hAnsi="宋体" w:eastAsia="宋体" w:cs="宋体"/>
                <w:color w:val="auto"/>
                <w:kern w:val="0"/>
                <w:sz w:val="21"/>
                <w:szCs w:val="21"/>
                <w:highlight w:val="none"/>
              </w:rPr>
              <w:t>之前将电子磋商响应文件上传到广西政府采购云平台。应按照本项目磋商文件和广西政府采购云平台的要求编制、加密传输磋商响应文件。供应商在使用系统进行评审的过程中遇到涉及平台使用的任何问题，可致电广西政府采购云平台技术支持热线咨询，联系方式：95763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jc w:val="center"/>
        </w:trPr>
        <w:tc>
          <w:tcPr>
            <w:tcW w:w="637"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793" w:type="dxa"/>
            <w:vAlign w:val="center"/>
          </w:tcPr>
          <w:p>
            <w:pPr>
              <w:pStyle w:val="2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有效期</w:t>
            </w:r>
          </w:p>
        </w:tc>
        <w:tc>
          <w:tcPr>
            <w:tcW w:w="8272" w:type="dxa"/>
            <w:vAlign w:val="center"/>
          </w:tcPr>
          <w:p>
            <w:pPr>
              <w:widowControl/>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响应文件有效期：响应文件递交截止日期后六十日。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637"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793" w:type="dxa"/>
            <w:vAlign w:val="center"/>
          </w:tcPr>
          <w:p>
            <w:pPr>
              <w:overflowPunct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磋商响应文件解密时间</w:t>
            </w:r>
          </w:p>
        </w:tc>
        <w:tc>
          <w:tcPr>
            <w:tcW w:w="8272" w:type="dxa"/>
            <w:vAlign w:val="center"/>
          </w:tcPr>
          <w:p>
            <w:pPr>
              <w:widowControl/>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截标时间后30分钟内磋商供应商可以登录广西政府采购云平台，用“项目采购-开标评标”功能进行解密磋商文件。若磋商供应商在规定时间内无法解密或解密失败，视为磋商响应文件撤回，磋商无效。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637"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793"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评审方法</w:t>
            </w:r>
          </w:p>
        </w:tc>
        <w:tc>
          <w:tcPr>
            <w:tcW w:w="8272" w:type="dxa"/>
            <w:vAlign w:val="center"/>
          </w:tcPr>
          <w:p>
            <w:pPr>
              <w:pStyle w:val="7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评审方法：综合评分法（详细见第六章）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637"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793" w:type="dxa"/>
            <w:vAlign w:val="center"/>
          </w:tcPr>
          <w:p>
            <w:pPr>
              <w:pStyle w:val="7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成交结果</w:t>
            </w:r>
          </w:p>
        </w:tc>
        <w:tc>
          <w:tcPr>
            <w:tcW w:w="8272"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成交通知书及成交公告：</w:t>
            </w:r>
            <w:r>
              <w:rPr>
                <w:rFonts w:hint="eastAsia" w:ascii="宋体" w:hAnsi="宋体" w:eastAsia="宋体" w:cs="宋体"/>
                <w:color w:val="auto"/>
                <w:sz w:val="21"/>
                <w:szCs w:val="21"/>
                <w:highlight w:val="none"/>
              </w:rPr>
              <w:t>采购代理机构在采购人依法确定成交人之日起2个工作日内发出成交通知书，并在中国政府采购网、广西政府采购网、北海市政府采购监管网、采购代理机构网站（如有）发布成交公告。</w:t>
            </w:r>
          </w:p>
          <w:p>
            <w:pPr>
              <w:autoSpaceDE w:val="0"/>
              <w:autoSpaceDN w:val="0"/>
              <w:snapToGrid w:val="0"/>
              <w:spacing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中小企业信用融资：</w:t>
            </w:r>
            <w:r>
              <w:rPr>
                <w:rFonts w:hint="eastAsia" w:ascii="宋体" w:hAnsi="宋体" w:eastAsia="宋体" w:cs="宋体"/>
                <w:color w:val="auto"/>
                <w:sz w:val="21"/>
                <w:szCs w:val="21"/>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pPr>
              <w:autoSpaceDE w:val="0"/>
              <w:autoSpaceDN w:val="0"/>
              <w:snapToGrid w:val="0"/>
              <w:spacing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供应商成交后也可在“广西政府采购云平台”申请政采贷：操作路径：登录广西政府采购云平台-金融服务中心-【融资服务】，可在热门申请中选择产品直接申请。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9" w:hRule="atLeast"/>
          <w:jc w:val="center"/>
        </w:trPr>
        <w:tc>
          <w:tcPr>
            <w:tcW w:w="637"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793" w:type="dxa"/>
            <w:vAlign w:val="center"/>
          </w:tcPr>
          <w:p>
            <w:pPr>
              <w:pStyle w:val="7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签订合同</w:t>
            </w:r>
          </w:p>
        </w:tc>
        <w:tc>
          <w:tcPr>
            <w:tcW w:w="8272"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自成交通知书发出之日起，原则上要求25日内签订（项目实施过程中出现质疑或投诉的情形除外）。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637"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793" w:type="dxa"/>
            <w:vAlign w:val="center"/>
          </w:tcPr>
          <w:p>
            <w:pPr>
              <w:pStyle w:val="7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电子签名</w:t>
            </w:r>
          </w:p>
        </w:tc>
        <w:tc>
          <w:tcPr>
            <w:tcW w:w="8272" w:type="dxa"/>
            <w:vAlign w:val="center"/>
          </w:tcPr>
          <w:p>
            <w:pPr>
              <w:pStyle w:val="25"/>
              <w:adjustRightInd w:val="0"/>
              <w:snapToGrid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磋商文件对响应文件签字、盖章的要求适用于电子签名。</w:t>
            </w:r>
          </w:p>
          <w:p>
            <w:pPr>
              <w:pStyle w:val="25"/>
              <w:adjustRightInd w:val="0"/>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637"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1793" w:type="dxa"/>
            <w:vAlign w:val="center"/>
          </w:tcPr>
          <w:p>
            <w:pPr>
              <w:pStyle w:val="7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质疑及投诉联系方式</w:t>
            </w:r>
          </w:p>
        </w:tc>
        <w:tc>
          <w:tcPr>
            <w:tcW w:w="8272" w:type="dxa"/>
            <w:vAlign w:val="center"/>
          </w:tcPr>
          <w:p>
            <w:pPr>
              <w:pStyle w:val="25"/>
              <w:keepNext w:val="0"/>
              <w:keepLines w:val="0"/>
              <w:pageBreakBefore w:val="0"/>
              <w:kinsoku/>
              <w:wordWrap/>
              <w:topLinePunct w:val="0"/>
              <w:bidi w:val="0"/>
              <w:adjustRightInd w:val="0"/>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质疑联系部门及电话为：广西延信工程项目管理有限公司   联系电话：</w:t>
            </w:r>
            <w:r>
              <w:rPr>
                <w:rFonts w:hint="eastAsia" w:ascii="宋体" w:hAnsi="宋体" w:eastAsia="宋体" w:cs="宋体"/>
                <w:bCs/>
                <w:color w:val="auto"/>
                <w:sz w:val="21"/>
                <w:szCs w:val="21"/>
                <w:highlight w:val="none"/>
                <w:lang w:val="en-US" w:eastAsia="zh-CN"/>
              </w:rPr>
              <w:t>0779-</w:t>
            </w:r>
            <w:r>
              <w:rPr>
                <w:rFonts w:hint="eastAsia" w:hAnsi="宋体" w:cs="宋体"/>
                <w:bCs/>
                <w:color w:val="auto"/>
                <w:sz w:val="21"/>
                <w:szCs w:val="21"/>
                <w:highlight w:val="none"/>
                <w:lang w:val="en-US" w:eastAsia="zh-CN"/>
              </w:rPr>
              <w:t>7192919</w:t>
            </w:r>
            <w:r>
              <w:rPr>
                <w:rFonts w:hint="eastAsia" w:ascii="宋体" w:hAnsi="宋体" w:eastAsia="宋体" w:cs="宋体"/>
                <w:bCs/>
                <w:color w:val="auto"/>
                <w:sz w:val="21"/>
                <w:szCs w:val="21"/>
                <w:highlight w:val="none"/>
              </w:rPr>
              <w:t xml:space="preserve">                </w:t>
            </w:r>
          </w:p>
          <w:p>
            <w:pPr>
              <w:pStyle w:val="25"/>
              <w:adjustRightInd w:val="0"/>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投诉联系部门及电话为：</w:t>
            </w:r>
            <w:r>
              <w:rPr>
                <w:rFonts w:hint="eastAsia" w:ascii="宋体" w:hAnsi="宋体" w:eastAsia="宋体" w:cs="宋体"/>
                <w:bCs/>
                <w:color w:val="auto"/>
                <w:sz w:val="21"/>
                <w:szCs w:val="21"/>
                <w:highlight w:val="none"/>
                <w:lang w:eastAsia="zh-CN"/>
              </w:rPr>
              <w:t>合浦县财政局</w:t>
            </w:r>
            <w:r>
              <w:rPr>
                <w:rFonts w:hint="eastAsia" w:ascii="宋体" w:hAnsi="宋体" w:eastAsia="宋体" w:cs="宋体"/>
                <w:bCs/>
                <w:color w:val="auto"/>
                <w:sz w:val="21"/>
                <w:szCs w:val="21"/>
                <w:highlight w:val="none"/>
              </w:rPr>
              <w:t xml:space="preserve">                </w:t>
            </w: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 xml:space="preserve"> 联系电话：</w:t>
            </w:r>
            <w:r>
              <w:rPr>
                <w:rFonts w:hint="eastAsia" w:ascii="宋体" w:hAnsi="宋体" w:eastAsia="宋体" w:cs="宋体"/>
                <w:bCs/>
                <w:color w:val="auto"/>
                <w:sz w:val="21"/>
                <w:szCs w:val="21"/>
                <w:highlight w:val="none"/>
                <w:lang w:val="en-US" w:eastAsia="zh-CN"/>
              </w:rPr>
              <w:t>0779-</w:t>
            </w:r>
            <w:r>
              <w:rPr>
                <w:rFonts w:hint="eastAsia" w:hAnsi="宋体" w:cs="宋体"/>
                <w:bCs/>
                <w:color w:val="auto"/>
                <w:sz w:val="21"/>
                <w:szCs w:val="21"/>
                <w:highlight w:val="none"/>
                <w:lang w:val="en-US" w:eastAsia="zh-CN"/>
              </w:rPr>
              <w:t>7200908</w:t>
            </w:r>
            <w:r>
              <w:rPr>
                <w:rFonts w:hint="eastAsia" w:ascii="宋体" w:hAnsi="宋体" w:eastAsia="宋体" w:cs="宋体"/>
                <w:bCs/>
                <w:color w:val="auto"/>
                <w:sz w:val="21"/>
                <w:szCs w:val="21"/>
                <w:highlight w:val="none"/>
                <w:u w:val="single"/>
              </w:rPr>
              <w:t xml:space="preserve">   </w:t>
            </w:r>
          </w:p>
        </w:tc>
      </w:tr>
    </w:tbl>
    <w:p>
      <w:pPr>
        <w:spacing w:line="360" w:lineRule="auto"/>
        <w:ind w:firstLine="482" w:firstLineChars="200"/>
        <w:jc w:val="center"/>
        <w:rPr>
          <w:rFonts w:hint="eastAsia" w:ascii="宋体" w:hAnsi="宋体" w:eastAsia="宋体" w:cs="宋体"/>
          <w:b/>
          <w:color w:val="auto"/>
          <w:sz w:val="24"/>
          <w:highlight w:val="none"/>
        </w:rPr>
      </w:pPr>
    </w:p>
    <w:p>
      <w:pPr>
        <w:spacing w:line="360" w:lineRule="auto"/>
        <w:ind w:firstLine="482" w:firstLineChars="200"/>
        <w:jc w:val="center"/>
        <w:rPr>
          <w:rFonts w:hint="eastAsia" w:ascii="宋体" w:hAnsi="宋体" w:eastAsia="宋体" w:cs="宋体"/>
          <w:b/>
          <w:color w:val="auto"/>
          <w:sz w:val="24"/>
          <w:highlight w:val="none"/>
        </w:rPr>
        <w:sectPr>
          <w:footerReference r:id="rId7" w:type="default"/>
          <w:pgSz w:w="11907" w:h="16839"/>
          <w:pgMar w:top="1431" w:right="1272" w:bottom="1364" w:left="1418" w:header="850" w:footer="1204" w:gutter="0"/>
          <w:pgNumType w:fmt="decimal"/>
          <w:cols w:space="720" w:num="1"/>
          <w:docGrid w:linePitch="286" w:charSpace="0"/>
        </w:sectPr>
      </w:pPr>
    </w:p>
    <w:p>
      <w:pPr>
        <w:spacing w:line="360" w:lineRule="auto"/>
        <w:ind w:firstLine="482" w:firstLineChars="20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磋商供应商须知</w:t>
      </w:r>
    </w:p>
    <w:p>
      <w:pPr>
        <w:spacing w:line="360" w:lineRule="auto"/>
        <w:ind w:firstLine="480" w:firstLineChars="200"/>
        <w:rPr>
          <w:rFonts w:hint="eastAsia" w:ascii="宋体" w:hAnsi="宋体" w:eastAsia="宋体" w:cs="宋体"/>
          <w:color w:val="auto"/>
          <w:sz w:val="24"/>
          <w:highlight w:val="none"/>
        </w:rPr>
      </w:pP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一、总　则</w:t>
      </w:r>
    </w:p>
    <w:p>
      <w:pPr>
        <w:snapToGrid w:val="0"/>
        <w:spacing w:line="360" w:lineRule="auto"/>
        <w:ind w:firstLine="422" w:firstLineChars="200"/>
        <w:jc w:val="left"/>
        <w:rPr>
          <w:rFonts w:hint="eastAsia" w:ascii="宋体" w:hAnsi="宋体" w:eastAsia="宋体" w:cs="宋体"/>
          <w:b/>
          <w:color w:val="auto"/>
          <w:sz w:val="21"/>
          <w:szCs w:val="21"/>
          <w:highlight w:val="none"/>
        </w:rPr>
      </w:pPr>
      <w:bookmarkStart w:id="32" w:name="_Toc254970668"/>
      <w:bookmarkStart w:id="33" w:name="_Toc254970527"/>
      <w:r>
        <w:rPr>
          <w:rFonts w:hint="eastAsia" w:ascii="宋体" w:hAnsi="宋体" w:eastAsia="宋体" w:cs="宋体"/>
          <w:b/>
          <w:color w:val="auto"/>
          <w:sz w:val="21"/>
          <w:szCs w:val="21"/>
          <w:highlight w:val="none"/>
        </w:rPr>
        <w:t>1.适用范围</w:t>
      </w:r>
      <w:bookmarkEnd w:id="32"/>
      <w:bookmarkEnd w:id="33"/>
    </w:p>
    <w:p>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本磋商文件适用于本项目的磋商、响应、评审、定标、验收、合同履约、付款等行为（法律、法规另有规定的，从其规定）。</w:t>
      </w:r>
    </w:p>
    <w:p>
      <w:pPr>
        <w:snapToGrid w:val="0"/>
        <w:spacing w:line="360" w:lineRule="auto"/>
        <w:ind w:firstLine="422" w:firstLineChars="200"/>
        <w:jc w:val="left"/>
        <w:rPr>
          <w:rFonts w:hint="eastAsia" w:ascii="宋体" w:hAnsi="宋体" w:eastAsia="宋体" w:cs="宋体"/>
          <w:b/>
          <w:color w:val="auto"/>
          <w:sz w:val="21"/>
          <w:szCs w:val="21"/>
          <w:highlight w:val="none"/>
        </w:rPr>
      </w:pPr>
      <w:bookmarkStart w:id="34" w:name="_Toc254970528"/>
      <w:bookmarkStart w:id="35" w:name="_Toc254970669"/>
      <w:r>
        <w:rPr>
          <w:rFonts w:hint="eastAsia" w:ascii="宋体" w:hAnsi="宋体" w:eastAsia="宋体" w:cs="宋体"/>
          <w:b/>
          <w:color w:val="auto"/>
          <w:sz w:val="21"/>
          <w:szCs w:val="21"/>
          <w:highlight w:val="none"/>
        </w:rPr>
        <w:t>2.定义</w:t>
      </w:r>
      <w:bookmarkEnd w:id="34"/>
      <w:bookmarkEnd w:id="35"/>
    </w:p>
    <w:p>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2.1“采购人”系指组织本次磋商的采购单位。</w:t>
      </w:r>
    </w:p>
    <w:p>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2.2“采购代理机构”系指组织本次磋商的采购代理机构（以下简称“本代理机构”）。</w:t>
      </w:r>
    </w:p>
    <w:p>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2.3“磋商供应商”系指响应磋商、参加磋商竞争的法人、其他组织或者自然人。</w:t>
      </w:r>
    </w:p>
    <w:p>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2.4“工程”是指建设工程，包括建筑物和构筑物的新建、改建、扩建、装修、拆除、修缮等。</w:t>
      </w:r>
    </w:p>
    <w:p>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2.5“项目”系指磋商供应商按竞争性磋商文件规定向采购人提供的产品和服务。</w:t>
      </w:r>
    </w:p>
    <w:p>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2.6“书面形式”包括信函、传真、电报等。</w:t>
      </w:r>
    </w:p>
    <w:p>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2.7“▲”系指实质性要求条款。</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供应商的基本条件</w:t>
      </w:r>
    </w:p>
    <w:p>
      <w:pPr>
        <w:adjustRightInd w:val="0"/>
        <w:spacing w:line="360" w:lineRule="auto"/>
        <w:ind w:firstLine="48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3.1满足《中华人民共和国政府采购法》第二十二条规定；未被“信用中国”（www.creditchina.gov.cn)、中国政府采购网（www.ccgp.gov.cn）列入失信被执行人、重大税收违法案件当事人名单、政府采购严重违法失信行为记录名单；</w:t>
      </w:r>
    </w:p>
    <w:p>
      <w:pPr>
        <w:adjustRightInd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w:t>
      </w:r>
      <w:r>
        <w:rPr>
          <w:rFonts w:hint="eastAsia" w:ascii="宋体" w:hAnsi="宋体" w:eastAsia="宋体" w:cs="宋体"/>
          <w:snapToGrid w:val="0"/>
          <w:color w:val="auto"/>
          <w:kern w:val="28"/>
          <w:sz w:val="21"/>
          <w:szCs w:val="21"/>
          <w:highlight w:val="none"/>
          <w:lang w:val="en-US" w:eastAsia="zh-CN"/>
        </w:rPr>
        <w:t>2</w:t>
      </w:r>
      <w:r>
        <w:rPr>
          <w:rFonts w:hint="eastAsia" w:ascii="宋体" w:hAnsi="宋体" w:eastAsia="宋体" w:cs="宋体"/>
          <w:snapToGrid w:val="0"/>
          <w:color w:val="auto"/>
          <w:kern w:val="28"/>
          <w:sz w:val="21"/>
          <w:szCs w:val="21"/>
          <w:highlight w:val="none"/>
        </w:rPr>
        <w:t>落实政府采购政策需满足的资格要求：</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rPr>
        <w:t>专</w:t>
      </w:r>
      <w:r>
        <w:rPr>
          <w:rFonts w:hint="eastAsia" w:ascii="宋体" w:hAnsi="宋体" w:eastAsia="宋体" w:cs="宋体"/>
          <w:color w:val="auto"/>
          <w:sz w:val="21"/>
          <w:szCs w:val="21"/>
          <w:highlight w:val="none"/>
        </w:rPr>
        <w:t>门面向中小企业</w:t>
      </w:r>
    </w:p>
    <w:p>
      <w:pPr>
        <w:adjustRightInd w:val="0"/>
        <w:spacing w:line="360" w:lineRule="auto"/>
        <w:ind w:firstLine="785" w:firstLineChars="37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服务全部由符合政策要求的中小企业承接，提供中小企业声明函；</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本项目的特定资格要求：</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（1）磋商供应商须具备</w:t>
      </w:r>
      <w:r>
        <w:rPr>
          <w:rFonts w:hint="eastAsia" w:ascii="宋体" w:hAnsi="宋体" w:eastAsia="宋体" w:cs="宋体"/>
          <w:color w:val="auto"/>
          <w:sz w:val="21"/>
          <w:szCs w:val="21"/>
          <w:highlight w:val="none"/>
          <w:lang w:eastAsia="zh-CN"/>
        </w:rPr>
        <w:t>市政公用</w:t>
      </w:r>
      <w:r>
        <w:rPr>
          <w:rFonts w:hint="eastAsia" w:ascii="宋体" w:hAnsi="宋体" w:eastAsia="宋体" w:cs="宋体"/>
          <w:color w:val="auto"/>
          <w:sz w:val="21"/>
          <w:szCs w:val="21"/>
          <w:highlight w:val="none"/>
        </w:rPr>
        <w:t>工程施工总承包三级（含）以上资质，</w:t>
      </w:r>
      <w:r>
        <w:rPr>
          <w:rFonts w:hint="eastAsia" w:ascii="宋体" w:hAnsi="宋体" w:eastAsia="宋体" w:cs="宋体"/>
          <w:color w:val="auto"/>
          <w:sz w:val="21"/>
          <w:szCs w:val="21"/>
          <w:highlight w:val="none"/>
          <w:lang w:eastAsia="zh-CN"/>
        </w:rPr>
        <w:t>并具备</w:t>
      </w:r>
      <w:r>
        <w:rPr>
          <w:rFonts w:hint="eastAsia" w:ascii="宋体" w:hAnsi="宋体" w:eastAsia="宋体" w:cs="宋体"/>
          <w:color w:val="auto"/>
          <w:sz w:val="21"/>
          <w:szCs w:val="21"/>
          <w:highlight w:val="none"/>
        </w:rPr>
        <w:t>有效的安全生产许可证。</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（2）供应商拟派的项目经理须具备</w:t>
      </w:r>
      <w:r>
        <w:rPr>
          <w:rFonts w:hint="eastAsia" w:ascii="宋体" w:hAnsi="宋体" w:eastAsia="宋体" w:cs="宋体"/>
          <w:color w:val="auto"/>
          <w:sz w:val="21"/>
          <w:szCs w:val="21"/>
          <w:highlight w:val="none"/>
          <w:lang w:eastAsia="zh-CN"/>
        </w:rPr>
        <w:t>市政公用</w:t>
      </w:r>
      <w:r>
        <w:rPr>
          <w:rFonts w:hint="eastAsia" w:ascii="宋体" w:hAnsi="宋体" w:eastAsia="宋体" w:cs="宋体"/>
          <w:color w:val="auto"/>
          <w:sz w:val="21"/>
          <w:szCs w:val="21"/>
          <w:highlight w:val="none"/>
        </w:rPr>
        <w:t>工程专业贰级（含）以上注册建造师执业资格及有效的安全生产考核合格证书（B类）。</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（3）安全员要求：本工程至少投入1名安全员且具备有效的安全生产考核合格证（C证）。</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4.需要落实的政府采购政策</w:t>
      </w:r>
    </w:p>
    <w:p>
      <w:pPr>
        <w:adjustRightIn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4.1是否允许采购进口产品要求</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eastAsia="宋体" w:cs="宋体"/>
          <w:color w:val="auto"/>
          <w:kern w:val="0"/>
          <w:sz w:val="21"/>
          <w:szCs w:val="21"/>
          <w:highlight w:val="none"/>
        </w:rPr>
        <w:t>优先采购向我国企业转让技术、与我国企业签订消化吸收再创新方案的供应商的进口产品</w:t>
      </w:r>
      <w:r>
        <w:rPr>
          <w:rFonts w:hint="eastAsia" w:ascii="宋体" w:hAnsi="宋体" w:eastAsia="宋体" w:cs="宋体"/>
          <w:color w:val="auto"/>
          <w:sz w:val="21"/>
          <w:szCs w:val="21"/>
          <w:highlight w:val="none"/>
        </w:rPr>
        <w:t>。</w:t>
      </w:r>
    </w:p>
    <w:p>
      <w:pPr>
        <w:adjustRightIn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4.2支持绿色发展</w:t>
      </w:r>
    </w:p>
    <w:p>
      <w:pPr>
        <w:adjustRightInd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eastAsia="宋体" w:cs="宋体"/>
          <w:b/>
          <w:color w:val="auto"/>
          <w:sz w:val="21"/>
          <w:szCs w:val="21"/>
          <w:highlight w:val="none"/>
        </w:rPr>
        <w:t>▲采购人拟采购的产品属于政府强制采购的节能产品品目清单范围的，供应商相应的响应产品未获得国家确定的认证机构出具的、处于有效期之内的节能产品认证证书的，响应无效。</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4.2.2纳入政府采购管理的修缮、装修类项目采购建材的，鼓励采购单位将绿色建材性能、指标等作为实质性条件纳入采购文件和合同，具体性能指标要求参考相关绿色建材政府采购需求标准。</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4.2.4 鼓励供应商在参加政府采购过程中开展绿色设计、选择绿色材料、打造绿色制造工艺、开展绿色运输、做好废弃产品回收处理，实现产品全周期的绿色环保。鼓励采购单位对其提高预付款比例、免收履约保证金。</w:t>
      </w:r>
    </w:p>
    <w:p>
      <w:pPr>
        <w:adjustRightIn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4.3支持中小企业发展。</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4.3.1中小企业，是指在中华人民共和国境内依法设立，依据国务院批准的中小企业划分标准确定的中型企业、小型企业和微型企业，但与大企业的负责人为同一人，或者与大企业存在直接控股、管理关系的除外。</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符合中小企业划分标准的个体工商户，在政府采购活动中视同中小企业。</w:t>
      </w:r>
    </w:p>
    <w:p>
      <w:pPr>
        <w:widowControl/>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4.3.2</w:t>
      </w:r>
      <w:r>
        <w:rPr>
          <w:rFonts w:hint="eastAsia" w:ascii="宋体" w:hAnsi="宋体" w:eastAsia="宋体" w:cs="宋体"/>
          <w:color w:val="auto"/>
          <w:kern w:val="0"/>
          <w:sz w:val="21"/>
          <w:szCs w:val="21"/>
          <w:highlight w:val="none"/>
        </w:rPr>
        <w:t>在政府采购活动中，服务类项目采购，服务由中小企业承接，即提供服务的人员为中小企业依照《中华人民共和国劳动合同法》订立劳动合同的从业人员，享受中小企业扶持政策。</w:t>
      </w:r>
    </w:p>
    <w:p>
      <w:pPr>
        <w:widowControl/>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以联合体形式参加政府采购活动，联合体各方均为中小企业的，联合体视同中小企业。其中，联合体各方均为小微企业的，联合体视同小微企业。</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4.3.3对于未预留份额专门面向中小企业采购的政府采购工程项目，以及预留份额政府采购工程项目中的非预留部分标项，对小型和微型企业的最后报价给予3%—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1%—2%的扣除，用扣除后的价格参加评审。组成联合体或者接受分包的小微企业与联合体内其他企业、分包企业之间存在直接控股、管理关系的，不享受价格扣除优惠政策。</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4.3.4符合《关于促进残疾人就业政府采购政策的通知》（财库〔2017〕141号）规定的条件并提供《残疾人福利性单位声明函》（附件3）的残疾人福利性单位视同小型、微型企业；</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4.3.5符合《关于政府采购支持监狱企业发展有关问题的通知》（财库〔2014〕68号）规定的监狱企业并提供由省级以上监狱管理局、戒毒管理局（含新疆生产建设兵团）出具的属于监狱企业证明文件的，视同为小型、微型企业。</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4.3.7中小企业享受扶持政策获得政府采购合同的，小微企业不得将合同分包给大中型企业，中型企业不得将合同分包给大型企业。</w:t>
      </w:r>
    </w:p>
    <w:p>
      <w:pPr>
        <w:adjustRightIn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4.5</w:t>
      </w:r>
      <w:r>
        <w:rPr>
          <w:rFonts w:hint="eastAsia" w:ascii="宋体" w:hAnsi="宋体" w:eastAsia="宋体" w:cs="宋体"/>
          <w:b/>
          <w:bCs/>
          <w:color w:val="auto"/>
          <w:sz w:val="21"/>
          <w:szCs w:val="21"/>
          <w:highlight w:val="none"/>
        </w:rPr>
        <w:t>支持创新发展</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4.5.1 采购人优先采购被认定为首台套产品和“制造精品”的自主创新产品。</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pPr>
        <w:adjustRightIn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4.6平等对待内外资企业</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pPr>
        <w:adjustRightInd w:val="0"/>
        <w:snapToGrid w:val="0"/>
        <w:spacing w:line="360" w:lineRule="auto"/>
        <w:ind w:firstLine="422" w:firstLineChars="200"/>
        <w:jc w:val="left"/>
        <w:rPr>
          <w:rFonts w:hint="eastAsia" w:ascii="宋体" w:hAnsi="宋体" w:eastAsia="宋体" w:cs="宋体"/>
          <w:b/>
          <w:bCs/>
          <w:color w:val="auto"/>
          <w:kern w:val="0"/>
          <w:sz w:val="21"/>
          <w:szCs w:val="21"/>
          <w:highlight w:val="none"/>
        </w:rPr>
      </w:pPr>
      <w:r>
        <w:rPr>
          <w:rFonts w:hint="eastAsia" w:ascii="宋体" w:hAnsi="宋体" w:eastAsia="宋体" w:cs="宋体"/>
          <w:b/>
          <w:color w:val="auto"/>
          <w:kern w:val="0"/>
          <w:sz w:val="21"/>
          <w:szCs w:val="21"/>
          <w:highlight w:val="none"/>
        </w:rPr>
        <w:t>4.7平等对待符合条件的破产重整企业</w:t>
      </w:r>
    </w:p>
    <w:p>
      <w:pPr>
        <w:adjustRightInd w:val="0"/>
        <w:snapToGrid w:val="0"/>
        <w:spacing w:line="360" w:lineRule="auto"/>
        <w:ind w:firstLine="48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平等对待符合条件的破产重整企业，切实保障企业公平竞争，平等维护企业的合法利益。</w:t>
      </w:r>
    </w:p>
    <w:p>
      <w:pPr>
        <w:widowControl/>
        <w:adjustRightInd w:val="0"/>
        <w:snapToGrid w:val="0"/>
        <w:spacing w:line="360" w:lineRule="auto"/>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5.联合体磋商</w:t>
      </w:r>
    </w:p>
    <w:p>
      <w:pPr>
        <w:adjustRightInd w:val="0"/>
        <w:snapToGrid w:val="0"/>
        <w:spacing w:line="360" w:lineRule="auto"/>
        <w:ind w:firstLine="420" w:firstLineChars="20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5.1联合体磋商要求</w:t>
      </w:r>
      <w:r>
        <w:rPr>
          <w:rFonts w:hint="eastAsia" w:ascii="宋体" w:hAnsi="宋体" w:eastAsia="宋体" w:cs="宋体"/>
          <w:color w:val="auto"/>
          <w:kern w:val="0"/>
          <w:sz w:val="21"/>
          <w:szCs w:val="21"/>
          <w:highlight w:val="none"/>
          <w:lang w:eastAsia="zh-CN"/>
        </w:rPr>
        <w:t>：</w:t>
      </w:r>
    </w:p>
    <w:p>
      <w:pPr>
        <w:adjustRightInd w:val="0"/>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（1）两个以上供应商可以组成一个磋商联合体，以一个供应商的身份磋商。</w:t>
      </w:r>
    </w:p>
    <w:p>
      <w:pPr>
        <w:adjustRightInd w:val="0"/>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（2）以联合体形式参加磋商的，联合体各方均应当符合“具有独立承担民事责任的能力”的条件。本项目有特殊要求规定供应商特定条件的，联合体各方中至少应当有一方符合磋商文件规定的特定条件。</w:t>
      </w:r>
    </w:p>
    <w:p>
      <w:pPr>
        <w:adjustRightInd w:val="0"/>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（3）联合体各方之间应当签订</w:t>
      </w:r>
      <w:r>
        <w:rPr>
          <w:rFonts w:hint="eastAsia" w:ascii="宋体" w:hAnsi="宋体" w:eastAsia="宋体" w:cs="宋体"/>
          <w:b/>
          <w:color w:val="auto"/>
          <w:kern w:val="0"/>
          <w:sz w:val="21"/>
          <w:szCs w:val="21"/>
          <w:highlight w:val="none"/>
        </w:rPr>
        <w:t>联合协议</w:t>
      </w:r>
      <w:r>
        <w:rPr>
          <w:rFonts w:hint="eastAsia" w:ascii="宋体" w:hAnsi="宋体" w:eastAsia="宋体" w:cs="宋体"/>
          <w:color w:val="auto"/>
          <w:kern w:val="0"/>
          <w:sz w:val="21"/>
          <w:szCs w:val="21"/>
          <w:highlight w:val="none"/>
        </w:rPr>
        <w:t>，明确约定联合体各方承担的工作和响应的责任，并将联合协议连同磋商响应文件一并提交本采购代理机构。联合体各方签订联合协议后，不得再以自己名义单独在同一项目中参与磋商，也不得组成新的联合体参加同一项目磋商。否则，与之相关的响应文件作废。</w:t>
      </w:r>
    </w:p>
    <w:p>
      <w:pPr>
        <w:adjustRightInd w:val="0"/>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（4）磋商联合体的业绩和信誉按联合体主体方（或牵头方）计算。</w:t>
      </w:r>
    </w:p>
    <w:p>
      <w:pPr>
        <w:widowControl/>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联合体各方中至少有一方符合本文件规定的特定资质条件。联合体磋商的，须提供《联合协议》（格式见附件）。</w:t>
      </w:r>
    </w:p>
    <w:p>
      <w:pPr>
        <w:widowControl/>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5.2大中型企业与小微企业组成联合体或者大中型企业向小微企业分包的，对其报价给予6%的扣除，用扣除后的价格参加评审。</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 磋商费用、竞争性磋商公告、竞争性磋商文件的澄清和修改</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6.1磋商费用：供应商应自行承担所有与编写和提交竞争性磋商响应文件有关的费用，不论磋商结果如何，采购人和本代理机构在任何情况下无义务和责任承担此类费用。</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6.2竞争性磋商公告：见</w:t>
      </w:r>
      <w:r>
        <w:rPr>
          <w:rFonts w:hint="eastAsia" w:hAnsi="宋体" w:cs="宋体"/>
          <w:b/>
          <w:color w:val="auto"/>
          <w:sz w:val="21"/>
          <w:szCs w:val="21"/>
          <w:highlight w:val="none"/>
          <w:u w:val="single"/>
          <w:lang w:eastAsia="zh-CN"/>
        </w:rPr>
        <w:t>2026年</w:t>
      </w:r>
      <w:r>
        <w:rPr>
          <w:rFonts w:hint="eastAsia" w:hAnsi="宋体" w:cs="宋体"/>
          <w:b/>
          <w:color w:val="auto"/>
          <w:sz w:val="21"/>
          <w:szCs w:val="21"/>
          <w:highlight w:val="none"/>
          <w:u w:val="single"/>
          <w:lang w:val="en-US" w:eastAsia="zh-CN"/>
        </w:rPr>
        <w:t>8</w:t>
      </w:r>
      <w:r>
        <w:rPr>
          <w:rFonts w:hint="eastAsia" w:hAnsi="宋体" w:cs="宋体"/>
          <w:b/>
          <w:color w:val="auto"/>
          <w:sz w:val="21"/>
          <w:szCs w:val="21"/>
          <w:highlight w:val="none"/>
          <w:u w:val="single"/>
          <w:lang w:eastAsia="zh-CN"/>
        </w:rPr>
        <w:t>月</w:t>
      </w:r>
      <w:r>
        <w:rPr>
          <w:rFonts w:hint="eastAsia" w:hAnsi="宋体" w:cs="宋体"/>
          <w:b/>
          <w:color w:val="auto"/>
          <w:sz w:val="21"/>
          <w:szCs w:val="21"/>
          <w:highlight w:val="none"/>
          <w:u w:val="single"/>
          <w:lang w:val="en-US" w:eastAsia="zh-CN"/>
        </w:rPr>
        <w:t>28</w:t>
      </w:r>
      <w:r>
        <w:rPr>
          <w:rFonts w:hint="eastAsia" w:hAnsi="宋体" w:cs="宋体"/>
          <w:b/>
          <w:color w:val="auto"/>
          <w:sz w:val="21"/>
          <w:szCs w:val="21"/>
          <w:highlight w:val="none"/>
          <w:u w:val="single"/>
          <w:lang w:eastAsia="zh-CN"/>
        </w:rPr>
        <w:t>日</w:t>
      </w:r>
      <w:r>
        <w:rPr>
          <w:rFonts w:hint="eastAsia" w:ascii="宋体" w:hAnsi="宋体" w:eastAsia="宋体" w:cs="宋体"/>
          <w:color w:val="auto"/>
          <w:sz w:val="21"/>
          <w:szCs w:val="21"/>
          <w:highlight w:val="none"/>
        </w:rPr>
        <w:t>中国政府采购网、广西政府采购网、北海市政府采购监管网、采购代理机构网站（如有）。</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6.3竞争性磋商文件的澄清和修改：</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6.3.1</w:t>
      </w:r>
      <w:r>
        <w:rPr>
          <w:rFonts w:hint="eastAsia" w:ascii="宋体" w:hAnsi="宋体" w:eastAsia="宋体" w:cs="宋体"/>
          <w:bCs/>
          <w:color w:val="auto"/>
          <w:sz w:val="21"/>
          <w:szCs w:val="21"/>
          <w:highlight w:val="none"/>
        </w:rPr>
        <w:t>供应商应认真审核《采购需求》中的服务要求，如发现采购需求中服务要求有误或要求不合理的，供应商必须在规定的时间前要求澄清，否则，由此产生的后果由供应商负责。</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6.3.2任何要求澄清竞争性磋商文件的供应商，均应在响应文件递交截止日期三日前的正常工作时间以传真等书面形式通知本代理机构，同时认定其他澄清方式为无效。本代理机构将以书面形式予以答复。</w:t>
      </w:r>
    </w:p>
    <w:p>
      <w:pPr>
        <w:widowControl/>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6.3.3本代理机构对已发出的磋商文件进行必要澄清或者修改的，在竞争性磋商文件要求提交竞争性磋商响应文件截止时间五日前（不足五日顺延），在中国政府采购网、广西政府采购网、北海市政府采购监管网、采购代理机构网站（如有）上发布更正公告，并以书面形式通知所有竞争性磋商文件收受人。该澄清或者修改的内容为竞争性磋商文件的组成部分。</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6.3.4本代理机构可视具体情况，延长响应文件递交截止时间和开标时间。本代理机构至少在竞争性磋商文件要求提交竞争性磋商响应文件的截止时间一日前，将变更时间书面通知所有竞争性磋商文件收受人，并在中国政府采购网、广西政府采购网、北海市政府采购监管网、采购代理机构网站（如有）上发布变更公告。</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二、竞争性磋商响应文件的编制</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竞争性磋商响应文件编制基本要求</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7.1本项目实行电子磋商，供应商应准备电子磋商响应文件：</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7.1.1电子响应文件按广西政府采购云平台平台要求及本磋商文件要求制作、加密并递交。具体操作流程可参考《政府采购项目电子交易管理操作指南-供应商》，指南可在广西政府采购网进行查阅。</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▲7.1.3磋商响应文件解密：若磋商供应商在规定时间内无法解密或解密失败，视为磋商响应文件撤回，磋商无效。</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供应商提交的竞争性磋商响应文件以及供应商与XX代理机构和采购人就有关磋商的所有来往函电均应使用中文。供应商提交的支持文件和印刷的文献可以使用别的语言，但其相应内容必须附有中文翻译文本，在解释竞争性磋商响应文件时以翻译文本为主。</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7.3供应商应认真阅读、并充分理解本文件的全部内容（包括所有的澄清、更改、补充、答疑等内容），承诺并履行本文件中各项条款规定及要求。</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7.4竞争性磋商响应文件必须按本文件的全部内容，包括所有的澄清、更改、补充、答疑等内容及附件进行编制。</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7.5如因供应商只填写和提供了本文件要求的部分内容和附件，而给磋商小组评审造成困难，其可能导致的结果和责任由供应商自行承担。</w:t>
      </w:r>
    </w:p>
    <w:p>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7.7竞争性磋商响应文件的组成：竞争性磋商响应文件应分为资格文件、价格文件和商务技术文件组成。供应商应仔细阅读磋商采购文件的所有内容，按磋商采购文件的要求，详细编制磋商响应文件。</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7.7.1资格文件</w:t>
      </w:r>
    </w:p>
    <w:p>
      <w:pPr>
        <w:adjustRightInd w:val="0"/>
        <w:snapToGrid w:val="0"/>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（1）北海市政府采购供应商信用承诺函</w:t>
      </w:r>
      <w:r>
        <w:rPr>
          <w:rFonts w:hint="eastAsia" w:ascii="宋体" w:hAnsi="宋体" w:eastAsia="宋体" w:cs="宋体"/>
          <w:b/>
          <w:bCs/>
          <w:color w:val="auto"/>
          <w:sz w:val="21"/>
          <w:szCs w:val="21"/>
          <w:highlight w:val="none"/>
        </w:rPr>
        <w:t>（必须提供）</w:t>
      </w:r>
    </w:p>
    <w:p>
      <w:pPr>
        <w:adjustRightInd w:val="0"/>
        <w:snapToGrid w:val="0"/>
        <w:spacing w:line="360" w:lineRule="auto"/>
        <w:ind w:firstLine="422" w:firstLineChars="20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（2）按国家规定三证合一的有统一社会信用代码的营业执照复印件</w:t>
      </w:r>
      <w:r>
        <w:rPr>
          <w:rFonts w:hint="eastAsia" w:ascii="宋体" w:hAnsi="宋体" w:eastAsia="宋体" w:cs="宋体"/>
          <w:b/>
          <w:bCs/>
          <w:color w:val="auto"/>
          <w:sz w:val="21"/>
          <w:szCs w:val="21"/>
          <w:highlight w:val="none"/>
        </w:rPr>
        <w:t>（必须提供）</w:t>
      </w:r>
      <w:r>
        <w:rPr>
          <w:rFonts w:hint="eastAsia" w:ascii="宋体" w:hAnsi="宋体" w:eastAsia="宋体" w:cs="宋体"/>
          <w:b/>
          <w:bCs/>
          <w:color w:val="auto"/>
          <w:sz w:val="21"/>
          <w:szCs w:val="21"/>
          <w:highlight w:val="none"/>
          <w:lang w:eastAsia="zh-CN"/>
        </w:rPr>
        <w:t>；</w:t>
      </w:r>
    </w:p>
    <w:p>
      <w:pPr>
        <w:adjustRightInd w:val="0"/>
        <w:snapToGrid w:val="0"/>
        <w:spacing w:line="360" w:lineRule="auto"/>
        <w:ind w:firstLine="422" w:firstLineChars="20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）磋商供应商有效的</w:t>
      </w:r>
      <w:r>
        <w:rPr>
          <w:rFonts w:hint="eastAsia" w:ascii="宋体" w:hAnsi="宋体" w:eastAsia="宋体" w:cs="宋体"/>
          <w:color w:val="auto"/>
          <w:sz w:val="21"/>
          <w:szCs w:val="21"/>
          <w:highlight w:val="none"/>
          <w:lang w:eastAsia="zh-CN"/>
        </w:rPr>
        <w:t>市政公用工程施工总承包叁级（含）以上资质</w:t>
      </w:r>
      <w:r>
        <w:rPr>
          <w:rFonts w:hint="eastAsia" w:ascii="宋体" w:hAnsi="宋体" w:eastAsia="宋体" w:cs="宋体"/>
          <w:color w:val="auto"/>
          <w:sz w:val="21"/>
          <w:szCs w:val="21"/>
          <w:highlight w:val="none"/>
        </w:rPr>
        <w:t>证书复印件、供应商有效的安全生产许可证复印件</w:t>
      </w:r>
      <w:r>
        <w:rPr>
          <w:rFonts w:hint="eastAsia" w:ascii="宋体" w:hAnsi="宋体" w:eastAsia="宋体" w:cs="宋体"/>
          <w:b/>
          <w:bCs/>
          <w:color w:val="auto"/>
          <w:sz w:val="21"/>
          <w:szCs w:val="21"/>
          <w:highlight w:val="none"/>
        </w:rPr>
        <w:t>（必须提供）</w:t>
      </w:r>
      <w:r>
        <w:rPr>
          <w:rFonts w:hint="eastAsia" w:ascii="宋体" w:hAnsi="宋体" w:eastAsia="宋体" w:cs="宋体"/>
          <w:b/>
          <w:bCs/>
          <w:color w:val="auto"/>
          <w:sz w:val="21"/>
          <w:szCs w:val="21"/>
          <w:highlight w:val="none"/>
          <w:lang w:eastAsia="zh-CN"/>
        </w:rPr>
        <w:t>；</w:t>
      </w:r>
    </w:p>
    <w:p>
      <w:pPr>
        <w:adjustRightInd w:val="0"/>
        <w:snapToGri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）供应商拟派的项目经理须具备</w:t>
      </w:r>
      <w:r>
        <w:rPr>
          <w:rFonts w:hint="eastAsia" w:ascii="宋体" w:hAnsi="宋体" w:eastAsia="宋体" w:cs="宋体"/>
          <w:color w:val="auto"/>
          <w:sz w:val="21"/>
          <w:szCs w:val="21"/>
          <w:highlight w:val="none"/>
          <w:lang w:eastAsia="zh-CN"/>
        </w:rPr>
        <w:t>市政公用工程专业二级（含）以上</w:t>
      </w:r>
      <w:r>
        <w:rPr>
          <w:rFonts w:hint="eastAsia" w:ascii="宋体" w:hAnsi="宋体" w:eastAsia="宋体" w:cs="宋体"/>
          <w:color w:val="auto"/>
          <w:sz w:val="21"/>
          <w:szCs w:val="21"/>
          <w:highlight w:val="none"/>
        </w:rPr>
        <w:t>注册建造师执业资格证书复印件及有效的安全生产考核合格证书（B类）复印件</w:t>
      </w:r>
      <w:r>
        <w:rPr>
          <w:rFonts w:hint="eastAsia" w:ascii="宋体" w:hAnsi="宋体" w:eastAsia="宋体" w:cs="宋体"/>
          <w:color w:val="auto"/>
          <w:sz w:val="21"/>
          <w:szCs w:val="21"/>
          <w:highlight w:val="none"/>
          <w:lang w:eastAsia="zh-CN"/>
        </w:rPr>
        <w:t>；同时提供拟投入本项目的项目经理无在建、已中标（成交）未开工或已列为其他项目中标（成交）候选人第一名的情况的承诺函（格式自拟）</w:t>
      </w:r>
      <w:r>
        <w:rPr>
          <w:rFonts w:hint="eastAsia" w:ascii="宋体" w:hAnsi="宋体" w:eastAsia="宋体" w:cs="宋体"/>
          <w:b/>
          <w:bCs/>
          <w:color w:val="auto"/>
          <w:sz w:val="21"/>
          <w:szCs w:val="21"/>
          <w:highlight w:val="none"/>
        </w:rPr>
        <w:t>（必须提供）</w:t>
      </w:r>
    </w:p>
    <w:p>
      <w:pPr>
        <w:adjustRightInd w:val="0"/>
        <w:snapToGri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）安全员要求：本工程至少投入1名安全员且具备有效的安全生产考核合格证（C证）</w:t>
      </w:r>
    </w:p>
    <w:p>
      <w:pPr>
        <w:adjustRightInd w:val="0"/>
        <w:snapToGrid w:val="0"/>
        <w:spacing w:line="360" w:lineRule="auto"/>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）中小企业声明函（格式见第三章）</w:t>
      </w:r>
      <w:r>
        <w:rPr>
          <w:rFonts w:hint="eastAsia" w:ascii="宋体" w:hAnsi="宋体" w:eastAsia="宋体" w:cs="宋体"/>
          <w:b/>
          <w:bCs/>
          <w:color w:val="auto"/>
          <w:sz w:val="21"/>
          <w:szCs w:val="21"/>
          <w:highlight w:val="none"/>
        </w:rPr>
        <w:t>（专门面向中小企业采购项目必须提供）</w:t>
      </w:r>
      <w:r>
        <w:rPr>
          <w:rFonts w:hint="eastAsia" w:ascii="宋体" w:hAnsi="宋体" w:eastAsia="宋体" w:cs="宋体"/>
          <w:b w:val="0"/>
          <w:bCs w:val="0"/>
          <w:color w:val="auto"/>
          <w:sz w:val="21"/>
          <w:szCs w:val="21"/>
          <w:highlight w:val="none"/>
          <w:lang w:eastAsia="zh-CN"/>
        </w:rPr>
        <w:t>。</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7.7.2价格文件</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▲（1）竞标函及竞标函附录</w:t>
      </w:r>
      <w:r>
        <w:rPr>
          <w:rFonts w:hint="eastAsia" w:ascii="宋体" w:hAnsi="宋体" w:eastAsia="宋体" w:cs="宋体"/>
          <w:b/>
          <w:bCs/>
          <w:color w:val="auto"/>
          <w:sz w:val="21"/>
          <w:szCs w:val="21"/>
          <w:highlight w:val="none"/>
        </w:rPr>
        <w:t>（必须提供）。</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▲（2）竞标报价表</w:t>
      </w:r>
      <w:r>
        <w:rPr>
          <w:rFonts w:hint="eastAsia" w:ascii="宋体" w:hAnsi="宋体" w:eastAsia="宋体" w:cs="宋体"/>
          <w:b/>
          <w:color w:val="auto"/>
          <w:sz w:val="21"/>
          <w:szCs w:val="21"/>
          <w:highlight w:val="none"/>
        </w:rPr>
        <w:t>（必须提供）。</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▲（3）已标价工程量清单</w:t>
      </w:r>
      <w:r>
        <w:rPr>
          <w:rFonts w:hint="eastAsia" w:ascii="宋体" w:hAnsi="宋体" w:eastAsia="宋体" w:cs="宋体"/>
          <w:b/>
          <w:color w:val="auto"/>
          <w:sz w:val="21"/>
          <w:szCs w:val="21"/>
          <w:highlight w:val="none"/>
        </w:rPr>
        <w:t>（必须提供）。</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（4）供应商认为需要提供的其他有关资料。</w:t>
      </w:r>
    </w:p>
    <w:p>
      <w:pPr>
        <w:adjustRightInd w:val="0"/>
        <w:snapToGri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7.7.3 商务技术文件</w:t>
      </w:r>
      <w:r>
        <w:rPr>
          <w:rFonts w:hint="eastAsia" w:ascii="宋体" w:hAnsi="宋体" w:eastAsia="宋体" w:cs="宋体"/>
          <w:color w:val="auto"/>
          <w:sz w:val="21"/>
          <w:szCs w:val="21"/>
          <w:highlight w:val="none"/>
        </w:rPr>
        <w:t>（应该有的必须提供,如未提供,磋商小组有权拒绝其磋商响应文件）。</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▲（1）磋商书</w:t>
      </w:r>
      <w:r>
        <w:rPr>
          <w:rFonts w:hint="eastAsia" w:ascii="宋体" w:hAnsi="宋体" w:eastAsia="宋体" w:cs="宋体"/>
          <w:b/>
          <w:color w:val="auto"/>
          <w:sz w:val="21"/>
          <w:szCs w:val="21"/>
          <w:highlight w:val="none"/>
        </w:rPr>
        <w:t xml:space="preserve"> （必须提供）；</w:t>
      </w:r>
    </w:p>
    <w:p>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法定代表人（负责人）授权委托书和委托代理人身份证复印件（委托代理时必须提供），提供法定代表人（负责人）身份证明书和身份证复印件（必须提供）</w:t>
      </w:r>
      <w:r>
        <w:rPr>
          <w:rFonts w:hint="eastAsia" w:ascii="宋体" w:hAnsi="宋体" w:eastAsia="宋体" w:cs="宋体"/>
          <w:color w:val="auto"/>
          <w:sz w:val="21"/>
          <w:szCs w:val="21"/>
          <w:highlight w:val="none"/>
        </w:rPr>
        <w:t>；</w:t>
      </w:r>
    </w:p>
    <w:p>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▲（3）承诺函</w:t>
      </w:r>
      <w:r>
        <w:rPr>
          <w:rFonts w:hint="eastAsia" w:ascii="宋体" w:hAnsi="宋体" w:eastAsia="宋体" w:cs="宋体"/>
          <w:b/>
          <w:color w:val="auto"/>
          <w:sz w:val="21"/>
          <w:szCs w:val="21"/>
          <w:highlight w:val="none"/>
        </w:rPr>
        <w:t>（必须提供）；</w:t>
      </w:r>
      <w:r>
        <w:rPr>
          <w:rFonts w:hint="eastAsia" w:ascii="宋体" w:hAnsi="宋体" w:eastAsia="宋体" w:cs="宋体"/>
          <w:color w:val="auto"/>
          <w:sz w:val="21"/>
          <w:szCs w:val="21"/>
          <w:highlight w:val="none"/>
        </w:rPr>
        <w:t xml:space="preserve"> </w:t>
      </w:r>
    </w:p>
    <w:p>
      <w:pPr>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磋商保证金缴纳证明</w:t>
      </w:r>
      <w:r>
        <w:rPr>
          <w:rFonts w:hint="eastAsia" w:ascii="宋体" w:hAnsi="宋体" w:eastAsia="宋体" w:cs="宋体"/>
          <w:b/>
          <w:bCs/>
          <w:snapToGrid w:val="0"/>
          <w:color w:val="auto"/>
          <w:spacing w:val="-1"/>
          <w:kern w:val="0"/>
          <w:sz w:val="21"/>
          <w:szCs w:val="21"/>
          <w:highlight w:val="none"/>
        </w:rPr>
        <w:t>(</w:t>
      </w:r>
      <w:r>
        <w:rPr>
          <w:rFonts w:hint="eastAsia" w:ascii="宋体" w:hAnsi="宋体" w:eastAsia="宋体" w:cs="宋体"/>
          <w:b/>
          <w:color w:val="auto"/>
          <w:sz w:val="21"/>
          <w:szCs w:val="21"/>
          <w:highlight w:val="none"/>
        </w:rPr>
        <w:t>必须提供</w:t>
      </w:r>
      <w:r>
        <w:rPr>
          <w:rFonts w:hint="eastAsia" w:ascii="宋体" w:hAnsi="宋体" w:eastAsia="宋体" w:cs="宋体"/>
          <w:b/>
          <w:bCs/>
          <w:color w:val="auto"/>
          <w:sz w:val="21"/>
          <w:szCs w:val="21"/>
          <w:highlight w:val="none"/>
          <w:lang w:eastAsia="zh-CN"/>
        </w:rPr>
        <w:t>）</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snapToGrid w:val="0"/>
          <w:color w:val="auto"/>
          <w:spacing w:val="-1"/>
          <w:kern w:val="0"/>
          <w:sz w:val="21"/>
          <w:szCs w:val="21"/>
          <w:highlight w:val="none"/>
        </w:rPr>
        <w:t>施工组织设计</w:t>
      </w:r>
      <w:r>
        <w:rPr>
          <w:rFonts w:hint="eastAsia" w:ascii="宋体" w:hAnsi="宋体" w:eastAsia="宋体" w:cs="宋体"/>
          <w:b/>
          <w:bCs/>
          <w:snapToGrid w:val="0"/>
          <w:color w:val="auto"/>
          <w:spacing w:val="-1"/>
          <w:kern w:val="0"/>
          <w:sz w:val="21"/>
          <w:szCs w:val="21"/>
          <w:highlight w:val="none"/>
        </w:rPr>
        <w:t>(</w:t>
      </w:r>
      <w:r>
        <w:rPr>
          <w:rFonts w:hint="eastAsia" w:ascii="宋体" w:hAnsi="宋体" w:eastAsia="宋体" w:cs="宋体"/>
          <w:b/>
          <w:color w:val="auto"/>
          <w:sz w:val="21"/>
          <w:szCs w:val="21"/>
          <w:highlight w:val="none"/>
        </w:rPr>
        <w:t>必须提供，格式</w:t>
      </w:r>
      <w:r>
        <w:rPr>
          <w:rFonts w:hint="eastAsia" w:ascii="宋体" w:hAnsi="宋体" w:eastAsia="宋体" w:cs="宋体"/>
          <w:b/>
          <w:bCs/>
          <w:color w:val="auto"/>
          <w:sz w:val="21"/>
          <w:szCs w:val="21"/>
          <w:highlight w:val="none"/>
        </w:rPr>
        <w:t>自拟</w:t>
      </w:r>
      <w:r>
        <w:rPr>
          <w:rFonts w:hint="eastAsia" w:ascii="宋体" w:hAnsi="宋体" w:eastAsia="宋体" w:cs="宋体"/>
          <w:color w:val="auto"/>
          <w:sz w:val="21"/>
          <w:szCs w:val="21"/>
          <w:highlight w:val="none"/>
        </w:rPr>
        <w:t>）；</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）项目管理机构配备情况表及主要人员简历表</w:t>
      </w:r>
      <w:r>
        <w:rPr>
          <w:rFonts w:hint="eastAsia" w:ascii="宋体" w:hAnsi="宋体" w:eastAsia="宋体" w:cs="宋体"/>
          <w:b/>
          <w:color w:val="auto"/>
          <w:sz w:val="21"/>
          <w:szCs w:val="21"/>
          <w:highlight w:val="none"/>
        </w:rPr>
        <w:t>（根据采购需求相关要求提供，格式自拟，必须提供）</w:t>
      </w:r>
      <w:r>
        <w:rPr>
          <w:rFonts w:hint="eastAsia" w:ascii="宋体" w:hAnsi="宋体" w:eastAsia="宋体" w:cs="宋体"/>
          <w:color w:val="auto"/>
          <w:sz w:val="21"/>
          <w:szCs w:val="21"/>
          <w:highlight w:val="none"/>
        </w:rPr>
        <w:t>；</w:t>
      </w:r>
    </w:p>
    <w:p>
      <w:pPr>
        <w:adjustRightInd w:val="0"/>
        <w:snapToGrid w:val="0"/>
        <w:spacing w:line="360" w:lineRule="auto"/>
        <w:ind w:firstLine="416" w:firstLineChars="200"/>
        <w:rPr>
          <w:rFonts w:hint="eastAsia" w:ascii="宋体" w:hAnsi="宋体" w:eastAsia="宋体" w:cs="宋体"/>
          <w:color w:val="auto"/>
          <w:sz w:val="21"/>
          <w:szCs w:val="21"/>
          <w:highlight w:val="none"/>
        </w:rPr>
      </w:pPr>
      <w:r>
        <w:rPr>
          <w:rFonts w:hint="eastAsia" w:ascii="宋体" w:hAnsi="宋体" w:eastAsia="宋体" w:cs="宋体"/>
          <w:snapToGrid w:val="0"/>
          <w:color w:val="auto"/>
          <w:spacing w:val="-1"/>
          <w:kern w:val="0"/>
          <w:sz w:val="21"/>
          <w:szCs w:val="21"/>
          <w:highlight w:val="none"/>
          <w:lang w:eastAsia="zh-CN"/>
        </w:rPr>
        <w:t>（</w:t>
      </w:r>
      <w:r>
        <w:rPr>
          <w:rFonts w:hint="eastAsia" w:ascii="宋体" w:hAnsi="宋体" w:eastAsia="宋体" w:cs="宋体"/>
          <w:snapToGrid w:val="0"/>
          <w:color w:val="auto"/>
          <w:spacing w:val="-1"/>
          <w:kern w:val="0"/>
          <w:sz w:val="21"/>
          <w:szCs w:val="21"/>
          <w:highlight w:val="none"/>
          <w:lang w:val="en-US" w:eastAsia="zh-CN"/>
        </w:rPr>
        <w:t>7</w:t>
      </w:r>
      <w:r>
        <w:rPr>
          <w:rFonts w:hint="eastAsia" w:ascii="宋体" w:hAnsi="宋体" w:eastAsia="宋体" w:cs="宋体"/>
          <w:snapToGrid w:val="0"/>
          <w:color w:val="auto"/>
          <w:spacing w:val="-1"/>
          <w:kern w:val="0"/>
          <w:sz w:val="21"/>
          <w:szCs w:val="21"/>
          <w:highlight w:val="none"/>
          <w:lang w:eastAsia="zh-CN"/>
        </w:rPr>
        <w:t>）</w:t>
      </w:r>
      <w:r>
        <w:rPr>
          <w:rFonts w:hint="eastAsia" w:ascii="宋体" w:hAnsi="宋体" w:eastAsia="宋体" w:cs="宋体"/>
          <w:snapToGrid w:val="0"/>
          <w:color w:val="auto"/>
          <w:spacing w:val="-1"/>
          <w:kern w:val="0"/>
          <w:sz w:val="21"/>
          <w:szCs w:val="21"/>
          <w:highlight w:val="none"/>
        </w:rPr>
        <w:t>拟分包项目情况表（如有）；</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）建设工程项目管理承诺书</w:t>
      </w:r>
      <w:r>
        <w:rPr>
          <w:rFonts w:hint="eastAsia" w:ascii="宋体" w:hAnsi="宋体" w:eastAsia="宋体" w:cs="宋体"/>
          <w:b/>
          <w:color w:val="auto"/>
          <w:sz w:val="21"/>
          <w:szCs w:val="21"/>
          <w:highlight w:val="none"/>
        </w:rPr>
        <w:t>（必须提供）</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）供应商负责过与本项目相类似的成功案例和经验（如有，需提供合同复印件）；</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）采购需求要求提供的材料</w:t>
      </w:r>
      <w:r>
        <w:rPr>
          <w:rFonts w:hint="eastAsia" w:ascii="宋体" w:hAnsi="宋体" w:eastAsia="宋体" w:cs="宋体"/>
          <w:b/>
          <w:bCs/>
          <w:color w:val="auto"/>
          <w:sz w:val="21"/>
          <w:szCs w:val="21"/>
          <w:highlight w:val="none"/>
        </w:rPr>
        <w:t>（格式自拟，如有要求则提供）</w:t>
      </w:r>
    </w:p>
    <w:p>
      <w:pPr>
        <w:adjustRightInd w:val="0"/>
        <w:snapToGrid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）具备履行合同所必需的设备和专业技术能力的证明材料</w:t>
      </w:r>
      <w:r>
        <w:rPr>
          <w:rFonts w:hint="eastAsia" w:ascii="宋体" w:hAnsi="宋体" w:eastAsia="宋体" w:cs="宋体"/>
          <w:b/>
          <w:color w:val="auto"/>
          <w:sz w:val="21"/>
          <w:szCs w:val="21"/>
          <w:highlight w:val="none"/>
        </w:rPr>
        <w:t>；</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）磋商供应商认为需要提供的有关资料</w:t>
      </w:r>
      <w:r>
        <w:rPr>
          <w:rFonts w:hint="eastAsia" w:ascii="宋体" w:hAnsi="宋体" w:eastAsia="宋体" w:cs="宋体"/>
          <w:b/>
          <w:bCs/>
          <w:color w:val="auto"/>
          <w:sz w:val="21"/>
          <w:szCs w:val="21"/>
          <w:highlight w:val="none"/>
          <w:lang w:eastAsia="zh-CN"/>
        </w:rPr>
        <w:t>（格式自拟，如有请提供）</w:t>
      </w:r>
      <w:r>
        <w:rPr>
          <w:rFonts w:hint="eastAsia" w:ascii="宋体" w:hAnsi="宋体" w:eastAsia="宋体" w:cs="宋体"/>
          <w:color w:val="auto"/>
          <w:sz w:val="21"/>
          <w:szCs w:val="21"/>
          <w:highlight w:val="none"/>
        </w:rPr>
        <w:t>。</w:t>
      </w:r>
    </w:p>
    <w:p>
      <w:pPr>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▲特别说明：</w:t>
      </w:r>
      <w:r>
        <w:rPr>
          <w:rFonts w:hint="eastAsia" w:ascii="宋体" w:hAnsi="宋体" w:eastAsia="宋体" w:cs="宋体"/>
          <w:b/>
          <w:color w:val="auto"/>
          <w:sz w:val="21"/>
          <w:szCs w:val="21"/>
          <w:highlight w:val="none"/>
        </w:rPr>
        <w:t>（1）若磋商文件中有专门标注的某关联点，并要求供应商在电子投标系统中作出磋商响应的，如供应商未对关联点进行响应或者在响应文件其它内容进行描述，造成电子评审不能查询的责任由供应商自行承担。</w:t>
      </w:r>
    </w:p>
    <w:p>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（2）磋商文件要求提供的各种复印件，必须加盖磋商供应商CA签章，否则其磋商无效。</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（3）磋商文件要求“必须提供”的证明等材料，磋商供应商必须全部提供，缺一不可，否则磋商无效。</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 计量单位</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8.1除技术要求中另有规定外，本文件所要求使用的计量单位均应采用国家法定计量单位。</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三、报价要求</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9.1对于本文件中未列明，而供应商认为必需的费用也需列入总报价。在合同实施时，采购人将不予支付成交供应商没有列入的项目费用，并认为此项目的费用已包括在总报价中。</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9.2成交供应商负责本项目所需服务及售后服务等全部工作。</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供应商应用大写和小写分别详细填写基础指标报价表。大写和小写不一致的，以大写为准；对不同文字文本竞争性磋商响应文件的解释发生异议的，以中文文本为准。除上述原因以外，如果因供应商原因引起的报价失误，并在磋商时被接受，其后果由供应商自负。</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9.4报价：供应商应就《采购项目需求》中所有的服务内容作完整唯一报价。</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四、竞争性磋商响应文件的封装和递交</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 竞争性磋商响应文件的封装</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10.1电子磋商响应文件中须加盖供应商公章部分均采用 CA 签章，并根据“政府采购项目电子交易管理操作指南-供应商” 及本磋商文件规定的格式和顺序编制电子磋商响应文件并进行关联定位，以便磋商小组在评时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漏读，或者在按采购文件规定的部位查找不到相关内容的，由供应商自行承担。</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10.2磋商响应文件不得涂改，若有修改错漏处，须法定代表人（负责人）或授权委托人签字。磋商响应文件因字迹潦草或表达不清所引起的后果由供应商负责。</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竞争性磋商响应文件的递交</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11.1所有竞争性磋商响应文件应于竞争性磋商文件中规定的时间前上传递交至广西政府采购云平台。</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电子磋商文件的相关说明</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供应商进行电子磋商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补充、修改后重新传输递交。磋商截止时间前未完成传输的，视为撤回磋商响应文件。磋商截止时间后递交的磋商响应文件，电子交易平台将拒收。</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（2）如有特殊情况，采购代理机构延长截止时间和开标时间，采购代理机构和供应商的权利和义务将受到新的截止时间和开标时间的约束。</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11.2竞争性磋商响应文件从响应文件递交截止日期后六十日内有效。</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12.迟交的竞争性磋商响应文件</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12.1在本文件要求竞争性磋商响应文件递交截止时间后送达的竞争性磋商响应文件为无效文件，本代理机构将拒收。</w:t>
      </w:r>
    </w:p>
    <w:p>
      <w:pPr>
        <w:spacing w:line="360" w:lineRule="auto"/>
        <w:ind w:firstLine="420" w:firstLineChars="200"/>
        <w:rPr>
          <w:rFonts w:hint="eastAsia" w:ascii="宋体" w:hAnsi="宋体" w:eastAsia="宋体" w:cs="宋体"/>
          <w:b/>
          <w:snapToGrid w:val="0"/>
          <w:color w:val="auto"/>
          <w:sz w:val="21"/>
          <w:szCs w:val="21"/>
          <w:highlight w:val="none"/>
        </w:rPr>
      </w:pPr>
      <w:r>
        <w:rPr>
          <w:rFonts w:hint="eastAsia" w:ascii="宋体" w:hAnsi="宋体" w:eastAsia="宋体" w:cs="宋体"/>
          <w:color w:val="auto"/>
          <w:sz w:val="21"/>
          <w:szCs w:val="21"/>
          <w:highlight w:val="none"/>
        </w:rPr>
        <w:t>13.</w:t>
      </w:r>
      <w:r>
        <w:rPr>
          <w:rFonts w:hint="eastAsia" w:ascii="宋体" w:hAnsi="宋体" w:eastAsia="宋体" w:cs="宋体"/>
          <w:b/>
          <w:snapToGrid w:val="0"/>
          <w:color w:val="auto"/>
          <w:kern w:val="28"/>
          <w:sz w:val="21"/>
          <w:szCs w:val="21"/>
          <w:highlight w:val="none"/>
        </w:rPr>
        <w:t xml:space="preserve"> 磋商保证金</w:t>
      </w:r>
    </w:p>
    <w:p>
      <w:pPr>
        <w:keepNext w:val="0"/>
        <w:keepLines w:val="0"/>
        <w:pageBreakBefore w:val="0"/>
        <w:widowControl w:val="0"/>
        <w:kinsoku/>
        <w:wordWrap/>
        <w:overflowPunct/>
        <w:topLinePunct w:val="0"/>
        <w:autoSpaceDE/>
        <w:autoSpaceDN/>
        <w:bidi w:val="0"/>
        <w:snapToGrid w:val="0"/>
        <w:spacing w:before="20"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snapToGrid w:val="0"/>
          <w:color w:val="auto"/>
          <w:kern w:val="28"/>
          <w:sz w:val="21"/>
          <w:szCs w:val="21"/>
          <w:highlight w:val="none"/>
        </w:rPr>
        <w:t>13.1</w:t>
      </w:r>
      <w:r>
        <w:rPr>
          <w:rFonts w:hint="eastAsia" w:ascii="宋体" w:hAnsi="宋体" w:eastAsia="宋体" w:cs="宋体"/>
          <w:color w:val="auto"/>
          <w:sz w:val="21"/>
          <w:szCs w:val="21"/>
          <w:highlight w:val="none"/>
        </w:rPr>
        <w:t>采购人在采购文件中要求提交磋商保证金的，磋商保证金的数额不得超过采购项目预算金额的1%，</w:t>
      </w:r>
      <w:r>
        <w:rPr>
          <w:rFonts w:hint="eastAsia" w:ascii="宋体" w:hAnsi="宋体" w:eastAsia="宋体" w:cs="宋体"/>
          <w:color w:val="auto"/>
          <w:sz w:val="21"/>
          <w:szCs w:val="21"/>
          <w:highlight w:val="none"/>
          <w:lang w:eastAsia="zh-CN"/>
        </w:rPr>
        <w:t>本项目磋商</w:t>
      </w:r>
      <w:r>
        <w:rPr>
          <w:rFonts w:hint="eastAsia" w:ascii="宋体" w:hAnsi="宋体" w:eastAsia="宋体" w:cs="宋体"/>
          <w:color w:val="auto"/>
          <w:sz w:val="21"/>
          <w:szCs w:val="21"/>
          <w:highlight w:val="none"/>
        </w:rPr>
        <w:t>保证金（人民币）：</w:t>
      </w:r>
      <w:r>
        <w:rPr>
          <w:rFonts w:hint="eastAsia" w:ascii="宋体" w:hAnsi="宋体" w:cs="宋体"/>
          <w:color w:val="auto"/>
          <w:sz w:val="21"/>
          <w:szCs w:val="21"/>
          <w:highlight w:val="none"/>
          <w:lang w:val="en-US" w:eastAsia="zh-CN"/>
        </w:rPr>
        <w:t>6000.00元</w:t>
      </w:r>
      <w:r>
        <w:rPr>
          <w:rFonts w:hint="eastAsia" w:ascii="宋体" w:hAnsi="宋体" w:eastAsia="宋体" w:cs="宋体"/>
          <w:color w:val="auto"/>
          <w:sz w:val="21"/>
          <w:szCs w:val="21"/>
          <w:highlight w:val="none"/>
          <w:lang w:val="en-US" w:eastAsia="zh-CN"/>
        </w:rPr>
        <w:t>，采用</w:t>
      </w:r>
      <w:r>
        <w:rPr>
          <w:rFonts w:hint="eastAsia" w:ascii="宋体" w:hAnsi="宋体" w:eastAsia="宋体" w:cs="宋体"/>
          <w:color w:val="auto"/>
          <w:highlight w:val="none"/>
        </w:rPr>
        <w:t>银行转账、电汇或网上支付、银行保函。禁止采用现钞交纳方式。【备注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严禁要求投标人只能以现金方式提交保证金的行为。采用银行保函方式的，必须为无条件保函，保函有效期不得低于投标有效期。】</w:t>
      </w:r>
    </w:p>
    <w:p>
      <w:pPr>
        <w:keepNext w:val="0"/>
        <w:keepLines w:val="0"/>
        <w:pageBreakBefore w:val="0"/>
        <w:widowControl w:val="0"/>
        <w:kinsoku/>
        <w:wordWrap/>
        <w:overflowPunct/>
        <w:topLinePunct w:val="0"/>
        <w:autoSpaceDE/>
        <w:autoSpaceDN/>
        <w:bidi w:val="0"/>
        <w:snapToGrid w:val="0"/>
        <w:spacing w:before="20"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投标保证金不足额缴纳的，或银行保函额度不足的，其投标无效。</w:t>
      </w:r>
    </w:p>
    <w:p>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磋商保证金收取银行账户</w:t>
      </w:r>
    </w:p>
    <w:p>
      <w:pPr>
        <w:widowControl/>
        <w:adjustRightInd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开户名称：广西延信工程项目管理有限公司</w:t>
      </w:r>
    </w:p>
    <w:p>
      <w:pPr>
        <w:widowControl/>
        <w:adjustRightInd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开户银行：中国建设银行股份有限公司北海银海支行</w:t>
      </w:r>
    </w:p>
    <w:p>
      <w:pPr>
        <w:widowControl/>
        <w:adjustRightInd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银行账号：45050165004209999999</w:t>
      </w:r>
    </w:p>
    <w:p>
      <w:pPr>
        <w:widowControl/>
        <w:adjustRightInd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13.2</w:t>
      </w:r>
      <w:r>
        <w:rPr>
          <w:rFonts w:hint="eastAsia" w:ascii="宋体" w:hAnsi="宋体" w:eastAsia="宋体" w:cs="宋体"/>
          <w:color w:val="auto"/>
          <w:sz w:val="21"/>
          <w:szCs w:val="21"/>
          <w:highlight w:val="none"/>
        </w:rPr>
        <w:t>磋商供应商</w:t>
      </w:r>
      <w:r>
        <w:rPr>
          <w:rFonts w:hint="eastAsia" w:ascii="宋体" w:hAnsi="宋体" w:eastAsia="宋体" w:cs="宋体"/>
          <w:snapToGrid w:val="0"/>
          <w:color w:val="auto"/>
          <w:kern w:val="28"/>
          <w:sz w:val="21"/>
          <w:szCs w:val="21"/>
          <w:highlight w:val="none"/>
        </w:rPr>
        <w:t>在响应文件提交截止时间前撤回已提交的响应文件的，采购人或者采购代理机构应当自收到</w:t>
      </w:r>
      <w:r>
        <w:rPr>
          <w:rFonts w:hint="eastAsia" w:ascii="宋体" w:hAnsi="宋体" w:eastAsia="宋体" w:cs="宋体"/>
          <w:color w:val="auto"/>
          <w:sz w:val="21"/>
          <w:szCs w:val="21"/>
          <w:highlight w:val="none"/>
        </w:rPr>
        <w:t>磋商供应商</w:t>
      </w:r>
      <w:r>
        <w:rPr>
          <w:rFonts w:hint="eastAsia" w:ascii="宋体" w:hAnsi="宋体" w:eastAsia="宋体" w:cs="宋体"/>
          <w:snapToGrid w:val="0"/>
          <w:color w:val="auto"/>
          <w:kern w:val="28"/>
          <w:sz w:val="21"/>
          <w:szCs w:val="21"/>
          <w:highlight w:val="none"/>
        </w:rPr>
        <w:t>书面撤回通知之日起</w:t>
      </w:r>
      <w:r>
        <w:rPr>
          <w:rFonts w:hint="eastAsia" w:ascii="宋体" w:hAnsi="宋体" w:eastAsia="宋体" w:cs="宋体"/>
          <w:snapToGrid w:val="0"/>
          <w:color w:val="auto"/>
          <w:kern w:val="28"/>
          <w:sz w:val="21"/>
          <w:szCs w:val="21"/>
          <w:highlight w:val="none"/>
          <w:lang w:val="en-US" w:eastAsia="zh-CN"/>
        </w:rPr>
        <w:t>5</w:t>
      </w:r>
      <w:r>
        <w:rPr>
          <w:rFonts w:hint="eastAsia" w:ascii="宋体" w:hAnsi="宋体" w:eastAsia="宋体" w:cs="宋体"/>
          <w:snapToGrid w:val="0"/>
          <w:color w:val="auto"/>
          <w:kern w:val="28"/>
          <w:sz w:val="21"/>
          <w:szCs w:val="21"/>
          <w:highlight w:val="none"/>
        </w:rPr>
        <w:t>个工作日内，退还已收取的</w:t>
      </w:r>
      <w:r>
        <w:rPr>
          <w:rFonts w:hint="eastAsia" w:ascii="宋体" w:hAnsi="宋体" w:eastAsia="宋体" w:cs="宋体"/>
          <w:color w:val="auto"/>
          <w:sz w:val="21"/>
          <w:szCs w:val="21"/>
          <w:highlight w:val="none"/>
        </w:rPr>
        <w:t>磋商</w:t>
      </w:r>
      <w:r>
        <w:rPr>
          <w:rFonts w:hint="eastAsia" w:ascii="宋体" w:hAnsi="宋体" w:eastAsia="宋体" w:cs="宋体"/>
          <w:snapToGrid w:val="0"/>
          <w:color w:val="auto"/>
          <w:kern w:val="28"/>
          <w:sz w:val="21"/>
          <w:szCs w:val="21"/>
          <w:highlight w:val="none"/>
        </w:rPr>
        <w:t>保证金，但因</w:t>
      </w:r>
      <w:r>
        <w:rPr>
          <w:rFonts w:hint="eastAsia" w:ascii="宋体" w:hAnsi="宋体" w:eastAsia="宋体" w:cs="宋体"/>
          <w:color w:val="auto"/>
          <w:sz w:val="21"/>
          <w:szCs w:val="21"/>
          <w:highlight w:val="none"/>
        </w:rPr>
        <w:t>磋商供应商</w:t>
      </w:r>
      <w:r>
        <w:rPr>
          <w:rFonts w:hint="eastAsia" w:ascii="宋体" w:hAnsi="宋体" w:eastAsia="宋体" w:cs="宋体"/>
          <w:snapToGrid w:val="0"/>
          <w:color w:val="auto"/>
          <w:kern w:val="28"/>
          <w:sz w:val="21"/>
          <w:szCs w:val="21"/>
          <w:highlight w:val="none"/>
        </w:rPr>
        <w:t>自身原因导致无法及时退还的除外。</w:t>
      </w:r>
    </w:p>
    <w:p>
      <w:pPr>
        <w:widowControl/>
        <w:adjustRightInd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采购人或者采购代理机构应当自成交通知书发出之日起5个工作日内退还未成交供应商的磋商保证金，自采购合同签订之日起5个工作日内退还成交供应商的磋商保证金或者转为成交供应商的履约保证金。</w:t>
      </w:r>
    </w:p>
    <w:p>
      <w:pPr>
        <w:widowControl/>
        <w:adjustRightInd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采购人或者采购代理机构逾期退还磋商保证金的，除应当退还磋商保证金本金外，还应当按中国人民银行同期贷款基准利率上浮20％后的利率支付超期资金占用费，但因磋商供应商自身原因导致无法及时退还的除外。</w:t>
      </w:r>
    </w:p>
    <w:p>
      <w:pPr>
        <w:adjustRightInd w:val="0"/>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28"/>
          <w:sz w:val="21"/>
          <w:szCs w:val="21"/>
          <w:highlight w:val="none"/>
        </w:rPr>
        <w:t>13.3有下列情形之一的，磋商保证金不予退还：（一）供应商在提交响应文件截止时间后撤回响应文件的，但在提交最后报价之前退出磋商的情况除；（二）供应商在响应文件中提供虚假材料的；（三）除因不可抗力或磋商文件认可的情形以外，成交供应商不与采购人签订合同的；（四）供应商与采购人、其他供应商或者采购代理机构恶意串通的；（五）磋商文件规定的其他情形。</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五、</w:t>
      </w:r>
      <w:r>
        <w:rPr>
          <w:rFonts w:hint="eastAsia" w:ascii="宋体" w:hAnsi="宋体" w:eastAsia="宋体" w:cs="宋体"/>
          <w:b/>
          <w:color w:val="auto"/>
          <w:sz w:val="21"/>
          <w:szCs w:val="21"/>
          <w:highlight w:val="none"/>
        </w:rPr>
        <w:t>磋</w:t>
      </w:r>
      <w:r>
        <w:rPr>
          <w:rFonts w:hint="eastAsia" w:ascii="宋体" w:hAnsi="宋体" w:eastAsia="宋体" w:cs="宋体"/>
          <w:b/>
          <w:bCs/>
          <w:color w:val="auto"/>
          <w:sz w:val="21"/>
          <w:szCs w:val="21"/>
          <w:highlight w:val="none"/>
        </w:rPr>
        <w:t>商程序及评审方法</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14．磋商程序</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14.1磋商截止时间后，主持人宣布磋商开始。</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14.2供应商登录广西政府采购云平台，用“项目采购-开标评标”功能对电子磋商响应文件进行在线解密。在线解密电子磋商响应文件时间为开标时间起半小时内。</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14.3磋商小组对磋商响应文件进行评估和比较。</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14.4以广西政府采购云平台中“项目采购”应用模块获取磋商文件顺序确定各供应商磋商、顺序。</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14.5磋商小组与单一供应商分别进行磋商。（磋商时供应商的技术资料、价格和其他信息在评审、磋商过程中保密）</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14.6磋商小组要求所有实质性响应的供应商在规定时间内提交最后报价（只公开最后报价，最后报价不得高于初次报价）。</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14.7由磋商小组采用综合评分法对提交最后报价的供应商的响应文件和最后报价进行综合评审，在符合采购需求、质量和服务要求的前提下，按评审得分从高到低顺序推荐确定成交候选供应商。</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特别说明：广西政府采购云平台如对电子化磋商及评审程序有调整的，按调整后的程序操作。</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15.采购过程中出现以下情形，导致电子交易平台无法正常运行，或者无法保证电子交易的公平、公正和安全时，采购组织机构可中止电子交易活动：</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15.1电子交易平台发生故障而无法登录访问的；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15.2电子交易平台应用或数据库出现错误，不能进行正常操作的；</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15.3电子交易平台发现严重安全漏洞，有潜在泄密危险的；</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15.4病毒发作导致不能进行正常操作的；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15.5其他无法保证电子交易的公平、公正和安全的情况。</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16．磋商内容</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16.1本次磋商内容为在磋商文件范围内就供应商的磋商响应文件，磋商小组与供应商在技术、价格、服务、合同等问题进行磋商，最终确定成交与否。</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16.2磋商应作书面记录，供应商并就磋商内容作出书面承诺，并由供应商法定代表人或其授权委托人签字后生效，作为磋商响应文件的一部分。</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16.3磋商文件有实质性变动的，磋商小组以书面形式通知所有参加磋商的供应商。</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17．磋商</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17.1磋商小组由采购人、集中采购机构依法组建，负责评审活动。磋商小组遵循公开、公平、公正、科学合理、竞争择优的原则。</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17.2磋商小组由采购人代表和有关方面专家组成，成员人数为3人以上单数。</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17.3磋商小组负责对供应商资格的最终审定。</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17.4磋商小组可以要求供应商对其磋商响应文件中含义不明确的内容作必要的澄清或者说明，但澄清或者说明不得超过磋商响应文件的范围或者改变磋商响应文件的实质性内容。</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17.5磋商小组对磋商响应文件的判定，只依据磋商响应文件和磋商文件内容本身，不依据任何外来证明。</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17.6磋商小组不向落标方解释落标的原因，不退还磋商响应文件。</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18．磋商响应文件的初审鉴定</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18.1资格性审查</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18.1.1依据法律、法规和磋商文件规定，对磋商响应文件提供的资格证明及通过“信用中国”网站（www.creditchina.gov.cn）和中国政府采购网（www.ccgp.gov.cn）查询的相关供应商主体信用记录（查询截止时点为磋商当日）等进行审查，以确定供应商是否具备磋商资格。</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18.2符合性审查</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18.2.1磋商时，磋商小组将首先评定每份磋商响应文件是否在实质上响应了磋商文件要求。所谓实质上的响应，是指磋商响应文件与磋商文件的所有实质性条款、条件和要求相符，无显著差异或保留，或者对合同中约定的采购人的权利和供应商的义务方面造成重大的限制，纠正这些显著差异或保留将会对其他实质上响应磋商文件要求的供应商的竞争地位产生不公正的影响。</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18.3如果磋商响应文件实质不响应磋商文件的各项要求，磋商小组将予以拒绝，并且不允许供应商通过修改或撤销其不符合要求的差异或保留，使之成为具有响应性的磋商。</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 对明显的文字和计算错误的修正原则</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19.1磋商响应文件中报价一览表（报价表）内容与磋商响应文件中相应内容不一致的，以报价一览表（报价表）为准；</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19.2大写金额和小写金额不一致的，以大写金额为准；</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19.3单价金额小数点或者百分比有明显错位的，以开标一览表的总价为准，并修改单价；</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19.4总价金额与按单价汇总金额不一致的，以单价金额计算结果为准。</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同时出现两种以上不一致的，按照前款规定的顺序修正。修正后的报价经磋商响应人确认后产生约束力，磋商响应人不确认的，其磋商无效。</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20.磋商响应文件的评审、比较和否决</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20.1磋商小组将对在实质上响应磋商文件要求的磋商响应文件进行评估和比较。</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20.2在评审过程中，磋商小组可以书面形式要求供应商就磋商响应文件含义不明确的内容进行书面说明并提供相关材料。</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20.3在磋商过程中，如发现与磋商文件要求相偏离的，磋商小组应对其偏离情形进行必要的书面核实。</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20.4在评审过程中，如属于实质性偏离或符合无效响应条件的，应当询问相关供应商，并允许其进行陈述申辩，但不允许对偏离条款撤回。</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20.5比较与评价。磋商小组依据磋商文件规定的评审标准和方法，对磋商响应文件进行商务和技术评估，综合比较与评价。</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20.6汇总（商务技术得分情况）。磋商小组各成员应当独立对每个供应商的磋商响应文件进行评价，并汇总商务技术得分情况。</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20.7 报价评审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20.7.1根据财政部发布的《政府采购促进中小企业发展管理办法》规定，对于非专门面向中小企业的项目，对小型和微型企业产品的价格给予一定的扣除，用扣除后的价格参与评审。</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20.7.2供应商存在以下报价情形的，磋商无效</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响应文件未提供“供应商须知前附表” 报价文件中规定的“竞标报价表”的；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2）未采用人民币报价或者未按照磋商文件标明的币种报价的；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竞标报价（包含首次报价、最后报价）超过所竞标分标规定的采购预算金额或者最高限价的（如本项目公布了最高限价）；竞标报价（包含首次报价、最后报价）超过磋商文件分项采购预算金额或者最高限价的（如本项目有要求并公布了分项采购预算金额或者最高限价）；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6）在单价合同工程中供应商采用总价优惠或以总价百分比优惠的方式进行竞标报价的；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7）竞标总报价与已标价工程量清单汇总表不一致的；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8）安全文明施工费和规费、增值税不按广西区费用定额及造价管理相关文件规定报价的（园林绿化及仿古建筑工程除外）；（适用于房屋建筑和市政工程项目）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9）供应商已标价工程量清单的项目编码（12位）、计量单位、工程量任何一处与工程量清单不一致的；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10）供应商已标价工程量清单的项目名称或项目特征与工程量清单不一致，磋商小组要求澄清、说明或补正，但供应商拒绝澄清、说明或补正的；（适用于房屋建筑和市政工程项目）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11）设有暂估价、暂列金额的，竞标时未按工程量清单给出的暂估价总价、暂列金额总价计入竞标总报价中的；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12）供应商对工程量清单内容进行增减或对竞标范围进行调整的；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13）响应文件响应的标的数量及单位与竞争性磋商采购文件要求实质性不一致的；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14）未响应磋商文件实质性要求的。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8.8评标委员会依据磋商文件规定的评审标准和方法，对磋商响应文件进行评审和比较后，向XX代理机构提供书面磋商报告，并按得分高低排序推荐成交候选供应商。</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9.磋商响应文件的澄清</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为有利于对磋商响应文件的比较和评议，磋商小组可要求供应商对磋商响应文件进行澄清，必要时磋商小组可要求供应商对澄清的问题作出书面答复。</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中需要供应商对磋商响应文件作出澄清、说明或者补正的，磋商小组和供应商应当通过广西政府采购云平台交换数据电文。给予供应商提交澄清说明或补正的时间不少于半小时，供应商已经明确表示澄清说明或补正完毕的除外。</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供应商通过广西政府采购云平台交换的数据电文必须进行电子签章。</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21．无效磋商的情形</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磋商响应文件有下列情形之一的作无效磋商响应处理：</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21.1未按照磋商文件规定要求签署、盖章的；</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21.2单位负责人为同一人或者存在直接控股、管理关系的不同供应商参加同一合同项下的政府采购活动的（均无效）；</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21.3为采购项目提供整体设计、规范编制或者项目管理、监理、检测等服务的供应商参加该采购项目的其他采购活动的； </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21.4供应商不具备磋商文件中规定的资格要求的（供应商未提供有效的资格证明文件的，视为其不具备磋商文件中规定的资格要求）；</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21.5 《法定代表人身份证明书》与提供的身份证复印件信息不符的；《法定代表人授权委托书》与提供的身份证复印件信息不符的；</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21.6《法定代表人授权委托书》或《法定代表人身份证明书》填写不全、错误、未加盖公章(《法定代表人授权委托书》要求“盖章”和“签字”缺一不可）的；</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21.7磋商响应文件中的磋商响应函未加盖供应商的企业公章或填写不全的；</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21.8报价一经涂改，未在涂改处加盖磋商响应单位公章或者未经法定代表人或授权代表签字或盖章的；</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21.9磋商响应文件中未按磋商文件规定的格式填写，或未详细应答磋商服务（或技术或产品等要求），经磋商后仍无法详细应答或应答不完整有缺失，致使磋商小组无法评审的；</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21.10出现同一标的物或本次磋商产品(服务)内的主要产品(重要组成部分)出现商务技术（资信）文件资料、报价文件资料描述不一致或前后描述不一致，经磋商小组认定后为无法评审的；</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21.11《技术偏离说明表》不真实填写或弄虚作假的；</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21.12磋商响应文件有采购人不能接受的条件；</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21.13最后报价超过预算金额或上限价的；</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21.14磋商小组认定有重大偏差或实质性不响应磋商文件要求的；</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21.15采购人拟采购的产品属于政府强制采购的节能产品品目清单范围的，供应商未按磋商文件要求提供国家确定的认证机构出具的、处于有效期之内的节能产品认证证书的；</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21.16《报价一览表》填写不完整或字迹不能辨认或有漏项的；</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21.17供应商对根据修正原则修正后的报价不确认的；</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21.18供应商提供虚假材料磋商的（包括但不限于以下情节）；</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21.18.1使用伪造、变造的许可证件；</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21.18.2提供虚假的财务状况或者业绩；</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21.18.3提供虚假的项目负责人或者主要技术人员简历、劳动关系证明；</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21.18.4提供虚假的信用状况；</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21.18.5其他弄虚作假的行为。</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21.19有下列情形之一的，视为供应商串通磋商，其磋商无效：</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21.19.1不同供应商的磋商响应文件由同一单位或者个人编制；</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21.19.2不同供应商委托同一单位或者个人办理磋商事宜；</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21.19.3不同供应商的磋商响应文件载明的项目管理成员或者联系人员为同一人；</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21.19.4不同供应商的磋商响应文件异常一致或者磋商报价呈规律性差异；</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21.19.5不同供应商的磋商响应文件相互混装；</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21.20有下列情形之一的，属于恶意串通，其磋商无效：</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21.20.1供应商直接或者间接从采购人或者采购机构处获得其他供应商的相关情况并修改其磋商文件或者响应文件；</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21.20.2供应商按照采购人或者采购机构的授意撤换、修改磋商文件或者响应文件；</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21.20.3供应商之间协商报价、技术方案等磋商文件或者响应文件的实质性内容；</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21.20.4属于同一集团、协会、商会等组织成员的供应商按照该组织要求协同参加政府采购活动；</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21.20.5供应商之间事先约定由某一特定供应商成交；</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21.20.6供应商之间商定部分供应商放弃参加政府采购活动或者放弃成交；</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21.20.7供应商与采购人或者采购机构之间、供应商相互之间，为谋求特定供应商成交或者排斥其他供应商的其他串通行为。</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21.21其他违反法律、法规的情形。</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磋商过程保密</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磋商活动在严格保密的情况下进行。磋商过程中凡是与磋商响应文件评审和比较、成交供应商推荐等磋商有关的情况和评审文件的，以及涉及国家秘密和商业秘密等信息，磋商小组成员、采购人和采购机构工作人员、相关监督人员等与评审有关的人员应当予以保密。</w:t>
      </w:r>
    </w:p>
    <w:p>
      <w:pPr>
        <w:pStyle w:val="25"/>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 在磋商期间，供应商企图影响采购人、集中采购机构或磋商小组的任何活动，都将导致磋商被拒绝，并由其承担相应的法律责任。</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六、确定成交供应商办法</w:t>
      </w:r>
    </w:p>
    <w:p>
      <w:pPr>
        <w:widowControl/>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23.1根据以下原则确定成交供应商：</w:t>
      </w:r>
      <w:r>
        <w:rPr>
          <w:rFonts w:hint="eastAsia" w:ascii="宋体" w:hAnsi="宋体" w:eastAsia="宋体" w:cs="宋体"/>
          <w:color w:val="auto"/>
          <w:sz w:val="21"/>
          <w:szCs w:val="21"/>
          <w:highlight w:val="none"/>
        </w:rPr>
        <w:t>确定成交供应商。采购代理机构应当在评审结束后2个工作日内将评审报告送采购人确认。采购人应当在收到评审报告后2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pStyle w:val="25"/>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七、成交结果公告</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24.1自成交人确定之日起2个工作日内，采购代理机构通过电子交易平台向成交人发出成交通知书，同时编制发布采购成交结果公告。</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24.2成交结果公告内容包括采购人及其委托的采购代理机构的名称、地址、联系方式，项目名称和项目编号，成交人名称、地址和成交金额，主要成交标的的名称、规格型号、数量、单价、服务要求，</w:t>
      </w:r>
      <w:bookmarkStart w:id="36" w:name="_Hlk101184471"/>
      <w:r>
        <w:rPr>
          <w:rFonts w:hint="eastAsia" w:ascii="宋体" w:hAnsi="宋体" w:eastAsia="宋体" w:cs="宋体"/>
          <w:color w:val="auto"/>
          <w:sz w:val="21"/>
          <w:szCs w:val="21"/>
          <w:highlight w:val="none"/>
        </w:rPr>
        <w:t>评审专家抽取规则、</w:t>
      </w:r>
      <w:bookmarkEnd w:id="36"/>
      <w:r>
        <w:rPr>
          <w:rFonts w:hint="eastAsia" w:ascii="宋体" w:hAnsi="宋体" w:eastAsia="宋体" w:cs="宋体"/>
          <w:color w:val="auto"/>
          <w:sz w:val="21"/>
          <w:szCs w:val="21"/>
          <w:highlight w:val="none"/>
        </w:rPr>
        <w:t>未成交情况说明、成交公告期限以及评审专家名单、成交供应商和未成交供应商的评审总得分及排名。</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24.3公告期限为1个工作日。</w:t>
      </w:r>
    </w:p>
    <w:p>
      <w:pPr>
        <w:pStyle w:val="25"/>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八、履约保证金</w:t>
      </w:r>
    </w:p>
    <w:p>
      <w:pPr>
        <w:tabs>
          <w:tab w:val="left" w:pos="0"/>
        </w:tabs>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w:t>
      </w:r>
      <w:r>
        <w:rPr>
          <w:rFonts w:hint="eastAsia" w:ascii="宋体" w:hAnsi="宋体" w:eastAsia="宋体" w:cs="宋体"/>
          <w:color w:val="auto"/>
          <w:kern w:val="0"/>
          <w:sz w:val="21"/>
          <w:szCs w:val="21"/>
          <w:highlight w:val="none"/>
        </w:rPr>
        <w:t>拟签订的合同文本要求成交供应商提交履约保证金的，供应商应当以支票、汇票、本票或者金融机构、担保机构出具的保函等非现金形式提交</w:t>
      </w:r>
      <w:r>
        <w:rPr>
          <w:rFonts w:hint="eastAsia" w:ascii="宋体" w:hAnsi="宋体" w:eastAsia="宋体" w:cs="宋体"/>
          <w:color w:val="auto"/>
          <w:sz w:val="21"/>
          <w:szCs w:val="21"/>
          <w:highlight w:val="none"/>
        </w:rPr>
        <w:t>。履约保证金数额不得超过政府采购合同金额的5%；加大对中小企业发展的扶持力度，对中小企业收取的履约保证金数额不得超过政府采购合同金额的2%。</w:t>
      </w:r>
      <w:r>
        <w:rPr>
          <w:rFonts w:hint="eastAsia" w:ascii="宋体" w:hAnsi="宋体" w:eastAsia="宋体" w:cs="宋体"/>
          <w:color w:val="auto"/>
          <w:kern w:val="0"/>
          <w:sz w:val="21"/>
          <w:szCs w:val="21"/>
          <w:highlight w:val="none"/>
        </w:rPr>
        <w:t>成交</w:t>
      </w:r>
      <w:r>
        <w:rPr>
          <w:rFonts w:hint="eastAsia" w:ascii="宋体" w:hAnsi="宋体" w:eastAsia="宋体" w:cs="宋体"/>
          <w:color w:val="auto"/>
          <w:sz w:val="21"/>
          <w:szCs w:val="21"/>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延迟退还的，应当按照合同约定和法律规定承担相应的赔偿责任。</w:t>
      </w:r>
    </w:p>
    <w:p>
      <w:pPr>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pPr>
        <w:adjustRightInd w:val="0"/>
        <w:snapToGrid w:val="0"/>
        <w:spacing w:line="360" w:lineRule="auto"/>
        <w:ind w:firstLine="48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25.3履约保证金的退还。验收合格的政府采购项目，采购人应当按照合同约定的退还方式，在5个工作日内办理履约保证金退还手续。</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九、签订合同</w:t>
      </w:r>
    </w:p>
    <w:p>
      <w:pPr>
        <w:adjustRightInd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26.1成交通知书发出后，采购人不得违法改变成交结果，成交供应商无正当理由不得放弃成交，否则，按政府采购采购相关规定处理。</w:t>
      </w:r>
    </w:p>
    <w:p>
      <w:pPr>
        <w:adjustRightInd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pPr>
        <w:adjustRightInd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26.3采购人应当自成交通知书发出之日起25日内，按照磋商采购文件和成交供应商磋商响应文件的规定，与成交供应商签订书面合同。所签订的合同不得对磋商采购文件确定的事项和成交供应商磋商响应文件作实质性修改。采购人不得向成交供应商提出任何不合理的要求作为签订合同的条件。</w:t>
      </w:r>
    </w:p>
    <w:p>
      <w:pPr>
        <w:adjustRightInd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26.4政府采购合同应当包括采购人与成交供应商的名称和住所、标的、数量、质量、价款或者报酬、履行期限及地点和方式、验收要求、违约责任、解决争议的方法等内容。政府采购合同签订当日，将政府采购合同送本代理机构备案。</w:t>
      </w:r>
    </w:p>
    <w:p>
      <w:pPr>
        <w:adjustRightInd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26.5采购人与成交供应商应当根据合同的约定依法履行合同义务。政府采购合同的履行、违约责任和解决争议的方法等适用《中华人民共和国民法典》。</w:t>
      </w:r>
    </w:p>
    <w:p>
      <w:pPr>
        <w:adjustRightInd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26.6采购人应当及时对采购项目进行验收。采购人可以邀请参加本项目的其他供应商或者第三方机构参与验收。参与验收的供应商或者第三方机构的意见作为验收书的参考资料一并存档。</w:t>
      </w:r>
    </w:p>
    <w:p>
      <w:pPr>
        <w:adjustRightInd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26.7采购人应当加强对成交供应商的履约管理，并按照采购合同约定，及时向成交供应商支付采购资金。对于成交供应商违反采购合同约定的行为，采购人应当及时处理，依法追究其违约责任。</w:t>
      </w:r>
    </w:p>
    <w:p>
      <w:pPr>
        <w:pStyle w:val="90"/>
        <w:snapToGrid w:val="0"/>
        <w:spacing w:before="0"/>
        <w:ind w:firstLine="48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26.</w:t>
      </w:r>
      <w:r>
        <w:rPr>
          <w:rFonts w:hint="eastAsia" w:ascii="宋体" w:hAnsi="宋体" w:eastAsia="宋体" w:cs="宋体"/>
          <w:color w:val="auto"/>
          <w:sz w:val="21"/>
          <w:szCs w:val="21"/>
          <w:highlight w:val="none"/>
        </w:rPr>
        <w:t>8政采贷</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（四）贷款发放。贷款金融机构根据贷款协议向供应商发放贷款。</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（五）按期还款。供应商获得贷款后应自觉履行政府采购合同，合同履行完毕后，采购单位根据合同约定时间和账户信息，严格按照财政资金管理的相关规定，及时将资金支付到采购合同收款账户。</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（六）业务终止。贷款偿清后，贷款金融机构或北海市小微企业融资担保有限公司及时办理应收账款质押注销登记，业务终止。</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注：相关合作银行的具体操作流程详见北海市政府采购中心首页“政采贷”板块。</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供应商成交后可在“广西政府采购云”平台申请政采贷：操作路径：登录广西政府采购云平台-金融服务中心-【融资服务】，可在热门申请中选择产品直接申请。详见如下：</w:t>
      </w:r>
    </w:p>
    <w:p>
      <w:pPr>
        <w:adjustRightInd w:val="0"/>
        <w:snapToGrid w:val="0"/>
        <w:spacing w:line="360" w:lineRule="auto"/>
        <w:ind w:firstLine="48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1.有贷款需求的供应商可以访问“广西政府采购云平台-金融服务-融资服务”栏目办理有关业务（链接：</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"https://jinrong.gcy.zfcg.gxzf.gov.cn/finance/loan/gx"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kern w:val="0"/>
          <w:sz w:val="21"/>
          <w:szCs w:val="21"/>
          <w:highlight w:val="none"/>
        </w:rPr>
        <w:t>https</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//jinrong.gcy.zfcg.gxzf.gov.cn/finance/loan/gx</w:t>
      </w:r>
      <w:r>
        <w:rPr>
          <w:rFonts w:hint="eastAsia" w:ascii="宋体" w:hAnsi="宋体" w:eastAsia="宋体" w:cs="宋体"/>
          <w:color w:val="auto"/>
          <w:kern w:val="0"/>
          <w:sz w:val="21"/>
          <w:szCs w:val="21"/>
          <w:highlight w:val="none"/>
        </w:rPr>
        <w:fldChar w:fldCharType="end"/>
      </w:r>
      <w:r>
        <w:rPr>
          <w:rFonts w:hint="eastAsia" w:ascii="宋体" w:hAnsi="宋体" w:eastAsia="宋体" w:cs="宋体"/>
          <w:color w:val="auto"/>
          <w:kern w:val="0"/>
          <w:sz w:val="21"/>
          <w:szCs w:val="21"/>
          <w:highlight w:val="none"/>
        </w:rPr>
        <w:t>）</w:t>
      </w:r>
    </w:p>
    <w:p>
      <w:pPr>
        <w:adjustRightInd w:val="0"/>
        <w:snapToGrid w:val="0"/>
        <w:spacing w:line="360" w:lineRule="auto"/>
        <w:ind w:firstLine="48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2.合作银行咨询办理</w:t>
      </w:r>
    </w:p>
    <w:tbl>
      <w:tblPr>
        <w:tblStyle w:val="39"/>
        <w:tblW w:w="10219" w:type="dxa"/>
        <w:jc w:val="center"/>
        <w:tblInd w:w="-2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1416"/>
        <w:gridCol w:w="1533"/>
        <w:gridCol w:w="1247"/>
        <w:gridCol w:w="843"/>
        <w:gridCol w:w="3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银行名称</w:t>
            </w:r>
          </w:p>
        </w:tc>
        <w:tc>
          <w:tcPr>
            <w:tcW w:w="1416"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联系电话</w:t>
            </w:r>
          </w:p>
        </w:tc>
        <w:tc>
          <w:tcPr>
            <w:tcW w:w="153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最高授信金额</w:t>
            </w:r>
          </w:p>
        </w:tc>
        <w:tc>
          <w:tcPr>
            <w:tcW w:w="1247"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最长授信期限</w:t>
            </w:r>
          </w:p>
        </w:tc>
        <w:tc>
          <w:tcPr>
            <w:tcW w:w="84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最低利率</w:t>
            </w:r>
          </w:p>
        </w:tc>
        <w:tc>
          <w:tcPr>
            <w:tcW w:w="3947"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流程简介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 w:hRule="atLeast"/>
          <w:jc w:val="center"/>
        </w:trPr>
        <w:tc>
          <w:tcPr>
            <w:tcW w:w="123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建设银行</w:t>
            </w:r>
          </w:p>
        </w:tc>
        <w:tc>
          <w:tcPr>
            <w:tcW w:w="1416"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13077729988</w:t>
            </w:r>
          </w:p>
        </w:tc>
        <w:tc>
          <w:tcPr>
            <w:tcW w:w="153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最高3千万</w:t>
            </w:r>
          </w:p>
        </w:tc>
        <w:tc>
          <w:tcPr>
            <w:tcW w:w="1247"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1年</w:t>
            </w:r>
          </w:p>
        </w:tc>
        <w:tc>
          <w:tcPr>
            <w:tcW w:w="84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3947"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开设账号</w:t>
            </w:r>
            <w:r>
              <w:rPr>
                <w:rFonts w:hint="eastAsia" w:ascii="宋体" w:hAnsi="宋体" w:eastAsia="宋体" w:cs="宋体"/>
                <w:color w:val="auto"/>
                <w:kern w:val="0"/>
                <w:sz w:val="20"/>
                <w:szCs w:val="20"/>
                <w:highlight w:val="none"/>
                <w:lang w:val="en-US" w:eastAsia="zh-CN"/>
              </w:rPr>
              <w:t>,</w:t>
            </w:r>
            <w:r>
              <w:rPr>
                <w:rFonts w:hint="eastAsia" w:ascii="宋体" w:hAnsi="宋体" w:eastAsia="宋体" w:cs="宋体"/>
                <w:color w:val="auto"/>
                <w:kern w:val="0"/>
                <w:sz w:val="20"/>
                <w:szCs w:val="20"/>
                <w:highlight w:val="none"/>
              </w:rPr>
              <w:t>线下提供申请材料</w:t>
            </w:r>
            <w:r>
              <w:rPr>
                <w:rFonts w:hint="eastAsia" w:ascii="宋体" w:hAnsi="宋体" w:eastAsia="宋体" w:cs="宋体"/>
                <w:color w:val="auto"/>
                <w:kern w:val="0"/>
                <w:sz w:val="20"/>
                <w:szCs w:val="20"/>
                <w:highlight w:val="none"/>
                <w:lang w:val="en-US" w:eastAsia="zh-CN"/>
              </w:rPr>
              <w:t>,</w:t>
            </w:r>
            <w:r>
              <w:rPr>
                <w:rFonts w:hint="eastAsia" w:ascii="宋体" w:hAnsi="宋体" w:eastAsia="宋体" w:cs="宋体"/>
                <w:color w:val="auto"/>
                <w:kern w:val="0"/>
                <w:sz w:val="20"/>
                <w:szCs w:val="20"/>
                <w:highlight w:val="none"/>
              </w:rPr>
              <w:t>进入贷款审批流程</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贷款审批通过后可自主用款</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银行官方网银可自主还款。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中国银行</w:t>
            </w:r>
          </w:p>
        </w:tc>
        <w:tc>
          <w:tcPr>
            <w:tcW w:w="1416"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0779-3997084</w:t>
            </w:r>
          </w:p>
        </w:tc>
        <w:tc>
          <w:tcPr>
            <w:tcW w:w="153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最高1千万</w:t>
            </w:r>
          </w:p>
        </w:tc>
        <w:tc>
          <w:tcPr>
            <w:tcW w:w="1247"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3年</w:t>
            </w:r>
          </w:p>
        </w:tc>
        <w:tc>
          <w:tcPr>
            <w:tcW w:w="84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1.93%</w:t>
            </w:r>
          </w:p>
        </w:tc>
        <w:tc>
          <w:tcPr>
            <w:tcW w:w="3947"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在银行开户</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线上申请</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上传所需材料</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等待审批</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审批通过后可直接在手机银行提款。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兴业银行</w:t>
            </w:r>
          </w:p>
        </w:tc>
        <w:tc>
          <w:tcPr>
            <w:tcW w:w="1416"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0779-3158330</w:t>
            </w:r>
          </w:p>
        </w:tc>
        <w:tc>
          <w:tcPr>
            <w:tcW w:w="153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最高1千万（单笔提款金额达合同金额70%）</w:t>
            </w:r>
          </w:p>
        </w:tc>
        <w:tc>
          <w:tcPr>
            <w:tcW w:w="1247"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1年</w:t>
            </w:r>
          </w:p>
        </w:tc>
        <w:tc>
          <w:tcPr>
            <w:tcW w:w="84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3.70%</w:t>
            </w:r>
          </w:p>
        </w:tc>
        <w:tc>
          <w:tcPr>
            <w:tcW w:w="3947"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全流程线上</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初次申请开立账户</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提供营业执照、采购合同、信用材料等</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申请复审</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签订合同</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提交单笔贷款使用需求</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贷款到账后受托使用。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工商银行</w:t>
            </w:r>
          </w:p>
        </w:tc>
        <w:tc>
          <w:tcPr>
            <w:tcW w:w="1416"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0779-3050645</w:t>
            </w:r>
          </w:p>
        </w:tc>
        <w:tc>
          <w:tcPr>
            <w:tcW w:w="153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最高1千万且不超过合同金额70%</w:t>
            </w:r>
          </w:p>
        </w:tc>
        <w:tc>
          <w:tcPr>
            <w:tcW w:w="1247"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货物类1年</w:t>
            </w:r>
          </w:p>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服务类3年</w:t>
            </w:r>
          </w:p>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工程类5年</w:t>
            </w:r>
          </w:p>
        </w:tc>
        <w:tc>
          <w:tcPr>
            <w:tcW w:w="84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3.45%</w:t>
            </w:r>
          </w:p>
        </w:tc>
        <w:tc>
          <w:tcPr>
            <w:tcW w:w="3947"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为中征系统白名单企业</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提供相关要求材料</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内部审批后放款自主借还。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国民村镇银行</w:t>
            </w:r>
          </w:p>
        </w:tc>
        <w:tc>
          <w:tcPr>
            <w:tcW w:w="1416"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0779-2668801</w:t>
            </w:r>
          </w:p>
        </w:tc>
        <w:tc>
          <w:tcPr>
            <w:tcW w:w="153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最高500万</w:t>
            </w:r>
          </w:p>
        </w:tc>
        <w:tc>
          <w:tcPr>
            <w:tcW w:w="1247"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5年</w:t>
            </w:r>
          </w:p>
        </w:tc>
        <w:tc>
          <w:tcPr>
            <w:tcW w:w="84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2.80%</w:t>
            </w:r>
          </w:p>
        </w:tc>
        <w:tc>
          <w:tcPr>
            <w:tcW w:w="3947"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银行开户</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线下申请并提供材料</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信用良好企业最快1天获批即可提款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桂林银行</w:t>
            </w:r>
          </w:p>
        </w:tc>
        <w:tc>
          <w:tcPr>
            <w:tcW w:w="1416"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18577993959</w:t>
            </w:r>
          </w:p>
        </w:tc>
        <w:tc>
          <w:tcPr>
            <w:tcW w:w="153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最高1千万</w:t>
            </w:r>
          </w:p>
        </w:tc>
        <w:tc>
          <w:tcPr>
            <w:tcW w:w="1247"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1年</w:t>
            </w:r>
          </w:p>
        </w:tc>
        <w:tc>
          <w:tcPr>
            <w:tcW w:w="84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3.45%</w:t>
            </w:r>
          </w:p>
        </w:tc>
        <w:tc>
          <w:tcPr>
            <w:tcW w:w="3947"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线下申请</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材料齐全最快1周内即可放款。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中小微商务服务公司</w:t>
            </w:r>
          </w:p>
        </w:tc>
        <w:tc>
          <w:tcPr>
            <w:tcW w:w="1416"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19907799988</w:t>
            </w:r>
          </w:p>
        </w:tc>
        <w:tc>
          <w:tcPr>
            <w:tcW w:w="153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p>
        </w:tc>
        <w:tc>
          <w:tcPr>
            <w:tcW w:w="1247"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p>
        </w:tc>
        <w:tc>
          <w:tcPr>
            <w:tcW w:w="843"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p>
        </w:tc>
        <w:tc>
          <w:tcPr>
            <w:tcW w:w="3947" w:type="dxa"/>
            <w:shd w:val="clear" w:color="auto" w:fill="auto"/>
            <w:vAlign w:val="center"/>
          </w:tcPr>
          <w:p>
            <w:pPr>
              <w:adjustRightInd w:val="0"/>
              <w:snapToGrid w:val="0"/>
              <w:spacing w:line="240" w:lineRule="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具体业务可电话咨询。</w:t>
            </w:r>
          </w:p>
        </w:tc>
      </w:tr>
    </w:tbl>
    <w:p>
      <w:pPr>
        <w:adjustRightInd w:val="0"/>
        <w:snapToGrid w:val="0"/>
        <w:spacing w:line="360" w:lineRule="auto"/>
        <w:ind w:firstLine="48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注：表中联系电话\授信金额、授信期限、最低利率等信息可能动态更新，仅供参考，具体以办理时相关银行公布的为准。</w:t>
      </w:r>
    </w:p>
    <w:p>
      <w:pPr>
        <w:adjustRightInd w:val="0"/>
        <w:snapToGrid w:val="0"/>
        <w:spacing w:line="360" w:lineRule="auto"/>
        <w:ind w:firstLine="48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26.9预付款</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单位应当在政府采购合同中约定预付款，对中小企业合同预付款比例原则上不低于合同金额的30％，不高于合同金额的50%；项目分年安排预算的，每年预付款比例不低于项目年度计划支付资金额的30％，不高于合同金额的50%；采购项目实施以人工投入为主的，可适当降低预付款比例，但不得低于10%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w:t>
      </w:r>
    </w:p>
    <w:p>
      <w:pPr>
        <w:tabs>
          <w:tab w:val="left" w:pos="0"/>
        </w:tabs>
        <w:adjustRightInd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color w:val="auto"/>
          <w:sz w:val="21"/>
          <w:szCs w:val="21"/>
          <w:highlight w:val="none"/>
        </w:rPr>
        <w:t>供应商可登录广西政府采购云平台前台大厅选择金融服务 - 【保函保险服务】出具预付款保函，具体步骤：选择产品—填写供应商信息—选择中标项目—确认信息—等待保险/保函受理—确认保单—支付保费—成功出单。广西政府采购云平台金融专线400-903-9583。</w:t>
      </w:r>
    </w:p>
    <w:p>
      <w:pPr>
        <w:numPr>
          <w:ilvl w:val="0"/>
          <w:numId w:val="2"/>
        </w:num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转包与分包</w:t>
      </w:r>
    </w:p>
    <w:p>
      <w:pPr>
        <w:widowControl/>
        <w:kinsoku w:val="0"/>
        <w:autoSpaceDE w:val="0"/>
        <w:autoSpaceDN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27.1本项目不允许转包。</w:t>
      </w:r>
    </w:p>
    <w:p>
      <w:pPr>
        <w:widowControl/>
        <w:kinsoku w:val="0"/>
        <w:autoSpaceDE w:val="0"/>
        <w:autoSpaceDN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pPr>
        <w:widowControl/>
        <w:kinsoku w:val="0"/>
        <w:autoSpaceDE w:val="0"/>
        <w:autoSpaceDN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27.3供应商根据磋商文件的规定和采购项目的实际情况，拟在成交后将成交项目的非主体、非关键性工作分包的，应当在响应文件中载明分包承担主体，分包承担主体应当具备相应资质条件且不得再次分包。</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十一、补充合同</w:t>
      </w:r>
    </w:p>
    <w:p>
      <w:pPr>
        <w:adjustRightInd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十二、合同公告</w:t>
      </w:r>
    </w:p>
    <w:p>
      <w:pPr>
        <w:adjustRightInd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十三、适用法律</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30.1采购当事人的一切活动均适用于《中华人民共和国政府采购法》及相关规定。最终磋商结束后，磋商小组不得再与供应商进行任何形式的磋商。</w:t>
      </w:r>
    </w:p>
    <w:p>
      <w:pPr>
        <w:pStyle w:val="25"/>
        <w:snapToGrid w:val="0"/>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color w:val="auto"/>
          <w:kern w:val="0"/>
          <w:sz w:val="21"/>
          <w:szCs w:val="21"/>
          <w:highlight w:val="none"/>
        </w:rPr>
        <w:t>十四、询问、质疑和投诉</w:t>
      </w:r>
    </w:p>
    <w:p>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31.1供应商</w:t>
      </w:r>
      <w:r>
        <w:rPr>
          <w:rFonts w:hint="eastAsia" w:ascii="宋体" w:hAnsi="宋体" w:eastAsia="宋体" w:cs="宋体"/>
          <w:color w:val="auto"/>
          <w:kern w:val="0"/>
          <w:sz w:val="21"/>
          <w:szCs w:val="21"/>
          <w:highlight w:val="none"/>
        </w:rPr>
        <w:t>对政府采购活动事项有疑问的，可以向采购人、采购代理机构提出询问。</w:t>
      </w:r>
    </w:p>
    <w:p>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31.</w:t>
      </w:r>
      <w:r>
        <w:rPr>
          <w:rFonts w:hint="eastAsia" w:ascii="宋体" w:hAnsi="宋体" w:eastAsia="宋体" w:cs="宋体"/>
          <w:color w:val="auto"/>
          <w:kern w:val="0"/>
          <w:sz w:val="21"/>
          <w:szCs w:val="21"/>
          <w:highlight w:val="none"/>
        </w:rPr>
        <w:t>2供应商认为采购文件、采购过程或成交结果使自己的合法权益受到损害的，应当在知道或者应知其权益受到损害之日起七个工作日内，以书面形式向采购人、采购代理机构提出质疑。具体计算时间如下：</w:t>
      </w:r>
    </w:p>
    <w:p>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（1）对可以质疑的采购文件提出质疑的，为收到采购文件之日；</w:t>
      </w:r>
    </w:p>
    <w:p>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（2）对采购过程提出质疑的，为各采购程序环节结束之日；</w:t>
      </w:r>
    </w:p>
    <w:p>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（3）对成交结果提出质疑的，为成交结果公告期限届满之日。供应商对采购单位的质疑答复不满意或者采购单位未在规定时间内作出答复的，可以在答复期满后十五个工作日内向同级采购监管部门投诉。</w:t>
      </w:r>
    </w:p>
    <w:p>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31.</w:t>
      </w:r>
      <w:r>
        <w:rPr>
          <w:rFonts w:hint="eastAsia" w:ascii="宋体" w:hAnsi="宋体" w:eastAsia="宋体" w:cs="宋体"/>
          <w:color w:val="auto"/>
          <w:kern w:val="0"/>
          <w:sz w:val="21"/>
          <w:szCs w:val="21"/>
          <w:highlight w:val="none"/>
        </w:rPr>
        <w:t>3质疑、投诉应当采用书面形式，质疑书、投诉书均应明确阐述采购文件、采购过程、成交结果中使自己合法权益受到损害的实质性内容，提供相关事实、明确的请求、必要的证明材料，便于有关单位调查、答复和处理。</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31.4对同一采购程序环节的质疑，供应商须一次性提出。</w:t>
      </w:r>
    </w:p>
    <w:p>
      <w:pPr>
        <w:adjustRightIn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31.5质疑答复</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31.5.1根据采购人与采购代理机构签订采购委托协议的规定，质疑答复责任主体如下：</w:t>
      </w:r>
    </w:p>
    <w:p>
      <w:pPr>
        <w:widowControl/>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质疑答复责任主体一览表</w:t>
      </w:r>
    </w:p>
    <w:tbl>
      <w:tblPr>
        <w:tblStyle w:val="3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4536"/>
        <w:gridCol w:w="2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4"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质疑内容</w:t>
            </w:r>
          </w:p>
        </w:tc>
        <w:tc>
          <w:tcPr>
            <w:tcW w:w="223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质疑答复责任主体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8"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对采购文件提出质疑</w:t>
            </w:r>
          </w:p>
        </w:tc>
        <w:tc>
          <w:tcPr>
            <w:tcW w:w="453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对采购文件中特定资格条件、采购需求、评审办法、评审标准提出的质疑</w:t>
            </w:r>
          </w:p>
        </w:tc>
        <w:tc>
          <w:tcPr>
            <w:tcW w:w="223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8"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center"/>
              <w:textAlignment w:val="auto"/>
              <w:rPr>
                <w:rFonts w:hint="eastAsia" w:ascii="宋体" w:hAnsi="宋体" w:eastAsia="宋体" w:cs="宋体"/>
                <w:color w:val="auto"/>
                <w:sz w:val="20"/>
                <w:szCs w:val="20"/>
                <w:highlight w:val="none"/>
              </w:rPr>
            </w:pPr>
          </w:p>
        </w:tc>
        <w:tc>
          <w:tcPr>
            <w:tcW w:w="453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对采购文件中其他内容提出的质疑</w:t>
            </w:r>
          </w:p>
        </w:tc>
        <w:tc>
          <w:tcPr>
            <w:tcW w:w="223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8"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对采购过程提出质疑</w:t>
            </w:r>
          </w:p>
        </w:tc>
        <w:tc>
          <w:tcPr>
            <w:tcW w:w="453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有关现场考察或开启响应文件前答疑会事项提出的质疑</w:t>
            </w:r>
          </w:p>
        </w:tc>
        <w:tc>
          <w:tcPr>
            <w:tcW w:w="223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8"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center"/>
              <w:textAlignment w:val="auto"/>
              <w:rPr>
                <w:rFonts w:hint="eastAsia" w:ascii="宋体" w:hAnsi="宋体" w:eastAsia="宋体" w:cs="宋体"/>
                <w:color w:val="auto"/>
                <w:sz w:val="20"/>
                <w:szCs w:val="20"/>
                <w:highlight w:val="none"/>
              </w:rPr>
            </w:pPr>
          </w:p>
        </w:tc>
        <w:tc>
          <w:tcPr>
            <w:tcW w:w="453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对采购过程中其它事项提出的质疑</w:t>
            </w:r>
          </w:p>
        </w:tc>
        <w:tc>
          <w:tcPr>
            <w:tcW w:w="223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8"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对采购结果提出质疑</w:t>
            </w:r>
          </w:p>
        </w:tc>
        <w:tc>
          <w:tcPr>
            <w:tcW w:w="453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left"/>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对采购结果提出的质疑</w:t>
            </w:r>
          </w:p>
        </w:tc>
        <w:tc>
          <w:tcPr>
            <w:tcW w:w="223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288" w:lineRule="auto"/>
              <w:jc w:val="center"/>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采购代理机构</w:t>
            </w:r>
          </w:p>
        </w:tc>
      </w:tr>
    </w:tbl>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注：采购人或代理机构应当协助质疑答复责任主体及时答复供应商的书面质疑。</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31.5.3询问或者质疑事项可能影响采购结果的，采购人应当暂停签订合同，已经签订合同的，应当中止履行合同。</w:t>
      </w:r>
    </w:p>
    <w:p>
      <w:pPr>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31.5.4</w:t>
      </w:r>
      <w:r>
        <w:rPr>
          <w:rFonts w:hint="eastAsia" w:ascii="宋体" w:hAnsi="宋体" w:eastAsia="宋体" w:cs="宋体"/>
          <w:color w:val="auto"/>
          <w:sz w:val="21"/>
          <w:szCs w:val="21"/>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pPr>
        <w:spacing w:line="360" w:lineRule="auto"/>
        <w:ind w:firstLine="420" w:firstLineChars="200"/>
        <w:rPr>
          <w:rFonts w:hint="eastAsia" w:ascii="宋体" w:hAnsi="宋体" w:eastAsia="宋体" w:cs="宋体"/>
          <w:bCs/>
          <w:color w:val="auto"/>
          <w:sz w:val="21"/>
          <w:highlight w:val="none"/>
          <w:lang w:eastAsia="zh-CN"/>
        </w:rPr>
      </w:pPr>
      <w:r>
        <w:rPr>
          <w:rFonts w:hint="eastAsia" w:ascii="宋体" w:hAnsi="宋体" w:eastAsia="宋体" w:cs="宋体"/>
          <w:color w:val="auto"/>
          <w:sz w:val="21"/>
          <w:szCs w:val="21"/>
          <w:highlight w:val="none"/>
        </w:rPr>
        <w:t>询问联系部门：</w:t>
      </w:r>
      <w:r>
        <w:rPr>
          <w:rFonts w:hint="eastAsia" w:ascii="宋体" w:hAnsi="宋体" w:eastAsia="宋体" w:cs="宋体"/>
          <w:bCs/>
          <w:color w:val="auto"/>
          <w:sz w:val="21"/>
          <w:highlight w:val="none"/>
          <w:lang w:eastAsia="zh-CN"/>
        </w:rPr>
        <w:t>广西延信工程项目管理有限公司</w:t>
      </w:r>
      <w:r>
        <w:rPr>
          <w:rFonts w:hint="eastAsia" w:ascii="宋体" w:hAnsi="宋体" w:eastAsia="宋体" w:cs="宋体"/>
          <w:color w:val="auto"/>
          <w:sz w:val="21"/>
          <w:szCs w:val="21"/>
          <w:highlight w:val="none"/>
        </w:rPr>
        <w:t xml:space="preserve">        联系电话：</w:t>
      </w:r>
      <w:r>
        <w:rPr>
          <w:rFonts w:hint="eastAsia" w:ascii="宋体" w:hAnsi="宋体" w:eastAsia="宋体" w:cs="宋体"/>
          <w:bCs/>
          <w:color w:val="auto"/>
          <w:sz w:val="21"/>
          <w:highlight w:val="none"/>
          <w:lang w:eastAsia="zh-CN"/>
        </w:rPr>
        <w:t>0779-</w:t>
      </w:r>
      <w:r>
        <w:rPr>
          <w:rFonts w:hint="eastAsia" w:ascii="宋体" w:hAnsi="宋体" w:cs="宋体"/>
          <w:bCs/>
          <w:color w:val="auto"/>
          <w:sz w:val="21"/>
          <w:highlight w:val="none"/>
          <w:lang w:eastAsia="zh-CN"/>
        </w:rPr>
        <w:t>7192919</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质疑联系部门：</w:t>
      </w:r>
      <w:r>
        <w:rPr>
          <w:rFonts w:hint="eastAsia" w:ascii="宋体" w:hAnsi="宋体" w:eastAsia="宋体" w:cs="宋体"/>
          <w:bCs/>
          <w:color w:val="auto"/>
          <w:sz w:val="21"/>
          <w:highlight w:val="none"/>
          <w:lang w:eastAsia="zh-CN"/>
        </w:rPr>
        <w:t>广西延信工程项目管理有限公司</w:t>
      </w:r>
      <w:r>
        <w:rPr>
          <w:rFonts w:hint="eastAsia" w:ascii="宋体" w:hAnsi="宋体" w:eastAsia="宋体" w:cs="宋体"/>
          <w:color w:val="auto"/>
          <w:sz w:val="21"/>
          <w:szCs w:val="21"/>
          <w:highlight w:val="none"/>
        </w:rPr>
        <w:t xml:space="preserve">        联系电话：</w:t>
      </w:r>
      <w:r>
        <w:rPr>
          <w:rFonts w:hint="eastAsia" w:ascii="宋体" w:hAnsi="宋体" w:eastAsia="宋体" w:cs="宋体"/>
          <w:bCs/>
          <w:color w:val="auto"/>
          <w:sz w:val="21"/>
          <w:highlight w:val="none"/>
          <w:lang w:eastAsia="zh-CN"/>
        </w:rPr>
        <w:t>0779-</w:t>
      </w:r>
      <w:r>
        <w:rPr>
          <w:rFonts w:hint="eastAsia" w:ascii="宋体" w:hAnsi="宋体" w:cs="宋体"/>
          <w:bCs/>
          <w:color w:val="auto"/>
          <w:sz w:val="21"/>
          <w:highlight w:val="none"/>
          <w:lang w:eastAsia="zh-CN"/>
        </w:rPr>
        <w:t>7192919</w:t>
      </w:r>
      <w:r>
        <w:rPr>
          <w:rFonts w:hint="eastAsia" w:ascii="宋体" w:hAnsi="宋体" w:eastAsia="宋体" w:cs="宋体"/>
          <w:color w:val="auto"/>
          <w:sz w:val="21"/>
          <w:szCs w:val="21"/>
          <w:highlight w:val="none"/>
        </w:rPr>
        <w:t xml:space="preserve"> </w:t>
      </w:r>
    </w:p>
    <w:p>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投诉联系部门：合浦县财政局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联系电话：0779-</w:t>
      </w:r>
      <w:r>
        <w:rPr>
          <w:rFonts w:hint="eastAsia" w:ascii="宋体" w:hAnsi="宋体" w:cs="宋体"/>
          <w:color w:val="auto"/>
          <w:sz w:val="21"/>
          <w:szCs w:val="21"/>
          <w:highlight w:val="none"/>
          <w:lang w:eastAsia="zh-CN"/>
        </w:rPr>
        <w:t>7200908</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十五、其他事项</w:t>
      </w:r>
    </w:p>
    <w:p>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32代理费用的收取标准和方式（适用于有权收取代理费用的采购代理机构）</w:t>
      </w:r>
    </w:p>
    <w:p>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32.1采购代理费支付方式：</w:t>
      </w:r>
    </w:p>
    <w:p>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☑本项目代理服务费由成交供应商一次性向采购代理机构支付。</w:t>
      </w:r>
    </w:p>
    <w:p>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□采购人支付。</w:t>
      </w:r>
    </w:p>
    <w:p>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32.2采购代理费收取标准：</w:t>
      </w:r>
    </w:p>
    <w:p>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☑以分标（☑成交金额/□采购预算/□暂定成交金额/□其他 / ）为计费额，按代理服务收费标准（□货物类/□服务类/☑工程类）采用差额定率累进法计算出收费基准价格，采购代理收费以（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收费基准价格/</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收费基准价格下浮 20 %/□收费基准价格上浮 / %）收取。</w:t>
      </w:r>
    </w:p>
    <w:p>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□固定采购代理收费。</w:t>
      </w:r>
    </w:p>
    <w:p>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32.3采购代理费收取银行账户</w:t>
      </w:r>
    </w:p>
    <w:p>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w:t>
      </w:r>
      <w:r>
        <w:rPr>
          <w:rFonts w:hint="eastAsia" w:ascii="宋体" w:hAnsi="宋体" w:eastAsia="宋体" w:cs="宋体"/>
          <w:color w:val="auto"/>
          <w:highlight w:val="none"/>
        </w:rPr>
        <w:t>广西延信工程项目管理有限公司</w:t>
      </w:r>
      <w:r>
        <w:rPr>
          <w:rFonts w:hint="eastAsia" w:ascii="宋体" w:hAnsi="宋体" w:eastAsia="宋体" w:cs="宋体"/>
          <w:color w:val="auto"/>
          <w:sz w:val="21"/>
          <w:szCs w:val="21"/>
          <w:highlight w:val="none"/>
        </w:rPr>
        <w:t xml:space="preserve"> </w:t>
      </w:r>
    </w:p>
    <w:p>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highlight w:val="none"/>
          <w:lang w:eastAsia="zh-CN"/>
        </w:rPr>
        <w:t>中国建设银行股份有限公司北海银海支行</w:t>
      </w:r>
      <w:r>
        <w:rPr>
          <w:rFonts w:hint="eastAsia" w:ascii="宋体" w:hAnsi="宋体" w:eastAsia="宋体" w:cs="宋体"/>
          <w:color w:val="auto"/>
          <w:sz w:val="21"/>
          <w:szCs w:val="21"/>
          <w:highlight w:val="none"/>
        </w:rPr>
        <w:t xml:space="preserve"> </w:t>
      </w:r>
    </w:p>
    <w:p>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r>
        <w:rPr>
          <w:rFonts w:hint="eastAsia" w:ascii="宋体" w:hAnsi="宋体" w:eastAsia="宋体" w:cs="宋体"/>
          <w:color w:val="auto"/>
          <w:highlight w:val="none"/>
        </w:rPr>
        <w:t>45050165004209999999</w:t>
      </w:r>
    </w:p>
    <w:p>
      <w:p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32.4代理服务收费标准：代理服务收费标准：《关于进一步放开建设项目专业服务价格的通知》（发改价格〔2015〕299号），决定全面放开招标代理费，由实行政府指导价管理改为实行市场调节价，价格由双方协商确定。</w:t>
      </w:r>
    </w:p>
    <w:p>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33解释权</w:t>
      </w:r>
    </w:p>
    <w:p>
      <w:pPr>
        <w:pStyle w:val="25"/>
        <w:adjustRightInd w:val="0"/>
        <w:snapToGrid w:val="0"/>
        <w:spacing w:line="360" w:lineRule="auto"/>
        <w:ind w:firstLine="404" w:firstLineChars="200"/>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本竞争性磋商文件解释权属采购人及本代理机构。</w:t>
      </w:r>
    </w:p>
    <w:p>
      <w:pPr>
        <w:pStyle w:val="25"/>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34有关事宜</w:t>
      </w:r>
    </w:p>
    <w:p>
      <w:pPr>
        <w:pStyle w:val="25"/>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所有与本磋商文件有关的函件请按下列通讯地址联系：</w:t>
      </w:r>
    </w:p>
    <w:p>
      <w:pPr>
        <w:pStyle w:val="25"/>
        <w:spacing w:line="360" w:lineRule="auto"/>
        <w:ind w:firstLine="420" w:firstLineChars="200"/>
        <w:rPr>
          <w:rFonts w:hint="eastAsia" w:ascii="宋体" w:hAnsi="宋体" w:eastAsia="宋体" w:cs="宋体"/>
          <w:color w:val="auto"/>
          <w:kern w:val="0"/>
          <w:sz w:val="21"/>
          <w:szCs w:val="21"/>
          <w:highlight w:val="none"/>
        </w:rPr>
      </w:pPr>
      <w:bookmarkStart w:id="37" w:name="_Toc3994506"/>
      <w:r>
        <w:rPr>
          <w:rFonts w:hint="eastAsia" w:ascii="宋体" w:hAnsi="宋体" w:eastAsia="宋体" w:cs="宋体"/>
          <w:color w:val="auto"/>
          <w:kern w:val="0"/>
          <w:sz w:val="21"/>
          <w:szCs w:val="21"/>
          <w:highlight w:val="none"/>
        </w:rPr>
        <w:t>单位全称：</w:t>
      </w:r>
      <w:r>
        <w:rPr>
          <w:rFonts w:hint="eastAsia" w:ascii="宋体" w:hAnsi="宋体" w:eastAsia="宋体" w:cs="宋体"/>
          <w:bCs/>
          <w:color w:val="auto"/>
          <w:sz w:val="21"/>
          <w:highlight w:val="none"/>
          <w:lang w:eastAsia="zh-CN"/>
        </w:rPr>
        <w:t>广西延信工程项目管理有限公司</w:t>
      </w:r>
    </w:p>
    <w:p>
      <w:pPr>
        <w:pStyle w:val="25"/>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通讯地址：广西延信工程项目管理有限公司合浦分公司（广西北海市合浦县廉州大道143号）</w:t>
      </w:r>
    </w:p>
    <w:p>
      <w:pPr>
        <w:pStyle w:val="25"/>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电    话：</w:t>
      </w:r>
      <w:r>
        <w:rPr>
          <w:rFonts w:hint="eastAsia" w:ascii="宋体" w:hAnsi="宋体" w:eastAsia="宋体" w:cs="宋体"/>
          <w:color w:val="auto"/>
          <w:sz w:val="21"/>
          <w:highlight w:val="none"/>
          <w:lang w:eastAsia="zh-CN"/>
        </w:rPr>
        <w:t>0779-</w:t>
      </w:r>
      <w:r>
        <w:rPr>
          <w:rFonts w:hint="eastAsia" w:hAnsi="宋体" w:cs="宋体"/>
          <w:color w:val="auto"/>
          <w:sz w:val="21"/>
          <w:highlight w:val="none"/>
          <w:lang w:eastAsia="zh-CN"/>
        </w:rPr>
        <w:t>7192919</w:t>
      </w:r>
      <w:r>
        <w:rPr>
          <w:rFonts w:hint="eastAsia" w:ascii="宋体" w:hAnsi="宋体" w:eastAsia="宋体" w:cs="宋体"/>
          <w:color w:val="auto"/>
          <w:kern w:val="0"/>
          <w:sz w:val="21"/>
          <w:szCs w:val="21"/>
          <w:highlight w:val="none"/>
        </w:rPr>
        <w:t xml:space="preserve">   </w:t>
      </w:r>
    </w:p>
    <w:p>
      <w:pPr>
        <w:pStyle w:val="25"/>
        <w:spacing w:line="360" w:lineRule="auto"/>
        <w:ind w:firstLine="420" w:firstLineChars="200"/>
        <w:rPr>
          <w:rFonts w:hint="eastAsia" w:ascii="宋体" w:hAnsi="宋体" w:eastAsia="宋体" w:cs="宋体"/>
          <w:b/>
          <w:color w:val="auto"/>
          <w:sz w:val="21"/>
          <w:szCs w:val="21"/>
          <w:highlight w:val="none"/>
          <w:lang w:eastAsia="zh-CN"/>
        </w:rPr>
      </w:pPr>
      <w:r>
        <w:rPr>
          <w:rFonts w:hint="eastAsia" w:ascii="宋体" w:hAnsi="宋体" w:eastAsia="宋体" w:cs="宋体"/>
          <w:color w:val="auto"/>
          <w:kern w:val="0"/>
          <w:sz w:val="21"/>
          <w:szCs w:val="21"/>
          <w:highlight w:val="none"/>
        </w:rPr>
        <w:t>联 系 人</w:t>
      </w:r>
      <w:r>
        <w:rPr>
          <w:rFonts w:hint="eastAsia" w:ascii="宋体" w:hAnsi="宋体" w:eastAsia="宋体" w:cs="宋体"/>
          <w:color w:val="auto"/>
          <w:kern w:val="0"/>
          <w:sz w:val="21"/>
          <w:szCs w:val="21"/>
          <w:highlight w:val="none"/>
          <w:lang w:eastAsia="zh-CN"/>
        </w:rPr>
        <w:t>：庞工</w:t>
      </w:r>
    </w:p>
    <w:p>
      <w:pPr>
        <w:spacing w:line="620" w:lineRule="exact"/>
        <w:rPr>
          <w:rFonts w:hint="eastAsia" w:ascii="宋体" w:hAnsi="宋体" w:eastAsia="宋体" w:cs="宋体"/>
          <w:b/>
          <w:color w:val="auto"/>
          <w:sz w:val="44"/>
          <w:szCs w:val="44"/>
          <w:highlight w:val="none"/>
        </w:rPr>
      </w:pPr>
    </w:p>
    <w:p>
      <w:pPr>
        <w:pStyle w:val="25"/>
        <w:rPr>
          <w:rFonts w:hint="eastAsia" w:ascii="宋体" w:hAnsi="宋体" w:eastAsia="宋体" w:cs="宋体"/>
          <w:color w:val="auto"/>
          <w:highlight w:val="none"/>
        </w:rPr>
      </w:pPr>
      <w:bookmarkStart w:id="38" w:name="_Toc23819"/>
      <w:r>
        <w:rPr>
          <w:rFonts w:hint="eastAsia" w:ascii="宋体" w:hAnsi="宋体" w:eastAsia="宋体" w:cs="宋体"/>
          <w:color w:val="auto"/>
          <w:highlight w:val="none"/>
        </w:rPr>
        <w:br w:type="page"/>
      </w: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spacing w:line="620" w:lineRule="exact"/>
        <w:jc w:val="center"/>
        <w:outlineLvl w:val="0"/>
        <w:rPr>
          <w:rFonts w:hint="eastAsia" w:ascii="宋体" w:hAnsi="宋体" w:eastAsia="宋体" w:cs="宋体"/>
          <w:b/>
          <w:color w:val="auto"/>
          <w:sz w:val="44"/>
          <w:szCs w:val="44"/>
          <w:highlight w:val="none"/>
        </w:rPr>
      </w:pPr>
      <w:bookmarkStart w:id="39" w:name="_Toc176861408"/>
      <w:r>
        <w:rPr>
          <w:rFonts w:hint="eastAsia" w:ascii="宋体" w:hAnsi="宋体" w:eastAsia="宋体" w:cs="宋体"/>
          <w:b/>
          <w:color w:val="auto"/>
          <w:sz w:val="44"/>
          <w:szCs w:val="44"/>
          <w:highlight w:val="none"/>
        </w:rPr>
        <w:t>第三章  竞争性磋商响应文件格式</w:t>
      </w:r>
      <w:bookmarkEnd w:id="37"/>
      <w:bookmarkEnd w:id="38"/>
      <w:bookmarkEnd w:id="39"/>
    </w:p>
    <w:p>
      <w:pPr>
        <w:spacing w:line="500" w:lineRule="exact"/>
        <w:rPr>
          <w:rFonts w:hint="eastAsia" w:ascii="宋体" w:hAnsi="宋体" w:eastAsia="宋体" w:cs="宋体"/>
          <w:b/>
          <w:color w:val="auto"/>
          <w:sz w:val="32"/>
          <w:szCs w:val="32"/>
          <w:highlight w:val="none"/>
        </w:rPr>
      </w:pPr>
    </w:p>
    <w:p>
      <w:pPr>
        <w:spacing w:line="500" w:lineRule="exact"/>
        <w:rPr>
          <w:rFonts w:hint="eastAsia" w:ascii="宋体" w:hAnsi="宋体" w:eastAsia="宋体" w:cs="宋体"/>
          <w:b/>
          <w:color w:val="auto"/>
          <w:sz w:val="32"/>
          <w:szCs w:val="32"/>
          <w:highlight w:val="none"/>
        </w:rPr>
      </w:pPr>
    </w:p>
    <w:p>
      <w:pPr>
        <w:spacing w:line="500" w:lineRule="exact"/>
        <w:rPr>
          <w:rFonts w:hint="eastAsia" w:ascii="宋体" w:hAnsi="宋体" w:eastAsia="宋体" w:cs="宋体"/>
          <w:b/>
          <w:color w:val="auto"/>
          <w:sz w:val="32"/>
          <w:szCs w:val="32"/>
          <w:highlight w:val="none"/>
        </w:rPr>
      </w:pPr>
    </w:p>
    <w:p>
      <w:pPr>
        <w:spacing w:line="500" w:lineRule="exact"/>
        <w:rPr>
          <w:rFonts w:hint="eastAsia" w:ascii="宋体" w:hAnsi="宋体" w:eastAsia="宋体" w:cs="宋体"/>
          <w:b/>
          <w:color w:val="auto"/>
          <w:sz w:val="32"/>
          <w:szCs w:val="32"/>
          <w:highlight w:val="none"/>
        </w:rPr>
      </w:pPr>
    </w:p>
    <w:p>
      <w:pPr>
        <w:spacing w:line="500" w:lineRule="exact"/>
        <w:rPr>
          <w:rFonts w:hint="eastAsia" w:ascii="宋体" w:hAnsi="宋体" w:eastAsia="宋体" w:cs="宋体"/>
          <w:b/>
          <w:color w:val="auto"/>
          <w:sz w:val="32"/>
          <w:szCs w:val="32"/>
          <w:highlight w:val="none"/>
        </w:rPr>
      </w:pPr>
    </w:p>
    <w:p>
      <w:pPr>
        <w:spacing w:line="500" w:lineRule="exact"/>
        <w:rPr>
          <w:rFonts w:hint="eastAsia" w:ascii="宋体" w:hAnsi="宋体" w:eastAsia="宋体" w:cs="宋体"/>
          <w:b/>
          <w:color w:val="auto"/>
          <w:sz w:val="32"/>
          <w:szCs w:val="32"/>
          <w:highlight w:val="none"/>
        </w:rPr>
      </w:pPr>
    </w:p>
    <w:p>
      <w:pPr>
        <w:spacing w:line="500" w:lineRule="exact"/>
        <w:rPr>
          <w:rFonts w:hint="eastAsia" w:ascii="宋体" w:hAnsi="宋体" w:eastAsia="宋体" w:cs="宋体"/>
          <w:b/>
          <w:color w:val="auto"/>
          <w:sz w:val="32"/>
          <w:szCs w:val="32"/>
          <w:highlight w:val="none"/>
        </w:rPr>
      </w:pPr>
    </w:p>
    <w:p>
      <w:pPr>
        <w:spacing w:line="500" w:lineRule="exact"/>
        <w:rPr>
          <w:rFonts w:hint="eastAsia" w:ascii="宋体" w:hAnsi="宋体" w:eastAsia="宋体" w:cs="宋体"/>
          <w:b/>
          <w:color w:val="auto"/>
          <w:sz w:val="32"/>
          <w:szCs w:val="32"/>
          <w:highlight w:val="none"/>
        </w:rPr>
      </w:pPr>
    </w:p>
    <w:p>
      <w:pPr>
        <w:snapToGrid w:val="0"/>
        <w:spacing w:before="120" w:beforeLines="50" w:after="50" w:line="360" w:lineRule="exact"/>
        <w:rPr>
          <w:rFonts w:hint="eastAsia" w:ascii="宋体" w:hAnsi="宋体" w:eastAsia="宋体" w:cs="宋体"/>
          <w:b/>
          <w:bCs/>
          <w:color w:val="auto"/>
          <w:sz w:val="28"/>
          <w:szCs w:val="28"/>
          <w:highlight w:val="none"/>
        </w:rPr>
      </w:pPr>
    </w:p>
    <w:p>
      <w:pPr>
        <w:snapToGrid w:val="0"/>
        <w:spacing w:before="120" w:beforeLines="50" w:after="50" w:line="360" w:lineRule="exact"/>
        <w:rPr>
          <w:rFonts w:hint="eastAsia" w:ascii="宋体" w:hAnsi="宋体" w:eastAsia="宋体" w:cs="宋体"/>
          <w:b/>
          <w:bCs/>
          <w:color w:val="auto"/>
          <w:sz w:val="28"/>
          <w:szCs w:val="28"/>
          <w:highlight w:val="none"/>
        </w:rPr>
      </w:pPr>
    </w:p>
    <w:p>
      <w:pPr>
        <w:snapToGrid w:val="0"/>
        <w:spacing w:before="120" w:beforeLines="50" w:after="50" w:line="360" w:lineRule="exact"/>
        <w:rPr>
          <w:rFonts w:hint="eastAsia" w:ascii="宋体" w:hAnsi="宋体" w:eastAsia="宋体" w:cs="宋体"/>
          <w:b/>
          <w:bCs/>
          <w:color w:val="auto"/>
          <w:sz w:val="28"/>
          <w:szCs w:val="28"/>
          <w:highlight w:val="none"/>
        </w:rPr>
      </w:pPr>
    </w:p>
    <w:p>
      <w:pPr>
        <w:snapToGrid w:val="0"/>
        <w:spacing w:before="120" w:beforeLines="50" w:after="50" w:line="360" w:lineRule="exact"/>
        <w:rPr>
          <w:rFonts w:hint="eastAsia" w:ascii="宋体" w:hAnsi="宋体" w:eastAsia="宋体" w:cs="宋体"/>
          <w:b/>
          <w:bCs/>
          <w:color w:val="auto"/>
          <w:sz w:val="28"/>
          <w:szCs w:val="28"/>
          <w:highlight w:val="none"/>
        </w:rPr>
      </w:pPr>
    </w:p>
    <w:p>
      <w:pPr>
        <w:snapToGrid w:val="0"/>
        <w:spacing w:before="120" w:beforeLines="50" w:after="50" w:line="360" w:lineRule="exact"/>
        <w:rPr>
          <w:rFonts w:hint="eastAsia" w:ascii="宋体" w:hAnsi="宋体" w:eastAsia="宋体" w:cs="宋体"/>
          <w:b/>
          <w:bCs/>
          <w:color w:val="auto"/>
          <w:sz w:val="28"/>
          <w:szCs w:val="28"/>
          <w:highlight w:val="none"/>
        </w:rPr>
      </w:pPr>
    </w:p>
    <w:p>
      <w:pPr>
        <w:pStyle w:val="5"/>
        <w:rPr>
          <w:rFonts w:hint="eastAsia" w:ascii="宋体" w:hAnsi="宋体" w:eastAsia="宋体" w:cs="宋体"/>
          <w:color w:val="auto"/>
          <w:highlight w:val="none"/>
        </w:rPr>
      </w:pPr>
    </w:p>
    <w:p>
      <w:pPr>
        <w:rPr>
          <w:rFonts w:hint="eastAsia" w:ascii="宋体" w:hAnsi="宋体" w:eastAsia="宋体" w:cs="宋体"/>
          <w:color w:val="auto"/>
          <w:highlight w:val="none"/>
        </w:rPr>
      </w:pPr>
    </w:p>
    <w:p>
      <w:pPr>
        <w:spacing w:line="360" w:lineRule="auto"/>
        <w:rPr>
          <w:rFonts w:hint="eastAsia" w:ascii="宋体" w:hAnsi="宋体" w:eastAsia="宋体" w:cs="宋体"/>
          <w:b/>
          <w:color w:val="auto"/>
          <w:sz w:val="28"/>
          <w:szCs w:val="28"/>
          <w:highlight w:val="none"/>
        </w:rPr>
      </w:pPr>
      <w:r>
        <w:rPr>
          <w:rFonts w:hint="eastAsia" w:ascii="宋体" w:hAnsi="宋体" w:eastAsia="宋体" w:cs="宋体"/>
          <w:color w:val="auto"/>
          <w:highlight w:val="none"/>
        </w:rPr>
        <w:br w:type="page"/>
      </w:r>
      <w:r>
        <w:rPr>
          <w:rFonts w:hint="eastAsia" w:ascii="宋体" w:hAnsi="宋体" w:eastAsia="宋体" w:cs="宋体"/>
          <w:b/>
          <w:color w:val="auto"/>
          <w:sz w:val="28"/>
          <w:szCs w:val="28"/>
          <w:highlight w:val="none"/>
        </w:rPr>
        <w:t>一、竞争性磋商响应文件外包装封面</w:t>
      </w:r>
      <w:r>
        <w:rPr>
          <w:rFonts w:hint="eastAsia" w:ascii="宋体" w:hAnsi="宋体" w:eastAsia="宋体" w:cs="宋体"/>
          <w:b/>
          <w:bCs/>
          <w:color w:val="auto"/>
          <w:sz w:val="28"/>
          <w:szCs w:val="28"/>
          <w:highlight w:val="none"/>
        </w:rPr>
        <w:t>及</w:t>
      </w:r>
      <w:r>
        <w:rPr>
          <w:rFonts w:hint="eastAsia" w:ascii="宋体" w:hAnsi="宋体" w:eastAsia="宋体" w:cs="宋体"/>
          <w:b/>
          <w:color w:val="auto"/>
          <w:sz w:val="28"/>
          <w:szCs w:val="28"/>
          <w:highlight w:val="none"/>
        </w:rPr>
        <w:t>竞争性磋商响应文件封面</w:t>
      </w:r>
      <w:r>
        <w:rPr>
          <w:rFonts w:hint="eastAsia" w:ascii="宋体" w:hAnsi="宋体" w:eastAsia="宋体" w:cs="宋体"/>
          <w:b/>
          <w:bCs/>
          <w:color w:val="auto"/>
          <w:sz w:val="28"/>
          <w:szCs w:val="28"/>
          <w:highlight w:val="none"/>
        </w:rPr>
        <w:t>格式</w:t>
      </w:r>
    </w:p>
    <w:p>
      <w:pPr>
        <w:snapToGrid w:val="0"/>
        <w:spacing w:line="360" w:lineRule="auto"/>
        <w:rPr>
          <w:rFonts w:hint="eastAsia" w:ascii="宋体" w:hAnsi="宋体" w:eastAsia="宋体" w:cs="宋体"/>
          <w:b/>
          <w:color w:val="auto"/>
          <w:szCs w:val="21"/>
          <w:highlight w:val="none"/>
        </w:rPr>
      </w:pPr>
    </w:p>
    <w:p>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w:t>
      </w:r>
      <w:r>
        <w:rPr>
          <w:rFonts w:hint="eastAsia" w:ascii="宋体" w:hAnsi="宋体" w:eastAsia="宋体" w:cs="宋体"/>
          <w:b/>
          <w:color w:val="auto"/>
          <w:highlight w:val="none"/>
        </w:rPr>
        <w:t xml:space="preserve"> 竞争性磋商响应文件</w:t>
      </w:r>
      <w:r>
        <w:rPr>
          <w:rFonts w:hint="eastAsia" w:ascii="宋体" w:hAnsi="宋体" w:eastAsia="宋体" w:cs="宋体"/>
          <w:b/>
          <w:color w:val="auto"/>
          <w:szCs w:val="21"/>
          <w:highlight w:val="none"/>
        </w:rPr>
        <w:t xml:space="preserve">的外包装封面格式： </w:t>
      </w:r>
    </w:p>
    <w:p>
      <w:pPr>
        <w:snapToGrid w:val="0"/>
        <w:spacing w:line="360" w:lineRule="auto"/>
        <w:rPr>
          <w:rFonts w:hint="eastAsia" w:ascii="宋体" w:hAnsi="宋体" w:eastAsia="宋体" w:cs="宋体"/>
          <w:color w:val="auto"/>
          <w:szCs w:val="21"/>
          <w:highlight w:val="none"/>
        </w:rPr>
      </w:pPr>
    </w:p>
    <w:p>
      <w:pPr>
        <w:snapToGrid w:val="0"/>
        <w:spacing w:line="360" w:lineRule="auto"/>
        <w:ind w:firstLine="2638" w:firstLineChars="1095"/>
        <w:rPr>
          <w:rFonts w:hint="eastAsia" w:ascii="宋体" w:hAnsi="宋体" w:eastAsia="宋体" w:cs="宋体"/>
          <w:color w:val="auto"/>
          <w:sz w:val="24"/>
          <w:highlight w:val="none"/>
        </w:rPr>
      </w:pPr>
      <w:r>
        <w:rPr>
          <w:rFonts w:hint="eastAsia" w:ascii="宋体" w:hAnsi="宋体" w:eastAsia="宋体" w:cs="宋体"/>
          <w:b/>
          <w:color w:val="auto"/>
          <w:sz w:val="24"/>
          <w:highlight w:val="none"/>
        </w:rPr>
        <w:t>竞争性磋商响应文件</w:t>
      </w:r>
      <w:r>
        <w:rPr>
          <w:rFonts w:hint="eastAsia" w:ascii="宋体" w:hAnsi="宋体" w:eastAsia="宋体" w:cs="宋体"/>
          <w:b/>
          <w:bCs/>
          <w:color w:val="auto"/>
          <w:sz w:val="24"/>
          <w:highlight w:val="none"/>
        </w:rPr>
        <w:t xml:space="preserve">              </w:t>
      </w:r>
    </w:p>
    <w:p>
      <w:pPr>
        <w:snapToGrid w:val="0"/>
        <w:spacing w:line="360" w:lineRule="auto"/>
        <w:ind w:firstLine="720" w:firstLineChars="3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bCs/>
          <w:color w:val="auto"/>
          <w:sz w:val="24"/>
          <w:highlight w:val="none"/>
        </w:rPr>
        <w:t>：</w:t>
      </w:r>
    </w:p>
    <w:p>
      <w:pPr>
        <w:snapToGrid w:val="0"/>
        <w:spacing w:line="360" w:lineRule="auto"/>
        <w:ind w:firstLine="720" w:firstLineChars="3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bCs/>
          <w:color w:val="auto"/>
          <w:sz w:val="24"/>
          <w:highlight w:val="none"/>
        </w:rPr>
        <w:t>：</w:t>
      </w:r>
    </w:p>
    <w:p>
      <w:pPr>
        <w:pStyle w:val="12"/>
        <w:snapToGrid w:val="0"/>
        <w:spacing w:line="360" w:lineRule="auto"/>
        <w:ind w:firstLine="720" w:firstLineChars="3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bCs/>
          <w:color w:val="auto"/>
          <w:sz w:val="24"/>
          <w:szCs w:val="24"/>
          <w:highlight w:val="none"/>
        </w:rPr>
        <w:t>：</w:t>
      </w:r>
    </w:p>
    <w:p>
      <w:pPr>
        <w:pStyle w:val="12"/>
        <w:snapToGrid w:val="0"/>
        <w:spacing w:line="360" w:lineRule="auto"/>
        <w:ind w:firstLine="720" w:firstLineChars="3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（截标时才能启封）</w:t>
      </w:r>
    </w:p>
    <w:p>
      <w:pPr>
        <w:pStyle w:val="12"/>
        <w:snapToGrid w:val="0"/>
        <w:spacing w:line="360" w:lineRule="auto"/>
        <w:ind w:firstLine="630" w:firstLineChars="300"/>
        <w:rPr>
          <w:rFonts w:hint="eastAsia" w:ascii="宋体" w:hAnsi="宋体" w:eastAsia="宋体" w:cs="宋体"/>
          <w:bCs/>
          <w:color w:val="auto"/>
          <w:szCs w:val="21"/>
          <w:highlight w:val="none"/>
        </w:rPr>
      </w:pPr>
    </w:p>
    <w:p>
      <w:pPr>
        <w:snapToGrid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Cs w:val="21"/>
          <w:highlight w:val="none"/>
        </w:rPr>
        <w:t>二）.</w:t>
      </w:r>
      <w:r>
        <w:rPr>
          <w:rFonts w:hint="eastAsia" w:ascii="宋体" w:hAnsi="宋体" w:eastAsia="宋体" w:cs="宋体"/>
          <w:b/>
          <w:color w:val="auto"/>
          <w:highlight w:val="none"/>
        </w:rPr>
        <w:t xml:space="preserve"> 竞争性磋商响应文件</w:t>
      </w:r>
      <w:r>
        <w:rPr>
          <w:rFonts w:hint="eastAsia" w:ascii="宋体" w:hAnsi="宋体" w:eastAsia="宋体" w:cs="宋体"/>
          <w:b/>
          <w:color w:val="auto"/>
          <w:szCs w:val="21"/>
          <w:highlight w:val="none"/>
        </w:rPr>
        <w:t>封面格式：</w:t>
      </w:r>
      <w:r>
        <w:rPr>
          <w:rFonts w:hint="eastAsia" w:ascii="宋体" w:hAnsi="宋体" w:eastAsia="宋体" w:cs="宋体"/>
          <w:b/>
          <w:color w:val="auto"/>
          <w:sz w:val="24"/>
          <w:highlight w:val="none"/>
        </w:rPr>
        <w:t xml:space="preserve"> </w:t>
      </w:r>
    </w:p>
    <w:p>
      <w:pPr>
        <w:snapToGrid w:val="0"/>
        <w:spacing w:line="360" w:lineRule="auto"/>
        <w:ind w:left="7200" w:hanging="7200" w:hangingChars="30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b/>
          <w:bCs/>
          <w:color w:val="auto"/>
          <w:szCs w:val="21"/>
          <w:highlight w:val="none"/>
        </w:rPr>
        <w:t>（正/副本）</w:t>
      </w:r>
    </w:p>
    <w:p>
      <w:pPr>
        <w:snapToGrid w:val="0"/>
        <w:spacing w:line="360" w:lineRule="auto"/>
        <w:ind w:firstLine="1915" w:firstLineChars="795"/>
        <w:rPr>
          <w:rFonts w:hint="eastAsia" w:ascii="宋体" w:hAnsi="宋体" w:eastAsia="宋体" w:cs="宋体"/>
          <w:bCs/>
          <w:color w:val="auto"/>
          <w:sz w:val="24"/>
          <w:highlight w:val="none"/>
        </w:rPr>
      </w:pPr>
      <w:r>
        <w:rPr>
          <w:rFonts w:hint="eastAsia" w:ascii="宋体" w:hAnsi="宋体" w:eastAsia="宋体" w:cs="宋体"/>
          <w:b/>
          <w:color w:val="auto"/>
          <w:sz w:val="24"/>
          <w:highlight w:val="none"/>
        </w:rPr>
        <w:t>竞争性磋商响应文件（封面）</w:t>
      </w:r>
    </w:p>
    <w:p>
      <w:pPr>
        <w:spacing w:line="360" w:lineRule="auto"/>
        <w:ind w:firstLine="480" w:firstLineChars="200"/>
        <w:rPr>
          <w:rFonts w:hint="eastAsia" w:ascii="宋体" w:hAnsi="宋体" w:eastAsia="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pPr>
        <w:snapToGrid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项目编号</w:t>
      </w:r>
      <w:r>
        <w:rPr>
          <w:rFonts w:hint="eastAsia" w:ascii="宋体" w:hAnsi="宋体" w:eastAsia="宋体" w:cs="宋体"/>
          <w:bCs/>
          <w:color w:val="auto"/>
          <w:sz w:val="24"/>
          <w:highlight w:val="none"/>
        </w:rPr>
        <w:t>：</w:t>
      </w:r>
      <w:r>
        <w:rPr>
          <w:rFonts w:hint="eastAsia" w:ascii="宋体" w:hAnsi="宋体" w:eastAsia="宋体" w:cs="宋体"/>
          <w:color w:val="auto"/>
          <w:sz w:val="24"/>
          <w:highlight w:val="none"/>
          <w:u w:val="single"/>
        </w:rPr>
        <w:t xml:space="preserve">                       </w:t>
      </w:r>
    </w:p>
    <w:p>
      <w:pPr>
        <w:snapToGrid w:val="0"/>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bCs/>
          <w:color w:val="auto"/>
          <w:sz w:val="24"/>
          <w:highlight w:val="none"/>
        </w:rPr>
        <w:t>：</w:t>
      </w:r>
      <w:r>
        <w:rPr>
          <w:rFonts w:hint="eastAsia" w:ascii="宋体" w:hAnsi="宋体" w:eastAsia="宋体" w:cs="宋体"/>
          <w:color w:val="auto"/>
          <w:sz w:val="24"/>
          <w:highlight w:val="none"/>
          <w:u w:val="single"/>
        </w:rPr>
        <w:t xml:space="preserve">                      </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pPr>
        <w:spacing w:line="360" w:lineRule="auto"/>
        <w:ind w:firstLine="3229" w:firstLineChars="1340"/>
        <w:rPr>
          <w:rFonts w:hint="eastAsia" w:ascii="宋体" w:hAnsi="宋体" w:eastAsia="宋体" w:cs="宋体"/>
          <w:b/>
          <w:color w:val="auto"/>
          <w:sz w:val="24"/>
          <w:highlight w:val="none"/>
        </w:rPr>
      </w:pPr>
    </w:p>
    <w:p>
      <w:pPr>
        <w:spacing w:line="360" w:lineRule="auto"/>
        <w:rPr>
          <w:rFonts w:hint="eastAsia" w:ascii="宋体" w:hAnsi="宋体" w:eastAsia="宋体" w:cs="宋体"/>
          <w:b/>
          <w:color w:val="auto"/>
          <w:sz w:val="24"/>
          <w:highlight w:val="none"/>
        </w:rPr>
      </w:pPr>
    </w:p>
    <w:p>
      <w:pPr>
        <w:spacing w:line="360" w:lineRule="auto"/>
        <w:rPr>
          <w:rFonts w:hint="eastAsia" w:ascii="宋体" w:hAnsi="宋体" w:eastAsia="宋体" w:cs="宋体"/>
          <w:b/>
          <w:color w:val="auto"/>
          <w:sz w:val="24"/>
          <w:highlight w:val="none"/>
        </w:rPr>
      </w:pPr>
    </w:p>
    <w:p>
      <w:pPr>
        <w:spacing w:line="360" w:lineRule="auto"/>
        <w:rPr>
          <w:rFonts w:hint="eastAsia" w:ascii="宋体" w:hAnsi="宋体" w:eastAsia="宋体" w:cs="宋体"/>
          <w:b/>
          <w:color w:val="auto"/>
          <w:sz w:val="24"/>
          <w:highlight w:val="none"/>
        </w:rPr>
      </w:pPr>
    </w:p>
    <w:p>
      <w:pPr>
        <w:spacing w:line="360" w:lineRule="auto"/>
        <w:rPr>
          <w:rFonts w:hint="eastAsia" w:ascii="宋体" w:hAnsi="宋体" w:eastAsia="宋体" w:cs="宋体"/>
          <w:b/>
          <w:color w:val="auto"/>
          <w:sz w:val="28"/>
          <w:szCs w:val="28"/>
          <w:highlight w:val="none"/>
        </w:rPr>
      </w:pPr>
    </w:p>
    <w:p>
      <w:pPr>
        <w:spacing w:line="360" w:lineRule="auto"/>
        <w:rPr>
          <w:rFonts w:hint="eastAsia" w:ascii="宋体" w:hAnsi="宋体" w:eastAsia="宋体" w:cs="宋体"/>
          <w:b/>
          <w:color w:val="auto"/>
          <w:sz w:val="28"/>
          <w:szCs w:val="28"/>
          <w:highlight w:val="none"/>
        </w:rPr>
      </w:pPr>
    </w:p>
    <w:p>
      <w:pPr>
        <w:spacing w:line="360" w:lineRule="auto"/>
        <w:rPr>
          <w:rFonts w:hint="eastAsia" w:ascii="宋体" w:hAnsi="宋体" w:eastAsia="宋体" w:cs="宋体"/>
          <w:b/>
          <w:color w:val="auto"/>
          <w:sz w:val="28"/>
          <w:szCs w:val="28"/>
          <w:highlight w:val="none"/>
        </w:rPr>
      </w:pPr>
    </w:p>
    <w:p>
      <w:pPr>
        <w:spacing w:line="360" w:lineRule="auto"/>
        <w:rPr>
          <w:rFonts w:hint="eastAsia" w:ascii="宋体" w:hAnsi="宋体" w:eastAsia="宋体" w:cs="宋体"/>
          <w:b/>
          <w:color w:val="auto"/>
          <w:sz w:val="28"/>
          <w:szCs w:val="28"/>
          <w:highlight w:val="none"/>
        </w:rPr>
      </w:pPr>
    </w:p>
    <w:p>
      <w:pPr>
        <w:spacing w:line="360" w:lineRule="auto"/>
        <w:rPr>
          <w:rFonts w:hint="eastAsia" w:ascii="宋体" w:hAnsi="宋体" w:eastAsia="宋体" w:cs="宋体"/>
          <w:b/>
          <w:color w:val="auto"/>
          <w:sz w:val="28"/>
          <w:szCs w:val="28"/>
          <w:highlight w:val="none"/>
        </w:rPr>
      </w:pPr>
    </w:p>
    <w:p>
      <w:pPr>
        <w:spacing w:line="360" w:lineRule="auto"/>
        <w:rPr>
          <w:rFonts w:hint="eastAsia" w:ascii="宋体" w:hAnsi="宋体" w:eastAsia="宋体" w:cs="宋体"/>
          <w:b/>
          <w:color w:val="auto"/>
          <w:sz w:val="28"/>
          <w:szCs w:val="28"/>
          <w:highlight w:val="none"/>
        </w:rPr>
      </w:pPr>
    </w:p>
    <w:p>
      <w:pPr>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二、附  件</w:t>
      </w:r>
    </w:p>
    <w:p>
      <w:pPr>
        <w:spacing w:line="360" w:lineRule="auto"/>
        <w:rPr>
          <w:rFonts w:hint="eastAsia" w:ascii="宋体" w:hAnsi="宋体" w:eastAsia="宋体" w:cs="宋体"/>
          <w:color w:val="auto"/>
          <w:szCs w:val="21"/>
          <w:highlight w:val="none"/>
        </w:rPr>
      </w:pPr>
    </w:p>
    <w:p>
      <w:pPr>
        <w:spacing w:line="360" w:lineRule="auto"/>
        <w:ind w:left="420" w:hanging="42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附件1</w:t>
      </w:r>
    </w:p>
    <w:p>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北海市政府采购供应商信用承诺函（格式）</w:t>
      </w:r>
    </w:p>
    <w:p>
      <w:pPr>
        <w:widowControl/>
        <w:spacing w:line="360" w:lineRule="auto"/>
        <w:ind w:firstLine="480" w:firstLineChars="200"/>
        <w:jc w:val="left"/>
        <w:rPr>
          <w:rFonts w:hint="eastAsia" w:ascii="宋体" w:hAnsi="宋体" w:eastAsia="宋体" w:cs="宋体"/>
          <w:color w:val="auto"/>
          <w:kern w:val="0"/>
          <w:sz w:val="24"/>
          <w:highlight w:val="none"/>
        </w:rPr>
      </w:pPr>
    </w:p>
    <w:p>
      <w:pPr>
        <w:widowControl/>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合浦县农业农村局</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广西延信工程项目管理有限公司</w:t>
      </w:r>
      <w:r>
        <w:rPr>
          <w:rFonts w:hint="eastAsia" w:ascii="宋体" w:hAnsi="宋体" w:eastAsia="宋体" w:cs="宋体"/>
          <w:color w:val="auto"/>
          <w:kern w:val="0"/>
          <w:sz w:val="24"/>
          <w:highlight w:val="none"/>
        </w:rPr>
        <w:t>：</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统一社会信用代码：</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供应商地址：</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1.我单位具有符合采购文件资格要求独立承担民事责任的能力。</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2.我单位具有符合采购文件资格要求的财务状况报告。</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3.我单位具有符合采购文件资格要求的依法缴纳税收和社会保障记录的良好记录。</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4.我单位具有符合采购文件资格要求履行合同所必需的设备和专业技术能力。</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5.参加政府采购活动前三年内，在经营活动中没有重大违法记录。</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若我单位承诺不实，自愿承担提供虚假材料谋取成交的法律责任。</w:t>
      </w:r>
    </w:p>
    <w:p>
      <w:pPr>
        <w:widowControl/>
        <w:spacing w:line="360" w:lineRule="auto"/>
        <w:ind w:firstLine="480" w:firstLineChars="200"/>
        <w:jc w:val="left"/>
        <w:rPr>
          <w:rFonts w:hint="eastAsia" w:ascii="宋体" w:hAnsi="宋体" w:eastAsia="宋体" w:cs="宋体"/>
          <w:color w:val="auto"/>
          <w:kern w:val="0"/>
          <w:sz w:val="24"/>
          <w:highlight w:val="none"/>
        </w:rPr>
      </w:pP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磋商供应商名称(公章)： </w:t>
      </w: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pPr>
        <w:adjustRightInd w:val="0"/>
        <w:snapToGrid w:val="0"/>
        <w:spacing w:line="360" w:lineRule="auto"/>
        <w:ind w:firstLine="360" w:firstLineChars="150"/>
        <w:jc w:val="left"/>
        <w:rPr>
          <w:rFonts w:hint="eastAsia" w:ascii="宋体" w:hAnsi="宋体" w:eastAsia="宋体" w:cs="宋体"/>
          <w:color w:val="auto"/>
          <w:szCs w:val="21"/>
          <w:highlight w:val="none"/>
          <w:u w:val="single"/>
        </w:rPr>
      </w:pPr>
      <w:r>
        <w:rPr>
          <w:rFonts w:hint="eastAsia" w:ascii="宋体" w:hAnsi="宋体" w:eastAsia="宋体" w:cs="宋体"/>
          <w:color w:val="auto"/>
          <w:sz w:val="24"/>
          <w:highlight w:val="none"/>
        </w:rPr>
        <w:t xml:space="preserve">     日期：  年   月   日</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Cs w:val="21"/>
          <w:highlight w:val="none"/>
          <w:u w:val="single"/>
        </w:rPr>
        <w:t xml:space="preserve">    </w:t>
      </w:r>
    </w:p>
    <w:p>
      <w:pPr>
        <w:adjustRightInd w:val="0"/>
        <w:snapToGrid w:val="0"/>
        <w:spacing w:line="360" w:lineRule="auto"/>
        <w:ind w:firstLine="315" w:firstLineChars="150"/>
        <w:jc w:val="left"/>
        <w:rPr>
          <w:rFonts w:hint="eastAsia" w:ascii="宋体" w:hAnsi="宋体" w:eastAsia="宋体" w:cs="宋体"/>
          <w:color w:val="auto"/>
          <w:szCs w:val="21"/>
          <w:highlight w:val="none"/>
          <w:u w:val="single"/>
        </w:rPr>
      </w:pPr>
    </w:p>
    <w:p>
      <w:pPr>
        <w:adjustRightInd w:val="0"/>
        <w:snapToGrid w:val="0"/>
        <w:spacing w:line="360" w:lineRule="auto"/>
        <w:ind w:firstLine="360" w:firstLineChars="150"/>
        <w:jc w:val="left"/>
        <w:rPr>
          <w:rFonts w:hint="eastAsia" w:ascii="宋体" w:hAnsi="宋体" w:eastAsia="宋体" w:cs="宋体"/>
          <w:color w:val="auto"/>
          <w:szCs w:val="21"/>
          <w:highlight w:val="none"/>
        </w:rPr>
      </w:pPr>
      <w:r>
        <w:rPr>
          <w:rFonts w:hint="eastAsia" w:ascii="宋体" w:hAnsi="宋体" w:eastAsia="宋体" w:cs="宋体"/>
          <w:color w:val="auto"/>
          <w:kern w:val="0"/>
          <w:sz w:val="24"/>
          <w:highlight w:val="none"/>
        </w:rPr>
        <w:t>注：供应商须在响应文件中按此模板提供承诺函，未提供视为未实质性响应采购文件要求，按无效响应处理。</w:t>
      </w:r>
    </w:p>
    <w:p>
      <w:pPr>
        <w:spacing w:line="360" w:lineRule="auto"/>
        <w:ind w:left="420" w:hanging="420"/>
        <w:rPr>
          <w:rFonts w:hint="eastAsia" w:ascii="宋体" w:hAnsi="宋体" w:eastAsia="宋体" w:cs="宋体"/>
          <w:b/>
          <w:color w:val="auto"/>
          <w:highlight w:val="none"/>
        </w:rPr>
        <w:sectPr>
          <w:pgSz w:w="11907" w:h="16839"/>
          <w:pgMar w:top="1431" w:right="1272" w:bottom="1364" w:left="1418" w:header="850" w:footer="1204" w:gutter="0"/>
          <w:pgNumType w:fmt="decimal"/>
          <w:cols w:space="720" w:num="1"/>
          <w:docGrid w:linePitch="286" w:charSpace="0"/>
        </w:sectPr>
      </w:pPr>
    </w:p>
    <w:p>
      <w:pPr>
        <w:spacing w:line="360" w:lineRule="auto"/>
        <w:ind w:left="420" w:hanging="42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附件2</w:t>
      </w:r>
    </w:p>
    <w:p>
      <w:pPr>
        <w:pStyle w:val="29"/>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竞标函及竞标函附录</w:t>
      </w:r>
    </w:p>
    <w:p>
      <w:pPr>
        <w:widowControl/>
        <w:kinsoku w:val="0"/>
        <w:autoSpaceDE w:val="0"/>
        <w:autoSpaceDN w:val="0"/>
        <w:adjustRightInd w:val="0"/>
        <w:snapToGrid w:val="0"/>
        <w:spacing w:line="360" w:lineRule="auto"/>
        <w:ind w:firstLine="3654" w:firstLineChars="1300"/>
        <w:textAlignment w:val="baseline"/>
        <w:rPr>
          <w:rFonts w:hint="eastAsia" w:ascii="宋体" w:hAnsi="宋体" w:eastAsia="宋体" w:cs="宋体"/>
          <w:b/>
          <w:bCs/>
          <w:color w:val="auto"/>
          <w:sz w:val="28"/>
          <w:szCs w:val="28"/>
          <w:highlight w:val="none"/>
        </w:rPr>
      </w:pPr>
    </w:p>
    <w:p>
      <w:pPr>
        <w:widowControl/>
        <w:kinsoku w:val="0"/>
        <w:autoSpaceDE w:val="0"/>
        <w:autoSpaceDN w:val="0"/>
        <w:adjustRightInd w:val="0"/>
        <w:snapToGrid w:val="0"/>
        <w:spacing w:line="360" w:lineRule="auto"/>
        <w:ind w:firstLine="3654" w:firstLineChars="1300"/>
        <w:textAlignment w:val="baseline"/>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（一）竞标函</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合浦县农业农村局</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广西延信工程项目管理有限公司</w:t>
      </w:r>
      <w:r>
        <w:rPr>
          <w:rFonts w:hint="eastAsia" w:ascii="宋体" w:hAnsi="宋体" w:eastAsia="宋体" w:cs="宋体"/>
          <w:color w:val="auto"/>
          <w:sz w:val="24"/>
          <w:highlight w:val="none"/>
        </w:rPr>
        <w:t>：</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1.我方已仔细研究了</w:t>
      </w:r>
      <w:r>
        <w:rPr>
          <w:rFonts w:hint="eastAsia" w:ascii="宋体" w:hAnsi="宋体" w:eastAsia="宋体" w:cs="宋体"/>
          <w:color w:val="auto"/>
          <w:sz w:val="24"/>
          <w:highlight w:val="none"/>
          <w:u w:val="single"/>
        </w:rPr>
        <w:t xml:space="preserve">          （项目名称、项目编号：）          </w:t>
      </w:r>
      <w:r>
        <w:rPr>
          <w:rFonts w:hint="eastAsia" w:ascii="宋体" w:hAnsi="宋体" w:eastAsia="宋体" w:cs="宋体"/>
          <w:color w:val="auto"/>
          <w:sz w:val="24"/>
          <w:highlight w:val="none"/>
        </w:rPr>
        <w:t>磋商文件的全部内容，愿意以人民币（大写）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的竞标总报价，工期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，按合同约定实施和完成承包工程，修补工程中的任何缺陷，工程质量达到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2.我方承认竞标函附录是我方竞标函的组成部分。</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3.如我方成交：</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（1）我方承诺在收到成交通知书后，在成交通知书规定的期限内与你方签订合同。</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（2）在签订合同时不向你方提出附加条件。</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（3）我方承诺按照磋商文件规定向你方递交履约担保。</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（4）我方承诺在合同约定的期限内完成并移交全部合同工程。</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4.在合同协议书正式签署生效之前，本竞标函连同你方的成交通知书将构成我们双方之间共同遵守的文件，对双方具有约束力。</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5.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（其他补充说明）。                                                                                           </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磋商供应商名称(公章)： </w:t>
      </w: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pPr>
        <w:spacing w:line="360" w:lineRule="auto"/>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pPr>
        <w:spacing w:line="360" w:lineRule="auto"/>
        <w:ind w:left="3222"/>
        <w:rPr>
          <w:rFonts w:hint="eastAsia" w:ascii="宋体" w:hAnsi="宋体" w:eastAsia="宋体" w:cs="宋体"/>
          <w:color w:val="auto"/>
          <w:sz w:val="24"/>
          <w:highlight w:val="none"/>
        </w:rPr>
      </w:pPr>
    </w:p>
    <w:p>
      <w:pPr>
        <w:spacing w:line="360" w:lineRule="auto"/>
        <w:ind w:left="3222"/>
        <w:rPr>
          <w:rFonts w:hint="eastAsia" w:ascii="宋体" w:hAnsi="宋体" w:eastAsia="宋体" w:cs="宋体"/>
          <w:color w:val="auto"/>
          <w:sz w:val="24"/>
          <w:highlight w:val="none"/>
        </w:rPr>
      </w:pPr>
    </w:p>
    <w:p>
      <w:pPr>
        <w:spacing w:line="360" w:lineRule="auto"/>
        <w:ind w:left="3222"/>
        <w:rPr>
          <w:rFonts w:hint="eastAsia" w:ascii="宋体" w:hAnsi="宋体" w:eastAsia="宋体" w:cs="宋体"/>
          <w:color w:val="auto"/>
          <w:sz w:val="24"/>
          <w:highlight w:val="none"/>
        </w:rPr>
      </w:pPr>
    </w:p>
    <w:p>
      <w:pPr>
        <w:spacing w:line="360" w:lineRule="auto"/>
        <w:ind w:left="3222"/>
        <w:rPr>
          <w:rFonts w:hint="eastAsia" w:ascii="宋体" w:hAnsi="宋体" w:eastAsia="宋体" w:cs="宋体"/>
          <w:b/>
          <w:bCs/>
          <w:color w:val="auto"/>
          <w:sz w:val="31"/>
          <w:szCs w:val="31"/>
          <w:highlight w:val="none"/>
        </w:rPr>
      </w:pPr>
      <w:r>
        <w:rPr>
          <w:rFonts w:hint="eastAsia" w:ascii="宋体" w:hAnsi="宋体" w:eastAsia="宋体" w:cs="宋体"/>
          <w:b/>
          <w:bCs/>
          <w:color w:val="auto"/>
          <w:spacing w:val="-12"/>
          <w:sz w:val="31"/>
          <w:szCs w:val="31"/>
          <w:highlight w:val="none"/>
        </w:rPr>
        <w:t>（二） 竞标函附录</w:t>
      </w:r>
    </w:p>
    <w:tbl>
      <w:tblPr>
        <w:tblStyle w:val="39"/>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5" w:hRule="atLeast"/>
        </w:trPr>
        <w:tc>
          <w:tcPr>
            <w:tcW w:w="6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序号</w:t>
            </w:r>
          </w:p>
        </w:tc>
        <w:tc>
          <w:tcPr>
            <w:tcW w:w="238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条款内容</w:t>
            </w:r>
          </w:p>
        </w:tc>
        <w:tc>
          <w:tcPr>
            <w:tcW w:w="13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合同条款号</w:t>
            </w: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约定内容</w:t>
            </w:r>
          </w:p>
        </w:tc>
        <w:tc>
          <w:tcPr>
            <w:tcW w:w="151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供应商承诺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6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38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项目经理</w:t>
            </w:r>
          </w:p>
        </w:tc>
        <w:tc>
          <w:tcPr>
            <w:tcW w:w="13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姓名：</w:t>
            </w:r>
          </w:p>
        </w:tc>
        <w:tc>
          <w:tcPr>
            <w:tcW w:w="151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1" w:hRule="atLeast"/>
        </w:trPr>
        <w:tc>
          <w:tcPr>
            <w:tcW w:w="6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38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竞标有效期</w:t>
            </w:r>
          </w:p>
        </w:tc>
        <w:tc>
          <w:tcPr>
            <w:tcW w:w="13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日历天</w:t>
            </w:r>
          </w:p>
        </w:tc>
        <w:tc>
          <w:tcPr>
            <w:tcW w:w="151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6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38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工期</w:t>
            </w:r>
          </w:p>
        </w:tc>
        <w:tc>
          <w:tcPr>
            <w:tcW w:w="13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c>
          <w:tcPr>
            <w:tcW w:w="151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0" w:hRule="atLeast"/>
        </w:trPr>
        <w:tc>
          <w:tcPr>
            <w:tcW w:w="6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238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缺陷责任期</w:t>
            </w:r>
          </w:p>
        </w:tc>
        <w:tc>
          <w:tcPr>
            <w:tcW w:w="13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c>
          <w:tcPr>
            <w:tcW w:w="151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6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238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发包人支付担保</w:t>
            </w:r>
          </w:p>
        </w:tc>
        <w:tc>
          <w:tcPr>
            <w:tcW w:w="13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c>
          <w:tcPr>
            <w:tcW w:w="151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trPr>
        <w:tc>
          <w:tcPr>
            <w:tcW w:w="6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238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承包人履约担保金额</w:t>
            </w:r>
          </w:p>
        </w:tc>
        <w:tc>
          <w:tcPr>
            <w:tcW w:w="13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c>
          <w:tcPr>
            <w:tcW w:w="151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1" w:hRule="atLeast"/>
        </w:trPr>
        <w:tc>
          <w:tcPr>
            <w:tcW w:w="6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238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分包</w:t>
            </w:r>
          </w:p>
        </w:tc>
        <w:tc>
          <w:tcPr>
            <w:tcW w:w="13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不允许</w:t>
            </w:r>
          </w:p>
        </w:tc>
        <w:tc>
          <w:tcPr>
            <w:tcW w:w="151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1" w:hRule="atLeast"/>
        </w:trPr>
        <w:tc>
          <w:tcPr>
            <w:tcW w:w="6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238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逾期竣工违约金</w:t>
            </w:r>
          </w:p>
        </w:tc>
        <w:tc>
          <w:tcPr>
            <w:tcW w:w="13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c>
          <w:tcPr>
            <w:tcW w:w="151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0" w:hRule="atLeast"/>
        </w:trPr>
        <w:tc>
          <w:tcPr>
            <w:tcW w:w="6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238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逾期竣工违约金的上限</w:t>
            </w:r>
          </w:p>
        </w:tc>
        <w:tc>
          <w:tcPr>
            <w:tcW w:w="13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c>
          <w:tcPr>
            <w:tcW w:w="151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1" w:hRule="atLeast"/>
        </w:trPr>
        <w:tc>
          <w:tcPr>
            <w:tcW w:w="6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238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质量标准</w:t>
            </w:r>
          </w:p>
        </w:tc>
        <w:tc>
          <w:tcPr>
            <w:tcW w:w="13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c>
          <w:tcPr>
            <w:tcW w:w="151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1" w:hRule="atLeast"/>
        </w:trPr>
        <w:tc>
          <w:tcPr>
            <w:tcW w:w="6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238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预付款额度</w:t>
            </w:r>
          </w:p>
        </w:tc>
        <w:tc>
          <w:tcPr>
            <w:tcW w:w="13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c>
          <w:tcPr>
            <w:tcW w:w="151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6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238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预付款保函金额</w:t>
            </w:r>
          </w:p>
        </w:tc>
        <w:tc>
          <w:tcPr>
            <w:tcW w:w="13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mc:AlternateContent>
                <mc:Choice Requires="wps">
                  <w:drawing>
                    <wp:anchor distT="0" distB="0" distL="114300" distR="114300" simplePos="0" relativeHeight="251658240"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8240;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DPPGQg2gAAAAsBAAAPAAAAAAAAAAEAIAAAACIAAABk&#10;cnMvZG93bnJldi54bWxQSwECFAAUAAAACACHTuJA3ZHOeZIBAAANAwAADgAAAAAAAAABACAAAAAp&#10;AQAAZHJzL2Uyb0RvYy54bWxQSwUGAAAAAAYABgBZAQAALQUAAAAA&#10;">
                      <v:fill on="t" focussize="0,0"/>
                      <v:stroke on="f"/>
                      <v:imagedata o:title=""/>
                      <o:lock v:ext="edit" aspectratio="f"/>
                    </v:rect>
                  </w:pict>
                </mc:Fallback>
              </mc:AlternateContent>
            </w:r>
          </w:p>
        </w:tc>
        <w:tc>
          <w:tcPr>
            <w:tcW w:w="151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1" w:hRule="atLeast"/>
        </w:trPr>
        <w:tc>
          <w:tcPr>
            <w:tcW w:w="6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238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质量保证金额度</w:t>
            </w:r>
          </w:p>
        </w:tc>
        <w:tc>
          <w:tcPr>
            <w:tcW w:w="13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c>
          <w:tcPr>
            <w:tcW w:w="151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6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38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1395"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c>
          <w:tcPr>
            <w:tcW w:w="296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c>
          <w:tcPr>
            <w:tcW w:w="1516"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5" w:hRule="atLeast"/>
        </w:trPr>
        <w:tc>
          <w:tcPr>
            <w:tcW w:w="8958" w:type="dxa"/>
            <w:gridSpan w:val="5"/>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说明： 供应商在响应磋商文件中规定的实质性要求和条件的基础上，可做出其他有利于采购人的承诺。此类承诺可在本表中予以补充填写。</w:t>
            </w:r>
          </w:p>
        </w:tc>
      </w:tr>
    </w:tbl>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p>
      <w:pPr>
        <w:adjustRightInd w:val="0"/>
        <w:snapToGrid w:val="0"/>
        <w:spacing w:line="360" w:lineRule="auto"/>
        <w:ind w:firstLine="960" w:firstLineChars="400"/>
        <w:jc w:val="left"/>
        <w:rPr>
          <w:rFonts w:hint="eastAsia" w:ascii="宋体" w:hAnsi="宋体" w:eastAsia="宋体" w:cs="宋体"/>
          <w:color w:val="auto"/>
          <w:sz w:val="24"/>
          <w:highlight w:val="none"/>
        </w:rPr>
      </w:pP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磋商供应商名称(公章)： </w:t>
      </w: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pPr>
        <w:spacing w:line="360" w:lineRule="auto"/>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pPr>
        <w:spacing w:line="360" w:lineRule="auto"/>
        <w:jc w:val="left"/>
        <w:rPr>
          <w:rFonts w:hint="eastAsia" w:ascii="宋体" w:hAnsi="宋体" w:eastAsia="宋体" w:cs="宋体"/>
          <w:b/>
          <w:bCs/>
          <w:color w:val="auto"/>
          <w:spacing w:val="7"/>
          <w:sz w:val="24"/>
          <w:highlight w:val="none"/>
        </w:rPr>
      </w:pPr>
    </w:p>
    <w:p>
      <w:pPr>
        <w:spacing w:line="360" w:lineRule="auto"/>
        <w:jc w:val="left"/>
        <w:rPr>
          <w:rFonts w:hint="eastAsia" w:ascii="宋体" w:hAnsi="宋体" w:eastAsia="宋体" w:cs="宋体"/>
          <w:b/>
          <w:bCs/>
          <w:color w:val="auto"/>
          <w:spacing w:val="7"/>
          <w:sz w:val="24"/>
          <w:highlight w:val="none"/>
        </w:rPr>
      </w:pPr>
      <w:r>
        <w:rPr>
          <w:rFonts w:hint="eastAsia" w:ascii="宋体" w:hAnsi="宋体" w:eastAsia="宋体" w:cs="宋体"/>
          <w:b/>
          <w:bCs/>
          <w:color w:val="auto"/>
          <w:spacing w:val="7"/>
          <w:sz w:val="24"/>
          <w:highlight w:val="none"/>
        </w:rPr>
        <w:t>附件3</w:t>
      </w:r>
    </w:p>
    <w:p>
      <w:pPr>
        <w:spacing w:line="360" w:lineRule="auto"/>
        <w:ind w:left="3643"/>
        <w:rPr>
          <w:rFonts w:hint="eastAsia" w:ascii="宋体" w:hAnsi="宋体" w:eastAsia="宋体" w:cs="宋体"/>
          <w:color w:val="auto"/>
          <w:sz w:val="31"/>
          <w:szCs w:val="31"/>
          <w:highlight w:val="none"/>
        </w:rPr>
      </w:pPr>
      <w:r>
        <w:rPr>
          <w:rFonts w:hint="eastAsia" w:ascii="宋体" w:hAnsi="宋体" w:eastAsia="宋体" w:cs="宋体"/>
          <w:color w:val="auto"/>
          <w:spacing w:val="7"/>
          <w:sz w:val="31"/>
          <w:szCs w:val="31"/>
          <w:highlight w:val="none"/>
        </w:rPr>
        <w:t>竞标报价表</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项目名称：                  项目编号：                    </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分标（如有）：             </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供应商名称：                                            </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单位：元</w:t>
      </w:r>
    </w:p>
    <w:tbl>
      <w:tblPr>
        <w:tblStyle w:val="39"/>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6" w:hRule="atLeast"/>
        </w:trPr>
        <w:tc>
          <w:tcPr>
            <w:tcW w:w="5109" w:type="dxa"/>
            <w:gridSpan w:val="2"/>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磋商报价</w:t>
            </w:r>
          </w:p>
        </w:tc>
        <w:tc>
          <w:tcPr>
            <w:tcW w:w="1984" w:type="dxa"/>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元</w:t>
            </w:r>
          </w:p>
        </w:tc>
        <w:tc>
          <w:tcPr>
            <w:tcW w:w="1710" w:type="dxa"/>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p>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其中</w:t>
            </w:r>
          </w:p>
        </w:tc>
        <w:tc>
          <w:tcPr>
            <w:tcW w:w="3121" w:type="dxa"/>
            <w:shd w:val="clear" w:color="auto" w:fill="auto"/>
            <w:vAlign w:val="center"/>
          </w:tcPr>
          <w:p>
            <w:pPr>
              <w:widowControl/>
              <w:kinsoku w:val="0"/>
              <w:autoSpaceDE w:val="0"/>
              <w:autoSpaceDN w:val="0"/>
              <w:adjustRightInd w:val="0"/>
              <w:snapToGrid w:val="0"/>
              <w:spacing w:line="360" w:lineRule="auto"/>
              <w:ind w:firstLine="480" w:firstLineChars="200"/>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安全文明施工费</w:t>
            </w:r>
          </w:p>
        </w:tc>
        <w:tc>
          <w:tcPr>
            <w:tcW w:w="1984" w:type="dxa"/>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元</w:t>
            </w:r>
          </w:p>
        </w:tc>
        <w:tc>
          <w:tcPr>
            <w:tcW w:w="1710" w:type="dxa"/>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rPr>
            </w:pPr>
          </w:p>
        </w:tc>
        <w:tc>
          <w:tcPr>
            <w:tcW w:w="3121" w:type="dxa"/>
            <w:shd w:val="clear" w:color="auto" w:fill="auto"/>
            <w:vAlign w:val="center"/>
          </w:tcPr>
          <w:p>
            <w:pPr>
              <w:widowControl/>
              <w:kinsoku w:val="0"/>
              <w:autoSpaceDE w:val="0"/>
              <w:autoSpaceDN w:val="0"/>
              <w:adjustRightInd w:val="0"/>
              <w:snapToGrid w:val="0"/>
              <w:spacing w:line="360" w:lineRule="auto"/>
              <w:ind w:firstLine="480" w:firstLineChars="200"/>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发包人提供材料（如有）</w:t>
            </w:r>
          </w:p>
        </w:tc>
        <w:tc>
          <w:tcPr>
            <w:tcW w:w="1984" w:type="dxa"/>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元</w:t>
            </w:r>
          </w:p>
        </w:tc>
        <w:tc>
          <w:tcPr>
            <w:tcW w:w="1710" w:type="dxa"/>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rPr>
            </w:pPr>
          </w:p>
        </w:tc>
        <w:tc>
          <w:tcPr>
            <w:tcW w:w="3121" w:type="dxa"/>
            <w:shd w:val="clear" w:color="auto" w:fill="auto"/>
            <w:vAlign w:val="center"/>
          </w:tcPr>
          <w:p>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承包人提供材料（设备）暂估价</w:t>
            </w:r>
          </w:p>
          <w:p>
            <w:pPr>
              <w:widowControl/>
              <w:kinsoku w:val="0"/>
              <w:autoSpaceDE w:val="0"/>
              <w:autoSpaceDN w:val="0"/>
              <w:adjustRightInd w:val="0"/>
              <w:snapToGrid w:val="0"/>
              <w:spacing w:line="360" w:lineRule="auto"/>
              <w:ind w:firstLine="480" w:firstLineChars="200"/>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（如有）</w:t>
            </w:r>
          </w:p>
        </w:tc>
        <w:tc>
          <w:tcPr>
            <w:tcW w:w="1984" w:type="dxa"/>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元</w:t>
            </w:r>
          </w:p>
        </w:tc>
        <w:tc>
          <w:tcPr>
            <w:tcW w:w="1710" w:type="dxa"/>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rPr>
            </w:pPr>
          </w:p>
        </w:tc>
        <w:tc>
          <w:tcPr>
            <w:tcW w:w="3121" w:type="dxa"/>
            <w:shd w:val="clear" w:color="auto" w:fill="auto"/>
            <w:vAlign w:val="center"/>
          </w:tcPr>
          <w:p>
            <w:pPr>
              <w:widowControl/>
              <w:kinsoku w:val="0"/>
              <w:autoSpaceDE w:val="0"/>
              <w:autoSpaceDN w:val="0"/>
              <w:adjustRightInd w:val="0"/>
              <w:snapToGrid w:val="0"/>
              <w:spacing w:line="360" w:lineRule="auto"/>
              <w:ind w:firstLine="480" w:firstLineChars="200"/>
              <w:jc w:val="lef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暂估专业工程（如有）</w:t>
            </w:r>
          </w:p>
        </w:tc>
        <w:tc>
          <w:tcPr>
            <w:tcW w:w="1984" w:type="dxa"/>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元</w:t>
            </w:r>
          </w:p>
        </w:tc>
        <w:tc>
          <w:tcPr>
            <w:tcW w:w="1710" w:type="dxa"/>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rPr>
            </w:pPr>
          </w:p>
        </w:tc>
        <w:tc>
          <w:tcPr>
            <w:tcW w:w="3121" w:type="dxa"/>
            <w:shd w:val="clear" w:color="auto" w:fill="auto"/>
            <w:vAlign w:val="center"/>
          </w:tcPr>
          <w:p>
            <w:pPr>
              <w:widowControl/>
              <w:kinsoku w:val="0"/>
              <w:autoSpaceDE w:val="0"/>
              <w:autoSpaceDN w:val="0"/>
              <w:adjustRightInd w:val="0"/>
              <w:snapToGrid w:val="0"/>
              <w:spacing w:line="360" w:lineRule="auto"/>
              <w:ind w:firstLine="480" w:firstLineChars="200"/>
              <w:jc w:val="left"/>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暂列金额（如有）</w:t>
            </w:r>
          </w:p>
        </w:tc>
        <w:tc>
          <w:tcPr>
            <w:tcW w:w="1984" w:type="dxa"/>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元</w:t>
            </w:r>
          </w:p>
        </w:tc>
        <w:tc>
          <w:tcPr>
            <w:tcW w:w="1710" w:type="dxa"/>
            <w:shd w:val="clear" w:color="auto" w:fill="auto"/>
            <w:vAlign w:val="center"/>
          </w:tcPr>
          <w:p>
            <w:pPr>
              <w:widowControl/>
              <w:kinsoku w:val="0"/>
              <w:autoSpaceDE w:val="0"/>
              <w:autoSpaceDN w:val="0"/>
              <w:adjustRightInd w:val="0"/>
              <w:snapToGrid w:val="0"/>
              <w:spacing w:line="360" w:lineRule="auto"/>
              <w:ind w:firstLine="480" w:firstLineChars="200"/>
              <w:jc w:val="center"/>
              <w:textAlignment w:val="baseline"/>
              <w:rPr>
                <w:rFonts w:hint="eastAsia" w:ascii="宋体" w:hAnsi="宋体" w:eastAsia="宋体" w:cs="宋体"/>
                <w:color w:val="auto"/>
                <w:sz w:val="24"/>
                <w:highlight w:val="none"/>
              </w:rPr>
            </w:pPr>
          </w:p>
        </w:tc>
      </w:tr>
    </w:tbl>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eastAsia="zh-CN"/>
        </w:rPr>
        <w:t>：</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 供应商的报价表使用电子签名，否则其响应文件按无效处理。</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 报价一经涂改，应在涂改处使用电子签名，或由法定代表人或者授权委托人签字，否则其响应文件按无效处理。</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3.如为联合体竞标，“供应商名称”处必须列明联合体各方名称，标注联合体牵头人名称，否则其响应文件按无效处理。</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4. 如为联合体竞标，须使用联合体牵头人电子签名，否则其响应文件按无效处理。</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5.如有多分标，分别列明各分标的报价表，否则其响应文件按无效处理。</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磋商供应商名称(公章)： </w:t>
      </w: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pPr>
        <w:spacing w:line="360" w:lineRule="auto"/>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pPr>
        <w:spacing w:line="360" w:lineRule="auto"/>
        <w:rPr>
          <w:rFonts w:hint="eastAsia" w:ascii="宋体" w:hAnsi="宋体" w:eastAsia="宋体" w:cs="宋体"/>
          <w:b/>
          <w:bCs/>
          <w:color w:val="auto"/>
          <w:sz w:val="24"/>
          <w:highlight w:val="none"/>
        </w:rPr>
      </w:pPr>
    </w:p>
    <w:p>
      <w:pPr>
        <w:spacing w:line="360" w:lineRule="auto"/>
        <w:rPr>
          <w:rFonts w:hint="eastAsia" w:ascii="宋体" w:hAnsi="宋体" w:eastAsia="宋体" w:cs="宋体"/>
          <w:b/>
          <w:bCs/>
          <w:color w:val="auto"/>
          <w:sz w:val="24"/>
          <w:highlight w:val="none"/>
        </w:rPr>
      </w:pPr>
    </w:p>
    <w:p>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附件4</w:t>
      </w:r>
    </w:p>
    <w:p>
      <w:pPr>
        <w:widowControl/>
        <w:kinsoku w:val="0"/>
        <w:autoSpaceDE w:val="0"/>
        <w:autoSpaceDN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highlight w:val="none"/>
        </w:rPr>
      </w:pPr>
    </w:p>
    <w:p>
      <w:pPr>
        <w:widowControl/>
        <w:kinsoku w:val="0"/>
        <w:autoSpaceDE w:val="0"/>
        <w:autoSpaceDN w:val="0"/>
        <w:adjustRightInd w:val="0"/>
        <w:snapToGrid w:val="0"/>
        <w:spacing w:line="360" w:lineRule="auto"/>
        <w:ind w:firstLine="482" w:firstLineChars="200"/>
        <w:jc w:val="center"/>
        <w:textAlignment w:val="baseline"/>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已标价工程量清单</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1.已标价工程量清单应按第四章“工程量清单及图纸”中的相关表格及竞标报价说明填写。构成合同文件的已标价工程量清单包括第四章“工程量清单及图纸”有关工程量清单、竞标报价以及其他说明的内容。</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p>
    <w:p>
      <w:pPr>
        <w:widowControl/>
        <w:kinsoku w:val="0"/>
        <w:autoSpaceDE w:val="0"/>
        <w:autoSpaceDN w:val="0"/>
        <w:adjustRightInd w:val="0"/>
        <w:snapToGrid w:val="0"/>
        <w:spacing w:line="360" w:lineRule="auto"/>
        <w:ind w:firstLine="482" w:firstLineChars="200"/>
        <w:textAlignment w:val="baseline"/>
        <w:rPr>
          <w:rFonts w:hint="eastAsia" w:ascii="宋体" w:hAnsi="宋体" w:eastAsia="宋体" w:cs="宋体"/>
          <w:b/>
          <w:bCs/>
          <w:color w:val="auto"/>
          <w:sz w:val="24"/>
          <w:highlight w:val="none"/>
        </w:rPr>
      </w:pPr>
    </w:p>
    <w:p>
      <w:pPr>
        <w:widowControl/>
        <w:kinsoku w:val="0"/>
        <w:autoSpaceDE w:val="0"/>
        <w:autoSpaceDN w:val="0"/>
        <w:adjustRightInd w:val="0"/>
        <w:snapToGrid w:val="0"/>
        <w:spacing w:line="360" w:lineRule="auto"/>
        <w:ind w:firstLine="482" w:firstLineChars="200"/>
        <w:textAlignment w:val="baseline"/>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p>
      <w:pPr>
        <w:widowControl/>
        <w:kinsoku w:val="0"/>
        <w:autoSpaceDE w:val="0"/>
        <w:autoSpaceDN w:val="0"/>
        <w:adjustRightInd w:val="0"/>
        <w:snapToGrid w:val="0"/>
        <w:spacing w:line="360" w:lineRule="auto"/>
        <w:ind w:firstLine="482" w:firstLineChars="200"/>
        <w:textAlignment w:val="baseline"/>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供应商在上传竞标报价文件时应上传纸质竞标总价封面的原件扫描件。报标总价封面必须经供应商盖章，并由法定代表人（或其授权人）签字（或盖章），同时由编制人签字盖专用章，否则按无效磋商处理。</w:t>
      </w:r>
    </w:p>
    <w:p>
      <w:pPr>
        <w:spacing w:line="360" w:lineRule="auto"/>
        <w:ind w:firstLine="482" w:firstLineChars="200"/>
        <w:rPr>
          <w:rFonts w:hint="eastAsia" w:ascii="宋体" w:hAnsi="宋体" w:eastAsia="宋体" w:cs="宋体"/>
          <w:b/>
          <w:color w:val="auto"/>
          <w:sz w:val="24"/>
          <w:highlight w:val="none"/>
        </w:rPr>
        <w:sectPr>
          <w:pgSz w:w="11907" w:h="16839"/>
          <w:pgMar w:top="1431" w:right="1272" w:bottom="1364" w:left="1418" w:header="850" w:footer="1204" w:gutter="0"/>
          <w:pgNumType w:fmt="decimal"/>
          <w:cols w:space="720" w:num="1"/>
          <w:docGrid w:linePitch="286" w:charSpace="0"/>
        </w:sectPr>
      </w:pPr>
      <w:r>
        <w:rPr>
          <w:rFonts w:hint="eastAsia" w:ascii="宋体" w:hAnsi="宋体" w:eastAsia="宋体" w:cs="宋体"/>
          <w:b/>
          <w:bCs/>
          <w:color w:val="auto"/>
          <w:sz w:val="24"/>
          <w:highlight w:val="none"/>
        </w:rPr>
        <w:t>（2）已标价工程量清单表格要严格按照工程量清单给出的表格要求和内容填报，否则按无效磋商处理。</w:t>
      </w:r>
    </w:p>
    <w:p>
      <w:pPr>
        <w:spacing w:line="360" w:lineRule="auto"/>
        <w:ind w:left="420" w:hanging="42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附件5</w:t>
      </w:r>
    </w:p>
    <w:p>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磋 商 书</w:t>
      </w:r>
    </w:p>
    <w:p>
      <w:pPr>
        <w:spacing w:line="360" w:lineRule="auto"/>
        <w:jc w:val="center"/>
        <w:rPr>
          <w:rFonts w:hint="eastAsia" w:ascii="宋体" w:hAnsi="宋体" w:eastAsia="宋体" w:cs="宋体"/>
          <w:b/>
          <w:color w:val="auto"/>
          <w:sz w:val="24"/>
          <w:highlight w:val="none"/>
        </w:rPr>
      </w:pPr>
    </w:p>
    <w:p>
      <w:pPr>
        <w:pStyle w:val="25"/>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合浦县农业农村局</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广西延信工程项目管理有限公司</w:t>
      </w:r>
      <w:r>
        <w:rPr>
          <w:rFonts w:hint="eastAsia" w:ascii="宋体" w:hAnsi="宋体" w:eastAsia="宋体" w:cs="宋体"/>
          <w:color w:val="auto"/>
          <w:sz w:val="24"/>
          <w:szCs w:val="24"/>
          <w:highlight w:val="none"/>
        </w:rPr>
        <w:t>：</w:t>
      </w:r>
    </w:p>
    <w:p>
      <w:pPr>
        <w:pStyle w:val="25"/>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依据贵方</w:t>
      </w:r>
      <w:r>
        <w:rPr>
          <w:rFonts w:hint="eastAsia" w:ascii="宋体" w:hAnsi="宋体" w:eastAsia="宋体" w:cs="宋体"/>
          <w:color w:val="auto"/>
          <w:sz w:val="24"/>
          <w:szCs w:val="24"/>
          <w:highlight w:val="none"/>
          <w:u w:val="single"/>
        </w:rPr>
        <w:t>（项目名称/项目编号）</w:t>
      </w:r>
      <w:r>
        <w:rPr>
          <w:rFonts w:hint="eastAsia" w:ascii="宋体" w:hAnsi="宋体" w:eastAsia="宋体" w:cs="宋体"/>
          <w:color w:val="auto"/>
          <w:sz w:val="24"/>
          <w:szCs w:val="24"/>
          <w:highlight w:val="none"/>
        </w:rPr>
        <w:t>项目政府采购的磋商邀请，我方</w:t>
      </w:r>
      <w:r>
        <w:rPr>
          <w:rFonts w:hint="eastAsia" w:ascii="宋体" w:hAnsi="宋体" w:eastAsia="宋体" w:cs="宋体"/>
          <w:color w:val="auto"/>
          <w:sz w:val="24"/>
          <w:szCs w:val="24"/>
          <w:highlight w:val="none"/>
          <w:u w:val="single"/>
        </w:rPr>
        <w:t>（姓名和职务）</w:t>
      </w:r>
      <w:r>
        <w:rPr>
          <w:rFonts w:hint="eastAsia" w:ascii="宋体" w:hAnsi="宋体" w:eastAsia="宋体" w:cs="宋体"/>
          <w:color w:val="auto"/>
          <w:sz w:val="24"/>
          <w:szCs w:val="24"/>
          <w:highlight w:val="none"/>
        </w:rPr>
        <w:t>经正式授权并代表本单位</w:t>
      </w:r>
      <w:r>
        <w:rPr>
          <w:rFonts w:hint="eastAsia" w:ascii="宋体" w:hAnsi="宋体" w:eastAsia="宋体" w:cs="宋体"/>
          <w:color w:val="auto"/>
          <w:sz w:val="24"/>
          <w:szCs w:val="24"/>
          <w:highlight w:val="none"/>
          <w:u w:val="single"/>
        </w:rPr>
        <w:t>（供应商名称、地址）</w:t>
      </w:r>
      <w:r>
        <w:rPr>
          <w:rFonts w:hint="eastAsia" w:ascii="宋体" w:hAnsi="宋体" w:eastAsia="宋体" w:cs="宋体"/>
          <w:color w:val="auto"/>
          <w:sz w:val="24"/>
          <w:szCs w:val="24"/>
          <w:highlight w:val="none"/>
        </w:rPr>
        <w:t>提交下述竞争性磋商响应文件</w:t>
      </w:r>
      <w:r>
        <w:rPr>
          <w:rFonts w:hint="eastAsia" w:ascii="宋体" w:hAnsi="宋体" w:eastAsia="宋体" w:cs="宋体"/>
          <w:b/>
          <w:color w:val="auto"/>
          <w:sz w:val="24"/>
          <w:szCs w:val="24"/>
          <w:highlight w:val="none"/>
        </w:rPr>
        <w:t>（资格文件、价格文件、商务技术文件）</w:t>
      </w:r>
      <w:r>
        <w:rPr>
          <w:rFonts w:hint="eastAsia" w:ascii="宋体" w:hAnsi="宋体" w:eastAsia="宋体" w:cs="宋体"/>
          <w:color w:val="auto"/>
          <w:sz w:val="24"/>
          <w:szCs w:val="24"/>
          <w:highlight w:val="none"/>
        </w:rPr>
        <w:t>。</w:t>
      </w:r>
    </w:p>
    <w:p>
      <w:pPr>
        <w:pStyle w:val="25"/>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报价表；</w:t>
      </w:r>
    </w:p>
    <w:p>
      <w:pPr>
        <w:pStyle w:val="25"/>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 资格证明文件； </w:t>
      </w:r>
    </w:p>
    <w:p>
      <w:pPr>
        <w:pStyle w:val="25"/>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按竞争性磋商文件供应商须知和采购需求提供的有关文件。</w:t>
      </w:r>
    </w:p>
    <w:p>
      <w:pPr>
        <w:pStyle w:val="25"/>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在此，授权代表宣布同意如下：</w:t>
      </w:r>
    </w:p>
    <w:p>
      <w:pPr>
        <w:pStyle w:val="25"/>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将按竞争性磋商文件的约定履行合同责任和义务；</w:t>
      </w:r>
    </w:p>
    <w:p>
      <w:pPr>
        <w:pStyle w:val="25"/>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已详细审查全部竞争性磋商文件，包括</w:t>
      </w:r>
      <w:r>
        <w:rPr>
          <w:rFonts w:hint="eastAsia" w:ascii="宋体" w:hAnsi="宋体" w:eastAsia="宋体" w:cs="宋体"/>
          <w:color w:val="auto"/>
          <w:sz w:val="24"/>
          <w:szCs w:val="24"/>
          <w:highlight w:val="none"/>
          <w:u w:val="single"/>
        </w:rPr>
        <w:t>（补遗文件）（如果有的话）</w:t>
      </w:r>
      <w:r>
        <w:rPr>
          <w:rFonts w:hint="eastAsia" w:ascii="宋体" w:hAnsi="宋体" w:eastAsia="宋体" w:cs="宋体"/>
          <w:color w:val="auto"/>
          <w:sz w:val="24"/>
          <w:szCs w:val="24"/>
          <w:highlight w:val="none"/>
        </w:rPr>
        <w:t>；</w:t>
      </w:r>
    </w:p>
    <w:p>
      <w:pPr>
        <w:pStyle w:val="25"/>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同意提供按照贵方可能要求的与其磋商有关的一切数据或资料；</w:t>
      </w:r>
    </w:p>
    <w:p>
      <w:pPr>
        <w:pStyle w:val="25"/>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4. 与本磋商有关的一切正式往来信函请寄：</w:t>
      </w:r>
      <w:r>
        <w:rPr>
          <w:rFonts w:hint="eastAsia" w:ascii="宋体" w:hAnsi="宋体" w:eastAsia="宋体" w:cs="宋体"/>
          <w:color w:val="auto"/>
          <w:sz w:val="24"/>
          <w:szCs w:val="24"/>
          <w:highlight w:val="none"/>
          <w:u w:val="single"/>
        </w:rPr>
        <w:t xml:space="preserve">                       </w:t>
      </w:r>
    </w:p>
    <w:p>
      <w:pPr>
        <w:pStyle w:val="25"/>
        <w:spacing w:line="360" w:lineRule="auto"/>
        <w:ind w:firstLine="84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帐号/行号：</w:t>
      </w:r>
      <w:r>
        <w:rPr>
          <w:rFonts w:hint="eastAsia" w:ascii="宋体" w:hAnsi="宋体" w:eastAsia="宋体" w:cs="宋体"/>
          <w:color w:val="auto"/>
          <w:sz w:val="24"/>
          <w:szCs w:val="24"/>
          <w:highlight w:val="none"/>
          <w:u w:val="single"/>
        </w:rPr>
        <w:t xml:space="preserve">          </w:t>
      </w:r>
    </w:p>
    <w:p>
      <w:pPr>
        <w:pStyle w:val="25"/>
        <w:spacing w:line="360" w:lineRule="auto"/>
        <w:ind w:firstLine="8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电子函件：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Style w:val="25"/>
        <w:spacing w:line="360" w:lineRule="auto"/>
        <w:ind w:firstLine="84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adjustRightInd w:val="0"/>
        <w:snapToGrid w:val="0"/>
        <w:spacing w:line="360" w:lineRule="auto"/>
        <w:ind w:firstLine="1440" w:firstLineChars="600"/>
        <w:jc w:val="left"/>
        <w:rPr>
          <w:rFonts w:hint="eastAsia" w:ascii="宋体" w:hAnsi="宋体" w:eastAsia="宋体" w:cs="宋体"/>
          <w:color w:val="auto"/>
          <w:sz w:val="24"/>
          <w:highlight w:val="none"/>
        </w:rPr>
      </w:pPr>
    </w:p>
    <w:p>
      <w:pPr>
        <w:adjustRightInd w:val="0"/>
        <w:snapToGrid w:val="0"/>
        <w:spacing w:line="360" w:lineRule="auto"/>
        <w:ind w:firstLine="1440" w:firstLineChars="600"/>
        <w:jc w:val="left"/>
        <w:rPr>
          <w:rFonts w:hint="eastAsia" w:ascii="宋体" w:hAnsi="宋体" w:eastAsia="宋体" w:cs="宋体"/>
          <w:color w:val="auto"/>
          <w:sz w:val="24"/>
          <w:highlight w:val="none"/>
        </w:rPr>
      </w:pP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磋商供应商名称(公章)： </w:t>
      </w: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pPr>
        <w:spacing w:line="360" w:lineRule="auto"/>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pPr>
        <w:pStyle w:val="25"/>
        <w:spacing w:line="360" w:lineRule="auto"/>
        <w:ind w:firstLine="8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rPr>
      </w:pPr>
    </w:p>
    <w:p>
      <w:pPr>
        <w:spacing w:line="360" w:lineRule="auto"/>
        <w:ind w:left="420" w:hanging="420"/>
        <w:rPr>
          <w:rFonts w:hint="eastAsia" w:ascii="宋体" w:hAnsi="宋体" w:eastAsia="宋体" w:cs="宋体"/>
          <w:color w:val="auto"/>
          <w:highlight w:val="none"/>
        </w:rPr>
      </w:pPr>
    </w:p>
    <w:p>
      <w:pPr>
        <w:spacing w:line="360" w:lineRule="auto"/>
        <w:ind w:left="420" w:hanging="420"/>
        <w:rPr>
          <w:rFonts w:hint="eastAsia" w:ascii="宋体" w:hAnsi="宋体" w:eastAsia="宋体" w:cs="宋体"/>
          <w:b/>
          <w:color w:val="auto"/>
          <w:highlight w:val="none"/>
        </w:rPr>
      </w:pPr>
      <w:r>
        <w:rPr>
          <w:rFonts w:hint="eastAsia" w:ascii="宋体" w:hAnsi="宋体" w:eastAsia="宋体" w:cs="宋体"/>
          <w:color w:val="auto"/>
          <w:highlight w:val="none"/>
        </w:rPr>
        <w:br w:type="page"/>
      </w:r>
    </w:p>
    <w:p>
      <w:pPr>
        <w:spacing w:line="360" w:lineRule="auto"/>
        <w:ind w:left="420" w:hanging="42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附件6</w:t>
      </w:r>
    </w:p>
    <w:p>
      <w:pPr>
        <w:adjustRightInd w:val="0"/>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法定代表人（负责人）授权委托书</w:t>
      </w:r>
    </w:p>
    <w:p>
      <w:pPr>
        <w:adjustRightInd w:val="0"/>
        <w:snapToGrid w:val="0"/>
        <w:spacing w:line="360" w:lineRule="auto"/>
        <w:rPr>
          <w:rFonts w:hint="eastAsia" w:ascii="宋体" w:hAnsi="宋体" w:eastAsia="宋体" w:cs="宋体"/>
          <w:color w:val="auto"/>
          <w:szCs w:val="21"/>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合浦县农业农村局</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广西延信工程项目管理有限公司</w:t>
      </w:r>
      <w:r>
        <w:rPr>
          <w:rFonts w:hint="eastAsia" w:ascii="宋体" w:hAnsi="宋体" w:eastAsia="宋体" w:cs="宋体"/>
          <w:color w:val="auto"/>
          <w:sz w:val="24"/>
          <w:highlight w:val="none"/>
        </w:rPr>
        <w:t>：</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兹授权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同志为我公司参加贵单位组织的</w:t>
      </w:r>
      <w:r>
        <w:rPr>
          <w:rFonts w:hint="eastAsia" w:ascii="宋体" w:hAnsi="宋体" w:eastAsia="宋体" w:cs="宋体"/>
          <w:color w:val="auto"/>
          <w:sz w:val="24"/>
          <w:highlight w:val="none"/>
          <w:u w:val="single"/>
        </w:rPr>
        <w:t xml:space="preserve">                     项目</w:t>
      </w: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）竞争性磋商采购活动的委托代理人，全权代表我公司处理在该项目活动中的一切事宜。代理期限从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日起至</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日止。 </w:t>
      </w: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磋商供应商（公章）：</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法定代表人（负责人）（签名）：</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签发日期：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附：委托代理人工作单位</w:t>
      </w:r>
      <w:r>
        <w:rPr>
          <w:rFonts w:hint="eastAsia" w:ascii="宋体" w:hAnsi="宋体" w:eastAsia="宋体" w:cs="宋体"/>
          <w:color w:val="auto"/>
          <w:sz w:val="24"/>
          <w:highlight w:val="none"/>
          <w:u w:val="single"/>
        </w:rPr>
        <w:t xml:space="preserve">               </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p>
    <w:p>
      <w:pPr>
        <w:adjustRightInd w:val="0"/>
        <w:snapToGrid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tbl>
      <w:tblPr>
        <w:tblStyle w:val="39"/>
        <w:tblW w:w="8657"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9" w:hRule="atLeast"/>
        </w:trPr>
        <w:tc>
          <w:tcPr>
            <w:tcW w:w="8657" w:type="dxa"/>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粘贴委托代理人的正面及反面身份证复印件</w:t>
            </w:r>
          </w:p>
        </w:tc>
      </w:tr>
    </w:tbl>
    <w:p>
      <w:pPr>
        <w:autoSpaceDE w:val="0"/>
        <w:autoSpaceDN w:val="0"/>
        <w:spacing w:line="360" w:lineRule="auto"/>
        <w:ind w:left="480" w:hanging="480"/>
        <w:rPr>
          <w:rFonts w:hint="eastAsia" w:ascii="宋体" w:hAnsi="宋体" w:eastAsia="宋体" w:cs="宋体"/>
          <w:color w:val="auto"/>
          <w:sz w:val="24"/>
          <w:highlight w:val="none"/>
        </w:rPr>
      </w:pPr>
    </w:p>
    <w:p>
      <w:pPr>
        <w:pStyle w:val="25"/>
        <w:spacing w:line="360" w:lineRule="auto"/>
        <w:rPr>
          <w:rFonts w:hint="eastAsia" w:ascii="宋体" w:hAnsi="宋体" w:eastAsia="宋体" w:cs="宋体"/>
          <w:color w:val="auto"/>
          <w:sz w:val="24"/>
          <w:szCs w:val="24"/>
          <w:highlight w:val="none"/>
        </w:rPr>
      </w:pPr>
    </w:p>
    <w:p>
      <w:pPr>
        <w:pStyle w:val="25"/>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pPr>
        <w:spacing w:line="360" w:lineRule="auto"/>
        <w:ind w:left="420" w:hanging="42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附件7</w:t>
      </w:r>
    </w:p>
    <w:p>
      <w:pPr>
        <w:adjustRightInd w:val="0"/>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法定代表人（负责人）身份证明书</w:t>
      </w:r>
    </w:p>
    <w:p>
      <w:pPr>
        <w:adjustRightInd w:val="0"/>
        <w:snapToGrid w:val="0"/>
        <w:spacing w:line="360" w:lineRule="auto"/>
        <w:ind w:firstLine="960" w:firstLineChars="400"/>
        <w:rPr>
          <w:rFonts w:hint="eastAsia" w:ascii="宋体" w:hAnsi="宋体" w:eastAsia="宋体" w:cs="宋体"/>
          <w:color w:val="auto"/>
          <w:sz w:val="24"/>
          <w:highlight w:val="none"/>
          <w:u w:val="single"/>
        </w:rPr>
      </w:pPr>
    </w:p>
    <w:p>
      <w:pPr>
        <w:adjustRightInd w:val="0"/>
        <w:snapToGrid w:val="0"/>
        <w:spacing w:line="360" w:lineRule="auto"/>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在我</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职务，是我</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的法定代表人（负责人）。</w:t>
      </w:r>
    </w:p>
    <w:p>
      <w:pPr>
        <w:adjustRightInd w:val="0"/>
        <w:snapToGrid w:val="0"/>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pPr>
        <w:adjustRightInd w:val="0"/>
        <w:snapToGrid w:val="0"/>
        <w:spacing w:line="360" w:lineRule="auto"/>
        <w:rPr>
          <w:rFonts w:hint="eastAsia" w:ascii="宋体" w:hAnsi="宋体" w:eastAsia="宋体" w:cs="宋体"/>
          <w:color w:val="auto"/>
          <w:sz w:val="24"/>
          <w:highlight w:val="none"/>
        </w:rPr>
      </w:pPr>
    </w:p>
    <w:p>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adjustRightInd w:val="0"/>
        <w:snapToGrid w:val="0"/>
        <w:spacing w:line="360" w:lineRule="auto"/>
        <w:rPr>
          <w:rFonts w:hint="eastAsia" w:ascii="宋体" w:hAnsi="宋体" w:eastAsia="宋体" w:cs="宋体"/>
          <w:color w:val="auto"/>
          <w:sz w:val="24"/>
          <w:highlight w:val="none"/>
        </w:rPr>
      </w:pPr>
    </w:p>
    <w:p>
      <w:pPr>
        <w:adjustRightInd w:val="0"/>
        <w:snapToGrid w:val="0"/>
        <w:spacing w:line="360" w:lineRule="auto"/>
        <w:ind w:firstLine="3360" w:firstLineChars="1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单位名称：</w:t>
      </w:r>
      <w:r>
        <w:rPr>
          <w:rFonts w:hint="eastAsia" w:ascii="宋体" w:hAnsi="宋体" w:eastAsia="宋体" w:cs="宋体"/>
          <w:color w:val="auto"/>
          <w:sz w:val="24"/>
          <w:highlight w:val="none"/>
          <w:u w:val="single"/>
        </w:rPr>
        <w:t xml:space="preserve">                              </w:t>
      </w:r>
    </w:p>
    <w:p>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（单位公章）</w:t>
      </w:r>
    </w:p>
    <w:p>
      <w:pPr>
        <w:adjustRightInd w:val="0"/>
        <w:snapToGrid w:val="0"/>
        <w:spacing w:line="360" w:lineRule="auto"/>
        <w:rPr>
          <w:rFonts w:hint="eastAsia" w:ascii="宋体" w:hAnsi="宋体" w:eastAsia="宋体" w:cs="宋体"/>
          <w:color w:val="auto"/>
          <w:sz w:val="24"/>
          <w:highlight w:val="none"/>
        </w:rPr>
      </w:pPr>
    </w:p>
    <w:p>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pPr>
        <w:adjustRightInd w:val="0"/>
        <w:snapToGrid w:val="0"/>
        <w:spacing w:line="360" w:lineRule="auto"/>
        <w:rPr>
          <w:rFonts w:hint="eastAsia" w:ascii="宋体" w:hAnsi="宋体" w:eastAsia="宋体" w:cs="宋体"/>
          <w:color w:val="auto"/>
          <w:sz w:val="24"/>
          <w:highlight w:val="none"/>
        </w:rPr>
      </w:pPr>
    </w:p>
    <w:p>
      <w:pPr>
        <w:adjustRightInd w:val="0"/>
        <w:snapToGrid w:val="0"/>
        <w:spacing w:line="360" w:lineRule="auto"/>
        <w:ind w:firstLine="360" w:firstLineChars="150"/>
        <w:rPr>
          <w:rFonts w:hint="eastAsia" w:ascii="宋体" w:hAnsi="宋体" w:eastAsia="宋体" w:cs="宋体"/>
          <w:color w:val="auto"/>
          <w:sz w:val="24"/>
          <w:highlight w:val="none"/>
        </w:rPr>
      </w:pPr>
    </w:p>
    <w:p>
      <w:pPr>
        <w:adjustRightInd w:val="0"/>
        <w:snapToGrid w:val="0"/>
        <w:spacing w:line="360" w:lineRule="auto"/>
        <w:ind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住    址：</w:t>
      </w:r>
    </w:p>
    <w:p>
      <w:pPr>
        <w:adjustRightInd w:val="0"/>
        <w:snapToGrid w:val="0"/>
        <w:spacing w:line="360" w:lineRule="auto"/>
        <w:ind w:firstLine="360" w:firstLineChars="150"/>
        <w:rPr>
          <w:rFonts w:hint="eastAsia" w:ascii="宋体" w:hAnsi="宋体" w:eastAsia="宋体" w:cs="宋体"/>
          <w:color w:val="auto"/>
          <w:sz w:val="24"/>
          <w:highlight w:val="none"/>
        </w:rPr>
      </w:pPr>
    </w:p>
    <w:p>
      <w:pPr>
        <w:pStyle w:val="25"/>
        <w:adjustRightInd w:val="0"/>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pPr>
        <w:pStyle w:val="25"/>
        <w:adjustRightInd w:val="0"/>
        <w:snapToGrid w:val="0"/>
        <w:spacing w:line="360" w:lineRule="auto"/>
        <w:ind w:firstLine="360" w:firstLineChars="150"/>
        <w:rPr>
          <w:rFonts w:hint="eastAsia" w:ascii="宋体" w:hAnsi="宋体" w:eastAsia="宋体" w:cs="宋体"/>
          <w:color w:val="auto"/>
          <w:sz w:val="24"/>
          <w:szCs w:val="24"/>
          <w:highlight w:val="none"/>
        </w:rPr>
      </w:pPr>
    </w:p>
    <w:tbl>
      <w:tblPr>
        <w:tblStyle w:val="39"/>
        <w:tblW w:w="91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24" w:type="dxa"/>
          </w:tcPr>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贴附“身份证复印件”（正反两面）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6" w:hRule="atLeast"/>
        </w:trPr>
        <w:tc>
          <w:tcPr>
            <w:tcW w:w="9124" w:type="dxa"/>
          </w:tcPr>
          <w:p>
            <w:pPr>
              <w:snapToGrid w:val="0"/>
              <w:spacing w:line="360" w:lineRule="auto"/>
              <w:rPr>
                <w:rFonts w:hint="eastAsia" w:ascii="宋体" w:hAnsi="宋体" w:eastAsia="宋体" w:cs="宋体"/>
                <w:color w:val="auto"/>
                <w:szCs w:val="21"/>
                <w:highlight w:val="none"/>
              </w:rPr>
            </w:pPr>
          </w:p>
        </w:tc>
      </w:tr>
    </w:tbl>
    <w:p>
      <w:pPr>
        <w:pStyle w:val="25"/>
        <w:spacing w:line="360" w:lineRule="auto"/>
        <w:rPr>
          <w:rFonts w:hint="eastAsia" w:ascii="宋体" w:hAnsi="宋体" w:eastAsia="宋体" w:cs="宋体"/>
          <w:color w:val="auto"/>
          <w:highlight w:val="none"/>
        </w:rPr>
      </w:pPr>
    </w:p>
    <w:p>
      <w:pPr>
        <w:autoSpaceDE w:val="0"/>
        <w:autoSpaceDN w:val="0"/>
        <w:adjustRightInd w:val="0"/>
        <w:snapToGrid w:val="0"/>
        <w:spacing w:line="360" w:lineRule="auto"/>
        <w:rPr>
          <w:rFonts w:hint="eastAsia" w:ascii="宋体" w:hAnsi="宋体" w:eastAsia="宋体" w:cs="宋体"/>
          <w:b/>
          <w:color w:val="auto"/>
          <w:sz w:val="24"/>
          <w:highlight w:val="none"/>
        </w:rPr>
      </w:pPr>
    </w:p>
    <w:p>
      <w:pPr>
        <w:autoSpaceDE w:val="0"/>
        <w:autoSpaceDN w:val="0"/>
        <w:adjustRightInd w:val="0"/>
        <w:snapToGrid w:val="0"/>
        <w:spacing w:line="360" w:lineRule="auto"/>
        <w:rPr>
          <w:rFonts w:hint="eastAsia" w:ascii="宋体" w:hAnsi="宋体" w:eastAsia="宋体" w:cs="宋体"/>
          <w:b/>
          <w:color w:val="auto"/>
          <w:kern w:val="0"/>
          <w:sz w:val="24"/>
          <w:highlight w:val="none"/>
        </w:rPr>
      </w:pPr>
      <w:r>
        <w:rPr>
          <w:rFonts w:hint="eastAsia" w:ascii="宋体" w:hAnsi="宋体" w:eastAsia="宋体" w:cs="宋体"/>
          <w:b/>
          <w:color w:val="auto"/>
          <w:sz w:val="24"/>
          <w:highlight w:val="none"/>
        </w:rPr>
        <w:t>附件8</w:t>
      </w:r>
    </w:p>
    <w:p>
      <w:pPr>
        <w:autoSpaceDE w:val="0"/>
        <w:autoSpaceDN w:val="0"/>
        <w:adjustRightInd w:val="0"/>
        <w:snapToGrid w:val="0"/>
        <w:spacing w:line="360" w:lineRule="auto"/>
        <w:ind w:firstLine="14753" w:firstLineChars="3340"/>
        <w:rPr>
          <w:rFonts w:hint="eastAsia" w:ascii="宋体" w:hAnsi="宋体" w:eastAsia="宋体" w:cs="宋体"/>
          <w:b/>
          <w:color w:val="auto"/>
          <w:kern w:val="0"/>
          <w:sz w:val="44"/>
          <w:szCs w:val="44"/>
          <w:highlight w:val="none"/>
        </w:rPr>
      </w:pPr>
    </w:p>
    <w:p>
      <w:pPr>
        <w:spacing w:line="360" w:lineRule="auto"/>
        <w:ind w:firstLine="640" w:firstLineChars="200"/>
        <w:jc w:val="center"/>
        <w:rPr>
          <w:rFonts w:hint="eastAsia" w:ascii="宋体" w:hAnsi="宋体" w:eastAsia="宋体" w:cs="宋体"/>
          <w:color w:val="auto"/>
          <w:kern w:val="0"/>
          <w:sz w:val="32"/>
          <w:szCs w:val="21"/>
          <w:highlight w:val="none"/>
        </w:rPr>
      </w:pPr>
      <w:r>
        <w:rPr>
          <w:rFonts w:hint="eastAsia" w:ascii="宋体" w:hAnsi="宋体" w:eastAsia="宋体" w:cs="宋体"/>
          <w:color w:val="auto"/>
          <w:kern w:val="0"/>
          <w:sz w:val="32"/>
          <w:szCs w:val="21"/>
          <w:highlight w:val="none"/>
        </w:rPr>
        <w:t>承诺函（格式）</w:t>
      </w:r>
    </w:p>
    <w:p>
      <w:pPr>
        <w:widowControl/>
        <w:spacing w:line="360" w:lineRule="auto"/>
        <w:ind w:firstLine="480" w:firstLineChars="200"/>
        <w:jc w:val="left"/>
        <w:rPr>
          <w:rFonts w:hint="eastAsia" w:ascii="宋体" w:hAnsi="宋体" w:eastAsia="宋体" w:cs="宋体"/>
          <w:color w:val="auto"/>
          <w:kern w:val="0"/>
          <w:sz w:val="24"/>
          <w:highlight w:val="none"/>
        </w:rPr>
      </w:pPr>
    </w:p>
    <w:p>
      <w:pPr>
        <w:widowControl/>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u w:val="single"/>
        </w:rPr>
        <w:t>采购人/采购代理机构</w:t>
      </w:r>
      <w:r>
        <w:rPr>
          <w:rFonts w:hint="eastAsia" w:ascii="宋体" w:hAnsi="宋体" w:eastAsia="宋体" w:cs="宋体"/>
          <w:color w:val="auto"/>
          <w:kern w:val="0"/>
          <w:sz w:val="24"/>
          <w:highlight w:val="none"/>
        </w:rPr>
        <w:t>：</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我方作为本次采购项目的磋商供应商，根据磋商文件要求，现郑重承诺如下：</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一、我方已认真阅读并接受本项目磋商文件第二章的全部实质性要求，如对磋商文件有异议，已依法进行维权救济，不存在对磋商文件有异议的同时又参加磋商以求侥幸成交或者为实现其他非法目的的行为。</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二、参加本次采购活动，不存在与单位负责人为同一人或者存在直接控股、管理关系的其他供应商参与同一合同项下的政府采购活动的行为。</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四、参加本次采购活动，不存在和其他供应商在同一合同项下的采购项目中，同时委托同一个自然人、同一家庭的人员、同一单位的人员作为代理人的行为。</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五、响应文件中提供的能够给予我方带来优惠、好处的任何材料资料和技术、服务、商务、响应产品等响应承诺情况都是真实的、有效的、合法的。</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六、参加本次采购活动，我方完全同意磋商文件第二章关于“成交费用”、 “履约保证金”的实质性要求，并承诺严格按照磋商文件要求履行。</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我方对上述承诺的内容事项真实性负责。如经查实上述承诺的内容事项存在虚假，我方愿意接受以提供虚假材料谋取成交追究法律责任。</w:t>
      </w:r>
    </w:p>
    <w:p>
      <w:pPr>
        <w:adjustRightInd w:val="0"/>
        <w:snapToGrid w:val="0"/>
        <w:spacing w:line="360" w:lineRule="auto"/>
        <w:ind w:right="1470" w:rightChars="700"/>
        <w:rPr>
          <w:rFonts w:hint="eastAsia" w:ascii="宋体" w:hAnsi="宋体" w:eastAsia="宋体" w:cs="宋体"/>
          <w:color w:val="auto"/>
          <w:kern w:val="0"/>
          <w:sz w:val="24"/>
          <w:highlight w:val="none"/>
        </w:rPr>
      </w:pP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磋商供应商名称(公章)： </w:t>
      </w: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pPr>
        <w:spacing w:line="360" w:lineRule="auto"/>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pPr>
        <w:pStyle w:val="2"/>
        <w:spacing w:before="0" w:after="0" w:line="360" w:lineRule="auto"/>
        <w:rPr>
          <w:rFonts w:hint="eastAsia" w:ascii="宋体" w:hAnsi="宋体" w:eastAsia="宋体" w:cs="宋体"/>
          <w:color w:val="auto"/>
          <w:highlight w:val="none"/>
        </w:rPr>
      </w:pPr>
    </w:p>
    <w:p>
      <w:pPr>
        <w:spacing w:line="360" w:lineRule="auto"/>
        <w:rPr>
          <w:rFonts w:hint="eastAsia" w:ascii="宋体" w:hAnsi="宋体" w:eastAsia="宋体" w:cs="宋体"/>
          <w:b/>
          <w:color w:val="auto"/>
          <w:sz w:val="24"/>
          <w:highlight w:val="none"/>
        </w:rPr>
        <w:sectPr>
          <w:pgSz w:w="11907" w:h="16839"/>
          <w:pgMar w:top="1431" w:right="1272" w:bottom="1364" w:left="1418" w:header="850" w:footer="1204" w:gutter="0"/>
          <w:pgNumType w:fmt="decimal"/>
          <w:cols w:space="720" w:num="1"/>
          <w:docGrid w:linePitch="286" w:charSpace="0"/>
        </w:sectPr>
      </w:pPr>
    </w:p>
    <w:p>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附件9</w:t>
      </w:r>
    </w:p>
    <w:p>
      <w:pPr>
        <w:tabs>
          <w:tab w:val="left" w:pos="5387"/>
        </w:tabs>
        <w:spacing w:line="360" w:lineRule="auto"/>
        <w:jc w:val="center"/>
        <w:rPr>
          <w:rFonts w:hint="eastAsia" w:ascii="宋体" w:hAnsi="宋体" w:eastAsia="宋体" w:cs="宋体"/>
          <w:color w:val="auto"/>
          <w:sz w:val="24"/>
          <w:highlight w:val="none"/>
        </w:rPr>
      </w:pPr>
      <w:r>
        <w:rPr>
          <w:rFonts w:hint="eastAsia" w:ascii="宋体" w:hAnsi="宋体" w:eastAsia="宋体" w:cs="宋体"/>
          <w:b/>
          <w:color w:val="auto"/>
          <w:sz w:val="24"/>
          <w:highlight w:val="none"/>
        </w:rPr>
        <w:t>施工组织设计</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磋商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2．施工组织设计除采用文字表述外可附下列图表，图表及格式要求附后。</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附表一  拟投入本工程的主要施工设备表</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附表二  拟配备本工程的试验和检测仪器设备表</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附表三  劳动力计划表</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附表四  计划开、竣工日期和施工进度网络图</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附表五  施工总平面图</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附表六  临时用地表</w:t>
      </w:r>
    </w:p>
    <w:p>
      <w:pPr>
        <w:spacing w:line="240" w:lineRule="auto"/>
        <w:ind w:firstLine="480" w:firstLineChars="200"/>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附表一：拟投入本工程的主要施工设备表</w:t>
      </w:r>
    </w:p>
    <w:tbl>
      <w:tblPr>
        <w:tblStyle w:val="39"/>
        <w:tblW w:w="94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2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型号</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规格</w:t>
            </w:r>
          </w:p>
        </w:tc>
        <w:tc>
          <w:tcPr>
            <w:tcW w:w="71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国别</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产地</w:t>
            </w:r>
          </w:p>
        </w:tc>
        <w:tc>
          <w:tcPr>
            <w:tcW w:w="8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制造</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年份</w:t>
            </w:r>
          </w:p>
        </w:tc>
        <w:tc>
          <w:tcPr>
            <w:tcW w:w="11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额定功率</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（KW）</w:t>
            </w:r>
          </w:p>
        </w:tc>
        <w:tc>
          <w:tcPr>
            <w:tcW w:w="10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生产</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能力</w:t>
            </w:r>
          </w:p>
        </w:tc>
        <w:tc>
          <w:tcPr>
            <w:tcW w:w="11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用于施</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工部位</w:t>
            </w:r>
          </w:p>
        </w:tc>
        <w:tc>
          <w:tcPr>
            <w:tcW w:w="10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pPr>
              <w:spacing w:line="360" w:lineRule="auto"/>
              <w:ind w:firstLine="480" w:firstLineChars="200"/>
              <w:rPr>
                <w:rFonts w:hint="eastAsia" w:ascii="宋体" w:hAnsi="宋体" w:eastAsia="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r>
    </w:tbl>
    <w:p>
      <w:pPr>
        <w:spacing w:line="24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附表二：拟配备本工程的试验和检测仪器设备表</w:t>
      </w:r>
    </w:p>
    <w:tbl>
      <w:tblPr>
        <w:tblStyle w:val="39"/>
        <w:tblW w:w="94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2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型号</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规格</w:t>
            </w:r>
          </w:p>
        </w:tc>
        <w:tc>
          <w:tcPr>
            <w:tcW w:w="71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71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国别</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产地</w:t>
            </w: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已使用</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台时数</w:t>
            </w: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用途</w:t>
            </w:r>
          </w:p>
        </w:tc>
        <w:tc>
          <w:tcPr>
            <w:tcW w:w="15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hint="eastAsia" w:ascii="宋体" w:hAnsi="宋体" w:eastAsia="宋体" w:cs="宋体"/>
                <w:color w:val="auto"/>
                <w:sz w:val="24"/>
                <w:highlight w:val="none"/>
              </w:rPr>
            </w:pPr>
          </w:p>
        </w:tc>
      </w:tr>
    </w:tbl>
    <w:p>
      <w:pPr>
        <w:spacing w:line="24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附表三：劳动力计划表</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单位：人</w:t>
      </w:r>
    </w:p>
    <w:tbl>
      <w:tblPr>
        <w:tblStyle w:val="39"/>
        <w:tblW w:w="93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p>
        </w:tc>
      </w:tr>
    </w:tbl>
    <w:p>
      <w:pPr>
        <w:spacing w:line="24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附表四：计划开、竣工日期和施工进度计划（网络图或横道图）</w:t>
      </w:r>
    </w:p>
    <w:p>
      <w:pPr>
        <w:spacing w:line="360" w:lineRule="auto"/>
        <w:ind w:left="-6"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1. 磋商供应商应提交施工进度计划，说明按磋商文件要求的工期进行施工的各个关键日期。成交的磋商供应商还应按合同条件有关条款的要求提交详细的施工进度计划。</w:t>
      </w:r>
    </w:p>
    <w:p>
      <w:pPr>
        <w:spacing w:line="360" w:lineRule="auto"/>
        <w:ind w:left="-6"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2. 施工进度计划可采用网络图（或横道图）表示，说明计划开工日期和各分项工程各阶段的完工日期和分包合同签订的日期。</w:t>
      </w:r>
    </w:p>
    <w:p>
      <w:pPr>
        <w:spacing w:line="360" w:lineRule="auto"/>
        <w:ind w:left="-6"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3. 施工进度计划应与施工组织设计相适应。</w:t>
      </w:r>
    </w:p>
    <w:p>
      <w:pPr>
        <w:spacing w:line="24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附表五：施工总平面图</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磋商供应商应递交一份施工总平面图，绘出现场临时设施布置图表并附文字说明，说明临时设施、加工车间、现场办公、设备及仓储、供电、供水、卫生、生活、道路、消防等设施的情况和布置。</w:t>
      </w:r>
    </w:p>
    <w:p>
      <w:pPr>
        <w:spacing w:line="24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附表六：临时用地表</w:t>
      </w:r>
    </w:p>
    <w:tbl>
      <w:tblPr>
        <w:tblStyle w:val="39"/>
        <w:tblW w:w="94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用途</w:t>
            </w:r>
          </w:p>
        </w:tc>
        <w:tc>
          <w:tcPr>
            <w:tcW w:w="2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位置</w:t>
            </w:r>
          </w:p>
        </w:tc>
        <w:tc>
          <w:tcPr>
            <w:tcW w:w="2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宋体"/>
                <w:color w:val="auto"/>
                <w:sz w:val="24"/>
                <w:highlight w:val="none"/>
              </w:rPr>
            </w:pPr>
          </w:p>
        </w:tc>
      </w:tr>
    </w:tbl>
    <w:p>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auto"/>
          <w:kern w:val="0"/>
          <w:szCs w:val="21"/>
          <w:highlight w:val="none"/>
          <w:lang w:eastAsia="en-US"/>
        </w:rPr>
      </w:pPr>
    </w:p>
    <w:p>
      <w:pPr>
        <w:spacing w:line="360" w:lineRule="auto"/>
        <w:rPr>
          <w:rFonts w:hint="eastAsia" w:ascii="宋体" w:hAnsi="宋体" w:eastAsia="宋体" w:cs="宋体"/>
          <w:color w:val="auto"/>
          <w:highlight w:val="none"/>
        </w:rPr>
        <w:sectPr>
          <w:pgSz w:w="11907" w:h="16839"/>
          <w:pgMar w:top="1431" w:right="1272" w:bottom="1364" w:left="1418" w:header="850" w:footer="1204" w:gutter="0"/>
          <w:pgNumType w:fmt="decimal"/>
          <w:cols w:space="720" w:num="1"/>
          <w:docGrid w:linePitch="286" w:charSpace="0"/>
        </w:sectPr>
      </w:pPr>
    </w:p>
    <w:p>
      <w:pPr>
        <w:spacing w:line="360" w:lineRule="auto"/>
        <w:rPr>
          <w:rFonts w:hint="eastAsia" w:ascii="宋体" w:hAnsi="宋体" w:eastAsia="宋体" w:cs="宋体"/>
          <w:b/>
          <w:bCs/>
          <w:color w:val="auto"/>
          <w:spacing w:val="9"/>
          <w:position w:val="3"/>
          <w:sz w:val="24"/>
          <w:highlight w:val="none"/>
        </w:rPr>
      </w:pPr>
      <w:r>
        <w:rPr>
          <w:rFonts w:hint="eastAsia" w:ascii="宋体" w:hAnsi="宋体" w:eastAsia="宋体" w:cs="宋体"/>
          <w:b/>
          <w:bCs/>
          <w:color w:val="auto"/>
          <w:spacing w:val="9"/>
          <w:position w:val="3"/>
          <w:sz w:val="24"/>
          <w:highlight w:val="none"/>
        </w:rPr>
        <w:t>附件10</w:t>
      </w:r>
    </w:p>
    <w:p>
      <w:pPr>
        <w:spacing w:line="360" w:lineRule="auto"/>
        <w:jc w:val="center"/>
        <w:rPr>
          <w:rFonts w:hint="eastAsia" w:ascii="宋体" w:hAnsi="宋体" w:eastAsia="宋体" w:cs="宋体"/>
          <w:color w:val="auto"/>
          <w:sz w:val="43"/>
          <w:szCs w:val="43"/>
          <w:highlight w:val="none"/>
        </w:rPr>
      </w:pPr>
      <w:r>
        <w:rPr>
          <w:rFonts w:hint="eastAsia" w:ascii="宋体" w:hAnsi="宋体" w:eastAsia="宋体" w:cs="宋体"/>
          <w:color w:val="auto"/>
          <w:spacing w:val="9"/>
          <w:position w:val="3"/>
          <w:sz w:val="43"/>
          <w:szCs w:val="43"/>
          <w:highlight w:val="none"/>
        </w:rPr>
        <w:t>项目管理机构配备情况表及主要人员简历表</w:t>
      </w:r>
    </w:p>
    <w:p>
      <w:pPr>
        <w:spacing w:line="360" w:lineRule="auto"/>
        <w:ind w:left="2716"/>
        <w:rPr>
          <w:rFonts w:hint="eastAsia" w:ascii="宋体" w:hAnsi="宋体" w:eastAsia="宋体" w:cs="宋体"/>
          <w:color w:val="auto"/>
          <w:sz w:val="31"/>
          <w:szCs w:val="31"/>
          <w:highlight w:val="none"/>
        </w:rPr>
      </w:pPr>
      <w:r>
        <w:rPr>
          <w:rFonts w:hint="eastAsia" w:ascii="宋体" w:hAnsi="宋体" w:eastAsia="宋体" w:cs="宋体"/>
          <w:color w:val="auto"/>
          <w:spacing w:val="8"/>
          <w:sz w:val="31"/>
          <w:szCs w:val="31"/>
          <w:highlight w:val="none"/>
        </w:rPr>
        <w:t>（一）项目管理机构配备情况表</w:t>
      </w:r>
    </w:p>
    <w:p>
      <w:pPr>
        <w:spacing w:line="360" w:lineRule="auto"/>
        <w:ind w:left="511"/>
        <w:rPr>
          <w:rFonts w:hint="eastAsia" w:ascii="宋体" w:hAnsi="宋体" w:eastAsia="宋体" w:cs="宋体"/>
          <w:color w:val="auto"/>
          <w:sz w:val="24"/>
          <w:highlight w:val="none"/>
        </w:rPr>
      </w:pPr>
      <w:r>
        <w:rPr>
          <w:rFonts w:hint="eastAsia" w:ascii="宋体" w:hAnsi="宋体" w:eastAsia="宋体" w:cs="宋体"/>
          <w:color w:val="auto"/>
          <w:spacing w:val="-25"/>
          <w:sz w:val="24"/>
          <w:highlight w:val="none"/>
        </w:rPr>
        <w:t>分标（如有</w:t>
      </w:r>
      <w:r>
        <w:rPr>
          <w:rFonts w:hint="eastAsia" w:ascii="宋体" w:hAnsi="宋体" w:eastAsia="宋体" w:cs="宋体"/>
          <w:color w:val="auto"/>
          <w:spacing w:val="-28"/>
          <w:sz w:val="24"/>
          <w:highlight w:val="none"/>
        </w:rPr>
        <w:t>）</w:t>
      </w:r>
      <w:r>
        <w:rPr>
          <w:rFonts w:hint="eastAsia" w:ascii="宋体" w:hAnsi="宋体" w:eastAsia="宋体" w:cs="宋体"/>
          <w:color w:val="auto"/>
          <w:spacing w:val="47"/>
          <w:sz w:val="24"/>
          <w:highlight w:val="none"/>
        </w:rPr>
        <w:t xml:space="preserve"> </w:t>
      </w:r>
      <w:r>
        <w:rPr>
          <w:rFonts w:hint="eastAsia" w:ascii="宋体" w:hAnsi="宋体" w:eastAsia="宋体" w:cs="宋体"/>
          <w:color w:val="auto"/>
          <w:spacing w:val="-28"/>
          <w:sz w:val="24"/>
          <w:highlight w:val="none"/>
        </w:rPr>
        <w:t>：</w:t>
      </w:r>
      <w:r>
        <w:rPr>
          <w:rFonts w:hint="eastAsia" w:ascii="宋体" w:hAnsi="宋体" w:eastAsia="宋体" w:cs="宋体"/>
          <w:color w:val="auto"/>
          <w:sz w:val="24"/>
          <w:highlight w:val="none"/>
          <w:u w:val="single"/>
        </w:rPr>
        <w:t xml:space="preserve">         </w:t>
      </w:r>
    </w:p>
    <w:tbl>
      <w:tblPr>
        <w:tblStyle w:val="39"/>
        <w:tblW w:w="10050"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384"/>
        <w:gridCol w:w="12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pPr>
              <w:jc w:val="center"/>
              <w:rPr>
                <w:rFonts w:hint="eastAsia" w:ascii="宋体" w:hAnsi="宋体" w:eastAsia="宋体" w:cs="宋体"/>
                <w:color w:val="auto"/>
                <w:highlight w:val="none"/>
              </w:rPr>
            </w:pPr>
          </w:p>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岗位</w:t>
            </w:r>
          </w:p>
        </w:tc>
        <w:tc>
          <w:tcPr>
            <w:tcW w:w="669" w:type="dxa"/>
            <w:vMerge w:val="restart"/>
            <w:tcBorders>
              <w:bottom w:val="nil"/>
            </w:tcBorders>
            <w:shd w:val="clear" w:color="auto" w:fill="auto"/>
            <w:vAlign w:val="center"/>
          </w:tcPr>
          <w:p>
            <w:pPr>
              <w:jc w:val="center"/>
              <w:rPr>
                <w:rFonts w:hint="eastAsia" w:ascii="宋体" w:hAnsi="宋体" w:eastAsia="宋体" w:cs="宋体"/>
                <w:color w:val="auto"/>
                <w:highlight w:val="none"/>
              </w:rPr>
            </w:pPr>
          </w:p>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姓名</w:t>
            </w:r>
          </w:p>
        </w:tc>
        <w:tc>
          <w:tcPr>
            <w:tcW w:w="827" w:type="dxa"/>
            <w:vMerge w:val="restart"/>
            <w:tcBorders>
              <w:bottom w:val="nil"/>
            </w:tcBorders>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身份</w:t>
            </w:r>
          </w:p>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证号</w:t>
            </w:r>
          </w:p>
        </w:tc>
        <w:tc>
          <w:tcPr>
            <w:tcW w:w="815" w:type="dxa"/>
            <w:vMerge w:val="restart"/>
            <w:tcBorders>
              <w:bottom w:val="nil"/>
            </w:tcBorders>
            <w:shd w:val="clear" w:color="auto" w:fill="auto"/>
            <w:vAlign w:val="center"/>
          </w:tcPr>
          <w:p>
            <w:pPr>
              <w:jc w:val="center"/>
              <w:rPr>
                <w:rFonts w:hint="eastAsia" w:ascii="宋体" w:hAnsi="宋体" w:eastAsia="宋体" w:cs="宋体"/>
                <w:color w:val="auto"/>
                <w:highlight w:val="none"/>
              </w:rPr>
            </w:pPr>
          </w:p>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职称</w:t>
            </w:r>
          </w:p>
        </w:tc>
        <w:tc>
          <w:tcPr>
            <w:tcW w:w="4187" w:type="dxa"/>
            <w:gridSpan w:val="4"/>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执业或职业资格</w:t>
            </w:r>
          </w:p>
        </w:tc>
        <w:tc>
          <w:tcPr>
            <w:tcW w:w="2626" w:type="dxa"/>
            <w:gridSpan w:val="2"/>
            <w:shd w:val="clear" w:color="auto" w:fill="auto"/>
            <w:vAlign w:val="center"/>
          </w:tcPr>
          <w:p>
            <w:pPr>
              <w:jc w:val="center"/>
              <w:rPr>
                <w:rFonts w:hint="eastAsia" w:ascii="宋体" w:hAnsi="宋体" w:eastAsia="宋体" w:cs="宋体"/>
                <w:color w:val="auto"/>
                <w:highlight w:val="none"/>
              </w:rPr>
            </w:pPr>
            <w:r>
              <w:rPr>
                <w:rFonts w:hint="eastAsia" w:ascii="宋体" w:hAnsi="宋体" w:eastAsia="宋体" w:cs="宋体"/>
                <w:color w:val="auto"/>
                <w:highlight w:val="none"/>
              </w:rPr>
              <w:t>承担完工、在建工程情况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pPr>
              <w:jc w:val="center"/>
              <w:rPr>
                <w:rFonts w:hint="eastAsia" w:ascii="宋体" w:hAnsi="宋体" w:eastAsia="宋体" w:cs="宋体"/>
                <w:color w:val="auto"/>
                <w:highlight w:val="none"/>
              </w:rPr>
            </w:pPr>
          </w:p>
        </w:tc>
        <w:tc>
          <w:tcPr>
            <w:tcW w:w="669" w:type="dxa"/>
            <w:vMerge w:val="continue"/>
            <w:tcBorders>
              <w:top w:val="nil"/>
            </w:tcBorders>
            <w:shd w:val="clear" w:color="auto" w:fill="auto"/>
            <w:vAlign w:val="center"/>
          </w:tcPr>
          <w:p>
            <w:pPr>
              <w:jc w:val="center"/>
              <w:rPr>
                <w:rFonts w:hint="eastAsia" w:ascii="宋体" w:hAnsi="宋体" w:eastAsia="宋体" w:cs="宋体"/>
                <w:color w:val="auto"/>
                <w:highlight w:val="none"/>
              </w:rPr>
            </w:pPr>
          </w:p>
        </w:tc>
        <w:tc>
          <w:tcPr>
            <w:tcW w:w="827" w:type="dxa"/>
            <w:vMerge w:val="continue"/>
            <w:tcBorders>
              <w:top w:val="nil"/>
            </w:tcBorders>
            <w:shd w:val="clear" w:color="auto" w:fill="auto"/>
            <w:vAlign w:val="center"/>
          </w:tcPr>
          <w:p>
            <w:pPr>
              <w:jc w:val="center"/>
              <w:rPr>
                <w:rFonts w:hint="eastAsia" w:ascii="宋体" w:hAnsi="宋体" w:eastAsia="宋体" w:cs="宋体"/>
                <w:color w:val="auto"/>
                <w:highlight w:val="none"/>
              </w:rPr>
            </w:pPr>
          </w:p>
        </w:tc>
        <w:tc>
          <w:tcPr>
            <w:tcW w:w="815" w:type="dxa"/>
            <w:vMerge w:val="continue"/>
            <w:tcBorders>
              <w:top w:val="nil"/>
            </w:tcBorders>
            <w:shd w:val="clear" w:color="auto" w:fill="auto"/>
            <w:vAlign w:val="center"/>
          </w:tcPr>
          <w:p>
            <w:pPr>
              <w:jc w:val="center"/>
              <w:rPr>
                <w:rFonts w:hint="eastAsia" w:ascii="宋体" w:hAnsi="宋体" w:eastAsia="宋体" w:cs="宋体"/>
                <w:color w:val="auto"/>
                <w:highlight w:val="none"/>
              </w:rPr>
            </w:pPr>
          </w:p>
        </w:tc>
        <w:tc>
          <w:tcPr>
            <w:tcW w:w="1147"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证书名称</w:t>
            </w:r>
          </w:p>
        </w:tc>
        <w:tc>
          <w:tcPr>
            <w:tcW w:w="1149"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级别</w:t>
            </w:r>
          </w:p>
        </w:tc>
        <w:tc>
          <w:tcPr>
            <w:tcW w:w="1147"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证号</w:t>
            </w:r>
          </w:p>
        </w:tc>
        <w:tc>
          <w:tcPr>
            <w:tcW w:w="744"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专业</w:t>
            </w:r>
          </w:p>
        </w:tc>
        <w:tc>
          <w:tcPr>
            <w:tcW w:w="1384"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完工/在建</w:t>
            </w:r>
          </w:p>
        </w:tc>
        <w:tc>
          <w:tcPr>
            <w:tcW w:w="1242"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主要项目名称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4" w:hRule="atLeast"/>
          <w:jc w:val="center"/>
        </w:trPr>
        <w:tc>
          <w:tcPr>
            <w:tcW w:w="926"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1.项目</w:t>
            </w:r>
          </w:p>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经理</w:t>
            </w:r>
          </w:p>
        </w:tc>
        <w:tc>
          <w:tcPr>
            <w:tcW w:w="669" w:type="dxa"/>
            <w:shd w:val="clear" w:color="auto" w:fill="auto"/>
            <w:vAlign w:val="center"/>
          </w:tcPr>
          <w:p>
            <w:pPr>
              <w:jc w:val="center"/>
              <w:rPr>
                <w:rFonts w:hint="eastAsia" w:ascii="宋体" w:hAnsi="宋体" w:eastAsia="宋体" w:cs="宋体"/>
                <w:color w:val="auto"/>
                <w:highlight w:val="none"/>
              </w:rPr>
            </w:pPr>
          </w:p>
        </w:tc>
        <w:tc>
          <w:tcPr>
            <w:tcW w:w="827" w:type="dxa"/>
            <w:shd w:val="clear" w:color="auto" w:fill="auto"/>
            <w:vAlign w:val="center"/>
          </w:tcPr>
          <w:p>
            <w:pPr>
              <w:jc w:val="center"/>
              <w:rPr>
                <w:rFonts w:hint="eastAsia" w:ascii="宋体" w:hAnsi="宋体" w:eastAsia="宋体" w:cs="宋体"/>
                <w:color w:val="auto"/>
                <w:highlight w:val="none"/>
              </w:rPr>
            </w:pPr>
          </w:p>
        </w:tc>
        <w:tc>
          <w:tcPr>
            <w:tcW w:w="815" w:type="dxa"/>
            <w:shd w:val="clear" w:color="auto" w:fill="auto"/>
            <w:vAlign w:val="center"/>
          </w:tcPr>
          <w:p>
            <w:pPr>
              <w:jc w:val="center"/>
              <w:rPr>
                <w:rFonts w:hint="eastAsia" w:ascii="宋体" w:hAnsi="宋体" w:eastAsia="宋体" w:cs="宋体"/>
                <w:color w:val="auto"/>
                <w:highlight w:val="none"/>
              </w:rPr>
            </w:pPr>
          </w:p>
        </w:tc>
        <w:tc>
          <w:tcPr>
            <w:tcW w:w="1147" w:type="dxa"/>
            <w:shd w:val="clear" w:color="auto" w:fill="auto"/>
            <w:vAlign w:val="center"/>
          </w:tcPr>
          <w:p>
            <w:pPr>
              <w:jc w:val="center"/>
              <w:rPr>
                <w:rFonts w:hint="eastAsia" w:ascii="宋体" w:hAnsi="宋体" w:eastAsia="宋体" w:cs="宋体"/>
                <w:color w:val="auto"/>
                <w:highlight w:val="none"/>
              </w:rPr>
            </w:pPr>
          </w:p>
        </w:tc>
        <w:tc>
          <w:tcPr>
            <w:tcW w:w="1149" w:type="dxa"/>
            <w:shd w:val="clear" w:color="auto" w:fill="auto"/>
            <w:vAlign w:val="center"/>
          </w:tcPr>
          <w:p>
            <w:pPr>
              <w:jc w:val="center"/>
              <w:rPr>
                <w:rFonts w:hint="eastAsia" w:ascii="宋体" w:hAnsi="宋体" w:eastAsia="宋体" w:cs="宋体"/>
                <w:color w:val="auto"/>
                <w:highlight w:val="none"/>
              </w:rPr>
            </w:pPr>
          </w:p>
        </w:tc>
        <w:tc>
          <w:tcPr>
            <w:tcW w:w="1147" w:type="dxa"/>
            <w:shd w:val="clear" w:color="auto" w:fill="auto"/>
            <w:vAlign w:val="center"/>
          </w:tcPr>
          <w:p>
            <w:pPr>
              <w:jc w:val="center"/>
              <w:rPr>
                <w:rFonts w:hint="eastAsia" w:ascii="宋体" w:hAnsi="宋体" w:eastAsia="宋体" w:cs="宋体"/>
                <w:color w:val="auto"/>
                <w:highlight w:val="none"/>
              </w:rPr>
            </w:pPr>
          </w:p>
        </w:tc>
        <w:tc>
          <w:tcPr>
            <w:tcW w:w="744" w:type="dxa"/>
            <w:shd w:val="clear" w:color="auto" w:fill="auto"/>
            <w:vAlign w:val="center"/>
          </w:tcPr>
          <w:p>
            <w:pPr>
              <w:jc w:val="center"/>
              <w:rPr>
                <w:rFonts w:hint="eastAsia" w:ascii="宋体" w:hAnsi="宋体" w:eastAsia="宋体" w:cs="宋体"/>
                <w:color w:val="auto"/>
                <w:highlight w:val="none"/>
              </w:rPr>
            </w:pPr>
          </w:p>
        </w:tc>
        <w:tc>
          <w:tcPr>
            <w:tcW w:w="1384" w:type="dxa"/>
            <w:shd w:val="clear" w:color="auto" w:fill="auto"/>
            <w:vAlign w:val="center"/>
          </w:tcPr>
          <w:p>
            <w:pPr>
              <w:jc w:val="center"/>
              <w:rPr>
                <w:rFonts w:hint="eastAsia" w:ascii="宋体" w:hAnsi="宋体" w:eastAsia="宋体" w:cs="宋体"/>
                <w:color w:val="auto"/>
                <w:highlight w:val="none"/>
              </w:rPr>
            </w:pPr>
          </w:p>
        </w:tc>
        <w:tc>
          <w:tcPr>
            <w:tcW w:w="1242" w:type="dxa"/>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52" w:hRule="atLeast"/>
          <w:jc w:val="center"/>
        </w:trPr>
        <w:tc>
          <w:tcPr>
            <w:tcW w:w="926" w:type="dxa"/>
            <w:shd w:val="clear" w:color="auto" w:fill="auto"/>
            <w:vAlign w:val="center"/>
          </w:tcPr>
          <w:p>
            <w:pPr>
              <w:jc w:val="center"/>
              <w:rPr>
                <w:rFonts w:hint="eastAsia" w:ascii="宋体" w:hAnsi="宋体" w:eastAsia="宋体" w:cs="宋体"/>
                <w:color w:val="auto"/>
                <w:highlight w:val="none"/>
              </w:rPr>
            </w:pPr>
            <w:r>
              <w:rPr>
                <w:rFonts w:hint="eastAsia" w:ascii="宋体" w:hAnsi="宋体" w:eastAsia="宋体" w:cs="宋体"/>
                <w:color w:val="auto"/>
                <w:highlight w:val="none"/>
              </w:rPr>
              <w:t>2.技术负责人（项目总工）</w:t>
            </w:r>
          </w:p>
        </w:tc>
        <w:tc>
          <w:tcPr>
            <w:tcW w:w="669" w:type="dxa"/>
            <w:shd w:val="clear" w:color="auto" w:fill="auto"/>
            <w:vAlign w:val="center"/>
          </w:tcPr>
          <w:p>
            <w:pPr>
              <w:jc w:val="center"/>
              <w:rPr>
                <w:rFonts w:hint="eastAsia" w:ascii="宋体" w:hAnsi="宋体" w:eastAsia="宋体" w:cs="宋体"/>
                <w:color w:val="auto"/>
                <w:highlight w:val="none"/>
              </w:rPr>
            </w:pPr>
          </w:p>
        </w:tc>
        <w:tc>
          <w:tcPr>
            <w:tcW w:w="827" w:type="dxa"/>
            <w:shd w:val="clear" w:color="auto" w:fill="auto"/>
            <w:vAlign w:val="center"/>
          </w:tcPr>
          <w:p>
            <w:pPr>
              <w:jc w:val="center"/>
              <w:rPr>
                <w:rFonts w:hint="eastAsia" w:ascii="宋体" w:hAnsi="宋体" w:eastAsia="宋体" w:cs="宋体"/>
                <w:color w:val="auto"/>
                <w:highlight w:val="none"/>
              </w:rPr>
            </w:pPr>
          </w:p>
        </w:tc>
        <w:tc>
          <w:tcPr>
            <w:tcW w:w="815" w:type="dxa"/>
            <w:shd w:val="clear" w:color="auto" w:fill="auto"/>
            <w:vAlign w:val="center"/>
          </w:tcPr>
          <w:p>
            <w:pPr>
              <w:jc w:val="center"/>
              <w:rPr>
                <w:rFonts w:hint="eastAsia" w:ascii="宋体" w:hAnsi="宋体" w:eastAsia="宋体" w:cs="宋体"/>
                <w:color w:val="auto"/>
                <w:highlight w:val="none"/>
              </w:rPr>
            </w:pPr>
          </w:p>
        </w:tc>
        <w:tc>
          <w:tcPr>
            <w:tcW w:w="1147" w:type="dxa"/>
            <w:shd w:val="clear" w:color="auto" w:fill="auto"/>
            <w:vAlign w:val="center"/>
          </w:tcPr>
          <w:p>
            <w:pPr>
              <w:jc w:val="center"/>
              <w:rPr>
                <w:rFonts w:hint="eastAsia" w:ascii="宋体" w:hAnsi="宋体" w:eastAsia="宋体" w:cs="宋体"/>
                <w:color w:val="auto"/>
                <w:highlight w:val="none"/>
              </w:rPr>
            </w:pPr>
          </w:p>
        </w:tc>
        <w:tc>
          <w:tcPr>
            <w:tcW w:w="1149" w:type="dxa"/>
            <w:shd w:val="clear" w:color="auto" w:fill="auto"/>
            <w:vAlign w:val="center"/>
          </w:tcPr>
          <w:p>
            <w:pPr>
              <w:jc w:val="center"/>
              <w:rPr>
                <w:rFonts w:hint="eastAsia" w:ascii="宋体" w:hAnsi="宋体" w:eastAsia="宋体" w:cs="宋体"/>
                <w:color w:val="auto"/>
                <w:highlight w:val="none"/>
              </w:rPr>
            </w:pPr>
          </w:p>
        </w:tc>
        <w:tc>
          <w:tcPr>
            <w:tcW w:w="1147" w:type="dxa"/>
            <w:shd w:val="clear" w:color="auto" w:fill="auto"/>
            <w:vAlign w:val="center"/>
          </w:tcPr>
          <w:p>
            <w:pPr>
              <w:jc w:val="center"/>
              <w:rPr>
                <w:rFonts w:hint="eastAsia" w:ascii="宋体" w:hAnsi="宋体" w:eastAsia="宋体" w:cs="宋体"/>
                <w:color w:val="auto"/>
                <w:highlight w:val="none"/>
              </w:rPr>
            </w:pPr>
          </w:p>
        </w:tc>
        <w:tc>
          <w:tcPr>
            <w:tcW w:w="744" w:type="dxa"/>
            <w:shd w:val="clear" w:color="auto" w:fill="auto"/>
            <w:vAlign w:val="center"/>
          </w:tcPr>
          <w:p>
            <w:pPr>
              <w:jc w:val="center"/>
              <w:rPr>
                <w:rFonts w:hint="eastAsia" w:ascii="宋体" w:hAnsi="宋体" w:eastAsia="宋体" w:cs="宋体"/>
                <w:color w:val="auto"/>
                <w:highlight w:val="none"/>
              </w:rPr>
            </w:pPr>
          </w:p>
        </w:tc>
        <w:tc>
          <w:tcPr>
            <w:tcW w:w="1384" w:type="dxa"/>
            <w:shd w:val="clear" w:color="auto" w:fill="auto"/>
            <w:vAlign w:val="center"/>
          </w:tcPr>
          <w:p>
            <w:pPr>
              <w:jc w:val="center"/>
              <w:rPr>
                <w:rFonts w:hint="eastAsia" w:ascii="宋体" w:hAnsi="宋体" w:eastAsia="宋体" w:cs="宋体"/>
                <w:color w:val="auto"/>
                <w:highlight w:val="none"/>
              </w:rPr>
            </w:pPr>
          </w:p>
        </w:tc>
        <w:tc>
          <w:tcPr>
            <w:tcW w:w="1242" w:type="dxa"/>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7" w:hRule="atLeast"/>
          <w:jc w:val="center"/>
        </w:trPr>
        <w:tc>
          <w:tcPr>
            <w:tcW w:w="926"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3.施工员</w:t>
            </w:r>
          </w:p>
        </w:tc>
        <w:tc>
          <w:tcPr>
            <w:tcW w:w="669" w:type="dxa"/>
            <w:shd w:val="clear" w:color="auto" w:fill="auto"/>
            <w:vAlign w:val="center"/>
          </w:tcPr>
          <w:p>
            <w:pPr>
              <w:jc w:val="center"/>
              <w:rPr>
                <w:rFonts w:hint="eastAsia" w:ascii="宋体" w:hAnsi="宋体" w:eastAsia="宋体" w:cs="宋体"/>
                <w:color w:val="auto"/>
                <w:highlight w:val="none"/>
              </w:rPr>
            </w:pPr>
          </w:p>
        </w:tc>
        <w:tc>
          <w:tcPr>
            <w:tcW w:w="827" w:type="dxa"/>
            <w:shd w:val="clear" w:color="auto" w:fill="auto"/>
            <w:vAlign w:val="center"/>
          </w:tcPr>
          <w:p>
            <w:pPr>
              <w:jc w:val="center"/>
              <w:rPr>
                <w:rFonts w:hint="eastAsia" w:ascii="宋体" w:hAnsi="宋体" w:eastAsia="宋体" w:cs="宋体"/>
                <w:color w:val="auto"/>
                <w:highlight w:val="none"/>
              </w:rPr>
            </w:pPr>
          </w:p>
        </w:tc>
        <w:tc>
          <w:tcPr>
            <w:tcW w:w="815" w:type="dxa"/>
            <w:shd w:val="clear" w:color="auto" w:fill="auto"/>
            <w:vAlign w:val="center"/>
          </w:tcPr>
          <w:p>
            <w:pPr>
              <w:jc w:val="center"/>
              <w:rPr>
                <w:rFonts w:hint="eastAsia" w:ascii="宋体" w:hAnsi="宋体" w:eastAsia="宋体" w:cs="宋体"/>
                <w:color w:val="auto"/>
                <w:highlight w:val="none"/>
              </w:rPr>
            </w:pPr>
          </w:p>
        </w:tc>
        <w:tc>
          <w:tcPr>
            <w:tcW w:w="1147" w:type="dxa"/>
            <w:shd w:val="clear" w:color="auto" w:fill="auto"/>
            <w:vAlign w:val="center"/>
          </w:tcPr>
          <w:p>
            <w:pPr>
              <w:jc w:val="center"/>
              <w:rPr>
                <w:rFonts w:hint="eastAsia" w:ascii="宋体" w:hAnsi="宋体" w:eastAsia="宋体" w:cs="宋体"/>
                <w:color w:val="auto"/>
                <w:highlight w:val="none"/>
              </w:rPr>
            </w:pPr>
          </w:p>
        </w:tc>
        <w:tc>
          <w:tcPr>
            <w:tcW w:w="1149" w:type="dxa"/>
            <w:shd w:val="clear" w:color="auto" w:fill="auto"/>
            <w:vAlign w:val="center"/>
          </w:tcPr>
          <w:p>
            <w:pPr>
              <w:jc w:val="center"/>
              <w:rPr>
                <w:rFonts w:hint="eastAsia" w:ascii="宋体" w:hAnsi="宋体" w:eastAsia="宋体" w:cs="宋体"/>
                <w:color w:val="auto"/>
                <w:highlight w:val="none"/>
              </w:rPr>
            </w:pPr>
          </w:p>
        </w:tc>
        <w:tc>
          <w:tcPr>
            <w:tcW w:w="1147" w:type="dxa"/>
            <w:shd w:val="clear" w:color="auto" w:fill="auto"/>
            <w:vAlign w:val="center"/>
          </w:tcPr>
          <w:p>
            <w:pPr>
              <w:jc w:val="center"/>
              <w:rPr>
                <w:rFonts w:hint="eastAsia" w:ascii="宋体" w:hAnsi="宋体" w:eastAsia="宋体" w:cs="宋体"/>
                <w:color w:val="auto"/>
                <w:highlight w:val="none"/>
              </w:rPr>
            </w:pPr>
          </w:p>
        </w:tc>
        <w:tc>
          <w:tcPr>
            <w:tcW w:w="744" w:type="dxa"/>
            <w:shd w:val="clear" w:color="auto" w:fill="auto"/>
            <w:vAlign w:val="center"/>
          </w:tcPr>
          <w:p>
            <w:pPr>
              <w:jc w:val="center"/>
              <w:rPr>
                <w:rFonts w:hint="eastAsia" w:ascii="宋体" w:hAnsi="宋体" w:eastAsia="宋体" w:cs="宋体"/>
                <w:color w:val="auto"/>
                <w:highlight w:val="none"/>
              </w:rPr>
            </w:pPr>
          </w:p>
        </w:tc>
        <w:tc>
          <w:tcPr>
            <w:tcW w:w="1384" w:type="dxa"/>
            <w:shd w:val="clear" w:color="auto" w:fill="auto"/>
            <w:vAlign w:val="center"/>
          </w:tcPr>
          <w:p>
            <w:pPr>
              <w:jc w:val="center"/>
              <w:rPr>
                <w:rFonts w:hint="eastAsia" w:ascii="宋体" w:hAnsi="宋体" w:eastAsia="宋体" w:cs="宋体"/>
                <w:color w:val="auto"/>
                <w:highlight w:val="none"/>
              </w:rPr>
            </w:pPr>
          </w:p>
        </w:tc>
        <w:tc>
          <w:tcPr>
            <w:tcW w:w="1242" w:type="dxa"/>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4" w:hRule="atLeast"/>
          <w:jc w:val="center"/>
        </w:trPr>
        <w:tc>
          <w:tcPr>
            <w:tcW w:w="926"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4.安全员</w:t>
            </w:r>
          </w:p>
        </w:tc>
        <w:tc>
          <w:tcPr>
            <w:tcW w:w="669" w:type="dxa"/>
            <w:shd w:val="clear" w:color="auto" w:fill="auto"/>
            <w:vAlign w:val="center"/>
          </w:tcPr>
          <w:p>
            <w:pPr>
              <w:jc w:val="center"/>
              <w:rPr>
                <w:rFonts w:hint="eastAsia" w:ascii="宋体" w:hAnsi="宋体" w:eastAsia="宋体" w:cs="宋体"/>
                <w:color w:val="auto"/>
                <w:highlight w:val="none"/>
              </w:rPr>
            </w:pPr>
          </w:p>
        </w:tc>
        <w:tc>
          <w:tcPr>
            <w:tcW w:w="827" w:type="dxa"/>
            <w:shd w:val="clear" w:color="auto" w:fill="auto"/>
            <w:vAlign w:val="center"/>
          </w:tcPr>
          <w:p>
            <w:pPr>
              <w:jc w:val="center"/>
              <w:rPr>
                <w:rFonts w:hint="eastAsia" w:ascii="宋体" w:hAnsi="宋体" w:eastAsia="宋体" w:cs="宋体"/>
                <w:color w:val="auto"/>
                <w:highlight w:val="none"/>
              </w:rPr>
            </w:pPr>
          </w:p>
        </w:tc>
        <w:tc>
          <w:tcPr>
            <w:tcW w:w="815" w:type="dxa"/>
            <w:shd w:val="clear" w:color="auto" w:fill="auto"/>
            <w:vAlign w:val="center"/>
          </w:tcPr>
          <w:p>
            <w:pPr>
              <w:jc w:val="center"/>
              <w:rPr>
                <w:rFonts w:hint="eastAsia" w:ascii="宋体" w:hAnsi="宋体" w:eastAsia="宋体" w:cs="宋体"/>
                <w:color w:val="auto"/>
                <w:highlight w:val="none"/>
              </w:rPr>
            </w:pPr>
          </w:p>
        </w:tc>
        <w:tc>
          <w:tcPr>
            <w:tcW w:w="1147" w:type="dxa"/>
            <w:shd w:val="clear" w:color="auto" w:fill="auto"/>
            <w:vAlign w:val="center"/>
          </w:tcPr>
          <w:p>
            <w:pPr>
              <w:jc w:val="center"/>
              <w:rPr>
                <w:rFonts w:hint="eastAsia" w:ascii="宋体" w:hAnsi="宋体" w:eastAsia="宋体" w:cs="宋体"/>
                <w:color w:val="auto"/>
                <w:highlight w:val="none"/>
              </w:rPr>
            </w:pPr>
          </w:p>
        </w:tc>
        <w:tc>
          <w:tcPr>
            <w:tcW w:w="1149" w:type="dxa"/>
            <w:shd w:val="clear" w:color="auto" w:fill="auto"/>
            <w:vAlign w:val="center"/>
          </w:tcPr>
          <w:p>
            <w:pPr>
              <w:jc w:val="center"/>
              <w:rPr>
                <w:rFonts w:hint="eastAsia" w:ascii="宋体" w:hAnsi="宋体" w:eastAsia="宋体" w:cs="宋体"/>
                <w:color w:val="auto"/>
                <w:highlight w:val="none"/>
              </w:rPr>
            </w:pPr>
          </w:p>
        </w:tc>
        <w:tc>
          <w:tcPr>
            <w:tcW w:w="1147" w:type="dxa"/>
            <w:shd w:val="clear" w:color="auto" w:fill="auto"/>
            <w:vAlign w:val="center"/>
          </w:tcPr>
          <w:p>
            <w:pPr>
              <w:jc w:val="center"/>
              <w:rPr>
                <w:rFonts w:hint="eastAsia" w:ascii="宋体" w:hAnsi="宋体" w:eastAsia="宋体" w:cs="宋体"/>
                <w:color w:val="auto"/>
                <w:highlight w:val="none"/>
              </w:rPr>
            </w:pPr>
          </w:p>
        </w:tc>
        <w:tc>
          <w:tcPr>
            <w:tcW w:w="744" w:type="dxa"/>
            <w:shd w:val="clear" w:color="auto" w:fill="auto"/>
            <w:vAlign w:val="center"/>
          </w:tcPr>
          <w:p>
            <w:pPr>
              <w:jc w:val="center"/>
              <w:rPr>
                <w:rFonts w:hint="eastAsia" w:ascii="宋体" w:hAnsi="宋体" w:eastAsia="宋体" w:cs="宋体"/>
                <w:color w:val="auto"/>
                <w:highlight w:val="none"/>
              </w:rPr>
            </w:pPr>
          </w:p>
        </w:tc>
        <w:tc>
          <w:tcPr>
            <w:tcW w:w="1384" w:type="dxa"/>
            <w:shd w:val="clear" w:color="auto" w:fill="auto"/>
            <w:vAlign w:val="center"/>
          </w:tcPr>
          <w:p>
            <w:pPr>
              <w:jc w:val="center"/>
              <w:rPr>
                <w:rFonts w:hint="eastAsia" w:ascii="宋体" w:hAnsi="宋体" w:eastAsia="宋体" w:cs="宋体"/>
                <w:color w:val="auto"/>
                <w:highlight w:val="none"/>
              </w:rPr>
            </w:pPr>
          </w:p>
        </w:tc>
        <w:tc>
          <w:tcPr>
            <w:tcW w:w="1242" w:type="dxa"/>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4" w:hRule="atLeast"/>
          <w:jc w:val="center"/>
        </w:trPr>
        <w:tc>
          <w:tcPr>
            <w:tcW w:w="926"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5.质量员</w:t>
            </w:r>
          </w:p>
        </w:tc>
        <w:tc>
          <w:tcPr>
            <w:tcW w:w="669" w:type="dxa"/>
            <w:shd w:val="clear" w:color="auto" w:fill="auto"/>
            <w:vAlign w:val="center"/>
          </w:tcPr>
          <w:p>
            <w:pPr>
              <w:jc w:val="center"/>
              <w:rPr>
                <w:rFonts w:hint="eastAsia" w:ascii="宋体" w:hAnsi="宋体" w:eastAsia="宋体" w:cs="宋体"/>
                <w:color w:val="auto"/>
                <w:highlight w:val="none"/>
              </w:rPr>
            </w:pPr>
          </w:p>
        </w:tc>
        <w:tc>
          <w:tcPr>
            <w:tcW w:w="827" w:type="dxa"/>
            <w:shd w:val="clear" w:color="auto" w:fill="auto"/>
            <w:vAlign w:val="center"/>
          </w:tcPr>
          <w:p>
            <w:pPr>
              <w:jc w:val="center"/>
              <w:rPr>
                <w:rFonts w:hint="eastAsia" w:ascii="宋体" w:hAnsi="宋体" w:eastAsia="宋体" w:cs="宋体"/>
                <w:color w:val="auto"/>
                <w:highlight w:val="none"/>
              </w:rPr>
            </w:pPr>
          </w:p>
        </w:tc>
        <w:tc>
          <w:tcPr>
            <w:tcW w:w="815" w:type="dxa"/>
            <w:shd w:val="clear" w:color="auto" w:fill="auto"/>
            <w:vAlign w:val="center"/>
          </w:tcPr>
          <w:p>
            <w:pPr>
              <w:jc w:val="center"/>
              <w:rPr>
                <w:rFonts w:hint="eastAsia" w:ascii="宋体" w:hAnsi="宋体" w:eastAsia="宋体" w:cs="宋体"/>
                <w:color w:val="auto"/>
                <w:highlight w:val="none"/>
              </w:rPr>
            </w:pPr>
          </w:p>
        </w:tc>
        <w:tc>
          <w:tcPr>
            <w:tcW w:w="1147" w:type="dxa"/>
            <w:shd w:val="clear" w:color="auto" w:fill="auto"/>
            <w:vAlign w:val="center"/>
          </w:tcPr>
          <w:p>
            <w:pPr>
              <w:jc w:val="center"/>
              <w:rPr>
                <w:rFonts w:hint="eastAsia" w:ascii="宋体" w:hAnsi="宋体" w:eastAsia="宋体" w:cs="宋体"/>
                <w:color w:val="auto"/>
                <w:highlight w:val="none"/>
              </w:rPr>
            </w:pPr>
          </w:p>
        </w:tc>
        <w:tc>
          <w:tcPr>
            <w:tcW w:w="1149" w:type="dxa"/>
            <w:shd w:val="clear" w:color="auto" w:fill="auto"/>
            <w:vAlign w:val="center"/>
          </w:tcPr>
          <w:p>
            <w:pPr>
              <w:jc w:val="center"/>
              <w:rPr>
                <w:rFonts w:hint="eastAsia" w:ascii="宋体" w:hAnsi="宋体" w:eastAsia="宋体" w:cs="宋体"/>
                <w:color w:val="auto"/>
                <w:highlight w:val="none"/>
              </w:rPr>
            </w:pPr>
          </w:p>
        </w:tc>
        <w:tc>
          <w:tcPr>
            <w:tcW w:w="1147" w:type="dxa"/>
            <w:shd w:val="clear" w:color="auto" w:fill="auto"/>
            <w:vAlign w:val="center"/>
          </w:tcPr>
          <w:p>
            <w:pPr>
              <w:jc w:val="center"/>
              <w:rPr>
                <w:rFonts w:hint="eastAsia" w:ascii="宋体" w:hAnsi="宋体" w:eastAsia="宋体" w:cs="宋体"/>
                <w:color w:val="auto"/>
                <w:highlight w:val="none"/>
              </w:rPr>
            </w:pPr>
          </w:p>
        </w:tc>
        <w:tc>
          <w:tcPr>
            <w:tcW w:w="744" w:type="dxa"/>
            <w:shd w:val="clear" w:color="auto" w:fill="auto"/>
            <w:vAlign w:val="center"/>
          </w:tcPr>
          <w:p>
            <w:pPr>
              <w:jc w:val="center"/>
              <w:rPr>
                <w:rFonts w:hint="eastAsia" w:ascii="宋体" w:hAnsi="宋体" w:eastAsia="宋体" w:cs="宋体"/>
                <w:color w:val="auto"/>
                <w:highlight w:val="none"/>
              </w:rPr>
            </w:pPr>
          </w:p>
        </w:tc>
        <w:tc>
          <w:tcPr>
            <w:tcW w:w="1384" w:type="dxa"/>
            <w:shd w:val="clear" w:color="auto" w:fill="auto"/>
            <w:vAlign w:val="center"/>
          </w:tcPr>
          <w:p>
            <w:pPr>
              <w:jc w:val="center"/>
              <w:rPr>
                <w:rFonts w:hint="eastAsia" w:ascii="宋体" w:hAnsi="宋体" w:eastAsia="宋体" w:cs="宋体"/>
                <w:color w:val="auto"/>
                <w:highlight w:val="none"/>
              </w:rPr>
            </w:pPr>
          </w:p>
        </w:tc>
        <w:tc>
          <w:tcPr>
            <w:tcW w:w="1242" w:type="dxa"/>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4" w:hRule="atLeast"/>
          <w:jc w:val="center"/>
        </w:trPr>
        <w:tc>
          <w:tcPr>
            <w:tcW w:w="926"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6.材料员</w:t>
            </w:r>
          </w:p>
        </w:tc>
        <w:tc>
          <w:tcPr>
            <w:tcW w:w="669" w:type="dxa"/>
            <w:shd w:val="clear" w:color="auto" w:fill="auto"/>
            <w:vAlign w:val="center"/>
          </w:tcPr>
          <w:p>
            <w:pPr>
              <w:jc w:val="center"/>
              <w:rPr>
                <w:rFonts w:hint="eastAsia" w:ascii="宋体" w:hAnsi="宋体" w:eastAsia="宋体" w:cs="宋体"/>
                <w:color w:val="auto"/>
                <w:highlight w:val="none"/>
              </w:rPr>
            </w:pPr>
          </w:p>
        </w:tc>
        <w:tc>
          <w:tcPr>
            <w:tcW w:w="827" w:type="dxa"/>
            <w:shd w:val="clear" w:color="auto" w:fill="auto"/>
            <w:vAlign w:val="center"/>
          </w:tcPr>
          <w:p>
            <w:pPr>
              <w:jc w:val="center"/>
              <w:rPr>
                <w:rFonts w:hint="eastAsia" w:ascii="宋体" w:hAnsi="宋体" w:eastAsia="宋体" w:cs="宋体"/>
                <w:color w:val="auto"/>
                <w:highlight w:val="none"/>
              </w:rPr>
            </w:pPr>
          </w:p>
        </w:tc>
        <w:tc>
          <w:tcPr>
            <w:tcW w:w="815" w:type="dxa"/>
            <w:shd w:val="clear" w:color="auto" w:fill="auto"/>
            <w:vAlign w:val="center"/>
          </w:tcPr>
          <w:p>
            <w:pPr>
              <w:jc w:val="center"/>
              <w:rPr>
                <w:rFonts w:hint="eastAsia" w:ascii="宋体" w:hAnsi="宋体" w:eastAsia="宋体" w:cs="宋体"/>
                <w:color w:val="auto"/>
                <w:highlight w:val="none"/>
              </w:rPr>
            </w:pPr>
          </w:p>
        </w:tc>
        <w:tc>
          <w:tcPr>
            <w:tcW w:w="1147" w:type="dxa"/>
            <w:shd w:val="clear" w:color="auto" w:fill="auto"/>
            <w:vAlign w:val="center"/>
          </w:tcPr>
          <w:p>
            <w:pPr>
              <w:jc w:val="center"/>
              <w:rPr>
                <w:rFonts w:hint="eastAsia" w:ascii="宋体" w:hAnsi="宋体" w:eastAsia="宋体" w:cs="宋体"/>
                <w:color w:val="auto"/>
                <w:highlight w:val="none"/>
              </w:rPr>
            </w:pPr>
          </w:p>
        </w:tc>
        <w:tc>
          <w:tcPr>
            <w:tcW w:w="1149" w:type="dxa"/>
            <w:shd w:val="clear" w:color="auto" w:fill="auto"/>
            <w:vAlign w:val="center"/>
          </w:tcPr>
          <w:p>
            <w:pPr>
              <w:jc w:val="center"/>
              <w:rPr>
                <w:rFonts w:hint="eastAsia" w:ascii="宋体" w:hAnsi="宋体" w:eastAsia="宋体" w:cs="宋体"/>
                <w:color w:val="auto"/>
                <w:highlight w:val="none"/>
              </w:rPr>
            </w:pPr>
          </w:p>
        </w:tc>
        <w:tc>
          <w:tcPr>
            <w:tcW w:w="1147" w:type="dxa"/>
            <w:shd w:val="clear" w:color="auto" w:fill="auto"/>
            <w:vAlign w:val="center"/>
          </w:tcPr>
          <w:p>
            <w:pPr>
              <w:jc w:val="center"/>
              <w:rPr>
                <w:rFonts w:hint="eastAsia" w:ascii="宋体" w:hAnsi="宋体" w:eastAsia="宋体" w:cs="宋体"/>
                <w:color w:val="auto"/>
                <w:highlight w:val="none"/>
              </w:rPr>
            </w:pPr>
          </w:p>
        </w:tc>
        <w:tc>
          <w:tcPr>
            <w:tcW w:w="744" w:type="dxa"/>
            <w:shd w:val="clear" w:color="auto" w:fill="auto"/>
            <w:vAlign w:val="center"/>
          </w:tcPr>
          <w:p>
            <w:pPr>
              <w:jc w:val="center"/>
              <w:rPr>
                <w:rFonts w:hint="eastAsia" w:ascii="宋体" w:hAnsi="宋体" w:eastAsia="宋体" w:cs="宋体"/>
                <w:color w:val="auto"/>
                <w:highlight w:val="none"/>
              </w:rPr>
            </w:pPr>
          </w:p>
        </w:tc>
        <w:tc>
          <w:tcPr>
            <w:tcW w:w="1384" w:type="dxa"/>
            <w:shd w:val="clear" w:color="auto" w:fill="auto"/>
            <w:vAlign w:val="center"/>
          </w:tcPr>
          <w:p>
            <w:pPr>
              <w:jc w:val="center"/>
              <w:rPr>
                <w:rFonts w:hint="eastAsia" w:ascii="宋体" w:hAnsi="宋体" w:eastAsia="宋体" w:cs="宋体"/>
                <w:color w:val="auto"/>
                <w:highlight w:val="none"/>
              </w:rPr>
            </w:pPr>
          </w:p>
        </w:tc>
        <w:tc>
          <w:tcPr>
            <w:tcW w:w="1242" w:type="dxa"/>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4" w:hRule="atLeast"/>
          <w:jc w:val="center"/>
        </w:trPr>
        <w:tc>
          <w:tcPr>
            <w:tcW w:w="926" w:type="dxa"/>
            <w:shd w:val="clear" w:color="auto" w:fill="auto"/>
            <w:vAlign w:val="center"/>
          </w:tcPr>
          <w:p>
            <w:pPr>
              <w:jc w:val="center"/>
              <w:rPr>
                <w:rFonts w:hint="eastAsia" w:ascii="宋体" w:hAnsi="宋体" w:eastAsia="宋体" w:cs="宋体"/>
                <w:color w:val="auto"/>
                <w:highlight w:val="none"/>
              </w:rPr>
            </w:pPr>
          </w:p>
        </w:tc>
        <w:tc>
          <w:tcPr>
            <w:tcW w:w="669" w:type="dxa"/>
            <w:shd w:val="clear" w:color="auto" w:fill="auto"/>
            <w:vAlign w:val="center"/>
          </w:tcPr>
          <w:p>
            <w:pPr>
              <w:jc w:val="center"/>
              <w:rPr>
                <w:rFonts w:hint="eastAsia" w:ascii="宋体" w:hAnsi="宋体" w:eastAsia="宋体" w:cs="宋体"/>
                <w:color w:val="auto"/>
                <w:highlight w:val="none"/>
              </w:rPr>
            </w:pPr>
          </w:p>
        </w:tc>
        <w:tc>
          <w:tcPr>
            <w:tcW w:w="827" w:type="dxa"/>
            <w:shd w:val="clear" w:color="auto" w:fill="auto"/>
            <w:vAlign w:val="center"/>
          </w:tcPr>
          <w:p>
            <w:pPr>
              <w:jc w:val="center"/>
              <w:rPr>
                <w:rFonts w:hint="eastAsia" w:ascii="宋体" w:hAnsi="宋体" w:eastAsia="宋体" w:cs="宋体"/>
                <w:color w:val="auto"/>
                <w:highlight w:val="none"/>
              </w:rPr>
            </w:pPr>
          </w:p>
        </w:tc>
        <w:tc>
          <w:tcPr>
            <w:tcW w:w="815" w:type="dxa"/>
            <w:shd w:val="clear" w:color="auto" w:fill="auto"/>
            <w:vAlign w:val="center"/>
          </w:tcPr>
          <w:p>
            <w:pPr>
              <w:jc w:val="center"/>
              <w:rPr>
                <w:rFonts w:hint="eastAsia" w:ascii="宋体" w:hAnsi="宋体" w:eastAsia="宋体" w:cs="宋体"/>
                <w:color w:val="auto"/>
                <w:highlight w:val="none"/>
              </w:rPr>
            </w:pPr>
          </w:p>
        </w:tc>
        <w:tc>
          <w:tcPr>
            <w:tcW w:w="1147" w:type="dxa"/>
            <w:shd w:val="clear" w:color="auto" w:fill="auto"/>
            <w:vAlign w:val="center"/>
          </w:tcPr>
          <w:p>
            <w:pPr>
              <w:jc w:val="center"/>
              <w:rPr>
                <w:rFonts w:hint="eastAsia" w:ascii="宋体" w:hAnsi="宋体" w:eastAsia="宋体" w:cs="宋体"/>
                <w:color w:val="auto"/>
                <w:highlight w:val="none"/>
              </w:rPr>
            </w:pPr>
          </w:p>
        </w:tc>
        <w:tc>
          <w:tcPr>
            <w:tcW w:w="1149" w:type="dxa"/>
            <w:shd w:val="clear" w:color="auto" w:fill="auto"/>
            <w:vAlign w:val="center"/>
          </w:tcPr>
          <w:p>
            <w:pPr>
              <w:jc w:val="center"/>
              <w:rPr>
                <w:rFonts w:hint="eastAsia" w:ascii="宋体" w:hAnsi="宋体" w:eastAsia="宋体" w:cs="宋体"/>
                <w:color w:val="auto"/>
                <w:highlight w:val="none"/>
              </w:rPr>
            </w:pPr>
          </w:p>
        </w:tc>
        <w:tc>
          <w:tcPr>
            <w:tcW w:w="1147" w:type="dxa"/>
            <w:shd w:val="clear" w:color="auto" w:fill="auto"/>
            <w:vAlign w:val="center"/>
          </w:tcPr>
          <w:p>
            <w:pPr>
              <w:jc w:val="center"/>
              <w:rPr>
                <w:rFonts w:hint="eastAsia" w:ascii="宋体" w:hAnsi="宋体" w:eastAsia="宋体" w:cs="宋体"/>
                <w:color w:val="auto"/>
                <w:highlight w:val="none"/>
              </w:rPr>
            </w:pPr>
          </w:p>
        </w:tc>
        <w:tc>
          <w:tcPr>
            <w:tcW w:w="744" w:type="dxa"/>
            <w:shd w:val="clear" w:color="auto" w:fill="auto"/>
            <w:vAlign w:val="center"/>
          </w:tcPr>
          <w:p>
            <w:pPr>
              <w:jc w:val="center"/>
              <w:rPr>
                <w:rFonts w:hint="eastAsia" w:ascii="宋体" w:hAnsi="宋体" w:eastAsia="宋体" w:cs="宋体"/>
                <w:color w:val="auto"/>
                <w:highlight w:val="none"/>
              </w:rPr>
            </w:pPr>
          </w:p>
        </w:tc>
        <w:tc>
          <w:tcPr>
            <w:tcW w:w="1384" w:type="dxa"/>
            <w:shd w:val="clear" w:color="auto" w:fill="auto"/>
            <w:vAlign w:val="center"/>
          </w:tcPr>
          <w:p>
            <w:pPr>
              <w:jc w:val="center"/>
              <w:rPr>
                <w:rFonts w:hint="eastAsia" w:ascii="宋体" w:hAnsi="宋体" w:eastAsia="宋体" w:cs="宋体"/>
                <w:color w:val="auto"/>
                <w:highlight w:val="none"/>
              </w:rPr>
            </w:pPr>
          </w:p>
        </w:tc>
        <w:tc>
          <w:tcPr>
            <w:tcW w:w="1242" w:type="dxa"/>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1" w:hRule="atLeast"/>
          <w:jc w:val="center"/>
        </w:trPr>
        <w:tc>
          <w:tcPr>
            <w:tcW w:w="10050" w:type="dxa"/>
            <w:gridSpan w:val="10"/>
            <w:shd w:val="clear" w:color="auto" w:fill="auto"/>
            <w:vAlign w:val="center"/>
          </w:tcPr>
          <w:p>
            <w:pPr>
              <w:jc w:val="center"/>
              <w:rPr>
                <w:rFonts w:hint="eastAsia" w:ascii="宋体" w:hAnsi="宋体" w:eastAsia="宋体" w:cs="宋体"/>
                <w:color w:val="auto"/>
                <w:highlight w:val="none"/>
              </w:rPr>
            </w:pPr>
            <w:r>
              <w:rPr>
                <w:rFonts w:hint="eastAsia" w:ascii="宋体" w:hAnsi="宋体" w:eastAsia="宋体" w:cs="宋体"/>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1.本表所列岗位的所有管理人员的情况均应如实填写。可按以上格式扩展为多页填写。</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2.供应商应当在本表后附所有管理人员的身份证、职称证、执业或职业资格证书的复印件并加盖供应商公章。</w:t>
      </w:r>
    </w:p>
    <w:p>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auto"/>
          <w:kern w:val="0"/>
          <w:sz w:val="24"/>
          <w:highlight w:val="none"/>
        </w:rPr>
      </w:pPr>
    </w:p>
    <w:p>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auto"/>
          <w:kern w:val="0"/>
          <w:sz w:val="24"/>
          <w:highlight w:val="none"/>
        </w:rPr>
      </w:pP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磋商供应商名称(公章)： </w:t>
      </w: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pPr>
        <w:spacing w:line="360" w:lineRule="auto"/>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r>
        <w:rPr>
          <w:rFonts w:hint="eastAsia" w:ascii="宋体" w:hAnsi="宋体" w:eastAsia="宋体" w:cs="宋体"/>
          <w:color w:val="auto"/>
          <w:spacing w:val="3"/>
          <w:sz w:val="24"/>
          <w:highlight w:val="none"/>
          <w:u w:val="single"/>
        </w:rPr>
        <w:t xml:space="preserve">           </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pPr>
        <w:spacing w:line="360" w:lineRule="auto"/>
        <w:ind w:left="2591"/>
        <w:rPr>
          <w:rFonts w:hint="eastAsia" w:ascii="宋体" w:hAnsi="宋体" w:eastAsia="宋体" w:cs="宋体"/>
          <w:color w:val="auto"/>
          <w:sz w:val="31"/>
          <w:szCs w:val="31"/>
          <w:highlight w:val="none"/>
        </w:rPr>
      </w:pPr>
      <w:r>
        <w:rPr>
          <w:rFonts w:hint="eastAsia" w:ascii="宋体" w:hAnsi="宋体" w:eastAsia="宋体" w:cs="宋体"/>
          <w:color w:val="auto"/>
          <w:spacing w:val="-3"/>
          <w:position w:val="23"/>
          <w:sz w:val="31"/>
          <w:szCs w:val="31"/>
          <w:highlight w:val="none"/>
        </w:rPr>
        <w:t>（二） 拟投入的主要人员简历表</w:t>
      </w:r>
    </w:p>
    <w:p>
      <w:pPr>
        <w:spacing w:line="360" w:lineRule="auto"/>
        <w:ind w:left="4027"/>
        <w:rPr>
          <w:rFonts w:hint="eastAsia" w:ascii="宋体" w:hAnsi="宋体" w:eastAsia="宋体" w:cs="宋体"/>
          <w:color w:val="auto"/>
          <w:sz w:val="31"/>
          <w:szCs w:val="31"/>
          <w:highlight w:val="none"/>
        </w:rPr>
      </w:pPr>
      <w:r>
        <w:rPr>
          <w:rFonts w:hint="eastAsia" w:ascii="宋体" w:hAnsi="宋体" w:eastAsia="宋体" w:cs="宋体"/>
          <w:color w:val="auto"/>
          <w:spacing w:val="8"/>
          <w:sz w:val="31"/>
          <w:szCs w:val="31"/>
          <w:highlight w:val="none"/>
        </w:rPr>
        <w:t>项目经理简历表</w:t>
      </w:r>
    </w:p>
    <w:tbl>
      <w:tblPr>
        <w:tblStyle w:val="39"/>
        <w:tblW w:w="9623"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18"/>
        <w:gridCol w:w="856"/>
        <w:gridCol w:w="692"/>
        <w:gridCol w:w="325"/>
        <w:gridCol w:w="208"/>
        <w:gridCol w:w="1441"/>
        <w:gridCol w:w="245"/>
        <w:gridCol w:w="1084"/>
        <w:gridCol w:w="89"/>
        <w:gridCol w:w="411"/>
        <w:gridCol w:w="1134"/>
        <w:gridCol w:w="87"/>
        <w:gridCol w:w="1396"/>
        <w:gridCol w:w="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9" w:hRule="atLeast"/>
          <w:jc w:val="center"/>
        </w:trPr>
        <w:tc>
          <w:tcPr>
            <w:tcW w:w="1212"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姓名</w:t>
            </w:r>
          </w:p>
        </w:tc>
        <w:tc>
          <w:tcPr>
            <w:tcW w:w="2291" w:type="dxa"/>
            <w:gridSpan w:val="4"/>
            <w:shd w:val="clear" w:color="auto" w:fill="auto"/>
            <w:vAlign w:val="center"/>
          </w:tcPr>
          <w:p>
            <w:pPr>
              <w:jc w:val="center"/>
              <w:rPr>
                <w:rFonts w:hint="eastAsia" w:ascii="宋体" w:hAnsi="宋体" w:eastAsia="宋体" w:cs="宋体"/>
                <w:color w:val="auto"/>
                <w:highlight w:val="none"/>
              </w:rPr>
            </w:pPr>
          </w:p>
        </w:tc>
        <w:tc>
          <w:tcPr>
            <w:tcW w:w="1894" w:type="dxa"/>
            <w:gridSpan w:val="3"/>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性别</w:t>
            </w:r>
          </w:p>
        </w:tc>
        <w:tc>
          <w:tcPr>
            <w:tcW w:w="1584" w:type="dxa"/>
            <w:gridSpan w:val="3"/>
            <w:shd w:val="clear" w:color="auto" w:fill="auto"/>
            <w:vAlign w:val="center"/>
          </w:tcPr>
          <w:p>
            <w:pPr>
              <w:jc w:val="center"/>
              <w:rPr>
                <w:rFonts w:hint="eastAsia" w:ascii="宋体" w:hAnsi="宋体" w:eastAsia="宋体" w:cs="宋体"/>
                <w:color w:val="auto"/>
                <w:highlight w:val="none"/>
              </w:rPr>
            </w:pPr>
          </w:p>
        </w:tc>
        <w:tc>
          <w:tcPr>
            <w:tcW w:w="1134"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年龄</w:t>
            </w:r>
          </w:p>
        </w:tc>
        <w:tc>
          <w:tcPr>
            <w:tcW w:w="1508" w:type="dxa"/>
            <w:gridSpan w:val="3"/>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1212"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岗位</w:t>
            </w:r>
          </w:p>
        </w:tc>
        <w:tc>
          <w:tcPr>
            <w:tcW w:w="2291" w:type="dxa"/>
            <w:gridSpan w:val="4"/>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项目经理</w:t>
            </w:r>
          </w:p>
        </w:tc>
        <w:tc>
          <w:tcPr>
            <w:tcW w:w="1894" w:type="dxa"/>
            <w:gridSpan w:val="3"/>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职称</w:t>
            </w:r>
          </w:p>
        </w:tc>
        <w:tc>
          <w:tcPr>
            <w:tcW w:w="1584" w:type="dxa"/>
            <w:gridSpan w:val="3"/>
            <w:shd w:val="clear" w:color="auto" w:fill="auto"/>
            <w:vAlign w:val="center"/>
          </w:tcPr>
          <w:p>
            <w:pPr>
              <w:jc w:val="center"/>
              <w:rPr>
                <w:rFonts w:hint="eastAsia" w:ascii="宋体" w:hAnsi="宋体" w:eastAsia="宋体" w:cs="宋体"/>
                <w:color w:val="auto"/>
                <w:highlight w:val="none"/>
              </w:rPr>
            </w:pPr>
          </w:p>
        </w:tc>
        <w:tc>
          <w:tcPr>
            <w:tcW w:w="1134"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学历</w:t>
            </w:r>
          </w:p>
        </w:tc>
        <w:tc>
          <w:tcPr>
            <w:tcW w:w="1508" w:type="dxa"/>
            <w:gridSpan w:val="3"/>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1212"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从业开始 时间</w:t>
            </w:r>
          </w:p>
        </w:tc>
        <w:tc>
          <w:tcPr>
            <w:tcW w:w="2291" w:type="dxa"/>
            <w:gridSpan w:val="4"/>
            <w:shd w:val="clear" w:color="auto" w:fill="auto"/>
            <w:vAlign w:val="center"/>
          </w:tcPr>
          <w:p>
            <w:pPr>
              <w:jc w:val="center"/>
              <w:rPr>
                <w:rFonts w:hint="eastAsia" w:ascii="宋体" w:hAnsi="宋体" w:eastAsia="宋体" w:cs="宋体"/>
                <w:color w:val="auto"/>
                <w:highlight w:val="none"/>
              </w:rPr>
            </w:pPr>
          </w:p>
        </w:tc>
        <w:tc>
          <w:tcPr>
            <w:tcW w:w="1894" w:type="dxa"/>
            <w:gridSpan w:val="3"/>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职称获得时间</w:t>
            </w:r>
          </w:p>
        </w:tc>
        <w:tc>
          <w:tcPr>
            <w:tcW w:w="1584" w:type="dxa"/>
            <w:gridSpan w:val="3"/>
            <w:shd w:val="clear" w:color="auto" w:fill="auto"/>
            <w:vAlign w:val="center"/>
          </w:tcPr>
          <w:p>
            <w:pPr>
              <w:jc w:val="center"/>
              <w:rPr>
                <w:rFonts w:hint="eastAsia" w:ascii="宋体" w:hAnsi="宋体" w:eastAsia="宋体" w:cs="宋体"/>
                <w:color w:val="auto"/>
                <w:highlight w:val="none"/>
              </w:rPr>
            </w:pPr>
          </w:p>
        </w:tc>
        <w:tc>
          <w:tcPr>
            <w:tcW w:w="1134"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毕业时间</w:t>
            </w:r>
          </w:p>
        </w:tc>
        <w:tc>
          <w:tcPr>
            <w:tcW w:w="1508" w:type="dxa"/>
            <w:gridSpan w:val="3"/>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628" w:hRule="atLeast"/>
          <w:jc w:val="center"/>
        </w:trPr>
        <w:tc>
          <w:tcPr>
            <w:tcW w:w="1212"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担任项目 经理年限</w:t>
            </w:r>
          </w:p>
        </w:tc>
        <w:tc>
          <w:tcPr>
            <w:tcW w:w="2291" w:type="dxa"/>
            <w:gridSpan w:val="4"/>
            <w:shd w:val="clear" w:color="auto" w:fill="auto"/>
            <w:vAlign w:val="center"/>
          </w:tcPr>
          <w:p>
            <w:pPr>
              <w:jc w:val="center"/>
              <w:rPr>
                <w:rFonts w:hint="eastAsia" w:ascii="宋体" w:hAnsi="宋体" w:eastAsia="宋体" w:cs="宋体"/>
                <w:color w:val="auto"/>
                <w:highlight w:val="none"/>
              </w:rPr>
            </w:pPr>
          </w:p>
        </w:tc>
        <w:tc>
          <w:tcPr>
            <w:tcW w:w="1649"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身份证号码</w:t>
            </w:r>
          </w:p>
        </w:tc>
        <w:tc>
          <w:tcPr>
            <w:tcW w:w="4471" w:type="dxa"/>
            <w:gridSpan w:val="8"/>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604" w:hRule="atLeast"/>
          <w:jc w:val="center"/>
        </w:trPr>
        <w:tc>
          <w:tcPr>
            <w:tcW w:w="1212"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证书名称</w:t>
            </w:r>
          </w:p>
        </w:tc>
        <w:tc>
          <w:tcPr>
            <w:tcW w:w="1274"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注册专业</w:t>
            </w:r>
          </w:p>
        </w:tc>
        <w:tc>
          <w:tcPr>
            <w:tcW w:w="1225" w:type="dxa"/>
            <w:gridSpan w:val="3"/>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级别</w:t>
            </w:r>
          </w:p>
        </w:tc>
        <w:tc>
          <w:tcPr>
            <w:tcW w:w="1441"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证书编号</w:t>
            </w:r>
          </w:p>
        </w:tc>
        <w:tc>
          <w:tcPr>
            <w:tcW w:w="1418" w:type="dxa"/>
            <w:gridSpan w:val="3"/>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注册时间</w:t>
            </w:r>
          </w:p>
        </w:tc>
        <w:tc>
          <w:tcPr>
            <w:tcW w:w="1632" w:type="dxa"/>
            <w:gridSpan w:val="3"/>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注册单位</w:t>
            </w:r>
          </w:p>
        </w:tc>
        <w:tc>
          <w:tcPr>
            <w:tcW w:w="1421"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注册有效期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607" w:hRule="atLeast"/>
          <w:jc w:val="center"/>
        </w:trPr>
        <w:tc>
          <w:tcPr>
            <w:tcW w:w="1212" w:type="dxa"/>
            <w:shd w:val="clear" w:color="auto" w:fill="auto"/>
            <w:vAlign w:val="center"/>
          </w:tcPr>
          <w:p>
            <w:pPr>
              <w:jc w:val="center"/>
              <w:rPr>
                <w:rFonts w:hint="eastAsia" w:ascii="宋体" w:hAnsi="宋体" w:eastAsia="宋体" w:cs="宋体"/>
                <w:color w:val="auto"/>
                <w:highlight w:val="none"/>
              </w:rPr>
            </w:pPr>
          </w:p>
        </w:tc>
        <w:tc>
          <w:tcPr>
            <w:tcW w:w="1274" w:type="dxa"/>
            <w:gridSpan w:val="2"/>
            <w:shd w:val="clear" w:color="auto" w:fill="auto"/>
            <w:vAlign w:val="center"/>
          </w:tcPr>
          <w:p>
            <w:pPr>
              <w:jc w:val="center"/>
              <w:rPr>
                <w:rFonts w:hint="eastAsia" w:ascii="宋体" w:hAnsi="宋体" w:eastAsia="宋体" w:cs="宋体"/>
                <w:color w:val="auto"/>
                <w:highlight w:val="none"/>
              </w:rPr>
            </w:pPr>
          </w:p>
        </w:tc>
        <w:tc>
          <w:tcPr>
            <w:tcW w:w="1225" w:type="dxa"/>
            <w:gridSpan w:val="3"/>
            <w:shd w:val="clear" w:color="auto" w:fill="auto"/>
            <w:vAlign w:val="center"/>
          </w:tcPr>
          <w:p>
            <w:pPr>
              <w:jc w:val="center"/>
              <w:rPr>
                <w:rFonts w:hint="eastAsia" w:ascii="宋体" w:hAnsi="宋体" w:eastAsia="宋体" w:cs="宋体"/>
                <w:color w:val="auto"/>
                <w:highlight w:val="none"/>
              </w:rPr>
            </w:pPr>
          </w:p>
        </w:tc>
        <w:tc>
          <w:tcPr>
            <w:tcW w:w="1441" w:type="dxa"/>
            <w:shd w:val="clear" w:color="auto" w:fill="auto"/>
            <w:vAlign w:val="center"/>
          </w:tcPr>
          <w:p>
            <w:pPr>
              <w:jc w:val="center"/>
              <w:rPr>
                <w:rFonts w:hint="eastAsia" w:ascii="宋体" w:hAnsi="宋体" w:eastAsia="宋体" w:cs="宋体"/>
                <w:color w:val="auto"/>
                <w:highlight w:val="none"/>
              </w:rPr>
            </w:pPr>
          </w:p>
        </w:tc>
        <w:tc>
          <w:tcPr>
            <w:tcW w:w="1418" w:type="dxa"/>
            <w:gridSpan w:val="3"/>
            <w:shd w:val="clear" w:color="auto" w:fill="auto"/>
            <w:vAlign w:val="center"/>
          </w:tcPr>
          <w:p>
            <w:pPr>
              <w:jc w:val="center"/>
              <w:rPr>
                <w:rFonts w:hint="eastAsia" w:ascii="宋体" w:hAnsi="宋体" w:eastAsia="宋体" w:cs="宋体"/>
                <w:color w:val="auto"/>
                <w:highlight w:val="none"/>
              </w:rPr>
            </w:pPr>
          </w:p>
        </w:tc>
        <w:tc>
          <w:tcPr>
            <w:tcW w:w="1632" w:type="dxa"/>
            <w:gridSpan w:val="3"/>
            <w:shd w:val="clear" w:color="auto" w:fill="auto"/>
            <w:vAlign w:val="center"/>
          </w:tcPr>
          <w:p>
            <w:pPr>
              <w:jc w:val="center"/>
              <w:rPr>
                <w:rFonts w:hint="eastAsia" w:ascii="宋体" w:hAnsi="宋体" w:eastAsia="宋体" w:cs="宋体"/>
                <w:color w:val="auto"/>
                <w:highlight w:val="none"/>
              </w:rPr>
            </w:pPr>
          </w:p>
        </w:tc>
        <w:tc>
          <w:tcPr>
            <w:tcW w:w="1421" w:type="dxa"/>
            <w:gridSpan w:val="2"/>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0" w:hRule="atLeast"/>
          <w:jc w:val="center"/>
        </w:trPr>
        <w:tc>
          <w:tcPr>
            <w:tcW w:w="1212" w:type="dxa"/>
            <w:shd w:val="clear" w:color="auto" w:fill="auto"/>
            <w:vAlign w:val="center"/>
          </w:tcPr>
          <w:p>
            <w:pPr>
              <w:jc w:val="center"/>
              <w:rPr>
                <w:rFonts w:hint="eastAsia" w:ascii="宋体" w:hAnsi="宋体" w:eastAsia="宋体" w:cs="宋体"/>
                <w:color w:val="auto"/>
                <w:highlight w:val="none"/>
              </w:rPr>
            </w:pPr>
            <w:r>
              <w:rPr>
                <w:rFonts w:hint="eastAsia" w:ascii="宋体" w:hAnsi="宋体" w:eastAsia="宋体" w:cs="宋体"/>
                <w:color w:val="auto"/>
                <w:highlight w:val="none"/>
              </w:rPr>
              <w:t>安全生产</w:t>
            </w:r>
          </w:p>
          <w:p>
            <w:pPr>
              <w:jc w:val="center"/>
              <w:rPr>
                <w:rFonts w:hint="eastAsia" w:ascii="宋体" w:hAnsi="宋体" w:eastAsia="宋体" w:cs="宋体"/>
                <w:color w:val="auto"/>
                <w:highlight w:val="none"/>
              </w:rPr>
            </w:pPr>
            <w:r>
              <w:rPr>
                <w:rFonts w:hint="eastAsia" w:ascii="宋体" w:hAnsi="宋体" w:eastAsia="宋体" w:cs="宋体"/>
                <w:color w:val="auto"/>
                <w:highlight w:val="none"/>
              </w:rPr>
              <w:t>考核合格</w:t>
            </w:r>
          </w:p>
          <w:p>
            <w:pPr>
              <w:jc w:val="center"/>
              <w:rPr>
                <w:rFonts w:hint="eastAsia" w:ascii="宋体" w:hAnsi="宋体" w:eastAsia="宋体" w:cs="宋体"/>
                <w:color w:val="auto"/>
                <w:highlight w:val="none"/>
              </w:rPr>
            </w:pPr>
            <w:r>
              <w:rPr>
                <w:rFonts w:hint="eastAsia" w:ascii="宋体" w:hAnsi="宋体" w:eastAsia="宋体" w:cs="宋体"/>
                <w:color w:val="auto"/>
                <w:highlight w:val="none"/>
              </w:rPr>
              <w:t>证书</w:t>
            </w:r>
          </w:p>
        </w:tc>
        <w:tc>
          <w:tcPr>
            <w:tcW w:w="1274" w:type="dxa"/>
            <w:gridSpan w:val="2"/>
            <w:shd w:val="clear" w:color="auto" w:fill="auto"/>
            <w:vAlign w:val="center"/>
          </w:tcPr>
          <w:p>
            <w:pPr>
              <w:jc w:val="center"/>
              <w:rPr>
                <w:rFonts w:hint="eastAsia" w:ascii="宋体" w:hAnsi="宋体" w:eastAsia="宋体" w:cs="宋体"/>
                <w:color w:val="auto"/>
                <w:highlight w:val="none"/>
              </w:rPr>
            </w:pPr>
          </w:p>
        </w:tc>
        <w:tc>
          <w:tcPr>
            <w:tcW w:w="1225" w:type="dxa"/>
            <w:gridSpan w:val="3"/>
            <w:shd w:val="clear" w:color="auto" w:fill="auto"/>
            <w:vAlign w:val="center"/>
          </w:tcPr>
          <w:p>
            <w:pPr>
              <w:jc w:val="center"/>
              <w:rPr>
                <w:rFonts w:hint="eastAsia" w:ascii="宋体" w:hAnsi="宋体" w:eastAsia="宋体" w:cs="宋体"/>
                <w:color w:val="auto"/>
                <w:highlight w:val="none"/>
              </w:rPr>
            </w:pPr>
          </w:p>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B 类</w:t>
            </w:r>
          </w:p>
        </w:tc>
        <w:tc>
          <w:tcPr>
            <w:tcW w:w="1441" w:type="dxa"/>
            <w:shd w:val="clear" w:color="auto" w:fill="auto"/>
            <w:vAlign w:val="center"/>
          </w:tcPr>
          <w:p>
            <w:pPr>
              <w:jc w:val="center"/>
              <w:rPr>
                <w:rFonts w:hint="eastAsia" w:ascii="宋体" w:hAnsi="宋体" w:eastAsia="宋体" w:cs="宋体"/>
                <w:color w:val="auto"/>
                <w:highlight w:val="none"/>
              </w:rPr>
            </w:pPr>
          </w:p>
        </w:tc>
        <w:tc>
          <w:tcPr>
            <w:tcW w:w="1418" w:type="dxa"/>
            <w:gridSpan w:val="3"/>
            <w:shd w:val="clear" w:color="auto" w:fill="auto"/>
            <w:vAlign w:val="center"/>
          </w:tcPr>
          <w:p>
            <w:pPr>
              <w:jc w:val="center"/>
              <w:rPr>
                <w:rFonts w:hint="eastAsia" w:ascii="宋体" w:hAnsi="宋体" w:eastAsia="宋体" w:cs="宋体"/>
                <w:color w:val="auto"/>
                <w:highlight w:val="none"/>
              </w:rPr>
            </w:pPr>
          </w:p>
        </w:tc>
        <w:tc>
          <w:tcPr>
            <w:tcW w:w="1632" w:type="dxa"/>
            <w:gridSpan w:val="3"/>
            <w:shd w:val="clear" w:color="auto" w:fill="auto"/>
            <w:vAlign w:val="center"/>
          </w:tcPr>
          <w:p>
            <w:pPr>
              <w:jc w:val="center"/>
              <w:rPr>
                <w:rFonts w:hint="eastAsia" w:ascii="宋体" w:hAnsi="宋体" w:eastAsia="宋体" w:cs="宋体"/>
                <w:color w:val="auto"/>
                <w:highlight w:val="none"/>
              </w:rPr>
            </w:pPr>
          </w:p>
        </w:tc>
        <w:tc>
          <w:tcPr>
            <w:tcW w:w="1421" w:type="dxa"/>
            <w:gridSpan w:val="2"/>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4" w:hRule="atLeast"/>
          <w:jc w:val="center"/>
        </w:trPr>
        <w:tc>
          <w:tcPr>
            <w:tcW w:w="9623" w:type="dxa"/>
            <w:gridSpan w:val="15"/>
            <w:shd w:val="clear" w:color="auto" w:fill="auto"/>
            <w:vAlign w:val="center"/>
          </w:tcPr>
          <w:p>
            <w:pPr>
              <w:jc w:val="center"/>
              <w:rPr>
                <w:rFonts w:hint="eastAsia" w:ascii="宋体" w:hAnsi="宋体" w:eastAsia="宋体" w:cs="宋体"/>
                <w:color w:val="auto"/>
                <w:highlight w:val="none"/>
              </w:rPr>
            </w:pPr>
            <w:r>
              <w:rPr>
                <w:rFonts w:hint="eastAsia" w:ascii="宋体" w:hAnsi="宋体" w:eastAsia="宋体" w:cs="宋体"/>
                <w:color w:val="auto"/>
                <w:highlight w:val="none"/>
              </w:rPr>
              <w:t>在建和已完工程项目情况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4" w:hRule="atLeast"/>
          <w:jc w:val="center"/>
        </w:trPr>
        <w:tc>
          <w:tcPr>
            <w:tcW w:w="1630" w:type="dxa"/>
            <w:gridSpan w:val="2"/>
            <w:shd w:val="clear" w:color="auto" w:fill="auto"/>
            <w:vAlign w:val="center"/>
          </w:tcPr>
          <w:p>
            <w:pPr>
              <w:jc w:val="center"/>
              <w:rPr>
                <w:rFonts w:hint="eastAsia" w:ascii="宋体" w:hAnsi="宋体" w:eastAsia="宋体" w:cs="宋体"/>
                <w:color w:val="auto"/>
                <w:highlight w:val="none"/>
              </w:rPr>
            </w:pPr>
          </w:p>
        </w:tc>
        <w:tc>
          <w:tcPr>
            <w:tcW w:w="1548"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项目 1</w:t>
            </w:r>
          </w:p>
        </w:tc>
        <w:tc>
          <w:tcPr>
            <w:tcW w:w="1974" w:type="dxa"/>
            <w:gridSpan w:val="3"/>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项目 2</w:t>
            </w:r>
          </w:p>
        </w:tc>
        <w:tc>
          <w:tcPr>
            <w:tcW w:w="1329"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项目 3</w:t>
            </w:r>
          </w:p>
        </w:tc>
        <w:tc>
          <w:tcPr>
            <w:tcW w:w="1634" w:type="dxa"/>
            <w:gridSpan w:val="3"/>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项目 4</w:t>
            </w:r>
          </w:p>
        </w:tc>
        <w:tc>
          <w:tcPr>
            <w:tcW w:w="1483"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w:t>
            </w:r>
          </w:p>
        </w:tc>
        <w:tc>
          <w:tcPr>
            <w:tcW w:w="25" w:type="dxa"/>
            <w:tcBorders>
              <w:top w:val="single" w:color="FFFFFF" w:sz="2" w:space="0"/>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7" w:hRule="atLeast"/>
          <w:jc w:val="center"/>
        </w:trPr>
        <w:tc>
          <w:tcPr>
            <w:tcW w:w="1630"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项目名称</w:t>
            </w:r>
          </w:p>
        </w:tc>
        <w:tc>
          <w:tcPr>
            <w:tcW w:w="1548" w:type="dxa"/>
            <w:gridSpan w:val="2"/>
            <w:shd w:val="clear" w:color="auto" w:fill="auto"/>
            <w:vAlign w:val="center"/>
          </w:tcPr>
          <w:p>
            <w:pPr>
              <w:jc w:val="center"/>
              <w:rPr>
                <w:rFonts w:hint="eastAsia" w:ascii="宋体" w:hAnsi="宋体" w:eastAsia="宋体" w:cs="宋体"/>
                <w:color w:val="auto"/>
                <w:highlight w:val="none"/>
              </w:rPr>
            </w:pPr>
          </w:p>
        </w:tc>
        <w:tc>
          <w:tcPr>
            <w:tcW w:w="1974" w:type="dxa"/>
            <w:gridSpan w:val="3"/>
            <w:shd w:val="clear" w:color="auto" w:fill="auto"/>
            <w:vAlign w:val="center"/>
          </w:tcPr>
          <w:p>
            <w:pPr>
              <w:jc w:val="center"/>
              <w:rPr>
                <w:rFonts w:hint="eastAsia" w:ascii="宋体" w:hAnsi="宋体" w:eastAsia="宋体" w:cs="宋体"/>
                <w:color w:val="auto"/>
                <w:highlight w:val="none"/>
              </w:rPr>
            </w:pPr>
          </w:p>
        </w:tc>
        <w:tc>
          <w:tcPr>
            <w:tcW w:w="1329" w:type="dxa"/>
            <w:gridSpan w:val="2"/>
            <w:shd w:val="clear" w:color="auto" w:fill="auto"/>
            <w:vAlign w:val="center"/>
          </w:tcPr>
          <w:p>
            <w:pPr>
              <w:jc w:val="center"/>
              <w:rPr>
                <w:rFonts w:hint="eastAsia" w:ascii="宋体" w:hAnsi="宋体" w:eastAsia="宋体" w:cs="宋体"/>
                <w:color w:val="auto"/>
                <w:highlight w:val="none"/>
              </w:rPr>
            </w:pPr>
          </w:p>
        </w:tc>
        <w:tc>
          <w:tcPr>
            <w:tcW w:w="1634" w:type="dxa"/>
            <w:gridSpan w:val="3"/>
            <w:shd w:val="clear" w:color="auto" w:fill="auto"/>
            <w:vAlign w:val="center"/>
          </w:tcPr>
          <w:p>
            <w:pPr>
              <w:jc w:val="center"/>
              <w:rPr>
                <w:rFonts w:hint="eastAsia" w:ascii="宋体" w:hAnsi="宋体" w:eastAsia="宋体" w:cs="宋体"/>
                <w:color w:val="auto"/>
                <w:highlight w:val="none"/>
              </w:rPr>
            </w:pPr>
          </w:p>
        </w:tc>
        <w:tc>
          <w:tcPr>
            <w:tcW w:w="1483" w:type="dxa"/>
            <w:gridSpan w:val="2"/>
            <w:shd w:val="clear" w:color="auto" w:fill="auto"/>
            <w:vAlign w:val="center"/>
          </w:tcPr>
          <w:p>
            <w:pPr>
              <w:jc w:val="center"/>
              <w:rPr>
                <w:rFonts w:hint="eastAsia" w:ascii="宋体" w:hAnsi="宋体" w:eastAsia="宋体" w:cs="宋体"/>
                <w:color w:val="auto"/>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4" w:hRule="atLeast"/>
          <w:jc w:val="center"/>
        </w:trPr>
        <w:tc>
          <w:tcPr>
            <w:tcW w:w="1630"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建设单位</w:t>
            </w:r>
          </w:p>
        </w:tc>
        <w:tc>
          <w:tcPr>
            <w:tcW w:w="1548" w:type="dxa"/>
            <w:gridSpan w:val="2"/>
            <w:shd w:val="clear" w:color="auto" w:fill="auto"/>
            <w:vAlign w:val="center"/>
          </w:tcPr>
          <w:p>
            <w:pPr>
              <w:jc w:val="center"/>
              <w:rPr>
                <w:rFonts w:hint="eastAsia" w:ascii="宋体" w:hAnsi="宋体" w:eastAsia="宋体" w:cs="宋体"/>
                <w:color w:val="auto"/>
                <w:highlight w:val="none"/>
              </w:rPr>
            </w:pPr>
          </w:p>
        </w:tc>
        <w:tc>
          <w:tcPr>
            <w:tcW w:w="1974" w:type="dxa"/>
            <w:gridSpan w:val="3"/>
            <w:shd w:val="clear" w:color="auto" w:fill="auto"/>
            <w:vAlign w:val="center"/>
          </w:tcPr>
          <w:p>
            <w:pPr>
              <w:jc w:val="center"/>
              <w:rPr>
                <w:rFonts w:hint="eastAsia" w:ascii="宋体" w:hAnsi="宋体" w:eastAsia="宋体" w:cs="宋体"/>
                <w:color w:val="auto"/>
                <w:highlight w:val="none"/>
              </w:rPr>
            </w:pPr>
          </w:p>
        </w:tc>
        <w:tc>
          <w:tcPr>
            <w:tcW w:w="1329" w:type="dxa"/>
            <w:gridSpan w:val="2"/>
            <w:shd w:val="clear" w:color="auto" w:fill="auto"/>
            <w:vAlign w:val="center"/>
          </w:tcPr>
          <w:p>
            <w:pPr>
              <w:jc w:val="center"/>
              <w:rPr>
                <w:rFonts w:hint="eastAsia" w:ascii="宋体" w:hAnsi="宋体" w:eastAsia="宋体" w:cs="宋体"/>
                <w:color w:val="auto"/>
                <w:highlight w:val="none"/>
              </w:rPr>
            </w:pPr>
          </w:p>
        </w:tc>
        <w:tc>
          <w:tcPr>
            <w:tcW w:w="1634" w:type="dxa"/>
            <w:gridSpan w:val="3"/>
            <w:shd w:val="clear" w:color="auto" w:fill="auto"/>
            <w:vAlign w:val="center"/>
          </w:tcPr>
          <w:p>
            <w:pPr>
              <w:jc w:val="center"/>
              <w:rPr>
                <w:rFonts w:hint="eastAsia" w:ascii="宋体" w:hAnsi="宋体" w:eastAsia="宋体" w:cs="宋体"/>
                <w:color w:val="auto"/>
                <w:highlight w:val="none"/>
              </w:rPr>
            </w:pPr>
          </w:p>
        </w:tc>
        <w:tc>
          <w:tcPr>
            <w:tcW w:w="1483" w:type="dxa"/>
            <w:gridSpan w:val="2"/>
            <w:shd w:val="clear" w:color="auto" w:fill="auto"/>
            <w:vAlign w:val="center"/>
          </w:tcPr>
          <w:p>
            <w:pPr>
              <w:jc w:val="center"/>
              <w:rPr>
                <w:rFonts w:hint="eastAsia" w:ascii="宋体" w:hAnsi="宋体" w:eastAsia="宋体" w:cs="宋体"/>
                <w:color w:val="auto"/>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7" w:hRule="atLeast"/>
          <w:jc w:val="center"/>
        </w:trPr>
        <w:tc>
          <w:tcPr>
            <w:tcW w:w="1630"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建设规模</w:t>
            </w:r>
          </w:p>
        </w:tc>
        <w:tc>
          <w:tcPr>
            <w:tcW w:w="1548" w:type="dxa"/>
            <w:gridSpan w:val="2"/>
            <w:shd w:val="clear" w:color="auto" w:fill="auto"/>
            <w:vAlign w:val="center"/>
          </w:tcPr>
          <w:p>
            <w:pPr>
              <w:jc w:val="center"/>
              <w:rPr>
                <w:rFonts w:hint="eastAsia" w:ascii="宋体" w:hAnsi="宋体" w:eastAsia="宋体" w:cs="宋体"/>
                <w:color w:val="auto"/>
                <w:highlight w:val="none"/>
              </w:rPr>
            </w:pPr>
          </w:p>
        </w:tc>
        <w:tc>
          <w:tcPr>
            <w:tcW w:w="1974" w:type="dxa"/>
            <w:gridSpan w:val="3"/>
            <w:shd w:val="clear" w:color="auto" w:fill="auto"/>
            <w:vAlign w:val="center"/>
          </w:tcPr>
          <w:p>
            <w:pPr>
              <w:jc w:val="center"/>
              <w:rPr>
                <w:rFonts w:hint="eastAsia" w:ascii="宋体" w:hAnsi="宋体" w:eastAsia="宋体" w:cs="宋体"/>
                <w:color w:val="auto"/>
                <w:highlight w:val="none"/>
              </w:rPr>
            </w:pPr>
          </w:p>
        </w:tc>
        <w:tc>
          <w:tcPr>
            <w:tcW w:w="1329" w:type="dxa"/>
            <w:gridSpan w:val="2"/>
            <w:shd w:val="clear" w:color="auto" w:fill="auto"/>
            <w:vAlign w:val="center"/>
          </w:tcPr>
          <w:p>
            <w:pPr>
              <w:jc w:val="center"/>
              <w:rPr>
                <w:rFonts w:hint="eastAsia" w:ascii="宋体" w:hAnsi="宋体" w:eastAsia="宋体" w:cs="宋体"/>
                <w:color w:val="auto"/>
                <w:highlight w:val="none"/>
              </w:rPr>
            </w:pPr>
          </w:p>
        </w:tc>
        <w:tc>
          <w:tcPr>
            <w:tcW w:w="1634" w:type="dxa"/>
            <w:gridSpan w:val="3"/>
            <w:shd w:val="clear" w:color="auto" w:fill="auto"/>
            <w:vAlign w:val="center"/>
          </w:tcPr>
          <w:p>
            <w:pPr>
              <w:jc w:val="center"/>
              <w:rPr>
                <w:rFonts w:hint="eastAsia" w:ascii="宋体" w:hAnsi="宋体" w:eastAsia="宋体" w:cs="宋体"/>
                <w:color w:val="auto"/>
                <w:highlight w:val="none"/>
              </w:rPr>
            </w:pPr>
          </w:p>
        </w:tc>
        <w:tc>
          <w:tcPr>
            <w:tcW w:w="1483" w:type="dxa"/>
            <w:gridSpan w:val="2"/>
            <w:shd w:val="clear" w:color="auto" w:fill="auto"/>
            <w:vAlign w:val="center"/>
          </w:tcPr>
          <w:p>
            <w:pPr>
              <w:jc w:val="center"/>
              <w:rPr>
                <w:rFonts w:hint="eastAsia" w:ascii="宋体" w:hAnsi="宋体" w:eastAsia="宋体" w:cs="宋体"/>
                <w:color w:val="auto"/>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4" w:hRule="atLeast"/>
          <w:jc w:val="center"/>
        </w:trPr>
        <w:tc>
          <w:tcPr>
            <w:tcW w:w="1630"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开工日期</w:t>
            </w:r>
          </w:p>
        </w:tc>
        <w:tc>
          <w:tcPr>
            <w:tcW w:w="1548" w:type="dxa"/>
            <w:gridSpan w:val="2"/>
            <w:shd w:val="clear" w:color="auto" w:fill="auto"/>
            <w:vAlign w:val="center"/>
          </w:tcPr>
          <w:p>
            <w:pPr>
              <w:jc w:val="center"/>
              <w:rPr>
                <w:rFonts w:hint="eastAsia" w:ascii="宋体" w:hAnsi="宋体" w:eastAsia="宋体" w:cs="宋体"/>
                <w:color w:val="auto"/>
                <w:highlight w:val="none"/>
              </w:rPr>
            </w:pPr>
          </w:p>
        </w:tc>
        <w:tc>
          <w:tcPr>
            <w:tcW w:w="1974" w:type="dxa"/>
            <w:gridSpan w:val="3"/>
            <w:shd w:val="clear" w:color="auto" w:fill="auto"/>
            <w:vAlign w:val="center"/>
          </w:tcPr>
          <w:p>
            <w:pPr>
              <w:jc w:val="center"/>
              <w:rPr>
                <w:rFonts w:hint="eastAsia" w:ascii="宋体" w:hAnsi="宋体" w:eastAsia="宋体" w:cs="宋体"/>
                <w:color w:val="auto"/>
                <w:highlight w:val="none"/>
              </w:rPr>
            </w:pPr>
          </w:p>
        </w:tc>
        <w:tc>
          <w:tcPr>
            <w:tcW w:w="1329" w:type="dxa"/>
            <w:gridSpan w:val="2"/>
            <w:shd w:val="clear" w:color="auto" w:fill="auto"/>
            <w:vAlign w:val="center"/>
          </w:tcPr>
          <w:p>
            <w:pPr>
              <w:jc w:val="center"/>
              <w:rPr>
                <w:rFonts w:hint="eastAsia" w:ascii="宋体" w:hAnsi="宋体" w:eastAsia="宋体" w:cs="宋体"/>
                <w:color w:val="auto"/>
                <w:highlight w:val="none"/>
              </w:rPr>
            </w:pPr>
          </w:p>
        </w:tc>
        <w:tc>
          <w:tcPr>
            <w:tcW w:w="1634" w:type="dxa"/>
            <w:gridSpan w:val="3"/>
            <w:shd w:val="clear" w:color="auto" w:fill="auto"/>
            <w:vAlign w:val="center"/>
          </w:tcPr>
          <w:p>
            <w:pPr>
              <w:jc w:val="center"/>
              <w:rPr>
                <w:rFonts w:hint="eastAsia" w:ascii="宋体" w:hAnsi="宋体" w:eastAsia="宋体" w:cs="宋体"/>
                <w:color w:val="auto"/>
                <w:highlight w:val="none"/>
              </w:rPr>
            </w:pPr>
          </w:p>
        </w:tc>
        <w:tc>
          <w:tcPr>
            <w:tcW w:w="1483" w:type="dxa"/>
            <w:gridSpan w:val="2"/>
            <w:shd w:val="clear" w:color="auto" w:fill="auto"/>
            <w:vAlign w:val="center"/>
          </w:tcPr>
          <w:p>
            <w:pPr>
              <w:jc w:val="center"/>
              <w:rPr>
                <w:rFonts w:hint="eastAsia" w:ascii="宋体" w:hAnsi="宋体" w:eastAsia="宋体" w:cs="宋体"/>
                <w:color w:val="auto"/>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jc w:val="center"/>
        </w:trPr>
        <w:tc>
          <w:tcPr>
            <w:tcW w:w="1630"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竣工日期</w:t>
            </w:r>
          </w:p>
        </w:tc>
        <w:tc>
          <w:tcPr>
            <w:tcW w:w="1548" w:type="dxa"/>
            <w:gridSpan w:val="2"/>
            <w:shd w:val="clear" w:color="auto" w:fill="auto"/>
            <w:vAlign w:val="center"/>
          </w:tcPr>
          <w:p>
            <w:pPr>
              <w:jc w:val="center"/>
              <w:rPr>
                <w:rFonts w:hint="eastAsia" w:ascii="宋体" w:hAnsi="宋体" w:eastAsia="宋体" w:cs="宋体"/>
                <w:color w:val="auto"/>
                <w:highlight w:val="none"/>
              </w:rPr>
            </w:pPr>
          </w:p>
        </w:tc>
        <w:tc>
          <w:tcPr>
            <w:tcW w:w="1974" w:type="dxa"/>
            <w:gridSpan w:val="3"/>
            <w:shd w:val="clear" w:color="auto" w:fill="auto"/>
            <w:vAlign w:val="center"/>
          </w:tcPr>
          <w:p>
            <w:pPr>
              <w:jc w:val="center"/>
              <w:rPr>
                <w:rFonts w:hint="eastAsia" w:ascii="宋体" w:hAnsi="宋体" w:eastAsia="宋体" w:cs="宋体"/>
                <w:color w:val="auto"/>
                <w:highlight w:val="none"/>
              </w:rPr>
            </w:pPr>
          </w:p>
        </w:tc>
        <w:tc>
          <w:tcPr>
            <w:tcW w:w="1329" w:type="dxa"/>
            <w:gridSpan w:val="2"/>
            <w:shd w:val="clear" w:color="auto" w:fill="auto"/>
            <w:vAlign w:val="center"/>
          </w:tcPr>
          <w:p>
            <w:pPr>
              <w:jc w:val="center"/>
              <w:rPr>
                <w:rFonts w:hint="eastAsia" w:ascii="宋体" w:hAnsi="宋体" w:eastAsia="宋体" w:cs="宋体"/>
                <w:color w:val="auto"/>
                <w:highlight w:val="none"/>
              </w:rPr>
            </w:pPr>
          </w:p>
        </w:tc>
        <w:tc>
          <w:tcPr>
            <w:tcW w:w="1634" w:type="dxa"/>
            <w:gridSpan w:val="3"/>
            <w:shd w:val="clear" w:color="auto" w:fill="auto"/>
            <w:vAlign w:val="center"/>
          </w:tcPr>
          <w:p>
            <w:pPr>
              <w:jc w:val="center"/>
              <w:rPr>
                <w:rFonts w:hint="eastAsia" w:ascii="宋体" w:hAnsi="宋体" w:eastAsia="宋体" w:cs="宋体"/>
                <w:color w:val="auto"/>
                <w:highlight w:val="none"/>
              </w:rPr>
            </w:pPr>
          </w:p>
        </w:tc>
        <w:tc>
          <w:tcPr>
            <w:tcW w:w="1483" w:type="dxa"/>
            <w:gridSpan w:val="2"/>
            <w:shd w:val="clear" w:color="auto" w:fill="auto"/>
            <w:vAlign w:val="center"/>
          </w:tcPr>
          <w:p>
            <w:pPr>
              <w:jc w:val="center"/>
              <w:rPr>
                <w:rFonts w:hint="eastAsia" w:ascii="宋体" w:hAnsi="宋体" w:eastAsia="宋体" w:cs="宋体"/>
                <w:color w:val="auto"/>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jc w:val="center"/>
        </w:trPr>
        <w:tc>
          <w:tcPr>
            <w:tcW w:w="1630"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人员角色</w:t>
            </w:r>
          </w:p>
        </w:tc>
        <w:tc>
          <w:tcPr>
            <w:tcW w:w="1548" w:type="dxa"/>
            <w:gridSpan w:val="2"/>
            <w:shd w:val="clear" w:color="auto" w:fill="auto"/>
            <w:vAlign w:val="center"/>
          </w:tcPr>
          <w:p>
            <w:pPr>
              <w:jc w:val="center"/>
              <w:rPr>
                <w:rFonts w:hint="eastAsia" w:ascii="宋体" w:hAnsi="宋体" w:eastAsia="宋体" w:cs="宋体"/>
                <w:color w:val="auto"/>
                <w:highlight w:val="none"/>
              </w:rPr>
            </w:pPr>
          </w:p>
        </w:tc>
        <w:tc>
          <w:tcPr>
            <w:tcW w:w="1974" w:type="dxa"/>
            <w:gridSpan w:val="3"/>
            <w:shd w:val="clear" w:color="auto" w:fill="auto"/>
            <w:vAlign w:val="center"/>
          </w:tcPr>
          <w:p>
            <w:pPr>
              <w:jc w:val="center"/>
              <w:rPr>
                <w:rFonts w:hint="eastAsia" w:ascii="宋体" w:hAnsi="宋体" w:eastAsia="宋体" w:cs="宋体"/>
                <w:color w:val="auto"/>
                <w:highlight w:val="none"/>
              </w:rPr>
            </w:pPr>
          </w:p>
        </w:tc>
        <w:tc>
          <w:tcPr>
            <w:tcW w:w="1329" w:type="dxa"/>
            <w:gridSpan w:val="2"/>
            <w:shd w:val="clear" w:color="auto" w:fill="auto"/>
            <w:vAlign w:val="center"/>
          </w:tcPr>
          <w:p>
            <w:pPr>
              <w:jc w:val="center"/>
              <w:rPr>
                <w:rFonts w:hint="eastAsia" w:ascii="宋体" w:hAnsi="宋体" w:eastAsia="宋体" w:cs="宋体"/>
                <w:color w:val="auto"/>
                <w:highlight w:val="none"/>
              </w:rPr>
            </w:pPr>
          </w:p>
        </w:tc>
        <w:tc>
          <w:tcPr>
            <w:tcW w:w="1634" w:type="dxa"/>
            <w:gridSpan w:val="3"/>
            <w:shd w:val="clear" w:color="auto" w:fill="auto"/>
            <w:vAlign w:val="center"/>
          </w:tcPr>
          <w:p>
            <w:pPr>
              <w:jc w:val="center"/>
              <w:rPr>
                <w:rFonts w:hint="eastAsia" w:ascii="宋体" w:hAnsi="宋体" w:eastAsia="宋体" w:cs="宋体"/>
                <w:color w:val="auto"/>
                <w:highlight w:val="none"/>
              </w:rPr>
            </w:pPr>
          </w:p>
        </w:tc>
        <w:tc>
          <w:tcPr>
            <w:tcW w:w="1483" w:type="dxa"/>
            <w:gridSpan w:val="2"/>
            <w:shd w:val="clear" w:color="auto" w:fill="auto"/>
            <w:vAlign w:val="center"/>
          </w:tcPr>
          <w:p>
            <w:pPr>
              <w:jc w:val="center"/>
              <w:rPr>
                <w:rFonts w:hint="eastAsia" w:ascii="宋体" w:hAnsi="宋体" w:eastAsia="宋体" w:cs="宋体"/>
                <w:color w:val="auto"/>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jc w:val="center"/>
        </w:trPr>
        <w:tc>
          <w:tcPr>
            <w:tcW w:w="1630"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在建或已完</w:t>
            </w:r>
          </w:p>
        </w:tc>
        <w:tc>
          <w:tcPr>
            <w:tcW w:w="1548" w:type="dxa"/>
            <w:gridSpan w:val="2"/>
            <w:shd w:val="clear" w:color="auto" w:fill="auto"/>
            <w:vAlign w:val="center"/>
          </w:tcPr>
          <w:p>
            <w:pPr>
              <w:jc w:val="center"/>
              <w:rPr>
                <w:rFonts w:hint="eastAsia" w:ascii="宋体" w:hAnsi="宋体" w:eastAsia="宋体" w:cs="宋体"/>
                <w:color w:val="auto"/>
                <w:highlight w:val="none"/>
              </w:rPr>
            </w:pPr>
          </w:p>
        </w:tc>
        <w:tc>
          <w:tcPr>
            <w:tcW w:w="1974" w:type="dxa"/>
            <w:gridSpan w:val="3"/>
            <w:shd w:val="clear" w:color="auto" w:fill="auto"/>
            <w:vAlign w:val="center"/>
          </w:tcPr>
          <w:p>
            <w:pPr>
              <w:jc w:val="center"/>
              <w:rPr>
                <w:rFonts w:hint="eastAsia" w:ascii="宋体" w:hAnsi="宋体" w:eastAsia="宋体" w:cs="宋体"/>
                <w:color w:val="auto"/>
                <w:highlight w:val="none"/>
              </w:rPr>
            </w:pPr>
          </w:p>
        </w:tc>
        <w:tc>
          <w:tcPr>
            <w:tcW w:w="1329" w:type="dxa"/>
            <w:gridSpan w:val="2"/>
            <w:shd w:val="clear" w:color="auto" w:fill="auto"/>
            <w:vAlign w:val="center"/>
          </w:tcPr>
          <w:p>
            <w:pPr>
              <w:jc w:val="center"/>
              <w:rPr>
                <w:rFonts w:hint="eastAsia" w:ascii="宋体" w:hAnsi="宋体" w:eastAsia="宋体" w:cs="宋体"/>
                <w:color w:val="auto"/>
                <w:highlight w:val="none"/>
              </w:rPr>
            </w:pPr>
          </w:p>
        </w:tc>
        <w:tc>
          <w:tcPr>
            <w:tcW w:w="1634" w:type="dxa"/>
            <w:gridSpan w:val="3"/>
            <w:shd w:val="clear" w:color="auto" w:fill="auto"/>
            <w:vAlign w:val="center"/>
          </w:tcPr>
          <w:p>
            <w:pPr>
              <w:jc w:val="center"/>
              <w:rPr>
                <w:rFonts w:hint="eastAsia" w:ascii="宋体" w:hAnsi="宋体" w:eastAsia="宋体" w:cs="宋体"/>
                <w:color w:val="auto"/>
                <w:highlight w:val="none"/>
              </w:rPr>
            </w:pPr>
          </w:p>
        </w:tc>
        <w:tc>
          <w:tcPr>
            <w:tcW w:w="1483" w:type="dxa"/>
            <w:gridSpan w:val="2"/>
            <w:shd w:val="clear" w:color="auto" w:fill="auto"/>
            <w:vAlign w:val="center"/>
          </w:tcPr>
          <w:p>
            <w:pPr>
              <w:jc w:val="center"/>
              <w:rPr>
                <w:rFonts w:hint="eastAsia" w:ascii="宋体" w:hAnsi="宋体" w:eastAsia="宋体" w:cs="宋体"/>
                <w:color w:val="auto"/>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jc w:val="center"/>
        </w:trPr>
        <w:tc>
          <w:tcPr>
            <w:tcW w:w="1630"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工程质量</w:t>
            </w:r>
          </w:p>
        </w:tc>
        <w:tc>
          <w:tcPr>
            <w:tcW w:w="1548" w:type="dxa"/>
            <w:gridSpan w:val="2"/>
            <w:shd w:val="clear" w:color="auto" w:fill="auto"/>
            <w:vAlign w:val="center"/>
          </w:tcPr>
          <w:p>
            <w:pPr>
              <w:jc w:val="center"/>
              <w:rPr>
                <w:rFonts w:hint="eastAsia" w:ascii="宋体" w:hAnsi="宋体" w:eastAsia="宋体" w:cs="宋体"/>
                <w:color w:val="auto"/>
                <w:highlight w:val="none"/>
              </w:rPr>
            </w:pPr>
          </w:p>
        </w:tc>
        <w:tc>
          <w:tcPr>
            <w:tcW w:w="1974" w:type="dxa"/>
            <w:gridSpan w:val="3"/>
            <w:shd w:val="clear" w:color="auto" w:fill="auto"/>
            <w:vAlign w:val="center"/>
          </w:tcPr>
          <w:p>
            <w:pPr>
              <w:jc w:val="center"/>
              <w:rPr>
                <w:rFonts w:hint="eastAsia" w:ascii="宋体" w:hAnsi="宋体" w:eastAsia="宋体" w:cs="宋体"/>
                <w:color w:val="auto"/>
                <w:highlight w:val="none"/>
              </w:rPr>
            </w:pPr>
          </w:p>
        </w:tc>
        <w:tc>
          <w:tcPr>
            <w:tcW w:w="1329" w:type="dxa"/>
            <w:gridSpan w:val="2"/>
            <w:shd w:val="clear" w:color="auto" w:fill="auto"/>
            <w:vAlign w:val="center"/>
          </w:tcPr>
          <w:p>
            <w:pPr>
              <w:jc w:val="center"/>
              <w:rPr>
                <w:rFonts w:hint="eastAsia" w:ascii="宋体" w:hAnsi="宋体" w:eastAsia="宋体" w:cs="宋体"/>
                <w:color w:val="auto"/>
                <w:highlight w:val="none"/>
              </w:rPr>
            </w:pPr>
          </w:p>
        </w:tc>
        <w:tc>
          <w:tcPr>
            <w:tcW w:w="1634" w:type="dxa"/>
            <w:gridSpan w:val="3"/>
            <w:shd w:val="clear" w:color="auto" w:fill="auto"/>
            <w:vAlign w:val="center"/>
          </w:tcPr>
          <w:p>
            <w:pPr>
              <w:jc w:val="center"/>
              <w:rPr>
                <w:rFonts w:hint="eastAsia" w:ascii="宋体" w:hAnsi="宋体" w:eastAsia="宋体" w:cs="宋体"/>
                <w:color w:val="auto"/>
                <w:highlight w:val="none"/>
              </w:rPr>
            </w:pPr>
          </w:p>
        </w:tc>
        <w:tc>
          <w:tcPr>
            <w:tcW w:w="1483" w:type="dxa"/>
            <w:gridSpan w:val="2"/>
            <w:shd w:val="clear" w:color="auto" w:fill="auto"/>
            <w:vAlign w:val="center"/>
          </w:tcPr>
          <w:p>
            <w:pPr>
              <w:jc w:val="center"/>
              <w:rPr>
                <w:rFonts w:hint="eastAsia" w:ascii="宋体" w:hAnsi="宋体" w:eastAsia="宋体" w:cs="宋体"/>
                <w:color w:val="auto"/>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9" w:hRule="atLeast"/>
          <w:jc w:val="center"/>
        </w:trPr>
        <w:tc>
          <w:tcPr>
            <w:tcW w:w="1630"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受奖情况</w:t>
            </w:r>
          </w:p>
        </w:tc>
        <w:tc>
          <w:tcPr>
            <w:tcW w:w="1548" w:type="dxa"/>
            <w:gridSpan w:val="2"/>
            <w:shd w:val="clear" w:color="auto" w:fill="auto"/>
            <w:vAlign w:val="center"/>
          </w:tcPr>
          <w:p>
            <w:pPr>
              <w:jc w:val="center"/>
              <w:rPr>
                <w:rFonts w:hint="eastAsia" w:ascii="宋体" w:hAnsi="宋体" w:eastAsia="宋体" w:cs="宋体"/>
                <w:color w:val="auto"/>
                <w:highlight w:val="none"/>
              </w:rPr>
            </w:pPr>
          </w:p>
        </w:tc>
        <w:tc>
          <w:tcPr>
            <w:tcW w:w="1974" w:type="dxa"/>
            <w:gridSpan w:val="3"/>
            <w:shd w:val="clear" w:color="auto" w:fill="auto"/>
            <w:vAlign w:val="center"/>
          </w:tcPr>
          <w:p>
            <w:pPr>
              <w:jc w:val="center"/>
              <w:rPr>
                <w:rFonts w:hint="eastAsia" w:ascii="宋体" w:hAnsi="宋体" w:eastAsia="宋体" w:cs="宋体"/>
                <w:color w:val="auto"/>
                <w:highlight w:val="none"/>
              </w:rPr>
            </w:pPr>
          </w:p>
        </w:tc>
        <w:tc>
          <w:tcPr>
            <w:tcW w:w="1329" w:type="dxa"/>
            <w:gridSpan w:val="2"/>
            <w:shd w:val="clear" w:color="auto" w:fill="auto"/>
            <w:vAlign w:val="center"/>
          </w:tcPr>
          <w:p>
            <w:pPr>
              <w:jc w:val="center"/>
              <w:rPr>
                <w:rFonts w:hint="eastAsia" w:ascii="宋体" w:hAnsi="宋体" w:eastAsia="宋体" w:cs="宋体"/>
                <w:color w:val="auto"/>
                <w:highlight w:val="none"/>
              </w:rPr>
            </w:pPr>
          </w:p>
        </w:tc>
        <w:tc>
          <w:tcPr>
            <w:tcW w:w="1634" w:type="dxa"/>
            <w:gridSpan w:val="3"/>
            <w:shd w:val="clear" w:color="auto" w:fill="auto"/>
            <w:vAlign w:val="center"/>
          </w:tcPr>
          <w:p>
            <w:pPr>
              <w:jc w:val="center"/>
              <w:rPr>
                <w:rFonts w:hint="eastAsia" w:ascii="宋体" w:hAnsi="宋体" w:eastAsia="宋体" w:cs="宋体"/>
                <w:color w:val="auto"/>
                <w:highlight w:val="none"/>
              </w:rPr>
            </w:pPr>
          </w:p>
        </w:tc>
        <w:tc>
          <w:tcPr>
            <w:tcW w:w="1483" w:type="dxa"/>
            <w:gridSpan w:val="2"/>
            <w:shd w:val="clear" w:color="auto" w:fill="auto"/>
            <w:vAlign w:val="center"/>
          </w:tcPr>
          <w:p>
            <w:pPr>
              <w:jc w:val="center"/>
              <w:rPr>
                <w:rFonts w:hint="eastAsia" w:ascii="宋体" w:hAnsi="宋体" w:eastAsia="宋体" w:cs="宋体"/>
                <w:color w:val="auto"/>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bl>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1.项目数可以根据需要增加。</w:t>
      </w:r>
    </w:p>
    <w:p>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2.本表后附项目经理的学历证、安全生产考核合格证（B 类）、本表所列证书复印件并加盖供应商公章。</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pPr>
        <w:spacing w:line="360" w:lineRule="auto"/>
        <w:ind w:left="1939"/>
        <w:rPr>
          <w:rFonts w:hint="eastAsia" w:ascii="宋体" w:hAnsi="宋体" w:eastAsia="宋体" w:cs="宋体"/>
          <w:color w:val="auto"/>
          <w:sz w:val="31"/>
          <w:szCs w:val="31"/>
          <w:highlight w:val="none"/>
        </w:rPr>
      </w:pPr>
      <w:r>
        <w:rPr>
          <w:rFonts w:hint="eastAsia" w:ascii="宋体" w:hAnsi="宋体" w:eastAsia="宋体" w:cs="宋体"/>
          <w:color w:val="auto"/>
          <w:spacing w:val="3"/>
          <w:sz w:val="31"/>
          <w:szCs w:val="31"/>
          <w:highlight w:val="none"/>
        </w:rPr>
        <w:t>项目技术负责人（项目总工）</w:t>
      </w:r>
      <w:r>
        <w:rPr>
          <w:rFonts w:hint="eastAsia" w:ascii="宋体" w:hAnsi="宋体" w:eastAsia="宋体" w:cs="宋体"/>
          <w:color w:val="auto"/>
          <w:spacing w:val="-20"/>
          <w:sz w:val="31"/>
          <w:szCs w:val="31"/>
          <w:highlight w:val="none"/>
        </w:rPr>
        <w:t xml:space="preserve"> </w:t>
      </w:r>
      <w:r>
        <w:rPr>
          <w:rFonts w:hint="eastAsia" w:ascii="宋体" w:hAnsi="宋体" w:eastAsia="宋体" w:cs="宋体"/>
          <w:color w:val="auto"/>
          <w:spacing w:val="3"/>
          <w:sz w:val="31"/>
          <w:szCs w:val="31"/>
          <w:highlight w:val="none"/>
        </w:rPr>
        <w:t>简历表（如有）</w:t>
      </w:r>
    </w:p>
    <w:p>
      <w:pPr>
        <w:spacing w:line="360" w:lineRule="auto"/>
        <w:rPr>
          <w:rFonts w:hint="eastAsia" w:ascii="宋体" w:hAnsi="宋体" w:eastAsia="宋体" w:cs="宋体"/>
          <w:color w:val="auto"/>
          <w:highlight w:val="none"/>
        </w:rPr>
      </w:pPr>
    </w:p>
    <w:tbl>
      <w:tblPr>
        <w:tblStyle w:val="39"/>
        <w:tblW w:w="9623"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163"/>
        <w:gridCol w:w="300"/>
        <w:gridCol w:w="887"/>
        <w:gridCol w:w="660"/>
        <w:gridCol w:w="328"/>
        <w:gridCol w:w="235"/>
        <w:gridCol w:w="1415"/>
        <w:gridCol w:w="242"/>
        <w:gridCol w:w="1087"/>
        <w:gridCol w:w="89"/>
        <w:gridCol w:w="408"/>
        <w:gridCol w:w="1136"/>
        <w:gridCol w:w="87"/>
        <w:gridCol w:w="1395"/>
        <w:gridCol w:w="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9" w:hRule="atLeast"/>
          <w:jc w:val="center"/>
        </w:trPr>
        <w:tc>
          <w:tcPr>
            <w:tcW w:w="1166" w:type="dxa"/>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姓名</w:t>
            </w:r>
          </w:p>
        </w:tc>
        <w:tc>
          <w:tcPr>
            <w:tcW w:w="2338" w:type="dxa"/>
            <w:gridSpan w:val="5"/>
            <w:shd w:val="clear" w:color="auto" w:fill="auto"/>
            <w:vAlign w:val="center"/>
          </w:tcPr>
          <w:p>
            <w:pPr>
              <w:jc w:val="center"/>
              <w:rPr>
                <w:rFonts w:hint="eastAsia" w:ascii="宋体" w:hAnsi="宋体" w:eastAsia="宋体" w:cs="宋体"/>
                <w:color w:val="auto"/>
                <w:sz w:val="21"/>
                <w:szCs w:val="21"/>
                <w:highlight w:val="none"/>
              </w:rPr>
            </w:pPr>
          </w:p>
        </w:tc>
        <w:tc>
          <w:tcPr>
            <w:tcW w:w="1892"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性别</w:t>
            </w:r>
          </w:p>
        </w:tc>
        <w:tc>
          <w:tcPr>
            <w:tcW w:w="1584"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136" w:type="dxa"/>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年龄</w:t>
            </w:r>
          </w:p>
        </w:tc>
        <w:tc>
          <w:tcPr>
            <w:tcW w:w="1507" w:type="dxa"/>
            <w:gridSpan w:val="3"/>
            <w:shd w:val="clear" w:color="auto" w:fill="auto"/>
            <w:vAlign w:val="center"/>
          </w:tcPr>
          <w:p>
            <w:pPr>
              <w:jc w:val="cente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1166" w:type="dxa"/>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岗位</w:t>
            </w:r>
          </w:p>
        </w:tc>
        <w:tc>
          <w:tcPr>
            <w:tcW w:w="2338" w:type="dxa"/>
            <w:gridSpan w:val="5"/>
            <w:shd w:val="clear" w:color="auto" w:fill="auto"/>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项目技术负责人（项目 总工）</w:t>
            </w:r>
          </w:p>
        </w:tc>
        <w:tc>
          <w:tcPr>
            <w:tcW w:w="1892"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职称</w:t>
            </w:r>
          </w:p>
        </w:tc>
        <w:tc>
          <w:tcPr>
            <w:tcW w:w="1584"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136" w:type="dxa"/>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学历</w:t>
            </w:r>
          </w:p>
        </w:tc>
        <w:tc>
          <w:tcPr>
            <w:tcW w:w="1507" w:type="dxa"/>
            <w:gridSpan w:val="3"/>
            <w:shd w:val="clear" w:color="auto" w:fill="auto"/>
            <w:vAlign w:val="center"/>
          </w:tcPr>
          <w:p>
            <w:pPr>
              <w:jc w:val="cente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1166" w:type="dxa"/>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从业开始 时间</w:t>
            </w:r>
          </w:p>
        </w:tc>
        <w:tc>
          <w:tcPr>
            <w:tcW w:w="2338" w:type="dxa"/>
            <w:gridSpan w:val="5"/>
            <w:shd w:val="clear" w:color="auto" w:fill="auto"/>
            <w:vAlign w:val="center"/>
          </w:tcPr>
          <w:p>
            <w:pPr>
              <w:jc w:val="center"/>
              <w:rPr>
                <w:rFonts w:hint="eastAsia" w:ascii="宋体" w:hAnsi="宋体" w:eastAsia="宋体" w:cs="宋体"/>
                <w:color w:val="auto"/>
                <w:sz w:val="21"/>
                <w:szCs w:val="21"/>
                <w:highlight w:val="none"/>
              </w:rPr>
            </w:pPr>
          </w:p>
        </w:tc>
        <w:tc>
          <w:tcPr>
            <w:tcW w:w="1892"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职称获得时间</w:t>
            </w:r>
          </w:p>
        </w:tc>
        <w:tc>
          <w:tcPr>
            <w:tcW w:w="1584"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136" w:type="dxa"/>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毕业时间</w:t>
            </w:r>
          </w:p>
        </w:tc>
        <w:tc>
          <w:tcPr>
            <w:tcW w:w="1507" w:type="dxa"/>
            <w:gridSpan w:val="3"/>
            <w:shd w:val="clear" w:color="auto" w:fill="auto"/>
            <w:vAlign w:val="center"/>
          </w:tcPr>
          <w:p>
            <w:pPr>
              <w:jc w:val="cente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631" w:hRule="atLeast"/>
          <w:jc w:val="center"/>
        </w:trPr>
        <w:tc>
          <w:tcPr>
            <w:tcW w:w="1329" w:type="dxa"/>
            <w:gridSpan w:val="2"/>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担任……年 限</w:t>
            </w:r>
          </w:p>
        </w:tc>
        <w:tc>
          <w:tcPr>
            <w:tcW w:w="2175" w:type="dxa"/>
            <w:gridSpan w:val="4"/>
            <w:shd w:val="clear" w:color="auto" w:fill="auto"/>
            <w:vAlign w:val="center"/>
          </w:tcPr>
          <w:p>
            <w:pPr>
              <w:jc w:val="center"/>
              <w:rPr>
                <w:rFonts w:hint="eastAsia" w:ascii="宋体" w:hAnsi="宋体" w:eastAsia="宋体" w:cs="宋体"/>
                <w:color w:val="auto"/>
                <w:sz w:val="21"/>
                <w:szCs w:val="21"/>
                <w:highlight w:val="none"/>
              </w:rPr>
            </w:pPr>
          </w:p>
        </w:tc>
        <w:tc>
          <w:tcPr>
            <w:tcW w:w="1650" w:type="dxa"/>
            <w:gridSpan w:val="2"/>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身份证号码</w:t>
            </w:r>
          </w:p>
        </w:tc>
        <w:tc>
          <w:tcPr>
            <w:tcW w:w="4469" w:type="dxa"/>
            <w:gridSpan w:val="8"/>
            <w:shd w:val="clear" w:color="auto" w:fill="auto"/>
            <w:vAlign w:val="center"/>
          </w:tcPr>
          <w:p>
            <w:pPr>
              <w:jc w:val="cente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604" w:hRule="atLeast"/>
          <w:jc w:val="center"/>
        </w:trPr>
        <w:tc>
          <w:tcPr>
            <w:tcW w:w="1329" w:type="dxa"/>
            <w:gridSpan w:val="2"/>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证书名称</w:t>
            </w:r>
          </w:p>
        </w:tc>
        <w:tc>
          <w:tcPr>
            <w:tcW w:w="1187" w:type="dxa"/>
            <w:gridSpan w:val="2"/>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注册专业</w:t>
            </w:r>
          </w:p>
        </w:tc>
        <w:tc>
          <w:tcPr>
            <w:tcW w:w="1223"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级别</w:t>
            </w:r>
          </w:p>
        </w:tc>
        <w:tc>
          <w:tcPr>
            <w:tcW w:w="1415" w:type="dxa"/>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证书编号</w:t>
            </w:r>
          </w:p>
        </w:tc>
        <w:tc>
          <w:tcPr>
            <w:tcW w:w="1418"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注册时间</w:t>
            </w:r>
          </w:p>
        </w:tc>
        <w:tc>
          <w:tcPr>
            <w:tcW w:w="1631"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注册单位</w:t>
            </w:r>
          </w:p>
        </w:tc>
        <w:tc>
          <w:tcPr>
            <w:tcW w:w="1420" w:type="dxa"/>
            <w:gridSpan w:val="2"/>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注册有效期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604" w:hRule="atLeast"/>
          <w:jc w:val="center"/>
        </w:trPr>
        <w:tc>
          <w:tcPr>
            <w:tcW w:w="1329"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187"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223"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415" w:type="dxa"/>
            <w:shd w:val="clear" w:color="auto" w:fill="auto"/>
            <w:vAlign w:val="center"/>
          </w:tcPr>
          <w:p>
            <w:pPr>
              <w:jc w:val="center"/>
              <w:rPr>
                <w:rFonts w:hint="eastAsia" w:ascii="宋体" w:hAnsi="宋体" w:eastAsia="宋体" w:cs="宋体"/>
                <w:color w:val="auto"/>
                <w:sz w:val="21"/>
                <w:szCs w:val="21"/>
                <w:highlight w:val="none"/>
              </w:rPr>
            </w:pPr>
          </w:p>
        </w:tc>
        <w:tc>
          <w:tcPr>
            <w:tcW w:w="1418"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631"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420" w:type="dxa"/>
            <w:gridSpan w:val="2"/>
            <w:shd w:val="clear" w:color="auto" w:fill="auto"/>
            <w:vAlign w:val="center"/>
          </w:tcPr>
          <w:p>
            <w:pPr>
              <w:jc w:val="cente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4" w:hRule="atLeast"/>
          <w:jc w:val="center"/>
        </w:trPr>
        <w:tc>
          <w:tcPr>
            <w:tcW w:w="1329"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187"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223"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415" w:type="dxa"/>
            <w:shd w:val="clear" w:color="auto" w:fill="auto"/>
            <w:vAlign w:val="center"/>
          </w:tcPr>
          <w:p>
            <w:pPr>
              <w:jc w:val="center"/>
              <w:rPr>
                <w:rFonts w:hint="eastAsia" w:ascii="宋体" w:hAnsi="宋体" w:eastAsia="宋体" w:cs="宋体"/>
                <w:color w:val="auto"/>
                <w:sz w:val="21"/>
                <w:szCs w:val="21"/>
                <w:highlight w:val="none"/>
              </w:rPr>
            </w:pPr>
          </w:p>
        </w:tc>
        <w:tc>
          <w:tcPr>
            <w:tcW w:w="1418"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631"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420" w:type="dxa"/>
            <w:gridSpan w:val="2"/>
            <w:shd w:val="clear" w:color="auto" w:fill="auto"/>
            <w:vAlign w:val="center"/>
          </w:tcPr>
          <w:p>
            <w:pPr>
              <w:jc w:val="cente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6" w:hRule="atLeast"/>
          <w:jc w:val="center"/>
        </w:trPr>
        <w:tc>
          <w:tcPr>
            <w:tcW w:w="9623" w:type="dxa"/>
            <w:gridSpan w:val="16"/>
            <w:shd w:val="clear" w:color="auto" w:fill="auto"/>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在建和已完工程项目情况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4" w:hRule="atLeast"/>
          <w:jc w:val="center"/>
        </w:trPr>
        <w:tc>
          <w:tcPr>
            <w:tcW w:w="1629"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547" w:type="dxa"/>
            <w:gridSpan w:val="2"/>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项目 1</w:t>
            </w:r>
          </w:p>
        </w:tc>
        <w:tc>
          <w:tcPr>
            <w:tcW w:w="1978"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项目 2</w:t>
            </w:r>
          </w:p>
        </w:tc>
        <w:tc>
          <w:tcPr>
            <w:tcW w:w="1329" w:type="dxa"/>
            <w:gridSpan w:val="2"/>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项目 3</w:t>
            </w:r>
          </w:p>
        </w:tc>
        <w:tc>
          <w:tcPr>
            <w:tcW w:w="1633"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项目 4</w:t>
            </w:r>
          </w:p>
        </w:tc>
        <w:tc>
          <w:tcPr>
            <w:tcW w:w="1482" w:type="dxa"/>
            <w:gridSpan w:val="2"/>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w:t>
            </w:r>
          </w:p>
        </w:tc>
        <w:tc>
          <w:tcPr>
            <w:tcW w:w="25" w:type="dxa"/>
            <w:tcBorders>
              <w:top w:val="single" w:color="FFFFFF" w:sz="2" w:space="0"/>
              <w:bottom w:val="nil"/>
              <w:right w:val="nil"/>
            </w:tcBorders>
            <w:shd w:val="clear" w:color="auto" w:fill="auto"/>
            <w:vAlign w:val="center"/>
          </w:tcPr>
          <w:p>
            <w:pPr>
              <w:jc w:val="cente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4" w:hRule="atLeast"/>
          <w:jc w:val="center"/>
        </w:trPr>
        <w:tc>
          <w:tcPr>
            <w:tcW w:w="1629"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项目名称</w:t>
            </w:r>
          </w:p>
        </w:tc>
        <w:tc>
          <w:tcPr>
            <w:tcW w:w="1547"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978"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329"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633"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482"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7" w:hRule="atLeast"/>
          <w:jc w:val="center"/>
        </w:trPr>
        <w:tc>
          <w:tcPr>
            <w:tcW w:w="1629"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建设单位</w:t>
            </w:r>
          </w:p>
        </w:tc>
        <w:tc>
          <w:tcPr>
            <w:tcW w:w="1547"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978"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329"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633"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482"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4" w:hRule="atLeast"/>
          <w:jc w:val="center"/>
        </w:trPr>
        <w:tc>
          <w:tcPr>
            <w:tcW w:w="1629"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建设规模</w:t>
            </w:r>
          </w:p>
        </w:tc>
        <w:tc>
          <w:tcPr>
            <w:tcW w:w="1547"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978"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329"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633"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482"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7" w:hRule="atLeast"/>
          <w:jc w:val="center"/>
        </w:trPr>
        <w:tc>
          <w:tcPr>
            <w:tcW w:w="1629"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开工日期</w:t>
            </w:r>
          </w:p>
        </w:tc>
        <w:tc>
          <w:tcPr>
            <w:tcW w:w="1547"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978"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329"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633"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482"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5" w:hRule="atLeast"/>
          <w:jc w:val="center"/>
        </w:trPr>
        <w:tc>
          <w:tcPr>
            <w:tcW w:w="1629"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竣工日期</w:t>
            </w:r>
          </w:p>
        </w:tc>
        <w:tc>
          <w:tcPr>
            <w:tcW w:w="1547"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978"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329"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633"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482"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jc w:val="center"/>
        </w:trPr>
        <w:tc>
          <w:tcPr>
            <w:tcW w:w="1629"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人员角色</w:t>
            </w:r>
          </w:p>
        </w:tc>
        <w:tc>
          <w:tcPr>
            <w:tcW w:w="1547"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978"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329"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633"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482"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jc w:val="center"/>
        </w:trPr>
        <w:tc>
          <w:tcPr>
            <w:tcW w:w="1629"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在建或已完</w:t>
            </w:r>
          </w:p>
        </w:tc>
        <w:tc>
          <w:tcPr>
            <w:tcW w:w="1547"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978"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329"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633"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482"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4" w:hRule="atLeast"/>
          <w:jc w:val="center"/>
        </w:trPr>
        <w:tc>
          <w:tcPr>
            <w:tcW w:w="1629"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工程质量</w:t>
            </w:r>
          </w:p>
        </w:tc>
        <w:tc>
          <w:tcPr>
            <w:tcW w:w="1547"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978"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329"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633"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482"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59" w:hRule="atLeast"/>
          <w:jc w:val="center"/>
        </w:trPr>
        <w:tc>
          <w:tcPr>
            <w:tcW w:w="1629" w:type="dxa"/>
            <w:gridSpan w:val="3"/>
            <w:shd w:val="clear" w:color="auto" w:fill="auto"/>
            <w:vAlign w:val="center"/>
          </w:tcPr>
          <w:p>
            <w:pPr>
              <w:jc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受奖情况</w:t>
            </w:r>
          </w:p>
        </w:tc>
        <w:tc>
          <w:tcPr>
            <w:tcW w:w="1547"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978"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329"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1633" w:type="dxa"/>
            <w:gridSpan w:val="3"/>
            <w:shd w:val="clear" w:color="auto" w:fill="auto"/>
            <w:vAlign w:val="center"/>
          </w:tcPr>
          <w:p>
            <w:pPr>
              <w:jc w:val="center"/>
              <w:rPr>
                <w:rFonts w:hint="eastAsia" w:ascii="宋体" w:hAnsi="宋体" w:eastAsia="宋体" w:cs="宋体"/>
                <w:color w:val="auto"/>
                <w:sz w:val="21"/>
                <w:szCs w:val="21"/>
                <w:highlight w:val="none"/>
              </w:rPr>
            </w:pPr>
          </w:p>
        </w:tc>
        <w:tc>
          <w:tcPr>
            <w:tcW w:w="1482" w:type="dxa"/>
            <w:gridSpan w:val="2"/>
            <w:shd w:val="clear" w:color="auto" w:fill="auto"/>
            <w:vAlign w:val="center"/>
          </w:tcPr>
          <w:p>
            <w:pPr>
              <w:jc w:val="center"/>
              <w:rPr>
                <w:rFonts w:hint="eastAsia" w:ascii="宋体" w:hAnsi="宋体" w:eastAsia="宋体" w:cs="宋体"/>
                <w:color w:val="auto"/>
                <w:sz w:val="21"/>
                <w:szCs w:val="21"/>
                <w:highlight w:val="none"/>
              </w:rPr>
            </w:pPr>
          </w:p>
        </w:tc>
        <w:tc>
          <w:tcPr>
            <w:tcW w:w="25" w:type="dxa"/>
            <w:tcBorders>
              <w:top w:val="nil"/>
              <w:bottom w:val="nil"/>
              <w:right w:val="nil"/>
            </w:tcBorders>
            <w:shd w:val="clear" w:color="auto" w:fill="auto"/>
            <w:vAlign w:val="center"/>
          </w:tcPr>
          <w:p>
            <w:pPr>
              <w:jc w:val="center"/>
              <w:rPr>
                <w:rFonts w:hint="eastAsia" w:ascii="宋体" w:hAnsi="宋体" w:eastAsia="宋体" w:cs="宋体"/>
                <w:color w:val="auto"/>
                <w:sz w:val="21"/>
                <w:szCs w:val="21"/>
                <w:highlight w:val="none"/>
              </w:rPr>
            </w:pPr>
          </w:p>
        </w:tc>
      </w:tr>
    </w:tbl>
    <w:p>
      <w:pPr>
        <w:spacing w:line="360" w:lineRule="auto"/>
        <w:ind w:left="385"/>
        <w:rPr>
          <w:rFonts w:hint="eastAsia" w:ascii="宋体" w:hAnsi="宋体" w:eastAsia="宋体" w:cs="宋体"/>
          <w:color w:val="auto"/>
          <w:sz w:val="24"/>
          <w:highlight w:val="none"/>
        </w:rPr>
      </w:pPr>
      <w:r>
        <w:rPr>
          <w:rFonts w:hint="eastAsia" w:ascii="宋体" w:hAnsi="宋体" w:eastAsia="宋体" w:cs="宋体"/>
          <w:color w:val="auto"/>
          <w:spacing w:val="-13"/>
          <w:sz w:val="24"/>
          <w:highlight w:val="none"/>
        </w:rPr>
        <w:t>备注：</w:t>
      </w:r>
    </w:p>
    <w:p>
      <w:pPr>
        <w:spacing w:line="360" w:lineRule="auto"/>
        <w:ind w:left="818"/>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1.项目数可以根据需要增加。</w:t>
      </w:r>
    </w:p>
    <w:p>
      <w:pPr>
        <w:spacing w:line="360" w:lineRule="auto"/>
        <w:ind w:left="805"/>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2.本表后附项目技术负责人（项目总工）</w:t>
      </w:r>
      <w:r>
        <w:rPr>
          <w:rFonts w:hint="eastAsia" w:ascii="宋体" w:hAnsi="宋体" w:eastAsia="宋体" w:cs="宋体"/>
          <w:color w:val="auto"/>
          <w:spacing w:val="-36"/>
          <w:sz w:val="24"/>
          <w:highlight w:val="none"/>
        </w:rPr>
        <w:t xml:space="preserve"> </w:t>
      </w:r>
      <w:r>
        <w:rPr>
          <w:rFonts w:hint="eastAsia" w:ascii="宋体" w:hAnsi="宋体" w:eastAsia="宋体" w:cs="宋体"/>
          <w:color w:val="auto"/>
          <w:spacing w:val="-3"/>
          <w:sz w:val="24"/>
          <w:highlight w:val="none"/>
        </w:rPr>
        <w:t>的学历证、本表所列证书复</w:t>
      </w:r>
      <w:r>
        <w:rPr>
          <w:rFonts w:hint="eastAsia" w:ascii="宋体" w:hAnsi="宋体" w:eastAsia="宋体" w:cs="宋体"/>
          <w:color w:val="auto"/>
          <w:spacing w:val="-4"/>
          <w:sz w:val="24"/>
          <w:highlight w:val="none"/>
        </w:rPr>
        <w:t>印件并加盖供应商公章。</w:t>
      </w:r>
    </w:p>
    <w:p>
      <w:pPr>
        <w:spacing w:line="360" w:lineRule="auto"/>
        <w:rPr>
          <w:rFonts w:hint="eastAsia" w:ascii="宋体" w:hAnsi="宋体" w:eastAsia="宋体" w:cs="宋体"/>
          <w:color w:val="auto"/>
          <w:highlight w:val="none"/>
        </w:rPr>
      </w:pPr>
      <w:r>
        <w:rPr>
          <w:rFonts w:hint="eastAsia" w:ascii="宋体" w:hAnsi="宋体" w:eastAsia="宋体" w:cs="宋体"/>
          <w:color w:val="auto"/>
          <w:sz w:val="24"/>
          <w:highlight w:val="none"/>
        </w:rPr>
        <w:br w:type="page"/>
      </w:r>
    </w:p>
    <w:p>
      <w:pPr>
        <w:spacing w:line="360" w:lineRule="auto"/>
        <w:ind w:left="2739"/>
        <w:rPr>
          <w:rFonts w:hint="eastAsia" w:ascii="宋体" w:hAnsi="宋体" w:eastAsia="宋体" w:cs="宋体"/>
          <w:color w:val="auto"/>
          <w:sz w:val="31"/>
          <w:szCs w:val="31"/>
          <w:highlight w:val="none"/>
        </w:rPr>
      </w:pPr>
      <w:bookmarkStart w:id="40" w:name="_Toc28941"/>
      <w:bookmarkStart w:id="41" w:name="_Toc4741"/>
      <w:r>
        <w:rPr>
          <w:rFonts w:hint="eastAsia" w:ascii="宋体" w:hAnsi="宋体" w:eastAsia="宋体" w:cs="宋体"/>
          <w:color w:val="auto"/>
          <w:spacing w:val="10"/>
          <w:sz w:val="31"/>
          <w:szCs w:val="31"/>
          <w:highlight w:val="none"/>
        </w:rPr>
        <w:t>专职安全生产管理人员简历表</w:t>
      </w:r>
      <w:bookmarkEnd w:id="40"/>
      <w:bookmarkEnd w:id="41"/>
    </w:p>
    <w:tbl>
      <w:tblPr>
        <w:tblStyle w:val="39"/>
        <w:tblW w:w="9623"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8"/>
        <w:gridCol w:w="56"/>
        <w:gridCol w:w="1121"/>
        <w:gridCol w:w="371"/>
        <w:gridCol w:w="765"/>
        <w:gridCol w:w="1379"/>
        <w:gridCol w:w="1163"/>
        <w:gridCol w:w="49"/>
        <w:gridCol w:w="459"/>
        <w:gridCol w:w="1128"/>
        <w:gridCol w:w="45"/>
        <w:gridCol w:w="1437"/>
        <w:gridCol w:w="2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7" w:hRule="atLeast"/>
          <w:jc w:val="center"/>
        </w:trPr>
        <w:tc>
          <w:tcPr>
            <w:tcW w:w="1684"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姓名</w:t>
            </w:r>
          </w:p>
        </w:tc>
        <w:tc>
          <w:tcPr>
            <w:tcW w:w="2257" w:type="dxa"/>
            <w:gridSpan w:val="3"/>
            <w:shd w:val="clear" w:color="auto" w:fill="auto"/>
            <w:vAlign w:val="center"/>
          </w:tcPr>
          <w:p>
            <w:pPr>
              <w:jc w:val="center"/>
              <w:rPr>
                <w:rFonts w:hint="eastAsia" w:ascii="宋体" w:hAnsi="宋体" w:eastAsia="宋体" w:cs="宋体"/>
                <w:color w:val="auto"/>
                <w:highlight w:val="none"/>
              </w:rPr>
            </w:pPr>
          </w:p>
        </w:tc>
        <w:tc>
          <w:tcPr>
            <w:tcW w:w="1379"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性别</w:t>
            </w:r>
          </w:p>
        </w:tc>
        <w:tc>
          <w:tcPr>
            <w:tcW w:w="1671" w:type="dxa"/>
            <w:gridSpan w:val="3"/>
            <w:shd w:val="clear" w:color="auto" w:fill="auto"/>
            <w:vAlign w:val="center"/>
          </w:tcPr>
          <w:p>
            <w:pPr>
              <w:jc w:val="center"/>
              <w:rPr>
                <w:rFonts w:hint="eastAsia" w:ascii="宋体" w:hAnsi="宋体" w:eastAsia="宋体" w:cs="宋体"/>
                <w:color w:val="auto"/>
                <w:highlight w:val="none"/>
              </w:rPr>
            </w:pPr>
          </w:p>
        </w:tc>
        <w:tc>
          <w:tcPr>
            <w:tcW w:w="1128"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年龄</w:t>
            </w:r>
          </w:p>
        </w:tc>
        <w:tc>
          <w:tcPr>
            <w:tcW w:w="1504" w:type="dxa"/>
            <w:gridSpan w:val="3"/>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7" w:hRule="atLeast"/>
          <w:jc w:val="center"/>
        </w:trPr>
        <w:tc>
          <w:tcPr>
            <w:tcW w:w="1684"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岗位</w:t>
            </w:r>
          </w:p>
        </w:tc>
        <w:tc>
          <w:tcPr>
            <w:tcW w:w="2257" w:type="dxa"/>
            <w:gridSpan w:val="3"/>
            <w:shd w:val="clear" w:color="auto" w:fill="auto"/>
            <w:vAlign w:val="center"/>
          </w:tcPr>
          <w:p>
            <w:pPr>
              <w:jc w:val="center"/>
              <w:rPr>
                <w:rFonts w:hint="eastAsia" w:ascii="宋体" w:hAnsi="宋体" w:eastAsia="宋体" w:cs="宋体"/>
                <w:color w:val="auto"/>
                <w:highlight w:val="none"/>
              </w:rPr>
            </w:pPr>
            <w:r>
              <w:rPr>
                <w:rFonts w:hint="eastAsia" w:ascii="宋体" w:hAnsi="宋体" w:eastAsia="宋体" w:cs="宋体"/>
                <w:color w:val="auto"/>
                <w:highlight w:val="none"/>
              </w:rPr>
              <w:t>专职安全生产管理人员</w:t>
            </w:r>
          </w:p>
        </w:tc>
        <w:tc>
          <w:tcPr>
            <w:tcW w:w="1379"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职称</w:t>
            </w:r>
          </w:p>
        </w:tc>
        <w:tc>
          <w:tcPr>
            <w:tcW w:w="1671" w:type="dxa"/>
            <w:gridSpan w:val="3"/>
            <w:shd w:val="clear" w:color="auto" w:fill="auto"/>
            <w:vAlign w:val="center"/>
          </w:tcPr>
          <w:p>
            <w:pPr>
              <w:jc w:val="center"/>
              <w:rPr>
                <w:rFonts w:hint="eastAsia" w:ascii="宋体" w:hAnsi="宋体" w:eastAsia="宋体" w:cs="宋体"/>
                <w:color w:val="auto"/>
                <w:highlight w:val="none"/>
              </w:rPr>
            </w:pPr>
          </w:p>
        </w:tc>
        <w:tc>
          <w:tcPr>
            <w:tcW w:w="1128"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学历</w:t>
            </w:r>
          </w:p>
        </w:tc>
        <w:tc>
          <w:tcPr>
            <w:tcW w:w="1504" w:type="dxa"/>
            <w:gridSpan w:val="3"/>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7" w:hRule="atLeast"/>
          <w:jc w:val="center"/>
        </w:trPr>
        <w:tc>
          <w:tcPr>
            <w:tcW w:w="1684"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从业开始时间</w:t>
            </w:r>
          </w:p>
        </w:tc>
        <w:tc>
          <w:tcPr>
            <w:tcW w:w="2257" w:type="dxa"/>
            <w:gridSpan w:val="3"/>
            <w:shd w:val="clear" w:color="auto" w:fill="auto"/>
            <w:vAlign w:val="center"/>
          </w:tcPr>
          <w:p>
            <w:pPr>
              <w:jc w:val="center"/>
              <w:rPr>
                <w:rFonts w:hint="eastAsia" w:ascii="宋体" w:hAnsi="宋体" w:eastAsia="宋体" w:cs="宋体"/>
                <w:color w:val="auto"/>
                <w:highlight w:val="none"/>
              </w:rPr>
            </w:pPr>
          </w:p>
        </w:tc>
        <w:tc>
          <w:tcPr>
            <w:tcW w:w="1379"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职称获得时间</w:t>
            </w:r>
          </w:p>
        </w:tc>
        <w:tc>
          <w:tcPr>
            <w:tcW w:w="1671" w:type="dxa"/>
            <w:gridSpan w:val="3"/>
            <w:shd w:val="clear" w:color="auto" w:fill="auto"/>
            <w:vAlign w:val="center"/>
          </w:tcPr>
          <w:p>
            <w:pPr>
              <w:jc w:val="center"/>
              <w:rPr>
                <w:rFonts w:hint="eastAsia" w:ascii="宋体" w:hAnsi="宋体" w:eastAsia="宋体" w:cs="宋体"/>
                <w:color w:val="auto"/>
                <w:highlight w:val="none"/>
              </w:rPr>
            </w:pPr>
          </w:p>
        </w:tc>
        <w:tc>
          <w:tcPr>
            <w:tcW w:w="1128"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毕业时间</w:t>
            </w:r>
          </w:p>
        </w:tc>
        <w:tc>
          <w:tcPr>
            <w:tcW w:w="1504" w:type="dxa"/>
            <w:gridSpan w:val="3"/>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567" w:hRule="atLeast"/>
          <w:jc w:val="center"/>
        </w:trPr>
        <w:tc>
          <w:tcPr>
            <w:tcW w:w="1684"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担任…… 年限</w:t>
            </w:r>
          </w:p>
        </w:tc>
        <w:tc>
          <w:tcPr>
            <w:tcW w:w="2257" w:type="dxa"/>
            <w:gridSpan w:val="3"/>
            <w:shd w:val="clear" w:color="auto" w:fill="auto"/>
            <w:vAlign w:val="center"/>
          </w:tcPr>
          <w:p>
            <w:pPr>
              <w:jc w:val="center"/>
              <w:rPr>
                <w:rFonts w:hint="eastAsia" w:ascii="宋体" w:hAnsi="宋体" w:eastAsia="宋体" w:cs="宋体"/>
                <w:color w:val="auto"/>
                <w:highlight w:val="none"/>
              </w:rPr>
            </w:pPr>
          </w:p>
        </w:tc>
        <w:tc>
          <w:tcPr>
            <w:tcW w:w="1379"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身份证号码</w:t>
            </w:r>
          </w:p>
        </w:tc>
        <w:tc>
          <w:tcPr>
            <w:tcW w:w="4303" w:type="dxa"/>
            <w:gridSpan w:val="7"/>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567" w:hRule="atLeast"/>
          <w:jc w:val="center"/>
        </w:trPr>
        <w:tc>
          <w:tcPr>
            <w:tcW w:w="1684"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证书名称</w:t>
            </w:r>
          </w:p>
        </w:tc>
        <w:tc>
          <w:tcPr>
            <w:tcW w:w="1121"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注册专业</w:t>
            </w:r>
          </w:p>
        </w:tc>
        <w:tc>
          <w:tcPr>
            <w:tcW w:w="1136"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级别</w:t>
            </w:r>
          </w:p>
        </w:tc>
        <w:tc>
          <w:tcPr>
            <w:tcW w:w="1379"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证书编号</w:t>
            </w:r>
          </w:p>
        </w:tc>
        <w:tc>
          <w:tcPr>
            <w:tcW w:w="1212"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注册时间</w:t>
            </w:r>
          </w:p>
        </w:tc>
        <w:tc>
          <w:tcPr>
            <w:tcW w:w="1632" w:type="dxa"/>
            <w:gridSpan w:val="3"/>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注册单位</w:t>
            </w:r>
          </w:p>
        </w:tc>
        <w:tc>
          <w:tcPr>
            <w:tcW w:w="1459"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注册有效期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567" w:hRule="atLeast"/>
          <w:jc w:val="center"/>
        </w:trPr>
        <w:tc>
          <w:tcPr>
            <w:tcW w:w="1684" w:type="dxa"/>
            <w:gridSpan w:val="2"/>
            <w:shd w:val="clear" w:color="auto" w:fill="auto"/>
            <w:vAlign w:val="center"/>
          </w:tcPr>
          <w:p>
            <w:pPr>
              <w:jc w:val="center"/>
              <w:rPr>
                <w:rFonts w:hint="eastAsia" w:ascii="宋体" w:hAnsi="宋体" w:eastAsia="宋体" w:cs="宋体"/>
                <w:color w:val="auto"/>
                <w:highlight w:val="none"/>
              </w:rPr>
            </w:pPr>
            <w:r>
              <w:rPr>
                <w:rFonts w:hint="eastAsia" w:ascii="宋体" w:hAnsi="宋体" w:eastAsia="宋体" w:cs="宋体"/>
                <w:color w:val="auto"/>
                <w:highlight w:val="none"/>
              </w:rPr>
              <w:t>安全生产考核合格</w:t>
            </w:r>
          </w:p>
          <w:p>
            <w:pPr>
              <w:jc w:val="center"/>
              <w:rPr>
                <w:rFonts w:hint="eastAsia" w:ascii="宋体" w:hAnsi="宋体" w:eastAsia="宋体" w:cs="宋体"/>
                <w:color w:val="auto"/>
                <w:highlight w:val="none"/>
              </w:rPr>
            </w:pPr>
            <w:r>
              <w:rPr>
                <w:rFonts w:hint="eastAsia" w:ascii="宋体" w:hAnsi="宋体" w:eastAsia="宋体" w:cs="宋体"/>
                <w:color w:val="auto"/>
                <w:highlight w:val="none"/>
              </w:rPr>
              <w:t>证书</w:t>
            </w:r>
          </w:p>
        </w:tc>
        <w:tc>
          <w:tcPr>
            <w:tcW w:w="1121" w:type="dxa"/>
            <w:shd w:val="clear" w:color="auto" w:fill="auto"/>
            <w:vAlign w:val="center"/>
          </w:tcPr>
          <w:p>
            <w:pPr>
              <w:jc w:val="center"/>
              <w:rPr>
                <w:rFonts w:hint="eastAsia" w:ascii="宋体" w:hAnsi="宋体" w:eastAsia="宋体" w:cs="宋体"/>
                <w:color w:val="auto"/>
                <w:highlight w:val="none"/>
              </w:rPr>
            </w:pPr>
          </w:p>
        </w:tc>
        <w:tc>
          <w:tcPr>
            <w:tcW w:w="1136" w:type="dxa"/>
            <w:gridSpan w:val="2"/>
            <w:shd w:val="clear" w:color="auto" w:fill="auto"/>
            <w:vAlign w:val="center"/>
          </w:tcPr>
          <w:p>
            <w:pPr>
              <w:jc w:val="center"/>
              <w:rPr>
                <w:rFonts w:hint="eastAsia" w:ascii="宋体" w:hAnsi="宋体" w:eastAsia="宋体" w:cs="宋体"/>
                <w:color w:val="auto"/>
                <w:highlight w:val="none"/>
              </w:rPr>
            </w:pPr>
          </w:p>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C 类</w:t>
            </w:r>
          </w:p>
        </w:tc>
        <w:tc>
          <w:tcPr>
            <w:tcW w:w="1379" w:type="dxa"/>
            <w:shd w:val="clear" w:color="auto" w:fill="auto"/>
            <w:vAlign w:val="center"/>
          </w:tcPr>
          <w:p>
            <w:pPr>
              <w:jc w:val="center"/>
              <w:rPr>
                <w:rFonts w:hint="eastAsia" w:ascii="宋体" w:hAnsi="宋体" w:eastAsia="宋体" w:cs="宋体"/>
                <w:color w:val="auto"/>
                <w:highlight w:val="none"/>
              </w:rPr>
            </w:pPr>
          </w:p>
        </w:tc>
        <w:tc>
          <w:tcPr>
            <w:tcW w:w="1212" w:type="dxa"/>
            <w:gridSpan w:val="2"/>
            <w:shd w:val="clear" w:color="auto" w:fill="auto"/>
            <w:vAlign w:val="center"/>
          </w:tcPr>
          <w:p>
            <w:pPr>
              <w:jc w:val="center"/>
              <w:rPr>
                <w:rFonts w:hint="eastAsia" w:ascii="宋体" w:hAnsi="宋体" w:eastAsia="宋体" w:cs="宋体"/>
                <w:color w:val="auto"/>
                <w:highlight w:val="none"/>
              </w:rPr>
            </w:pPr>
          </w:p>
        </w:tc>
        <w:tc>
          <w:tcPr>
            <w:tcW w:w="1632" w:type="dxa"/>
            <w:gridSpan w:val="3"/>
            <w:shd w:val="clear" w:color="auto" w:fill="auto"/>
            <w:vAlign w:val="center"/>
          </w:tcPr>
          <w:p>
            <w:pPr>
              <w:jc w:val="center"/>
              <w:rPr>
                <w:rFonts w:hint="eastAsia" w:ascii="宋体" w:hAnsi="宋体" w:eastAsia="宋体" w:cs="宋体"/>
                <w:color w:val="auto"/>
                <w:highlight w:val="none"/>
              </w:rPr>
            </w:pPr>
          </w:p>
        </w:tc>
        <w:tc>
          <w:tcPr>
            <w:tcW w:w="1459" w:type="dxa"/>
            <w:gridSpan w:val="2"/>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7" w:hRule="atLeast"/>
          <w:jc w:val="center"/>
        </w:trPr>
        <w:tc>
          <w:tcPr>
            <w:tcW w:w="1684" w:type="dxa"/>
            <w:gridSpan w:val="2"/>
            <w:shd w:val="clear" w:color="auto" w:fill="auto"/>
            <w:vAlign w:val="center"/>
          </w:tcPr>
          <w:p>
            <w:pPr>
              <w:jc w:val="center"/>
              <w:rPr>
                <w:rFonts w:hint="eastAsia" w:ascii="宋体" w:hAnsi="宋体" w:eastAsia="宋体" w:cs="宋体"/>
                <w:color w:val="auto"/>
                <w:highlight w:val="none"/>
              </w:rPr>
            </w:pPr>
          </w:p>
        </w:tc>
        <w:tc>
          <w:tcPr>
            <w:tcW w:w="1121" w:type="dxa"/>
            <w:shd w:val="clear" w:color="auto" w:fill="auto"/>
            <w:vAlign w:val="center"/>
          </w:tcPr>
          <w:p>
            <w:pPr>
              <w:jc w:val="center"/>
              <w:rPr>
                <w:rFonts w:hint="eastAsia" w:ascii="宋体" w:hAnsi="宋体" w:eastAsia="宋体" w:cs="宋体"/>
                <w:color w:val="auto"/>
                <w:highlight w:val="none"/>
              </w:rPr>
            </w:pPr>
          </w:p>
        </w:tc>
        <w:tc>
          <w:tcPr>
            <w:tcW w:w="1136" w:type="dxa"/>
            <w:gridSpan w:val="2"/>
            <w:shd w:val="clear" w:color="auto" w:fill="auto"/>
            <w:vAlign w:val="center"/>
          </w:tcPr>
          <w:p>
            <w:pPr>
              <w:jc w:val="center"/>
              <w:rPr>
                <w:rFonts w:hint="eastAsia" w:ascii="宋体" w:hAnsi="宋体" w:eastAsia="宋体" w:cs="宋体"/>
                <w:color w:val="auto"/>
                <w:highlight w:val="none"/>
              </w:rPr>
            </w:pPr>
          </w:p>
        </w:tc>
        <w:tc>
          <w:tcPr>
            <w:tcW w:w="1379" w:type="dxa"/>
            <w:shd w:val="clear" w:color="auto" w:fill="auto"/>
            <w:vAlign w:val="center"/>
          </w:tcPr>
          <w:p>
            <w:pPr>
              <w:jc w:val="center"/>
              <w:rPr>
                <w:rFonts w:hint="eastAsia" w:ascii="宋体" w:hAnsi="宋体" w:eastAsia="宋体" w:cs="宋体"/>
                <w:color w:val="auto"/>
                <w:highlight w:val="none"/>
              </w:rPr>
            </w:pPr>
          </w:p>
        </w:tc>
        <w:tc>
          <w:tcPr>
            <w:tcW w:w="1212" w:type="dxa"/>
            <w:gridSpan w:val="2"/>
            <w:shd w:val="clear" w:color="auto" w:fill="auto"/>
            <w:vAlign w:val="center"/>
          </w:tcPr>
          <w:p>
            <w:pPr>
              <w:jc w:val="center"/>
              <w:rPr>
                <w:rFonts w:hint="eastAsia" w:ascii="宋体" w:hAnsi="宋体" w:eastAsia="宋体" w:cs="宋体"/>
                <w:color w:val="auto"/>
                <w:highlight w:val="none"/>
              </w:rPr>
            </w:pPr>
          </w:p>
        </w:tc>
        <w:tc>
          <w:tcPr>
            <w:tcW w:w="1632" w:type="dxa"/>
            <w:gridSpan w:val="3"/>
            <w:shd w:val="clear" w:color="auto" w:fill="auto"/>
            <w:vAlign w:val="center"/>
          </w:tcPr>
          <w:p>
            <w:pPr>
              <w:jc w:val="center"/>
              <w:rPr>
                <w:rFonts w:hint="eastAsia" w:ascii="宋体" w:hAnsi="宋体" w:eastAsia="宋体" w:cs="宋体"/>
                <w:color w:val="auto"/>
                <w:highlight w:val="none"/>
              </w:rPr>
            </w:pPr>
          </w:p>
        </w:tc>
        <w:tc>
          <w:tcPr>
            <w:tcW w:w="1459" w:type="dxa"/>
            <w:gridSpan w:val="2"/>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7" w:hRule="atLeast"/>
          <w:jc w:val="center"/>
        </w:trPr>
        <w:tc>
          <w:tcPr>
            <w:tcW w:w="9623" w:type="dxa"/>
            <w:gridSpan w:val="13"/>
            <w:shd w:val="clear" w:color="auto" w:fill="auto"/>
            <w:vAlign w:val="center"/>
          </w:tcPr>
          <w:p>
            <w:pPr>
              <w:jc w:val="center"/>
              <w:rPr>
                <w:rFonts w:hint="eastAsia" w:ascii="宋体" w:hAnsi="宋体" w:eastAsia="宋体" w:cs="宋体"/>
                <w:color w:val="auto"/>
                <w:highlight w:val="none"/>
              </w:rPr>
            </w:pPr>
            <w:r>
              <w:rPr>
                <w:rFonts w:hint="eastAsia" w:ascii="宋体" w:hAnsi="宋体" w:eastAsia="宋体" w:cs="宋体"/>
                <w:color w:val="auto"/>
                <w:highlight w:val="none"/>
              </w:rPr>
              <w:t>在建和已完工程项目情况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7" w:hRule="atLeast"/>
          <w:jc w:val="center"/>
        </w:trPr>
        <w:tc>
          <w:tcPr>
            <w:tcW w:w="1628" w:type="dxa"/>
            <w:shd w:val="clear" w:color="auto" w:fill="auto"/>
            <w:vAlign w:val="center"/>
          </w:tcPr>
          <w:p>
            <w:pPr>
              <w:jc w:val="center"/>
              <w:rPr>
                <w:rFonts w:hint="eastAsia" w:ascii="宋体" w:hAnsi="宋体" w:eastAsia="宋体" w:cs="宋体"/>
                <w:color w:val="auto"/>
                <w:highlight w:val="none"/>
              </w:rPr>
            </w:pPr>
          </w:p>
        </w:tc>
        <w:tc>
          <w:tcPr>
            <w:tcW w:w="1548" w:type="dxa"/>
            <w:gridSpan w:val="3"/>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项目 1</w:t>
            </w:r>
          </w:p>
        </w:tc>
        <w:tc>
          <w:tcPr>
            <w:tcW w:w="2144"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项目 2</w:t>
            </w:r>
          </w:p>
        </w:tc>
        <w:tc>
          <w:tcPr>
            <w:tcW w:w="1163"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项目 3</w:t>
            </w:r>
          </w:p>
        </w:tc>
        <w:tc>
          <w:tcPr>
            <w:tcW w:w="1636" w:type="dxa"/>
            <w:gridSpan w:val="3"/>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项目 4</w:t>
            </w:r>
          </w:p>
        </w:tc>
        <w:tc>
          <w:tcPr>
            <w:tcW w:w="1482" w:type="dxa"/>
            <w:gridSpan w:val="2"/>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w:t>
            </w:r>
          </w:p>
        </w:tc>
        <w:tc>
          <w:tcPr>
            <w:tcW w:w="22" w:type="dxa"/>
            <w:tcBorders>
              <w:top w:val="single" w:color="FFFFFF" w:sz="2" w:space="0"/>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7" w:hRule="atLeast"/>
          <w:jc w:val="center"/>
        </w:trPr>
        <w:tc>
          <w:tcPr>
            <w:tcW w:w="1628"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项目名称</w:t>
            </w:r>
          </w:p>
        </w:tc>
        <w:tc>
          <w:tcPr>
            <w:tcW w:w="1548" w:type="dxa"/>
            <w:gridSpan w:val="3"/>
            <w:shd w:val="clear" w:color="auto" w:fill="auto"/>
            <w:vAlign w:val="center"/>
          </w:tcPr>
          <w:p>
            <w:pPr>
              <w:jc w:val="center"/>
              <w:rPr>
                <w:rFonts w:hint="eastAsia" w:ascii="宋体" w:hAnsi="宋体" w:eastAsia="宋体" w:cs="宋体"/>
                <w:color w:val="auto"/>
                <w:highlight w:val="none"/>
              </w:rPr>
            </w:pPr>
          </w:p>
        </w:tc>
        <w:tc>
          <w:tcPr>
            <w:tcW w:w="2144" w:type="dxa"/>
            <w:gridSpan w:val="2"/>
            <w:shd w:val="clear" w:color="auto" w:fill="auto"/>
            <w:vAlign w:val="center"/>
          </w:tcPr>
          <w:p>
            <w:pPr>
              <w:jc w:val="center"/>
              <w:rPr>
                <w:rFonts w:hint="eastAsia" w:ascii="宋体" w:hAnsi="宋体" w:eastAsia="宋体" w:cs="宋体"/>
                <w:color w:val="auto"/>
                <w:highlight w:val="none"/>
              </w:rPr>
            </w:pPr>
          </w:p>
        </w:tc>
        <w:tc>
          <w:tcPr>
            <w:tcW w:w="1163" w:type="dxa"/>
            <w:shd w:val="clear" w:color="auto" w:fill="auto"/>
            <w:vAlign w:val="center"/>
          </w:tcPr>
          <w:p>
            <w:pPr>
              <w:jc w:val="center"/>
              <w:rPr>
                <w:rFonts w:hint="eastAsia" w:ascii="宋体" w:hAnsi="宋体" w:eastAsia="宋体" w:cs="宋体"/>
                <w:color w:val="auto"/>
                <w:highlight w:val="none"/>
              </w:rPr>
            </w:pPr>
          </w:p>
        </w:tc>
        <w:tc>
          <w:tcPr>
            <w:tcW w:w="1636" w:type="dxa"/>
            <w:gridSpan w:val="3"/>
            <w:shd w:val="clear" w:color="auto" w:fill="auto"/>
            <w:vAlign w:val="center"/>
          </w:tcPr>
          <w:p>
            <w:pPr>
              <w:jc w:val="center"/>
              <w:rPr>
                <w:rFonts w:hint="eastAsia" w:ascii="宋体" w:hAnsi="宋体" w:eastAsia="宋体" w:cs="宋体"/>
                <w:color w:val="auto"/>
                <w:highlight w:val="none"/>
              </w:rPr>
            </w:pPr>
          </w:p>
        </w:tc>
        <w:tc>
          <w:tcPr>
            <w:tcW w:w="1482" w:type="dxa"/>
            <w:gridSpan w:val="2"/>
            <w:shd w:val="clear" w:color="auto" w:fill="auto"/>
            <w:vAlign w:val="center"/>
          </w:tcPr>
          <w:p>
            <w:pPr>
              <w:jc w:val="center"/>
              <w:rPr>
                <w:rFonts w:hint="eastAsia" w:ascii="宋体" w:hAnsi="宋体" w:eastAsia="宋体" w:cs="宋体"/>
                <w:color w:val="auto"/>
                <w:highlight w:val="none"/>
              </w:rPr>
            </w:pPr>
          </w:p>
        </w:tc>
        <w:tc>
          <w:tcPr>
            <w:tcW w:w="22"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7" w:hRule="atLeast"/>
          <w:jc w:val="center"/>
        </w:trPr>
        <w:tc>
          <w:tcPr>
            <w:tcW w:w="1628"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建设单位</w:t>
            </w:r>
          </w:p>
        </w:tc>
        <w:tc>
          <w:tcPr>
            <w:tcW w:w="1548" w:type="dxa"/>
            <w:gridSpan w:val="3"/>
            <w:shd w:val="clear" w:color="auto" w:fill="auto"/>
            <w:vAlign w:val="center"/>
          </w:tcPr>
          <w:p>
            <w:pPr>
              <w:jc w:val="center"/>
              <w:rPr>
                <w:rFonts w:hint="eastAsia" w:ascii="宋体" w:hAnsi="宋体" w:eastAsia="宋体" w:cs="宋体"/>
                <w:color w:val="auto"/>
                <w:highlight w:val="none"/>
              </w:rPr>
            </w:pPr>
          </w:p>
        </w:tc>
        <w:tc>
          <w:tcPr>
            <w:tcW w:w="2144" w:type="dxa"/>
            <w:gridSpan w:val="2"/>
            <w:shd w:val="clear" w:color="auto" w:fill="auto"/>
            <w:vAlign w:val="center"/>
          </w:tcPr>
          <w:p>
            <w:pPr>
              <w:jc w:val="center"/>
              <w:rPr>
                <w:rFonts w:hint="eastAsia" w:ascii="宋体" w:hAnsi="宋体" w:eastAsia="宋体" w:cs="宋体"/>
                <w:color w:val="auto"/>
                <w:highlight w:val="none"/>
              </w:rPr>
            </w:pPr>
          </w:p>
        </w:tc>
        <w:tc>
          <w:tcPr>
            <w:tcW w:w="1163" w:type="dxa"/>
            <w:shd w:val="clear" w:color="auto" w:fill="auto"/>
            <w:vAlign w:val="center"/>
          </w:tcPr>
          <w:p>
            <w:pPr>
              <w:jc w:val="center"/>
              <w:rPr>
                <w:rFonts w:hint="eastAsia" w:ascii="宋体" w:hAnsi="宋体" w:eastAsia="宋体" w:cs="宋体"/>
                <w:color w:val="auto"/>
                <w:highlight w:val="none"/>
              </w:rPr>
            </w:pPr>
          </w:p>
        </w:tc>
        <w:tc>
          <w:tcPr>
            <w:tcW w:w="1636" w:type="dxa"/>
            <w:gridSpan w:val="3"/>
            <w:shd w:val="clear" w:color="auto" w:fill="auto"/>
            <w:vAlign w:val="center"/>
          </w:tcPr>
          <w:p>
            <w:pPr>
              <w:jc w:val="center"/>
              <w:rPr>
                <w:rFonts w:hint="eastAsia" w:ascii="宋体" w:hAnsi="宋体" w:eastAsia="宋体" w:cs="宋体"/>
                <w:color w:val="auto"/>
                <w:highlight w:val="none"/>
              </w:rPr>
            </w:pPr>
          </w:p>
        </w:tc>
        <w:tc>
          <w:tcPr>
            <w:tcW w:w="1482" w:type="dxa"/>
            <w:gridSpan w:val="2"/>
            <w:shd w:val="clear" w:color="auto" w:fill="auto"/>
            <w:vAlign w:val="center"/>
          </w:tcPr>
          <w:p>
            <w:pPr>
              <w:jc w:val="center"/>
              <w:rPr>
                <w:rFonts w:hint="eastAsia" w:ascii="宋体" w:hAnsi="宋体" w:eastAsia="宋体" w:cs="宋体"/>
                <w:color w:val="auto"/>
                <w:highlight w:val="none"/>
              </w:rPr>
            </w:pPr>
          </w:p>
        </w:tc>
        <w:tc>
          <w:tcPr>
            <w:tcW w:w="22"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7" w:hRule="atLeast"/>
          <w:jc w:val="center"/>
        </w:trPr>
        <w:tc>
          <w:tcPr>
            <w:tcW w:w="1628"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建设规模</w:t>
            </w:r>
          </w:p>
        </w:tc>
        <w:tc>
          <w:tcPr>
            <w:tcW w:w="1548" w:type="dxa"/>
            <w:gridSpan w:val="3"/>
            <w:shd w:val="clear" w:color="auto" w:fill="auto"/>
            <w:vAlign w:val="center"/>
          </w:tcPr>
          <w:p>
            <w:pPr>
              <w:jc w:val="center"/>
              <w:rPr>
                <w:rFonts w:hint="eastAsia" w:ascii="宋体" w:hAnsi="宋体" w:eastAsia="宋体" w:cs="宋体"/>
                <w:color w:val="auto"/>
                <w:highlight w:val="none"/>
              </w:rPr>
            </w:pPr>
          </w:p>
        </w:tc>
        <w:tc>
          <w:tcPr>
            <w:tcW w:w="2144" w:type="dxa"/>
            <w:gridSpan w:val="2"/>
            <w:shd w:val="clear" w:color="auto" w:fill="auto"/>
            <w:vAlign w:val="center"/>
          </w:tcPr>
          <w:p>
            <w:pPr>
              <w:jc w:val="center"/>
              <w:rPr>
                <w:rFonts w:hint="eastAsia" w:ascii="宋体" w:hAnsi="宋体" w:eastAsia="宋体" w:cs="宋体"/>
                <w:color w:val="auto"/>
                <w:highlight w:val="none"/>
              </w:rPr>
            </w:pPr>
          </w:p>
        </w:tc>
        <w:tc>
          <w:tcPr>
            <w:tcW w:w="1163" w:type="dxa"/>
            <w:shd w:val="clear" w:color="auto" w:fill="auto"/>
            <w:vAlign w:val="center"/>
          </w:tcPr>
          <w:p>
            <w:pPr>
              <w:jc w:val="center"/>
              <w:rPr>
                <w:rFonts w:hint="eastAsia" w:ascii="宋体" w:hAnsi="宋体" w:eastAsia="宋体" w:cs="宋体"/>
                <w:color w:val="auto"/>
                <w:highlight w:val="none"/>
              </w:rPr>
            </w:pPr>
          </w:p>
        </w:tc>
        <w:tc>
          <w:tcPr>
            <w:tcW w:w="1636" w:type="dxa"/>
            <w:gridSpan w:val="3"/>
            <w:shd w:val="clear" w:color="auto" w:fill="auto"/>
            <w:vAlign w:val="center"/>
          </w:tcPr>
          <w:p>
            <w:pPr>
              <w:jc w:val="center"/>
              <w:rPr>
                <w:rFonts w:hint="eastAsia" w:ascii="宋体" w:hAnsi="宋体" w:eastAsia="宋体" w:cs="宋体"/>
                <w:color w:val="auto"/>
                <w:highlight w:val="none"/>
              </w:rPr>
            </w:pPr>
          </w:p>
        </w:tc>
        <w:tc>
          <w:tcPr>
            <w:tcW w:w="1482" w:type="dxa"/>
            <w:gridSpan w:val="2"/>
            <w:shd w:val="clear" w:color="auto" w:fill="auto"/>
            <w:vAlign w:val="center"/>
          </w:tcPr>
          <w:p>
            <w:pPr>
              <w:jc w:val="center"/>
              <w:rPr>
                <w:rFonts w:hint="eastAsia" w:ascii="宋体" w:hAnsi="宋体" w:eastAsia="宋体" w:cs="宋体"/>
                <w:color w:val="auto"/>
                <w:highlight w:val="none"/>
              </w:rPr>
            </w:pPr>
          </w:p>
        </w:tc>
        <w:tc>
          <w:tcPr>
            <w:tcW w:w="22"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7" w:hRule="atLeast"/>
          <w:jc w:val="center"/>
        </w:trPr>
        <w:tc>
          <w:tcPr>
            <w:tcW w:w="1628"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开工日期</w:t>
            </w:r>
          </w:p>
        </w:tc>
        <w:tc>
          <w:tcPr>
            <w:tcW w:w="1548" w:type="dxa"/>
            <w:gridSpan w:val="3"/>
            <w:shd w:val="clear" w:color="auto" w:fill="auto"/>
            <w:vAlign w:val="center"/>
          </w:tcPr>
          <w:p>
            <w:pPr>
              <w:jc w:val="center"/>
              <w:rPr>
                <w:rFonts w:hint="eastAsia" w:ascii="宋体" w:hAnsi="宋体" w:eastAsia="宋体" w:cs="宋体"/>
                <w:color w:val="auto"/>
                <w:highlight w:val="none"/>
              </w:rPr>
            </w:pPr>
          </w:p>
        </w:tc>
        <w:tc>
          <w:tcPr>
            <w:tcW w:w="2144" w:type="dxa"/>
            <w:gridSpan w:val="2"/>
            <w:shd w:val="clear" w:color="auto" w:fill="auto"/>
            <w:vAlign w:val="center"/>
          </w:tcPr>
          <w:p>
            <w:pPr>
              <w:jc w:val="center"/>
              <w:rPr>
                <w:rFonts w:hint="eastAsia" w:ascii="宋体" w:hAnsi="宋体" w:eastAsia="宋体" w:cs="宋体"/>
                <w:color w:val="auto"/>
                <w:highlight w:val="none"/>
              </w:rPr>
            </w:pPr>
          </w:p>
        </w:tc>
        <w:tc>
          <w:tcPr>
            <w:tcW w:w="1163" w:type="dxa"/>
            <w:shd w:val="clear" w:color="auto" w:fill="auto"/>
            <w:vAlign w:val="center"/>
          </w:tcPr>
          <w:p>
            <w:pPr>
              <w:jc w:val="center"/>
              <w:rPr>
                <w:rFonts w:hint="eastAsia" w:ascii="宋体" w:hAnsi="宋体" w:eastAsia="宋体" w:cs="宋体"/>
                <w:color w:val="auto"/>
                <w:highlight w:val="none"/>
              </w:rPr>
            </w:pPr>
          </w:p>
        </w:tc>
        <w:tc>
          <w:tcPr>
            <w:tcW w:w="1636" w:type="dxa"/>
            <w:gridSpan w:val="3"/>
            <w:shd w:val="clear" w:color="auto" w:fill="auto"/>
            <w:vAlign w:val="center"/>
          </w:tcPr>
          <w:p>
            <w:pPr>
              <w:jc w:val="center"/>
              <w:rPr>
                <w:rFonts w:hint="eastAsia" w:ascii="宋体" w:hAnsi="宋体" w:eastAsia="宋体" w:cs="宋体"/>
                <w:color w:val="auto"/>
                <w:highlight w:val="none"/>
              </w:rPr>
            </w:pPr>
          </w:p>
        </w:tc>
        <w:tc>
          <w:tcPr>
            <w:tcW w:w="1482" w:type="dxa"/>
            <w:gridSpan w:val="2"/>
            <w:shd w:val="clear" w:color="auto" w:fill="auto"/>
            <w:vAlign w:val="center"/>
          </w:tcPr>
          <w:p>
            <w:pPr>
              <w:jc w:val="center"/>
              <w:rPr>
                <w:rFonts w:hint="eastAsia" w:ascii="宋体" w:hAnsi="宋体" w:eastAsia="宋体" w:cs="宋体"/>
                <w:color w:val="auto"/>
                <w:highlight w:val="none"/>
              </w:rPr>
            </w:pPr>
          </w:p>
        </w:tc>
        <w:tc>
          <w:tcPr>
            <w:tcW w:w="22"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7" w:hRule="atLeast"/>
          <w:jc w:val="center"/>
        </w:trPr>
        <w:tc>
          <w:tcPr>
            <w:tcW w:w="1628"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竣工日期</w:t>
            </w:r>
          </w:p>
        </w:tc>
        <w:tc>
          <w:tcPr>
            <w:tcW w:w="1548" w:type="dxa"/>
            <w:gridSpan w:val="3"/>
            <w:shd w:val="clear" w:color="auto" w:fill="auto"/>
            <w:vAlign w:val="center"/>
          </w:tcPr>
          <w:p>
            <w:pPr>
              <w:jc w:val="center"/>
              <w:rPr>
                <w:rFonts w:hint="eastAsia" w:ascii="宋体" w:hAnsi="宋体" w:eastAsia="宋体" w:cs="宋体"/>
                <w:color w:val="auto"/>
                <w:highlight w:val="none"/>
              </w:rPr>
            </w:pPr>
          </w:p>
        </w:tc>
        <w:tc>
          <w:tcPr>
            <w:tcW w:w="2144" w:type="dxa"/>
            <w:gridSpan w:val="2"/>
            <w:shd w:val="clear" w:color="auto" w:fill="auto"/>
            <w:vAlign w:val="center"/>
          </w:tcPr>
          <w:p>
            <w:pPr>
              <w:jc w:val="center"/>
              <w:rPr>
                <w:rFonts w:hint="eastAsia" w:ascii="宋体" w:hAnsi="宋体" w:eastAsia="宋体" w:cs="宋体"/>
                <w:color w:val="auto"/>
                <w:highlight w:val="none"/>
              </w:rPr>
            </w:pPr>
          </w:p>
        </w:tc>
        <w:tc>
          <w:tcPr>
            <w:tcW w:w="1163" w:type="dxa"/>
            <w:shd w:val="clear" w:color="auto" w:fill="auto"/>
            <w:vAlign w:val="center"/>
          </w:tcPr>
          <w:p>
            <w:pPr>
              <w:jc w:val="center"/>
              <w:rPr>
                <w:rFonts w:hint="eastAsia" w:ascii="宋体" w:hAnsi="宋体" w:eastAsia="宋体" w:cs="宋体"/>
                <w:color w:val="auto"/>
                <w:highlight w:val="none"/>
              </w:rPr>
            </w:pPr>
          </w:p>
        </w:tc>
        <w:tc>
          <w:tcPr>
            <w:tcW w:w="1636" w:type="dxa"/>
            <w:gridSpan w:val="3"/>
            <w:shd w:val="clear" w:color="auto" w:fill="auto"/>
            <w:vAlign w:val="center"/>
          </w:tcPr>
          <w:p>
            <w:pPr>
              <w:jc w:val="center"/>
              <w:rPr>
                <w:rFonts w:hint="eastAsia" w:ascii="宋体" w:hAnsi="宋体" w:eastAsia="宋体" w:cs="宋体"/>
                <w:color w:val="auto"/>
                <w:highlight w:val="none"/>
              </w:rPr>
            </w:pPr>
          </w:p>
        </w:tc>
        <w:tc>
          <w:tcPr>
            <w:tcW w:w="1482" w:type="dxa"/>
            <w:gridSpan w:val="2"/>
            <w:shd w:val="clear" w:color="auto" w:fill="auto"/>
            <w:vAlign w:val="center"/>
          </w:tcPr>
          <w:p>
            <w:pPr>
              <w:jc w:val="center"/>
              <w:rPr>
                <w:rFonts w:hint="eastAsia" w:ascii="宋体" w:hAnsi="宋体" w:eastAsia="宋体" w:cs="宋体"/>
                <w:color w:val="auto"/>
                <w:highlight w:val="none"/>
              </w:rPr>
            </w:pPr>
          </w:p>
        </w:tc>
        <w:tc>
          <w:tcPr>
            <w:tcW w:w="22"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7" w:hRule="atLeast"/>
          <w:jc w:val="center"/>
        </w:trPr>
        <w:tc>
          <w:tcPr>
            <w:tcW w:w="1628"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人员角色</w:t>
            </w:r>
          </w:p>
        </w:tc>
        <w:tc>
          <w:tcPr>
            <w:tcW w:w="1548" w:type="dxa"/>
            <w:gridSpan w:val="3"/>
            <w:shd w:val="clear" w:color="auto" w:fill="auto"/>
            <w:vAlign w:val="center"/>
          </w:tcPr>
          <w:p>
            <w:pPr>
              <w:jc w:val="center"/>
              <w:rPr>
                <w:rFonts w:hint="eastAsia" w:ascii="宋体" w:hAnsi="宋体" w:eastAsia="宋体" w:cs="宋体"/>
                <w:color w:val="auto"/>
                <w:highlight w:val="none"/>
              </w:rPr>
            </w:pPr>
          </w:p>
        </w:tc>
        <w:tc>
          <w:tcPr>
            <w:tcW w:w="2144" w:type="dxa"/>
            <w:gridSpan w:val="2"/>
            <w:shd w:val="clear" w:color="auto" w:fill="auto"/>
            <w:vAlign w:val="center"/>
          </w:tcPr>
          <w:p>
            <w:pPr>
              <w:jc w:val="center"/>
              <w:rPr>
                <w:rFonts w:hint="eastAsia" w:ascii="宋体" w:hAnsi="宋体" w:eastAsia="宋体" w:cs="宋体"/>
                <w:color w:val="auto"/>
                <w:highlight w:val="none"/>
              </w:rPr>
            </w:pPr>
          </w:p>
        </w:tc>
        <w:tc>
          <w:tcPr>
            <w:tcW w:w="1163" w:type="dxa"/>
            <w:shd w:val="clear" w:color="auto" w:fill="auto"/>
            <w:vAlign w:val="center"/>
          </w:tcPr>
          <w:p>
            <w:pPr>
              <w:jc w:val="center"/>
              <w:rPr>
                <w:rFonts w:hint="eastAsia" w:ascii="宋体" w:hAnsi="宋体" w:eastAsia="宋体" w:cs="宋体"/>
                <w:color w:val="auto"/>
                <w:highlight w:val="none"/>
              </w:rPr>
            </w:pPr>
          </w:p>
        </w:tc>
        <w:tc>
          <w:tcPr>
            <w:tcW w:w="1636" w:type="dxa"/>
            <w:gridSpan w:val="3"/>
            <w:shd w:val="clear" w:color="auto" w:fill="auto"/>
            <w:vAlign w:val="center"/>
          </w:tcPr>
          <w:p>
            <w:pPr>
              <w:jc w:val="center"/>
              <w:rPr>
                <w:rFonts w:hint="eastAsia" w:ascii="宋体" w:hAnsi="宋体" w:eastAsia="宋体" w:cs="宋体"/>
                <w:color w:val="auto"/>
                <w:highlight w:val="none"/>
              </w:rPr>
            </w:pPr>
          </w:p>
        </w:tc>
        <w:tc>
          <w:tcPr>
            <w:tcW w:w="1482" w:type="dxa"/>
            <w:gridSpan w:val="2"/>
            <w:shd w:val="clear" w:color="auto" w:fill="auto"/>
            <w:vAlign w:val="center"/>
          </w:tcPr>
          <w:p>
            <w:pPr>
              <w:jc w:val="center"/>
              <w:rPr>
                <w:rFonts w:hint="eastAsia" w:ascii="宋体" w:hAnsi="宋体" w:eastAsia="宋体" w:cs="宋体"/>
                <w:color w:val="auto"/>
                <w:highlight w:val="none"/>
              </w:rPr>
            </w:pPr>
          </w:p>
        </w:tc>
        <w:tc>
          <w:tcPr>
            <w:tcW w:w="22"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7" w:hRule="atLeast"/>
          <w:jc w:val="center"/>
        </w:trPr>
        <w:tc>
          <w:tcPr>
            <w:tcW w:w="1628"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在建或已完</w:t>
            </w:r>
          </w:p>
        </w:tc>
        <w:tc>
          <w:tcPr>
            <w:tcW w:w="1548" w:type="dxa"/>
            <w:gridSpan w:val="3"/>
            <w:shd w:val="clear" w:color="auto" w:fill="auto"/>
            <w:vAlign w:val="center"/>
          </w:tcPr>
          <w:p>
            <w:pPr>
              <w:jc w:val="center"/>
              <w:rPr>
                <w:rFonts w:hint="eastAsia" w:ascii="宋体" w:hAnsi="宋体" w:eastAsia="宋体" w:cs="宋体"/>
                <w:color w:val="auto"/>
                <w:highlight w:val="none"/>
              </w:rPr>
            </w:pPr>
          </w:p>
        </w:tc>
        <w:tc>
          <w:tcPr>
            <w:tcW w:w="2144" w:type="dxa"/>
            <w:gridSpan w:val="2"/>
            <w:shd w:val="clear" w:color="auto" w:fill="auto"/>
            <w:vAlign w:val="center"/>
          </w:tcPr>
          <w:p>
            <w:pPr>
              <w:jc w:val="center"/>
              <w:rPr>
                <w:rFonts w:hint="eastAsia" w:ascii="宋体" w:hAnsi="宋体" w:eastAsia="宋体" w:cs="宋体"/>
                <w:color w:val="auto"/>
                <w:highlight w:val="none"/>
              </w:rPr>
            </w:pPr>
          </w:p>
        </w:tc>
        <w:tc>
          <w:tcPr>
            <w:tcW w:w="1163" w:type="dxa"/>
            <w:shd w:val="clear" w:color="auto" w:fill="auto"/>
            <w:vAlign w:val="center"/>
          </w:tcPr>
          <w:p>
            <w:pPr>
              <w:jc w:val="center"/>
              <w:rPr>
                <w:rFonts w:hint="eastAsia" w:ascii="宋体" w:hAnsi="宋体" w:eastAsia="宋体" w:cs="宋体"/>
                <w:color w:val="auto"/>
                <w:highlight w:val="none"/>
              </w:rPr>
            </w:pPr>
          </w:p>
        </w:tc>
        <w:tc>
          <w:tcPr>
            <w:tcW w:w="1636" w:type="dxa"/>
            <w:gridSpan w:val="3"/>
            <w:shd w:val="clear" w:color="auto" w:fill="auto"/>
            <w:vAlign w:val="center"/>
          </w:tcPr>
          <w:p>
            <w:pPr>
              <w:jc w:val="center"/>
              <w:rPr>
                <w:rFonts w:hint="eastAsia" w:ascii="宋体" w:hAnsi="宋体" w:eastAsia="宋体" w:cs="宋体"/>
                <w:color w:val="auto"/>
                <w:highlight w:val="none"/>
              </w:rPr>
            </w:pPr>
          </w:p>
        </w:tc>
        <w:tc>
          <w:tcPr>
            <w:tcW w:w="1482" w:type="dxa"/>
            <w:gridSpan w:val="2"/>
            <w:shd w:val="clear" w:color="auto" w:fill="auto"/>
            <w:vAlign w:val="center"/>
          </w:tcPr>
          <w:p>
            <w:pPr>
              <w:jc w:val="center"/>
              <w:rPr>
                <w:rFonts w:hint="eastAsia" w:ascii="宋体" w:hAnsi="宋体" w:eastAsia="宋体" w:cs="宋体"/>
                <w:color w:val="auto"/>
                <w:highlight w:val="none"/>
              </w:rPr>
            </w:pPr>
          </w:p>
        </w:tc>
        <w:tc>
          <w:tcPr>
            <w:tcW w:w="22"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7" w:hRule="atLeast"/>
          <w:jc w:val="center"/>
        </w:trPr>
        <w:tc>
          <w:tcPr>
            <w:tcW w:w="1628"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工程质量</w:t>
            </w:r>
          </w:p>
        </w:tc>
        <w:tc>
          <w:tcPr>
            <w:tcW w:w="1548" w:type="dxa"/>
            <w:gridSpan w:val="3"/>
            <w:shd w:val="clear" w:color="auto" w:fill="auto"/>
            <w:vAlign w:val="center"/>
          </w:tcPr>
          <w:p>
            <w:pPr>
              <w:jc w:val="center"/>
              <w:rPr>
                <w:rFonts w:hint="eastAsia" w:ascii="宋体" w:hAnsi="宋体" w:eastAsia="宋体" w:cs="宋体"/>
                <w:color w:val="auto"/>
                <w:highlight w:val="none"/>
              </w:rPr>
            </w:pPr>
          </w:p>
        </w:tc>
        <w:tc>
          <w:tcPr>
            <w:tcW w:w="2144" w:type="dxa"/>
            <w:gridSpan w:val="2"/>
            <w:shd w:val="clear" w:color="auto" w:fill="auto"/>
            <w:vAlign w:val="center"/>
          </w:tcPr>
          <w:p>
            <w:pPr>
              <w:jc w:val="center"/>
              <w:rPr>
                <w:rFonts w:hint="eastAsia" w:ascii="宋体" w:hAnsi="宋体" w:eastAsia="宋体" w:cs="宋体"/>
                <w:color w:val="auto"/>
                <w:highlight w:val="none"/>
              </w:rPr>
            </w:pPr>
          </w:p>
        </w:tc>
        <w:tc>
          <w:tcPr>
            <w:tcW w:w="1163" w:type="dxa"/>
            <w:shd w:val="clear" w:color="auto" w:fill="auto"/>
            <w:vAlign w:val="center"/>
          </w:tcPr>
          <w:p>
            <w:pPr>
              <w:jc w:val="center"/>
              <w:rPr>
                <w:rFonts w:hint="eastAsia" w:ascii="宋体" w:hAnsi="宋体" w:eastAsia="宋体" w:cs="宋体"/>
                <w:color w:val="auto"/>
                <w:highlight w:val="none"/>
              </w:rPr>
            </w:pPr>
          </w:p>
        </w:tc>
        <w:tc>
          <w:tcPr>
            <w:tcW w:w="1636" w:type="dxa"/>
            <w:gridSpan w:val="3"/>
            <w:shd w:val="clear" w:color="auto" w:fill="auto"/>
            <w:vAlign w:val="center"/>
          </w:tcPr>
          <w:p>
            <w:pPr>
              <w:jc w:val="center"/>
              <w:rPr>
                <w:rFonts w:hint="eastAsia" w:ascii="宋体" w:hAnsi="宋体" w:eastAsia="宋体" w:cs="宋体"/>
                <w:color w:val="auto"/>
                <w:highlight w:val="none"/>
              </w:rPr>
            </w:pPr>
          </w:p>
        </w:tc>
        <w:tc>
          <w:tcPr>
            <w:tcW w:w="1482" w:type="dxa"/>
            <w:gridSpan w:val="2"/>
            <w:shd w:val="clear" w:color="auto" w:fill="auto"/>
            <w:vAlign w:val="center"/>
          </w:tcPr>
          <w:p>
            <w:pPr>
              <w:jc w:val="center"/>
              <w:rPr>
                <w:rFonts w:hint="eastAsia" w:ascii="宋体" w:hAnsi="宋体" w:eastAsia="宋体" w:cs="宋体"/>
                <w:color w:val="auto"/>
                <w:highlight w:val="none"/>
              </w:rPr>
            </w:pPr>
          </w:p>
        </w:tc>
        <w:tc>
          <w:tcPr>
            <w:tcW w:w="22"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7" w:hRule="atLeast"/>
          <w:jc w:val="center"/>
        </w:trPr>
        <w:tc>
          <w:tcPr>
            <w:tcW w:w="1628" w:type="dxa"/>
            <w:shd w:val="clear" w:color="auto" w:fill="auto"/>
            <w:vAlign w:val="center"/>
          </w:tcPr>
          <w:p>
            <w:pPr>
              <w:jc w:val="center"/>
              <w:rPr>
                <w:rFonts w:hint="eastAsia" w:ascii="宋体" w:hAnsi="宋体" w:eastAsia="宋体" w:cs="宋体"/>
                <w:color w:val="auto"/>
                <w:highlight w:val="none"/>
                <w:lang w:eastAsia="en-US"/>
              </w:rPr>
            </w:pPr>
            <w:r>
              <w:rPr>
                <w:rFonts w:hint="eastAsia" w:ascii="宋体" w:hAnsi="宋体" w:eastAsia="宋体" w:cs="宋体"/>
                <w:color w:val="auto"/>
                <w:highlight w:val="none"/>
                <w:lang w:eastAsia="en-US"/>
              </w:rPr>
              <w:t>受奖情况</w:t>
            </w:r>
          </w:p>
        </w:tc>
        <w:tc>
          <w:tcPr>
            <w:tcW w:w="1548" w:type="dxa"/>
            <w:gridSpan w:val="3"/>
            <w:shd w:val="clear" w:color="auto" w:fill="auto"/>
            <w:vAlign w:val="center"/>
          </w:tcPr>
          <w:p>
            <w:pPr>
              <w:jc w:val="center"/>
              <w:rPr>
                <w:rFonts w:hint="eastAsia" w:ascii="宋体" w:hAnsi="宋体" w:eastAsia="宋体" w:cs="宋体"/>
                <w:color w:val="auto"/>
                <w:highlight w:val="none"/>
              </w:rPr>
            </w:pPr>
          </w:p>
        </w:tc>
        <w:tc>
          <w:tcPr>
            <w:tcW w:w="2144" w:type="dxa"/>
            <w:gridSpan w:val="2"/>
            <w:shd w:val="clear" w:color="auto" w:fill="auto"/>
            <w:vAlign w:val="center"/>
          </w:tcPr>
          <w:p>
            <w:pPr>
              <w:jc w:val="center"/>
              <w:rPr>
                <w:rFonts w:hint="eastAsia" w:ascii="宋体" w:hAnsi="宋体" w:eastAsia="宋体" w:cs="宋体"/>
                <w:color w:val="auto"/>
                <w:highlight w:val="none"/>
              </w:rPr>
            </w:pPr>
          </w:p>
        </w:tc>
        <w:tc>
          <w:tcPr>
            <w:tcW w:w="1163" w:type="dxa"/>
            <w:shd w:val="clear" w:color="auto" w:fill="auto"/>
            <w:vAlign w:val="center"/>
          </w:tcPr>
          <w:p>
            <w:pPr>
              <w:jc w:val="center"/>
              <w:rPr>
                <w:rFonts w:hint="eastAsia" w:ascii="宋体" w:hAnsi="宋体" w:eastAsia="宋体" w:cs="宋体"/>
                <w:color w:val="auto"/>
                <w:highlight w:val="none"/>
              </w:rPr>
            </w:pPr>
          </w:p>
        </w:tc>
        <w:tc>
          <w:tcPr>
            <w:tcW w:w="1636" w:type="dxa"/>
            <w:gridSpan w:val="3"/>
            <w:shd w:val="clear" w:color="auto" w:fill="auto"/>
            <w:vAlign w:val="center"/>
          </w:tcPr>
          <w:p>
            <w:pPr>
              <w:jc w:val="center"/>
              <w:rPr>
                <w:rFonts w:hint="eastAsia" w:ascii="宋体" w:hAnsi="宋体" w:eastAsia="宋体" w:cs="宋体"/>
                <w:color w:val="auto"/>
                <w:highlight w:val="none"/>
              </w:rPr>
            </w:pPr>
          </w:p>
        </w:tc>
        <w:tc>
          <w:tcPr>
            <w:tcW w:w="1482" w:type="dxa"/>
            <w:gridSpan w:val="2"/>
            <w:shd w:val="clear" w:color="auto" w:fill="auto"/>
            <w:vAlign w:val="center"/>
          </w:tcPr>
          <w:p>
            <w:pPr>
              <w:jc w:val="center"/>
              <w:rPr>
                <w:rFonts w:hint="eastAsia" w:ascii="宋体" w:hAnsi="宋体" w:eastAsia="宋体" w:cs="宋体"/>
                <w:color w:val="auto"/>
                <w:highlight w:val="none"/>
              </w:rPr>
            </w:pPr>
          </w:p>
        </w:tc>
        <w:tc>
          <w:tcPr>
            <w:tcW w:w="22" w:type="dxa"/>
            <w:tcBorders>
              <w:top w:val="nil"/>
              <w:bottom w:val="nil"/>
              <w:right w:val="nil"/>
            </w:tcBorders>
            <w:shd w:val="clear" w:color="auto" w:fill="auto"/>
            <w:vAlign w:val="center"/>
          </w:tcPr>
          <w:p>
            <w:pPr>
              <w:jc w:val="center"/>
              <w:rPr>
                <w:rFonts w:hint="eastAsia" w:ascii="宋体" w:hAnsi="宋体" w:eastAsia="宋体" w:cs="宋体"/>
                <w:color w:val="auto"/>
                <w:highlight w:val="none"/>
              </w:rPr>
            </w:pPr>
          </w:p>
        </w:tc>
      </w:tr>
    </w:tbl>
    <w:p>
      <w:pPr>
        <w:spacing w:line="360" w:lineRule="auto"/>
        <w:ind w:left="385"/>
        <w:rPr>
          <w:rFonts w:hint="eastAsia" w:ascii="宋体" w:hAnsi="宋体" w:eastAsia="宋体" w:cs="宋体"/>
          <w:color w:val="auto"/>
          <w:sz w:val="24"/>
          <w:highlight w:val="none"/>
        </w:rPr>
      </w:pPr>
      <w:r>
        <w:rPr>
          <w:rFonts w:hint="eastAsia" w:ascii="宋体" w:hAnsi="宋体" w:eastAsia="宋体" w:cs="宋体"/>
          <w:color w:val="auto"/>
          <w:spacing w:val="-13"/>
          <w:sz w:val="24"/>
          <w:highlight w:val="none"/>
        </w:rPr>
        <w:t>备注：</w:t>
      </w:r>
    </w:p>
    <w:p>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pacing w:val="-1"/>
          <w:sz w:val="24"/>
          <w:highlight w:val="none"/>
        </w:rPr>
        <w:t>1.供应商可以根据项目情况增减表格内容，项目数可以根据需要</w:t>
      </w:r>
      <w:r>
        <w:rPr>
          <w:rFonts w:hint="eastAsia" w:ascii="宋体" w:hAnsi="宋体" w:eastAsia="宋体" w:cs="宋体"/>
          <w:color w:val="auto"/>
          <w:spacing w:val="-2"/>
          <w:sz w:val="24"/>
          <w:highlight w:val="none"/>
        </w:rPr>
        <w:t>增加。</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3"/>
          <w:position w:val="19"/>
          <w:sz w:val="24"/>
          <w:highlight w:val="none"/>
        </w:rPr>
        <w:t>2.本表后附专职安全生产管理人员的学历证、安全生产考核合格证（C</w:t>
      </w:r>
      <w:r>
        <w:rPr>
          <w:rFonts w:hint="eastAsia" w:ascii="宋体" w:hAnsi="宋体" w:eastAsia="宋体" w:cs="宋体"/>
          <w:color w:val="auto"/>
          <w:spacing w:val="-34"/>
          <w:position w:val="19"/>
          <w:sz w:val="24"/>
          <w:highlight w:val="none"/>
        </w:rPr>
        <w:t xml:space="preserve"> </w:t>
      </w:r>
      <w:r>
        <w:rPr>
          <w:rFonts w:hint="eastAsia" w:ascii="宋体" w:hAnsi="宋体" w:eastAsia="宋体" w:cs="宋体"/>
          <w:color w:val="auto"/>
          <w:spacing w:val="-3"/>
          <w:position w:val="19"/>
          <w:sz w:val="24"/>
          <w:highlight w:val="none"/>
        </w:rPr>
        <w:t>类）、本表所列证书复印件</w:t>
      </w:r>
      <w:r>
        <w:rPr>
          <w:rFonts w:hint="eastAsia" w:ascii="宋体" w:hAnsi="宋体" w:eastAsia="宋体" w:cs="宋体"/>
          <w:color w:val="auto"/>
          <w:sz w:val="24"/>
          <w:szCs w:val="24"/>
          <w:highlight w:val="none"/>
        </w:rPr>
        <w:t xml:space="preserve">                        </w:t>
      </w: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磋商供应商名称(公章)： </w:t>
      </w: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pPr>
        <w:spacing w:line="360" w:lineRule="auto"/>
        <w:ind w:firstLine="960" w:firstLineChars="400"/>
        <w:rPr>
          <w:rFonts w:hint="eastAsia" w:ascii="宋体" w:hAnsi="宋体" w:eastAsia="宋体" w:cs="宋体"/>
          <w:b/>
          <w:bCs/>
          <w:color w:val="auto"/>
          <w:spacing w:val="9"/>
          <w:sz w:val="24"/>
          <w:highlight w:val="none"/>
        </w:rPr>
      </w:pPr>
      <w:r>
        <w:rPr>
          <w:rFonts w:hint="eastAsia" w:ascii="宋体" w:hAnsi="宋体" w:eastAsia="宋体" w:cs="宋体"/>
          <w:color w:val="auto"/>
          <w:sz w:val="24"/>
          <w:highlight w:val="none"/>
        </w:rPr>
        <w:t>日期：  年   月   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highlight w:val="none"/>
        </w:rPr>
        <w:br w:type="page"/>
      </w:r>
      <w:r>
        <w:rPr>
          <w:rFonts w:hint="eastAsia" w:ascii="宋体" w:hAnsi="宋体" w:eastAsia="宋体" w:cs="宋体"/>
          <w:b/>
          <w:bCs/>
          <w:color w:val="auto"/>
          <w:spacing w:val="9"/>
          <w:sz w:val="24"/>
          <w:highlight w:val="none"/>
        </w:rPr>
        <w:t>附件11</w:t>
      </w:r>
    </w:p>
    <w:p>
      <w:pPr>
        <w:spacing w:line="360" w:lineRule="auto"/>
        <w:ind w:left="2904"/>
        <w:rPr>
          <w:rFonts w:hint="eastAsia" w:ascii="宋体" w:hAnsi="宋体" w:eastAsia="宋体" w:cs="宋体"/>
          <w:b/>
          <w:bCs/>
          <w:color w:val="auto"/>
          <w:sz w:val="43"/>
          <w:szCs w:val="43"/>
          <w:highlight w:val="none"/>
        </w:rPr>
      </w:pPr>
      <w:r>
        <w:rPr>
          <w:rFonts w:hint="eastAsia" w:ascii="宋体" w:hAnsi="宋体" w:eastAsia="宋体" w:cs="宋体"/>
          <w:b/>
          <w:bCs/>
          <w:color w:val="auto"/>
          <w:spacing w:val="9"/>
          <w:sz w:val="43"/>
          <w:szCs w:val="43"/>
          <w:highlight w:val="none"/>
        </w:rPr>
        <w:t>拟分包项目情况表</w:t>
      </w:r>
    </w:p>
    <w:p>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auto"/>
          <w:kern w:val="0"/>
          <w:sz w:val="24"/>
          <w:highlight w:val="none"/>
        </w:rPr>
      </w:pPr>
    </w:p>
    <w:p>
      <w:pPr>
        <w:spacing w:line="360" w:lineRule="auto"/>
        <w:ind w:left="233"/>
        <w:rPr>
          <w:rFonts w:hint="eastAsia" w:ascii="宋体" w:hAnsi="宋体" w:eastAsia="宋体" w:cs="宋体"/>
          <w:color w:val="auto"/>
          <w:sz w:val="24"/>
          <w:highlight w:val="none"/>
        </w:rPr>
      </w:pPr>
      <w:r>
        <w:rPr>
          <w:rFonts w:hint="eastAsia" w:ascii="宋体" w:hAnsi="宋体" w:eastAsia="宋体" w:cs="宋体"/>
          <w:color w:val="auto"/>
          <w:spacing w:val="-27"/>
          <w:sz w:val="24"/>
          <w:highlight w:val="none"/>
        </w:rPr>
        <w:t>分标（如有）：</w:t>
      </w:r>
      <w:r>
        <w:rPr>
          <w:rFonts w:hint="eastAsia" w:ascii="宋体" w:hAnsi="宋体" w:eastAsia="宋体" w:cs="宋体"/>
          <w:color w:val="auto"/>
          <w:spacing w:val="55"/>
          <w:sz w:val="24"/>
          <w:highlight w:val="none"/>
        </w:rPr>
        <w:t xml:space="preserve"> </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p>
    <w:tbl>
      <w:tblPr>
        <w:tblStyle w:val="39"/>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tcPr>
          <w:p>
            <w:pPr>
              <w:kinsoku w:val="0"/>
              <w:autoSpaceDE w:val="0"/>
              <w:autoSpaceDN w:val="0"/>
              <w:adjustRightInd w:val="0"/>
              <w:snapToGrid w:val="0"/>
              <w:spacing w:line="360" w:lineRule="auto"/>
              <w:ind w:left="20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序</w:t>
            </w:r>
            <w:r>
              <w:rPr>
                <w:rFonts w:hint="eastAsia" w:ascii="宋体" w:hAnsi="宋体" w:eastAsia="宋体" w:cs="宋体"/>
                <w:snapToGrid w:val="0"/>
                <w:color w:val="auto"/>
                <w:spacing w:val="-6"/>
                <w:kern w:val="0"/>
                <w:sz w:val="24"/>
                <w:highlight w:val="none"/>
                <w:lang w:eastAsia="en-US"/>
              </w:rPr>
              <w:t xml:space="preserve"> </w:t>
            </w:r>
            <w:r>
              <w:rPr>
                <w:rFonts w:hint="eastAsia" w:ascii="宋体" w:hAnsi="宋体" w:eastAsia="宋体" w:cs="宋体"/>
                <w:snapToGrid w:val="0"/>
                <w:color w:val="auto"/>
                <w:spacing w:val="2"/>
                <w:kern w:val="0"/>
                <w:sz w:val="24"/>
                <w:highlight w:val="none"/>
                <w:lang w:eastAsia="en-US"/>
              </w:rPr>
              <w:t>号</w:t>
            </w:r>
          </w:p>
        </w:tc>
        <w:tc>
          <w:tcPr>
            <w:tcW w:w="1693" w:type="dxa"/>
            <w:vMerge w:val="restart"/>
            <w:tcBorders>
              <w:bottom w:val="nil"/>
            </w:tcBorders>
            <w:shd w:val="clear" w:color="auto" w:fill="auto"/>
          </w:tcPr>
          <w:p>
            <w:pPr>
              <w:kinsoku w:val="0"/>
              <w:autoSpaceDE w:val="0"/>
              <w:autoSpaceDN w:val="0"/>
              <w:adjustRightInd w:val="0"/>
              <w:snapToGrid w:val="0"/>
              <w:spacing w:line="360" w:lineRule="auto"/>
              <w:ind w:left="115" w:right="106" w:firstLine="106"/>
              <w:jc w:val="left"/>
              <w:textAlignment w:val="baseline"/>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pacing w:val="-1"/>
                <w:kern w:val="0"/>
                <w:sz w:val="24"/>
                <w:highlight w:val="none"/>
              </w:rPr>
              <w:t>拟分包项目名</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spacing w:val="-1"/>
                <w:kern w:val="0"/>
                <w:sz w:val="24"/>
                <w:highlight w:val="none"/>
              </w:rPr>
              <w:t>称、范围及理由</w:t>
            </w:r>
          </w:p>
        </w:tc>
        <w:tc>
          <w:tcPr>
            <w:tcW w:w="6376" w:type="dxa"/>
            <w:gridSpan w:val="6"/>
            <w:shd w:val="clear" w:color="auto" w:fill="auto"/>
          </w:tcPr>
          <w:p>
            <w:pPr>
              <w:kinsoku w:val="0"/>
              <w:autoSpaceDE w:val="0"/>
              <w:autoSpaceDN w:val="0"/>
              <w:adjustRightInd w:val="0"/>
              <w:snapToGrid w:val="0"/>
              <w:spacing w:line="360" w:lineRule="auto"/>
              <w:ind w:left="2668"/>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1"/>
                <w:kern w:val="0"/>
                <w:sz w:val="24"/>
                <w:highlight w:val="none"/>
                <w:lang w:eastAsia="en-US"/>
              </w:rPr>
              <w:t>拟选分包人</w:t>
            </w:r>
          </w:p>
        </w:tc>
        <w:tc>
          <w:tcPr>
            <w:tcW w:w="676" w:type="dxa"/>
            <w:vMerge w:val="restart"/>
            <w:tcBorders>
              <w:bottom w:val="nil"/>
            </w:tcBorders>
            <w:shd w:val="clear" w:color="auto" w:fill="auto"/>
          </w:tcPr>
          <w:p>
            <w:pPr>
              <w:spacing w:line="360" w:lineRule="auto"/>
              <w:rPr>
                <w:rFonts w:hint="eastAsia" w:ascii="宋体" w:hAnsi="宋体" w:eastAsia="宋体" w:cs="宋体"/>
                <w:color w:val="auto"/>
                <w:sz w:val="24"/>
                <w:highlight w:val="none"/>
              </w:rPr>
            </w:pPr>
          </w:p>
          <w:p>
            <w:pPr>
              <w:kinsoku w:val="0"/>
              <w:autoSpaceDE w:val="0"/>
              <w:autoSpaceDN w:val="0"/>
              <w:adjustRightInd w:val="0"/>
              <w:snapToGrid w:val="0"/>
              <w:spacing w:line="360" w:lineRule="auto"/>
              <w:ind w:left="13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pPr>
              <w:spacing w:line="360" w:lineRule="auto"/>
              <w:rPr>
                <w:rFonts w:hint="eastAsia" w:ascii="宋体" w:hAnsi="宋体" w:eastAsia="宋体" w:cs="宋体"/>
                <w:color w:val="auto"/>
                <w:sz w:val="24"/>
                <w:highlight w:val="none"/>
              </w:rPr>
            </w:pPr>
          </w:p>
        </w:tc>
        <w:tc>
          <w:tcPr>
            <w:tcW w:w="1693" w:type="dxa"/>
            <w:vMerge w:val="continue"/>
            <w:tcBorders>
              <w:top w:val="nil"/>
            </w:tcBorders>
            <w:shd w:val="clear" w:color="auto" w:fill="auto"/>
          </w:tcPr>
          <w:p>
            <w:pPr>
              <w:spacing w:line="360" w:lineRule="auto"/>
              <w:rPr>
                <w:rFonts w:hint="eastAsia" w:ascii="宋体" w:hAnsi="宋体" w:eastAsia="宋体" w:cs="宋体"/>
                <w:color w:val="auto"/>
                <w:sz w:val="24"/>
                <w:highlight w:val="none"/>
              </w:rPr>
            </w:pPr>
          </w:p>
        </w:tc>
        <w:tc>
          <w:tcPr>
            <w:tcW w:w="1698" w:type="dxa"/>
            <w:gridSpan w:val="2"/>
            <w:shd w:val="clear" w:color="auto" w:fill="auto"/>
          </w:tcPr>
          <w:p>
            <w:pPr>
              <w:kinsoku w:val="0"/>
              <w:autoSpaceDE w:val="0"/>
              <w:autoSpaceDN w:val="0"/>
              <w:adjustRightInd w:val="0"/>
              <w:snapToGrid w:val="0"/>
              <w:spacing w:line="360" w:lineRule="auto"/>
              <w:ind w:left="120"/>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1"/>
                <w:kern w:val="0"/>
                <w:sz w:val="24"/>
                <w:highlight w:val="none"/>
                <w:lang w:eastAsia="en-US"/>
              </w:rPr>
              <w:t>拟选分包人名称</w:t>
            </w:r>
          </w:p>
        </w:tc>
        <w:tc>
          <w:tcPr>
            <w:tcW w:w="1123" w:type="dxa"/>
            <w:shd w:val="clear" w:color="auto" w:fill="auto"/>
          </w:tcPr>
          <w:p>
            <w:pPr>
              <w:kinsoku w:val="0"/>
              <w:autoSpaceDE w:val="0"/>
              <w:autoSpaceDN w:val="0"/>
              <w:adjustRightInd w:val="0"/>
              <w:snapToGrid w:val="0"/>
              <w:spacing w:line="360" w:lineRule="auto"/>
              <w:ind w:left="150"/>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注册地点</w:t>
            </w:r>
          </w:p>
        </w:tc>
        <w:tc>
          <w:tcPr>
            <w:tcW w:w="1091" w:type="dxa"/>
            <w:shd w:val="clear" w:color="auto" w:fill="auto"/>
          </w:tcPr>
          <w:p>
            <w:pPr>
              <w:kinsoku w:val="0"/>
              <w:autoSpaceDE w:val="0"/>
              <w:autoSpaceDN w:val="0"/>
              <w:adjustRightInd w:val="0"/>
              <w:snapToGrid w:val="0"/>
              <w:spacing w:line="360" w:lineRule="auto"/>
              <w:ind w:left="136"/>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企业资质</w:t>
            </w:r>
          </w:p>
        </w:tc>
        <w:tc>
          <w:tcPr>
            <w:tcW w:w="1195" w:type="dxa"/>
            <w:shd w:val="clear" w:color="auto" w:fill="auto"/>
          </w:tcPr>
          <w:p>
            <w:pPr>
              <w:kinsoku w:val="0"/>
              <w:autoSpaceDE w:val="0"/>
              <w:autoSpaceDN w:val="0"/>
              <w:adjustRightInd w:val="0"/>
              <w:snapToGrid w:val="0"/>
              <w:spacing w:line="360" w:lineRule="auto"/>
              <w:ind w:left="18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有关业绩</w:t>
            </w:r>
          </w:p>
        </w:tc>
        <w:tc>
          <w:tcPr>
            <w:tcW w:w="1269" w:type="dxa"/>
            <w:shd w:val="clear" w:color="auto" w:fill="auto"/>
          </w:tcPr>
          <w:p>
            <w:pPr>
              <w:kinsoku w:val="0"/>
              <w:autoSpaceDE w:val="0"/>
              <w:autoSpaceDN w:val="0"/>
              <w:adjustRightInd w:val="0"/>
              <w:snapToGrid w:val="0"/>
              <w:spacing w:line="360" w:lineRule="auto"/>
              <w:ind w:left="117"/>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1"/>
                <w:kern w:val="0"/>
                <w:sz w:val="24"/>
                <w:highlight w:val="none"/>
                <w:lang w:eastAsia="en-US"/>
              </w:rPr>
              <w:t>拟分包金额</w:t>
            </w:r>
          </w:p>
        </w:tc>
        <w:tc>
          <w:tcPr>
            <w:tcW w:w="676" w:type="dxa"/>
            <w:vMerge w:val="continue"/>
            <w:tcBorders>
              <w:top w:val="nil"/>
            </w:tcBorders>
            <w:shd w:val="clear" w:color="auto" w:fill="auto"/>
          </w:tcPr>
          <w:p>
            <w:pPr>
              <w:spacing w:line="360" w:lineRule="auto"/>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pPr>
              <w:spacing w:line="360" w:lineRule="auto"/>
              <w:rPr>
                <w:rFonts w:hint="eastAsia" w:ascii="宋体" w:hAnsi="宋体" w:eastAsia="宋体" w:cs="宋体"/>
                <w:color w:val="auto"/>
                <w:sz w:val="24"/>
                <w:highlight w:val="none"/>
              </w:rPr>
            </w:pPr>
          </w:p>
        </w:tc>
        <w:tc>
          <w:tcPr>
            <w:tcW w:w="1693" w:type="dxa"/>
            <w:vMerge w:val="restart"/>
            <w:tcBorders>
              <w:bottom w:val="nil"/>
            </w:tcBorders>
            <w:shd w:val="clear" w:color="auto" w:fill="auto"/>
          </w:tcPr>
          <w:p>
            <w:pPr>
              <w:spacing w:line="360" w:lineRule="auto"/>
              <w:rPr>
                <w:rFonts w:hint="eastAsia" w:ascii="宋体" w:hAnsi="宋体" w:eastAsia="宋体" w:cs="宋体"/>
                <w:color w:val="auto"/>
                <w:sz w:val="24"/>
                <w:highlight w:val="none"/>
              </w:rPr>
            </w:pPr>
          </w:p>
        </w:tc>
        <w:tc>
          <w:tcPr>
            <w:tcW w:w="751" w:type="dxa"/>
            <w:shd w:val="clear" w:color="auto" w:fill="auto"/>
          </w:tcPr>
          <w:p>
            <w:pPr>
              <w:spacing w:line="360" w:lineRule="auto"/>
              <w:ind w:left="342"/>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947" w:type="dxa"/>
            <w:shd w:val="clear" w:color="auto" w:fill="auto"/>
          </w:tcPr>
          <w:p>
            <w:pPr>
              <w:spacing w:line="360" w:lineRule="auto"/>
              <w:rPr>
                <w:rFonts w:hint="eastAsia" w:ascii="宋体" w:hAnsi="宋体" w:eastAsia="宋体" w:cs="宋体"/>
                <w:color w:val="auto"/>
                <w:sz w:val="24"/>
                <w:highlight w:val="none"/>
              </w:rPr>
            </w:pPr>
          </w:p>
        </w:tc>
        <w:tc>
          <w:tcPr>
            <w:tcW w:w="1123" w:type="dxa"/>
            <w:shd w:val="clear" w:color="auto" w:fill="auto"/>
          </w:tcPr>
          <w:p>
            <w:pPr>
              <w:spacing w:line="360" w:lineRule="auto"/>
              <w:rPr>
                <w:rFonts w:hint="eastAsia" w:ascii="宋体" w:hAnsi="宋体" w:eastAsia="宋体" w:cs="宋体"/>
                <w:color w:val="auto"/>
                <w:sz w:val="24"/>
                <w:highlight w:val="none"/>
              </w:rPr>
            </w:pPr>
          </w:p>
        </w:tc>
        <w:tc>
          <w:tcPr>
            <w:tcW w:w="1091" w:type="dxa"/>
            <w:shd w:val="clear" w:color="auto" w:fill="auto"/>
          </w:tcPr>
          <w:p>
            <w:pPr>
              <w:spacing w:line="360" w:lineRule="auto"/>
              <w:rPr>
                <w:rFonts w:hint="eastAsia" w:ascii="宋体" w:hAnsi="宋体" w:eastAsia="宋体" w:cs="宋体"/>
                <w:color w:val="auto"/>
                <w:sz w:val="24"/>
                <w:highlight w:val="none"/>
              </w:rPr>
            </w:pPr>
          </w:p>
        </w:tc>
        <w:tc>
          <w:tcPr>
            <w:tcW w:w="1195" w:type="dxa"/>
            <w:shd w:val="clear" w:color="auto" w:fill="auto"/>
          </w:tcPr>
          <w:p>
            <w:pPr>
              <w:spacing w:line="360" w:lineRule="auto"/>
              <w:rPr>
                <w:rFonts w:hint="eastAsia" w:ascii="宋体" w:hAnsi="宋体" w:eastAsia="宋体" w:cs="宋体"/>
                <w:color w:val="auto"/>
                <w:sz w:val="24"/>
                <w:highlight w:val="none"/>
              </w:rPr>
            </w:pPr>
          </w:p>
        </w:tc>
        <w:tc>
          <w:tcPr>
            <w:tcW w:w="1269" w:type="dxa"/>
            <w:shd w:val="clear" w:color="auto" w:fill="auto"/>
          </w:tcPr>
          <w:p>
            <w:pPr>
              <w:spacing w:line="360" w:lineRule="auto"/>
              <w:rPr>
                <w:rFonts w:hint="eastAsia" w:ascii="宋体" w:hAnsi="宋体" w:eastAsia="宋体" w:cs="宋体"/>
                <w:color w:val="auto"/>
                <w:sz w:val="24"/>
                <w:highlight w:val="none"/>
              </w:rPr>
            </w:pPr>
          </w:p>
        </w:tc>
        <w:tc>
          <w:tcPr>
            <w:tcW w:w="676" w:type="dxa"/>
            <w:shd w:val="clear" w:color="auto" w:fill="auto"/>
          </w:tcPr>
          <w:p>
            <w:pPr>
              <w:spacing w:line="360" w:lineRule="auto"/>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pPr>
              <w:spacing w:line="360" w:lineRule="auto"/>
              <w:rPr>
                <w:rFonts w:hint="eastAsia" w:ascii="宋体" w:hAnsi="宋体" w:eastAsia="宋体" w:cs="宋体"/>
                <w:color w:val="auto"/>
                <w:sz w:val="24"/>
                <w:highlight w:val="none"/>
              </w:rPr>
            </w:pPr>
          </w:p>
        </w:tc>
        <w:tc>
          <w:tcPr>
            <w:tcW w:w="1693" w:type="dxa"/>
            <w:vMerge w:val="continue"/>
            <w:tcBorders>
              <w:top w:val="nil"/>
              <w:bottom w:val="nil"/>
            </w:tcBorders>
            <w:shd w:val="clear" w:color="auto" w:fill="auto"/>
          </w:tcPr>
          <w:p>
            <w:pPr>
              <w:spacing w:line="360" w:lineRule="auto"/>
              <w:rPr>
                <w:rFonts w:hint="eastAsia" w:ascii="宋体" w:hAnsi="宋体" w:eastAsia="宋体" w:cs="宋体"/>
                <w:color w:val="auto"/>
                <w:sz w:val="24"/>
                <w:highlight w:val="none"/>
              </w:rPr>
            </w:pPr>
          </w:p>
        </w:tc>
        <w:tc>
          <w:tcPr>
            <w:tcW w:w="751" w:type="dxa"/>
            <w:shd w:val="clear" w:color="auto" w:fill="auto"/>
          </w:tcPr>
          <w:p>
            <w:pPr>
              <w:spacing w:line="360" w:lineRule="auto"/>
              <w:ind w:left="322"/>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947" w:type="dxa"/>
            <w:shd w:val="clear" w:color="auto" w:fill="auto"/>
          </w:tcPr>
          <w:p>
            <w:pPr>
              <w:spacing w:line="360" w:lineRule="auto"/>
              <w:rPr>
                <w:rFonts w:hint="eastAsia" w:ascii="宋体" w:hAnsi="宋体" w:eastAsia="宋体" w:cs="宋体"/>
                <w:color w:val="auto"/>
                <w:sz w:val="24"/>
                <w:highlight w:val="none"/>
              </w:rPr>
            </w:pPr>
          </w:p>
        </w:tc>
        <w:tc>
          <w:tcPr>
            <w:tcW w:w="1123" w:type="dxa"/>
            <w:shd w:val="clear" w:color="auto" w:fill="auto"/>
          </w:tcPr>
          <w:p>
            <w:pPr>
              <w:spacing w:line="360" w:lineRule="auto"/>
              <w:rPr>
                <w:rFonts w:hint="eastAsia" w:ascii="宋体" w:hAnsi="宋体" w:eastAsia="宋体" w:cs="宋体"/>
                <w:color w:val="auto"/>
                <w:sz w:val="24"/>
                <w:highlight w:val="none"/>
              </w:rPr>
            </w:pPr>
          </w:p>
        </w:tc>
        <w:tc>
          <w:tcPr>
            <w:tcW w:w="1091" w:type="dxa"/>
            <w:shd w:val="clear" w:color="auto" w:fill="auto"/>
          </w:tcPr>
          <w:p>
            <w:pPr>
              <w:spacing w:line="360" w:lineRule="auto"/>
              <w:rPr>
                <w:rFonts w:hint="eastAsia" w:ascii="宋体" w:hAnsi="宋体" w:eastAsia="宋体" w:cs="宋体"/>
                <w:color w:val="auto"/>
                <w:sz w:val="24"/>
                <w:highlight w:val="none"/>
              </w:rPr>
            </w:pPr>
          </w:p>
        </w:tc>
        <w:tc>
          <w:tcPr>
            <w:tcW w:w="1195" w:type="dxa"/>
            <w:shd w:val="clear" w:color="auto" w:fill="auto"/>
          </w:tcPr>
          <w:p>
            <w:pPr>
              <w:spacing w:line="360" w:lineRule="auto"/>
              <w:rPr>
                <w:rFonts w:hint="eastAsia" w:ascii="宋体" w:hAnsi="宋体" w:eastAsia="宋体" w:cs="宋体"/>
                <w:color w:val="auto"/>
                <w:sz w:val="24"/>
                <w:highlight w:val="none"/>
              </w:rPr>
            </w:pPr>
          </w:p>
        </w:tc>
        <w:tc>
          <w:tcPr>
            <w:tcW w:w="1269" w:type="dxa"/>
            <w:shd w:val="clear" w:color="auto" w:fill="auto"/>
          </w:tcPr>
          <w:p>
            <w:pPr>
              <w:spacing w:line="360" w:lineRule="auto"/>
              <w:rPr>
                <w:rFonts w:hint="eastAsia" w:ascii="宋体" w:hAnsi="宋体" w:eastAsia="宋体" w:cs="宋体"/>
                <w:color w:val="auto"/>
                <w:sz w:val="24"/>
                <w:highlight w:val="none"/>
              </w:rPr>
            </w:pPr>
          </w:p>
        </w:tc>
        <w:tc>
          <w:tcPr>
            <w:tcW w:w="676" w:type="dxa"/>
            <w:shd w:val="clear" w:color="auto" w:fill="auto"/>
          </w:tcPr>
          <w:p>
            <w:pPr>
              <w:spacing w:line="360" w:lineRule="auto"/>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pPr>
              <w:spacing w:line="360" w:lineRule="auto"/>
              <w:rPr>
                <w:rFonts w:hint="eastAsia" w:ascii="宋体" w:hAnsi="宋体" w:eastAsia="宋体" w:cs="宋体"/>
                <w:color w:val="auto"/>
                <w:sz w:val="24"/>
                <w:highlight w:val="none"/>
              </w:rPr>
            </w:pPr>
          </w:p>
        </w:tc>
        <w:tc>
          <w:tcPr>
            <w:tcW w:w="1693" w:type="dxa"/>
            <w:vMerge w:val="continue"/>
            <w:tcBorders>
              <w:top w:val="nil"/>
            </w:tcBorders>
            <w:shd w:val="clear" w:color="auto" w:fill="auto"/>
          </w:tcPr>
          <w:p>
            <w:pPr>
              <w:spacing w:line="360" w:lineRule="auto"/>
              <w:rPr>
                <w:rFonts w:hint="eastAsia" w:ascii="宋体" w:hAnsi="宋体" w:eastAsia="宋体" w:cs="宋体"/>
                <w:color w:val="auto"/>
                <w:sz w:val="24"/>
                <w:highlight w:val="none"/>
              </w:rPr>
            </w:pPr>
          </w:p>
        </w:tc>
        <w:tc>
          <w:tcPr>
            <w:tcW w:w="751" w:type="dxa"/>
            <w:shd w:val="clear" w:color="auto" w:fill="auto"/>
          </w:tcPr>
          <w:p>
            <w:pPr>
              <w:spacing w:line="360" w:lineRule="auto"/>
              <w:ind w:left="326"/>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947" w:type="dxa"/>
            <w:shd w:val="clear" w:color="auto" w:fill="auto"/>
          </w:tcPr>
          <w:p>
            <w:pPr>
              <w:spacing w:line="360" w:lineRule="auto"/>
              <w:rPr>
                <w:rFonts w:hint="eastAsia" w:ascii="宋体" w:hAnsi="宋体" w:eastAsia="宋体" w:cs="宋体"/>
                <w:color w:val="auto"/>
                <w:sz w:val="24"/>
                <w:highlight w:val="none"/>
              </w:rPr>
            </w:pPr>
          </w:p>
        </w:tc>
        <w:tc>
          <w:tcPr>
            <w:tcW w:w="1123" w:type="dxa"/>
            <w:shd w:val="clear" w:color="auto" w:fill="auto"/>
          </w:tcPr>
          <w:p>
            <w:pPr>
              <w:spacing w:line="360" w:lineRule="auto"/>
              <w:rPr>
                <w:rFonts w:hint="eastAsia" w:ascii="宋体" w:hAnsi="宋体" w:eastAsia="宋体" w:cs="宋体"/>
                <w:color w:val="auto"/>
                <w:sz w:val="24"/>
                <w:highlight w:val="none"/>
              </w:rPr>
            </w:pPr>
          </w:p>
        </w:tc>
        <w:tc>
          <w:tcPr>
            <w:tcW w:w="1091" w:type="dxa"/>
            <w:shd w:val="clear" w:color="auto" w:fill="auto"/>
          </w:tcPr>
          <w:p>
            <w:pPr>
              <w:spacing w:line="360" w:lineRule="auto"/>
              <w:rPr>
                <w:rFonts w:hint="eastAsia" w:ascii="宋体" w:hAnsi="宋体" w:eastAsia="宋体" w:cs="宋体"/>
                <w:color w:val="auto"/>
                <w:sz w:val="24"/>
                <w:highlight w:val="none"/>
              </w:rPr>
            </w:pPr>
          </w:p>
        </w:tc>
        <w:tc>
          <w:tcPr>
            <w:tcW w:w="1195" w:type="dxa"/>
            <w:shd w:val="clear" w:color="auto" w:fill="auto"/>
          </w:tcPr>
          <w:p>
            <w:pPr>
              <w:spacing w:line="360" w:lineRule="auto"/>
              <w:rPr>
                <w:rFonts w:hint="eastAsia" w:ascii="宋体" w:hAnsi="宋体" w:eastAsia="宋体" w:cs="宋体"/>
                <w:color w:val="auto"/>
                <w:sz w:val="24"/>
                <w:highlight w:val="none"/>
              </w:rPr>
            </w:pPr>
          </w:p>
        </w:tc>
        <w:tc>
          <w:tcPr>
            <w:tcW w:w="1269" w:type="dxa"/>
            <w:shd w:val="clear" w:color="auto" w:fill="auto"/>
          </w:tcPr>
          <w:p>
            <w:pPr>
              <w:spacing w:line="360" w:lineRule="auto"/>
              <w:rPr>
                <w:rFonts w:hint="eastAsia" w:ascii="宋体" w:hAnsi="宋体" w:eastAsia="宋体" w:cs="宋体"/>
                <w:color w:val="auto"/>
                <w:sz w:val="24"/>
                <w:highlight w:val="none"/>
              </w:rPr>
            </w:pPr>
          </w:p>
        </w:tc>
        <w:tc>
          <w:tcPr>
            <w:tcW w:w="676" w:type="dxa"/>
            <w:shd w:val="clear" w:color="auto" w:fill="auto"/>
          </w:tcPr>
          <w:p>
            <w:pPr>
              <w:spacing w:line="360" w:lineRule="auto"/>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pPr>
              <w:spacing w:line="360" w:lineRule="auto"/>
              <w:rPr>
                <w:rFonts w:hint="eastAsia" w:ascii="宋体" w:hAnsi="宋体" w:eastAsia="宋体" w:cs="宋体"/>
                <w:color w:val="auto"/>
                <w:sz w:val="24"/>
                <w:highlight w:val="none"/>
              </w:rPr>
            </w:pPr>
          </w:p>
        </w:tc>
        <w:tc>
          <w:tcPr>
            <w:tcW w:w="1693" w:type="dxa"/>
            <w:vMerge w:val="restart"/>
            <w:tcBorders>
              <w:bottom w:val="nil"/>
            </w:tcBorders>
            <w:shd w:val="clear" w:color="auto" w:fill="auto"/>
          </w:tcPr>
          <w:p>
            <w:pPr>
              <w:spacing w:line="360" w:lineRule="auto"/>
              <w:rPr>
                <w:rFonts w:hint="eastAsia" w:ascii="宋体" w:hAnsi="宋体" w:eastAsia="宋体" w:cs="宋体"/>
                <w:color w:val="auto"/>
                <w:sz w:val="24"/>
                <w:highlight w:val="none"/>
              </w:rPr>
            </w:pPr>
          </w:p>
        </w:tc>
        <w:tc>
          <w:tcPr>
            <w:tcW w:w="751" w:type="dxa"/>
            <w:shd w:val="clear" w:color="auto" w:fill="auto"/>
          </w:tcPr>
          <w:p>
            <w:pPr>
              <w:spacing w:line="360" w:lineRule="auto"/>
              <w:ind w:left="342"/>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947" w:type="dxa"/>
            <w:shd w:val="clear" w:color="auto" w:fill="auto"/>
          </w:tcPr>
          <w:p>
            <w:pPr>
              <w:spacing w:line="360" w:lineRule="auto"/>
              <w:rPr>
                <w:rFonts w:hint="eastAsia" w:ascii="宋体" w:hAnsi="宋体" w:eastAsia="宋体" w:cs="宋体"/>
                <w:color w:val="auto"/>
                <w:sz w:val="24"/>
                <w:highlight w:val="none"/>
              </w:rPr>
            </w:pPr>
          </w:p>
        </w:tc>
        <w:tc>
          <w:tcPr>
            <w:tcW w:w="1123" w:type="dxa"/>
            <w:shd w:val="clear" w:color="auto" w:fill="auto"/>
          </w:tcPr>
          <w:p>
            <w:pPr>
              <w:spacing w:line="360" w:lineRule="auto"/>
              <w:rPr>
                <w:rFonts w:hint="eastAsia" w:ascii="宋体" w:hAnsi="宋体" w:eastAsia="宋体" w:cs="宋体"/>
                <w:color w:val="auto"/>
                <w:sz w:val="24"/>
                <w:highlight w:val="none"/>
              </w:rPr>
            </w:pPr>
          </w:p>
        </w:tc>
        <w:tc>
          <w:tcPr>
            <w:tcW w:w="1091" w:type="dxa"/>
            <w:shd w:val="clear" w:color="auto" w:fill="auto"/>
          </w:tcPr>
          <w:p>
            <w:pPr>
              <w:spacing w:line="360" w:lineRule="auto"/>
              <w:rPr>
                <w:rFonts w:hint="eastAsia" w:ascii="宋体" w:hAnsi="宋体" w:eastAsia="宋体" w:cs="宋体"/>
                <w:color w:val="auto"/>
                <w:sz w:val="24"/>
                <w:highlight w:val="none"/>
              </w:rPr>
            </w:pPr>
          </w:p>
        </w:tc>
        <w:tc>
          <w:tcPr>
            <w:tcW w:w="1195" w:type="dxa"/>
            <w:shd w:val="clear" w:color="auto" w:fill="auto"/>
          </w:tcPr>
          <w:p>
            <w:pPr>
              <w:spacing w:line="360" w:lineRule="auto"/>
              <w:rPr>
                <w:rFonts w:hint="eastAsia" w:ascii="宋体" w:hAnsi="宋体" w:eastAsia="宋体" w:cs="宋体"/>
                <w:color w:val="auto"/>
                <w:sz w:val="24"/>
                <w:highlight w:val="none"/>
              </w:rPr>
            </w:pPr>
          </w:p>
        </w:tc>
        <w:tc>
          <w:tcPr>
            <w:tcW w:w="1269" w:type="dxa"/>
            <w:shd w:val="clear" w:color="auto" w:fill="auto"/>
          </w:tcPr>
          <w:p>
            <w:pPr>
              <w:spacing w:line="360" w:lineRule="auto"/>
              <w:rPr>
                <w:rFonts w:hint="eastAsia" w:ascii="宋体" w:hAnsi="宋体" w:eastAsia="宋体" w:cs="宋体"/>
                <w:color w:val="auto"/>
                <w:sz w:val="24"/>
                <w:highlight w:val="none"/>
              </w:rPr>
            </w:pPr>
          </w:p>
        </w:tc>
        <w:tc>
          <w:tcPr>
            <w:tcW w:w="676" w:type="dxa"/>
            <w:shd w:val="clear" w:color="auto" w:fill="auto"/>
          </w:tcPr>
          <w:p>
            <w:pPr>
              <w:spacing w:line="360" w:lineRule="auto"/>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pPr>
              <w:spacing w:line="360" w:lineRule="auto"/>
              <w:rPr>
                <w:rFonts w:hint="eastAsia" w:ascii="宋体" w:hAnsi="宋体" w:eastAsia="宋体" w:cs="宋体"/>
                <w:color w:val="auto"/>
                <w:sz w:val="24"/>
                <w:highlight w:val="none"/>
              </w:rPr>
            </w:pPr>
          </w:p>
        </w:tc>
        <w:tc>
          <w:tcPr>
            <w:tcW w:w="1693" w:type="dxa"/>
            <w:vMerge w:val="continue"/>
            <w:tcBorders>
              <w:top w:val="nil"/>
              <w:bottom w:val="nil"/>
            </w:tcBorders>
            <w:shd w:val="clear" w:color="auto" w:fill="auto"/>
          </w:tcPr>
          <w:p>
            <w:pPr>
              <w:spacing w:line="360" w:lineRule="auto"/>
              <w:rPr>
                <w:rFonts w:hint="eastAsia" w:ascii="宋体" w:hAnsi="宋体" w:eastAsia="宋体" w:cs="宋体"/>
                <w:color w:val="auto"/>
                <w:sz w:val="24"/>
                <w:highlight w:val="none"/>
              </w:rPr>
            </w:pPr>
          </w:p>
        </w:tc>
        <w:tc>
          <w:tcPr>
            <w:tcW w:w="751" w:type="dxa"/>
            <w:shd w:val="clear" w:color="auto" w:fill="auto"/>
          </w:tcPr>
          <w:p>
            <w:pPr>
              <w:spacing w:line="360" w:lineRule="auto"/>
              <w:ind w:left="322"/>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947" w:type="dxa"/>
            <w:shd w:val="clear" w:color="auto" w:fill="auto"/>
          </w:tcPr>
          <w:p>
            <w:pPr>
              <w:spacing w:line="360" w:lineRule="auto"/>
              <w:rPr>
                <w:rFonts w:hint="eastAsia" w:ascii="宋体" w:hAnsi="宋体" w:eastAsia="宋体" w:cs="宋体"/>
                <w:color w:val="auto"/>
                <w:sz w:val="24"/>
                <w:highlight w:val="none"/>
              </w:rPr>
            </w:pPr>
          </w:p>
        </w:tc>
        <w:tc>
          <w:tcPr>
            <w:tcW w:w="1123" w:type="dxa"/>
            <w:shd w:val="clear" w:color="auto" w:fill="auto"/>
          </w:tcPr>
          <w:p>
            <w:pPr>
              <w:spacing w:line="360" w:lineRule="auto"/>
              <w:rPr>
                <w:rFonts w:hint="eastAsia" w:ascii="宋体" w:hAnsi="宋体" w:eastAsia="宋体" w:cs="宋体"/>
                <w:color w:val="auto"/>
                <w:sz w:val="24"/>
                <w:highlight w:val="none"/>
              </w:rPr>
            </w:pPr>
          </w:p>
        </w:tc>
        <w:tc>
          <w:tcPr>
            <w:tcW w:w="1091" w:type="dxa"/>
            <w:shd w:val="clear" w:color="auto" w:fill="auto"/>
          </w:tcPr>
          <w:p>
            <w:pPr>
              <w:spacing w:line="360" w:lineRule="auto"/>
              <w:rPr>
                <w:rFonts w:hint="eastAsia" w:ascii="宋体" w:hAnsi="宋体" w:eastAsia="宋体" w:cs="宋体"/>
                <w:color w:val="auto"/>
                <w:sz w:val="24"/>
                <w:highlight w:val="none"/>
              </w:rPr>
            </w:pPr>
          </w:p>
        </w:tc>
        <w:tc>
          <w:tcPr>
            <w:tcW w:w="1195" w:type="dxa"/>
            <w:shd w:val="clear" w:color="auto" w:fill="auto"/>
          </w:tcPr>
          <w:p>
            <w:pPr>
              <w:spacing w:line="360" w:lineRule="auto"/>
              <w:rPr>
                <w:rFonts w:hint="eastAsia" w:ascii="宋体" w:hAnsi="宋体" w:eastAsia="宋体" w:cs="宋体"/>
                <w:color w:val="auto"/>
                <w:sz w:val="24"/>
                <w:highlight w:val="none"/>
              </w:rPr>
            </w:pPr>
          </w:p>
        </w:tc>
        <w:tc>
          <w:tcPr>
            <w:tcW w:w="1269" w:type="dxa"/>
            <w:shd w:val="clear" w:color="auto" w:fill="auto"/>
          </w:tcPr>
          <w:p>
            <w:pPr>
              <w:spacing w:line="360" w:lineRule="auto"/>
              <w:rPr>
                <w:rFonts w:hint="eastAsia" w:ascii="宋体" w:hAnsi="宋体" w:eastAsia="宋体" w:cs="宋体"/>
                <w:color w:val="auto"/>
                <w:sz w:val="24"/>
                <w:highlight w:val="none"/>
              </w:rPr>
            </w:pPr>
          </w:p>
        </w:tc>
        <w:tc>
          <w:tcPr>
            <w:tcW w:w="676" w:type="dxa"/>
            <w:shd w:val="clear" w:color="auto" w:fill="auto"/>
          </w:tcPr>
          <w:p>
            <w:pPr>
              <w:spacing w:line="360" w:lineRule="auto"/>
              <w:rPr>
                <w:rFonts w:hint="eastAsia" w:ascii="宋体" w:hAnsi="宋体" w:eastAsia="宋体" w:cs="宋体"/>
                <w:color w:val="auto"/>
                <w:sz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pPr>
              <w:spacing w:line="360" w:lineRule="auto"/>
              <w:rPr>
                <w:rFonts w:hint="eastAsia" w:ascii="宋体" w:hAnsi="宋体" w:eastAsia="宋体" w:cs="宋体"/>
                <w:color w:val="auto"/>
                <w:sz w:val="24"/>
                <w:highlight w:val="none"/>
              </w:rPr>
            </w:pPr>
          </w:p>
        </w:tc>
        <w:tc>
          <w:tcPr>
            <w:tcW w:w="1693" w:type="dxa"/>
            <w:vMerge w:val="continue"/>
            <w:tcBorders>
              <w:top w:val="nil"/>
            </w:tcBorders>
            <w:shd w:val="clear" w:color="auto" w:fill="auto"/>
          </w:tcPr>
          <w:p>
            <w:pPr>
              <w:spacing w:line="360" w:lineRule="auto"/>
              <w:rPr>
                <w:rFonts w:hint="eastAsia" w:ascii="宋体" w:hAnsi="宋体" w:eastAsia="宋体" w:cs="宋体"/>
                <w:color w:val="auto"/>
                <w:sz w:val="24"/>
                <w:highlight w:val="none"/>
              </w:rPr>
            </w:pPr>
          </w:p>
        </w:tc>
        <w:tc>
          <w:tcPr>
            <w:tcW w:w="751" w:type="dxa"/>
            <w:shd w:val="clear" w:color="auto" w:fill="auto"/>
          </w:tcPr>
          <w:p>
            <w:pPr>
              <w:spacing w:line="360" w:lineRule="auto"/>
              <w:ind w:left="326"/>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947" w:type="dxa"/>
            <w:shd w:val="clear" w:color="auto" w:fill="auto"/>
          </w:tcPr>
          <w:p>
            <w:pPr>
              <w:spacing w:line="360" w:lineRule="auto"/>
              <w:rPr>
                <w:rFonts w:hint="eastAsia" w:ascii="宋体" w:hAnsi="宋体" w:eastAsia="宋体" w:cs="宋体"/>
                <w:color w:val="auto"/>
                <w:sz w:val="24"/>
                <w:highlight w:val="none"/>
              </w:rPr>
            </w:pPr>
          </w:p>
        </w:tc>
        <w:tc>
          <w:tcPr>
            <w:tcW w:w="1123" w:type="dxa"/>
            <w:shd w:val="clear" w:color="auto" w:fill="auto"/>
          </w:tcPr>
          <w:p>
            <w:pPr>
              <w:spacing w:line="360" w:lineRule="auto"/>
              <w:rPr>
                <w:rFonts w:hint="eastAsia" w:ascii="宋体" w:hAnsi="宋体" w:eastAsia="宋体" w:cs="宋体"/>
                <w:color w:val="auto"/>
                <w:sz w:val="24"/>
                <w:highlight w:val="none"/>
              </w:rPr>
            </w:pPr>
          </w:p>
        </w:tc>
        <w:tc>
          <w:tcPr>
            <w:tcW w:w="1091" w:type="dxa"/>
            <w:shd w:val="clear" w:color="auto" w:fill="auto"/>
          </w:tcPr>
          <w:p>
            <w:pPr>
              <w:spacing w:line="360" w:lineRule="auto"/>
              <w:rPr>
                <w:rFonts w:hint="eastAsia" w:ascii="宋体" w:hAnsi="宋体" w:eastAsia="宋体" w:cs="宋体"/>
                <w:color w:val="auto"/>
                <w:sz w:val="24"/>
                <w:highlight w:val="none"/>
              </w:rPr>
            </w:pPr>
          </w:p>
        </w:tc>
        <w:tc>
          <w:tcPr>
            <w:tcW w:w="1195" w:type="dxa"/>
            <w:shd w:val="clear" w:color="auto" w:fill="auto"/>
          </w:tcPr>
          <w:p>
            <w:pPr>
              <w:spacing w:line="360" w:lineRule="auto"/>
              <w:rPr>
                <w:rFonts w:hint="eastAsia" w:ascii="宋体" w:hAnsi="宋体" w:eastAsia="宋体" w:cs="宋体"/>
                <w:color w:val="auto"/>
                <w:sz w:val="24"/>
                <w:highlight w:val="none"/>
              </w:rPr>
            </w:pPr>
          </w:p>
        </w:tc>
        <w:tc>
          <w:tcPr>
            <w:tcW w:w="1269" w:type="dxa"/>
            <w:shd w:val="clear" w:color="auto" w:fill="auto"/>
          </w:tcPr>
          <w:p>
            <w:pPr>
              <w:spacing w:line="360" w:lineRule="auto"/>
              <w:rPr>
                <w:rFonts w:hint="eastAsia" w:ascii="宋体" w:hAnsi="宋体" w:eastAsia="宋体" w:cs="宋体"/>
                <w:color w:val="auto"/>
                <w:sz w:val="24"/>
                <w:highlight w:val="none"/>
              </w:rPr>
            </w:pPr>
          </w:p>
        </w:tc>
        <w:tc>
          <w:tcPr>
            <w:tcW w:w="676" w:type="dxa"/>
            <w:shd w:val="clear" w:color="auto" w:fill="auto"/>
          </w:tcPr>
          <w:p>
            <w:pPr>
              <w:spacing w:line="360" w:lineRule="auto"/>
              <w:rPr>
                <w:rFonts w:hint="eastAsia" w:ascii="宋体" w:hAnsi="宋体" w:eastAsia="宋体" w:cs="宋体"/>
                <w:color w:val="auto"/>
                <w:sz w:val="24"/>
                <w:highlight w:val="none"/>
              </w:rPr>
            </w:pPr>
          </w:p>
        </w:tc>
      </w:tr>
    </w:tbl>
    <w:p>
      <w:pPr>
        <w:spacing w:line="360" w:lineRule="auto"/>
        <w:ind w:left="713"/>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备注： 1.若无分包计划，则供应商应在本表填写</w:t>
      </w:r>
      <w:r>
        <w:rPr>
          <w:rFonts w:hint="eastAsia" w:ascii="宋体" w:hAnsi="宋体" w:eastAsia="宋体" w:cs="宋体"/>
          <w:color w:val="auto"/>
          <w:spacing w:val="-7"/>
          <w:sz w:val="24"/>
          <w:highlight w:val="none"/>
        </w:rPr>
        <w:t>“无”。</w:t>
      </w:r>
    </w:p>
    <w:p>
      <w:pPr>
        <w:spacing w:line="360" w:lineRule="auto"/>
        <w:ind w:firstLine="1428" w:firstLineChars="600"/>
        <w:rPr>
          <w:rFonts w:hint="eastAsia" w:ascii="宋体" w:hAnsi="宋体" w:eastAsia="宋体" w:cs="宋体"/>
          <w:color w:val="auto"/>
          <w:spacing w:val="-2"/>
          <w:sz w:val="24"/>
          <w:highlight w:val="none"/>
        </w:rPr>
        <w:sectPr>
          <w:pgSz w:w="11906" w:h="16838"/>
          <w:pgMar w:top="1247" w:right="1247" w:bottom="1247" w:left="1247" w:header="851" w:footer="992" w:gutter="0"/>
          <w:pgNumType w:fmt="decimal"/>
          <w:cols w:space="720" w:num="1"/>
          <w:titlePg/>
          <w:docGrid w:linePitch="312" w:charSpace="0"/>
        </w:sectPr>
      </w:pPr>
      <w:r>
        <w:rPr>
          <w:rFonts w:hint="eastAsia" w:ascii="宋体" w:hAnsi="宋体" w:eastAsia="宋体" w:cs="宋体"/>
          <w:color w:val="auto"/>
          <w:spacing w:val="-1"/>
          <w:sz w:val="24"/>
          <w:highlight w:val="none"/>
        </w:rPr>
        <w:t>2.本表所列分包仅限于承包人自行施工范围内的非主体</w:t>
      </w:r>
      <w:r>
        <w:rPr>
          <w:rFonts w:hint="eastAsia" w:ascii="宋体" w:hAnsi="宋体" w:eastAsia="宋体" w:cs="宋体"/>
          <w:color w:val="auto"/>
          <w:spacing w:val="-2"/>
          <w:sz w:val="24"/>
          <w:highlight w:val="none"/>
        </w:rPr>
        <w:t>、非关键工程。</w:t>
      </w:r>
    </w:p>
    <w:p>
      <w:pPr>
        <w:tabs>
          <w:tab w:val="left" w:pos="5387"/>
        </w:tabs>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附件12</w:t>
      </w:r>
    </w:p>
    <w:p>
      <w:pPr>
        <w:tabs>
          <w:tab w:val="left" w:pos="5387"/>
        </w:tabs>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建设工程项目管理承诺书</w:t>
      </w:r>
    </w:p>
    <w:p>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（采购人名称）：</w:t>
      </w:r>
    </w:p>
    <w:p>
      <w:pPr>
        <w:spacing w:line="360" w:lineRule="auto"/>
        <w:ind w:left="-10" w:firstLine="520" w:firstLineChars="21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作为参与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（工程名称）项目的磋商供应商，根据国家、自治区相关文件规定，我方在此向采购人承诺：</w:t>
      </w:r>
    </w:p>
    <w:p>
      <w:pPr>
        <w:spacing w:line="360" w:lineRule="auto"/>
        <w:ind w:left="-10" w:firstLine="520" w:firstLineChars="21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pPr>
        <w:spacing w:line="360" w:lineRule="auto"/>
        <w:ind w:left="-10" w:firstLine="520" w:firstLineChars="21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pPr>
        <w:spacing w:line="360" w:lineRule="auto"/>
        <w:ind w:left="-2" w:leftChars="-1" w:firstLine="513" w:firstLineChars="214"/>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pPr>
        <w:spacing w:line="360" w:lineRule="auto"/>
        <w:ind w:left="-10" w:firstLine="520" w:firstLineChars="21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pPr>
        <w:spacing w:line="360" w:lineRule="auto"/>
        <w:ind w:left="-10" w:firstLine="520" w:firstLineChars="21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pPr>
        <w:pStyle w:val="12"/>
        <w:overflowPunct w:val="0"/>
        <w:spacing w:line="360" w:lineRule="auto"/>
        <w:ind w:firstLine="0"/>
        <w:contextualSpacing/>
        <w:jc w:val="left"/>
        <w:rPr>
          <w:rFonts w:hint="eastAsia" w:ascii="宋体" w:hAnsi="宋体" w:eastAsia="宋体" w:cs="宋体"/>
          <w:color w:val="auto"/>
          <w:sz w:val="24"/>
          <w:szCs w:val="24"/>
          <w:highlight w:val="none"/>
        </w:rPr>
      </w:pP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磋商供应商名称(公章)： </w:t>
      </w: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pPr>
        <w:spacing w:line="360" w:lineRule="auto"/>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广西壮族自治区建筑工程安全文明施工措施项目清单内容</w:t>
      </w:r>
    </w:p>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（桂建质〔2015〕16号文附件一）</w:t>
      </w:r>
    </w:p>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广西壮族自治区</w:t>
      </w:r>
    </w:p>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建设工程安全文明施工措施项目清单内容</w:t>
      </w:r>
    </w:p>
    <w:tbl>
      <w:tblPr>
        <w:tblStyle w:val="39"/>
        <w:tblpPr w:leftFromText="180" w:rightFromText="180" w:vertAnchor="text" w:horzAnchor="page" w:tblpX="1320" w:tblpY="401"/>
        <w:tblOverlap w:val="never"/>
        <w:tblW w:w="94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主要内容和要求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文明</w:t>
            </w:r>
          </w:p>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施工</w:t>
            </w:r>
          </w:p>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与</w:t>
            </w:r>
          </w:p>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环境</w:t>
            </w:r>
          </w:p>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安全警示</w:t>
            </w:r>
          </w:p>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标志牌</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在易发伤亡事故（或危险）处设置明显的、符合国家标准要求的安全警示标志牌。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1.现场采用封闭围挡，高度不小于1.8m。</w:t>
            </w:r>
          </w:p>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2.围挡材料可用彩色、定型钢板，砖、砼砌块等墙体。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在进门处悬挂工程概况、现场出入制度、管理人员名单及监督电话、安全生产规定、文明施工、消防保卫、节能公示等七牌以及；施工现场总平面图、工程效果图。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现场出入的大门应设有本企业标志或企业标识。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1.道路畅通；</w:t>
            </w:r>
          </w:p>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2.排水沟、排水设施畅通；</w:t>
            </w:r>
          </w:p>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3.工地地面硬化处理（办公区，生活区，现场道路，材料堆放、混凝土搅拌、砂浆搅拌、钢筋加工等场地，外脚手架基础等）。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（1）材料、构件、料具等堆放时，悬挂有名称、品种、规格等标牌；</w:t>
            </w:r>
          </w:p>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（2）水泥和其他易飞扬细颗粒建筑材料应封闭存放或采取覆盖等措施；</w:t>
            </w:r>
          </w:p>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（3）易燃、易爆和有毒有害物品分类存放。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消防器材配置合理，符合消防要求。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1.施工现场应设置密闭式垃圾站，施工垃圾、生活垃圾应分类存放。</w:t>
            </w:r>
          </w:p>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2.施工垃圾必须采用相应容器或管道运输。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宣传栏、安全宣传标语等，洗车（防止污染市区道路）、粉尘、噪声控制，排污（污水、废气）措施等。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现场办公</w:t>
            </w:r>
          </w:p>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1.施工现场办公、生活区与作业区分开设置，保持安全距离。</w:t>
            </w:r>
          </w:p>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2.工地办公室、现场宿舍、食堂、厕所、饮水、沐浴、休息场所等符合卫生、消防安全要求；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施工现场</w:t>
            </w:r>
          </w:p>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1.按照TN-S系统要求配备五芯电缆、四芯电缆和三芯电缆。</w:t>
            </w:r>
          </w:p>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2.按要求架设临时用电线路的电杆、横担、瓷夹、瓷瓶等，或电缆埋地的地沟。</w:t>
            </w:r>
          </w:p>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3.对靠近施工现场的外电线路，设置木质、塑料等绝缘体的防护设施。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配电箱</w:t>
            </w:r>
          </w:p>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开关箱</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1.按三级配电要求，配备总配电箱、分配电箱、开关箱三类（铁质）标准电箱。开关箱应符合一机、一箱、一闸、一漏。三类电箱中的各类电器应是合格品。</w:t>
            </w:r>
          </w:p>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2.按两级保护的要求，选取符合容量要求和质量合格的总配电箱和开关箱中的漏电保护器。</w:t>
            </w:r>
          </w:p>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3.对大型、落地式分配电箱、开关箱设置防护棚和通透式围挡。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施工现场应设置不少于三处的接地保护装置。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8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总配电室建筑材料必须达到三级防火要求，室内做硬地坪、电缆沟、吊顶。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设两道防护栏杆和18cm高的踢脚板，用密目式安全立网全封闭。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通道口</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设防护棚，防护棚应为不小于5cm厚的木板或两道相距50cm的竹笆。两侧应沿栏杆架用密目式安全网封闭。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用硬质材料全封闭；短边超过1.5m长的洞口，除封闭外四周还应设有防护栏杆。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设置定型化、工具化的防护门。在电梯井内每隔2层（不大于10m）设置一道水平防护。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楼梯边</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设1.2m高的定型化、工具化、标准化的防护栏，18cm高的踢脚板。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设置防护隔离棚或其他设施。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有悬挂安全带的悬索或其他设施；有操作平台；有上下的梯子或其他形式的通道。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设1.2m高标准化的防护栏，用密目式安全立网封闭，悬挂标识。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安全帽、安全带、特种作业人员（电工、焊工、架子工等）防护服装、用品等。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设防护棚（同通道口防护并有防雨措施）。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（1）垂直运输设备检测、检验。</w:t>
            </w:r>
          </w:p>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（2）物料提升机、施工电梯等物料平台搭设、外侧用密目式安全立网全封闭，安全防护门、防护棚等。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超过一定规模的危险性较大分部分项工程专家论证审查。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救援器材准备及演练等。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其它特殊情况下的防护费用，如：城市主干道、人流密集、河边等处施工及文物、古建筑、古树保护等。</w:t>
            </w:r>
          </w:p>
        </w:tc>
      </w:tr>
    </w:tbl>
    <w:p>
      <w:pPr>
        <w:spacing w:line="360" w:lineRule="auto"/>
        <w:ind w:firstLine="480" w:firstLineChars="200"/>
        <w:rPr>
          <w:rFonts w:hint="eastAsia" w:ascii="宋体" w:hAnsi="宋体" w:eastAsia="宋体" w:cs="宋体"/>
          <w:color w:val="auto"/>
          <w:sz w:val="24"/>
          <w:highlight w:val="none"/>
        </w:rPr>
      </w:pPr>
    </w:p>
    <w:p>
      <w:pPr>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注：本表所列建筑工程安全、文明施工，是依据现行法律法规及标准规范确定的。如法律法规和标准规范修订，本表所列项目应按照修订后的法律法规和标准规范进行调整。</w:t>
      </w:r>
    </w:p>
    <w:p>
      <w:pPr>
        <w:pStyle w:val="5"/>
        <w:spacing w:line="360" w:lineRule="auto"/>
        <w:rPr>
          <w:rFonts w:hint="eastAsia" w:ascii="宋体" w:hAnsi="宋体" w:eastAsia="宋体" w:cs="宋体"/>
          <w:color w:val="auto"/>
          <w:highlight w:val="none"/>
        </w:rPr>
      </w:pPr>
    </w:p>
    <w:p>
      <w:pPr>
        <w:pStyle w:val="29"/>
        <w:spacing w:line="360" w:lineRule="auto"/>
        <w:rPr>
          <w:rFonts w:hint="eastAsia" w:ascii="宋体" w:hAnsi="宋体" w:eastAsia="宋体" w:cs="宋体"/>
          <w:color w:val="auto"/>
          <w:highlight w:val="none"/>
        </w:rPr>
      </w:pPr>
    </w:p>
    <w:p>
      <w:pPr>
        <w:pStyle w:val="25"/>
        <w:spacing w:line="360" w:lineRule="auto"/>
        <w:rPr>
          <w:rFonts w:hint="eastAsia" w:ascii="宋体" w:hAnsi="宋体" w:eastAsia="宋体" w:cs="宋体"/>
          <w:color w:val="auto"/>
          <w:highlight w:val="none"/>
        </w:rPr>
        <w:sectPr>
          <w:pgSz w:w="11906" w:h="16838"/>
          <w:pgMar w:top="1247" w:right="1247" w:bottom="1247" w:left="1247" w:header="851" w:footer="992" w:gutter="0"/>
          <w:pgNumType w:fmt="decimal"/>
          <w:cols w:space="720" w:num="1"/>
          <w:titlePg/>
          <w:docGrid w:linePitch="312" w:charSpace="0"/>
        </w:sectPr>
      </w:pPr>
    </w:p>
    <w:p>
      <w:pPr>
        <w:adjustRightInd w:val="0"/>
        <w:snapToGrid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附件13</w:t>
      </w:r>
    </w:p>
    <w:p>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中小企业声明函（工程）</w:t>
      </w:r>
    </w:p>
    <w:p>
      <w:pPr>
        <w:spacing w:line="360" w:lineRule="auto"/>
        <w:ind w:firstLine="708" w:firstLineChars="294"/>
        <w:rPr>
          <w:rFonts w:hint="eastAsia" w:ascii="宋体" w:hAnsi="宋体" w:eastAsia="宋体" w:cs="宋体"/>
          <w:b/>
          <w:bCs/>
          <w:color w:val="auto"/>
          <w:sz w:val="24"/>
          <w:highlight w:val="none"/>
        </w:rPr>
      </w:pPr>
    </w:p>
    <w:p>
      <w:pPr>
        <w:spacing w:line="360" w:lineRule="auto"/>
        <w:ind w:firstLine="42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本公司（联合体）郑重声明，根据《政府采购促进中小企业发展管理办法》（财库﹝2020﹞46 号）的规定，本公司（联合体）参加（单位名称）的</w:t>
      </w:r>
      <w:r>
        <w:rPr>
          <w:rFonts w:hint="eastAsia" w:ascii="宋体" w:hAnsi="宋体" w:cs="宋体"/>
          <w:bCs/>
          <w:color w:val="auto"/>
          <w:sz w:val="24"/>
          <w:highlight w:val="none"/>
          <w:lang w:eastAsia="zh-CN"/>
        </w:rPr>
        <w:t>2026年合浦县西场镇五浪江村李国松地磅至东茶村路口道路硬化工程</w:t>
      </w:r>
      <w:r>
        <w:rPr>
          <w:rFonts w:hint="eastAsia" w:ascii="宋体" w:hAnsi="宋体" w:eastAsia="宋体" w:cs="宋体"/>
          <w:bCs/>
          <w:color w:val="auto"/>
          <w:sz w:val="24"/>
          <w:highlight w:val="none"/>
        </w:rPr>
        <w:t>采购活动，工程的施工单位全部为符合政策要求的中小企业。相关企业（含联合体中的中小企业、签订分包意向协议的中小企业）的具体情况如下：</w:t>
      </w:r>
    </w:p>
    <w:p>
      <w:pPr>
        <w:spacing w:line="360" w:lineRule="auto"/>
        <w:ind w:firstLine="42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w:t>
      </w:r>
      <w:r>
        <w:rPr>
          <w:rFonts w:hint="eastAsia" w:ascii="宋体" w:hAnsi="宋体" w:eastAsia="宋体" w:cs="宋体"/>
          <w:bCs/>
          <w:color w:val="auto"/>
          <w:sz w:val="24"/>
          <w:highlight w:val="none"/>
          <w:u w:val="single"/>
        </w:rPr>
        <w:t>（标的名称）</w:t>
      </w:r>
      <w:r>
        <w:rPr>
          <w:rFonts w:hint="eastAsia" w:ascii="宋体" w:hAnsi="宋体" w:eastAsia="宋体" w:cs="宋体"/>
          <w:bCs/>
          <w:color w:val="auto"/>
          <w:sz w:val="24"/>
          <w:highlight w:val="none"/>
        </w:rPr>
        <w:t>，属于</w:t>
      </w:r>
      <w:r>
        <w:rPr>
          <w:rFonts w:hint="eastAsia" w:ascii="宋体" w:hAnsi="宋体" w:eastAsia="宋体" w:cs="宋体"/>
          <w:bCs/>
          <w:color w:val="auto"/>
          <w:sz w:val="24"/>
          <w:highlight w:val="none"/>
          <w:u w:val="single"/>
        </w:rPr>
        <w:t>（采购文件中明确的所属行业）</w:t>
      </w:r>
      <w:r>
        <w:rPr>
          <w:rFonts w:hint="eastAsia" w:ascii="宋体" w:hAnsi="宋体" w:eastAsia="宋体" w:cs="宋体"/>
          <w:bCs/>
          <w:color w:val="auto"/>
          <w:sz w:val="24"/>
          <w:highlight w:val="none"/>
        </w:rPr>
        <w:t>行业；承建企业为</w:t>
      </w:r>
      <w:r>
        <w:rPr>
          <w:rFonts w:hint="eastAsia" w:ascii="宋体" w:hAnsi="宋体" w:eastAsia="宋体" w:cs="宋体"/>
          <w:bCs/>
          <w:color w:val="auto"/>
          <w:sz w:val="24"/>
          <w:highlight w:val="none"/>
          <w:u w:val="single"/>
        </w:rPr>
        <w:t>（企业名称）</w:t>
      </w:r>
      <w:r>
        <w:rPr>
          <w:rFonts w:hint="eastAsia" w:ascii="宋体" w:hAnsi="宋体" w:eastAsia="宋体" w:cs="宋体"/>
          <w:bCs/>
          <w:color w:val="auto"/>
          <w:sz w:val="24"/>
          <w:highlight w:val="none"/>
        </w:rPr>
        <w:t>，从业人员</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人，营业收入为</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万元，资产总额为</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万元，属于</w:t>
      </w:r>
      <w:r>
        <w:rPr>
          <w:rFonts w:hint="eastAsia" w:ascii="宋体" w:hAnsi="宋体" w:eastAsia="宋体" w:cs="宋体"/>
          <w:bCs/>
          <w:color w:val="auto"/>
          <w:sz w:val="24"/>
          <w:highlight w:val="none"/>
          <w:u w:val="single"/>
        </w:rPr>
        <w:t>（中型企业、小型企业、微型企业）</w:t>
      </w:r>
      <w:r>
        <w:rPr>
          <w:rFonts w:hint="eastAsia" w:ascii="宋体" w:hAnsi="宋体" w:eastAsia="宋体" w:cs="宋体"/>
          <w:bCs/>
          <w:color w:val="auto"/>
          <w:sz w:val="24"/>
          <w:highlight w:val="none"/>
        </w:rPr>
        <w:t>；</w:t>
      </w:r>
    </w:p>
    <w:p>
      <w:pPr>
        <w:spacing w:line="360" w:lineRule="auto"/>
        <w:ind w:firstLine="42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w:t>
      </w:r>
      <w:r>
        <w:rPr>
          <w:rFonts w:hint="eastAsia" w:ascii="宋体" w:hAnsi="宋体" w:eastAsia="宋体" w:cs="宋体"/>
          <w:bCs/>
          <w:color w:val="auto"/>
          <w:sz w:val="24"/>
          <w:highlight w:val="none"/>
          <w:u w:val="single"/>
        </w:rPr>
        <w:t>（标的名称）</w:t>
      </w:r>
      <w:r>
        <w:rPr>
          <w:rFonts w:hint="eastAsia" w:ascii="宋体" w:hAnsi="宋体" w:eastAsia="宋体" w:cs="宋体"/>
          <w:bCs/>
          <w:color w:val="auto"/>
          <w:sz w:val="24"/>
          <w:highlight w:val="none"/>
        </w:rPr>
        <w:t>，属于</w:t>
      </w:r>
      <w:r>
        <w:rPr>
          <w:rFonts w:hint="eastAsia" w:ascii="宋体" w:hAnsi="宋体" w:eastAsia="宋体" w:cs="宋体"/>
          <w:bCs/>
          <w:color w:val="auto"/>
          <w:sz w:val="24"/>
          <w:highlight w:val="none"/>
          <w:u w:val="single"/>
        </w:rPr>
        <w:t>（采购文件中明确的所属行业）</w:t>
      </w:r>
      <w:r>
        <w:rPr>
          <w:rFonts w:hint="eastAsia" w:ascii="宋体" w:hAnsi="宋体" w:eastAsia="宋体" w:cs="宋体"/>
          <w:bCs/>
          <w:color w:val="auto"/>
          <w:sz w:val="24"/>
          <w:highlight w:val="none"/>
        </w:rPr>
        <w:t>行业；承建企业为</w:t>
      </w:r>
      <w:r>
        <w:rPr>
          <w:rFonts w:hint="eastAsia" w:ascii="宋体" w:hAnsi="宋体" w:eastAsia="宋体" w:cs="宋体"/>
          <w:bCs/>
          <w:color w:val="auto"/>
          <w:sz w:val="24"/>
          <w:highlight w:val="none"/>
          <w:u w:val="single"/>
        </w:rPr>
        <w:t>（企业名称）</w:t>
      </w:r>
      <w:r>
        <w:rPr>
          <w:rFonts w:hint="eastAsia" w:ascii="宋体" w:hAnsi="宋体" w:eastAsia="宋体" w:cs="宋体"/>
          <w:bCs/>
          <w:color w:val="auto"/>
          <w:sz w:val="24"/>
          <w:highlight w:val="none"/>
        </w:rPr>
        <w:t>，从业人员</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人，营业收入为</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万元，资产总额为</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万元，属于</w:t>
      </w:r>
      <w:r>
        <w:rPr>
          <w:rFonts w:hint="eastAsia" w:ascii="宋体" w:hAnsi="宋体" w:eastAsia="宋体" w:cs="宋体"/>
          <w:bCs/>
          <w:color w:val="auto"/>
          <w:sz w:val="24"/>
          <w:highlight w:val="none"/>
          <w:u w:val="single"/>
        </w:rPr>
        <w:t>（中型企业、小型企业、微型企业）</w:t>
      </w:r>
      <w:r>
        <w:rPr>
          <w:rFonts w:hint="eastAsia" w:ascii="宋体" w:hAnsi="宋体" w:eastAsia="宋体" w:cs="宋体"/>
          <w:bCs/>
          <w:color w:val="auto"/>
          <w:sz w:val="24"/>
          <w:highlight w:val="none"/>
        </w:rPr>
        <w:t>；</w:t>
      </w:r>
    </w:p>
    <w:p>
      <w:pPr>
        <w:spacing w:line="360" w:lineRule="auto"/>
        <w:ind w:firstLine="42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w:t>
      </w:r>
    </w:p>
    <w:p>
      <w:pPr>
        <w:spacing w:line="360" w:lineRule="auto"/>
        <w:ind w:firstLine="42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以上企业，不属于大企业的分支机构，不存在控股股东为大企业的情形，也不存在与大企业的负责人为同一人的情形。</w:t>
      </w:r>
    </w:p>
    <w:p>
      <w:pPr>
        <w:spacing w:line="360" w:lineRule="auto"/>
        <w:ind w:firstLine="42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本企业对上述声明内容的真实性负责。如有虚假，将依法承担相应责任。</w:t>
      </w:r>
    </w:p>
    <w:p>
      <w:pPr>
        <w:adjustRightInd w:val="0"/>
        <w:snapToGrid w:val="0"/>
        <w:spacing w:line="360" w:lineRule="auto"/>
        <w:ind w:firstLine="4200" w:firstLineChars="1750"/>
        <w:jc w:val="left"/>
        <w:rPr>
          <w:rFonts w:hint="eastAsia" w:ascii="宋体" w:hAnsi="宋体" w:eastAsia="宋体" w:cs="宋体"/>
          <w:color w:val="auto"/>
          <w:sz w:val="24"/>
          <w:highlight w:val="none"/>
        </w:rPr>
      </w:pPr>
    </w:p>
    <w:p>
      <w:pPr>
        <w:adjustRightInd w:val="0"/>
        <w:snapToGrid w:val="0"/>
        <w:spacing w:line="360" w:lineRule="auto"/>
        <w:ind w:firstLine="4200" w:firstLineChars="17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供应商名称（公章）：                          </w:t>
      </w:r>
    </w:p>
    <w:p>
      <w:pPr>
        <w:spacing w:line="360" w:lineRule="auto"/>
        <w:ind w:firstLine="3600" w:firstLineChars="15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 xml:space="preserve">     日期：  年   月   日</w:t>
      </w:r>
    </w:p>
    <w:p>
      <w:pPr>
        <w:spacing w:line="360" w:lineRule="auto"/>
        <w:jc w:val="left"/>
        <w:rPr>
          <w:rFonts w:hint="eastAsia" w:ascii="宋体" w:hAnsi="宋体" w:eastAsia="宋体" w:cs="宋体"/>
          <w:bCs/>
          <w:color w:val="auto"/>
          <w:sz w:val="24"/>
          <w:highlight w:val="none"/>
        </w:rPr>
      </w:pPr>
    </w:p>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注：（1）如磋商供应商为联合体或分包的，声明函中“项目名称”应填写联合体中中小企业承担的具体内容或者中小企业具体分包内容。</w:t>
      </w:r>
    </w:p>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（2）请根据真实情况出具《中小企业声明函》。</w:t>
      </w:r>
      <w:r>
        <w:rPr>
          <w:rFonts w:hint="eastAsia" w:ascii="宋体" w:hAnsi="宋体" w:eastAsia="宋体" w:cs="宋体"/>
          <w:color w:val="auto"/>
          <w:sz w:val="24"/>
          <w:highlight w:val="none"/>
        </w:rPr>
        <w:t>成交候选人享受《政府采购促进中小企业发展管理办法》（财库〔2020〕46号）、</w:t>
      </w:r>
      <w:r>
        <w:rPr>
          <w:rFonts w:hint="eastAsia" w:ascii="宋体" w:hAnsi="宋体" w:eastAsia="宋体" w:cs="宋体"/>
          <w:color w:val="auto"/>
          <w:sz w:val="24"/>
          <w:highlight w:val="none"/>
          <w:lang w:bidi="ar"/>
        </w:rPr>
        <w:t>财政部《关于进一步加大政府采购支持中小企业力度的通知》（财库〔2022〕19号）</w:t>
      </w:r>
      <w:r>
        <w:rPr>
          <w:rFonts w:hint="eastAsia" w:ascii="宋体" w:hAnsi="宋体" w:eastAsia="宋体" w:cs="宋体"/>
          <w:color w:val="auto"/>
          <w:sz w:val="24"/>
          <w:highlight w:val="none"/>
        </w:rPr>
        <w:t>规定的中小企业扶持政策的，采购人、采购代理机构应当随成交结果公开成交供应商的《中小企业声明函》</w:t>
      </w:r>
      <w:r>
        <w:rPr>
          <w:rFonts w:hint="eastAsia" w:ascii="宋体" w:hAnsi="宋体" w:eastAsia="宋体" w:cs="宋体"/>
          <w:bCs/>
          <w:color w:val="auto"/>
          <w:sz w:val="24"/>
          <w:highlight w:val="none"/>
        </w:rPr>
        <w:t>，接受社会监督。</w:t>
      </w:r>
    </w:p>
    <w:p>
      <w:pPr>
        <w:spacing w:line="360" w:lineRule="auto"/>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（3）从业人员、营业收入、资产总额填报上一年度数据，无上一年度数据的新成立企业可不填报。</w:t>
      </w:r>
    </w:p>
    <w:p>
      <w:pPr>
        <w:spacing w:line="360" w:lineRule="auto"/>
        <w:ind w:left="420" w:hanging="420"/>
        <w:rPr>
          <w:rFonts w:hint="eastAsia" w:ascii="宋体" w:hAnsi="宋体" w:eastAsia="宋体" w:cs="宋体"/>
          <w:color w:val="auto"/>
          <w:sz w:val="24"/>
          <w:highlight w:val="none"/>
        </w:rPr>
      </w:pPr>
      <w:r>
        <w:rPr>
          <w:rFonts w:hint="eastAsia" w:ascii="宋体" w:hAnsi="宋体" w:eastAsia="宋体" w:cs="宋体"/>
          <w:b/>
          <w:color w:val="auto"/>
          <w:sz w:val="24"/>
          <w:highlight w:val="none"/>
        </w:rPr>
        <w:t>附件14</w:t>
      </w:r>
    </w:p>
    <w:p>
      <w:pPr>
        <w:pStyle w:val="35"/>
        <w:widowControl w:val="0"/>
        <w:adjustRightInd w:val="0"/>
        <w:snapToGrid w:val="0"/>
        <w:spacing w:before="0" w:beforeAutospacing="0" w:after="0" w:afterAutospacing="0" w:line="360" w:lineRule="auto"/>
        <w:jc w:val="center"/>
        <w:rPr>
          <w:rFonts w:hint="eastAsia" w:ascii="宋体" w:hAnsi="宋体" w:eastAsia="宋体" w:cs="宋体"/>
          <w:b/>
          <w:color w:val="auto"/>
          <w:kern w:val="2"/>
          <w:sz w:val="36"/>
          <w:szCs w:val="36"/>
          <w:highlight w:val="none"/>
        </w:rPr>
      </w:pPr>
    </w:p>
    <w:p>
      <w:pPr>
        <w:pStyle w:val="35"/>
        <w:widowControl w:val="0"/>
        <w:adjustRightInd w:val="0"/>
        <w:snapToGrid w:val="0"/>
        <w:spacing w:before="0" w:beforeAutospacing="0" w:after="0" w:afterAutospacing="0" w:line="360" w:lineRule="auto"/>
        <w:jc w:val="center"/>
        <w:rPr>
          <w:rFonts w:hint="eastAsia" w:ascii="宋体" w:hAnsi="宋体" w:eastAsia="宋体" w:cs="宋体"/>
          <w:b/>
          <w:color w:val="auto"/>
          <w:kern w:val="2"/>
          <w:sz w:val="36"/>
          <w:szCs w:val="36"/>
          <w:highlight w:val="none"/>
        </w:rPr>
      </w:pPr>
      <w:r>
        <w:rPr>
          <w:rFonts w:hint="eastAsia" w:ascii="宋体" w:hAnsi="宋体" w:eastAsia="宋体" w:cs="宋体"/>
          <w:b/>
          <w:color w:val="auto"/>
          <w:kern w:val="2"/>
          <w:sz w:val="36"/>
          <w:szCs w:val="36"/>
          <w:highlight w:val="none"/>
        </w:rPr>
        <w:t>残疾人福利性单位声明函</w:t>
      </w:r>
    </w:p>
    <w:p>
      <w:pPr>
        <w:spacing w:line="360" w:lineRule="auto"/>
        <w:rPr>
          <w:rFonts w:hint="eastAsia" w:ascii="宋体" w:hAnsi="宋体" w:eastAsia="宋体" w:cs="宋体"/>
          <w:color w:val="auto"/>
          <w:szCs w:val="21"/>
          <w:highlight w:val="none"/>
        </w:rPr>
      </w:pPr>
    </w:p>
    <w:p>
      <w:pPr>
        <w:spacing w:line="360" w:lineRule="auto"/>
        <w:rPr>
          <w:rFonts w:hint="eastAsia" w:ascii="宋体" w:hAnsi="宋体" w:eastAsia="宋体" w:cs="宋体"/>
          <w:bCs/>
          <w:color w:val="auto"/>
          <w:spacing w:val="6"/>
          <w:sz w:val="24"/>
          <w:highlight w:val="none"/>
        </w:rPr>
      </w:pPr>
    </w:p>
    <w:p>
      <w:pPr>
        <w:spacing w:line="360" w:lineRule="auto"/>
        <w:ind w:firstLine="504" w:firstLineChars="200"/>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highlight w:val="none"/>
        </w:rPr>
        <w:t>〔2017〕 141</w:t>
      </w:r>
      <w:r>
        <w:rPr>
          <w:rFonts w:hint="eastAsia" w:ascii="宋体" w:hAnsi="宋体" w:eastAsia="宋体" w:cs="宋体"/>
          <w:color w:val="auto"/>
          <w:spacing w:val="6"/>
          <w:sz w:val="24"/>
          <w:highlight w:val="none"/>
        </w:rPr>
        <w:t>号）的规定，本单位为符合条件的残疾人福利性单位，且本单位参加</w:t>
      </w:r>
      <w:r>
        <w:rPr>
          <w:rFonts w:hint="eastAsia" w:ascii="宋体" w:hAnsi="宋体" w:eastAsia="宋体" w:cs="宋体"/>
          <w:color w:val="auto"/>
          <w:spacing w:val="6"/>
          <w:sz w:val="24"/>
          <w:highlight w:val="none"/>
          <w:u w:val="single"/>
        </w:rPr>
        <w:t>______</w:t>
      </w:r>
      <w:r>
        <w:rPr>
          <w:rFonts w:hint="eastAsia" w:ascii="宋体" w:hAnsi="宋体" w:eastAsia="宋体" w:cs="宋体"/>
          <w:color w:val="auto"/>
          <w:spacing w:val="6"/>
          <w:sz w:val="24"/>
          <w:highlight w:val="none"/>
        </w:rPr>
        <w:t>单位的</w:t>
      </w:r>
      <w:r>
        <w:rPr>
          <w:rFonts w:hint="eastAsia" w:ascii="宋体" w:hAnsi="宋体" w:eastAsia="宋体" w:cs="宋体"/>
          <w:color w:val="auto"/>
          <w:spacing w:val="6"/>
          <w:sz w:val="24"/>
          <w:highlight w:val="none"/>
          <w:u w:val="single"/>
        </w:rPr>
        <w:t>______</w:t>
      </w:r>
      <w:r>
        <w:rPr>
          <w:rFonts w:hint="eastAsia" w:ascii="宋体" w:hAnsi="宋体" w:eastAsia="宋体" w:cs="宋体"/>
          <w:color w:val="auto"/>
          <w:spacing w:val="6"/>
          <w:sz w:val="24"/>
          <w:highlight w:val="none"/>
        </w:rPr>
        <w:t>项目采购活动由本单位承担工程</w:t>
      </w:r>
      <w:r>
        <w:rPr>
          <w:rFonts w:hint="eastAsia" w:ascii="宋体" w:hAnsi="宋体" w:eastAsia="宋体" w:cs="宋体"/>
          <w:color w:val="auto"/>
          <w:spacing w:val="-6"/>
          <w:sz w:val="24"/>
          <w:highlight w:val="none"/>
        </w:rPr>
        <w:t>。</w:t>
      </w:r>
    </w:p>
    <w:p>
      <w:pPr>
        <w:spacing w:line="360" w:lineRule="auto"/>
        <w:ind w:firstLine="504" w:firstLineChars="200"/>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本单位对上述声明的真实性负责。如有虚假，将依法承担相应责任。</w:t>
      </w:r>
    </w:p>
    <w:p>
      <w:pPr>
        <w:spacing w:line="360" w:lineRule="auto"/>
        <w:ind w:firstLine="480" w:firstLineChars="200"/>
        <w:rPr>
          <w:rFonts w:hint="eastAsia" w:ascii="宋体" w:hAnsi="宋体" w:eastAsia="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rPr>
      </w:pPr>
    </w:p>
    <w:p>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供应商名称（公章）：                          </w:t>
      </w:r>
    </w:p>
    <w:p>
      <w:pPr>
        <w:tabs>
          <w:tab w:val="left" w:pos="4860"/>
        </w:tabs>
        <w:spacing w:line="360" w:lineRule="auto"/>
        <w:ind w:right="1560"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pPr>
        <w:tabs>
          <w:tab w:val="left" w:pos="4860"/>
        </w:tabs>
        <w:spacing w:line="360" w:lineRule="auto"/>
        <w:ind w:firstLine="482" w:firstLineChars="20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说明：符合条件的残疾人福利性单位在参加政府采购活动时，应当提供本通知规定的《残疾人福利性单位声明函》，并对声明的真实性负责。</w:t>
      </w:r>
    </w:p>
    <w:p>
      <w:pPr>
        <w:snapToGrid w:val="0"/>
        <w:spacing w:line="360" w:lineRule="auto"/>
        <w:ind w:firstLine="361" w:firstLineChars="15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成交供应商为残疾人福利性单位的，采购人或者其委托的采购代理机构应当随成交结果同时公告其《残疾人福利性单位声明函》，接受社会监督。</w:t>
      </w:r>
    </w:p>
    <w:p>
      <w:pPr>
        <w:snapToGrid w:val="0"/>
        <w:spacing w:line="360" w:lineRule="auto"/>
        <w:ind w:firstLine="361" w:firstLineChars="150"/>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供应商提供的《残疾人福利性单位声明函》与事实不符的，依照《政府采购法》第七十七条第一款的规定追究法律责任。</w:t>
      </w:r>
    </w:p>
    <w:p>
      <w:pPr>
        <w:spacing w:line="360" w:lineRule="auto"/>
        <w:ind w:firstLine="7680" w:firstLineChars="3200"/>
        <w:rPr>
          <w:rFonts w:hint="eastAsia" w:ascii="宋体" w:hAnsi="宋体" w:eastAsia="宋体" w:cs="宋体"/>
          <w:color w:val="auto"/>
          <w:sz w:val="24"/>
          <w:highlight w:val="none"/>
        </w:rPr>
      </w:pPr>
    </w:p>
    <w:p>
      <w:pPr>
        <w:spacing w:line="360" w:lineRule="auto"/>
        <w:ind w:firstLine="7680" w:firstLineChars="3200"/>
        <w:rPr>
          <w:rFonts w:hint="eastAsia" w:ascii="宋体" w:hAnsi="宋体" w:eastAsia="宋体" w:cs="宋体"/>
          <w:color w:val="auto"/>
          <w:sz w:val="24"/>
          <w:highlight w:val="none"/>
        </w:rPr>
      </w:pPr>
    </w:p>
    <w:p>
      <w:pPr>
        <w:spacing w:line="360" w:lineRule="auto"/>
        <w:ind w:firstLine="6720" w:firstLineChars="3200"/>
        <w:rPr>
          <w:rFonts w:hint="eastAsia" w:ascii="宋体" w:hAnsi="宋体" w:eastAsia="宋体" w:cs="宋体"/>
          <w:color w:val="auto"/>
          <w:szCs w:val="21"/>
          <w:highlight w:val="none"/>
        </w:rPr>
      </w:pPr>
    </w:p>
    <w:p>
      <w:pPr>
        <w:spacing w:line="360" w:lineRule="auto"/>
        <w:ind w:firstLine="6720" w:firstLineChars="3200"/>
        <w:rPr>
          <w:rFonts w:hint="eastAsia" w:ascii="宋体" w:hAnsi="宋体" w:eastAsia="宋体" w:cs="宋体"/>
          <w:color w:val="auto"/>
          <w:szCs w:val="21"/>
          <w:highlight w:val="none"/>
        </w:rPr>
      </w:pPr>
    </w:p>
    <w:p>
      <w:pPr>
        <w:spacing w:line="360" w:lineRule="auto"/>
        <w:rPr>
          <w:rFonts w:hint="eastAsia" w:ascii="宋体" w:hAnsi="宋体" w:eastAsia="宋体" w:cs="宋体"/>
          <w:b/>
          <w:color w:val="auto"/>
          <w:spacing w:val="6"/>
          <w:sz w:val="28"/>
          <w:szCs w:val="28"/>
          <w:highlight w:val="none"/>
        </w:rPr>
      </w:pPr>
    </w:p>
    <w:p>
      <w:pPr>
        <w:spacing w:line="360" w:lineRule="auto"/>
        <w:rPr>
          <w:rFonts w:hint="eastAsia" w:ascii="宋体" w:hAnsi="宋体" w:eastAsia="宋体" w:cs="宋体"/>
          <w:b/>
          <w:color w:val="auto"/>
          <w:spacing w:val="6"/>
          <w:sz w:val="28"/>
          <w:szCs w:val="28"/>
          <w:highlight w:val="none"/>
        </w:rPr>
      </w:pPr>
      <w:r>
        <w:rPr>
          <w:rFonts w:hint="eastAsia" w:ascii="宋体" w:hAnsi="宋体" w:eastAsia="宋体" w:cs="宋体"/>
          <w:b/>
          <w:color w:val="auto"/>
          <w:spacing w:val="6"/>
          <w:sz w:val="28"/>
          <w:szCs w:val="28"/>
          <w:highlight w:val="none"/>
        </w:rPr>
        <w:br w:type="page"/>
      </w:r>
    </w:p>
    <w:p>
      <w:pPr>
        <w:spacing w:line="360" w:lineRule="auto"/>
        <w:rPr>
          <w:rFonts w:hint="eastAsia" w:ascii="宋体" w:hAnsi="宋体" w:eastAsia="宋体" w:cs="宋体"/>
          <w:b/>
          <w:color w:val="auto"/>
          <w:spacing w:val="6"/>
          <w:sz w:val="24"/>
          <w:highlight w:val="none"/>
        </w:rPr>
      </w:pPr>
      <w:r>
        <w:rPr>
          <w:rFonts w:hint="eastAsia" w:ascii="宋体" w:hAnsi="宋体" w:eastAsia="宋体" w:cs="宋体"/>
          <w:b/>
          <w:color w:val="auto"/>
          <w:spacing w:val="6"/>
          <w:sz w:val="24"/>
          <w:highlight w:val="none"/>
        </w:rPr>
        <w:t>附件15</w:t>
      </w:r>
    </w:p>
    <w:p>
      <w:pPr>
        <w:spacing w:line="360" w:lineRule="auto"/>
        <w:rPr>
          <w:rFonts w:hint="eastAsia" w:ascii="宋体" w:hAnsi="宋体" w:eastAsia="宋体" w:cs="宋体"/>
          <w:b/>
          <w:color w:val="auto"/>
          <w:spacing w:val="6"/>
          <w:sz w:val="24"/>
          <w:highlight w:val="none"/>
        </w:rPr>
      </w:pPr>
      <w:r>
        <w:rPr>
          <w:rFonts w:hint="eastAsia" w:ascii="宋体" w:hAnsi="宋体" w:eastAsia="宋体" w:cs="宋体"/>
          <w:b/>
          <w:color w:val="auto"/>
          <w:spacing w:val="6"/>
          <w:sz w:val="24"/>
          <w:highlight w:val="none"/>
        </w:rPr>
        <w:t>质疑函范本格式：</w:t>
      </w:r>
    </w:p>
    <w:p>
      <w:pPr>
        <w:spacing w:line="360" w:lineRule="auto"/>
        <w:jc w:val="center"/>
        <w:rPr>
          <w:rFonts w:hint="eastAsia" w:ascii="宋体" w:hAnsi="宋体" w:eastAsia="宋体" w:cs="宋体"/>
          <w:b/>
          <w:color w:val="auto"/>
          <w:spacing w:val="6"/>
          <w:sz w:val="24"/>
          <w:highlight w:val="none"/>
        </w:rPr>
      </w:pPr>
      <w:r>
        <w:rPr>
          <w:rFonts w:hint="eastAsia" w:ascii="宋体" w:hAnsi="宋体" w:eastAsia="宋体" w:cs="宋体"/>
          <w:b/>
          <w:color w:val="auto"/>
          <w:spacing w:val="6"/>
          <w:sz w:val="24"/>
          <w:highlight w:val="none"/>
        </w:rPr>
        <w:t>质疑函范本</w:t>
      </w:r>
    </w:p>
    <w:p>
      <w:pPr>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一、质疑供应商基本信息</w:t>
      </w:r>
    </w:p>
    <w:p>
      <w:pPr>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质疑供应商：</w:t>
      </w:r>
      <w:r>
        <w:rPr>
          <w:rFonts w:hint="eastAsia" w:ascii="宋体" w:hAnsi="宋体" w:eastAsia="宋体" w:cs="宋体"/>
          <w:color w:val="auto"/>
          <w:sz w:val="21"/>
          <w:szCs w:val="21"/>
          <w:highlight w:val="none"/>
          <w:u w:val="dotted"/>
        </w:rPr>
        <w:t xml:space="preserve">                                        </w:t>
      </w:r>
    </w:p>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p>
    <w:p>
      <w:pPr>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授权代表：</w:t>
      </w:r>
      <w:r>
        <w:rPr>
          <w:rFonts w:hint="eastAsia" w:ascii="宋体" w:hAnsi="宋体" w:eastAsia="宋体" w:cs="宋体"/>
          <w:color w:val="auto"/>
          <w:sz w:val="21"/>
          <w:szCs w:val="21"/>
          <w:highlight w:val="none"/>
          <w:u w:val="dotted"/>
        </w:rPr>
        <w:t xml:space="preserve">                                          </w:t>
      </w:r>
    </w:p>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 xml:space="preserve"> </w:t>
      </w:r>
    </w:p>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 </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pPr>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二、质疑项目基本情况</w:t>
      </w:r>
    </w:p>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质疑项目的名称：</w:t>
      </w:r>
      <w:r>
        <w:rPr>
          <w:rFonts w:hint="eastAsia" w:ascii="宋体" w:hAnsi="宋体" w:eastAsia="宋体" w:cs="宋体"/>
          <w:color w:val="auto"/>
          <w:sz w:val="21"/>
          <w:szCs w:val="21"/>
          <w:highlight w:val="none"/>
          <w:u w:val="dotted"/>
        </w:rPr>
        <w:t xml:space="preserve">                                      </w:t>
      </w:r>
    </w:p>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质疑项目的编号：</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包号：</w:t>
      </w:r>
      <w:r>
        <w:rPr>
          <w:rFonts w:hint="eastAsia" w:ascii="宋体" w:hAnsi="宋体" w:eastAsia="宋体" w:cs="宋体"/>
          <w:color w:val="auto"/>
          <w:sz w:val="21"/>
          <w:szCs w:val="21"/>
          <w:highlight w:val="none"/>
          <w:u w:val="dotted"/>
        </w:rPr>
        <w:t xml:space="preserve">                 </w:t>
      </w:r>
    </w:p>
    <w:p>
      <w:pPr>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采购人名称：</w:t>
      </w:r>
      <w:r>
        <w:rPr>
          <w:rFonts w:hint="eastAsia" w:ascii="宋体" w:hAnsi="宋体" w:eastAsia="宋体" w:cs="宋体"/>
          <w:color w:val="auto"/>
          <w:sz w:val="21"/>
          <w:szCs w:val="21"/>
          <w:highlight w:val="none"/>
          <w:u w:val="dotted"/>
        </w:rPr>
        <w:t xml:space="preserve">                                         </w:t>
      </w:r>
    </w:p>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采购文件获取日期：</w:t>
      </w:r>
      <w:r>
        <w:rPr>
          <w:rFonts w:hint="eastAsia" w:ascii="宋体" w:hAnsi="宋体" w:eastAsia="宋体" w:cs="宋体"/>
          <w:color w:val="auto"/>
          <w:sz w:val="21"/>
          <w:szCs w:val="21"/>
          <w:highlight w:val="none"/>
          <w:u w:val="dotted"/>
        </w:rPr>
        <w:t xml:space="preserve">                                           </w:t>
      </w:r>
    </w:p>
    <w:p>
      <w:pPr>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三、质疑事项具体内容</w:t>
      </w:r>
    </w:p>
    <w:p>
      <w:pPr>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质疑事项1：</w:t>
      </w:r>
      <w:r>
        <w:rPr>
          <w:rFonts w:hint="eastAsia" w:ascii="宋体" w:hAnsi="宋体" w:eastAsia="宋体" w:cs="宋体"/>
          <w:color w:val="auto"/>
          <w:sz w:val="21"/>
          <w:szCs w:val="21"/>
          <w:highlight w:val="none"/>
          <w:u w:val="dotted"/>
        </w:rPr>
        <w:t xml:space="preserve">                                         </w:t>
      </w:r>
    </w:p>
    <w:p>
      <w:pPr>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事实依据：</w:t>
      </w:r>
      <w:r>
        <w:rPr>
          <w:rFonts w:hint="eastAsia" w:ascii="宋体" w:hAnsi="宋体" w:eastAsia="宋体" w:cs="宋体"/>
          <w:color w:val="auto"/>
          <w:sz w:val="21"/>
          <w:szCs w:val="21"/>
          <w:highlight w:val="none"/>
          <w:u w:val="dotted"/>
        </w:rPr>
        <w:t xml:space="preserve">                                          </w:t>
      </w:r>
    </w:p>
    <w:p>
      <w:pPr>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法律依据：</w:t>
      </w:r>
      <w:r>
        <w:rPr>
          <w:rFonts w:hint="eastAsia" w:ascii="宋体" w:hAnsi="宋体" w:eastAsia="宋体" w:cs="宋体"/>
          <w:color w:val="auto"/>
          <w:sz w:val="21"/>
          <w:szCs w:val="21"/>
          <w:highlight w:val="none"/>
          <w:u w:val="dotted"/>
        </w:rPr>
        <w:t xml:space="preserve">                                         </w:t>
      </w:r>
    </w:p>
    <w:p>
      <w:pPr>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质疑事项2</w:t>
      </w:r>
    </w:p>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pPr>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四、与质疑事项相关的质疑请求</w:t>
      </w:r>
    </w:p>
    <w:p>
      <w:pPr>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请求：</w:t>
      </w:r>
      <w:r>
        <w:rPr>
          <w:rFonts w:hint="eastAsia" w:ascii="宋体" w:hAnsi="宋体" w:eastAsia="宋体" w:cs="宋体"/>
          <w:color w:val="auto"/>
          <w:sz w:val="21"/>
          <w:szCs w:val="21"/>
          <w:highlight w:val="none"/>
          <w:u w:val="dotted"/>
        </w:rPr>
        <w:t xml:space="preserve">                                               </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签字(签章)：                   公章：                      </w:t>
      </w:r>
    </w:p>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日期：    </w:t>
      </w:r>
    </w:p>
    <w:p>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质疑函制作说明：</w:t>
      </w:r>
    </w:p>
    <w:p>
      <w:pPr>
        <w:widowControl/>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1.供应商提出质疑时，应提交质疑函和必要的证明材料。</w:t>
      </w:r>
    </w:p>
    <w:p>
      <w:pPr>
        <w:widowControl/>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21"/>
          <w:szCs w:val="21"/>
          <w:highlight w:val="none"/>
        </w:rPr>
        <w:t>供应商签署的授权委托书。授权委托书应载明代理人的姓名或者名称、代理事项、具体权限、期限和相关事项。</w:t>
      </w:r>
    </w:p>
    <w:p>
      <w:pPr>
        <w:widowControl/>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3.质疑供应商若对项目的某一分包进行质疑，质疑函中应列明具体分包号。</w:t>
      </w:r>
    </w:p>
    <w:p>
      <w:pPr>
        <w:widowControl/>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4.质疑函的质疑事项应具体、明确，并有必要的事实依据和法律依据。</w:t>
      </w:r>
    </w:p>
    <w:p>
      <w:pPr>
        <w:widowControl/>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5.质疑函的质疑请求应与质疑事项相关。</w:t>
      </w:r>
    </w:p>
    <w:p>
      <w:pPr>
        <w:widowControl/>
        <w:spacing w:line="360" w:lineRule="auto"/>
        <w:ind w:firstLine="420" w:firstLineChars="200"/>
        <w:jc w:val="left"/>
        <w:rPr>
          <w:rFonts w:hint="eastAsia" w:ascii="宋体" w:hAnsi="宋体" w:eastAsia="宋体" w:cs="宋体"/>
          <w:color w:val="auto"/>
          <w:sz w:val="24"/>
          <w:highlight w:val="none"/>
        </w:rPr>
      </w:pPr>
      <w:r>
        <w:rPr>
          <w:rFonts w:hint="eastAsia" w:ascii="宋体" w:hAnsi="宋体" w:eastAsia="宋体" w:cs="宋体"/>
          <w:color w:val="auto"/>
          <w:sz w:val="21"/>
          <w:szCs w:val="21"/>
          <w:highlight w:val="none"/>
        </w:rPr>
        <w:t>6.质疑供应商为自然人的，质疑函应由本人签字；质疑供应商为法人或者其他组织的，质疑函应由法定代表人、主要负责人，或者其授权代表签字或者盖章，并加盖公章。</w:t>
      </w:r>
    </w:p>
    <w:p>
      <w:pPr>
        <w:spacing w:line="360" w:lineRule="auto"/>
        <w:rPr>
          <w:rFonts w:hint="eastAsia" w:ascii="宋体" w:hAnsi="宋体" w:eastAsia="宋体" w:cs="宋体"/>
          <w:b/>
          <w:color w:val="auto"/>
          <w:spacing w:val="6"/>
          <w:szCs w:val="21"/>
          <w:highlight w:val="none"/>
        </w:rPr>
        <w:sectPr>
          <w:pgSz w:w="11906" w:h="16838"/>
          <w:pgMar w:top="1247" w:right="1247" w:bottom="1247" w:left="1247" w:header="851" w:footer="992" w:gutter="0"/>
          <w:pgNumType w:fmt="decimal"/>
          <w:cols w:space="720" w:num="1"/>
          <w:titlePg/>
          <w:docGrid w:linePitch="312" w:charSpace="0"/>
        </w:sectPr>
      </w:pPr>
    </w:p>
    <w:p>
      <w:pPr>
        <w:spacing w:line="360" w:lineRule="auto"/>
        <w:rPr>
          <w:rFonts w:hint="eastAsia" w:ascii="宋体" w:hAnsi="宋体" w:eastAsia="宋体" w:cs="宋体"/>
          <w:b/>
          <w:color w:val="auto"/>
          <w:spacing w:val="6"/>
          <w:sz w:val="24"/>
          <w:highlight w:val="none"/>
        </w:rPr>
      </w:pPr>
      <w:r>
        <w:rPr>
          <w:rFonts w:hint="eastAsia" w:ascii="宋体" w:hAnsi="宋体" w:eastAsia="宋体" w:cs="宋体"/>
          <w:b/>
          <w:color w:val="auto"/>
          <w:spacing w:val="6"/>
          <w:sz w:val="24"/>
          <w:highlight w:val="none"/>
        </w:rPr>
        <w:t>附件16</w:t>
      </w:r>
    </w:p>
    <w:p>
      <w:pPr>
        <w:spacing w:line="360" w:lineRule="auto"/>
        <w:rPr>
          <w:rFonts w:hint="eastAsia" w:ascii="宋体" w:hAnsi="宋体" w:eastAsia="宋体" w:cs="宋体"/>
          <w:b/>
          <w:color w:val="auto"/>
          <w:spacing w:val="6"/>
          <w:sz w:val="24"/>
          <w:highlight w:val="none"/>
        </w:rPr>
      </w:pPr>
      <w:r>
        <w:rPr>
          <w:rFonts w:hint="eastAsia" w:ascii="宋体" w:hAnsi="宋体" w:eastAsia="宋体" w:cs="宋体"/>
          <w:b/>
          <w:color w:val="auto"/>
          <w:spacing w:val="6"/>
          <w:sz w:val="24"/>
          <w:highlight w:val="none"/>
        </w:rPr>
        <w:t>投诉书范本格式：</w:t>
      </w:r>
    </w:p>
    <w:p>
      <w:pPr>
        <w:snapToGrid w:val="0"/>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政府采购供应商投诉书范本</w:t>
      </w:r>
    </w:p>
    <w:p>
      <w:pPr>
        <w:snapToGrid w:val="0"/>
        <w:spacing w:line="360" w:lineRule="auto"/>
        <w:jc w:val="center"/>
        <w:rPr>
          <w:rFonts w:hint="eastAsia" w:ascii="宋体" w:hAnsi="宋体" w:eastAsia="宋体" w:cs="宋体"/>
          <w:b/>
          <w:bCs/>
          <w:color w:val="auto"/>
          <w:kern w:val="0"/>
          <w:sz w:val="24"/>
          <w:highlight w:val="none"/>
        </w:rPr>
      </w:pP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一、投诉相关主体基本情况</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投诉人：</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地址：    邮编：</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法定代表人/主要负责人：</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联系电话：</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授权代表：联系电话：</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地址：    邮编：</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被投诉人1：</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地址：    邮编：</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联系人：    联系电话：</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被投诉人2</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相关供应商：</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地址：   邮编：</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联系人：    联系电话：</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二、投诉项目基本情况</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采购项目名称：</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采购项目编号：包号：</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采购人名称：</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代理机构名称：</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采购文件公告</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是/否 公告期限：</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采购结果公告</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是/否 公告期限：</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三、质疑基本情况</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投诉人于年月 日,向提出质疑，质疑事项为：</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采购人/代理机构于年月日,就质疑事项作出了答复/没有在法定期限内作出答复。</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四、投诉事项具体内容</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投诉事项1：</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事实依据：</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法律依据：</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投诉事项2</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五、与投诉事项相关的投诉请求</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请求：</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签字(签章)：公章：</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日期：</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投诉书制作说明：</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1.投诉人提起投诉时，应当提交投诉书和必要的证明材料，并按照被投诉人和与投诉事项有关的供应商数量提供投诉书副本。</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3.投诉人若对项目的某一分包进行投诉，投诉书应列明具体分包号。</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4.投诉书应简要列明质疑事项，质疑函、质疑答复等作为附件材料提供。</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5.投诉书的投诉事项应具体、明确，并有必要的事实依据和法律依据。</w:t>
      </w:r>
    </w:p>
    <w:p>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6.投诉书的投诉请求应与投诉事项相关。</w:t>
      </w:r>
    </w:p>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7.投诉人为自然人的，投诉书应当由本人签字；投诉人为法人或者其他组织的，投诉书应当由法定代表人、主要负责人，或者其授权代表签字或者盖章，并加盖公章。</w:t>
      </w:r>
    </w:p>
    <w:p>
      <w:pPr>
        <w:pStyle w:val="25"/>
        <w:rPr>
          <w:rFonts w:hint="eastAsia" w:ascii="宋体" w:hAnsi="宋体" w:eastAsia="宋体" w:cs="宋体"/>
          <w:color w:val="auto"/>
          <w:sz w:val="24"/>
          <w:szCs w:val="24"/>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95"/>
        <w:rPr>
          <w:rFonts w:hint="eastAsia" w:ascii="宋体" w:hAnsi="宋体" w:eastAsia="宋体" w:cs="宋体"/>
          <w:color w:val="auto"/>
          <w:highlight w:val="none"/>
        </w:rPr>
      </w:pPr>
      <w:r>
        <w:rPr>
          <w:rFonts w:hint="eastAsia" w:ascii="宋体" w:hAnsi="宋体" w:eastAsia="宋体" w:cs="宋体"/>
          <w:color w:val="auto"/>
          <w:highlight w:val="none"/>
        </w:rPr>
        <w:br w:type="page"/>
      </w:r>
    </w:p>
    <w:p>
      <w:pPr>
        <w:pStyle w:val="95"/>
        <w:rPr>
          <w:rFonts w:hint="eastAsia" w:ascii="宋体" w:hAnsi="宋体" w:eastAsia="宋体" w:cs="宋体"/>
          <w:color w:val="auto"/>
          <w:highlight w:val="none"/>
        </w:rPr>
      </w:pPr>
    </w:p>
    <w:p>
      <w:pPr>
        <w:pStyle w:val="95"/>
        <w:rPr>
          <w:rFonts w:hint="eastAsia" w:ascii="宋体" w:hAnsi="宋体" w:eastAsia="宋体" w:cs="宋体"/>
          <w:color w:val="auto"/>
          <w:highlight w:val="none"/>
        </w:rPr>
      </w:pPr>
    </w:p>
    <w:p>
      <w:pPr>
        <w:pStyle w:val="95"/>
        <w:rPr>
          <w:rFonts w:hint="eastAsia" w:ascii="宋体" w:hAnsi="宋体" w:eastAsia="宋体" w:cs="宋体"/>
          <w:color w:val="auto"/>
          <w:highlight w:val="none"/>
        </w:rPr>
      </w:pPr>
    </w:p>
    <w:p>
      <w:pPr>
        <w:pStyle w:val="95"/>
        <w:rPr>
          <w:rFonts w:hint="eastAsia" w:ascii="宋体" w:hAnsi="宋体" w:eastAsia="宋体" w:cs="宋体"/>
          <w:color w:val="auto"/>
          <w:highlight w:val="none"/>
        </w:rPr>
      </w:pPr>
    </w:p>
    <w:p>
      <w:pPr>
        <w:pStyle w:val="95"/>
        <w:rPr>
          <w:rFonts w:hint="eastAsia" w:ascii="宋体" w:hAnsi="宋体" w:eastAsia="宋体" w:cs="宋体"/>
          <w:color w:val="auto"/>
          <w:highlight w:val="none"/>
        </w:rPr>
      </w:pPr>
    </w:p>
    <w:p>
      <w:pPr>
        <w:pStyle w:val="95"/>
        <w:rPr>
          <w:rFonts w:hint="eastAsia" w:ascii="宋体" w:hAnsi="宋体" w:eastAsia="宋体" w:cs="宋体"/>
          <w:color w:val="auto"/>
          <w:highlight w:val="none"/>
        </w:rPr>
      </w:pPr>
    </w:p>
    <w:p>
      <w:pPr>
        <w:pStyle w:val="95"/>
        <w:rPr>
          <w:rFonts w:hint="eastAsia" w:ascii="宋体" w:hAnsi="宋体" w:eastAsia="宋体" w:cs="宋体"/>
          <w:color w:val="auto"/>
          <w:highlight w:val="none"/>
        </w:rPr>
      </w:pPr>
    </w:p>
    <w:p>
      <w:pPr>
        <w:pStyle w:val="95"/>
        <w:rPr>
          <w:rFonts w:hint="eastAsia" w:ascii="宋体" w:hAnsi="宋体" w:eastAsia="宋体" w:cs="宋体"/>
          <w:color w:val="auto"/>
          <w:highlight w:val="none"/>
        </w:rPr>
      </w:pPr>
    </w:p>
    <w:p>
      <w:pPr>
        <w:pStyle w:val="95"/>
        <w:rPr>
          <w:rFonts w:hint="eastAsia" w:ascii="宋体" w:hAnsi="宋体" w:eastAsia="宋体" w:cs="宋体"/>
          <w:color w:val="auto"/>
          <w:highlight w:val="none"/>
        </w:rPr>
      </w:pPr>
    </w:p>
    <w:p>
      <w:pPr>
        <w:pStyle w:val="95"/>
        <w:rPr>
          <w:rFonts w:hint="eastAsia" w:ascii="宋体" w:hAnsi="宋体" w:eastAsia="宋体" w:cs="宋体"/>
          <w:color w:val="auto"/>
          <w:highlight w:val="none"/>
        </w:rPr>
      </w:pPr>
    </w:p>
    <w:p>
      <w:pPr>
        <w:pStyle w:val="95"/>
        <w:rPr>
          <w:rFonts w:hint="eastAsia" w:ascii="宋体" w:hAnsi="宋体" w:eastAsia="宋体" w:cs="宋体"/>
          <w:color w:val="auto"/>
          <w:highlight w:val="none"/>
        </w:rPr>
      </w:pPr>
    </w:p>
    <w:p>
      <w:pPr>
        <w:pStyle w:val="95"/>
        <w:rPr>
          <w:rFonts w:hint="eastAsia" w:ascii="宋体" w:hAnsi="宋体" w:eastAsia="宋体" w:cs="宋体"/>
          <w:color w:val="auto"/>
          <w:highlight w:val="none"/>
        </w:rPr>
      </w:pPr>
    </w:p>
    <w:p>
      <w:pPr>
        <w:pStyle w:val="95"/>
        <w:rPr>
          <w:rFonts w:hint="eastAsia" w:ascii="宋体" w:hAnsi="宋体" w:eastAsia="宋体" w:cs="宋体"/>
          <w:color w:val="auto"/>
          <w:highlight w:val="none"/>
        </w:rPr>
      </w:pPr>
    </w:p>
    <w:p>
      <w:pPr>
        <w:pStyle w:val="95"/>
        <w:rPr>
          <w:rFonts w:hint="eastAsia" w:ascii="宋体" w:hAnsi="宋体" w:eastAsia="宋体" w:cs="宋体"/>
          <w:color w:val="auto"/>
          <w:highlight w:val="none"/>
        </w:rPr>
      </w:pPr>
    </w:p>
    <w:p>
      <w:pPr>
        <w:pStyle w:val="7"/>
        <w:spacing w:before="0" w:after="0" w:line="240" w:lineRule="auto"/>
        <w:jc w:val="center"/>
        <w:rPr>
          <w:rFonts w:hint="eastAsia" w:ascii="宋体" w:hAnsi="宋体" w:eastAsia="宋体" w:cs="宋体"/>
          <w:color w:val="auto"/>
          <w:highlight w:val="none"/>
        </w:rPr>
      </w:pPr>
      <w:bookmarkStart w:id="42" w:name="_Toc176861409"/>
      <w:r>
        <w:rPr>
          <w:rFonts w:hint="eastAsia" w:ascii="宋体" w:hAnsi="宋体" w:eastAsia="宋体" w:cs="宋体"/>
          <w:color w:val="auto"/>
          <w:highlight w:val="none"/>
        </w:rPr>
        <w:t>第四章  采购项目需求</w:t>
      </w:r>
      <w:bookmarkEnd w:id="42"/>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spacing w:line="440" w:lineRule="exact"/>
        <w:jc w:val="center"/>
        <w:rPr>
          <w:rFonts w:hint="eastAsia" w:ascii="宋体" w:hAnsi="宋体" w:eastAsia="宋体" w:cs="宋体"/>
          <w:color w:val="auto"/>
          <w:sz w:val="36"/>
          <w:szCs w:val="36"/>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10"/>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10"/>
        <w:rPr>
          <w:rFonts w:hint="eastAsia"/>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autoSpaceDE w:val="0"/>
        <w:autoSpaceDN w:val="0"/>
        <w:adjustRightInd w:val="0"/>
        <w:jc w:val="center"/>
        <w:rPr>
          <w:rFonts w:hint="eastAsia" w:ascii="宋体" w:hAnsi="宋体" w:eastAsia="宋体" w:cs="宋体"/>
          <w:b/>
          <w:bCs/>
          <w:color w:val="auto"/>
          <w:kern w:val="0"/>
          <w:sz w:val="32"/>
          <w:szCs w:val="32"/>
          <w:highlight w:val="none"/>
          <w:lang w:val="zh-CN"/>
        </w:rPr>
      </w:pPr>
      <w:r>
        <w:rPr>
          <w:rFonts w:hint="eastAsia" w:ascii="宋体" w:hAnsi="宋体" w:eastAsia="宋体" w:cs="宋体"/>
          <w:b/>
          <w:bCs/>
          <w:color w:val="auto"/>
          <w:kern w:val="0"/>
          <w:sz w:val="32"/>
          <w:szCs w:val="32"/>
          <w:highlight w:val="none"/>
          <w:lang w:val="zh-CN"/>
        </w:rPr>
        <w:t>项目采购需求</w:t>
      </w:r>
    </w:p>
    <w:p>
      <w:pPr>
        <w:adjustRightInd w:val="0"/>
        <w:spacing w:line="360" w:lineRule="auto"/>
        <w:jc w:val="left"/>
        <w:rPr>
          <w:rFonts w:hint="eastAsia" w:ascii="宋体" w:hAnsi="宋体" w:eastAsia="宋体" w:cs="宋体"/>
          <w:b/>
          <w:bCs/>
          <w:color w:val="auto"/>
          <w:sz w:val="21"/>
          <w:szCs w:val="21"/>
          <w:highlight w:val="none"/>
        </w:rPr>
      </w:pPr>
    </w:p>
    <w:p>
      <w:pPr>
        <w:adjustRightInd w:val="0"/>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一、工程概况：</w:t>
      </w:r>
    </w:p>
    <w:p>
      <w:pPr>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本项目为</w:t>
      </w:r>
      <w:r>
        <w:rPr>
          <w:rFonts w:hint="eastAsia" w:ascii="宋体" w:hAnsi="宋体" w:cs="宋体"/>
          <w:color w:val="auto"/>
          <w:sz w:val="21"/>
          <w:szCs w:val="21"/>
          <w:highlight w:val="none"/>
          <w:lang w:eastAsia="zh-CN"/>
        </w:rPr>
        <w:t>2026年合浦县西场镇五浪江村李国松地磅至东茶村路口道路硬化工程</w:t>
      </w:r>
      <w:r>
        <w:rPr>
          <w:rFonts w:hint="eastAsia" w:ascii="宋体" w:hAnsi="宋体" w:eastAsia="宋体" w:cs="宋体"/>
          <w:color w:val="auto"/>
          <w:sz w:val="21"/>
          <w:szCs w:val="21"/>
          <w:highlight w:val="none"/>
          <w:lang w:eastAsia="zh-CN"/>
        </w:rPr>
        <w:t>。</w:t>
      </w:r>
    </w:p>
    <w:p>
      <w:pPr>
        <w:adjustRightIn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二、工程内容</w:t>
      </w:r>
    </w:p>
    <w:p>
      <w:pPr>
        <w:adjustRightInd w:val="0"/>
        <w:spacing w:line="360" w:lineRule="auto"/>
        <w:ind w:left="210" w:left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1.工程名称：</w:t>
      </w:r>
      <w:r>
        <w:rPr>
          <w:rFonts w:hint="eastAsia" w:ascii="宋体" w:hAnsi="宋体" w:cs="宋体"/>
          <w:color w:val="auto"/>
          <w:sz w:val="21"/>
          <w:szCs w:val="21"/>
          <w:highlight w:val="none"/>
          <w:lang w:eastAsia="zh-CN"/>
        </w:rPr>
        <w:t>2026年合浦县西场镇五浪江村李国松地磅至东茶村路口道路硬化工程</w:t>
      </w:r>
      <w:r>
        <w:rPr>
          <w:rFonts w:hint="eastAsia" w:ascii="宋体" w:hAnsi="宋体" w:eastAsia="宋体" w:cs="宋体"/>
          <w:color w:val="auto"/>
          <w:sz w:val="21"/>
          <w:szCs w:val="21"/>
          <w:highlight w:val="none"/>
          <w:lang w:eastAsia="zh-CN"/>
        </w:rPr>
        <w:t>。</w:t>
      </w:r>
    </w:p>
    <w:p>
      <w:pPr>
        <w:adjustRightInd w:val="0"/>
        <w:spacing w:line="36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2.现场条件：满足施工要求</w:t>
      </w:r>
    </w:p>
    <w:p>
      <w:pPr>
        <w:adjustRightInd w:val="0"/>
        <w:spacing w:line="36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3.工程承包范围：</w:t>
      </w:r>
      <w:r>
        <w:rPr>
          <w:rFonts w:hint="eastAsia" w:ascii="宋体" w:hAnsi="宋体" w:eastAsia="宋体" w:cs="宋体"/>
          <w:color w:val="auto"/>
          <w:sz w:val="21"/>
          <w:szCs w:val="21"/>
          <w:highlight w:val="none"/>
          <w:lang w:eastAsia="zh-CN"/>
        </w:rPr>
        <w:t>详见工程量清单及图纸</w:t>
      </w:r>
    </w:p>
    <w:p>
      <w:pPr>
        <w:adjustRightInd w:val="0"/>
        <w:spacing w:line="36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4.工程质量标准：</w:t>
      </w:r>
      <w:r>
        <w:rPr>
          <w:rFonts w:hint="eastAsia" w:ascii="宋体" w:hAnsi="宋体" w:eastAsia="宋体" w:cs="宋体"/>
          <w:color w:val="auto"/>
          <w:sz w:val="21"/>
          <w:szCs w:val="21"/>
          <w:highlight w:val="none"/>
          <w:lang w:eastAsia="zh-CN"/>
        </w:rPr>
        <w:t>合格</w:t>
      </w:r>
    </w:p>
    <w:p>
      <w:pPr>
        <w:adjustRightInd w:val="0"/>
        <w:spacing w:line="360" w:lineRule="auto"/>
        <w:ind w:left="210" w:leftChars="100"/>
        <w:jc w:val="lef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rPr>
        <w:t>5.工程施工要求</w:t>
      </w:r>
      <w:r>
        <w:rPr>
          <w:rFonts w:hint="eastAsia" w:ascii="宋体" w:hAnsi="宋体" w:eastAsia="宋体" w:cs="宋体"/>
          <w:color w:val="auto"/>
          <w:sz w:val="21"/>
          <w:szCs w:val="21"/>
          <w:highlight w:val="none"/>
          <w:u w:val="none"/>
        </w:rPr>
        <w:t>：满足施工要求</w:t>
      </w:r>
    </w:p>
    <w:p>
      <w:pPr>
        <w:adjustRightInd w:val="0"/>
        <w:spacing w:line="360" w:lineRule="auto"/>
        <w:ind w:firstLine="210" w:firstLineChars="100"/>
        <w:jc w:val="lef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6.工程管理要求：</w:t>
      </w:r>
      <w:r>
        <w:rPr>
          <w:rFonts w:hint="eastAsia" w:ascii="宋体" w:hAnsi="宋体" w:eastAsia="宋体" w:cs="宋体"/>
          <w:color w:val="auto"/>
          <w:highlight w:val="none"/>
          <w:u w:val="none"/>
        </w:rPr>
        <w:t>满足施工要</w:t>
      </w:r>
      <w:r>
        <w:rPr>
          <w:rFonts w:hint="eastAsia" w:ascii="宋体" w:hAnsi="宋体" w:eastAsia="宋体" w:cs="宋体"/>
          <w:color w:val="auto"/>
          <w:sz w:val="21"/>
          <w:szCs w:val="21"/>
          <w:highlight w:val="none"/>
          <w:u w:val="none"/>
        </w:rPr>
        <w:t>求</w:t>
      </w:r>
    </w:p>
    <w:p>
      <w:pPr>
        <w:adjustRightInd w:val="0"/>
        <w:spacing w:line="36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7.工程主要材料（设备）要求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满足施工要求</w:t>
      </w:r>
    </w:p>
    <w:p>
      <w:pPr>
        <w:adjustRightInd w:val="0"/>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三、商务要求</w:t>
      </w:r>
    </w:p>
    <w:p>
      <w:pPr>
        <w:adjustRightInd w:val="0"/>
        <w:spacing w:line="36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1.工期要求：自合同签定之日起90天内完成</w:t>
      </w:r>
    </w:p>
    <w:p>
      <w:pPr>
        <w:adjustRightInd w:val="0"/>
        <w:spacing w:line="36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2.工程地点：</w:t>
      </w:r>
      <w:r>
        <w:rPr>
          <w:rFonts w:hint="eastAsia" w:ascii="宋体" w:hAnsi="宋体" w:eastAsia="宋体" w:cs="宋体"/>
          <w:color w:val="auto"/>
          <w:sz w:val="21"/>
          <w:szCs w:val="21"/>
          <w:highlight w:val="none"/>
          <w:lang w:eastAsia="zh-CN"/>
        </w:rPr>
        <w:t>合浦县</w:t>
      </w:r>
    </w:p>
    <w:p>
      <w:pPr>
        <w:adjustRightInd w:val="0"/>
        <w:spacing w:line="36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3.付款条件（进度和方式）</w:t>
      </w:r>
    </w:p>
    <w:tbl>
      <w:tblPr>
        <w:tblStyle w:val="39"/>
        <w:tblW w:w="9932" w:type="dxa"/>
        <w:tblInd w:w="0"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108" w:type="dxa"/>
          <w:bottom w:w="0" w:type="dxa"/>
          <w:right w:w="108" w:type="dxa"/>
        </w:tblCellMar>
      </w:tblPr>
      <w:tblGrid>
        <w:gridCol w:w="1375"/>
        <w:gridCol w:w="1579"/>
        <w:gridCol w:w="6978"/>
      </w:tblGrid>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108" w:type="dxa"/>
            <w:bottom w:w="0" w:type="dxa"/>
            <w:right w:w="108" w:type="dxa"/>
          </w:tblCellMar>
        </w:tblPrEx>
        <w:trPr>
          <w:trHeight w:val="569" w:hRule="atLeast"/>
        </w:trPr>
        <w:tc>
          <w:tcPr>
            <w:tcW w:w="1375"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7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付款比例（%）</w:t>
            </w:r>
          </w:p>
        </w:tc>
        <w:tc>
          <w:tcPr>
            <w:tcW w:w="6978"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108" w:type="dxa"/>
            <w:bottom w:w="0" w:type="dxa"/>
            <w:right w:w="108" w:type="dxa"/>
          </w:tblCellMar>
        </w:tblPrEx>
        <w:trPr>
          <w:trHeight w:val="465" w:hRule="atLeast"/>
        </w:trPr>
        <w:tc>
          <w:tcPr>
            <w:tcW w:w="1375"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7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30</w:t>
            </w:r>
          </w:p>
        </w:tc>
        <w:tc>
          <w:tcPr>
            <w:tcW w:w="6978"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签订施工合同后支付合同价款30%作为预付款</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108" w:type="dxa"/>
            <w:bottom w:w="0" w:type="dxa"/>
            <w:right w:w="108" w:type="dxa"/>
          </w:tblCellMar>
        </w:tblPrEx>
        <w:tc>
          <w:tcPr>
            <w:tcW w:w="1375"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7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60</w:t>
            </w:r>
          </w:p>
        </w:tc>
        <w:tc>
          <w:tcPr>
            <w:tcW w:w="6978"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lang w:eastAsia="zh-CN"/>
              </w:rPr>
              <w:t>工程款原则上按工程进度支付，合同内进度款支付限额为合同价的90%</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108" w:type="dxa"/>
            <w:bottom w:w="0" w:type="dxa"/>
            <w:right w:w="108" w:type="dxa"/>
          </w:tblCellMar>
        </w:tblPrEx>
        <w:tc>
          <w:tcPr>
            <w:tcW w:w="1375"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157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p>
        </w:tc>
        <w:tc>
          <w:tcPr>
            <w:tcW w:w="6978"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lang w:eastAsia="zh-CN"/>
              </w:rPr>
              <w:t>工程竣工验收并办理结算手续后，工程款支付至结算总价的97%</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108" w:type="dxa"/>
            <w:bottom w:w="0" w:type="dxa"/>
            <w:right w:w="108" w:type="dxa"/>
          </w:tblCellMar>
        </w:tblPrEx>
        <w:tc>
          <w:tcPr>
            <w:tcW w:w="1375"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57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6978"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lang w:eastAsia="zh-CN"/>
              </w:rPr>
              <w:t>发包人按工程价款结算总额的3%预留工程质量保修金，待工程缺陷责任期满后，如无质量问题，发包人应无息返还保修金</w:t>
            </w:r>
          </w:p>
        </w:tc>
      </w:tr>
    </w:tbl>
    <w:p>
      <w:pPr>
        <w:adjustRightInd w:val="0"/>
        <w:spacing w:line="36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4.工程售后服务要求：质保一年</w:t>
      </w:r>
    </w:p>
    <w:p>
      <w:pPr>
        <w:adjustRightInd w:val="0"/>
        <w:spacing w:line="36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5.其他商务要求（包装和运输、保险等）：/</w:t>
      </w: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r>
        <w:rPr>
          <w:rFonts w:hint="eastAsia" w:ascii="宋体" w:hAnsi="宋体" w:eastAsia="宋体" w:cs="宋体"/>
          <w:color w:val="auto"/>
          <w:highlight w:val="none"/>
        </w:rPr>
        <w:br w:type="page"/>
      </w: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7"/>
        <w:spacing w:before="0" w:after="0" w:line="240" w:lineRule="auto"/>
        <w:jc w:val="center"/>
        <w:rPr>
          <w:rFonts w:hint="eastAsia" w:ascii="宋体" w:hAnsi="宋体" w:eastAsia="宋体" w:cs="宋体"/>
          <w:color w:val="auto"/>
          <w:highlight w:val="none"/>
        </w:rPr>
      </w:pPr>
      <w:bookmarkStart w:id="43" w:name="_Toc176861410"/>
      <w:r>
        <w:rPr>
          <w:rFonts w:hint="eastAsia" w:ascii="宋体" w:hAnsi="宋体" w:eastAsia="宋体" w:cs="宋体"/>
          <w:color w:val="auto"/>
          <w:highlight w:val="none"/>
        </w:rPr>
        <w:t>第五章  工程量清单及图纸</w:t>
      </w:r>
      <w:bookmarkEnd w:id="43"/>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spacing w:line="440" w:lineRule="exact"/>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工程量清单及图纸（另册）</w:t>
      </w:r>
    </w:p>
    <w:p>
      <w:pPr>
        <w:spacing w:line="440" w:lineRule="exact"/>
        <w:jc w:val="center"/>
        <w:rPr>
          <w:rFonts w:hint="eastAsia" w:ascii="宋体" w:hAnsi="宋体" w:eastAsia="宋体" w:cs="宋体"/>
          <w:color w:val="auto"/>
          <w:sz w:val="36"/>
          <w:szCs w:val="36"/>
          <w:highlight w:val="none"/>
        </w:rPr>
      </w:pPr>
    </w:p>
    <w:p>
      <w:pPr>
        <w:pStyle w:val="8"/>
        <w:spacing w:before="0" w:after="0"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pPr>
        <w:rPr>
          <w:rFonts w:hint="eastAsia" w:ascii="宋体" w:hAnsi="宋体" w:eastAsia="宋体" w:cs="宋体"/>
          <w:color w:val="auto"/>
          <w:highlight w:val="none"/>
        </w:rPr>
      </w:pPr>
    </w:p>
    <w:p>
      <w:pPr>
        <w:pStyle w:val="5"/>
        <w:rPr>
          <w:rFonts w:hint="eastAsia" w:ascii="宋体" w:hAnsi="宋体" w:eastAsia="宋体" w:cs="宋体"/>
          <w:color w:val="auto"/>
          <w:highlight w:val="none"/>
        </w:rPr>
      </w:pPr>
    </w:p>
    <w:p>
      <w:pPr>
        <w:rPr>
          <w:rFonts w:hint="eastAsia" w:ascii="宋体" w:hAnsi="宋体" w:eastAsia="宋体" w:cs="宋体"/>
          <w:color w:val="auto"/>
          <w:highlight w:val="none"/>
        </w:rPr>
      </w:pPr>
    </w:p>
    <w:p>
      <w:pPr>
        <w:spacing w:line="600" w:lineRule="exact"/>
        <w:rPr>
          <w:rFonts w:hint="eastAsia" w:ascii="宋体" w:hAnsi="宋体" w:eastAsia="宋体" w:cs="宋体"/>
          <w:color w:val="auto"/>
          <w:szCs w:val="21"/>
          <w:highlight w:val="none"/>
        </w:rPr>
      </w:pPr>
    </w:p>
    <w:p>
      <w:pPr>
        <w:spacing w:line="300" w:lineRule="auto"/>
        <w:rPr>
          <w:rFonts w:hint="eastAsia" w:ascii="宋体" w:hAnsi="宋体" w:eastAsia="宋体" w:cs="宋体"/>
          <w:b/>
          <w:color w:val="auto"/>
          <w:szCs w:val="21"/>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pStyle w:val="5"/>
        <w:rPr>
          <w:rFonts w:hint="eastAsia" w:ascii="宋体" w:hAnsi="宋体" w:eastAsia="宋体" w:cs="宋体"/>
          <w:color w:val="auto"/>
          <w:highlight w:val="none"/>
        </w:rPr>
      </w:pPr>
    </w:p>
    <w:p>
      <w:pPr>
        <w:rPr>
          <w:rFonts w:hint="eastAsia" w:ascii="宋体" w:hAnsi="宋体" w:eastAsia="宋体" w:cs="宋体"/>
          <w:color w:val="auto"/>
          <w:highlight w:val="none"/>
        </w:rPr>
      </w:pPr>
    </w:p>
    <w:p>
      <w:pPr>
        <w:autoSpaceDE w:val="0"/>
        <w:autoSpaceDN w:val="0"/>
        <w:adjustRightInd w:val="0"/>
        <w:snapToGrid w:val="0"/>
        <w:spacing w:line="300" w:lineRule="auto"/>
        <w:ind w:firstLine="3282" w:firstLineChars="743"/>
        <w:outlineLvl w:val="0"/>
        <w:rPr>
          <w:rFonts w:hint="eastAsia" w:ascii="宋体" w:hAnsi="宋体" w:eastAsia="宋体" w:cs="宋体"/>
          <w:b/>
          <w:color w:val="auto"/>
          <w:kern w:val="0"/>
          <w:sz w:val="44"/>
          <w:szCs w:val="44"/>
          <w:highlight w:val="none"/>
        </w:rPr>
      </w:pPr>
      <w:bookmarkStart w:id="44" w:name="_Toc31815"/>
      <w:bookmarkStart w:id="45" w:name="_Toc176861411"/>
      <w:bookmarkStart w:id="46" w:name="_Toc3994507"/>
      <w:r>
        <w:rPr>
          <w:rFonts w:hint="eastAsia" w:ascii="宋体" w:hAnsi="宋体" w:eastAsia="宋体" w:cs="宋体"/>
          <w:b/>
          <w:color w:val="auto"/>
          <w:kern w:val="0"/>
          <w:sz w:val="44"/>
          <w:szCs w:val="44"/>
          <w:highlight w:val="none"/>
        </w:rPr>
        <w:t>第六章  合同格式</w:t>
      </w:r>
      <w:bookmarkEnd w:id="44"/>
      <w:bookmarkEnd w:id="45"/>
      <w:bookmarkEnd w:id="46"/>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pStyle w:val="5"/>
        <w:rPr>
          <w:rFonts w:hint="eastAsia" w:ascii="宋体" w:hAnsi="宋体" w:eastAsia="宋体" w:cs="宋体"/>
          <w:color w:val="auto"/>
          <w:highlight w:val="none"/>
        </w:rPr>
      </w:pPr>
    </w:p>
    <w:p>
      <w:pPr>
        <w:rPr>
          <w:rFonts w:hint="eastAsia" w:ascii="宋体" w:hAnsi="宋体" w:eastAsia="宋体" w:cs="宋体"/>
          <w:color w:val="auto"/>
          <w:highlight w:val="none"/>
        </w:rPr>
      </w:pPr>
    </w:p>
    <w:p>
      <w:pPr>
        <w:spacing w:line="300" w:lineRule="auto"/>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pPr>
        <w:pStyle w:val="25"/>
        <w:jc w:val="center"/>
        <w:rPr>
          <w:rFonts w:hint="eastAsia" w:ascii="宋体" w:hAnsi="宋体" w:eastAsia="宋体" w:cs="宋体"/>
          <w:b/>
          <w:color w:val="auto"/>
          <w:sz w:val="52"/>
          <w:szCs w:val="52"/>
          <w:highlight w:val="none"/>
        </w:rPr>
      </w:pPr>
      <w:r>
        <w:rPr>
          <w:rFonts w:hint="eastAsia" w:ascii="宋体" w:hAnsi="宋体" w:eastAsia="宋体" w:cs="宋体"/>
          <w:b/>
          <w:color w:val="auto"/>
          <w:sz w:val="52"/>
          <w:szCs w:val="52"/>
          <w:highlight w:val="none"/>
        </w:rPr>
        <w:t>北海市政府采购合同</w:t>
      </w: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rPr>
          <w:rFonts w:hint="eastAsia" w:ascii="宋体" w:hAnsi="宋体" w:eastAsia="宋体" w:cs="宋体"/>
          <w:color w:val="auto"/>
          <w:highlight w:val="none"/>
        </w:rPr>
      </w:pPr>
    </w:p>
    <w:p>
      <w:pPr>
        <w:pStyle w:val="25"/>
        <w:ind w:firstLine="1590" w:firstLineChars="495"/>
        <w:rPr>
          <w:rFonts w:hint="eastAsia" w:ascii="宋体" w:hAnsi="宋体" w:eastAsia="宋体" w:cs="宋体"/>
          <w:b/>
          <w:color w:val="auto"/>
          <w:sz w:val="32"/>
          <w:szCs w:val="32"/>
          <w:highlight w:val="none"/>
          <w:u w:val="single"/>
        </w:rPr>
      </w:pPr>
      <w:r>
        <w:rPr>
          <w:rFonts w:hint="eastAsia" w:ascii="宋体" w:hAnsi="宋体" w:eastAsia="宋体" w:cs="宋体"/>
          <w:b/>
          <w:color w:val="auto"/>
          <w:sz w:val="32"/>
          <w:szCs w:val="32"/>
          <w:highlight w:val="none"/>
        </w:rPr>
        <w:t>合同名称：</w:t>
      </w:r>
      <w:r>
        <w:rPr>
          <w:rFonts w:hint="eastAsia" w:ascii="宋体" w:hAnsi="宋体" w:eastAsia="宋体" w:cs="宋体"/>
          <w:b/>
          <w:color w:val="auto"/>
          <w:sz w:val="32"/>
          <w:szCs w:val="32"/>
          <w:highlight w:val="none"/>
          <w:u w:val="single"/>
        </w:rPr>
        <w:t xml:space="preserve">                    </w:t>
      </w:r>
    </w:p>
    <w:p>
      <w:pPr>
        <w:pStyle w:val="25"/>
        <w:ind w:firstLine="1590" w:firstLineChars="495"/>
        <w:rPr>
          <w:rFonts w:hint="eastAsia" w:ascii="宋体" w:hAnsi="宋体" w:eastAsia="宋体" w:cs="宋体"/>
          <w:b/>
          <w:color w:val="auto"/>
          <w:sz w:val="32"/>
          <w:szCs w:val="32"/>
          <w:highlight w:val="none"/>
          <w:u w:val="single"/>
        </w:rPr>
      </w:pPr>
      <w:r>
        <w:rPr>
          <w:rFonts w:hint="eastAsia" w:ascii="宋体" w:hAnsi="宋体" w:eastAsia="宋体" w:cs="宋体"/>
          <w:b/>
          <w:color w:val="auto"/>
          <w:sz w:val="32"/>
          <w:szCs w:val="32"/>
          <w:highlight w:val="none"/>
        </w:rPr>
        <w:t>合同编号：</w:t>
      </w:r>
      <w:r>
        <w:rPr>
          <w:rFonts w:hint="eastAsia" w:ascii="宋体" w:hAnsi="宋体" w:eastAsia="宋体" w:cs="宋体"/>
          <w:b/>
          <w:color w:val="auto"/>
          <w:sz w:val="32"/>
          <w:szCs w:val="32"/>
          <w:highlight w:val="none"/>
          <w:u w:val="single"/>
        </w:rPr>
        <w:t xml:space="preserve">                    </w:t>
      </w:r>
    </w:p>
    <w:p>
      <w:pPr>
        <w:pStyle w:val="25"/>
        <w:jc w:val="center"/>
        <w:rPr>
          <w:rFonts w:hint="eastAsia" w:ascii="宋体" w:hAnsi="宋体" w:eastAsia="宋体" w:cs="宋体"/>
          <w:color w:val="auto"/>
          <w:highlight w:val="none"/>
        </w:rPr>
      </w:pPr>
    </w:p>
    <w:p>
      <w:pPr>
        <w:pStyle w:val="25"/>
        <w:jc w:val="center"/>
        <w:rPr>
          <w:rFonts w:hint="eastAsia" w:ascii="宋体" w:hAnsi="宋体" w:eastAsia="宋体" w:cs="宋体"/>
          <w:color w:val="auto"/>
          <w:highlight w:val="none"/>
        </w:rPr>
      </w:pPr>
    </w:p>
    <w:p>
      <w:pPr>
        <w:pStyle w:val="25"/>
        <w:jc w:val="center"/>
        <w:rPr>
          <w:rFonts w:hint="eastAsia" w:ascii="宋体" w:hAnsi="宋体" w:eastAsia="宋体" w:cs="宋体"/>
          <w:color w:val="auto"/>
          <w:highlight w:val="none"/>
        </w:rPr>
      </w:pPr>
    </w:p>
    <w:p>
      <w:pPr>
        <w:pStyle w:val="25"/>
        <w:spacing w:line="340" w:lineRule="exact"/>
        <w:ind w:firstLine="1590" w:firstLineChars="495"/>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采购人（甲方）</w:t>
      </w:r>
      <w:r>
        <w:rPr>
          <w:rFonts w:hint="eastAsia" w:ascii="宋体" w:hAnsi="宋体" w:eastAsia="宋体" w:cs="宋体"/>
          <w:b/>
          <w:color w:val="auto"/>
          <w:sz w:val="32"/>
          <w:szCs w:val="32"/>
          <w:highlight w:val="none"/>
          <w:u w:val="single"/>
        </w:rPr>
        <w:t xml:space="preserve">                    </w:t>
      </w:r>
    </w:p>
    <w:p>
      <w:pPr>
        <w:pStyle w:val="25"/>
        <w:spacing w:line="340" w:lineRule="exact"/>
        <w:ind w:firstLine="1590" w:firstLineChars="495"/>
        <w:rPr>
          <w:rFonts w:hint="eastAsia" w:ascii="宋体" w:hAnsi="宋体" w:eastAsia="宋体" w:cs="宋体"/>
          <w:b/>
          <w:color w:val="auto"/>
          <w:sz w:val="32"/>
          <w:szCs w:val="32"/>
          <w:highlight w:val="none"/>
        </w:rPr>
      </w:pPr>
    </w:p>
    <w:p>
      <w:pPr>
        <w:pStyle w:val="25"/>
        <w:spacing w:line="340" w:lineRule="exact"/>
        <w:ind w:firstLine="1590" w:firstLineChars="495"/>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 应 商（乙方）</w:t>
      </w:r>
      <w:r>
        <w:rPr>
          <w:rFonts w:hint="eastAsia" w:ascii="宋体" w:hAnsi="宋体" w:eastAsia="宋体" w:cs="宋体"/>
          <w:b/>
          <w:color w:val="auto"/>
          <w:sz w:val="32"/>
          <w:szCs w:val="32"/>
          <w:highlight w:val="none"/>
          <w:u w:val="single"/>
        </w:rPr>
        <w:t xml:space="preserve">                    </w:t>
      </w:r>
    </w:p>
    <w:p>
      <w:pPr>
        <w:pStyle w:val="25"/>
        <w:jc w:val="center"/>
        <w:rPr>
          <w:rFonts w:hint="eastAsia" w:ascii="宋体" w:hAnsi="宋体" w:eastAsia="宋体" w:cs="宋体"/>
          <w:color w:val="auto"/>
          <w:highlight w:val="none"/>
        </w:rPr>
      </w:pPr>
    </w:p>
    <w:p>
      <w:pPr>
        <w:pStyle w:val="25"/>
        <w:jc w:val="center"/>
        <w:rPr>
          <w:rFonts w:hint="eastAsia" w:ascii="宋体" w:hAnsi="宋体" w:eastAsia="宋体" w:cs="宋体"/>
          <w:color w:val="auto"/>
          <w:highlight w:val="none"/>
        </w:rPr>
      </w:pPr>
    </w:p>
    <w:p>
      <w:pPr>
        <w:pStyle w:val="25"/>
        <w:jc w:val="center"/>
        <w:rPr>
          <w:rFonts w:hint="eastAsia" w:ascii="宋体" w:hAnsi="宋体" w:eastAsia="宋体" w:cs="宋体"/>
          <w:color w:val="auto"/>
          <w:highlight w:val="none"/>
        </w:rPr>
      </w:pPr>
    </w:p>
    <w:p>
      <w:pPr>
        <w:pStyle w:val="25"/>
        <w:jc w:val="center"/>
        <w:rPr>
          <w:rFonts w:hint="eastAsia" w:ascii="宋体" w:hAnsi="宋体" w:eastAsia="宋体" w:cs="宋体"/>
          <w:color w:val="auto"/>
          <w:highlight w:val="none"/>
        </w:rPr>
      </w:pPr>
    </w:p>
    <w:p>
      <w:pPr>
        <w:pStyle w:val="25"/>
        <w:ind w:firstLine="1590" w:firstLineChars="495"/>
        <w:rPr>
          <w:rFonts w:hint="eastAsia" w:ascii="宋体" w:hAnsi="宋体" w:eastAsia="宋体" w:cs="宋体"/>
          <w:b/>
          <w:color w:val="auto"/>
          <w:sz w:val="32"/>
          <w:szCs w:val="32"/>
          <w:highlight w:val="none"/>
          <w:u w:val="single"/>
        </w:rPr>
      </w:pPr>
      <w:r>
        <w:rPr>
          <w:rFonts w:hint="eastAsia" w:ascii="宋体" w:hAnsi="宋体" w:eastAsia="宋体" w:cs="宋体"/>
          <w:b/>
          <w:color w:val="auto"/>
          <w:sz w:val="32"/>
          <w:szCs w:val="32"/>
          <w:highlight w:val="none"/>
        </w:rPr>
        <w:t>签订合同地点：</w:t>
      </w:r>
      <w:r>
        <w:rPr>
          <w:rFonts w:hint="eastAsia" w:ascii="宋体" w:hAnsi="宋体" w:eastAsia="宋体" w:cs="宋体"/>
          <w:b/>
          <w:color w:val="auto"/>
          <w:sz w:val="32"/>
          <w:szCs w:val="32"/>
          <w:highlight w:val="none"/>
          <w:u w:val="single"/>
        </w:rPr>
        <w:t xml:space="preserve">                    </w:t>
      </w:r>
    </w:p>
    <w:p>
      <w:pPr>
        <w:pStyle w:val="25"/>
        <w:ind w:firstLine="1590" w:firstLineChars="495"/>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签订合同时间：</w:t>
      </w:r>
      <w:r>
        <w:rPr>
          <w:rFonts w:hint="eastAsia" w:ascii="宋体" w:hAnsi="宋体" w:eastAsia="宋体" w:cs="宋体"/>
          <w:b/>
          <w:color w:val="auto"/>
          <w:sz w:val="32"/>
          <w:szCs w:val="32"/>
          <w:highlight w:val="none"/>
          <w:u w:val="single"/>
        </w:rPr>
        <w:t xml:space="preserve">                    </w:t>
      </w:r>
    </w:p>
    <w:p>
      <w:pPr>
        <w:pStyle w:val="25"/>
        <w:jc w:val="cente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25"/>
        <w:jc w:val="center"/>
        <w:rPr>
          <w:rFonts w:hint="eastAsia" w:ascii="宋体" w:hAnsi="宋体" w:eastAsia="宋体" w:cs="宋体"/>
          <w:color w:val="auto"/>
          <w:highlight w:val="none"/>
        </w:rPr>
      </w:pPr>
    </w:p>
    <w:p>
      <w:pPr>
        <w:pStyle w:val="25"/>
        <w:jc w:val="center"/>
        <w:rPr>
          <w:rFonts w:hint="eastAsia" w:ascii="宋体" w:hAnsi="宋体" w:eastAsia="宋体" w:cs="宋体"/>
          <w:color w:val="auto"/>
          <w:highlight w:val="none"/>
        </w:rPr>
      </w:pPr>
    </w:p>
    <w:p>
      <w:pPr>
        <w:pStyle w:val="25"/>
        <w:jc w:val="center"/>
        <w:rPr>
          <w:rFonts w:hint="eastAsia" w:ascii="宋体" w:hAnsi="宋体" w:eastAsia="宋体" w:cs="宋体"/>
          <w:color w:val="auto"/>
          <w:highlight w:val="none"/>
        </w:rPr>
      </w:pPr>
    </w:p>
    <w:p>
      <w:pPr>
        <w:pStyle w:val="25"/>
        <w:jc w:val="center"/>
        <w:rPr>
          <w:rFonts w:hint="eastAsia" w:ascii="宋体" w:hAnsi="宋体" w:eastAsia="宋体" w:cs="宋体"/>
          <w:color w:val="auto"/>
          <w:highlight w:val="none"/>
        </w:rPr>
      </w:pPr>
    </w:p>
    <w:p>
      <w:pPr>
        <w:pStyle w:val="25"/>
        <w:jc w:val="center"/>
        <w:rPr>
          <w:rFonts w:hint="eastAsia" w:ascii="宋体" w:hAnsi="宋体" w:eastAsia="宋体" w:cs="宋体"/>
          <w:color w:val="auto"/>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pPr>
    </w:p>
    <w:p>
      <w:pPr>
        <w:spacing w:line="300" w:lineRule="auto"/>
        <w:ind w:left="420" w:hanging="420"/>
        <w:jc w:val="center"/>
        <w:rPr>
          <w:rFonts w:hint="eastAsia" w:ascii="宋体" w:hAnsi="宋体" w:eastAsia="宋体" w:cs="宋体"/>
          <w:b/>
          <w:color w:val="auto"/>
          <w:kern w:val="0"/>
          <w:sz w:val="32"/>
          <w:szCs w:val="32"/>
          <w:highlight w:val="none"/>
        </w:rPr>
        <w:sectPr>
          <w:pgSz w:w="11910" w:h="16840"/>
          <w:pgMar w:top="1134" w:right="1134" w:bottom="1134" w:left="1134" w:header="720" w:footer="720" w:gutter="0"/>
          <w:pgNumType w:fmt="decimal"/>
          <w:cols w:space="720" w:num="1"/>
        </w:sectPr>
      </w:pPr>
    </w:p>
    <w:p>
      <w:pPr>
        <w:spacing w:line="300" w:lineRule="auto"/>
        <w:ind w:left="420" w:hanging="42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采购合同文本</w:t>
      </w:r>
    </w:p>
    <w:p>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第一部分 协议书</w:t>
      </w:r>
    </w:p>
    <w:p>
      <w:pPr>
        <w:adjustRightInd w:val="0"/>
        <w:snapToGrid w:val="0"/>
        <w:spacing w:line="360" w:lineRule="auto"/>
        <w:ind w:firstLine="420" w:firstLineChars="200"/>
        <w:rPr>
          <w:rFonts w:hint="eastAsia" w:ascii="宋体" w:hAnsi="宋体" w:eastAsia="宋体" w:cs="宋体"/>
          <w:b/>
          <w:color w:val="auto"/>
          <w:szCs w:val="21"/>
          <w:highlight w:val="none"/>
          <w:u w:val="single"/>
          <w:lang w:val="en-US" w:eastAsia="zh-CN"/>
        </w:rPr>
      </w:pPr>
      <w:r>
        <w:rPr>
          <w:rFonts w:hint="eastAsia" w:ascii="宋体" w:hAnsi="宋体" w:eastAsia="宋体" w:cs="宋体"/>
          <w:color w:val="auto"/>
          <w:szCs w:val="21"/>
          <w:highlight w:val="none"/>
        </w:rPr>
        <w:t>发包人（全称）：</w:t>
      </w:r>
    </w:p>
    <w:p>
      <w:pPr>
        <w:adjustRightInd w:val="0"/>
        <w:snapToGrid w:val="0"/>
        <w:spacing w:line="360" w:lineRule="auto"/>
        <w:ind w:firstLine="420" w:firstLineChars="200"/>
        <w:rPr>
          <w:rFonts w:hint="eastAsia" w:ascii="宋体" w:hAnsi="宋体" w:eastAsia="宋体" w:cs="宋体"/>
          <w:color w:val="auto"/>
          <w:szCs w:val="21"/>
          <w:highlight w:val="none"/>
          <w:u w:val="thick"/>
          <w:lang w:val="en-US" w:eastAsia="zh-CN"/>
        </w:rPr>
      </w:pPr>
      <w:r>
        <w:rPr>
          <w:rFonts w:hint="eastAsia" w:ascii="宋体" w:hAnsi="宋体" w:eastAsia="宋体" w:cs="宋体"/>
          <w:color w:val="auto"/>
          <w:szCs w:val="21"/>
          <w:highlight w:val="none"/>
        </w:rPr>
        <w:t>承包人（全称）：</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根据《中华人民共和国民法典》、《中华人民共和国建筑法》及有关法律规定，遵循平等、自愿、公平和诚实信用的原则，双方就</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施工及有关事项协商一致，共同达成如下协议：</w:t>
      </w:r>
    </w:p>
    <w:p>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一、工程概况</w:t>
      </w:r>
    </w:p>
    <w:p>
      <w:pPr>
        <w:adjustRightInd w:val="0"/>
        <w:snapToGrid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 工程名称：</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工程地点：</w:t>
      </w:r>
      <w:r>
        <w:rPr>
          <w:rFonts w:hint="eastAsia" w:ascii="宋体" w:hAnsi="宋体" w:eastAsia="宋体" w:cs="宋体"/>
          <w:b/>
          <w:color w:val="auto"/>
          <w:sz w:val="21"/>
          <w:szCs w:val="21"/>
          <w:highlight w:val="none"/>
          <w:u w:val="single"/>
          <w:lang w:eastAsia="zh-CN"/>
        </w:rPr>
        <w:t>广西合浦县</w:t>
      </w:r>
    </w:p>
    <w:p>
      <w:pPr>
        <w:adjustRightInd w:val="0"/>
        <w:snapToGrid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 工程立项批准文号：</w:t>
      </w:r>
    </w:p>
    <w:p>
      <w:pPr>
        <w:adjustRightInd w:val="0"/>
        <w:snapToGrid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 资金来源：</w:t>
      </w:r>
      <w:r>
        <w:rPr>
          <w:rFonts w:hint="eastAsia" w:ascii="宋体" w:hAnsi="宋体" w:eastAsia="宋体" w:cs="宋体"/>
          <w:color w:val="auto"/>
          <w:sz w:val="21"/>
          <w:szCs w:val="21"/>
          <w:highlight w:val="none"/>
          <w:u w:val="single"/>
          <w:lang w:val="en-US" w:eastAsia="zh-CN"/>
        </w:rPr>
        <w:t xml:space="preserve"> </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工程内容：</w:t>
      </w:r>
      <w:r>
        <w:rPr>
          <w:rFonts w:hint="eastAsia" w:ascii="宋体" w:hAnsi="宋体" w:eastAsia="宋体" w:cs="宋体"/>
          <w:b/>
          <w:color w:val="auto"/>
          <w:sz w:val="21"/>
          <w:szCs w:val="21"/>
          <w:highlight w:val="none"/>
          <w:u w:val="single"/>
        </w:rPr>
        <w:t>具体详见工程量清单和图纸。</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群体工程应附《承包人承揽工程项目一览表》（附件1）。</w:t>
      </w:r>
    </w:p>
    <w:p>
      <w:pPr>
        <w:adjustRightInd w:val="0"/>
        <w:snapToGrid w:val="0"/>
        <w:spacing w:line="360" w:lineRule="auto"/>
        <w:ind w:firstLine="420" w:firstLineChars="200"/>
        <w:rPr>
          <w:rFonts w:hint="eastAsia" w:ascii="宋体" w:hAnsi="宋体" w:eastAsia="宋体" w:cs="宋体"/>
          <w:b/>
          <w:color w:val="auto"/>
          <w:sz w:val="21"/>
          <w:szCs w:val="21"/>
          <w:highlight w:val="none"/>
          <w:u w:val="thick"/>
        </w:rPr>
      </w:pPr>
      <w:r>
        <w:rPr>
          <w:rFonts w:hint="eastAsia" w:ascii="宋体" w:hAnsi="宋体" w:eastAsia="宋体" w:cs="宋体"/>
          <w:color w:val="auto"/>
          <w:sz w:val="21"/>
          <w:szCs w:val="21"/>
          <w:highlight w:val="none"/>
        </w:rPr>
        <w:t>6. 工程承包范围：</w:t>
      </w:r>
      <w:r>
        <w:rPr>
          <w:rFonts w:hint="eastAsia" w:ascii="宋体" w:hAnsi="宋体" w:eastAsia="宋体" w:cs="宋体"/>
          <w:b/>
          <w:color w:val="auto"/>
          <w:sz w:val="21"/>
          <w:szCs w:val="21"/>
          <w:highlight w:val="none"/>
          <w:u w:val="single"/>
        </w:rPr>
        <w:t>建设单位所提供的工程量清单的所有内容（包工包料）</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二、合同工期</w:t>
      </w:r>
    </w:p>
    <w:p>
      <w:pPr>
        <w:adjustRightInd w:val="0"/>
        <w:snapToGrid w:val="0"/>
        <w:spacing w:line="360" w:lineRule="auto"/>
        <w:ind w:firstLine="420" w:firstLineChars="200"/>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开工日期：</w:t>
      </w:r>
      <w:r>
        <w:rPr>
          <w:rFonts w:hint="eastAsia" w:ascii="宋体" w:hAnsi="宋体" w:eastAsia="宋体" w:cs="宋体"/>
          <w:b/>
          <w:color w:val="auto"/>
          <w:sz w:val="21"/>
          <w:szCs w:val="21"/>
          <w:highlight w:val="none"/>
          <w:u w:val="single"/>
          <w:lang w:val="en-US" w:eastAsia="zh-CN"/>
        </w:rPr>
        <w:t xml:space="preserve">     </w:t>
      </w:r>
      <w:r>
        <w:rPr>
          <w:rFonts w:hint="eastAsia" w:ascii="宋体" w:hAnsi="宋体" w:eastAsia="宋体" w:cs="宋体"/>
          <w:b/>
          <w:color w:val="auto"/>
          <w:sz w:val="21"/>
          <w:szCs w:val="21"/>
          <w:highlight w:val="none"/>
          <w:u w:val="single"/>
          <w:lang w:eastAsia="zh-CN"/>
        </w:rPr>
        <w:t>年</w:t>
      </w:r>
      <w:r>
        <w:rPr>
          <w:rFonts w:hint="eastAsia" w:ascii="宋体" w:hAnsi="宋体" w:eastAsia="宋体" w:cs="宋体"/>
          <w:b/>
          <w:color w:val="auto"/>
          <w:sz w:val="21"/>
          <w:szCs w:val="21"/>
          <w:highlight w:val="none"/>
          <w:u w:val="single"/>
        </w:rPr>
        <w:t xml:space="preserve"> </w:t>
      </w:r>
      <w:r>
        <w:rPr>
          <w:rFonts w:hint="eastAsia" w:ascii="宋体" w:hAnsi="宋体" w:eastAsia="宋体" w:cs="宋体"/>
          <w:b/>
          <w:color w:val="auto"/>
          <w:sz w:val="21"/>
          <w:szCs w:val="21"/>
          <w:highlight w:val="none"/>
          <w:u w:val="single"/>
          <w:lang w:val="en-US" w:eastAsia="zh-CN"/>
        </w:rPr>
        <w:t xml:space="preserve">   </w:t>
      </w:r>
      <w:r>
        <w:rPr>
          <w:rFonts w:hint="eastAsia" w:ascii="宋体" w:hAnsi="宋体" w:eastAsia="宋体" w:cs="宋体"/>
          <w:b/>
          <w:color w:val="auto"/>
          <w:sz w:val="21"/>
          <w:szCs w:val="21"/>
          <w:highlight w:val="none"/>
          <w:u w:val="single"/>
        </w:rPr>
        <w:t xml:space="preserve"> 月</w:t>
      </w:r>
      <w:r>
        <w:rPr>
          <w:rFonts w:hint="eastAsia" w:ascii="宋体" w:hAnsi="宋体" w:eastAsia="宋体" w:cs="宋体"/>
          <w:b/>
          <w:color w:val="auto"/>
          <w:sz w:val="21"/>
          <w:szCs w:val="21"/>
          <w:highlight w:val="none"/>
          <w:u w:val="single"/>
          <w:lang w:val="en-US" w:eastAsia="zh-CN"/>
        </w:rPr>
        <w:t xml:space="preserve">      </w:t>
      </w:r>
      <w:r>
        <w:rPr>
          <w:rFonts w:hint="eastAsia" w:ascii="宋体" w:hAnsi="宋体" w:eastAsia="宋体" w:cs="宋体"/>
          <w:b/>
          <w:color w:val="auto"/>
          <w:sz w:val="21"/>
          <w:szCs w:val="21"/>
          <w:highlight w:val="none"/>
          <w:u w:val="single"/>
        </w:rPr>
        <w:t>日（具体以发包人书面通知为准）</w:t>
      </w:r>
    </w:p>
    <w:p>
      <w:pPr>
        <w:adjustRightInd w:val="0"/>
        <w:snapToGrid w:val="0"/>
        <w:spacing w:line="360" w:lineRule="auto"/>
        <w:ind w:firstLine="420" w:firstLineChars="200"/>
        <w:rPr>
          <w:rFonts w:hint="eastAsia" w:ascii="宋体" w:hAnsi="宋体" w:eastAsia="宋体" w:cs="宋体"/>
          <w:b/>
          <w:color w:val="auto"/>
          <w:sz w:val="21"/>
          <w:szCs w:val="21"/>
          <w:highlight w:val="none"/>
          <w:u w:val="thick"/>
        </w:rPr>
      </w:pPr>
      <w:r>
        <w:rPr>
          <w:rFonts w:hint="eastAsia" w:ascii="宋体" w:hAnsi="宋体" w:eastAsia="宋体" w:cs="宋体"/>
          <w:color w:val="auto"/>
          <w:sz w:val="21"/>
          <w:szCs w:val="21"/>
          <w:highlight w:val="none"/>
        </w:rPr>
        <w:t>竣工日期：</w:t>
      </w:r>
      <w:r>
        <w:rPr>
          <w:rFonts w:hint="eastAsia" w:ascii="宋体" w:hAnsi="宋体" w:eastAsia="宋体" w:cs="宋体"/>
          <w:b/>
          <w:color w:val="auto"/>
          <w:sz w:val="21"/>
          <w:szCs w:val="21"/>
          <w:highlight w:val="none"/>
          <w:u w:val="single"/>
          <w:lang w:val="en-US" w:eastAsia="zh-CN"/>
        </w:rPr>
        <w:t xml:space="preserve">     </w:t>
      </w:r>
      <w:r>
        <w:rPr>
          <w:rFonts w:hint="eastAsia" w:ascii="宋体" w:hAnsi="宋体" w:eastAsia="宋体" w:cs="宋体"/>
          <w:b/>
          <w:color w:val="auto"/>
          <w:sz w:val="21"/>
          <w:szCs w:val="21"/>
          <w:highlight w:val="none"/>
          <w:u w:val="single"/>
          <w:lang w:eastAsia="zh-CN"/>
        </w:rPr>
        <w:t>年</w:t>
      </w:r>
      <w:r>
        <w:rPr>
          <w:rFonts w:hint="eastAsia" w:ascii="宋体" w:hAnsi="宋体" w:eastAsia="宋体" w:cs="宋体"/>
          <w:b/>
          <w:color w:val="auto"/>
          <w:sz w:val="21"/>
          <w:szCs w:val="21"/>
          <w:highlight w:val="none"/>
          <w:u w:val="single"/>
        </w:rPr>
        <w:t xml:space="preserve">     月      日</w:t>
      </w:r>
    </w:p>
    <w:p>
      <w:pPr>
        <w:adjustRightInd w:val="0"/>
        <w:snapToGrid w:val="0"/>
        <w:spacing w:line="360" w:lineRule="auto"/>
        <w:ind w:firstLine="420" w:firstLineChars="200"/>
        <w:rPr>
          <w:rFonts w:hint="eastAsia" w:ascii="宋体" w:hAnsi="宋体" w:eastAsia="宋体" w:cs="宋体"/>
          <w:b w:val="0"/>
          <w:bCs/>
          <w:color w:val="auto"/>
          <w:sz w:val="21"/>
          <w:szCs w:val="21"/>
          <w:highlight w:val="none"/>
          <w:u w:val="single"/>
        </w:rPr>
      </w:pPr>
      <w:r>
        <w:rPr>
          <w:rFonts w:hint="eastAsia" w:ascii="宋体" w:hAnsi="宋体" w:eastAsia="宋体" w:cs="宋体"/>
          <w:color w:val="auto"/>
          <w:sz w:val="21"/>
          <w:szCs w:val="21"/>
          <w:highlight w:val="none"/>
        </w:rPr>
        <w:t>合同工期总日历天数：</w:t>
      </w:r>
      <w:r>
        <w:rPr>
          <w:rFonts w:hint="eastAsia" w:ascii="宋体" w:hAnsi="宋体" w:eastAsia="宋体" w:cs="宋体"/>
          <w:b/>
          <w:color w:val="auto"/>
          <w:sz w:val="21"/>
          <w:szCs w:val="21"/>
          <w:highlight w:val="none"/>
          <w:u w:val="single"/>
          <w:lang w:val="en-US" w:eastAsia="zh-CN"/>
        </w:rPr>
        <w:t>90天</w:t>
      </w:r>
      <w:r>
        <w:rPr>
          <w:rFonts w:hint="eastAsia" w:ascii="宋体" w:hAnsi="宋体" w:eastAsia="宋体" w:cs="宋体"/>
          <w:b/>
          <w:color w:val="auto"/>
          <w:sz w:val="21"/>
          <w:szCs w:val="21"/>
          <w:highlight w:val="none"/>
          <w:u w:val="none"/>
          <w:lang w:val="en-US" w:eastAsia="zh-CN"/>
        </w:rPr>
        <w:t>。</w:t>
      </w:r>
      <w:r>
        <w:rPr>
          <w:rFonts w:hint="eastAsia" w:ascii="宋体" w:hAnsi="宋体" w:eastAsia="宋体" w:cs="宋体"/>
          <w:b w:val="0"/>
          <w:bCs/>
          <w:color w:val="auto"/>
          <w:sz w:val="21"/>
          <w:szCs w:val="21"/>
          <w:highlight w:val="none"/>
          <w:u w:val="none"/>
          <w:lang w:val="en-US" w:eastAsia="zh-CN"/>
        </w:rPr>
        <w:t>工期总日历天数与根据前述计划开竣工日期计算的工期天数不一致的，以工期总日历天数为准。</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三</w:t>
      </w:r>
      <w:r>
        <w:rPr>
          <w:rFonts w:hint="eastAsia" w:ascii="宋体" w:hAnsi="宋体" w:eastAsia="宋体" w:cs="宋体"/>
          <w:b/>
          <w:color w:val="auto"/>
          <w:sz w:val="21"/>
          <w:szCs w:val="21"/>
          <w:highlight w:val="none"/>
        </w:rPr>
        <w:t>、质量标准</w:t>
      </w:r>
    </w:p>
    <w:p>
      <w:pPr>
        <w:adjustRightInd w:val="0"/>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工程质量符合</w:t>
      </w:r>
      <w:r>
        <w:rPr>
          <w:rFonts w:hint="eastAsia" w:ascii="宋体" w:hAnsi="宋体" w:eastAsia="宋体" w:cs="宋体"/>
          <w:color w:val="auto"/>
          <w:sz w:val="21"/>
          <w:szCs w:val="21"/>
          <w:highlight w:val="none"/>
          <w:u w:val="single"/>
        </w:rPr>
        <w:t>合格</w:t>
      </w:r>
      <w:r>
        <w:rPr>
          <w:rFonts w:hint="eastAsia" w:ascii="宋体" w:hAnsi="宋体" w:eastAsia="宋体" w:cs="宋体"/>
          <w:color w:val="auto"/>
          <w:sz w:val="21"/>
          <w:szCs w:val="21"/>
          <w:highlight w:val="none"/>
        </w:rPr>
        <w:t>标准。</w:t>
      </w:r>
    </w:p>
    <w:p>
      <w:pPr>
        <w:adjustRightInd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四、签约合同价与合同价格形式</w:t>
      </w:r>
    </w:p>
    <w:p>
      <w:pPr>
        <w:keepNext w:val="0"/>
        <w:keepLines w:val="0"/>
        <w:pageBreakBefore w:val="0"/>
        <w:widowControl w:val="0"/>
        <w:kinsoku/>
        <w:wordWrap/>
        <w:overflowPunct/>
        <w:topLinePunct w:val="0"/>
        <w:autoSpaceDE/>
        <w:autoSpaceDN/>
        <w:bidi w:val="0"/>
        <w:adjustRightInd w:val="0"/>
        <w:snapToGrid w:val="0"/>
        <w:spacing w:line="360" w:lineRule="auto"/>
        <w:ind w:firstLine="340" w:firstLineChars="200"/>
        <w:textAlignment w:val="auto"/>
        <w:rPr>
          <w:rFonts w:hint="eastAsia" w:ascii="宋体" w:hAnsi="宋体" w:eastAsia="宋体" w:cs="宋体"/>
          <w:color w:val="auto"/>
          <w:spacing w:val="-20"/>
          <w:szCs w:val="21"/>
          <w:highlight w:val="none"/>
        </w:rPr>
      </w:pPr>
      <w:r>
        <w:rPr>
          <w:rFonts w:hint="eastAsia" w:ascii="宋体" w:hAnsi="宋体" w:eastAsia="宋体" w:cs="宋体"/>
          <w:color w:val="auto"/>
          <w:spacing w:val="-20"/>
          <w:szCs w:val="21"/>
          <w:highlight w:val="none"/>
        </w:rPr>
        <w:t>1. 签约合同价为：</w:t>
      </w:r>
    </w:p>
    <w:p>
      <w:pPr>
        <w:keepNext w:val="0"/>
        <w:keepLines w:val="0"/>
        <w:pageBreakBefore w:val="0"/>
        <w:widowControl w:val="0"/>
        <w:kinsoku/>
        <w:wordWrap/>
        <w:overflowPunct/>
        <w:topLinePunct w:val="0"/>
        <w:autoSpaceDE/>
        <w:autoSpaceDN/>
        <w:bidi w:val="0"/>
        <w:adjustRightInd w:val="0"/>
        <w:snapToGrid w:val="0"/>
        <w:spacing w:line="360" w:lineRule="auto"/>
        <w:ind w:firstLine="340" w:firstLineChars="200"/>
        <w:textAlignment w:val="auto"/>
        <w:rPr>
          <w:rFonts w:hint="eastAsia" w:ascii="宋体" w:hAnsi="宋体" w:eastAsia="宋体" w:cs="宋体"/>
          <w:color w:val="auto"/>
          <w:spacing w:val="-20"/>
          <w:szCs w:val="21"/>
          <w:highlight w:val="none"/>
        </w:rPr>
      </w:pPr>
      <w:r>
        <w:rPr>
          <w:rFonts w:hint="eastAsia" w:ascii="宋体" w:hAnsi="宋体" w:eastAsia="宋体" w:cs="宋体"/>
          <w:color w:val="auto"/>
          <w:spacing w:val="-20"/>
          <w:szCs w:val="21"/>
          <w:highlight w:val="none"/>
        </w:rPr>
        <w:t>人民币（大写）</w:t>
      </w:r>
      <w:r>
        <w:rPr>
          <w:rFonts w:hint="eastAsia" w:ascii="宋体" w:hAnsi="宋体" w:eastAsia="宋体" w:cs="宋体"/>
          <w:color w:val="auto"/>
          <w:spacing w:val="-20"/>
          <w:szCs w:val="21"/>
          <w:highlight w:val="none"/>
          <w:u w:val="single"/>
          <w:lang w:val="en-US" w:eastAsia="zh-CN"/>
        </w:rPr>
        <w:t xml:space="preserve">                    </w:t>
      </w:r>
      <w:r>
        <w:rPr>
          <w:rFonts w:hint="eastAsia" w:ascii="宋体" w:hAnsi="宋体" w:eastAsia="宋体" w:cs="宋体"/>
          <w:color w:val="auto"/>
          <w:spacing w:val="-20"/>
          <w:szCs w:val="21"/>
          <w:highlight w:val="none"/>
        </w:rPr>
        <w:t>（¥</w:t>
      </w:r>
      <w:r>
        <w:rPr>
          <w:rFonts w:hint="eastAsia" w:ascii="宋体" w:hAnsi="宋体" w:eastAsia="宋体" w:cs="宋体"/>
          <w:color w:val="auto"/>
          <w:spacing w:val="-20"/>
          <w:szCs w:val="21"/>
          <w:highlight w:val="none"/>
          <w:lang w:val="en-US" w:eastAsia="zh-CN"/>
        </w:rPr>
        <w:t xml:space="preserve">               </w:t>
      </w:r>
      <w:r>
        <w:rPr>
          <w:rFonts w:hint="eastAsia" w:ascii="宋体" w:hAnsi="宋体" w:eastAsia="宋体" w:cs="宋体"/>
          <w:color w:val="auto"/>
          <w:spacing w:val="-20"/>
          <w:szCs w:val="21"/>
          <w:highlight w:val="none"/>
        </w:rPr>
        <w:t>元）；</w:t>
      </w:r>
    </w:p>
    <w:p>
      <w:pPr>
        <w:numPr>
          <w:ilvl w:val="0"/>
          <w:numId w:val="3"/>
        </w:numPr>
        <w:adjustRightInd w:val="0"/>
        <w:snapToGrid w:val="0"/>
        <w:spacing w:line="360" w:lineRule="auto"/>
        <w:ind w:firstLine="340" w:firstLineChars="200"/>
        <w:rPr>
          <w:rFonts w:hint="eastAsia" w:ascii="宋体" w:hAnsi="宋体" w:eastAsia="宋体" w:cs="宋体"/>
          <w:color w:val="auto"/>
          <w:spacing w:val="-20"/>
          <w:szCs w:val="21"/>
          <w:highlight w:val="none"/>
        </w:rPr>
      </w:pPr>
      <w:r>
        <w:rPr>
          <w:rFonts w:hint="eastAsia" w:ascii="宋体" w:hAnsi="宋体" w:eastAsia="宋体" w:cs="宋体"/>
          <w:color w:val="auto"/>
          <w:spacing w:val="-20"/>
          <w:szCs w:val="21"/>
          <w:highlight w:val="none"/>
        </w:rPr>
        <w:t>合同价格形式：</w:t>
      </w:r>
      <w:r>
        <w:rPr>
          <w:rFonts w:hint="eastAsia" w:ascii="宋体" w:hAnsi="宋体" w:eastAsia="宋体" w:cs="宋体"/>
          <w:color w:val="auto"/>
          <w:spacing w:val="-20"/>
          <w:szCs w:val="21"/>
          <w:highlight w:val="none"/>
          <w:u w:val="single"/>
        </w:rPr>
        <w:t xml:space="preserve"> 固定综合单价 </w:t>
      </w:r>
      <w:r>
        <w:rPr>
          <w:rFonts w:hint="eastAsia" w:ascii="宋体" w:hAnsi="宋体" w:eastAsia="宋体" w:cs="宋体"/>
          <w:color w:val="auto"/>
          <w:spacing w:val="-20"/>
          <w:szCs w:val="21"/>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五</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项目经理</w:t>
      </w:r>
    </w:p>
    <w:p>
      <w:pPr>
        <w:adjustRightInd w:val="0"/>
        <w:snapToGrid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承包人项目经理：</w:t>
      </w:r>
      <w:r>
        <w:rPr>
          <w:rFonts w:hint="eastAsia" w:ascii="宋体" w:hAnsi="宋体" w:eastAsia="宋体" w:cs="宋体"/>
          <w:color w:val="auto"/>
          <w:sz w:val="21"/>
          <w:szCs w:val="21"/>
          <w:highlight w:val="none"/>
          <w:u w:val="single"/>
          <w:lang w:val="en-US" w:eastAsia="zh-CN"/>
        </w:rPr>
        <w:t xml:space="preserve">            </w:t>
      </w:r>
    </w:p>
    <w:p>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六、组成合同文件</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本协议书与下列文件一起构成合同文件：</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（1）中标通知书；</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（2）投标函及其附录； </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（3）专用合同条款及其附件；</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（4）通用合同条款；</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（5）技术标准和要求；</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（6）已标价工程量清单或预算书； </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（7）图纸；</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（8）其他合同文件。</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在合同订立及履行过程中形成的与合同有关的文件均构成合同文件组成部分。</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承诺</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发包人承诺按照法律规定履行项目审批手续、筹集工程建设资金并按照合同约定的期限和方式支付合同价款。</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承包人承诺按照法律规定及合同约定组织完成工程施工，确保工程质量和安全，不进行转包及违法分包，并在缺陷责任期及保修期内承担相应的工程维修责任。</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发包人和承包人通过招投标形式签订合同的，双方理解并承诺不再就同一工程另行签订与合同实质性内容相背离的协议。</w:t>
      </w:r>
    </w:p>
    <w:p>
      <w:pPr>
        <w:keepNext w:val="0"/>
        <w:keepLines w:val="0"/>
        <w:pageBreakBefore w:val="0"/>
        <w:widowControl w:val="0"/>
        <w:kinsoku/>
        <w:wordWrap/>
        <w:overflowPunct/>
        <w:topLinePunct w:val="0"/>
        <w:autoSpaceDE/>
        <w:autoSpaceDN/>
        <w:bidi w:val="0"/>
        <w:adjustRightInd w:val="0"/>
        <w:snapToGrid w:val="0"/>
        <w:spacing w:line="360" w:lineRule="auto"/>
        <w:ind w:leftChars="0" w:firstLine="438" w:firstLineChars="200"/>
        <w:rPr>
          <w:rFonts w:hint="eastAsia" w:ascii="宋体" w:hAnsi="宋体" w:eastAsia="宋体" w:cs="宋体"/>
          <w:b/>
          <w:color w:val="auto"/>
          <w:spacing w:val="4"/>
          <w:szCs w:val="21"/>
          <w:highlight w:val="none"/>
        </w:rPr>
      </w:pPr>
      <w:r>
        <w:rPr>
          <w:rFonts w:hint="eastAsia" w:ascii="宋体" w:hAnsi="宋体" w:eastAsia="宋体" w:cs="宋体"/>
          <w:b/>
          <w:color w:val="auto"/>
          <w:spacing w:val="4"/>
          <w:szCs w:val="21"/>
          <w:highlight w:val="none"/>
        </w:rPr>
        <w:t>八、词语含义</w:t>
      </w:r>
    </w:p>
    <w:p>
      <w:pPr>
        <w:pStyle w:val="2"/>
        <w:keepNext w:val="0"/>
        <w:keepLines w:val="0"/>
        <w:pageBreakBefore w:val="0"/>
        <w:widowControl w:val="0"/>
        <w:kinsoku/>
        <w:wordWrap/>
        <w:overflowPunct/>
        <w:topLinePunct w:val="0"/>
        <w:autoSpaceDE/>
        <w:autoSpaceDN/>
        <w:bidi w:val="0"/>
        <w:adjustRightInd w:val="0"/>
        <w:spacing w:line="360" w:lineRule="auto"/>
        <w:ind w:leftChars="0" w:firstLine="46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本协议书中词语含义与第二部分通用合同条款中赋予的含义相同。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九、</w:t>
      </w:r>
      <w:r>
        <w:rPr>
          <w:rFonts w:hint="eastAsia" w:ascii="宋体" w:hAnsi="宋体" w:eastAsia="宋体" w:cs="宋体"/>
          <w:b/>
          <w:color w:val="auto"/>
          <w:sz w:val="21"/>
          <w:szCs w:val="21"/>
          <w:highlight w:val="none"/>
        </w:rPr>
        <w:t>签订时间</w:t>
      </w:r>
    </w:p>
    <w:p>
      <w:pPr>
        <w:pStyle w:val="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6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日签订。</w:t>
      </w:r>
    </w:p>
    <w:p>
      <w:pPr>
        <w:keepNext w:val="0"/>
        <w:keepLines w:val="0"/>
        <w:pageBreakBefore w:val="0"/>
        <w:widowControl w:val="0"/>
        <w:kinsoku/>
        <w:wordWrap/>
        <w:overflowPunct/>
        <w:topLinePunct w:val="0"/>
        <w:autoSpaceDE/>
        <w:autoSpaceDN/>
        <w:bidi w:val="0"/>
        <w:adjustRightInd w:val="0"/>
        <w:snapToGrid w:val="0"/>
        <w:spacing w:line="360" w:lineRule="auto"/>
        <w:ind w:leftChars="0"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十</w:t>
      </w:r>
      <w:r>
        <w:rPr>
          <w:rFonts w:hint="eastAsia" w:ascii="宋体" w:hAnsi="宋体" w:eastAsia="宋体" w:cs="宋体"/>
          <w:b/>
          <w:color w:val="auto"/>
          <w:sz w:val="21"/>
          <w:szCs w:val="21"/>
          <w:highlight w:val="none"/>
        </w:rPr>
        <w:t>、签订地点</w:t>
      </w:r>
    </w:p>
    <w:p>
      <w:pPr>
        <w:keepNext w:val="0"/>
        <w:keepLines w:val="0"/>
        <w:pageBreakBefore w:val="0"/>
        <w:widowControl w:val="0"/>
        <w:tabs>
          <w:tab w:val="left" w:pos="6225"/>
        </w:tabs>
        <w:kinsoku/>
        <w:wordWrap/>
        <w:overflowPunct/>
        <w:topLinePunct w:val="0"/>
        <w:autoSpaceDE/>
        <w:autoSpaceDN/>
        <w:bidi w:val="0"/>
        <w:adjustRightInd w:val="0"/>
        <w:snapToGrid w:val="0"/>
        <w:spacing w:line="36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本合同在</w:t>
      </w:r>
      <w:r>
        <w:rPr>
          <w:rFonts w:hint="eastAsia" w:ascii="宋体" w:hAnsi="宋体" w:eastAsia="宋体" w:cs="宋体"/>
          <w:color w:val="auto"/>
          <w:sz w:val="21"/>
          <w:szCs w:val="21"/>
          <w:highlight w:val="none"/>
          <w:u w:val="single"/>
        </w:rPr>
        <w:t xml:space="preserve">  合浦县  </w:t>
      </w:r>
      <w:r>
        <w:rPr>
          <w:rFonts w:hint="eastAsia" w:ascii="宋体" w:hAnsi="宋体" w:eastAsia="宋体" w:cs="宋体"/>
          <w:color w:val="auto"/>
          <w:sz w:val="21"/>
          <w:szCs w:val="21"/>
          <w:highlight w:val="none"/>
        </w:rPr>
        <w:t>签订。</w:t>
      </w:r>
    </w:p>
    <w:p>
      <w:pPr>
        <w:pStyle w:val="2"/>
        <w:keepNext w:val="0"/>
        <w:keepLines w:val="0"/>
        <w:pageBreakBefore w:val="0"/>
        <w:widowControl w:val="0"/>
        <w:kinsoku/>
        <w:wordWrap/>
        <w:overflowPunct/>
        <w:topLinePunct w:val="0"/>
        <w:autoSpaceDE/>
        <w:autoSpaceDN/>
        <w:bidi w:val="0"/>
        <w:adjustRightInd w:val="0"/>
        <w:spacing w:line="360" w:lineRule="auto"/>
        <w:ind w:leftChars="0" w:firstLine="46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十一、补充协议</w:t>
      </w:r>
    </w:p>
    <w:p>
      <w:pPr>
        <w:pStyle w:val="2"/>
        <w:keepNext w:val="0"/>
        <w:keepLines w:val="0"/>
        <w:pageBreakBefore w:val="0"/>
        <w:widowControl w:val="0"/>
        <w:kinsoku/>
        <w:wordWrap/>
        <w:overflowPunct/>
        <w:topLinePunct w:val="0"/>
        <w:autoSpaceDE/>
        <w:autoSpaceDN/>
        <w:bidi w:val="0"/>
        <w:adjustRightInd w:val="0"/>
        <w:spacing w:line="360" w:lineRule="auto"/>
        <w:ind w:leftChars="0" w:firstLine="46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合同未尽事宜，合同当事人另行签订补充协议，补充协议是合同的组成部分。</w:t>
      </w:r>
    </w:p>
    <w:p>
      <w:pPr>
        <w:pStyle w:val="2"/>
        <w:keepNext w:val="0"/>
        <w:keepLines w:val="0"/>
        <w:pageBreakBefore w:val="0"/>
        <w:widowControl w:val="0"/>
        <w:kinsoku/>
        <w:wordWrap/>
        <w:overflowPunct/>
        <w:topLinePunct w:val="0"/>
        <w:autoSpaceDE/>
        <w:autoSpaceDN/>
        <w:bidi w:val="0"/>
        <w:adjustRightInd w:val="0"/>
        <w:spacing w:line="360" w:lineRule="auto"/>
        <w:ind w:leftChars="0" w:firstLine="46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十二、合同生效</w:t>
      </w:r>
    </w:p>
    <w:p>
      <w:pPr>
        <w:pStyle w:val="2"/>
        <w:keepNext w:val="0"/>
        <w:keepLines w:val="0"/>
        <w:pageBreakBefore w:val="0"/>
        <w:widowControl w:val="0"/>
        <w:kinsoku/>
        <w:wordWrap/>
        <w:overflowPunct/>
        <w:topLinePunct w:val="0"/>
        <w:autoSpaceDE/>
        <w:autoSpaceDN/>
        <w:bidi w:val="0"/>
        <w:adjustRightInd w:val="0"/>
        <w:spacing w:line="360" w:lineRule="auto"/>
        <w:ind w:leftChars="0" w:firstLine="46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本合同自双方法人代表或委托代表人签字、单位盖章生效。</w:t>
      </w:r>
    </w:p>
    <w:p>
      <w:pPr>
        <w:pStyle w:val="2"/>
        <w:keepNext w:val="0"/>
        <w:keepLines w:val="0"/>
        <w:pageBreakBefore w:val="0"/>
        <w:widowControl w:val="0"/>
        <w:kinsoku/>
        <w:wordWrap/>
        <w:overflowPunct/>
        <w:topLinePunct w:val="0"/>
        <w:autoSpaceDE/>
        <w:autoSpaceDN/>
        <w:bidi w:val="0"/>
        <w:adjustRightInd w:val="0"/>
        <w:spacing w:line="360" w:lineRule="auto"/>
        <w:ind w:leftChars="0" w:firstLine="46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十三、合同份数</w:t>
      </w:r>
    </w:p>
    <w:p>
      <w:pPr>
        <w:pStyle w:val="2"/>
        <w:keepNext w:val="0"/>
        <w:keepLines w:val="0"/>
        <w:pageBreakBefore w:val="0"/>
        <w:widowControl w:val="0"/>
        <w:kinsoku/>
        <w:wordWrap/>
        <w:overflowPunct/>
        <w:topLinePunct w:val="0"/>
        <w:autoSpaceDE/>
        <w:autoSpaceDN/>
        <w:bidi w:val="0"/>
        <w:adjustRightInd w:val="0"/>
        <w:spacing w:line="360" w:lineRule="auto"/>
        <w:ind w:leftChars="0" w:firstLine="46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u w:val="single"/>
        </w:rPr>
        <w:t xml:space="preserve"> 肆 </w:t>
      </w:r>
      <w:r>
        <w:rPr>
          <w:rFonts w:hint="eastAsia" w:ascii="宋体" w:hAnsi="宋体" w:eastAsia="宋体" w:cs="宋体"/>
          <w:color w:val="auto"/>
          <w:sz w:val="21"/>
          <w:szCs w:val="21"/>
          <w:highlight w:val="none"/>
        </w:rPr>
        <w:t>份，均具有同等法律效力，发包人执</w:t>
      </w:r>
      <w:r>
        <w:rPr>
          <w:rFonts w:hint="eastAsia" w:ascii="宋体" w:hAnsi="宋体" w:eastAsia="宋体" w:cs="宋体"/>
          <w:color w:val="auto"/>
          <w:sz w:val="21"/>
          <w:szCs w:val="21"/>
          <w:highlight w:val="none"/>
          <w:u w:val="single"/>
        </w:rPr>
        <w:t xml:space="preserve"> 贰 </w:t>
      </w:r>
      <w:r>
        <w:rPr>
          <w:rFonts w:hint="eastAsia" w:ascii="宋体" w:hAnsi="宋体" w:eastAsia="宋体" w:cs="宋体"/>
          <w:color w:val="auto"/>
          <w:sz w:val="21"/>
          <w:szCs w:val="21"/>
          <w:highlight w:val="none"/>
        </w:rPr>
        <w:t>份，承包人执</w:t>
      </w:r>
      <w:r>
        <w:rPr>
          <w:rFonts w:hint="eastAsia" w:ascii="宋体" w:hAnsi="宋体" w:eastAsia="宋体" w:cs="宋体"/>
          <w:color w:val="auto"/>
          <w:sz w:val="21"/>
          <w:szCs w:val="21"/>
          <w:highlight w:val="none"/>
          <w:u w:val="single"/>
        </w:rPr>
        <w:t xml:space="preserve"> 贰 </w:t>
      </w:r>
      <w:r>
        <w:rPr>
          <w:rFonts w:hint="eastAsia" w:ascii="宋体" w:hAnsi="宋体" w:eastAsia="宋体" w:cs="宋体"/>
          <w:color w:val="auto"/>
          <w:sz w:val="21"/>
          <w:szCs w:val="21"/>
          <w:highlight w:val="none"/>
        </w:rPr>
        <w:t>份。</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rPr>
          <w:rFonts w:hint="eastAsia" w:ascii="宋体" w:hAnsi="宋体" w:eastAsia="宋体" w:cs="宋体"/>
          <w:color w:val="auto"/>
          <w:szCs w:val="21"/>
          <w:highlight w:val="none"/>
        </w:rPr>
      </w:pP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发包人：（公章）               承包人：（公章）</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                   法定代表人：</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或其</w:t>
      </w:r>
      <w:r>
        <w:rPr>
          <w:rFonts w:hint="eastAsia" w:ascii="宋体" w:hAnsi="宋体" w:eastAsia="宋体" w:cs="宋体"/>
          <w:color w:val="auto"/>
          <w:szCs w:val="21"/>
          <w:highlight w:val="none"/>
        </w:rPr>
        <w:t xml:space="preserve">委托代理人：               </w:t>
      </w:r>
      <w:r>
        <w:rPr>
          <w:rFonts w:hint="eastAsia" w:ascii="宋体" w:hAnsi="宋体" w:eastAsia="宋体" w:cs="宋体"/>
          <w:color w:val="auto"/>
          <w:szCs w:val="21"/>
          <w:highlight w:val="none"/>
          <w:lang w:val="en-US" w:eastAsia="zh-CN"/>
        </w:rPr>
        <w:t>或其</w:t>
      </w:r>
      <w:r>
        <w:rPr>
          <w:rFonts w:hint="eastAsia" w:ascii="宋体" w:hAnsi="宋体" w:eastAsia="宋体" w:cs="宋体"/>
          <w:color w:val="auto"/>
          <w:szCs w:val="21"/>
          <w:highlight w:val="none"/>
        </w:rPr>
        <w:t>委托代理人：</w:t>
      </w:r>
    </w:p>
    <w:p>
      <w:pPr>
        <w:adjustRightInd w:val="0"/>
        <w:snapToGrid w:val="0"/>
        <w:spacing w:line="360" w:lineRule="auto"/>
        <w:ind w:firstLine="420" w:firstLineChars="200"/>
        <w:rPr>
          <w:rFonts w:hint="eastAsia" w:ascii="宋体" w:hAnsi="宋体" w:eastAsia="宋体" w:cs="宋体"/>
          <w:b/>
          <w:color w:val="auto"/>
          <w:szCs w:val="21"/>
          <w:highlight w:val="none"/>
          <w:lang w:eastAsia="zh-CN"/>
        </w:rPr>
      </w:pPr>
      <w:r>
        <w:rPr>
          <w:rFonts w:hint="eastAsia" w:ascii="宋体" w:hAnsi="宋体" w:eastAsia="宋体" w:cs="宋体"/>
          <w:color w:val="auto"/>
          <w:szCs w:val="21"/>
          <w:highlight w:val="none"/>
          <w:lang w:val="en-US" w:eastAsia="zh-CN"/>
        </w:rPr>
        <w:t>组织机构代码</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组织机构代码</w:t>
      </w:r>
      <w:r>
        <w:rPr>
          <w:rFonts w:hint="eastAsia" w:ascii="宋体" w:hAnsi="宋体" w:eastAsia="宋体" w:cs="宋体"/>
          <w:color w:val="auto"/>
          <w:szCs w:val="21"/>
          <w:highlight w:val="none"/>
        </w:rPr>
        <w:t>：</w:t>
      </w:r>
      <w:r>
        <w:rPr>
          <w:rFonts w:hint="eastAsia" w:ascii="宋体" w:hAnsi="宋体" w:eastAsia="宋体" w:cs="宋体"/>
          <w:b/>
          <w:color w:val="auto"/>
          <w:spacing w:val="-20"/>
          <w:w w:val="80"/>
          <w:szCs w:val="21"/>
          <w:highlight w:val="none"/>
        </w:rPr>
        <w:t xml:space="preserve"> </w:t>
      </w:r>
      <w:r>
        <w:rPr>
          <w:rFonts w:hint="eastAsia" w:ascii="宋体" w:hAnsi="宋体" w:eastAsia="宋体" w:cs="宋体"/>
          <w:b/>
          <w:color w:val="auto"/>
          <w:w w:val="80"/>
          <w:szCs w:val="21"/>
          <w:highlight w:val="none"/>
          <w:lang w:val="en-US" w:eastAsia="zh-CN"/>
        </w:rPr>
        <w:t xml:space="preserve"> </w:t>
      </w:r>
    </w:p>
    <w:p>
      <w:pPr>
        <w:adjustRightInd w:val="0"/>
        <w:snapToGrid w:val="0"/>
        <w:spacing w:line="360" w:lineRule="auto"/>
        <w:ind w:firstLine="420" w:firstLineChars="200"/>
        <w:rPr>
          <w:rFonts w:hint="eastAsia" w:ascii="宋体" w:hAnsi="宋体" w:eastAsia="宋体" w:cs="宋体"/>
          <w:b/>
          <w:color w:val="auto"/>
          <w:w w:val="80"/>
          <w:szCs w:val="21"/>
          <w:highlight w:val="none"/>
          <w:lang w:val="en-US" w:eastAsia="zh-CN"/>
        </w:rPr>
      </w:pPr>
      <w:r>
        <w:rPr>
          <w:rFonts w:hint="eastAsia" w:ascii="宋体" w:hAnsi="宋体" w:eastAsia="宋体" w:cs="宋体"/>
          <w:color w:val="auto"/>
          <w:szCs w:val="21"/>
          <w:highlight w:val="none"/>
          <w:lang w:val="en-US" w:eastAsia="zh-CN"/>
        </w:rPr>
        <w:t>地</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址</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地</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址</w:t>
      </w:r>
      <w:r>
        <w:rPr>
          <w:rFonts w:hint="eastAsia" w:ascii="宋体" w:hAnsi="宋体" w:eastAsia="宋体" w:cs="宋体"/>
          <w:color w:val="auto"/>
          <w:szCs w:val="21"/>
          <w:highlight w:val="none"/>
        </w:rPr>
        <w:t>：</w:t>
      </w:r>
      <w:r>
        <w:rPr>
          <w:rFonts w:hint="eastAsia" w:ascii="宋体" w:hAnsi="宋体" w:eastAsia="宋体" w:cs="宋体"/>
          <w:b/>
          <w:color w:val="auto"/>
          <w:spacing w:val="-20"/>
          <w:w w:val="80"/>
          <w:szCs w:val="21"/>
          <w:highlight w:val="none"/>
        </w:rPr>
        <w:t xml:space="preserve"> </w:t>
      </w:r>
      <w:r>
        <w:rPr>
          <w:rFonts w:hint="eastAsia" w:ascii="宋体" w:hAnsi="宋体" w:eastAsia="宋体" w:cs="宋体"/>
          <w:b/>
          <w:color w:val="auto"/>
          <w:w w:val="80"/>
          <w:szCs w:val="21"/>
          <w:highlight w:val="none"/>
          <w:lang w:val="en-US" w:eastAsia="zh-CN"/>
        </w:rPr>
        <w:t xml:space="preserve"> </w:t>
      </w: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邮政编号：                     邮政编码：</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b/>
          <w:color w:val="auto"/>
          <w:szCs w:val="21"/>
          <w:highlight w:val="none"/>
        </w:rPr>
        <w:t xml:space="preserve"> </w:t>
      </w:r>
    </w:p>
    <w:p>
      <w:pPr>
        <w:adjustRightInd w:val="0"/>
        <w:snapToGrid w:val="0"/>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电  话：                       电  话：</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b/>
          <w:color w:val="auto"/>
          <w:szCs w:val="21"/>
          <w:highlight w:val="none"/>
        </w:rPr>
        <w:t xml:space="preserve"> </w:t>
      </w:r>
    </w:p>
    <w:p>
      <w:pPr>
        <w:adjustRightInd w:val="0"/>
        <w:snapToGrid w:val="0"/>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传  真：                       传  真：</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b/>
          <w:color w:val="auto"/>
          <w:szCs w:val="21"/>
          <w:highlight w:val="none"/>
        </w:rPr>
        <w:t xml:space="preserve"> </w:t>
      </w:r>
    </w:p>
    <w:p>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开户银行：                     开户银行：</w:t>
      </w:r>
      <w:r>
        <w:rPr>
          <w:rFonts w:hint="eastAsia" w:ascii="宋体" w:hAnsi="宋体" w:eastAsia="宋体" w:cs="宋体"/>
          <w:color w:val="auto"/>
          <w:szCs w:val="21"/>
          <w:highlight w:val="none"/>
          <w:lang w:val="en-US" w:eastAsia="zh-CN"/>
        </w:rPr>
        <w:t xml:space="preserve"> </w:t>
      </w:r>
    </w:p>
    <w:p>
      <w:pPr>
        <w:adjustRightInd w:val="0"/>
        <w:snapToGrid w:val="0"/>
        <w:spacing w:line="360" w:lineRule="auto"/>
        <w:ind w:firstLine="420" w:firstLineChars="200"/>
        <w:rPr>
          <w:rFonts w:hint="eastAsia" w:ascii="宋体" w:hAnsi="宋体" w:eastAsia="宋体" w:cs="宋体"/>
          <w:b/>
          <w:color w:val="auto"/>
          <w:spacing w:val="-20"/>
          <w:w w:val="90"/>
          <w:szCs w:val="21"/>
          <w:highlight w:val="none"/>
          <w:lang w:val="en-US" w:eastAsia="zh-CN"/>
        </w:rPr>
      </w:pPr>
      <w:r>
        <w:rPr>
          <w:rFonts w:hint="eastAsia" w:ascii="宋体" w:hAnsi="宋体" w:eastAsia="宋体" w:cs="宋体"/>
          <w:color w:val="auto"/>
          <w:szCs w:val="21"/>
          <w:highlight w:val="none"/>
        </w:rPr>
        <w:t>帐  号：</w:t>
      </w:r>
      <w:r>
        <w:rPr>
          <w:rFonts w:hint="eastAsia" w:ascii="宋体" w:hAnsi="宋体" w:eastAsia="宋体" w:cs="宋体"/>
          <w:color w:val="auto"/>
          <w:spacing w:val="-20"/>
          <w:w w:val="90"/>
          <w:szCs w:val="21"/>
          <w:highlight w:val="none"/>
        </w:rPr>
        <w:t xml:space="preserve">                        </w:t>
      </w:r>
      <w:r>
        <w:rPr>
          <w:rFonts w:hint="eastAsia" w:ascii="宋体" w:hAnsi="宋体" w:eastAsia="宋体" w:cs="宋体"/>
          <w:color w:val="auto"/>
          <w:szCs w:val="21"/>
          <w:highlight w:val="none"/>
        </w:rPr>
        <w:t xml:space="preserve">           帐  号：</w:t>
      </w:r>
      <w:r>
        <w:rPr>
          <w:rFonts w:hint="eastAsia" w:ascii="宋体" w:hAnsi="宋体" w:eastAsia="宋体" w:cs="宋体"/>
          <w:b/>
          <w:color w:val="auto"/>
          <w:spacing w:val="-20"/>
          <w:w w:val="90"/>
          <w:szCs w:val="21"/>
          <w:highlight w:val="none"/>
          <w:lang w:val="en-US" w:eastAsia="zh-CN"/>
        </w:rPr>
        <w:t xml:space="preserve"> </w:t>
      </w:r>
    </w:p>
    <w:p>
      <w:pPr>
        <w:adjustRightInd w:val="0"/>
        <w:snapToGrid w:val="0"/>
        <w:spacing w:line="360" w:lineRule="auto"/>
        <w:jc w:val="center"/>
        <w:rPr>
          <w:rFonts w:hint="eastAsia" w:ascii="宋体" w:hAnsi="宋体" w:eastAsia="宋体" w:cs="宋体"/>
          <w:b/>
          <w:color w:val="auto"/>
          <w:sz w:val="28"/>
          <w:szCs w:val="28"/>
          <w:highlight w:val="none"/>
        </w:rPr>
        <w:sectPr>
          <w:pgSz w:w="11910" w:h="16840"/>
          <w:pgMar w:top="1134" w:right="1134" w:bottom="1134" w:left="1134" w:header="720" w:footer="720" w:gutter="0"/>
          <w:pgNumType w:fmt="decimal"/>
          <w:cols w:space="720" w:num="1"/>
        </w:sectPr>
      </w:pPr>
    </w:p>
    <w:p>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第二部分 通用条款</w:t>
      </w:r>
    </w:p>
    <w:p>
      <w:pPr>
        <w:adjustRightInd w:val="0"/>
        <w:snapToGrid w:val="0"/>
        <w:spacing w:line="360" w:lineRule="auto"/>
        <w:ind w:firstLine="420" w:firstLineChars="200"/>
        <w:rPr>
          <w:rFonts w:hint="eastAsia" w:ascii="宋体" w:hAnsi="宋体" w:eastAsia="宋体" w:cs="宋体"/>
          <w:color w:val="auto"/>
          <w:szCs w:val="21"/>
          <w:highlight w:val="none"/>
        </w:rPr>
      </w:pPr>
    </w:p>
    <w:p>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《建设工程施工采购文件》的“合同通用条款”，采用国家工商行政管理局和建设部颁发的《建设工程施工合同》（GF-201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-0201）的“合同通用条款”。</w:t>
      </w:r>
    </w:p>
    <w:p>
      <w:pPr>
        <w:kinsoku w:val="0"/>
        <w:overflowPunct w:val="0"/>
        <w:autoSpaceDE w:val="0"/>
        <w:autoSpaceDN w:val="0"/>
        <w:adjustRightInd w:val="0"/>
        <w:snapToGrid w:val="0"/>
        <w:spacing w:line="360" w:lineRule="auto"/>
        <w:ind w:firstLine="342" w:firstLineChars="200"/>
        <w:jc w:val="center"/>
        <w:rPr>
          <w:rFonts w:hint="eastAsia" w:ascii="宋体" w:hAnsi="宋体" w:eastAsia="宋体" w:cs="宋体"/>
          <w:b/>
          <w:color w:val="auto"/>
          <w:spacing w:val="-20"/>
          <w:szCs w:val="21"/>
          <w:highlight w:val="none"/>
        </w:rPr>
      </w:pPr>
    </w:p>
    <w:p>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第三部分 专用条款</w:t>
      </w:r>
    </w:p>
    <w:p>
      <w:pPr>
        <w:kinsoku w:val="0"/>
        <w:overflowPunct w:val="0"/>
        <w:autoSpaceDE w:val="0"/>
        <w:autoSpaceDN w:val="0"/>
        <w:adjustRightInd w:val="0"/>
        <w:snapToGrid w:val="0"/>
        <w:spacing w:line="360" w:lineRule="auto"/>
        <w:ind w:firstLine="422" w:firstLineChars="200"/>
        <w:jc w:val="center"/>
        <w:rPr>
          <w:rFonts w:hint="eastAsia" w:ascii="宋体" w:hAnsi="宋体" w:eastAsia="宋体" w:cs="宋体"/>
          <w:b/>
          <w:color w:val="auto"/>
          <w:szCs w:val="21"/>
          <w:highlight w:val="none"/>
        </w:rPr>
      </w:pP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47" w:name="_Toc1013968286"/>
      <w:bookmarkStart w:id="48" w:name="_Toc407135194"/>
      <w:bookmarkStart w:id="49" w:name="_Toc389065258"/>
      <w:bookmarkStart w:id="50" w:name="_Toc351203633"/>
      <w:bookmarkStart w:id="51" w:name="_Toc78449780"/>
      <w:bookmarkStart w:id="52" w:name="_Toc373478339"/>
      <w:bookmarkStart w:id="53" w:name="_Toc1516097295"/>
      <w:bookmarkStart w:id="54" w:name="_Toc373227692"/>
      <w:r>
        <w:rPr>
          <w:rFonts w:hint="eastAsia" w:ascii="宋体" w:hAnsi="宋体" w:eastAsia="宋体" w:cs="宋体"/>
          <w:b/>
          <w:bCs/>
          <w:color w:val="auto"/>
          <w:sz w:val="24"/>
          <w:szCs w:val="24"/>
          <w:highlight w:val="none"/>
        </w:rPr>
        <w:t>1</w:t>
      </w:r>
      <w:bookmarkStart w:id="55" w:name="_Toc296503156"/>
      <w:bookmarkStart w:id="56" w:name="_Toc292559361"/>
      <w:bookmarkStart w:id="57" w:name="_Toc296346657"/>
      <w:bookmarkStart w:id="58" w:name="_Toc296944495"/>
      <w:bookmarkStart w:id="59" w:name="_Toc297048342"/>
      <w:bookmarkStart w:id="60" w:name="_Toc296890984"/>
      <w:bookmarkStart w:id="61" w:name="_Toc296891196"/>
      <w:bookmarkStart w:id="62" w:name="_Toc297120456"/>
      <w:bookmarkStart w:id="63" w:name="_Toc292559866"/>
      <w:bookmarkStart w:id="64" w:name="_Toc296347155"/>
      <w:r>
        <w:rPr>
          <w:rFonts w:hint="eastAsia" w:ascii="宋体" w:hAnsi="宋体" w:eastAsia="宋体" w:cs="宋体"/>
          <w:b/>
          <w:bCs/>
          <w:color w:val="auto"/>
          <w:sz w:val="24"/>
          <w:szCs w:val="24"/>
          <w:highlight w:val="none"/>
        </w:rPr>
        <w:t>. 一般约定</w:t>
      </w:r>
      <w:bookmarkEnd w:id="47"/>
      <w:bookmarkEnd w:id="48"/>
      <w:bookmarkEnd w:id="49"/>
      <w:bookmarkEnd w:id="50"/>
      <w:bookmarkEnd w:id="51"/>
      <w:bookmarkEnd w:id="52"/>
      <w:bookmarkEnd w:id="53"/>
      <w:bookmarkEnd w:id="54"/>
    </w:p>
    <w:bookmarkEnd w:id="55"/>
    <w:bookmarkEnd w:id="56"/>
    <w:bookmarkEnd w:id="57"/>
    <w:bookmarkEnd w:id="58"/>
    <w:bookmarkEnd w:id="59"/>
    <w:bookmarkEnd w:id="60"/>
    <w:bookmarkEnd w:id="61"/>
    <w:bookmarkEnd w:id="62"/>
    <w:bookmarkEnd w:id="63"/>
    <w:bookmarkEnd w:id="64"/>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65" w:name="_Toc78449781"/>
      <w:bookmarkStart w:id="66" w:name="_Toc373478340"/>
      <w:bookmarkStart w:id="67" w:name="_Toc155697041"/>
      <w:bookmarkStart w:id="68" w:name="_Toc407135195"/>
      <w:bookmarkStart w:id="69" w:name="_Toc373227693"/>
      <w:bookmarkStart w:id="70" w:name="_Toc389065259"/>
      <w:bookmarkStart w:id="71" w:name="_Toc1618220701"/>
      <w:r>
        <w:rPr>
          <w:rFonts w:hint="eastAsia" w:ascii="宋体" w:hAnsi="宋体" w:eastAsia="宋体" w:cs="宋体"/>
          <w:b/>
          <w:bCs/>
          <w:color w:val="auto"/>
          <w:sz w:val="24"/>
          <w:szCs w:val="24"/>
          <w:highlight w:val="none"/>
        </w:rPr>
        <w:t>1.1 词语定义</w:t>
      </w:r>
      <w:bookmarkEnd w:id="65"/>
      <w:bookmarkEnd w:id="66"/>
      <w:bookmarkEnd w:id="67"/>
      <w:bookmarkEnd w:id="68"/>
      <w:bookmarkEnd w:id="69"/>
      <w:bookmarkEnd w:id="70"/>
      <w:bookmarkEnd w:id="7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1.1.1 合同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1.1.1.10 其他合同文件包括：</w:t>
      </w:r>
      <w:r>
        <w:rPr>
          <w:rFonts w:hint="eastAsia" w:ascii="宋体" w:hAnsi="宋体" w:eastAsia="宋体" w:cs="宋体"/>
          <w:color w:val="auto"/>
          <w:highlight w:val="none"/>
          <w:u w:val="single"/>
        </w:rPr>
        <w:t>廉洁协议、委托书、投标文件、招标文件、与本合同有关的会议纪要、签证、设计变更、传真、函件及电子邮件往来等</w:t>
      </w:r>
      <w:r>
        <w:rPr>
          <w:rFonts w:hint="eastAsia" w:ascii="宋体" w:hAnsi="宋体" w:eastAsia="宋体" w:cs="宋体"/>
          <w:color w:val="auto"/>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1.1.2 合同当事人及其他相关方</w:t>
      </w:r>
    </w:p>
    <w:p>
      <w:pPr>
        <w:keepNext w:val="0"/>
        <w:keepLines w:val="0"/>
        <w:pageBreakBefore w:val="0"/>
        <w:widowControl w:val="0"/>
        <w:kinsoku/>
        <w:wordWrap/>
        <w:overflowPunct/>
        <w:topLinePunct w:val="0"/>
        <w:bidi w:val="0"/>
        <w:snapToGrid/>
        <w:spacing w:line="360" w:lineRule="auto"/>
        <w:ind w:firstLine="42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rPr>
        <w:t>1.1.2.4 监理人：</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名    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资质类别和等级：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rPr>
        <w:t>1.1.2.5 设计人：</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名    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资质类别和等级：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1.1.3 工程和设备</w:t>
      </w:r>
    </w:p>
    <w:p>
      <w:pPr>
        <w:keepNext w:val="0"/>
        <w:keepLines w:val="0"/>
        <w:pageBreakBefore w:val="0"/>
        <w:widowControl w:val="0"/>
        <w:kinsoku/>
        <w:wordWrap/>
        <w:overflowPunct/>
        <w:topLinePunct w:val="0"/>
        <w:bidi w:val="0"/>
        <w:snapToGrid/>
        <w:spacing w:line="360" w:lineRule="auto"/>
        <w:ind w:firstLine="420" w:firstLineChars="200"/>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rPr>
        <w:t>1.1.3.7 作为施工现场组成部分的其他场所包括：</w:t>
      </w:r>
      <w:r>
        <w:rPr>
          <w:rFonts w:hint="eastAsia" w:ascii="宋体" w:hAnsi="宋体" w:eastAsia="宋体" w:cs="宋体"/>
          <w:color w:val="auto"/>
          <w:highlight w:val="none"/>
          <w:u w:val="single"/>
        </w:rPr>
        <w:t>指为完成合同约定的各项工作所服务的临时性生产和生活设施。</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1.1.3.9 永久占地包括：</w:t>
      </w:r>
      <w:r>
        <w:rPr>
          <w:rFonts w:hint="eastAsia" w:ascii="宋体" w:hAnsi="宋体" w:eastAsia="宋体" w:cs="宋体"/>
          <w:color w:val="auto"/>
          <w:highlight w:val="none"/>
          <w:u w:val="single"/>
        </w:rPr>
        <w:t>按照施工平面图，任何永久性工程外轮廓线投影至地表面所合围的用地面积</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kern w:val="0"/>
          <w:highlight w:val="none"/>
        </w:rPr>
        <w:t>1.1.3.10 临时占地包括：</w:t>
      </w:r>
      <w:r>
        <w:rPr>
          <w:rFonts w:hint="eastAsia" w:ascii="宋体" w:hAnsi="宋体" w:eastAsia="宋体" w:cs="宋体"/>
          <w:color w:val="auto"/>
          <w:highlight w:val="none"/>
          <w:u w:val="single"/>
        </w:rPr>
        <w:t>临时设施的建设用地，由施工方自行解决</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72" w:name="_Toc1182598796"/>
      <w:bookmarkStart w:id="73" w:name="_Toc407135196"/>
      <w:bookmarkStart w:id="74" w:name="_Toc373227694"/>
      <w:bookmarkStart w:id="75" w:name="_Toc1162259329"/>
      <w:bookmarkStart w:id="76" w:name="_Toc78449782"/>
      <w:bookmarkStart w:id="77" w:name="_Toc389065260"/>
      <w:bookmarkStart w:id="78" w:name="_Toc373478341"/>
      <w:r>
        <w:rPr>
          <w:rFonts w:hint="eastAsia" w:ascii="宋体" w:hAnsi="宋体" w:eastAsia="宋体" w:cs="宋体"/>
          <w:b/>
          <w:bCs/>
          <w:color w:val="auto"/>
          <w:sz w:val="24"/>
          <w:szCs w:val="24"/>
          <w:highlight w:val="none"/>
        </w:rPr>
        <w:t>1.3 法律</w:t>
      </w:r>
      <w:bookmarkEnd w:id="72"/>
      <w:bookmarkEnd w:id="73"/>
      <w:bookmarkEnd w:id="74"/>
      <w:bookmarkEnd w:id="75"/>
      <w:bookmarkEnd w:id="76"/>
      <w:bookmarkEnd w:id="77"/>
      <w:bookmarkEnd w:id="78"/>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适用于合同的其他规范性文件：</w:t>
      </w:r>
      <w:r>
        <w:rPr>
          <w:rFonts w:hint="eastAsia" w:ascii="宋体" w:hAnsi="宋体" w:eastAsia="宋体" w:cs="宋体"/>
          <w:color w:val="auto"/>
          <w:highlight w:val="none"/>
          <w:u w:val="single"/>
        </w:rPr>
        <w:t>《中华人民共和国民法典》、《中华人民共和国建筑法》、《中华人民共和国招标投标法》、《中华人民共和国安全生产法》、《建设工程质量管理条例》，以及其他有关法律、法规。</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79" w:name="_Toc78449783"/>
      <w:bookmarkStart w:id="80" w:name="_Toc1569433547"/>
      <w:bookmarkStart w:id="81" w:name="_Toc373478342"/>
      <w:bookmarkStart w:id="82" w:name="_Toc373227695"/>
      <w:bookmarkStart w:id="83" w:name="_Toc389065261"/>
      <w:bookmarkStart w:id="84" w:name="_Toc407135197"/>
      <w:bookmarkStart w:id="85" w:name="_Toc1694357896"/>
      <w:r>
        <w:rPr>
          <w:rFonts w:hint="eastAsia" w:ascii="宋体" w:hAnsi="宋体" w:eastAsia="宋体" w:cs="宋体"/>
          <w:b/>
          <w:bCs/>
          <w:color w:val="auto"/>
          <w:sz w:val="24"/>
          <w:szCs w:val="24"/>
          <w:highlight w:val="none"/>
        </w:rPr>
        <w:t>1.4 标准和规范</w:t>
      </w:r>
      <w:bookmarkEnd w:id="79"/>
      <w:bookmarkEnd w:id="80"/>
      <w:bookmarkEnd w:id="81"/>
      <w:bookmarkEnd w:id="82"/>
      <w:bookmarkEnd w:id="83"/>
      <w:bookmarkEnd w:id="84"/>
      <w:bookmarkEnd w:id="85"/>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1.4.1 适用于工程的标准规范包括：</w:t>
      </w:r>
      <w:r>
        <w:rPr>
          <w:rFonts w:hint="eastAsia" w:ascii="宋体" w:hAnsi="宋体" w:eastAsia="宋体" w:cs="宋体"/>
          <w:color w:val="auto"/>
          <w:highlight w:val="none"/>
          <w:u w:val="single"/>
        </w:rPr>
        <w:t>按国家现行的标准、规范，及项目本地市现行标准、规范执行；没有国家标准、规范但有行业标准、规范的，按照行业标准、规范执行；没有国家和行业标准、规范的，按照工程所在地地方标准、规范执行。各类法律、法规、标准及规范发生冲突或矛盾时，按照要求高的执行；承包人应严格按照本企业已通过的各类质量保证体系执行有关程序，以使本工程有稳定可靠的质量保证</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1.4.2 发包人提供国外标准、规范的名称：</w:t>
      </w:r>
      <w:r>
        <w:rPr>
          <w:rFonts w:hint="eastAsia" w:ascii="宋体" w:hAnsi="宋体" w:eastAsia="宋体" w:cs="宋体"/>
          <w:color w:val="auto"/>
          <w:highlight w:val="none"/>
          <w:u w:val="single"/>
        </w:rPr>
        <w:t xml:space="preserve">无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发包人提供国外标准、规范的份数：</w:t>
      </w:r>
      <w:r>
        <w:rPr>
          <w:rFonts w:hint="eastAsia" w:ascii="宋体" w:hAnsi="宋体" w:eastAsia="宋体" w:cs="宋体"/>
          <w:color w:val="auto"/>
          <w:kern w:val="0"/>
          <w:highlight w:val="none"/>
          <w:u w:val="single"/>
          <w:lang w:val="en-US" w:eastAsia="zh-CN"/>
        </w:rPr>
        <w:t xml:space="preserve"> / </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0"/>
          <w:highlight w:val="none"/>
        </w:rPr>
        <w:t>发包人提供国外标准、规范的名称：</w:t>
      </w:r>
      <w:r>
        <w:rPr>
          <w:rFonts w:hint="eastAsia" w:ascii="宋体" w:hAnsi="宋体" w:eastAsia="宋体" w:cs="宋体"/>
          <w:color w:val="auto"/>
          <w:kern w:val="0"/>
          <w:highlight w:val="none"/>
          <w:u w:val="single"/>
          <w:lang w:val="en-US" w:eastAsia="zh-CN"/>
        </w:rPr>
        <w:t xml:space="preserve"> / </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1.4.3 发包人对工程的技术标准和功能要求的特殊要求：</w:t>
      </w:r>
      <w:r>
        <w:rPr>
          <w:rFonts w:hint="eastAsia" w:ascii="宋体" w:hAnsi="宋体" w:eastAsia="宋体" w:cs="宋体"/>
          <w:color w:val="auto"/>
          <w:highlight w:val="none"/>
          <w:u w:val="single"/>
        </w:rPr>
        <w:t>无</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86" w:name="_Toc24431861"/>
      <w:bookmarkStart w:id="87" w:name="_Toc78449784"/>
      <w:bookmarkStart w:id="88" w:name="_Toc389065262"/>
      <w:bookmarkStart w:id="89" w:name="_Toc373478343"/>
      <w:bookmarkStart w:id="90" w:name="_Toc407135198"/>
      <w:bookmarkStart w:id="91" w:name="_Toc373227696"/>
      <w:bookmarkStart w:id="92" w:name="_Toc188277238"/>
      <w:r>
        <w:rPr>
          <w:rFonts w:hint="eastAsia" w:ascii="宋体" w:hAnsi="宋体" w:eastAsia="宋体" w:cs="宋体"/>
          <w:b/>
          <w:bCs/>
          <w:color w:val="auto"/>
          <w:sz w:val="24"/>
          <w:szCs w:val="24"/>
          <w:highlight w:val="none"/>
        </w:rPr>
        <w:t>1.5 合同文件的优先顺序</w:t>
      </w:r>
      <w:bookmarkEnd w:id="86"/>
      <w:bookmarkEnd w:id="87"/>
      <w:bookmarkEnd w:id="88"/>
      <w:bookmarkEnd w:id="89"/>
      <w:bookmarkEnd w:id="90"/>
      <w:bookmarkEnd w:id="91"/>
      <w:bookmarkEnd w:id="92"/>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highlight w:val="none"/>
        </w:rPr>
        <w:t>合同文件组成及优先顺序为：</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1</w:t>
      </w:r>
      <w:r>
        <w:rPr>
          <w:rFonts w:hint="eastAsia" w:ascii="宋体" w:hAnsi="宋体" w:eastAsia="宋体" w:cs="宋体"/>
          <w:color w:val="auto"/>
          <w:kern w:val="0"/>
          <w:highlight w:val="none"/>
        </w:rPr>
        <w:t>）合同协议书；</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rPr>
      </w:pPr>
      <w:bookmarkStart w:id="93" w:name="bookmark916"/>
      <w:bookmarkEnd w:id="93"/>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2</w:t>
      </w:r>
      <w:r>
        <w:rPr>
          <w:rFonts w:hint="eastAsia" w:ascii="宋体" w:hAnsi="宋体" w:eastAsia="宋体" w:cs="宋体"/>
          <w:color w:val="auto"/>
          <w:kern w:val="0"/>
          <w:highlight w:val="none"/>
        </w:rPr>
        <w:t>）中标通知书；</w:t>
      </w:r>
    </w:p>
    <w:p>
      <w:pPr>
        <w:keepNext w:val="0"/>
        <w:keepLines w:val="0"/>
        <w:pageBreakBefore w:val="0"/>
        <w:widowControl w:val="0"/>
        <w:kinsoku/>
        <w:wordWrap/>
        <w:overflowPunct/>
        <w:topLinePunct w:val="0"/>
        <w:bidi w:val="0"/>
        <w:snapToGrid/>
        <w:spacing w:line="360" w:lineRule="auto"/>
        <w:ind w:firstLineChars="200"/>
        <w:textAlignment w:val="auto"/>
        <w:rPr>
          <w:rFonts w:hint="eastAsia" w:ascii="宋体" w:hAnsi="宋体" w:eastAsia="宋体" w:cs="宋体"/>
          <w:color w:val="auto"/>
          <w:kern w:val="0"/>
          <w:highlight w:val="none"/>
        </w:rPr>
      </w:pPr>
      <w:bookmarkStart w:id="94" w:name="bookmark917"/>
      <w:bookmarkEnd w:id="94"/>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3</w:t>
      </w:r>
      <w:r>
        <w:rPr>
          <w:rFonts w:hint="eastAsia" w:ascii="宋体" w:hAnsi="宋体" w:eastAsia="宋体" w:cs="宋体"/>
          <w:color w:val="auto"/>
          <w:kern w:val="0"/>
          <w:highlight w:val="none"/>
        </w:rPr>
        <w:t>）投标函及投标函附录；</w:t>
      </w:r>
    </w:p>
    <w:p>
      <w:pPr>
        <w:keepNext w:val="0"/>
        <w:keepLines w:val="0"/>
        <w:pageBreakBefore w:val="0"/>
        <w:widowControl w:val="0"/>
        <w:kinsoku/>
        <w:wordWrap/>
        <w:overflowPunct/>
        <w:topLinePunct w:val="0"/>
        <w:bidi w:val="0"/>
        <w:snapToGrid/>
        <w:spacing w:line="360" w:lineRule="auto"/>
        <w:ind w:firstLineChars="200"/>
        <w:textAlignment w:val="auto"/>
        <w:rPr>
          <w:rFonts w:hint="eastAsia" w:ascii="宋体" w:hAnsi="宋体" w:eastAsia="宋体" w:cs="宋体"/>
          <w:color w:val="auto"/>
          <w:kern w:val="0"/>
          <w:highlight w:val="none"/>
        </w:rPr>
      </w:pPr>
      <w:bookmarkStart w:id="95" w:name="bookmark918"/>
      <w:bookmarkEnd w:id="95"/>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4</w:t>
      </w:r>
      <w:r>
        <w:rPr>
          <w:rFonts w:hint="eastAsia" w:ascii="宋体" w:hAnsi="宋体" w:eastAsia="宋体" w:cs="宋体"/>
          <w:color w:val="auto"/>
          <w:kern w:val="0"/>
          <w:highlight w:val="none"/>
        </w:rPr>
        <w:t>）专用合同条款；</w:t>
      </w:r>
    </w:p>
    <w:p>
      <w:pPr>
        <w:keepNext w:val="0"/>
        <w:keepLines w:val="0"/>
        <w:pageBreakBefore w:val="0"/>
        <w:widowControl w:val="0"/>
        <w:kinsoku/>
        <w:wordWrap/>
        <w:overflowPunct/>
        <w:topLinePunct w:val="0"/>
        <w:bidi w:val="0"/>
        <w:snapToGrid/>
        <w:spacing w:line="360" w:lineRule="auto"/>
        <w:ind w:firstLineChars="200"/>
        <w:textAlignment w:val="auto"/>
        <w:rPr>
          <w:rFonts w:hint="eastAsia" w:ascii="宋体" w:hAnsi="宋体" w:eastAsia="宋体" w:cs="宋体"/>
          <w:color w:val="auto"/>
          <w:kern w:val="0"/>
          <w:highlight w:val="none"/>
        </w:rPr>
      </w:pPr>
      <w:bookmarkStart w:id="96" w:name="bookmark919"/>
      <w:bookmarkEnd w:id="96"/>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5</w:t>
      </w:r>
      <w:r>
        <w:rPr>
          <w:rFonts w:hint="eastAsia" w:ascii="宋体" w:hAnsi="宋体" w:eastAsia="宋体" w:cs="宋体"/>
          <w:color w:val="auto"/>
          <w:kern w:val="0"/>
          <w:highlight w:val="none"/>
        </w:rPr>
        <w:t>）通用合同条款；</w:t>
      </w:r>
    </w:p>
    <w:p>
      <w:pPr>
        <w:keepNext w:val="0"/>
        <w:keepLines w:val="0"/>
        <w:pageBreakBefore w:val="0"/>
        <w:widowControl w:val="0"/>
        <w:kinsoku/>
        <w:wordWrap/>
        <w:overflowPunct/>
        <w:topLinePunct w:val="0"/>
        <w:bidi w:val="0"/>
        <w:snapToGrid/>
        <w:spacing w:line="360" w:lineRule="auto"/>
        <w:ind w:firstLineChars="200"/>
        <w:textAlignment w:val="auto"/>
        <w:rPr>
          <w:rFonts w:hint="eastAsia" w:ascii="宋体" w:hAnsi="宋体" w:eastAsia="宋体" w:cs="宋体"/>
          <w:color w:val="auto"/>
          <w:kern w:val="0"/>
          <w:highlight w:val="none"/>
        </w:rPr>
      </w:pPr>
      <w:bookmarkStart w:id="97" w:name="bookmark920"/>
      <w:bookmarkEnd w:id="97"/>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6</w:t>
      </w:r>
      <w:r>
        <w:rPr>
          <w:rFonts w:hint="eastAsia" w:ascii="宋体" w:hAnsi="宋体" w:eastAsia="宋体" w:cs="宋体"/>
          <w:color w:val="auto"/>
          <w:kern w:val="0"/>
          <w:highlight w:val="none"/>
        </w:rPr>
        <w:t>）技术标准和要求；</w:t>
      </w:r>
    </w:p>
    <w:p>
      <w:pPr>
        <w:keepNext w:val="0"/>
        <w:keepLines w:val="0"/>
        <w:pageBreakBefore w:val="0"/>
        <w:widowControl w:val="0"/>
        <w:kinsoku/>
        <w:wordWrap/>
        <w:overflowPunct/>
        <w:topLinePunct w:val="0"/>
        <w:bidi w:val="0"/>
        <w:snapToGrid/>
        <w:spacing w:line="360" w:lineRule="auto"/>
        <w:ind w:firstLineChars="200"/>
        <w:textAlignment w:val="auto"/>
        <w:rPr>
          <w:rFonts w:hint="eastAsia" w:ascii="宋体" w:hAnsi="宋体" w:eastAsia="宋体" w:cs="宋体"/>
          <w:color w:val="auto"/>
          <w:kern w:val="0"/>
          <w:highlight w:val="none"/>
        </w:rPr>
      </w:pPr>
      <w:bookmarkStart w:id="98" w:name="bookmark921"/>
      <w:bookmarkEnd w:id="98"/>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7</w:t>
      </w:r>
      <w:r>
        <w:rPr>
          <w:rFonts w:hint="eastAsia" w:ascii="宋体" w:hAnsi="宋体" w:eastAsia="宋体" w:cs="宋体"/>
          <w:color w:val="auto"/>
          <w:kern w:val="0"/>
          <w:highlight w:val="none"/>
        </w:rPr>
        <w:t>）图纸；</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rPr>
      </w:pPr>
      <w:bookmarkStart w:id="99" w:name="bookmark922"/>
      <w:bookmarkEnd w:id="99"/>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8</w:t>
      </w:r>
      <w:r>
        <w:rPr>
          <w:rFonts w:hint="eastAsia" w:ascii="宋体" w:hAnsi="宋体" w:eastAsia="宋体" w:cs="宋体"/>
          <w:color w:val="auto"/>
          <w:kern w:val="0"/>
          <w:highlight w:val="none"/>
        </w:rPr>
        <w:t>）已标价工程量清单；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highlight w:val="none"/>
          <w:u w:val="none"/>
          <w:lang w:eastAsia="zh-CN"/>
        </w:rPr>
      </w:pP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9</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u w:val="none"/>
        </w:rPr>
        <w:t>本工程预算控制价造价成果文件、招标文件的投标须知及其他合同文件、投标文件及其它有关文件</w:t>
      </w:r>
      <w:r>
        <w:rPr>
          <w:rFonts w:hint="eastAsia" w:ascii="宋体" w:hAnsi="宋体" w:eastAsia="宋体" w:cs="宋体"/>
          <w:color w:val="auto"/>
          <w:kern w:val="0"/>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lang w:val="en-US" w:eastAsia="zh-CN"/>
        </w:rPr>
        <w:t>10）</w:t>
      </w:r>
      <w:r>
        <w:rPr>
          <w:rFonts w:hint="eastAsia" w:ascii="宋体" w:hAnsi="宋体" w:eastAsia="宋体" w:cs="宋体"/>
          <w:color w:val="auto"/>
          <w:kern w:val="0"/>
          <w:highlight w:val="none"/>
        </w:rPr>
        <w:t>《建设工程工程量清单计价规范（GB50500-2013）》及其广西实施细则及《关于建筑业实施营业税改征增值税后广西壮族自治区建设工程计价依据调整的通知》（桂建标〔2016〕17 号）、《自治区住房城乡建设厅关于调整建设工程计价增值税税率的通知》（桂建标〔2018〕14 号）、《建设工程工程量清单计算规范（GB50854~50862-2013）》及其广西实施细则（修订本）。</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说明：（6）、（7）、（8）、（9）填空内容分别限于技术标准和要求、图纸、已标价工程量清单或预算书、其他合同文件四者之一，其优先顺序可根据采取的不同合同方式由双方约定。</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00" w:name="_Toc1531480704"/>
      <w:bookmarkStart w:id="101" w:name="_Toc1537247101"/>
      <w:bookmarkStart w:id="102" w:name="_Toc373227697"/>
      <w:bookmarkStart w:id="103" w:name="_Toc407135199"/>
      <w:bookmarkStart w:id="104" w:name="_Toc78449785"/>
      <w:bookmarkStart w:id="105" w:name="_Toc373478344"/>
      <w:bookmarkStart w:id="106" w:name="_Toc389065263"/>
      <w:r>
        <w:rPr>
          <w:rFonts w:hint="eastAsia" w:ascii="宋体" w:hAnsi="宋体" w:eastAsia="宋体" w:cs="宋体"/>
          <w:b/>
          <w:bCs/>
          <w:color w:val="auto"/>
          <w:sz w:val="24"/>
          <w:szCs w:val="24"/>
          <w:highlight w:val="none"/>
        </w:rPr>
        <w:t>1.6 图纸和承包人文件</w:t>
      </w:r>
      <w:bookmarkEnd w:id="100"/>
      <w:bookmarkEnd w:id="101"/>
      <w:bookmarkEnd w:id="102"/>
      <w:bookmarkEnd w:id="103"/>
      <w:bookmarkEnd w:id="104"/>
      <w:bookmarkEnd w:id="105"/>
      <w:bookmarkEnd w:id="106"/>
      <w:r>
        <w:rPr>
          <w:rFonts w:hint="eastAsia" w:ascii="宋体" w:hAnsi="宋体" w:eastAsia="宋体" w:cs="宋体"/>
          <w:b/>
          <w:bCs/>
          <w:color w:val="auto"/>
          <w:sz w:val="24"/>
          <w:szCs w:val="24"/>
          <w:highlight w:val="none"/>
        </w:rPr>
        <w:tab/>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1.6.1 图纸的提供</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发包人向承包人提供图纸的期限：</w:t>
      </w:r>
      <w:r>
        <w:rPr>
          <w:rFonts w:hint="eastAsia" w:ascii="宋体" w:hAnsi="宋体" w:eastAsia="宋体" w:cs="宋体"/>
          <w:color w:val="auto"/>
          <w:highlight w:val="none"/>
          <w:u w:val="single"/>
        </w:rPr>
        <w:t>合同签订后三天发包人免费向承包人提供图纸和其他技术资料陆份并向承包人进行技术交底，上述图纸及技术资料，未经监理工程师和发包人同意，承包人不得提供给与本工程无关的第三方</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发包人向承包人提供图纸的数量：</w:t>
      </w:r>
      <w:r>
        <w:rPr>
          <w:rFonts w:hint="eastAsia" w:ascii="宋体" w:hAnsi="宋体" w:eastAsia="宋体" w:cs="宋体"/>
          <w:color w:val="auto"/>
          <w:highlight w:val="none"/>
          <w:u w:val="single"/>
        </w:rPr>
        <w:t>1 份施工图纸，承包人需要更多份数时，自费复制；由发包人代为复制，承包人承担所有费用</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发包人向承包人提供图纸的内容：</w:t>
      </w:r>
      <w:r>
        <w:rPr>
          <w:rFonts w:hint="eastAsia" w:ascii="宋体" w:hAnsi="宋体" w:eastAsia="宋体" w:cs="宋体"/>
          <w:color w:val="auto"/>
          <w:highlight w:val="none"/>
          <w:u w:val="single"/>
        </w:rPr>
        <w:t>经审图审查通过的施工图纸</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.2 图纸的错误</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.3 图纸的修改和补充</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图纸需要修改和补充的，应经图纸原设计人及审批部门同意，并由监理人在工程或工程相应部位施工前将修改后的图纸或补充图纸提交给承包人，承包人应按修改或补充后的图纸施工。</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.4 承包人文件</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需要由承包人提供的文件，包括：</w:t>
      </w:r>
      <w:r>
        <w:rPr>
          <w:rFonts w:hint="eastAsia" w:ascii="宋体" w:hAnsi="宋体" w:eastAsia="宋体" w:cs="宋体"/>
          <w:color w:val="auto"/>
          <w:highlight w:val="none"/>
          <w:u w:val="single"/>
        </w:rPr>
        <w:t>必要的加工图和大样图，均不是合同计量与支付的依据文件</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承包人提供的文件的期限为：</w:t>
      </w:r>
      <w:r>
        <w:rPr>
          <w:rFonts w:hint="eastAsia" w:ascii="宋体" w:hAnsi="宋体" w:eastAsia="宋体" w:cs="宋体"/>
          <w:color w:val="auto"/>
          <w:highlight w:val="none"/>
          <w:u w:val="single"/>
        </w:rPr>
        <w:t>不少于该项工作施工前 14 天</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承包人提供的文件的数量为：</w:t>
      </w:r>
      <w:r>
        <w:rPr>
          <w:rFonts w:hint="eastAsia" w:ascii="宋体" w:hAnsi="宋体" w:eastAsia="宋体" w:cs="宋体"/>
          <w:color w:val="auto"/>
          <w:highlight w:val="none"/>
          <w:u w:val="single"/>
        </w:rPr>
        <w:t>按发包人或监理人要求</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承包人提供的文件的形式为：</w:t>
      </w:r>
      <w:r>
        <w:rPr>
          <w:rFonts w:hint="eastAsia" w:ascii="宋体" w:hAnsi="宋体" w:eastAsia="宋体" w:cs="宋体"/>
          <w:color w:val="auto"/>
          <w:highlight w:val="none"/>
          <w:u w:val="single"/>
        </w:rPr>
        <w:t xml:space="preserve">书面文件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发包人审批承包人文件的期限：</w:t>
      </w:r>
      <w:r>
        <w:rPr>
          <w:rFonts w:hint="eastAsia" w:ascii="宋体" w:hAnsi="宋体" w:eastAsia="宋体" w:cs="宋体"/>
          <w:color w:val="auto"/>
          <w:highlight w:val="none"/>
          <w:u w:val="single"/>
        </w:rPr>
        <w:t>收到承包人文件后7天内</w:t>
      </w:r>
      <w:r>
        <w:rPr>
          <w:rFonts w:hint="eastAsia" w:ascii="宋体" w:hAnsi="宋体" w:eastAsia="宋体" w:cs="宋体"/>
          <w:color w:val="auto"/>
          <w:highlight w:val="none"/>
        </w:rPr>
        <w:t xml:space="preserve">。   </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.5 现场图纸准备</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关于现场图纸准备的约定：</w:t>
      </w:r>
      <w:r>
        <w:rPr>
          <w:rFonts w:hint="eastAsia" w:ascii="宋体" w:hAnsi="宋体" w:eastAsia="宋体" w:cs="宋体"/>
          <w:color w:val="auto"/>
          <w:highlight w:val="none"/>
          <w:u w:val="single"/>
        </w:rPr>
        <w:t>承包人应在施工现场另外保存一套完整的图纸和承包人文件，供发包人、监理人及有关人员进行工程检查时使用</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07" w:name="_Toc373478345"/>
      <w:bookmarkStart w:id="108" w:name="_Toc373227698"/>
      <w:bookmarkStart w:id="109" w:name="_Toc110523719"/>
      <w:bookmarkStart w:id="110" w:name="_Toc1944260835"/>
      <w:bookmarkStart w:id="111" w:name="_Toc78449786"/>
      <w:bookmarkStart w:id="112" w:name="_Toc389065264"/>
      <w:bookmarkStart w:id="113" w:name="_Toc407135200"/>
      <w:r>
        <w:rPr>
          <w:rFonts w:hint="eastAsia" w:ascii="宋体" w:hAnsi="宋体" w:eastAsia="宋体" w:cs="宋体"/>
          <w:b/>
          <w:bCs/>
          <w:color w:val="auto"/>
          <w:sz w:val="24"/>
          <w:szCs w:val="24"/>
          <w:highlight w:val="none"/>
        </w:rPr>
        <w:t>1.7 联络</w:t>
      </w:r>
      <w:bookmarkEnd w:id="107"/>
      <w:bookmarkEnd w:id="108"/>
      <w:bookmarkEnd w:id="109"/>
      <w:bookmarkEnd w:id="110"/>
      <w:bookmarkEnd w:id="111"/>
      <w:bookmarkEnd w:id="112"/>
      <w:bookmarkEnd w:id="113"/>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1.7.1发包人和承包人应当在</w:t>
      </w:r>
      <w:r>
        <w:rPr>
          <w:rFonts w:hint="eastAsia" w:ascii="宋体" w:hAnsi="宋体" w:eastAsia="宋体" w:cs="宋体"/>
          <w:color w:val="auto"/>
          <w:kern w:val="0"/>
          <w:highlight w:val="none"/>
          <w:u w:val="single"/>
        </w:rPr>
        <w:t>书面函件生效后 1</w:t>
      </w:r>
      <w:r>
        <w:rPr>
          <w:rFonts w:hint="eastAsia" w:ascii="宋体" w:hAnsi="宋体" w:eastAsia="宋体" w:cs="宋体"/>
          <w:color w:val="auto"/>
          <w:kern w:val="0"/>
          <w:highlight w:val="none"/>
          <w:u w:val="single"/>
          <w:lang w:val="en-US" w:eastAsia="zh-CN"/>
        </w:rPr>
        <w:t>4</w:t>
      </w:r>
      <w:r>
        <w:rPr>
          <w:rFonts w:hint="eastAsia" w:ascii="宋体" w:hAnsi="宋体" w:eastAsia="宋体" w:cs="宋体"/>
          <w:color w:val="auto"/>
          <w:kern w:val="0"/>
          <w:highlight w:val="none"/>
        </w:rPr>
        <w:t>天内将与合同有关的通知、批准、证明、证书、指示、指令、要求、请求、同意、意见、确定和决定等书面函件送达对方当事人。</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14" w:name="_Toc389065265"/>
      <w:bookmarkStart w:id="115" w:name="_Toc407135201"/>
      <w:bookmarkStart w:id="116" w:name="_Toc78449787"/>
      <w:bookmarkStart w:id="117" w:name="_Toc1387231545"/>
      <w:bookmarkStart w:id="118" w:name="_Toc373227699"/>
      <w:bookmarkStart w:id="119" w:name="_Toc224348539"/>
      <w:bookmarkStart w:id="120" w:name="_Toc373478346"/>
      <w:r>
        <w:rPr>
          <w:rFonts w:hint="eastAsia" w:ascii="宋体" w:hAnsi="宋体" w:eastAsia="宋体" w:cs="宋体"/>
          <w:b/>
          <w:bCs/>
          <w:color w:val="auto"/>
          <w:sz w:val="24"/>
          <w:szCs w:val="24"/>
          <w:highlight w:val="none"/>
        </w:rPr>
        <w:t>1.10 交通运输</w:t>
      </w:r>
      <w:bookmarkEnd w:id="114"/>
      <w:bookmarkEnd w:id="115"/>
      <w:bookmarkEnd w:id="116"/>
      <w:bookmarkEnd w:id="117"/>
      <w:bookmarkEnd w:id="118"/>
      <w:bookmarkEnd w:id="119"/>
      <w:bookmarkEnd w:id="120"/>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bookmarkStart w:id="121" w:name="_Toc300934943"/>
      <w:bookmarkStart w:id="122" w:name="_Toc312677986"/>
      <w:bookmarkStart w:id="123" w:name="_Toc304295521"/>
      <w:bookmarkStart w:id="124" w:name="_Toc318581155"/>
      <w:bookmarkStart w:id="125" w:name="_Toc303539100"/>
      <w:r>
        <w:rPr>
          <w:rFonts w:hint="eastAsia" w:ascii="宋体" w:hAnsi="宋体" w:eastAsia="宋体" w:cs="宋体"/>
          <w:color w:val="auto"/>
          <w:highlight w:val="none"/>
        </w:rPr>
        <w:t>.10.1 出入现场的权利</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关于出入现场的权利的约定：</w:t>
      </w:r>
      <w:r>
        <w:rPr>
          <w:rFonts w:hint="eastAsia" w:ascii="宋体" w:hAnsi="宋体" w:eastAsia="宋体" w:cs="宋体"/>
          <w:color w:val="auto"/>
          <w:highlight w:val="none"/>
          <w:u w:val="single"/>
        </w:rPr>
        <w:t>由承包人按照发包人要求负责取得出入施工现场所需的批准手续和全部权利。承包人应协助发包人办理修建场内外道路、桥梁以及其他基础设施的手续</w:t>
      </w:r>
      <w:r>
        <w:rPr>
          <w:rFonts w:hint="eastAsia" w:ascii="宋体" w:hAnsi="宋体" w:eastAsia="宋体" w:cs="宋体"/>
          <w:color w:val="auto"/>
          <w:highlight w:val="none"/>
        </w:rPr>
        <w:t>。</w:t>
      </w:r>
    </w:p>
    <w:bookmarkEnd w:id="121"/>
    <w:bookmarkEnd w:id="122"/>
    <w:bookmarkEnd w:id="123"/>
    <w:bookmarkEnd w:id="124"/>
    <w:bookmarkEnd w:id="125"/>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bookmarkStart w:id="126" w:name="_Toc312677987"/>
      <w:bookmarkStart w:id="127" w:name="_Toc318581156"/>
      <w:bookmarkStart w:id="128" w:name="_Toc304295522"/>
      <w:bookmarkStart w:id="129" w:name="_Toc300934944"/>
      <w:bookmarkStart w:id="130" w:name="_Toc303539101"/>
      <w:r>
        <w:rPr>
          <w:rFonts w:hint="eastAsia" w:ascii="宋体" w:hAnsi="宋体" w:eastAsia="宋体" w:cs="宋体"/>
          <w:color w:val="auto"/>
          <w:highlight w:val="none"/>
        </w:rPr>
        <w:t>.10.3 场内交通</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关于场外交通和场内交通的边界的约定：</w:t>
      </w:r>
      <w:r>
        <w:rPr>
          <w:rFonts w:hint="eastAsia" w:ascii="宋体" w:hAnsi="宋体" w:eastAsia="宋体" w:cs="宋体"/>
          <w:color w:val="auto"/>
          <w:highlight w:val="none"/>
          <w:u w:val="single"/>
        </w:rPr>
        <w:t>以现场实际施工条件为准</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关于发包人向承包人免费提供满足工程施工需要的场内道路和交通设施的约定：</w:t>
      </w:r>
      <w:r>
        <w:rPr>
          <w:rFonts w:hint="eastAsia" w:ascii="宋体" w:hAnsi="宋体" w:eastAsia="宋体" w:cs="宋体"/>
          <w:color w:val="auto"/>
          <w:highlight w:val="none"/>
          <w:u w:val="single"/>
        </w:rPr>
        <w:t>以现场实际施工条件为准</w:t>
      </w:r>
      <w:r>
        <w:rPr>
          <w:rFonts w:hint="eastAsia" w:ascii="宋体" w:hAnsi="宋体" w:eastAsia="宋体" w:cs="宋体"/>
          <w:color w:val="auto"/>
          <w:highlight w:val="none"/>
        </w:rPr>
        <w:t>。</w:t>
      </w:r>
      <w:bookmarkEnd w:id="126"/>
      <w:bookmarkEnd w:id="127"/>
      <w:bookmarkEnd w:id="128"/>
      <w:bookmarkEnd w:id="129"/>
      <w:bookmarkEnd w:id="130"/>
      <w:bookmarkStart w:id="131" w:name="_Toc318581157"/>
    </w:p>
    <w:bookmarkEnd w:id="131"/>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32" w:name="_Toc512841653"/>
      <w:bookmarkStart w:id="133" w:name="_Toc389065266"/>
      <w:bookmarkStart w:id="134" w:name="_Toc373478347"/>
      <w:bookmarkStart w:id="135" w:name="_Toc407135202"/>
      <w:bookmarkStart w:id="136" w:name="_Toc373227700"/>
      <w:bookmarkStart w:id="137" w:name="_Toc78449788"/>
      <w:bookmarkStart w:id="138" w:name="_Toc1495098807"/>
      <w:r>
        <w:rPr>
          <w:rFonts w:hint="eastAsia" w:ascii="宋体" w:hAnsi="宋体" w:eastAsia="宋体" w:cs="宋体"/>
          <w:b/>
          <w:bCs/>
          <w:color w:val="auto"/>
          <w:sz w:val="24"/>
          <w:szCs w:val="24"/>
          <w:highlight w:val="none"/>
        </w:rPr>
        <w:t>1.11 知识产权</w:t>
      </w:r>
      <w:bookmarkEnd w:id="132"/>
      <w:bookmarkEnd w:id="133"/>
      <w:bookmarkEnd w:id="134"/>
      <w:bookmarkEnd w:id="135"/>
      <w:bookmarkEnd w:id="136"/>
      <w:bookmarkEnd w:id="137"/>
      <w:bookmarkEnd w:id="138"/>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highlight w:val="none"/>
          <w:u w:val="single"/>
        </w:rPr>
        <w:t>发包人</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关于发包人提供的上述文件的使用限制的要求：</w:t>
      </w:r>
      <w:r>
        <w:rPr>
          <w:rFonts w:hint="eastAsia" w:ascii="宋体" w:hAnsi="宋体" w:eastAsia="宋体" w:cs="宋体"/>
          <w:color w:val="auto"/>
          <w:highlight w:val="none"/>
          <w:u w:val="single"/>
        </w:rPr>
        <w:t>按通用条款，无特殊约定</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1.11.2 关于承包人为实施工程所编制文件的著作权的归属：</w:t>
      </w:r>
      <w:r>
        <w:rPr>
          <w:rFonts w:hint="eastAsia" w:ascii="宋体" w:hAnsi="宋体" w:eastAsia="宋体" w:cs="宋体"/>
          <w:color w:val="auto"/>
          <w:highlight w:val="none"/>
          <w:u w:val="single"/>
        </w:rPr>
        <w:t xml:space="preserve">除署名权以外的著作权属于发包人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关于承包人提供的上述文件的使用限制的要求：</w:t>
      </w:r>
      <w:r>
        <w:rPr>
          <w:rFonts w:hint="eastAsia" w:ascii="宋体" w:hAnsi="宋体" w:eastAsia="宋体" w:cs="宋体"/>
          <w:color w:val="auto"/>
          <w:highlight w:val="none"/>
          <w:u w:val="single"/>
        </w:rPr>
        <w:t>按通用条款，无特殊约定</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highlight w:val="none"/>
        </w:rPr>
        <w:t>1.11.4 承包人在施工过程中所采用的专利、专有技术、技术秘密的使用费的承担方式：</w:t>
      </w:r>
      <w:r>
        <w:rPr>
          <w:rFonts w:hint="eastAsia" w:ascii="宋体" w:hAnsi="宋体" w:eastAsia="宋体" w:cs="宋体"/>
          <w:color w:val="auto"/>
          <w:highlight w:val="none"/>
          <w:u w:val="single"/>
        </w:rPr>
        <w:t>承包人在施工中所采用的所有专利、专业技术、技术秘密的使用费均已包含在签约合同中，承包人不得以此为理由增加费用</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39" w:name="_Toc407135203"/>
      <w:bookmarkStart w:id="140" w:name="_Toc1194977599"/>
      <w:bookmarkStart w:id="141" w:name="_Toc373227701"/>
      <w:bookmarkStart w:id="142" w:name="_Toc373478348"/>
      <w:bookmarkStart w:id="143" w:name="_Toc389065267"/>
      <w:bookmarkStart w:id="144" w:name="_Toc267680563"/>
      <w:bookmarkStart w:id="145" w:name="_Toc78449789"/>
      <w:r>
        <w:rPr>
          <w:rFonts w:hint="eastAsia" w:ascii="宋体" w:hAnsi="宋体" w:eastAsia="宋体" w:cs="宋体"/>
          <w:b/>
          <w:bCs/>
          <w:color w:val="auto"/>
          <w:sz w:val="24"/>
          <w:szCs w:val="24"/>
          <w:highlight w:val="none"/>
        </w:rPr>
        <w:t>1.13工程量清单错误的修正</w:t>
      </w:r>
      <w:bookmarkEnd w:id="139"/>
      <w:bookmarkEnd w:id="140"/>
      <w:bookmarkEnd w:id="141"/>
      <w:bookmarkEnd w:id="142"/>
      <w:bookmarkEnd w:id="143"/>
      <w:bookmarkEnd w:id="144"/>
      <w:bookmarkEnd w:id="145"/>
      <w:r>
        <w:rPr>
          <w:rFonts w:hint="eastAsia" w:ascii="宋体" w:hAnsi="宋体" w:eastAsia="宋体" w:cs="宋体"/>
          <w:b/>
          <w:bCs/>
          <w:color w:val="auto"/>
          <w:sz w:val="24"/>
          <w:szCs w:val="24"/>
          <w:highlight w:val="none"/>
        </w:rPr>
        <w:t>（按合同价格形式选择）</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出现工程量清单工程量偏差时，是否调整合同价格：</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是  </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否</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允许调整合同价格的工程量偏差范围及其调整办法：</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除严重不平衡报价外，无论分部分项工程量清单项目中的工程量变化多少均不调整                 </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w:t>
      </w:r>
      <w:r>
        <w:rPr>
          <w:rFonts w:hint="eastAsia" w:ascii="宋体" w:hAnsi="宋体" w:eastAsia="宋体" w:cs="宋体"/>
          <w:color w:val="auto"/>
          <w:highlight w:val="none"/>
          <w:u w:val="single"/>
        </w:rPr>
        <w:t>承包人实际完成的某单项清单项目工程量与招标工程量清单工程量偏差超过    %且该单项清单造价超过合同总价  %以上的，超过后增加部分工程量或减少后剩余部分工程量的综合单价按以下方法调整：                                    。</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46" w:name="_Toc373478349"/>
      <w:bookmarkStart w:id="147" w:name="_Toc373227702"/>
      <w:bookmarkStart w:id="148" w:name="_Toc351203634"/>
      <w:bookmarkStart w:id="149" w:name="_Toc78449790"/>
      <w:bookmarkStart w:id="150" w:name="_Toc143780453"/>
      <w:bookmarkStart w:id="151" w:name="_Toc389065268"/>
      <w:bookmarkStart w:id="152" w:name="_Toc407135204"/>
      <w:bookmarkStart w:id="153" w:name="_Toc1415467590"/>
      <w:r>
        <w:rPr>
          <w:rFonts w:hint="eastAsia" w:ascii="宋体" w:hAnsi="宋体" w:eastAsia="宋体" w:cs="宋体"/>
          <w:b/>
          <w:bCs/>
          <w:color w:val="auto"/>
          <w:sz w:val="24"/>
          <w:szCs w:val="24"/>
          <w:highlight w:val="none"/>
        </w:rPr>
        <w:t>2</w:t>
      </w:r>
      <w:bookmarkStart w:id="154" w:name="_Toc296944496"/>
      <w:bookmarkStart w:id="155" w:name="_Toc292559362"/>
      <w:bookmarkStart w:id="156" w:name="_Toc296347156"/>
      <w:bookmarkStart w:id="157" w:name="_Toc296346658"/>
      <w:bookmarkStart w:id="158" w:name="_Toc296890985"/>
      <w:bookmarkStart w:id="159" w:name="_Toc292559867"/>
      <w:bookmarkStart w:id="160" w:name="_Toc297120457"/>
      <w:bookmarkStart w:id="161" w:name="_Toc296891197"/>
      <w:bookmarkStart w:id="162" w:name="_Toc296503157"/>
      <w:bookmarkStart w:id="163" w:name="_Toc297048343"/>
      <w:r>
        <w:rPr>
          <w:rFonts w:hint="eastAsia" w:ascii="宋体" w:hAnsi="宋体" w:eastAsia="宋体" w:cs="宋体"/>
          <w:b/>
          <w:bCs/>
          <w:color w:val="auto"/>
          <w:sz w:val="24"/>
          <w:szCs w:val="24"/>
          <w:highlight w:val="none"/>
        </w:rPr>
        <w:t>. 发包人</w:t>
      </w:r>
      <w:bookmarkEnd w:id="146"/>
      <w:bookmarkEnd w:id="147"/>
      <w:bookmarkEnd w:id="148"/>
      <w:bookmarkEnd w:id="149"/>
      <w:bookmarkEnd w:id="150"/>
      <w:bookmarkEnd w:id="151"/>
      <w:bookmarkEnd w:id="152"/>
      <w:bookmarkEnd w:id="153"/>
    </w:p>
    <w:bookmarkEnd w:id="154"/>
    <w:bookmarkEnd w:id="155"/>
    <w:bookmarkEnd w:id="156"/>
    <w:bookmarkEnd w:id="157"/>
    <w:bookmarkEnd w:id="158"/>
    <w:bookmarkEnd w:id="159"/>
    <w:bookmarkEnd w:id="160"/>
    <w:bookmarkEnd w:id="161"/>
    <w:bookmarkEnd w:id="162"/>
    <w:bookmarkEnd w:id="163"/>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64" w:name="_Toc971240048"/>
      <w:bookmarkStart w:id="165" w:name="_Toc78449791"/>
      <w:bookmarkStart w:id="166" w:name="_Toc389065269"/>
      <w:bookmarkStart w:id="167" w:name="_Toc407135205"/>
      <w:bookmarkStart w:id="168" w:name="_Toc373227703"/>
      <w:bookmarkStart w:id="169" w:name="_Toc373478350"/>
      <w:bookmarkStart w:id="170" w:name="_Toc547644210"/>
      <w:r>
        <w:rPr>
          <w:rFonts w:hint="eastAsia" w:ascii="宋体" w:hAnsi="宋体" w:eastAsia="宋体" w:cs="宋体"/>
          <w:b/>
          <w:bCs/>
          <w:color w:val="auto"/>
          <w:sz w:val="24"/>
          <w:szCs w:val="24"/>
          <w:highlight w:val="none"/>
        </w:rPr>
        <w:t>2.2 发包人代表</w:t>
      </w:r>
      <w:bookmarkEnd w:id="164"/>
      <w:bookmarkEnd w:id="165"/>
      <w:bookmarkEnd w:id="166"/>
      <w:bookmarkEnd w:id="167"/>
      <w:bookmarkEnd w:id="168"/>
      <w:bookmarkEnd w:id="169"/>
      <w:bookmarkEnd w:id="170"/>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发包人代表：</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身份证号：</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职    务：</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  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 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发包人对发包人代表的授权范围如下：</w:t>
      </w:r>
      <w:r>
        <w:rPr>
          <w:rFonts w:hint="eastAsia" w:ascii="宋体" w:hAnsi="宋体" w:eastAsia="宋体" w:cs="宋体"/>
          <w:color w:val="auto"/>
          <w:highlight w:val="none"/>
          <w:u w:val="single"/>
        </w:rPr>
        <w:t>(1)确认承包人提出的顺延工期的签证；(2)对发生的不可抗力造成工程无法施工的处置；(3)设计变更及施工条件变更等有关签证的确认；(4)工程竣工验收报告的确认；(5)工程预付款和进度款的审批；(6)处理和协调外部施工条件；(7)代表发包人行使本合同约定的其它权利和义务。签证、变更、联系函、进度款支付等材料须加盖基建处公章方为有效</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71" w:name="_Toc2066513957"/>
      <w:bookmarkStart w:id="172" w:name="_Toc407135206"/>
      <w:bookmarkStart w:id="173" w:name="_Toc2077499244"/>
      <w:bookmarkStart w:id="174" w:name="_Toc389065270"/>
      <w:bookmarkStart w:id="175" w:name="_Toc373227704"/>
      <w:bookmarkStart w:id="176" w:name="_Toc373478351"/>
      <w:bookmarkStart w:id="177" w:name="_Toc78449792"/>
      <w:r>
        <w:rPr>
          <w:rFonts w:hint="eastAsia" w:ascii="宋体" w:hAnsi="宋体" w:eastAsia="宋体" w:cs="宋体"/>
          <w:b/>
          <w:bCs/>
          <w:color w:val="auto"/>
          <w:sz w:val="24"/>
          <w:szCs w:val="24"/>
          <w:highlight w:val="none"/>
        </w:rPr>
        <w:t>2.4 施工现场、施工条件和基础资料的提供</w:t>
      </w:r>
      <w:bookmarkEnd w:id="171"/>
      <w:bookmarkEnd w:id="172"/>
      <w:bookmarkEnd w:id="173"/>
      <w:bookmarkEnd w:id="174"/>
      <w:bookmarkEnd w:id="175"/>
      <w:bookmarkEnd w:id="176"/>
      <w:bookmarkEnd w:id="177"/>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2.4.1 提供施工现场</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关于发包人移交施工现场的期限要求：</w:t>
      </w:r>
      <w:r>
        <w:rPr>
          <w:rFonts w:hint="eastAsia" w:ascii="宋体" w:hAnsi="宋体" w:eastAsia="宋体" w:cs="宋体"/>
          <w:color w:val="auto"/>
          <w:highlight w:val="none"/>
          <w:u w:val="single"/>
        </w:rPr>
        <w:t>发包人应最迟于开工日期 7 天前向承包人移交施工现场。发包人最迟应当在移交施工场地的同时向承包人提供施工场地内地下管线和地下设施等有关资料，承包人应对发包人提供资料进行进一步核实，发现不符应及时与发包人沟通</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2.4.2 提供施工条件</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关于发包人应负责提供施工所需要的条件，包括：</w:t>
      </w:r>
      <w:r>
        <w:rPr>
          <w:rFonts w:hint="eastAsia" w:ascii="宋体" w:hAnsi="宋体" w:eastAsia="宋体" w:cs="宋体"/>
          <w:color w:val="auto"/>
          <w:highlight w:val="none"/>
          <w:u w:val="single"/>
        </w:rPr>
        <w:t>发包人将施工所需的水、电、电讯线路接至施工场地现场，水电容量须满足 施工需要。电讯线路的接通由承包人自行办理，费用由承包人承担。水、电、通讯费用由承包人支付。若基于供电部门的原因造成停电，承包人必须自行解决施工用电，费用自理 。发包人协调处理施工场地周围地下管线和邻近建筑物、构筑物、古树名木的保护工作( ( 含文物保护建筑) ) ，相应费用由承包人承担</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78" w:name="_Toc672429943"/>
      <w:bookmarkStart w:id="179" w:name="_Toc373478352"/>
      <w:bookmarkStart w:id="180" w:name="_Toc78449793"/>
      <w:bookmarkStart w:id="181" w:name="_Toc373227705"/>
      <w:bookmarkStart w:id="182" w:name="_Toc407135207"/>
      <w:bookmarkStart w:id="183" w:name="_Toc1238195908"/>
      <w:bookmarkStart w:id="184" w:name="_Toc389065271"/>
      <w:r>
        <w:rPr>
          <w:rFonts w:hint="eastAsia" w:ascii="宋体" w:hAnsi="宋体" w:eastAsia="宋体" w:cs="宋体"/>
          <w:b/>
          <w:bCs/>
          <w:color w:val="auto"/>
          <w:sz w:val="24"/>
          <w:szCs w:val="24"/>
          <w:highlight w:val="none"/>
        </w:rPr>
        <w:t>2.5 资金来源证明及支付担保</w:t>
      </w:r>
      <w:bookmarkEnd w:id="178"/>
      <w:bookmarkEnd w:id="179"/>
      <w:bookmarkEnd w:id="180"/>
      <w:bookmarkEnd w:id="181"/>
      <w:bookmarkEnd w:id="182"/>
      <w:bookmarkEnd w:id="183"/>
      <w:bookmarkEnd w:id="184"/>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发包人提供资金来源证明的期限要求：</w:t>
      </w:r>
      <w:r>
        <w:rPr>
          <w:rFonts w:hint="eastAsia" w:ascii="宋体" w:hAnsi="宋体" w:eastAsia="宋体" w:cs="宋体"/>
          <w:color w:val="auto"/>
          <w:highlight w:val="none"/>
          <w:u w:val="single"/>
        </w:rPr>
        <w:t>招标前，且资金已落实到位</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发包人是否提供支付担保：</w:t>
      </w:r>
      <w:r>
        <w:rPr>
          <w:rFonts w:hint="eastAsia" w:ascii="宋体" w:hAnsi="宋体" w:eastAsia="宋体" w:cs="宋体"/>
          <w:color w:val="auto"/>
          <w:highlight w:val="none"/>
          <w:u w:val="single"/>
        </w:rPr>
        <w:t>发包人不提供</w:t>
      </w:r>
      <w:r>
        <w:rPr>
          <w:rFonts w:hint="eastAsia" w:ascii="宋体" w:hAnsi="宋体" w:eastAsia="宋体" w:cs="宋体"/>
          <w:color w:val="auto"/>
          <w:highlight w:val="none"/>
        </w:rPr>
        <w:t>。【</w:t>
      </w:r>
      <w:r>
        <w:rPr>
          <w:rFonts w:hint="eastAsia" w:ascii="宋体" w:hAnsi="宋体" w:eastAsia="宋体" w:cs="宋体"/>
          <w:i w:val="0"/>
          <w:caps w:val="0"/>
          <w:color w:val="auto"/>
          <w:spacing w:val="0"/>
          <w:sz w:val="21"/>
          <w:szCs w:val="21"/>
          <w:highlight w:val="none"/>
          <w:lang w:eastAsia="zh-CN"/>
        </w:rPr>
        <w:t>发包</w:t>
      </w:r>
      <w:r>
        <w:rPr>
          <w:rFonts w:hint="eastAsia" w:ascii="宋体" w:hAnsi="宋体" w:eastAsia="宋体" w:cs="宋体"/>
          <w:i w:val="0"/>
          <w:caps w:val="0"/>
          <w:color w:val="auto"/>
          <w:spacing w:val="0"/>
          <w:sz w:val="21"/>
          <w:szCs w:val="21"/>
          <w:highlight w:val="none"/>
        </w:rPr>
        <w:t>人要求</w:t>
      </w:r>
      <w:r>
        <w:rPr>
          <w:rFonts w:hint="eastAsia" w:ascii="宋体" w:hAnsi="宋体" w:eastAsia="宋体" w:cs="宋体"/>
          <w:i w:val="0"/>
          <w:caps w:val="0"/>
          <w:color w:val="auto"/>
          <w:spacing w:val="0"/>
          <w:sz w:val="21"/>
          <w:szCs w:val="21"/>
          <w:highlight w:val="none"/>
          <w:lang w:eastAsia="zh-CN"/>
        </w:rPr>
        <w:t>承包</w:t>
      </w:r>
      <w:r>
        <w:rPr>
          <w:rFonts w:hint="eastAsia" w:ascii="宋体" w:hAnsi="宋体" w:eastAsia="宋体" w:cs="宋体"/>
          <w:i w:val="0"/>
          <w:caps w:val="0"/>
          <w:color w:val="auto"/>
          <w:spacing w:val="0"/>
          <w:sz w:val="21"/>
          <w:szCs w:val="21"/>
          <w:highlight w:val="none"/>
        </w:rPr>
        <w:t>人提供履约担保的，应当同时向</w:t>
      </w:r>
      <w:r>
        <w:rPr>
          <w:rFonts w:hint="eastAsia" w:ascii="宋体" w:hAnsi="宋体" w:eastAsia="宋体" w:cs="宋体"/>
          <w:i w:val="0"/>
          <w:caps w:val="0"/>
          <w:color w:val="auto"/>
          <w:spacing w:val="0"/>
          <w:sz w:val="21"/>
          <w:szCs w:val="21"/>
          <w:highlight w:val="none"/>
          <w:lang w:eastAsia="zh-CN"/>
        </w:rPr>
        <w:t>承包</w:t>
      </w:r>
      <w:r>
        <w:rPr>
          <w:rFonts w:hint="eastAsia" w:ascii="宋体" w:hAnsi="宋体" w:eastAsia="宋体" w:cs="宋体"/>
          <w:i w:val="0"/>
          <w:caps w:val="0"/>
          <w:color w:val="auto"/>
          <w:spacing w:val="0"/>
          <w:sz w:val="21"/>
          <w:szCs w:val="21"/>
          <w:highlight w:val="none"/>
        </w:rPr>
        <w:t>人提供工程款支付担保。工程款支付担保可以全额担保，也可以分阶段担保。分阶段担保的，除保修金以外的全部款项，完成一个阶段清算后再进入下一阶段，有效期截至工程竣工结算款支付完毕。</w:t>
      </w:r>
      <w:r>
        <w:rPr>
          <w:rFonts w:hint="eastAsia" w:ascii="宋体" w:hAnsi="宋体" w:eastAsia="宋体" w:cs="宋体"/>
          <w:i w:val="0"/>
          <w:caps w:val="0"/>
          <w:color w:val="auto"/>
          <w:spacing w:val="0"/>
          <w:sz w:val="21"/>
          <w:szCs w:val="21"/>
          <w:highlight w:val="none"/>
          <w:lang w:eastAsia="zh-CN"/>
        </w:rPr>
        <w:t>发包</w:t>
      </w:r>
      <w:r>
        <w:rPr>
          <w:rFonts w:hint="eastAsia" w:ascii="宋体" w:hAnsi="宋体" w:eastAsia="宋体" w:cs="宋体"/>
          <w:i w:val="0"/>
          <w:caps w:val="0"/>
          <w:color w:val="auto"/>
          <w:spacing w:val="0"/>
          <w:sz w:val="21"/>
          <w:szCs w:val="21"/>
          <w:highlight w:val="none"/>
        </w:rPr>
        <w:t>人未按合同约定及时支付工程款的，工程担保保证人需承担担保责任。对政府投资项目，由建设单位提供落实财政资金来源的证明文件。</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lang w:val="en" w:eastAsia="zh-CN"/>
        </w:rPr>
      </w:pPr>
      <w:r>
        <w:rPr>
          <w:rFonts w:hint="eastAsia" w:ascii="宋体" w:hAnsi="宋体" w:eastAsia="宋体" w:cs="宋体"/>
          <w:color w:val="auto"/>
          <w:highlight w:val="none"/>
        </w:rPr>
        <w:t>发包人提供支付担保的形式：</w:t>
      </w:r>
      <w:r>
        <w:rPr>
          <w:rFonts w:hint="eastAsia" w:ascii="宋体" w:hAnsi="宋体" w:eastAsia="宋体" w:cs="宋体"/>
          <w:color w:val="auto"/>
          <w:highlight w:val="none"/>
          <w:u w:val="none"/>
          <w:lang w:eastAsia="zh-CN"/>
        </w:rPr>
        <w:t>可以是</w:t>
      </w:r>
      <w:r>
        <w:rPr>
          <w:rFonts w:hint="eastAsia" w:ascii="宋体" w:hAnsi="宋体" w:eastAsia="宋体" w:cs="宋体"/>
          <w:color w:val="auto"/>
          <w:highlight w:val="none"/>
        </w:rPr>
        <w:t>银行转账、电汇或网上支付、保函（银行保函、电子保函、保证保险保函、工程担保保函）等形式。</w:t>
      </w:r>
      <w:r>
        <w:rPr>
          <w:rFonts w:hint="eastAsia" w:ascii="宋体" w:hAnsi="宋体" w:eastAsia="宋体" w:cs="宋体"/>
          <w:color w:val="auto"/>
          <w:highlight w:val="none"/>
          <w:lang w:eastAsia="zh-CN"/>
        </w:rPr>
        <w:t>工程担保保证人应将出具的保函相关信息录入“广西建筑市场监管云”平台（http://gxjzsc.caihcloud.com），以实现保函查询及验真功能</w:t>
      </w:r>
      <w:r>
        <w:rPr>
          <w:rFonts w:hint="eastAsia" w:ascii="宋体" w:hAnsi="宋体" w:eastAsia="宋体" w:cs="宋体"/>
          <w:color w:val="auto"/>
          <w:highlight w:val="none"/>
          <w:lang w:val="en" w:eastAsia="zh-CN"/>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发包人提供的支付担保格式见合同附件9。</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85" w:name="_Toc729657770"/>
      <w:bookmarkStart w:id="186" w:name="_Toc407135208"/>
      <w:bookmarkStart w:id="187" w:name="_Toc351203635"/>
      <w:bookmarkStart w:id="188" w:name="_Toc78449794"/>
      <w:bookmarkStart w:id="189" w:name="_Toc373478353"/>
      <w:bookmarkStart w:id="190" w:name="_Toc1181400362"/>
      <w:bookmarkStart w:id="191" w:name="_Toc389065272"/>
      <w:bookmarkStart w:id="192" w:name="_Toc373227706"/>
      <w:r>
        <w:rPr>
          <w:rFonts w:hint="eastAsia" w:ascii="宋体" w:hAnsi="宋体" w:eastAsia="宋体" w:cs="宋体"/>
          <w:b/>
          <w:bCs/>
          <w:color w:val="auto"/>
          <w:sz w:val="24"/>
          <w:szCs w:val="24"/>
          <w:highlight w:val="none"/>
        </w:rPr>
        <w:t>3</w:t>
      </w:r>
      <w:bookmarkStart w:id="193" w:name="_Toc296890986"/>
      <w:bookmarkStart w:id="194" w:name="_Toc297048344"/>
      <w:bookmarkStart w:id="195" w:name="_Toc297120458"/>
      <w:bookmarkStart w:id="196" w:name="_Toc296944497"/>
      <w:bookmarkStart w:id="197" w:name="_Toc296503158"/>
      <w:bookmarkStart w:id="198" w:name="_Toc292559868"/>
      <w:bookmarkStart w:id="199" w:name="_Toc296347157"/>
      <w:bookmarkStart w:id="200" w:name="_Toc292559363"/>
      <w:bookmarkStart w:id="201" w:name="_Toc296891198"/>
      <w:bookmarkStart w:id="202" w:name="_Toc296346659"/>
      <w:r>
        <w:rPr>
          <w:rFonts w:hint="eastAsia" w:ascii="宋体" w:hAnsi="宋体" w:eastAsia="宋体" w:cs="宋体"/>
          <w:b/>
          <w:bCs/>
          <w:color w:val="auto"/>
          <w:sz w:val="24"/>
          <w:szCs w:val="24"/>
          <w:highlight w:val="none"/>
        </w:rPr>
        <w:t>. 承包人</w:t>
      </w:r>
      <w:bookmarkEnd w:id="185"/>
      <w:bookmarkEnd w:id="186"/>
      <w:bookmarkEnd w:id="187"/>
      <w:bookmarkEnd w:id="188"/>
      <w:bookmarkEnd w:id="189"/>
      <w:bookmarkEnd w:id="190"/>
      <w:bookmarkEnd w:id="191"/>
      <w:bookmarkEnd w:id="192"/>
    </w:p>
    <w:bookmarkEnd w:id="193"/>
    <w:bookmarkEnd w:id="194"/>
    <w:bookmarkEnd w:id="195"/>
    <w:bookmarkEnd w:id="196"/>
    <w:bookmarkEnd w:id="197"/>
    <w:bookmarkEnd w:id="198"/>
    <w:bookmarkEnd w:id="199"/>
    <w:bookmarkEnd w:id="200"/>
    <w:bookmarkEnd w:id="201"/>
    <w:bookmarkEnd w:id="202"/>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203" w:name="_Toc78449795"/>
      <w:bookmarkStart w:id="204" w:name="_Toc1642190822"/>
      <w:bookmarkStart w:id="205" w:name="_Toc373478354"/>
      <w:bookmarkStart w:id="206" w:name="_Toc389065273"/>
      <w:bookmarkStart w:id="207" w:name="_Toc962678435"/>
      <w:bookmarkStart w:id="208" w:name="_Toc407135209"/>
      <w:bookmarkStart w:id="209" w:name="_Toc373227707"/>
      <w:r>
        <w:rPr>
          <w:rFonts w:hint="eastAsia" w:ascii="宋体" w:hAnsi="宋体" w:eastAsia="宋体" w:cs="宋体"/>
          <w:b/>
          <w:bCs/>
          <w:color w:val="auto"/>
          <w:sz w:val="24"/>
          <w:szCs w:val="24"/>
          <w:highlight w:val="none"/>
        </w:rPr>
        <w:t>3.1 承包人的一般义务</w:t>
      </w:r>
      <w:bookmarkEnd w:id="203"/>
      <w:bookmarkEnd w:id="204"/>
      <w:bookmarkEnd w:id="205"/>
      <w:bookmarkEnd w:id="206"/>
      <w:bookmarkEnd w:id="207"/>
      <w:bookmarkEnd w:id="208"/>
      <w:bookmarkEnd w:id="209"/>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kern w:val="0"/>
          <w:highlight w:val="none"/>
        </w:rPr>
        <w:t>（9）</w:t>
      </w:r>
      <w:r>
        <w:rPr>
          <w:rFonts w:hint="eastAsia" w:ascii="宋体" w:hAnsi="宋体" w:eastAsia="宋体" w:cs="宋体"/>
          <w:color w:val="auto"/>
          <w:highlight w:val="none"/>
        </w:rPr>
        <w:t>承包人提交的竣工资料的内容：</w:t>
      </w:r>
      <w:r>
        <w:rPr>
          <w:rFonts w:hint="eastAsia" w:ascii="宋体" w:hAnsi="宋体" w:eastAsia="宋体" w:cs="宋体"/>
          <w:color w:val="auto"/>
          <w:highlight w:val="none"/>
          <w:u w:val="single"/>
        </w:rPr>
        <w:t>按照法律规定和合同约定编制的竣工资料，符合工程所在地建设行政主管部门和(或)城市建设档案管理机构有关施工资料的要求，并立卷及归档</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承包人需要提交的竣工资料套数：</w:t>
      </w:r>
      <w:r>
        <w:rPr>
          <w:rFonts w:hint="eastAsia" w:ascii="宋体" w:hAnsi="宋体" w:eastAsia="宋体" w:cs="宋体"/>
          <w:color w:val="auto"/>
          <w:highlight w:val="none"/>
          <w:u w:val="single"/>
        </w:rPr>
        <w:t>一式</w:t>
      </w:r>
      <w:r>
        <w:rPr>
          <w:rFonts w:hint="eastAsia" w:ascii="宋体" w:hAnsi="宋体" w:eastAsia="宋体" w:cs="宋体"/>
          <w:color w:val="auto"/>
          <w:highlight w:val="none"/>
          <w:u w:val="single"/>
          <w:lang w:val="en-US" w:eastAsia="zh-CN"/>
        </w:rPr>
        <w:t>三</w:t>
      </w:r>
      <w:r>
        <w:rPr>
          <w:rFonts w:hint="eastAsia" w:ascii="宋体" w:hAnsi="宋体" w:eastAsia="宋体" w:cs="宋体"/>
          <w:color w:val="auto"/>
          <w:highlight w:val="none"/>
          <w:u w:val="single"/>
        </w:rPr>
        <w:t>套</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left="424" w:leftChars="202"/>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承包人提交的竣工资料的费用承担：</w:t>
      </w:r>
      <w:r>
        <w:rPr>
          <w:rFonts w:hint="eastAsia" w:ascii="宋体" w:hAnsi="宋体" w:eastAsia="宋体" w:cs="宋体"/>
          <w:color w:val="auto"/>
          <w:highlight w:val="none"/>
          <w:u w:val="single"/>
        </w:rPr>
        <w:t>承包人自行承担</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left="424" w:leftChars="202"/>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承包人提交的竣工资料移交时间：</w:t>
      </w:r>
      <w:r>
        <w:rPr>
          <w:rFonts w:hint="eastAsia" w:ascii="宋体" w:hAnsi="宋体" w:eastAsia="宋体" w:cs="宋体"/>
          <w:color w:val="auto"/>
          <w:highlight w:val="none"/>
          <w:u w:val="single"/>
        </w:rPr>
        <w:t xml:space="preserve">竣工验收正式通过后 60 </w:t>
      </w:r>
      <w:r>
        <w:rPr>
          <w:rFonts w:hint="eastAsia" w:ascii="宋体" w:hAnsi="宋体" w:eastAsia="宋体" w:cs="宋体"/>
          <w:color w:val="auto"/>
          <w:highlight w:val="none"/>
          <w:u w:val="single"/>
          <w:lang w:eastAsia="zh-CN"/>
        </w:rPr>
        <w:t>天内</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承包人提交的竣工资料形式要求：</w:t>
      </w:r>
      <w:r>
        <w:rPr>
          <w:rFonts w:hint="eastAsia" w:ascii="宋体" w:hAnsi="宋体" w:eastAsia="宋体" w:cs="宋体"/>
          <w:color w:val="auto"/>
          <w:highlight w:val="none"/>
          <w:u w:val="single"/>
        </w:rPr>
        <w:t>纸质及电子文档并装订成册，并应符合工程竣工备案管理部门的要求</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（10）承包人应履行的其他义务：</w:t>
      </w:r>
      <w:r>
        <w:rPr>
          <w:rFonts w:hint="eastAsia" w:ascii="宋体" w:hAnsi="宋体" w:eastAsia="宋体" w:cs="宋体"/>
          <w:color w:val="auto"/>
          <w:kern w:val="0"/>
          <w:highlight w:val="none"/>
          <w:u w:val="single"/>
        </w:rPr>
        <w:t xml:space="preserve">①根据发包人委托，在其设计资质等级和业务允许的范围内，完成施工图设计或与工程配套的设计，经监理人确认后使用，发包人承担由此发生的费用和合理利润。由承包人负责完成的设计文件属于合同条款第1.6.4项约定的承包人提供的文件，承包人应按照专用合同条款第1.6.4项约定的期限和数量提交，由此发生的费用被认为已经包括在承包人的签约合同价（投标总报价）中。 </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u w:val="single"/>
        </w:rPr>
        <w:t xml:space="preserve">②承包人负责办理施工有关的环卫和噪音等审批手续，并承担费用。承包人负责对施工场地内的化石、文物具有保护责任，发包人对此予以必要协助并承担相应费用。承包人负责满足施工期间政府职能部门对工地消防设施有关要求，并承担相关费用。 </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u w:val="single"/>
        </w:rPr>
        <w:t xml:space="preserve">③承包人应负责协调解决来自当地居民对工程施工的人为干扰，并承担相关费用。 </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u w:val="single"/>
        </w:rPr>
        <w:t>④为发包人依法发包的专业工程承包商提供总承包管理与协调服务，并为专业工程承包商提供一切施工方便</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210" w:name="_Toc78449796"/>
      <w:bookmarkStart w:id="211" w:name="_Toc373478355"/>
      <w:bookmarkStart w:id="212" w:name="_Toc1659520837"/>
      <w:bookmarkStart w:id="213" w:name="_Toc501741485"/>
      <w:bookmarkStart w:id="214" w:name="_Toc373227708"/>
      <w:bookmarkStart w:id="215" w:name="_Toc389065274"/>
      <w:bookmarkStart w:id="216" w:name="_Toc407135210"/>
      <w:r>
        <w:rPr>
          <w:rFonts w:hint="eastAsia" w:ascii="宋体" w:hAnsi="宋体" w:eastAsia="宋体" w:cs="宋体"/>
          <w:b/>
          <w:bCs/>
          <w:color w:val="auto"/>
          <w:sz w:val="24"/>
          <w:szCs w:val="24"/>
          <w:highlight w:val="none"/>
        </w:rPr>
        <w:t>3.2 项目经理</w:t>
      </w:r>
      <w:bookmarkEnd w:id="210"/>
      <w:bookmarkEnd w:id="211"/>
      <w:bookmarkEnd w:id="212"/>
      <w:bookmarkEnd w:id="213"/>
      <w:bookmarkEnd w:id="214"/>
      <w:bookmarkEnd w:id="215"/>
      <w:bookmarkEnd w:id="216"/>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0"/>
          <w:highlight w:val="none"/>
        </w:rPr>
        <w:t xml:space="preserve">3.2.1 </w:t>
      </w:r>
      <w:r>
        <w:rPr>
          <w:rFonts w:hint="eastAsia" w:ascii="宋体" w:hAnsi="宋体" w:eastAsia="宋体" w:cs="宋体"/>
          <w:color w:val="auto"/>
          <w:highlight w:val="none"/>
        </w:rPr>
        <w:t>项目经理：</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rPr>
        <w:t>        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身份证号：</w:t>
      </w:r>
      <w:r>
        <w:rPr>
          <w:rFonts w:hint="eastAsia" w:ascii="宋体" w:hAnsi="宋体" w:eastAsia="宋体" w:cs="宋体"/>
          <w:color w:val="auto"/>
          <w:highlight w:val="none"/>
          <w:u w:val="single"/>
        </w:rPr>
        <w:t>        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建造师执业资格等级：</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建造师注册证书号：</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安全生产考核合格证书号：</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      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承包人对项目经理的授权范围如下：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关于项目经理每月在施工现场的时间要求：</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承包人未提交劳动合同，以及没有为项目经理缴纳社会保险证明的违约责任：</w:t>
      </w:r>
      <w:r>
        <w:rPr>
          <w:rFonts w:hint="eastAsia" w:ascii="宋体" w:hAnsi="宋体" w:eastAsia="宋体" w:cs="宋体"/>
          <w:color w:val="auto"/>
          <w:highlight w:val="none"/>
          <w:u w:val="single"/>
        </w:rPr>
        <w:t>若承包人未与其聘任的工程总承包项目经理签署劳动合同、缴纳社会保险或出现欠付工资等情况，承包人应承担 5000 元的违约金，责令限期提交劳动合同并补缴社会保险，并赔偿由此给发包人造成的一切损失</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kern w:val="0"/>
          <w:highlight w:val="none"/>
        </w:rPr>
        <w:t>项目经理未经批准，擅自离开施工现场的违约责任：</w:t>
      </w:r>
      <w:r>
        <w:rPr>
          <w:rFonts w:hint="eastAsia" w:ascii="宋体" w:hAnsi="宋体" w:eastAsia="宋体" w:cs="宋体"/>
          <w:color w:val="auto"/>
          <w:highlight w:val="none"/>
          <w:u w:val="single"/>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eastAsia="宋体" w:cs="宋体"/>
          <w:color w:val="auto"/>
          <w:highlight w:val="none"/>
          <w:u w:val="single"/>
          <w:lang w:val="en-US" w:eastAsia="zh-CN"/>
        </w:rPr>
        <w:t>1000</w:t>
      </w:r>
      <w:r>
        <w:rPr>
          <w:rFonts w:hint="eastAsia" w:ascii="宋体" w:hAnsi="宋体" w:eastAsia="宋体" w:cs="宋体"/>
          <w:color w:val="auto"/>
          <w:highlight w:val="none"/>
          <w:u w:val="single"/>
        </w:rPr>
        <w:t xml:space="preserve">元/日（人民币）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3.2.3 承包人擅自更换项目经理的违约责任：</w:t>
      </w:r>
      <w:r>
        <w:rPr>
          <w:rFonts w:hint="eastAsia" w:ascii="宋体" w:hAnsi="宋体" w:eastAsia="宋体" w:cs="宋体"/>
          <w:color w:val="auto"/>
          <w:highlight w:val="none"/>
          <w:u w:val="single"/>
        </w:rPr>
        <w:t>承包人项目经理必须与承包人投标时所承诺的人员一致，并在  （开工日期）  前到</w:t>
      </w:r>
      <w:r>
        <w:rPr>
          <w:rFonts w:hint="eastAsia" w:ascii="宋体" w:hAnsi="宋体" w:eastAsia="宋体" w:cs="宋体"/>
          <w:color w:val="auto"/>
          <w:highlight w:val="none"/>
          <w:u w:val="none"/>
        </w:rPr>
        <w:t xml:space="preserve">任。在监理人向承包人颁发 </w:t>
      </w:r>
      <w:r>
        <w:rPr>
          <w:rFonts w:hint="eastAsia" w:ascii="宋体" w:hAnsi="宋体" w:eastAsia="宋体" w:cs="宋体"/>
          <w:color w:val="auto"/>
          <w:highlight w:val="none"/>
          <w:u w:val="single"/>
        </w:rPr>
        <w:t xml:space="preserve">   （竣工证明材料名称）   </w:t>
      </w:r>
      <w:r>
        <w:rPr>
          <w:rFonts w:hint="eastAsia" w:ascii="宋体" w:hAnsi="宋体" w:eastAsia="宋体" w:cs="宋体"/>
          <w:color w:val="auto"/>
          <w:highlight w:val="none"/>
          <w:u w:val="none"/>
        </w:rPr>
        <w:t xml:space="preserve"> 前，项目经理不得同时兼任其他任何项目的项目经理</w:t>
      </w:r>
      <w:r>
        <w:rPr>
          <w:rFonts w:hint="eastAsia" w:ascii="宋体" w:hAnsi="宋体" w:eastAsia="宋体" w:cs="宋体"/>
          <w:color w:val="auto"/>
          <w:kern w:val="2"/>
          <w:highlight w:val="none"/>
          <w:u w:val="none"/>
        </w:rPr>
        <w:t>（</w:t>
      </w:r>
      <w:r>
        <w:rPr>
          <w:rFonts w:hint="eastAsia" w:ascii="宋体" w:hAnsi="宋体" w:eastAsia="宋体" w:cs="宋体"/>
          <w:color w:val="auto"/>
          <w:kern w:val="2"/>
          <w:highlight w:val="none"/>
          <w:u w:val="none"/>
          <w:lang w:eastAsia="zh-CN"/>
        </w:rPr>
        <w:t>符合</w:t>
      </w:r>
      <w:r>
        <w:rPr>
          <w:rFonts w:hint="eastAsia" w:ascii="宋体" w:hAnsi="宋体" w:eastAsia="宋体" w:cs="宋体"/>
          <w:color w:val="auto"/>
          <w:highlight w:val="none"/>
        </w:rPr>
        <w:t>《广西壮族自治区建筑市场诚信卡管理暂行办法》第十六条第一款及桂建管﹝</w:t>
      </w:r>
      <w:r>
        <w:rPr>
          <w:rFonts w:hint="eastAsia" w:ascii="宋体" w:hAnsi="宋体" w:eastAsia="宋体" w:cs="宋体"/>
          <w:color w:val="auto"/>
          <w:kern w:val="2"/>
          <w:highlight w:val="none"/>
        </w:rPr>
        <w:t>2016</w:t>
      </w:r>
      <w:r>
        <w:rPr>
          <w:rFonts w:hint="eastAsia" w:ascii="宋体" w:hAnsi="宋体" w:eastAsia="宋体" w:cs="宋体"/>
          <w:color w:val="auto"/>
          <w:highlight w:val="none"/>
        </w:rPr>
        <w:t>﹞70号</w:t>
      </w:r>
      <w:r>
        <w:rPr>
          <w:rFonts w:hint="eastAsia" w:ascii="宋体" w:hAnsi="宋体" w:eastAsia="宋体" w:cs="宋体"/>
          <w:color w:val="auto"/>
          <w:highlight w:val="none"/>
          <w:u w:val="none"/>
          <w:lang w:eastAsia="zh-CN"/>
        </w:rPr>
        <w:t>、</w:t>
      </w:r>
      <w:r>
        <w:rPr>
          <w:rFonts w:hint="eastAsia" w:ascii="宋体" w:hAnsi="宋体" w:eastAsia="宋体" w:cs="宋体"/>
          <w:color w:val="auto"/>
          <w:sz w:val="21"/>
          <w:szCs w:val="21"/>
          <w:highlight w:val="none"/>
          <w:u w:val="none"/>
        </w:rPr>
        <w:t>桂建管〔2020〕11号</w:t>
      </w:r>
      <w:r>
        <w:rPr>
          <w:rFonts w:hint="eastAsia" w:ascii="宋体" w:hAnsi="宋体" w:eastAsia="宋体" w:cs="宋体"/>
          <w:color w:val="auto"/>
          <w:kern w:val="2"/>
          <w:highlight w:val="none"/>
          <w:u w:val="none"/>
        </w:rPr>
        <w:t>文除外）</w:t>
      </w:r>
      <w:r>
        <w:rPr>
          <w:rFonts w:hint="eastAsia" w:ascii="宋体" w:hAnsi="宋体" w:eastAsia="宋体" w:cs="宋体"/>
          <w:color w:val="auto"/>
          <w:highlight w:val="none"/>
          <w:u w:val="none"/>
        </w:rPr>
        <w:t>。未经发包人书面同意，承包人擅自更换项目经理的视为违约，违约金处</w:t>
      </w:r>
      <w:r>
        <w:rPr>
          <w:rFonts w:hint="eastAsia" w:ascii="宋体" w:hAnsi="宋体" w:eastAsia="宋体" w:cs="宋体"/>
          <w:color w:val="auto"/>
          <w:highlight w:val="none"/>
          <w:u w:val="single"/>
          <w:lang w:val="en-US" w:eastAsia="zh-CN"/>
        </w:rPr>
        <w:t>5000</w:t>
      </w:r>
      <w:r>
        <w:rPr>
          <w:rFonts w:hint="eastAsia" w:ascii="宋体" w:hAnsi="宋体" w:eastAsia="宋体" w:cs="宋体"/>
          <w:color w:val="auto"/>
          <w:highlight w:val="none"/>
          <w:u w:val="none"/>
        </w:rPr>
        <w:t>元/人•次（人民币）</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3.2.4 承包人无正当理由拒绝更换项目经理的违约责任：</w:t>
      </w:r>
      <w:r>
        <w:rPr>
          <w:rFonts w:hint="eastAsia" w:ascii="宋体" w:hAnsi="宋体" w:eastAsia="宋体" w:cs="宋体"/>
          <w:color w:val="auto"/>
          <w:highlight w:val="none"/>
          <w:u w:val="single"/>
        </w:rPr>
        <w:t>因承包人项目经理不称职，发包人要求调换而未及时调换的，视为承包人违约，必须向发包人交纳处罚金</w:t>
      </w:r>
      <w:r>
        <w:rPr>
          <w:rFonts w:hint="eastAsia" w:ascii="宋体" w:hAnsi="宋体" w:eastAsia="宋体" w:cs="宋体"/>
          <w:color w:val="auto"/>
          <w:highlight w:val="none"/>
          <w:u w:val="single"/>
          <w:lang w:val="en-US" w:eastAsia="zh-CN"/>
        </w:rPr>
        <w:t>5000</w:t>
      </w:r>
      <w:r>
        <w:rPr>
          <w:rFonts w:hint="eastAsia" w:ascii="宋体" w:hAnsi="宋体" w:eastAsia="宋体" w:cs="宋体"/>
          <w:color w:val="auto"/>
          <w:highlight w:val="none"/>
          <w:u w:val="single"/>
        </w:rPr>
        <w:t>元/人•次（人民币）</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217" w:name="_Toc407135211"/>
      <w:bookmarkStart w:id="218" w:name="_Toc389065275"/>
      <w:bookmarkStart w:id="219" w:name="_Toc747710271"/>
      <w:bookmarkStart w:id="220" w:name="_Toc373478356"/>
      <w:bookmarkStart w:id="221" w:name="_Toc373227709"/>
      <w:bookmarkStart w:id="222" w:name="_Toc1443830486"/>
      <w:bookmarkStart w:id="223" w:name="_Toc78449797"/>
      <w:r>
        <w:rPr>
          <w:rFonts w:hint="eastAsia" w:ascii="宋体" w:hAnsi="宋体" w:eastAsia="宋体" w:cs="宋体"/>
          <w:b/>
          <w:bCs/>
          <w:color w:val="auto"/>
          <w:sz w:val="24"/>
          <w:szCs w:val="24"/>
          <w:highlight w:val="none"/>
        </w:rPr>
        <w:t>3.3 承包人人员</w:t>
      </w:r>
      <w:bookmarkEnd w:id="217"/>
      <w:bookmarkEnd w:id="218"/>
      <w:bookmarkEnd w:id="219"/>
      <w:bookmarkEnd w:id="220"/>
      <w:bookmarkEnd w:id="221"/>
      <w:bookmarkEnd w:id="222"/>
      <w:bookmarkEnd w:id="223"/>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3.3.1 承包人提交项目管理机构及施工现场管理人员安排报告（格式见合同附件5）的期限：</w:t>
      </w:r>
      <w:r>
        <w:rPr>
          <w:rFonts w:hint="eastAsia" w:ascii="宋体" w:hAnsi="宋体" w:eastAsia="宋体" w:cs="宋体"/>
          <w:color w:val="auto"/>
          <w:highlight w:val="none"/>
          <w:u w:val="single"/>
        </w:rPr>
        <w:t>承包人应在合同生效后 7 天内，向工程师提交承包人在施工场地的管理机构以及人员安排的报告，其内容应包括管理机构的设置、各主要岗位的技术和管理人员名单及其资格，以及各工种技术工人的安排状况。承包人应向工程师提交施工场地人员变动情况的报告</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3.3.3 承包人无正当理由拒绝撤换主要施工管理人员的违约责任：</w:t>
      </w:r>
      <w:r>
        <w:rPr>
          <w:rFonts w:hint="eastAsia" w:ascii="宋体" w:hAnsi="宋体" w:eastAsia="宋体" w:cs="宋体"/>
          <w:color w:val="auto"/>
          <w:highlight w:val="none"/>
          <w:u w:val="single"/>
        </w:rPr>
        <w:t>因承包人主要施工管理人员不称职，发包人要求调换而无正当理由拒绝撤 1000 元/人•次（人民币）；专业工程师 500 元</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u w:val="single"/>
        </w:rPr>
        <w:t>人•次（人民币）</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3.3.4 承包人主要施工管理人员离开施工现场的批准要求：</w:t>
      </w:r>
      <w:r>
        <w:rPr>
          <w:rFonts w:hint="eastAsia" w:ascii="宋体" w:hAnsi="宋体" w:eastAsia="宋体" w:cs="宋体"/>
          <w:color w:val="auto"/>
          <w:highlight w:val="none"/>
          <w:u w:val="single"/>
        </w:rPr>
        <w:t>须向发包人书面申请并经发包人书面批准同意</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3.3.5 承包人擅自更换主要施工管理人员的违约责任：</w:t>
      </w:r>
      <w:r>
        <w:rPr>
          <w:rFonts w:hint="eastAsia" w:ascii="宋体" w:hAnsi="宋体" w:eastAsia="宋体" w:cs="宋体"/>
          <w:color w:val="auto"/>
          <w:highlight w:val="none"/>
          <w:u w:val="single"/>
        </w:rPr>
        <w:t>项目技术负责人、专职安全生产管理人员及其承诺的其它在场管理人员未经发包人书面同意不准擅自更换，擅自更换项目技术负责人处 1000 元/人•次（人民币）违约金；擅自更换专职安全生产管理人员处 500 元/人•次（人民币）违约金；擅自更换其它在场管理人员处 200 元/人•次（人民币）违约金</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承包人主要施工管理人员擅自离开施工现场的违约责任：</w:t>
      </w:r>
      <w:r>
        <w:rPr>
          <w:rFonts w:hint="eastAsia" w:ascii="宋体" w:hAnsi="宋体" w:eastAsia="宋体" w:cs="宋体"/>
          <w:color w:val="auto"/>
          <w:highlight w:val="none"/>
          <w:u w:val="single"/>
        </w:rPr>
        <w:t>未经发包人同意，项目技术负责人擅自离岗的，视为承包人违约，发包人有权处违约金 300 元/人•次（人民币）；未经发包人同意，专职安全生产管理人员擅自离岗的，视为承包人违约，发包人有权处违约金 300 元/人•次（人民币）；其它在场管理人员擅自离岗的，视为承包人违约，发包人有权处违约金 300 元人•次（人民币）</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224" w:name="_Toc2025600126"/>
      <w:bookmarkStart w:id="225" w:name="_Toc373227710"/>
      <w:bookmarkStart w:id="226" w:name="_Toc407135212"/>
      <w:bookmarkStart w:id="227" w:name="_Toc78449798"/>
      <w:bookmarkStart w:id="228" w:name="_Toc389065276"/>
      <w:bookmarkStart w:id="229" w:name="_Toc373478357"/>
      <w:bookmarkStart w:id="230" w:name="_Toc2066279184"/>
      <w:r>
        <w:rPr>
          <w:rFonts w:hint="eastAsia" w:ascii="宋体" w:hAnsi="宋体" w:eastAsia="宋体" w:cs="宋体"/>
          <w:b/>
          <w:bCs/>
          <w:color w:val="auto"/>
          <w:sz w:val="24"/>
          <w:szCs w:val="24"/>
          <w:highlight w:val="none"/>
        </w:rPr>
        <w:t>3</w:t>
      </w:r>
      <w:bookmarkStart w:id="231" w:name="_Toc297048345"/>
      <w:bookmarkStart w:id="232" w:name="_Toc296944498"/>
      <w:bookmarkStart w:id="233" w:name="_Toc297123492"/>
      <w:bookmarkStart w:id="234" w:name="_Toc297120459"/>
      <w:bookmarkStart w:id="235" w:name="_Toc304295523"/>
      <w:bookmarkStart w:id="236" w:name="_Toc296503159"/>
      <w:bookmarkStart w:id="237" w:name="_Toc292559364"/>
      <w:bookmarkStart w:id="238" w:name="_Toc300934945"/>
      <w:bookmarkStart w:id="239" w:name="_Toc312677988"/>
      <w:bookmarkStart w:id="240" w:name="_Toc296346660"/>
      <w:bookmarkStart w:id="241" w:name="_Toc296890987"/>
      <w:bookmarkStart w:id="242" w:name="_Toc296347158"/>
      <w:bookmarkStart w:id="243" w:name="_Toc296891199"/>
      <w:bookmarkStart w:id="244" w:name="_Toc303539102"/>
      <w:bookmarkStart w:id="245" w:name="_Toc297216151"/>
      <w:bookmarkStart w:id="246" w:name="_Toc292559869"/>
      <w:r>
        <w:rPr>
          <w:rFonts w:hint="eastAsia" w:ascii="宋体" w:hAnsi="宋体" w:eastAsia="宋体" w:cs="宋体"/>
          <w:b/>
          <w:bCs/>
          <w:color w:val="auto"/>
          <w:sz w:val="24"/>
          <w:szCs w:val="24"/>
          <w:highlight w:val="none"/>
        </w:rPr>
        <w:t>.5 分包</w:t>
      </w:r>
      <w:bookmarkEnd w:id="224"/>
      <w:bookmarkEnd w:id="225"/>
      <w:bookmarkEnd w:id="226"/>
      <w:bookmarkEnd w:id="227"/>
      <w:bookmarkEnd w:id="228"/>
      <w:bookmarkEnd w:id="229"/>
      <w:bookmarkEnd w:id="230"/>
    </w:p>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bookmarkStart w:id="247" w:name="_Toc297048346"/>
      <w:bookmarkStart w:id="248" w:name="_Toc296503160"/>
      <w:bookmarkStart w:id="249" w:name="_Toc304295524"/>
      <w:bookmarkStart w:id="250" w:name="_Toc296891200"/>
      <w:bookmarkStart w:id="251" w:name="_Toc296890988"/>
      <w:bookmarkStart w:id="252" w:name="_Toc296346661"/>
      <w:bookmarkStart w:id="253" w:name="_Toc297123493"/>
      <w:bookmarkStart w:id="254" w:name="_Toc303539103"/>
      <w:bookmarkStart w:id="255" w:name="_Toc296347159"/>
      <w:bookmarkStart w:id="256" w:name="_Toc296944499"/>
      <w:bookmarkStart w:id="257" w:name="_Toc312677989"/>
      <w:bookmarkStart w:id="258" w:name="_Toc318581158"/>
      <w:bookmarkStart w:id="259" w:name="_Toc297120460"/>
      <w:bookmarkStart w:id="260" w:name="_Toc292559365"/>
      <w:bookmarkStart w:id="261" w:name="_Toc300934946"/>
      <w:bookmarkStart w:id="262" w:name="_Toc297216152"/>
      <w:bookmarkStart w:id="263" w:name="_Toc292559870"/>
      <w:r>
        <w:rPr>
          <w:rFonts w:hint="eastAsia" w:ascii="宋体" w:hAnsi="宋体" w:eastAsia="宋体" w:cs="宋体"/>
          <w:color w:val="auto"/>
          <w:highlight w:val="none"/>
        </w:rPr>
        <w:t>.5.1 分包的一般约定</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禁止分包的工程包括：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主体结构、关键性工作的范围：</w:t>
      </w:r>
      <w:r>
        <w:rPr>
          <w:rFonts w:hint="eastAsia" w:ascii="宋体" w:hAnsi="宋体" w:eastAsia="宋体" w:cs="宋体"/>
          <w:color w:val="auto"/>
          <w:highlight w:val="none"/>
          <w:u w:val="single"/>
        </w:rPr>
        <w:t>（1）除前款约定的分包内容外，经过发包人和工程师同意，承包人可以将其他非主体、非关键性工作分包给第三人，但分包人应当经过发包人和工程师审批。发包人和工程师有权拒绝承包人的分包请求和承包人选择的分包人</w:t>
      </w:r>
      <w:r>
        <w:rPr>
          <w:rFonts w:hint="eastAsia" w:ascii="宋体" w:hAnsi="宋体" w:eastAsia="宋体" w:cs="宋体"/>
          <w:color w:val="auto"/>
          <w:highlight w:val="none"/>
        </w:rPr>
        <w:t>。</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lang w:eastAsia="zh-CN"/>
        </w:rPr>
      </w:pPr>
      <w:r>
        <w:rPr>
          <w:rFonts w:hint="eastAsia" w:ascii="宋体" w:hAnsi="宋体" w:eastAsia="宋体" w:cs="宋体"/>
          <w:color w:val="auto"/>
          <w:highlight w:val="none"/>
          <w:u w:val="single"/>
        </w:rPr>
        <w:t>（2）未经发包人和工程师审批同意的分包工程和分包人，发包人有权拒绝验收分包工程和支付相应款项，由此引起的发包人费用增加和(或)延误的工期由承包人承担</w:t>
      </w:r>
      <w:r>
        <w:rPr>
          <w:rFonts w:hint="eastAsia" w:ascii="宋体" w:hAnsi="宋体" w:eastAsia="宋体" w:cs="宋体"/>
          <w:color w:val="auto"/>
          <w:highlight w:val="none"/>
          <w:u w:val="single"/>
          <w:lang w:eastAsia="zh-CN"/>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bookmarkStart w:id="264" w:name="_Toc312677990"/>
      <w:bookmarkStart w:id="265" w:name="_Toc318581159"/>
      <w:r>
        <w:rPr>
          <w:rFonts w:hint="eastAsia" w:ascii="宋体" w:hAnsi="宋体" w:eastAsia="宋体" w:cs="宋体"/>
          <w:color w:val="auto"/>
          <w:highlight w:val="none"/>
        </w:rPr>
        <w:t>.5.2 分包的确定</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允许分包的专业工程包括：</w:t>
      </w:r>
      <w:r>
        <w:rPr>
          <w:rFonts w:hint="eastAsia" w:ascii="宋体" w:hAnsi="宋体" w:eastAsia="宋体" w:cs="宋体"/>
          <w:color w:val="auto"/>
          <w:highlight w:val="none"/>
          <w:u w:val="single"/>
        </w:rPr>
        <w:t xml:space="preserve"> 由发包人与承包人另行协商决定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其他关于分包的约定：</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6。</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（2）在相关分包合同签订并报送有关建设行政主管部门备案后7天内，承包人应当将一份副本提交给监理人，承包人应保障分包工作不得再次分包。</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（3）未经承包人和监理人审批同意的分包工程和分包人，承包人有权拒绝验收分包工程和支付相应款项，由此引起的发包人费用增加和(或)延误的工期由发包人承担。</w:t>
      </w:r>
    </w:p>
    <w:p>
      <w:pPr>
        <w:pStyle w:val="25"/>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（4）承包人有以下情况之一者，发包人有权解除合同，并视情况扣除其履约保证金：</w:t>
      </w:r>
    </w:p>
    <w:p>
      <w:pPr>
        <w:pStyle w:val="25"/>
        <w:keepNext w:val="0"/>
        <w:keepLines w:val="0"/>
        <w:pageBreakBefore w:val="0"/>
        <w:widowControl w:val="0"/>
        <w:kinsoku/>
        <w:wordWrap/>
        <w:overflowPunct/>
        <w:topLinePunct w:val="0"/>
        <w:bidi w:val="0"/>
        <w:snapToGrid/>
        <w:spacing w:line="360" w:lineRule="auto"/>
        <w:ind w:firstLine="441" w:firstLineChars="21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①个人承包工程，包括本人单位及外单位人员承包，发包人不承认其个人拥有任何资质等级及营业许可资格。没收全部履约保证金。</w:t>
      </w:r>
    </w:p>
    <w:p>
      <w:pPr>
        <w:pStyle w:val="25"/>
        <w:keepNext w:val="0"/>
        <w:keepLines w:val="0"/>
        <w:pageBreakBefore w:val="0"/>
        <w:widowControl w:val="0"/>
        <w:kinsoku/>
        <w:wordWrap/>
        <w:overflowPunct/>
        <w:topLinePunct w:val="0"/>
        <w:bidi w:val="0"/>
        <w:snapToGrid/>
        <w:spacing w:line="360" w:lineRule="auto"/>
        <w:ind w:firstLine="441" w:firstLineChars="21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②几个人联合承包工程，就地组织暗分包队伍，不具备完成本工程的技术、机械能力，被发包人判定为没有能力履行的承包人。没收全部履约保证金。</w:t>
      </w:r>
    </w:p>
    <w:p>
      <w:pPr>
        <w:pStyle w:val="25"/>
        <w:keepNext w:val="0"/>
        <w:keepLines w:val="0"/>
        <w:pageBreakBefore w:val="0"/>
        <w:widowControl w:val="0"/>
        <w:kinsoku/>
        <w:wordWrap/>
        <w:overflowPunct/>
        <w:topLinePunct w:val="0"/>
        <w:bidi w:val="0"/>
        <w:snapToGrid/>
        <w:spacing w:line="360" w:lineRule="auto"/>
        <w:ind w:firstLine="441" w:firstLineChars="21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③就地转包全部的工程，以谋取高额转让费、管理费的承包人。没收全部履约保证金。</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3.5.4 分包合同价款</w:t>
      </w:r>
    </w:p>
    <w:bookmarkEnd w:id="264"/>
    <w:bookmarkEnd w:id="265"/>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bookmarkStart w:id="266" w:name="_Toc389065277"/>
      <w:bookmarkStart w:id="267" w:name="_Toc373478358"/>
      <w:bookmarkStart w:id="268" w:name="_Toc373227711"/>
      <w:r>
        <w:rPr>
          <w:rFonts w:hint="eastAsia" w:ascii="宋体" w:hAnsi="宋体" w:eastAsia="宋体" w:cs="宋体"/>
          <w:color w:val="auto"/>
          <w:highlight w:val="none"/>
        </w:rPr>
        <w:t>关于分包合同价款支付的约定：</w:t>
      </w:r>
      <w:r>
        <w:rPr>
          <w:rFonts w:hint="eastAsia" w:ascii="宋体" w:hAnsi="宋体" w:eastAsia="宋体" w:cs="宋体"/>
          <w:color w:val="auto"/>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269" w:name="_Toc101808609"/>
      <w:bookmarkStart w:id="270" w:name="_Toc78449799"/>
      <w:bookmarkStart w:id="271" w:name="_Toc57329529"/>
      <w:bookmarkStart w:id="272" w:name="_Toc407135213"/>
      <w:r>
        <w:rPr>
          <w:rFonts w:hint="eastAsia" w:ascii="宋体" w:hAnsi="宋体" w:eastAsia="宋体" w:cs="宋体"/>
          <w:b/>
          <w:bCs/>
          <w:color w:val="auto"/>
          <w:sz w:val="24"/>
          <w:szCs w:val="24"/>
          <w:highlight w:val="none"/>
        </w:rPr>
        <w:t>3.6 工程照管与成品、半成品保护</w:t>
      </w:r>
      <w:bookmarkEnd w:id="266"/>
      <w:bookmarkEnd w:id="267"/>
      <w:bookmarkEnd w:id="268"/>
      <w:bookmarkEnd w:id="269"/>
      <w:bookmarkEnd w:id="270"/>
      <w:bookmarkEnd w:id="271"/>
      <w:bookmarkEnd w:id="272"/>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承包人负责照管工程及工程相关的材料、工程设备的起始时间：</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273" w:name="_Toc373478360"/>
      <w:bookmarkStart w:id="274" w:name="_Toc407135215"/>
      <w:bookmarkStart w:id="275" w:name="_Toc373227713"/>
      <w:bookmarkStart w:id="276" w:name="_Toc351203636"/>
      <w:bookmarkStart w:id="277" w:name="_Toc78449801"/>
      <w:bookmarkStart w:id="278" w:name="_Toc931514330"/>
      <w:bookmarkStart w:id="279" w:name="_Toc907912356"/>
      <w:bookmarkStart w:id="280" w:name="_Toc389065279"/>
      <w:r>
        <w:rPr>
          <w:rFonts w:hint="eastAsia" w:ascii="宋体" w:hAnsi="宋体" w:eastAsia="宋体" w:cs="宋体"/>
          <w:b/>
          <w:bCs/>
          <w:color w:val="auto"/>
          <w:sz w:val="24"/>
          <w:szCs w:val="24"/>
          <w:highlight w:val="none"/>
        </w:rPr>
        <w:t>4</w:t>
      </w:r>
      <w:bookmarkStart w:id="281" w:name="_Toc267251413"/>
      <w:bookmarkStart w:id="282" w:name="_Toc296347161"/>
      <w:bookmarkStart w:id="283" w:name="_Toc296890990"/>
      <w:bookmarkStart w:id="284" w:name="_Toc292559366"/>
      <w:bookmarkStart w:id="285" w:name="_Toc297120462"/>
      <w:bookmarkStart w:id="286" w:name="_Toc296944501"/>
      <w:bookmarkStart w:id="287" w:name="_Toc292559871"/>
      <w:bookmarkStart w:id="288" w:name="_Toc296891202"/>
      <w:bookmarkStart w:id="289" w:name="_Toc296503162"/>
      <w:bookmarkStart w:id="290" w:name="_Toc296346663"/>
      <w:bookmarkStart w:id="291" w:name="_Toc297048348"/>
      <w:r>
        <w:rPr>
          <w:rFonts w:hint="eastAsia" w:ascii="宋体" w:hAnsi="宋体" w:eastAsia="宋体" w:cs="宋体"/>
          <w:b/>
          <w:bCs/>
          <w:color w:val="auto"/>
          <w:sz w:val="24"/>
          <w:szCs w:val="24"/>
          <w:highlight w:val="none"/>
        </w:rPr>
        <w:t>. 监</w:t>
      </w:r>
      <w:bookmarkEnd w:id="281"/>
      <w:bookmarkEnd w:id="282"/>
      <w:bookmarkEnd w:id="283"/>
      <w:bookmarkEnd w:id="284"/>
      <w:bookmarkEnd w:id="285"/>
      <w:bookmarkEnd w:id="286"/>
      <w:bookmarkEnd w:id="287"/>
      <w:bookmarkEnd w:id="288"/>
      <w:bookmarkEnd w:id="289"/>
      <w:bookmarkEnd w:id="290"/>
      <w:bookmarkEnd w:id="291"/>
      <w:r>
        <w:rPr>
          <w:rFonts w:hint="eastAsia" w:ascii="宋体" w:hAnsi="宋体" w:eastAsia="宋体" w:cs="宋体"/>
          <w:b/>
          <w:bCs/>
          <w:color w:val="auto"/>
          <w:sz w:val="24"/>
          <w:szCs w:val="24"/>
          <w:highlight w:val="none"/>
        </w:rPr>
        <w:t>理人</w:t>
      </w:r>
      <w:bookmarkEnd w:id="273"/>
      <w:bookmarkEnd w:id="274"/>
      <w:bookmarkEnd w:id="275"/>
      <w:bookmarkEnd w:id="276"/>
      <w:bookmarkEnd w:id="277"/>
      <w:bookmarkEnd w:id="278"/>
      <w:bookmarkEnd w:id="279"/>
      <w:bookmarkEnd w:id="280"/>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292" w:name="_Toc1595043148"/>
      <w:bookmarkStart w:id="293" w:name="_Toc407135216"/>
      <w:bookmarkStart w:id="294" w:name="_Toc389065280"/>
      <w:bookmarkStart w:id="295" w:name="_Toc373227714"/>
      <w:bookmarkStart w:id="296" w:name="_Toc373478361"/>
      <w:bookmarkStart w:id="297" w:name="_Toc78449802"/>
      <w:bookmarkStart w:id="298" w:name="_Toc1008304989"/>
      <w:r>
        <w:rPr>
          <w:rFonts w:hint="eastAsia" w:ascii="宋体" w:hAnsi="宋体" w:eastAsia="宋体" w:cs="宋体"/>
          <w:b/>
          <w:bCs/>
          <w:color w:val="auto"/>
          <w:sz w:val="24"/>
          <w:szCs w:val="24"/>
          <w:highlight w:val="none"/>
        </w:rPr>
        <w:t>4.1 监理人的一般规定</w:t>
      </w:r>
      <w:bookmarkEnd w:id="292"/>
      <w:bookmarkEnd w:id="293"/>
      <w:bookmarkEnd w:id="294"/>
      <w:bookmarkEnd w:id="295"/>
      <w:bookmarkEnd w:id="296"/>
      <w:bookmarkEnd w:id="297"/>
      <w:bookmarkEnd w:id="298"/>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关于监理人的监理内容：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关于监理人的监理权限：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关于监理人在施工现场的办公场所、生活场所的提供和费用承担的约定：</w:t>
      </w:r>
      <w:r>
        <w:rPr>
          <w:rFonts w:hint="eastAsia" w:ascii="宋体" w:hAnsi="宋体" w:eastAsia="宋体" w:cs="宋体"/>
          <w:color w:val="auto"/>
          <w:highlight w:val="none"/>
          <w:u w:val="single"/>
        </w:rPr>
        <w:t xml:space="preserve">              </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299" w:name="_Toc386397261"/>
      <w:bookmarkStart w:id="300" w:name="_Toc1350458461"/>
      <w:bookmarkStart w:id="301" w:name="_Toc389065281"/>
      <w:bookmarkStart w:id="302" w:name="_Toc407135217"/>
      <w:bookmarkStart w:id="303" w:name="_Toc373227715"/>
      <w:bookmarkStart w:id="304" w:name="_Toc373478362"/>
      <w:bookmarkStart w:id="305" w:name="_Toc78449803"/>
      <w:r>
        <w:rPr>
          <w:rFonts w:hint="eastAsia" w:ascii="宋体" w:hAnsi="宋体" w:eastAsia="宋体" w:cs="宋体"/>
          <w:b/>
          <w:bCs/>
          <w:color w:val="auto"/>
          <w:sz w:val="24"/>
          <w:szCs w:val="24"/>
          <w:highlight w:val="none"/>
        </w:rPr>
        <w:t>4.2 监理人员</w:t>
      </w:r>
      <w:bookmarkEnd w:id="299"/>
      <w:bookmarkEnd w:id="300"/>
      <w:bookmarkEnd w:id="301"/>
      <w:bookmarkEnd w:id="302"/>
      <w:bookmarkEnd w:id="303"/>
      <w:bookmarkEnd w:id="304"/>
      <w:bookmarkEnd w:id="305"/>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总监理工程师：</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职    务：</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监理工程师注册证书号：</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关于监理人的其他约定：</w:t>
      </w:r>
      <w:r>
        <w:rPr>
          <w:rFonts w:hint="eastAsia" w:ascii="宋体" w:hAnsi="宋体" w:eastAsia="宋体" w:cs="宋体"/>
          <w:color w:val="auto"/>
          <w:highlight w:val="none"/>
          <w:u w:val="single"/>
        </w:rPr>
        <w:t>  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306" w:name="_Toc941562442"/>
      <w:bookmarkStart w:id="307" w:name="_Toc407135218"/>
      <w:bookmarkStart w:id="308" w:name="_Toc373227716"/>
      <w:bookmarkStart w:id="309" w:name="_Toc373478363"/>
      <w:bookmarkStart w:id="310" w:name="_Toc539923186"/>
      <w:bookmarkStart w:id="311" w:name="_Toc389065282"/>
      <w:bookmarkStart w:id="312" w:name="_Toc78449804"/>
      <w:r>
        <w:rPr>
          <w:rFonts w:hint="eastAsia" w:ascii="宋体" w:hAnsi="宋体" w:eastAsia="宋体" w:cs="宋体"/>
          <w:b/>
          <w:bCs/>
          <w:color w:val="auto"/>
          <w:sz w:val="24"/>
          <w:szCs w:val="24"/>
          <w:highlight w:val="none"/>
        </w:rPr>
        <w:t>4.4 商定或确定</w:t>
      </w:r>
      <w:bookmarkEnd w:id="306"/>
      <w:bookmarkEnd w:id="307"/>
      <w:bookmarkEnd w:id="308"/>
      <w:bookmarkEnd w:id="309"/>
      <w:bookmarkEnd w:id="310"/>
      <w:bookmarkEnd w:id="311"/>
      <w:bookmarkEnd w:id="312"/>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bookmarkStart w:id="313" w:name="_Toc267251418"/>
      <w:r>
        <w:rPr>
          <w:rFonts w:hint="eastAsia" w:ascii="宋体" w:hAnsi="宋体" w:eastAsia="宋体" w:cs="宋体"/>
          <w:color w:val="auto"/>
          <w:highlight w:val="none"/>
        </w:rPr>
        <w:t>在发包人和承包人不能通过协商达成一致意见时，发包人授权监理人对以下事项进行确定：</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（3）</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314" w:name="_Toc407135219"/>
      <w:bookmarkStart w:id="315" w:name="_Toc373227717"/>
      <w:bookmarkStart w:id="316" w:name="_Toc1603077308"/>
      <w:bookmarkStart w:id="317" w:name="_Toc389065283"/>
      <w:bookmarkStart w:id="318" w:name="_Toc1687297496"/>
      <w:bookmarkStart w:id="319" w:name="_Toc78449805"/>
      <w:bookmarkStart w:id="320" w:name="_Toc373478364"/>
      <w:bookmarkStart w:id="321" w:name="_Toc351203637"/>
      <w:r>
        <w:rPr>
          <w:rFonts w:hint="eastAsia" w:ascii="宋体" w:hAnsi="宋体" w:eastAsia="宋体" w:cs="宋体"/>
          <w:b/>
          <w:bCs/>
          <w:color w:val="auto"/>
          <w:sz w:val="24"/>
          <w:szCs w:val="24"/>
          <w:highlight w:val="none"/>
        </w:rPr>
        <w:t>5</w:t>
      </w:r>
      <w:bookmarkEnd w:id="313"/>
      <w:bookmarkStart w:id="322" w:name="_Toc292559367"/>
      <w:bookmarkStart w:id="323" w:name="_Toc297120463"/>
      <w:bookmarkStart w:id="324" w:name="_Toc297048349"/>
      <w:bookmarkStart w:id="325" w:name="_Toc296890991"/>
      <w:bookmarkStart w:id="326" w:name="_Toc296346664"/>
      <w:bookmarkStart w:id="327" w:name="_Toc296944502"/>
      <w:bookmarkStart w:id="328" w:name="_Toc296347162"/>
      <w:bookmarkStart w:id="329" w:name="_Toc296891203"/>
      <w:bookmarkStart w:id="330" w:name="_Toc296503163"/>
      <w:bookmarkStart w:id="331" w:name="_Toc292559872"/>
      <w:r>
        <w:rPr>
          <w:rFonts w:hint="eastAsia" w:ascii="宋体" w:hAnsi="宋体" w:eastAsia="宋体" w:cs="宋体"/>
          <w:b/>
          <w:bCs/>
          <w:color w:val="auto"/>
          <w:sz w:val="24"/>
          <w:szCs w:val="24"/>
          <w:highlight w:val="none"/>
        </w:rPr>
        <w:t>. 工程质量</w:t>
      </w:r>
      <w:bookmarkEnd w:id="314"/>
      <w:bookmarkEnd w:id="315"/>
      <w:bookmarkEnd w:id="316"/>
      <w:bookmarkEnd w:id="317"/>
      <w:bookmarkEnd w:id="318"/>
      <w:bookmarkEnd w:id="319"/>
      <w:bookmarkEnd w:id="320"/>
      <w:bookmarkEnd w:id="321"/>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332" w:name="_Toc1835421345"/>
      <w:bookmarkStart w:id="333" w:name="_Toc373478365"/>
      <w:bookmarkStart w:id="334" w:name="_Toc1952042622"/>
      <w:bookmarkStart w:id="335" w:name="_Toc373227718"/>
      <w:bookmarkStart w:id="336" w:name="_Toc389065284"/>
      <w:bookmarkStart w:id="337" w:name="_Toc78449806"/>
      <w:bookmarkStart w:id="338" w:name="_Toc407135220"/>
      <w:r>
        <w:rPr>
          <w:rFonts w:hint="eastAsia" w:ascii="宋体" w:hAnsi="宋体" w:eastAsia="宋体" w:cs="宋体"/>
          <w:b/>
          <w:bCs/>
          <w:color w:val="auto"/>
          <w:sz w:val="24"/>
          <w:szCs w:val="24"/>
          <w:highlight w:val="none"/>
        </w:rPr>
        <w:t>5.1 质量要求</w:t>
      </w:r>
      <w:bookmarkEnd w:id="332"/>
      <w:bookmarkEnd w:id="333"/>
      <w:bookmarkEnd w:id="334"/>
      <w:bookmarkEnd w:id="335"/>
      <w:bookmarkEnd w:id="336"/>
      <w:bookmarkEnd w:id="337"/>
      <w:bookmarkEnd w:id="338"/>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5</w:t>
      </w:r>
      <w:bookmarkStart w:id="339" w:name="_Toc303539106"/>
      <w:bookmarkStart w:id="340" w:name="_Toc297123496"/>
      <w:bookmarkStart w:id="341" w:name="_Toc300934949"/>
      <w:bookmarkStart w:id="342" w:name="_Toc297216155"/>
      <w:bookmarkStart w:id="343" w:name="_Toc318581164"/>
      <w:bookmarkStart w:id="344" w:name="_Toc312677997"/>
      <w:bookmarkStart w:id="345" w:name="_Toc304295527"/>
      <w:r>
        <w:rPr>
          <w:rFonts w:hint="eastAsia" w:ascii="宋体" w:hAnsi="宋体" w:eastAsia="宋体" w:cs="宋体"/>
          <w:color w:val="auto"/>
          <w:highlight w:val="none"/>
        </w:rPr>
        <w:t>.1.1 特殊质量标准和要求：</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关于工程奖项的约定： 如果工程获得</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（奖项名称）</w:t>
      </w:r>
      <w:r>
        <w:rPr>
          <w:rFonts w:hint="eastAsia" w:ascii="宋体" w:hAnsi="宋体" w:eastAsia="宋体" w:cs="宋体"/>
          <w:color w:val="auto"/>
          <w:highlight w:val="none"/>
        </w:rPr>
        <w:t>，给予承包人合同价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%的奖励。（建设单位创建优质工程的，鼓励在招标控制价和预算中按我区工程建设定额规定计列工程优质费，并在招标文件中明确工程优质费不可竞争。）</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5.3 隐蔽工程检查</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监理人不能按时进行检查时，应提前</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24</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小时提交书面延期要求。</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关于延期最长不得超过：</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48</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小时。</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346" w:name="_Toc78449807"/>
      <w:bookmarkStart w:id="347" w:name="_Toc389065285"/>
      <w:bookmarkStart w:id="348" w:name="_Toc703841976"/>
      <w:bookmarkStart w:id="349" w:name="_Toc351203638"/>
      <w:bookmarkStart w:id="350" w:name="_Toc1259019817"/>
      <w:bookmarkStart w:id="351" w:name="_Toc373478366"/>
      <w:bookmarkStart w:id="352" w:name="_Toc407135221"/>
      <w:bookmarkStart w:id="353" w:name="_Toc373227719"/>
      <w:r>
        <w:rPr>
          <w:rFonts w:hint="eastAsia" w:ascii="宋体" w:hAnsi="宋体" w:eastAsia="宋体" w:cs="宋体"/>
          <w:b/>
          <w:bCs/>
          <w:color w:val="auto"/>
          <w:sz w:val="24"/>
          <w:szCs w:val="24"/>
          <w:highlight w:val="none"/>
        </w:rPr>
        <w:t>6. 安全文明施工与环境保护</w:t>
      </w:r>
      <w:bookmarkEnd w:id="346"/>
      <w:bookmarkEnd w:id="347"/>
      <w:bookmarkEnd w:id="348"/>
      <w:bookmarkEnd w:id="349"/>
      <w:bookmarkEnd w:id="350"/>
      <w:bookmarkEnd w:id="351"/>
      <w:bookmarkEnd w:id="352"/>
      <w:bookmarkEnd w:id="353"/>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354" w:name="_Toc78449808"/>
      <w:bookmarkStart w:id="355" w:name="_Toc373227720"/>
      <w:bookmarkStart w:id="356" w:name="_Toc407135222"/>
      <w:bookmarkStart w:id="357" w:name="_Toc180514231"/>
      <w:bookmarkStart w:id="358" w:name="_Toc373478367"/>
      <w:bookmarkStart w:id="359" w:name="_Toc1296292062"/>
      <w:bookmarkStart w:id="360" w:name="_Toc389065286"/>
      <w:r>
        <w:rPr>
          <w:rFonts w:hint="eastAsia" w:ascii="宋体" w:hAnsi="宋体" w:eastAsia="宋体" w:cs="宋体"/>
          <w:b/>
          <w:bCs/>
          <w:color w:val="auto"/>
          <w:sz w:val="24"/>
          <w:szCs w:val="24"/>
          <w:highlight w:val="none"/>
        </w:rPr>
        <w:t>6.1 安全文明施工</w:t>
      </w:r>
      <w:bookmarkEnd w:id="354"/>
      <w:bookmarkEnd w:id="355"/>
      <w:bookmarkEnd w:id="356"/>
      <w:bookmarkEnd w:id="357"/>
      <w:bookmarkEnd w:id="358"/>
      <w:bookmarkEnd w:id="359"/>
      <w:bookmarkEnd w:id="360"/>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6.1.1 项目安全生产的达标目标及相应事项的约定：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关于安全文明施工奖项的约定：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6.1.4 关于治安保卫的特别约定：</w:t>
      </w:r>
      <w:r>
        <w:rPr>
          <w:rFonts w:hint="eastAsia" w:ascii="宋体" w:hAnsi="宋体" w:eastAsia="宋体" w:cs="宋体"/>
          <w:color w:val="auto"/>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关于编制施工场地治安管理计划的约定：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6.1.5 文明施工</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合同当事人对文明施工的要求：</w:t>
      </w:r>
      <w:r>
        <w:rPr>
          <w:rFonts w:hint="eastAsia" w:ascii="宋体" w:hAnsi="宋体" w:eastAsia="宋体" w:cs="宋体"/>
          <w:color w:val="auto"/>
          <w:highlight w:val="none"/>
          <w:u w:val="single"/>
        </w:rPr>
        <w:t>承包人必须严格执行广西建设厅及北海市相关安全文明施工管理规定。严格执行 “广西壮族自治区实施城市市容和环境卫生管理条例办法”及北海市城市市容环境卫生有关管理规定和发包人制定的相应管理办法及有关文件要求</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1</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本工程安全目标为：零死亡率，不发生任何安全生产责任事故。工程施工过程中，因承包人原因发生安全生产伤亡事故，承包人承担由此产生的全部费用及相关责任，并负责妥善处理相关善后事宜，并赔偿由此给发包人造成的损失。</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lang w:eastAsia="zh-CN"/>
        </w:rPr>
      </w:pPr>
      <w:r>
        <w:rPr>
          <w:rFonts w:hint="eastAsia" w:ascii="宋体" w:hAnsi="宋体" w:eastAsia="宋体" w:cs="宋体"/>
          <w:color w:val="auto"/>
          <w:highlight w:val="none"/>
          <w:u w:val="single"/>
          <w:lang w:eastAsia="zh-CN"/>
        </w:rPr>
        <w:t>（2）承包人施工安全管理工作应严格按照《中华人民共和国安全生产法》《建设工程安全生产管理条例》、《建筑工程安全防护、文明施工措施费用及使用管理规定》（建设部建办[2005]89 号）、《建筑施工安全检查标准》JGJ59-2011 及国家、行业、地方其他有关安全生产管理规定或办法制度的要求执行。如在施工过程中发现违章、违规作业或安全措施不符合要求的情况，监理人或发包人有权要求承包人立即整改，并视情况对承包人处以不低于“1000 元/人·次”的罚款，造成人身轻伤事故的，每次罚款不低于 2000 元/次，并由承包人承担由此发生所有的治疗与赔偿费用；除罚款外发包人视情节严重有权追究承包人相关责任。</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lang w:eastAsia="zh-CN"/>
        </w:rPr>
      </w:pPr>
      <w:r>
        <w:rPr>
          <w:rFonts w:hint="eastAsia" w:ascii="宋体" w:hAnsi="宋体" w:eastAsia="宋体" w:cs="宋体"/>
          <w:color w:val="auto"/>
          <w:highlight w:val="none"/>
          <w:u w:val="single"/>
          <w:lang w:eastAsia="zh-CN"/>
        </w:rPr>
        <w:t>（3）承包人须设立现场安全组织机构，按规范及相关行业管理要求足额配备专职安全管理人员；同时，承包人须按照国家、政府相关法律、法规及发包人有关安全管理的规定、办法等，针对本项目编制安全管理体系文件（包括生产安全、环境安全、治安综合管理等方面）；承包人须逐级签订安全文明施工协议（或责任书）。</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lang w:eastAsia="zh-CN"/>
        </w:rPr>
      </w:pPr>
      <w:r>
        <w:rPr>
          <w:rFonts w:hint="eastAsia" w:ascii="宋体" w:hAnsi="宋体" w:eastAsia="宋体" w:cs="宋体"/>
          <w:color w:val="auto"/>
          <w:highlight w:val="none"/>
          <w:u w:val="single"/>
          <w:lang w:eastAsia="zh-CN"/>
        </w:rPr>
        <w:t>（4）承包人应制定专项安全措施，并承担整个合同履行过程中的安全责任，并依据（包括但不限于）上述相关文件及发包人要求实施现场有效的安全管理，如因施工及施工管理不善而导致的一切安全责任和费用，及因履行合同所引发的全部人身及财产纠纷、损失和法律责任，均由承包人承担，如因此使发包人陷入包括但不限于诉讼等形式的纠纷时，承包人还应向发包人赔偿，赔偿范围包括但不限于发包人为此支出的违约金、赔偿金、律师费、诉讼费、差旅费等。</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lang w:eastAsia="zh-CN"/>
        </w:rPr>
      </w:pPr>
      <w:r>
        <w:rPr>
          <w:rFonts w:hint="eastAsia" w:ascii="宋体" w:hAnsi="宋体" w:eastAsia="宋体" w:cs="宋体"/>
          <w:color w:val="auto"/>
          <w:highlight w:val="none"/>
          <w:u w:val="single"/>
          <w:lang w:eastAsia="zh-CN"/>
        </w:rPr>
        <w:t>（5）专业人员必须持证上岗，安全员负责检查现场和施工人员安全情况，如监理人和发包人管理人员发现有不安全因素存在，经指出仍未纠正的每次处于不低于 2000 元的罚款；如因此出现安全事故，承包人自行承担全部人身、财产损失和法律责任，以及涉及费用、罚金等 。</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lang w:eastAsia="zh-CN"/>
        </w:rPr>
      </w:pPr>
      <w:r>
        <w:rPr>
          <w:rFonts w:hint="eastAsia" w:ascii="宋体" w:hAnsi="宋体" w:eastAsia="宋体" w:cs="宋体"/>
          <w:color w:val="auto"/>
          <w:highlight w:val="none"/>
          <w:u w:val="single"/>
          <w:lang w:eastAsia="zh-CN"/>
        </w:rPr>
        <w:t>（6）承包人应按照北海市有关房屋建筑和市政基础设施工程施工扬尘控制工作、房屋建筑和市政基础设施工程现场文明施工标准等相关规定履行好施工扬尘控制、文明施工等责任。</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lang w:eastAsia="zh-CN"/>
        </w:rPr>
      </w:pPr>
      <w:r>
        <w:rPr>
          <w:rFonts w:hint="eastAsia" w:ascii="宋体" w:hAnsi="宋体" w:eastAsia="宋体" w:cs="宋体"/>
          <w:color w:val="auto"/>
          <w:highlight w:val="none"/>
          <w:u w:val="single"/>
          <w:lang w:eastAsia="zh-CN"/>
        </w:rPr>
        <w:t>（7）承包人需自行办理的有关施工场地交通、环卫和施工噪音管理等手续，并应符合国家相关规定，并自行承担其费用。</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lang w:eastAsia="zh-CN"/>
        </w:rPr>
      </w:pPr>
      <w:r>
        <w:rPr>
          <w:rFonts w:hint="eastAsia" w:ascii="宋体" w:hAnsi="宋体" w:eastAsia="宋体" w:cs="宋体"/>
          <w:color w:val="auto"/>
          <w:highlight w:val="none"/>
          <w:u w:val="single"/>
          <w:lang w:eastAsia="zh-CN"/>
        </w:rPr>
        <w:t>（8）对施工中的地上地下建筑物(构筑物)管线、电力设施等应按有关规定加强监控测量和保护，相应的费用或因保护不当造成的损失及法律责任由承包人承担。</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lang w:eastAsia="zh-CN"/>
        </w:rPr>
      </w:pPr>
      <w:r>
        <w:rPr>
          <w:rFonts w:hint="eastAsia" w:ascii="宋体" w:hAnsi="宋体" w:eastAsia="宋体" w:cs="宋体"/>
          <w:color w:val="auto"/>
          <w:highlight w:val="none"/>
          <w:u w:val="single"/>
          <w:lang w:eastAsia="zh-CN"/>
        </w:rPr>
        <w:t>（9）环境保护工作属承包方范围内的由承包方全权负责，执行国家和广西区、北海市的相关规定。施工现场内不得随地抛洒剩饭及生活垃圾等，更不能将其随意倒至施工区外，施工区内不得随处大小便。做到工完场地清。</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lang w:eastAsia="zh-CN"/>
        </w:rPr>
      </w:pPr>
      <w:r>
        <w:rPr>
          <w:rFonts w:hint="eastAsia" w:ascii="宋体" w:hAnsi="宋体" w:eastAsia="宋体" w:cs="宋体"/>
          <w:color w:val="auto"/>
          <w:highlight w:val="none"/>
          <w:u w:val="single"/>
          <w:lang w:eastAsia="zh-CN"/>
        </w:rPr>
        <w:t>（10）施工机械设备进场前，应做好清洁、保养和维护工作。出场车辆应有专人打扫、清洗。有密封要求的按规定必须达到。</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lang w:eastAsia="zh-CN"/>
        </w:rPr>
      </w:pPr>
      <w:r>
        <w:rPr>
          <w:rFonts w:hint="eastAsia" w:ascii="宋体" w:hAnsi="宋体" w:eastAsia="宋体" w:cs="宋体"/>
          <w:color w:val="auto"/>
          <w:highlight w:val="none"/>
          <w:u w:val="single"/>
          <w:lang w:eastAsia="zh-CN"/>
        </w:rPr>
        <w:t>（11）施工期间必须保证周边单位的正常工作及居民的正常生活，尽量减少粉尘、噪声、振动等污染的扰民。必须按北海市有关部门的临时要求，调整作业方式，调整作业时间，停止高粉尘、高噪音作业或爆破作业等。</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lang w:eastAsia="zh-CN"/>
        </w:rPr>
      </w:pPr>
      <w:r>
        <w:rPr>
          <w:rFonts w:hint="eastAsia" w:ascii="宋体" w:hAnsi="宋体" w:eastAsia="宋体" w:cs="宋体"/>
          <w:color w:val="auto"/>
          <w:highlight w:val="none"/>
          <w:u w:val="single"/>
          <w:lang w:eastAsia="zh-CN"/>
        </w:rPr>
        <w:t>（12）保证周围建(构)筑物、地下及地上管线、地下人防等设施安全。</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lang w:eastAsia="zh-CN"/>
        </w:rPr>
      </w:pPr>
      <w:r>
        <w:rPr>
          <w:rFonts w:hint="eastAsia" w:ascii="宋体" w:hAnsi="宋体" w:eastAsia="宋体" w:cs="宋体"/>
          <w:color w:val="auto"/>
          <w:highlight w:val="none"/>
          <w:u w:val="single"/>
          <w:lang w:eastAsia="zh-CN"/>
        </w:rPr>
        <w:t>（13）做到进入现场的施工和作业人员统一着装，配证上岗，文明施工。</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lang w:eastAsia="zh-CN"/>
        </w:rPr>
      </w:pPr>
      <w:r>
        <w:rPr>
          <w:rFonts w:hint="eastAsia" w:ascii="宋体" w:hAnsi="宋体" w:eastAsia="宋体" w:cs="宋体"/>
          <w:color w:val="auto"/>
          <w:highlight w:val="none"/>
          <w:u w:val="single"/>
          <w:lang w:eastAsia="zh-CN"/>
        </w:rPr>
        <w:t>（14）承包方施工现场临时加工区、库房等围墙(围挡)等维护设施应安全、美观、耐久，非施工相关人员不许入内。</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6.1.6</w:t>
      </w:r>
      <w:r>
        <w:rPr>
          <w:rFonts w:hint="eastAsia" w:ascii="宋体" w:hAnsi="宋体" w:eastAsia="宋体" w:cs="宋体"/>
          <w:color w:val="auto"/>
          <w:kern w:val="0"/>
          <w:highlight w:val="none"/>
        </w:rPr>
        <w:t>关于安全生产费总额、支付比例、支付期限、转入和结余收回的约定：</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（1）本合同价款已包含安全文明施工费</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元。</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（2）使用要求：专款专用。具体按</w:t>
      </w:r>
      <w:r>
        <w:rPr>
          <w:rFonts w:hint="eastAsia" w:ascii="宋体" w:hAnsi="宋体" w:eastAsia="宋体" w:cs="宋体"/>
          <w:color w:val="auto"/>
          <w:kern w:val="0"/>
          <w:highlight w:val="none"/>
          <w:u w:val="single"/>
        </w:rPr>
        <w:t>《广西壮族自治区建设工程安全文明施工费使用管理细则》（桂建质〔2015〕16号）</w:t>
      </w:r>
      <w:r>
        <w:rPr>
          <w:rFonts w:hint="eastAsia" w:ascii="宋体" w:hAnsi="宋体" w:eastAsia="宋体" w:cs="宋体"/>
          <w:color w:val="auto"/>
          <w:kern w:val="0"/>
          <w:highlight w:val="none"/>
        </w:rPr>
        <w:t>和</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市相关规定执行。</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rPr>
        <w:t>（3）支付约定：</w:t>
      </w:r>
      <w:r>
        <w:rPr>
          <w:rFonts w:hint="eastAsia" w:ascii="宋体" w:hAnsi="宋体" w:eastAsia="宋体" w:cs="宋体"/>
          <w:color w:val="auto"/>
          <w:kern w:val="0"/>
          <w:highlight w:val="none"/>
          <w:lang w:val="en-US" w:eastAsia="zh-CN"/>
        </w:rPr>
        <w:t>与进度款同期支付。</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361" w:name="_Toc78449809"/>
      <w:bookmarkStart w:id="362" w:name="_Toc373227721"/>
      <w:bookmarkStart w:id="363" w:name="_Toc389065287"/>
      <w:bookmarkStart w:id="364" w:name="_Toc373478368"/>
      <w:bookmarkStart w:id="365" w:name="_Toc1922268668"/>
      <w:bookmarkStart w:id="366" w:name="_Toc407135223"/>
      <w:bookmarkStart w:id="367" w:name="_Toc1519050792"/>
      <w:r>
        <w:rPr>
          <w:rFonts w:hint="eastAsia" w:ascii="宋体" w:hAnsi="宋体" w:eastAsia="宋体" w:cs="宋体"/>
          <w:b/>
          <w:bCs/>
          <w:color w:val="auto"/>
          <w:sz w:val="24"/>
          <w:szCs w:val="24"/>
          <w:highlight w:val="none"/>
        </w:rPr>
        <w:t>6.3 环境保护</w:t>
      </w:r>
      <w:bookmarkEnd w:id="361"/>
      <w:bookmarkEnd w:id="362"/>
      <w:bookmarkEnd w:id="363"/>
      <w:bookmarkEnd w:id="364"/>
      <w:bookmarkEnd w:id="365"/>
      <w:bookmarkEnd w:id="366"/>
      <w:bookmarkEnd w:id="367"/>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因施工需要，经发包人批准，由承包人办理有关施工场地交通、环卫和施工噪音管理等手续，费用由承包人负责。</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u w:val="single"/>
        </w:rPr>
        <w:t>经过城市道路的施工车辆，必须按交警、城管、运输等部门相关规定执行。由于施工车辆造成的道路、环境等污染，其责任和费用均由承包人承担。</w:t>
      </w:r>
    </w:p>
    <w:bookmarkEnd w:id="339"/>
    <w:bookmarkEnd w:id="340"/>
    <w:bookmarkEnd w:id="341"/>
    <w:bookmarkEnd w:id="342"/>
    <w:bookmarkEnd w:id="343"/>
    <w:bookmarkEnd w:id="344"/>
    <w:bookmarkEnd w:id="345"/>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368" w:name="_Toc78449810"/>
      <w:bookmarkStart w:id="369" w:name="_Toc389065288"/>
      <w:bookmarkStart w:id="370" w:name="_Toc351203639"/>
      <w:bookmarkStart w:id="371" w:name="_Toc1408286886"/>
      <w:bookmarkStart w:id="372" w:name="_Toc407135224"/>
      <w:bookmarkStart w:id="373" w:name="_Toc315674767"/>
      <w:bookmarkStart w:id="374" w:name="_Toc373478369"/>
      <w:bookmarkStart w:id="375" w:name="_Toc373227722"/>
      <w:r>
        <w:rPr>
          <w:rFonts w:hint="eastAsia" w:ascii="宋体" w:hAnsi="宋体" w:eastAsia="宋体" w:cs="宋体"/>
          <w:b/>
          <w:bCs/>
          <w:color w:val="auto"/>
          <w:sz w:val="24"/>
          <w:szCs w:val="24"/>
          <w:highlight w:val="none"/>
        </w:rPr>
        <w:t>7. 工期和进度</w:t>
      </w:r>
      <w:bookmarkEnd w:id="368"/>
      <w:bookmarkEnd w:id="369"/>
      <w:bookmarkEnd w:id="370"/>
      <w:bookmarkEnd w:id="371"/>
      <w:bookmarkEnd w:id="372"/>
      <w:bookmarkEnd w:id="373"/>
      <w:bookmarkEnd w:id="374"/>
      <w:bookmarkEnd w:id="375"/>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376" w:name="_Toc389065289"/>
      <w:bookmarkStart w:id="377" w:name="_Toc373478370"/>
      <w:bookmarkStart w:id="378" w:name="_Toc78449811"/>
      <w:bookmarkStart w:id="379" w:name="_Toc407135225"/>
      <w:bookmarkStart w:id="380" w:name="_Toc1194482517"/>
      <w:bookmarkStart w:id="381" w:name="_Toc664905709"/>
      <w:bookmarkStart w:id="382" w:name="_Toc373227723"/>
      <w:r>
        <w:rPr>
          <w:rFonts w:hint="eastAsia" w:ascii="宋体" w:hAnsi="宋体" w:eastAsia="宋体" w:cs="宋体"/>
          <w:b/>
          <w:bCs/>
          <w:color w:val="auto"/>
          <w:sz w:val="24"/>
          <w:szCs w:val="24"/>
          <w:highlight w:val="none"/>
        </w:rPr>
        <w:t>7.1 施工组织设计</w:t>
      </w:r>
      <w:bookmarkEnd w:id="376"/>
      <w:bookmarkEnd w:id="377"/>
      <w:bookmarkEnd w:id="378"/>
      <w:bookmarkEnd w:id="379"/>
      <w:bookmarkEnd w:id="380"/>
      <w:bookmarkEnd w:id="381"/>
      <w:bookmarkEnd w:id="382"/>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7.1.1 合</w:t>
      </w:r>
      <w:r>
        <w:rPr>
          <w:rFonts w:hint="eastAsia" w:ascii="宋体" w:hAnsi="宋体" w:eastAsia="宋体" w:cs="宋体"/>
          <w:color w:val="auto"/>
          <w:kern w:val="0"/>
          <w:highlight w:val="none"/>
        </w:rPr>
        <w:t>同当事人约定的施工组织设计应包括的其他内容：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highlight w:val="none"/>
        </w:rPr>
        <w:t xml:space="preserve">7.1.2 </w:t>
      </w:r>
      <w:r>
        <w:rPr>
          <w:rFonts w:hint="eastAsia" w:ascii="宋体" w:hAnsi="宋体" w:eastAsia="宋体" w:cs="宋体"/>
          <w:color w:val="auto"/>
          <w:kern w:val="0"/>
          <w:highlight w:val="none"/>
        </w:rPr>
        <w:t>施工组织设计的提交和修改</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kern w:val="0"/>
          <w:highlight w:val="none"/>
        </w:rPr>
        <w:t>承包人提交详细施工组织设计的期限的约定：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发包人和监理人在收到详细的施工组织设计后确认或提出修改意见的期限：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383" w:name="_Toc407135226"/>
      <w:bookmarkStart w:id="384" w:name="_Toc373227724"/>
      <w:bookmarkStart w:id="385" w:name="_Toc1393005721"/>
      <w:bookmarkStart w:id="386" w:name="_Toc373478371"/>
      <w:bookmarkStart w:id="387" w:name="_Toc389065290"/>
      <w:bookmarkStart w:id="388" w:name="_Toc78449812"/>
      <w:bookmarkStart w:id="389" w:name="_Toc1674747833"/>
      <w:r>
        <w:rPr>
          <w:rFonts w:hint="eastAsia" w:ascii="宋体" w:hAnsi="宋体" w:eastAsia="宋体" w:cs="宋体"/>
          <w:b/>
          <w:bCs/>
          <w:color w:val="auto"/>
          <w:sz w:val="24"/>
          <w:szCs w:val="24"/>
          <w:highlight w:val="none"/>
        </w:rPr>
        <w:t>7</w:t>
      </w:r>
      <w:bookmarkStart w:id="390" w:name="_Toc312677479"/>
      <w:bookmarkStart w:id="391" w:name="_Toc300934966"/>
      <w:bookmarkStart w:id="392" w:name="_Toc304295541"/>
      <w:bookmarkStart w:id="393" w:name="_Toc297216173"/>
      <w:bookmarkStart w:id="394" w:name="_Toc303539123"/>
      <w:bookmarkStart w:id="395" w:name="_Toc297123514"/>
      <w:bookmarkStart w:id="396" w:name="_Toc312678005"/>
      <w:r>
        <w:rPr>
          <w:rFonts w:hint="eastAsia" w:ascii="宋体" w:hAnsi="宋体" w:eastAsia="宋体" w:cs="宋体"/>
          <w:b/>
          <w:bCs/>
          <w:color w:val="auto"/>
          <w:sz w:val="24"/>
          <w:szCs w:val="24"/>
          <w:highlight w:val="none"/>
        </w:rPr>
        <w:t>.2 施工进度计划</w:t>
      </w:r>
      <w:bookmarkEnd w:id="383"/>
      <w:bookmarkEnd w:id="384"/>
      <w:bookmarkEnd w:id="385"/>
      <w:bookmarkEnd w:id="386"/>
      <w:bookmarkEnd w:id="387"/>
      <w:bookmarkEnd w:id="388"/>
      <w:bookmarkEnd w:id="389"/>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7.2.2 施工进度计划的修订</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发包人和监理人在收到修订的施工进度计划后确认或提出修改意见的期限：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397" w:name="_Toc389065291"/>
      <w:bookmarkStart w:id="398" w:name="_Toc407135227"/>
      <w:bookmarkStart w:id="399" w:name="_Toc423062567"/>
      <w:bookmarkStart w:id="400" w:name="_Toc373478372"/>
      <w:bookmarkStart w:id="401" w:name="_Toc373227725"/>
      <w:bookmarkStart w:id="402" w:name="_Toc1498273563"/>
      <w:bookmarkStart w:id="403" w:name="_Toc78449813"/>
      <w:r>
        <w:rPr>
          <w:rFonts w:hint="eastAsia" w:ascii="宋体" w:hAnsi="宋体" w:eastAsia="宋体" w:cs="宋体"/>
          <w:b/>
          <w:bCs/>
          <w:color w:val="auto"/>
          <w:sz w:val="24"/>
          <w:szCs w:val="24"/>
          <w:highlight w:val="none"/>
        </w:rPr>
        <w:t>7.3 开工</w:t>
      </w:r>
      <w:bookmarkEnd w:id="397"/>
      <w:bookmarkEnd w:id="398"/>
      <w:bookmarkEnd w:id="399"/>
      <w:bookmarkEnd w:id="400"/>
      <w:bookmarkEnd w:id="401"/>
      <w:bookmarkEnd w:id="402"/>
      <w:bookmarkEnd w:id="403"/>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7.3.1 开工准备</w:t>
      </w:r>
    </w:p>
    <w:p>
      <w:pPr>
        <w:keepNext w:val="0"/>
        <w:keepLines w:val="0"/>
        <w:pageBreakBefore w:val="0"/>
        <w:widowControl w:val="0"/>
        <w:kinsoku/>
        <w:wordWrap/>
        <w:overflowPunct/>
        <w:topLinePunct w:val="0"/>
        <w:bidi w:val="0"/>
        <w:snapToGrid/>
        <w:spacing w:line="360" w:lineRule="auto"/>
        <w:ind w:firstLine="426"/>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关于承包人提交</w:t>
      </w:r>
      <w:r>
        <w:rPr>
          <w:rFonts w:hint="eastAsia" w:ascii="宋体" w:hAnsi="宋体" w:eastAsia="宋体" w:cs="宋体"/>
          <w:color w:val="auto"/>
          <w:kern w:val="0"/>
          <w:highlight w:val="none"/>
        </w:rPr>
        <w:t>工程开工报审表的期限：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6"/>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关于发包人应完成的其他开工准备工作及期限：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关于承包人应完成的其他开工准备工作及期限：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7.3.2 开工通知</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因发包人原因造成监理人未能在计划开工日期之日起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天内发出开工通知的，承包人有权提出价格调整要求，或者解除合同。</w:t>
      </w:r>
    </w:p>
    <w:bookmarkEnd w:id="390"/>
    <w:bookmarkEnd w:id="391"/>
    <w:bookmarkEnd w:id="392"/>
    <w:bookmarkEnd w:id="393"/>
    <w:bookmarkEnd w:id="394"/>
    <w:bookmarkEnd w:id="395"/>
    <w:bookmarkEnd w:id="396"/>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404" w:name="_Toc741356765"/>
      <w:bookmarkStart w:id="405" w:name="_Toc78449814"/>
      <w:bookmarkStart w:id="406" w:name="_Toc407135228"/>
      <w:bookmarkStart w:id="407" w:name="_Toc389065292"/>
      <w:bookmarkStart w:id="408" w:name="_Toc86855608"/>
      <w:bookmarkStart w:id="409" w:name="_Toc373478373"/>
      <w:bookmarkStart w:id="410" w:name="_Toc373227726"/>
      <w:r>
        <w:rPr>
          <w:rFonts w:hint="eastAsia" w:ascii="宋体" w:hAnsi="宋体" w:eastAsia="宋体" w:cs="宋体"/>
          <w:b/>
          <w:bCs/>
          <w:color w:val="auto"/>
          <w:sz w:val="24"/>
          <w:szCs w:val="24"/>
          <w:highlight w:val="none"/>
        </w:rPr>
        <w:t>7.4 测量放线</w:t>
      </w:r>
      <w:bookmarkEnd w:id="404"/>
      <w:bookmarkEnd w:id="405"/>
      <w:bookmarkEnd w:id="406"/>
      <w:bookmarkEnd w:id="407"/>
      <w:bookmarkEnd w:id="408"/>
      <w:bookmarkEnd w:id="409"/>
      <w:bookmarkEnd w:id="410"/>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7.4.1发包人通过监理人向承包人提供测量基准点、基准线和水准点及其书面资料的期限：</w:t>
      </w:r>
    </w:p>
    <w:p>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411" w:name="_Toc389065293"/>
      <w:bookmarkStart w:id="412" w:name="_Toc373227727"/>
      <w:bookmarkStart w:id="413" w:name="_Toc1417437583"/>
      <w:bookmarkStart w:id="414" w:name="_Toc78449815"/>
      <w:bookmarkStart w:id="415" w:name="_Toc1863025072"/>
      <w:bookmarkStart w:id="416" w:name="_Toc407135229"/>
      <w:bookmarkStart w:id="417" w:name="_Toc373478374"/>
      <w:r>
        <w:rPr>
          <w:rFonts w:hint="eastAsia" w:ascii="宋体" w:hAnsi="宋体" w:eastAsia="宋体" w:cs="宋体"/>
          <w:b/>
          <w:bCs/>
          <w:color w:val="auto"/>
          <w:sz w:val="24"/>
          <w:szCs w:val="24"/>
          <w:highlight w:val="none"/>
        </w:rPr>
        <w:t>7</w:t>
      </w:r>
      <w:bookmarkStart w:id="418" w:name="_Toc304295546"/>
      <w:bookmarkStart w:id="419" w:name="_Toc303539125"/>
      <w:bookmarkStart w:id="420" w:name="_Toc312678010"/>
      <w:bookmarkStart w:id="421" w:name="_Toc297123516"/>
      <w:bookmarkStart w:id="422" w:name="_Toc312677484"/>
      <w:bookmarkStart w:id="423" w:name="_Toc300934968"/>
      <w:bookmarkStart w:id="424" w:name="_Toc297216175"/>
      <w:r>
        <w:rPr>
          <w:rFonts w:hint="eastAsia" w:ascii="宋体" w:hAnsi="宋体" w:eastAsia="宋体" w:cs="宋体"/>
          <w:b/>
          <w:bCs/>
          <w:color w:val="auto"/>
          <w:sz w:val="24"/>
          <w:szCs w:val="24"/>
          <w:highlight w:val="none"/>
        </w:rPr>
        <w:t>.5 工期延误</w:t>
      </w:r>
      <w:bookmarkEnd w:id="411"/>
      <w:bookmarkEnd w:id="412"/>
      <w:bookmarkEnd w:id="413"/>
      <w:bookmarkEnd w:id="414"/>
      <w:bookmarkEnd w:id="415"/>
      <w:bookmarkEnd w:id="416"/>
      <w:bookmarkEnd w:id="417"/>
    </w:p>
    <w:bookmarkEnd w:id="418"/>
    <w:bookmarkEnd w:id="419"/>
    <w:bookmarkEnd w:id="420"/>
    <w:bookmarkEnd w:id="421"/>
    <w:bookmarkEnd w:id="422"/>
    <w:bookmarkEnd w:id="423"/>
    <w:bookmarkEnd w:id="424"/>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7.5.1 因发包人原因导致工期延误</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（7）因发包人原因导致工期延误的其他情形：</w:t>
      </w:r>
      <w:r>
        <w:rPr>
          <w:rFonts w:hint="eastAsia" w:ascii="宋体" w:hAnsi="宋体" w:eastAsia="宋体" w:cs="宋体"/>
          <w:color w:val="auto"/>
          <w:highlight w:val="none"/>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eastAsia="宋体" w:cs="宋体"/>
          <w:color w:val="auto"/>
          <w:highlight w:val="none"/>
        </w:rPr>
        <w:t xml:space="preserve"> 。</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bookmarkStart w:id="425" w:name="_Toc318581169"/>
      <w:bookmarkStart w:id="426" w:name="_Toc312678012"/>
      <w:bookmarkStart w:id="427" w:name="_Toc312677486"/>
      <w:bookmarkStart w:id="428" w:name="_Toc297123518"/>
      <w:bookmarkStart w:id="429" w:name="_Toc304295548"/>
      <w:bookmarkStart w:id="430" w:name="_Toc303539127"/>
      <w:bookmarkStart w:id="431" w:name="_Toc297216177"/>
      <w:bookmarkStart w:id="432" w:name="_Toc300934970"/>
      <w:r>
        <w:rPr>
          <w:rFonts w:hint="eastAsia" w:ascii="宋体" w:hAnsi="宋体" w:eastAsia="宋体" w:cs="宋体"/>
          <w:color w:val="auto"/>
          <w:highlight w:val="none"/>
        </w:rPr>
        <w:t>.5.2 因承包人原因导致工期延误</w:t>
      </w:r>
    </w:p>
    <w:bookmarkEnd w:id="425"/>
    <w:bookmarkEnd w:id="426"/>
    <w:bookmarkEnd w:id="427"/>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双方约定经监理工程师确认，工期相应顺延的情况：</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因</w:t>
      </w:r>
      <w:bookmarkStart w:id="433" w:name="_Toc318581170"/>
      <w:bookmarkStart w:id="434" w:name="_Toc312677487"/>
      <w:bookmarkStart w:id="435" w:name="_Toc312678013"/>
      <w:r>
        <w:rPr>
          <w:rFonts w:hint="eastAsia" w:ascii="宋体" w:hAnsi="宋体" w:eastAsia="宋体" w:cs="宋体"/>
          <w:color w:val="auto"/>
          <w:highlight w:val="none"/>
        </w:rPr>
        <w:t>承包人原因造成工期延误，逾期竣工违约金的计算方法为：</w:t>
      </w:r>
      <w:r>
        <w:rPr>
          <w:rFonts w:hint="eastAsia" w:ascii="宋体" w:hAnsi="宋体" w:eastAsia="宋体" w:cs="宋体"/>
          <w:color w:val="auto"/>
          <w:highlight w:val="none"/>
          <w:u w:val="single"/>
        </w:rPr>
        <w:t>按逾期竣工的单项工程罚款，每延误一天,按单项工程应支付给承包人的结算造价的万分之   处罚,罚款直接从结算款中扣除。误期时间从规定竣工日期起直到实际竣工日期的天数（扣除发包人批准顺延的工期）。</w:t>
      </w:r>
      <w:bookmarkEnd w:id="428"/>
      <w:bookmarkEnd w:id="429"/>
      <w:bookmarkEnd w:id="430"/>
      <w:bookmarkEnd w:id="431"/>
      <w:bookmarkEnd w:id="432"/>
      <w:bookmarkEnd w:id="433"/>
      <w:bookmarkEnd w:id="434"/>
      <w:bookmarkEnd w:id="435"/>
      <w:r>
        <w:rPr>
          <w:rFonts w:hint="eastAsia" w:ascii="宋体" w:hAnsi="宋体" w:eastAsia="宋体" w:cs="宋体"/>
          <w:color w:val="auto"/>
          <w:highlight w:val="none"/>
        </w:rPr>
        <w:t>因承包人原因造成工期延误，逾</w:t>
      </w:r>
      <w:bookmarkStart w:id="436" w:name="_Toc318581171"/>
      <w:bookmarkStart w:id="437" w:name="_Toc312678014"/>
      <w:r>
        <w:rPr>
          <w:rFonts w:hint="eastAsia" w:ascii="宋体" w:hAnsi="宋体" w:eastAsia="宋体" w:cs="宋体"/>
          <w:color w:val="auto"/>
          <w:highlight w:val="none"/>
        </w:rPr>
        <w:t>期竣工违约金的上限：</w:t>
      </w:r>
      <w:r>
        <w:rPr>
          <w:rFonts w:hint="eastAsia" w:ascii="宋体" w:hAnsi="宋体" w:eastAsia="宋体" w:cs="宋体"/>
          <w:color w:val="auto"/>
          <w:highlight w:val="none"/>
          <w:u w:val="single"/>
        </w:rPr>
        <w:t>逾期竣工的单项工程结算造价的    %</w:t>
      </w:r>
      <w:r>
        <w:rPr>
          <w:rFonts w:hint="eastAsia" w:ascii="宋体" w:hAnsi="宋体" w:eastAsia="宋体" w:cs="宋体"/>
          <w:color w:val="auto"/>
          <w:highlight w:val="none"/>
        </w:rPr>
        <w:t>。</w:t>
      </w:r>
    </w:p>
    <w:bookmarkEnd w:id="436"/>
    <w:bookmarkEnd w:id="437"/>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438" w:name="_Toc888037017"/>
      <w:bookmarkStart w:id="439" w:name="_Toc373478375"/>
      <w:bookmarkStart w:id="440" w:name="_Toc407135230"/>
      <w:bookmarkStart w:id="441" w:name="_Toc373227728"/>
      <w:bookmarkStart w:id="442" w:name="_Toc1954543271"/>
      <w:bookmarkStart w:id="443" w:name="_Toc389065294"/>
      <w:bookmarkStart w:id="444" w:name="_Toc78449816"/>
      <w:r>
        <w:rPr>
          <w:rFonts w:hint="eastAsia" w:ascii="宋体" w:hAnsi="宋体" w:eastAsia="宋体" w:cs="宋体"/>
          <w:b/>
          <w:bCs/>
          <w:color w:val="auto"/>
          <w:sz w:val="24"/>
          <w:szCs w:val="24"/>
          <w:highlight w:val="none"/>
        </w:rPr>
        <w:t>7</w:t>
      </w:r>
      <w:bookmarkStart w:id="445" w:name="_Toc300934971"/>
      <w:bookmarkStart w:id="446" w:name="_Toc303539128"/>
      <w:bookmarkStart w:id="447" w:name="_Toc312678015"/>
      <w:bookmarkStart w:id="448" w:name="_Toc297216178"/>
      <w:bookmarkStart w:id="449" w:name="_Toc297123519"/>
      <w:bookmarkStart w:id="450" w:name="_Toc304295549"/>
      <w:r>
        <w:rPr>
          <w:rFonts w:hint="eastAsia" w:ascii="宋体" w:hAnsi="宋体" w:eastAsia="宋体" w:cs="宋体"/>
          <w:b/>
          <w:bCs/>
          <w:color w:val="auto"/>
          <w:sz w:val="24"/>
          <w:szCs w:val="24"/>
          <w:highlight w:val="none"/>
        </w:rPr>
        <w:t>.6 不</w:t>
      </w:r>
      <w:bookmarkEnd w:id="445"/>
      <w:bookmarkEnd w:id="446"/>
      <w:bookmarkEnd w:id="447"/>
      <w:bookmarkEnd w:id="448"/>
      <w:bookmarkEnd w:id="449"/>
      <w:bookmarkEnd w:id="450"/>
      <w:r>
        <w:rPr>
          <w:rFonts w:hint="eastAsia" w:ascii="宋体" w:hAnsi="宋体" w:eastAsia="宋体" w:cs="宋体"/>
          <w:b/>
          <w:bCs/>
          <w:color w:val="auto"/>
          <w:sz w:val="24"/>
          <w:szCs w:val="24"/>
          <w:highlight w:val="none"/>
        </w:rPr>
        <w:t>利物质条件</w:t>
      </w:r>
      <w:bookmarkEnd w:id="438"/>
      <w:bookmarkEnd w:id="439"/>
      <w:bookmarkEnd w:id="440"/>
      <w:bookmarkEnd w:id="441"/>
      <w:bookmarkEnd w:id="442"/>
      <w:bookmarkEnd w:id="443"/>
      <w:bookmarkEnd w:id="444"/>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bookmarkStart w:id="451" w:name="_Toc318581172"/>
      <w:bookmarkStart w:id="452" w:name="_Toc303539129"/>
      <w:bookmarkStart w:id="453" w:name="_Toc300934972"/>
      <w:bookmarkStart w:id="454" w:name="_Toc312678016"/>
      <w:bookmarkStart w:id="455" w:name="_Toc304295550"/>
      <w:bookmarkStart w:id="456" w:name="_Toc297123520"/>
      <w:bookmarkStart w:id="457" w:name="_Toc297216179"/>
      <w:r>
        <w:rPr>
          <w:rFonts w:hint="eastAsia" w:ascii="宋体" w:hAnsi="宋体" w:eastAsia="宋体" w:cs="宋体"/>
          <w:color w:val="auto"/>
          <w:highlight w:val="none"/>
        </w:rPr>
        <w:t>不利物质条件的其他情形和有关约定：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bookmarkEnd w:id="451"/>
    <w:bookmarkEnd w:id="452"/>
    <w:bookmarkEnd w:id="453"/>
    <w:bookmarkEnd w:id="454"/>
    <w:bookmarkEnd w:id="455"/>
    <w:bookmarkEnd w:id="456"/>
    <w:bookmarkEnd w:id="457"/>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458" w:name="_Toc78449817"/>
      <w:bookmarkStart w:id="459" w:name="_Toc851880484"/>
      <w:bookmarkStart w:id="460" w:name="_Toc2031116443"/>
      <w:bookmarkStart w:id="461" w:name="_Toc373227729"/>
      <w:bookmarkStart w:id="462" w:name="_Toc389065295"/>
      <w:bookmarkStart w:id="463" w:name="_Toc373478376"/>
      <w:bookmarkStart w:id="464" w:name="_Toc407135231"/>
      <w:r>
        <w:rPr>
          <w:rFonts w:hint="eastAsia" w:ascii="宋体" w:hAnsi="宋体" w:eastAsia="宋体" w:cs="宋体"/>
          <w:b/>
          <w:bCs/>
          <w:color w:val="auto"/>
          <w:sz w:val="24"/>
          <w:szCs w:val="24"/>
          <w:highlight w:val="none"/>
        </w:rPr>
        <w:t>7</w:t>
      </w:r>
      <w:bookmarkStart w:id="465" w:name="_Toc312678017"/>
      <w:bookmarkStart w:id="466" w:name="_Toc297123521"/>
      <w:bookmarkStart w:id="467" w:name="_Toc297216180"/>
      <w:bookmarkStart w:id="468" w:name="_Toc303539130"/>
      <w:bookmarkStart w:id="469" w:name="_Toc300934973"/>
      <w:bookmarkStart w:id="470" w:name="_Toc304295551"/>
      <w:r>
        <w:rPr>
          <w:rFonts w:hint="eastAsia" w:ascii="宋体" w:hAnsi="宋体" w:eastAsia="宋体" w:cs="宋体"/>
          <w:b/>
          <w:bCs/>
          <w:color w:val="auto"/>
          <w:sz w:val="24"/>
          <w:szCs w:val="24"/>
          <w:highlight w:val="none"/>
        </w:rPr>
        <w:t>.7 异常恶劣的气候条件</w:t>
      </w:r>
      <w:bookmarkEnd w:id="458"/>
      <w:bookmarkEnd w:id="459"/>
      <w:bookmarkEnd w:id="460"/>
      <w:bookmarkEnd w:id="461"/>
      <w:bookmarkEnd w:id="462"/>
      <w:bookmarkEnd w:id="463"/>
      <w:bookmarkEnd w:id="464"/>
    </w:p>
    <w:bookmarkEnd w:id="465"/>
    <w:bookmarkEnd w:id="466"/>
    <w:bookmarkEnd w:id="467"/>
    <w:bookmarkEnd w:id="468"/>
    <w:bookmarkEnd w:id="469"/>
    <w:bookmarkEnd w:id="470"/>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发包人和承包人同意以下情形视为异常恶劣的气候条件：</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en-US"/>
        </w:rPr>
      </w:pPr>
      <w:bookmarkStart w:id="471" w:name="_Toc373227730"/>
      <w:bookmarkStart w:id="472" w:name="_Toc657185480"/>
      <w:bookmarkStart w:id="473" w:name="_Toc373478377"/>
      <w:bookmarkStart w:id="474" w:name="_Toc78449818"/>
      <w:bookmarkStart w:id="475" w:name="_Toc2087373611"/>
      <w:bookmarkStart w:id="476" w:name="_Toc407135232"/>
      <w:bookmarkStart w:id="477" w:name="_Toc389065296"/>
      <w:r>
        <w:rPr>
          <w:rFonts w:hint="eastAsia" w:ascii="宋体" w:hAnsi="宋体" w:eastAsia="宋体" w:cs="宋体"/>
          <w:b/>
          <w:bCs/>
          <w:color w:val="auto"/>
          <w:sz w:val="24"/>
          <w:szCs w:val="24"/>
          <w:highlight w:val="none"/>
          <w:lang w:val="en-US"/>
        </w:rPr>
        <w:t xml:space="preserve">7.9 </w:t>
      </w:r>
      <w:r>
        <w:rPr>
          <w:rFonts w:hint="eastAsia" w:ascii="宋体" w:hAnsi="宋体" w:eastAsia="宋体" w:cs="宋体"/>
          <w:b/>
          <w:bCs/>
          <w:color w:val="auto"/>
          <w:sz w:val="24"/>
          <w:szCs w:val="24"/>
          <w:highlight w:val="none"/>
        </w:rPr>
        <w:t>提前竣工</w:t>
      </w:r>
      <w:bookmarkEnd w:id="471"/>
      <w:bookmarkEnd w:id="472"/>
      <w:bookmarkEnd w:id="473"/>
      <w:bookmarkEnd w:id="474"/>
      <w:bookmarkEnd w:id="475"/>
      <w:bookmarkEnd w:id="476"/>
      <w:bookmarkEnd w:id="477"/>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7.9.2提前竣工（赶工）增加费的计算方法：</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478" w:name="_Toc1400878670"/>
      <w:bookmarkStart w:id="479" w:name="_Toc351203640"/>
      <w:bookmarkStart w:id="480" w:name="_Toc78449819"/>
      <w:bookmarkStart w:id="481" w:name="_Toc389065297"/>
      <w:bookmarkStart w:id="482" w:name="_Toc1302158431"/>
      <w:bookmarkStart w:id="483" w:name="_Toc373227731"/>
      <w:bookmarkStart w:id="484" w:name="_Toc373478378"/>
      <w:bookmarkStart w:id="485" w:name="_Toc407135233"/>
      <w:r>
        <w:rPr>
          <w:rFonts w:hint="eastAsia" w:ascii="宋体" w:hAnsi="宋体" w:eastAsia="宋体" w:cs="宋体"/>
          <w:b/>
          <w:bCs/>
          <w:color w:val="auto"/>
          <w:sz w:val="24"/>
          <w:szCs w:val="24"/>
          <w:highlight w:val="none"/>
        </w:rPr>
        <w:t>8. 材料与设备</w:t>
      </w:r>
      <w:bookmarkEnd w:id="478"/>
      <w:bookmarkEnd w:id="479"/>
      <w:bookmarkEnd w:id="480"/>
      <w:bookmarkEnd w:id="481"/>
      <w:bookmarkEnd w:id="482"/>
      <w:bookmarkEnd w:id="483"/>
      <w:bookmarkEnd w:id="484"/>
      <w:bookmarkEnd w:id="485"/>
    </w:p>
    <w:bookmarkEnd w:id="322"/>
    <w:bookmarkEnd w:id="323"/>
    <w:bookmarkEnd w:id="324"/>
    <w:bookmarkEnd w:id="325"/>
    <w:bookmarkEnd w:id="326"/>
    <w:bookmarkEnd w:id="327"/>
    <w:bookmarkEnd w:id="328"/>
    <w:bookmarkEnd w:id="329"/>
    <w:bookmarkEnd w:id="330"/>
    <w:bookmarkEnd w:id="331"/>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486" w:name="_Toc1078610395"/>
      <w:bookmarkStart w:id="487" w:name="_Toc373478379"/>
      <w:bookmarkStart w:id="488" w:name="_Toc407135234"/>
      <w:bookmarkStart w:id="489" w:name="_Toc1119561048"/>
      <w:bookmarkStart w:id="490" w:name="_Toc78449820"/>
      <w:bookmarkStart w:id="491" w:name="_Toc373227732"/>
      <w:bookmarkStart w:id="492" w:name="_Toc389065298"/>
      <w:r>
        <w:rPr>
          <w:rFonts w:hint="eastAsia" w:ascii="宋体" w:hAnsi="宋体" w:eastAsia="宋体" w:cs="宋体"/>
          <w:b/>
          <w:bCs/>
          <w:color w:val="auto"/>
          <w:sz w:val="24"/>
          <w:szCs w:val="24"/>
          <w:highlight w:val="none"/>
        </w:rPr>
        <w:t>8.2 承包人采购材料与工程设备</w:t>
      </w:r>
      <w:bookmarkEnd w:id="486"/>
      <w:bookmarkEnd w:id="487"/>
      <w:bookmarkEnd w:id="488"/>
      <w:bookmarkEnd w:id="489"/>
      <w:bookmarkEnd w:id="490"/>
      <w:bookmarkEnd w:id="491"/>
      <w:bookmarkEnd w:id="492"/>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kern w:val="0"/>
          <w:highlight w:val="none"/>
        </w:rPr>
        <w:t>除已标价工程量清单《发包人提供主要材料和工程设备一览表》（表-21）中明确的材料、工程设备外，由承包人负责材料和工程设备的采购、运输和保管。</w:t>
      </w:r>
      <w:bookmarkStart w:id="493" w:name="_Toc373227733"/>
      <w:bookmarkStart w:id="494" w:name="_Toc373478380"/>
      <w:bookmarkStart w:id="495" w:name="_Toc389065299"/>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禁止使用松木、松木包装材料设备、种子、苗木、花卉及繁殖材料。</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496" w:name="_Toc78449821"/>
      <w:bookmarkStart w:id="497" w:name="_Toc1355357553"/>
      <w:bookmarkStart w:id="498" w:name="_Toc800965933"/>
      <w:bookmarkStart w:id="499" w:name="_Toc407135235"/>
      <w:r>
        <w:rPr>
          <w:rFonts w:hint="eastAsia" w:ascii="宋体" w:hAnsi="宋体" w:eastAsia="宋体" w:cs="宋体"/>
          <w:b/>
          <w:bCs/>
          <w:color w:val="auto"/>
          <w:sz w:val="24"/>
          <w:szCs w:val="24"/>
          <w:highlight w:val="none"/>
        </w:rPr>
        <w:t>8</w:t>
      </w:r>
      <w:bookmarkStart w:id="500" w:name="_Toc280868654"/>
      <w:bookmarkStart w:id="501" w:name="_Toc296890995"/>
      <w:bookmarkStart w:id="502" w:name="_Toc296346668"/>
      <w:bookmarkStart w:id="503" w:name="_Toc297048353"/>
      <w:bookmarkStart w:id="504" w:name="_Toc312678019"/>
      <w:bookmarkStart w:id="505" w:name="_Toc296503167"/>
      <w:bookmarkStart w:id="506" w:name="_Toc312677493"/>
      <w:bookmarkStart w:id="507" w:name="_Toc296944506"/>
      <w:bookmarkStart w:id="508" w:name="_Toc292559372"/>
      <w:bookmarkStart w:id="509" w:name="_Toc304295556"/>
      <w:bookmarkStart w:id="510" w:name="_Toc300934979"/>
      <w:bookmarkStart w:id="511" w:name="_Toc296891207"/>
      <w:bookmarkStart w:id="512" w:name="_Toc297120467"/>
      <w:bookmarkStart w:id="513" w:name="_Toc292559877"/>
      <w:bookmarkStart w:id="514" w:name="_Toc297216186"/>
      <w:bookmarkStart w:id="515" w:name="_Toc297123527"/>
      <w:bookmarkStart w:id="516" w:name="_Toc303539136"/>
      <w:bookmarkStart w:id="517" w:name="_Toc296347166"/>
      <w:bookmarkStart w:id="518" w:name="_Toc280868655"/>
      <w:bookmarkStart w:id="519" w:name="_Toc267251424"/>
      <w:bookmarkStart w:id="520" w:name="_Toc280868656"/>
      <w:r>
        <w:rPr>
          <w:rFonts w:hint="eastAsia" w:ascii="宋体" w:hAnsi="宋体" w:eastAsia="宋体" w:cs="宋体"/>
          <w:b/>
          <w:bCs/>
          <w:color w:val="auto"/>
          <w:sz w:val="24"/>
          <w:szCs w:val="24"/>
          <w:highlight w:val="none"/>
        </w:rPr>
        <w:t>.4 材料与工程设备的保管与使用</w:t>
      </w:r>
      <w:bookmarkEnd w:id="493"/>
      <w:bookmarkEnd w:id="494"/>
      <w:bookmarkEnd w:id="495"/>
      <w:bookmarkEnd w:id="496"/>
      <w:bookmarkEnd w:id="497"/>
      <w:bookmarkEnd w:id="498"/>
      <w:bookmarkEnd w:id="499"/>
    </w:p>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8</w:t>
      </w:r>
      <w:bookmarkStart w:id="521" w:name="_Toc292559878"/>
      <w:bookmarkStart w:id="522" w:name="_Toc292559373"/>
      <w:bookmarkStart w:id="523" w:name="_Toc312677494"/>
      <w:bookmarkStart w:id="524" w:name="_Toc318581173"/>
      <w:bookmarkStart w:id="525" w:name="_Toc304295557"/>
      <w:bookmarkStart w:id="526" w:name="_Toc297048354"/>
      <w:bookmarkStart w:id="527" w:name="_Toc297120468"/>
      <w:bookmarkStart w:id="528" w:name="_Toc296346669"/>
      <w:bookmarkStart w:id="529" w:name="_Toc297123528"/>
      <w:bookmarkStart w:id="530" w:name="_Toc303539137"/>
      <w:bookmarkStart w:id="531" w:name="_Toc300934980"/>
      <w:bookmarkStart w:id="532" w:name="_Toc296890996"/>
      <w:bookmarkStart w:id="533" w:name="_Toc296503168"/>
      <w:bookmarkStart w:id="534" w:name="_Toc296944507"/>
      <w:bookmarkStart w:id="535" w:name="_Toc297216187"/>
      <w:bookmarkStart w:id="536" w:name="_Toc296347167"/>
      <w:bookmarkStart w:id="537" w:name="_Toc296891208"/>
      <w:bookmarkStart w:id="538" w:name="_Toc312678020"/>
      <w:r>
        <w:rPr>
          <w:rFonts w:hint="eastAsia" w:ascii="宋体" w:hAnsi="宋体" w:eastAsia="宋体" w:cs="宋体"/>
          <w:color w:val="auto"/>
          <w:highlight w:val="none"/>
        </w:rPr>
        <w:t>.4.1发包人供应的材料设备的保管费用的承担：</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bookmarkEnd w:id="521"/>
    <w:bookmarkEnd w:id="522"/>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539" w:name="_Toc373478381"/>
      <w:bookmarkStart w:id="540" w:name="_Toc78449822"/>
      <w:bookmarkStart w:id="541" w:name="_Toc125914831"/>
      <w:bookmarkStart w:id="542" w:name="_Toc407135236"/>
      <w:bookmarkStart w:id="543" w:name="_Toc373227734"/>
      <w:bookmarkStart w:id="544" w:name="_Toc389065300"/>
      <w:bookmarkStart w:id="545" w:name="_Toc1948522881"/>
      <w:r>
        <w:rPr>
          <w:rFonts w:hint="eastAsia" w:ascii="宋体" w:hAnsi="宋体" w:eastAsia="宋体" w:cs="宋体"/>
          <w:b/>
          <w:bCs/>
          <w:color w:val="auto"/>
          <w:sz w:val="24"/>
          <w:szCs w:val="24"/>
          <w:highlight w:val="none"/>
        </w:rPr>
        <w:t>8.6 样品</w:t>
      </w:r>
      <w:bookmarkEnd w:id="539"/>
      <w:bookmarkEnd w:id="540"/>
      <w:bookmarkEnd w:id="541"/>
      <w:bookmarkEnd w:id="542"/>
      <w:bookmarkEnd w:id="543"/>
      <w:bookmarkEnd w:id="544"/>
      <w:bookmarkEnd w:id="545"/>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8.6.1 样品的报送与封存</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kern w:val="0"/>
          <w:highlight w:val="none"/>
        </w:rPr>
        <w:t>需要承包人报送样品的材料或工程设备，样品的种类、名称、规格、数量要求：</w:t>
      </w:r>
      <w:r>
        <w:rPr>
          <w:rFonts w:hint="eastAsia" w:ascii="宋体" w:hAnsi="宋体" w:eastAsia="宋体" w:cs="宋体"/>
          <w:color w:val="auto"/>
          <w:highlight w:val="none"/>
          <w:u w:val="single"/>
        </w:rPr>
        <w:t>主要材料涉及品种、款式、颜色等方面内容的，承包人应提交准备合格的材料样品送发包人选定。</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546" w:name="_Toc407135237"/>
      <w:bookmarkStart w:id="547" w:name="_Toc1049576644"/>
      <w:bookmarkStart w:id="548" w:name="_Toc373478382"/>
      <w:bookmarkStart w:id="549" w:name="_Toc373227735"/>
      <w:bookmarkStart w:id="550" w:name="_Toc997640704"/>
      <w:bookmarkStart w:id="551" w:name="_Toc78449823"/>
      <w:bookmarkStart w:id="552" w:name="_Toc389065301"/>
      <w:r>
        <w:rPr>
          <w:rFonts w:hint="eastAsia" w:ascii="宋体" w:hAnsi="宋体" w:eastAsia="宋体" w:cs="宋体"/>
          <w:b/>
          <w:bCs/>
          <w:color w:val="auto"/>
          <w:sz w:val="24"/>
          <w:szCs w:val="24"/>
          <w:highlight w:val="none"/>
        </w:rPr>
        <w:t>8.8 施工设备和临时设施</w:t>
      </w:r>
      <w:bookmarkEnd w:id="546"/>
      <w:bookmarkEnd w:id="547"/>
      <w:bookmarkEnd w:id="548"/>
      <w:bookmarkEnd w:id="549"/>
      <w:bookmarkEnd w:id="550"/>
      <w:bookmarkEnd w:id="551"/>
      <w:bookmarkEnd w:id="552"/>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8.8.1 承包人提供的施工设备和临时设施</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4。</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关于修建临时设施费用承担的约定：</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8.8.2 发包人提供的施工设备和临时设施</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发包人提供的施工设备和临时设施：</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发包人提供的施工设备和临时设施的运行、维护、拆除、清运费用的承担人：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553" w:name="_Toc389065302"/>
      <w:bookmarkStart w:id="554" w:name="_Toc373227736"/>
      <w:bookmarkStart w:id="555" w:name="_Toc373478383"/>
      <w:bookmarkStart w:id="556" w:name="_Toc2039161841"/>
      <w:bookmarkStart w:id="557" w:name="_Toc78449824"/>
      <w:bookmarkStart w:id="558" w:name="_Toc351203641"/>
      <w:bookmarkStart w:id="559" w:name="_Toc407135238"/>
      <w:bookmarkStart w:id="560" w:name="_Toc2027787496"/>
      <w:r>
        <w:rPr>
          <w:rFonts w:hint="eastAsia" w:ascii="宋体" w:hAnsi="宋体" w:eastAsia="宋体" w:cs="宋体"/>
          <w:b/>
          <w:bCs/>
          <w:color w:val="auto"/>
          <w:sz w:val="24"/>
          <w:szCs w:val="24"/>
          <w:highlight w:val="none"/>
        </w:rPr>
        <w:t>9</w:t>
      </w:r>
      <w:bookmarkEnd w:id="518"/>
      <w:bookmarkEnd w:id="519"/>
      <w:bookmarkEnd w:id="520"/>
      <w:bookmarkStart w:id="561" w:name="_Toc303539139"/>
      <w:bookmarkStart w:id="562" w:name="_Toc300934982"/>
      <w:bookmarkStart w:id="563" w:name="_Toc312678021"/>
      <w:bookmarkStart w:id="564" w:name="_Toc312677495"/>
      <w:bookmarkStart w:id="565" w:name="_Toc297216192"/>
      <w:bookmarkStart w:id="566" w:name="_Toc297123533"/>
      <w:bookmarkStart w:id="567" w:name="_Toc304295559"/>
      <w:bookmarkStart w:id="568" w:name="_Toc292559883"/>
      <w:bookmarkStart w:id="569" w:name="_Toc296891001"/>
      <w:bookmarkStart w:id="570" w:name="_Toc267251427"/>
      <w:bookmarkStart w:id="571" w:name="_Toc296944512"/>
      <w:bookmarkStart w:id="572" w:name="_Toc296346674"/>
      <w:bookmarkStart w:id="573" w:name="_Toc296347172"/>
      <w:bookmarkStart w:id="574" w:name="_Toc297048359"/>
      <w:bookmarkStart w:id="575" w:name="_Toc296503173"/>
      <w:bookmarkStart w:id="576" w:name="_Toc297120473"/>
      <w:bookmarkStart w:id="577" w:name="_Toc267251428"/>
      <w:bookmarkStart w:id="578" w:name="_Toc296891213"/>
      <w:bookmarkStart w:id="579" w:name="_Toc292559378"/>
      <w:r>
        <w:rPr>
          <w:rFonts w:hint="eastAsia" w:ascii="宋体" w:hAnsi="宋体" w:eastAsia="宋体" w:cs="宋体"/>
          <w:b/>
          <w:bCs/>
          <w:color w:val="auto"/>
          <w:sz w:val="24"/>
          <w:szCs w:val="24"/>
          <w:highlight w:val="none"/>
        </w:rPr>
        <w:t>. 试验与检验</w:t>
      </w:r>
      <w:bookmarkEnd w:id="553"/>
      <w:bookmarkEnd w:id="554"/>
      <w:bookmarkEnd w:id="555"/>
      <w:bookmarkEnd w:id="556"/>
      <w:bookmarkEnd w:id="557"/>
      <w:bookmarkEnd w:id="558"/>
      <w:bookmarkEnd w:id="559"/>
      <w:bookmarkEnd w:id="560"/>
    </w:p>
    <w:bookmarkEnd w:id="561"/>
    <w:bookmarkEnd w:id="562"/>
    <w:bookmarkEnd w:id="563"/>
    <w:bookmarkEnd w:id="564"/>
    <w:bookmarkEnd w:id="565"/>
    <w:bookmarkEnd w:id="566"/>
    <w:bookmarkEnd w:id="567"/>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580" w:name="_Toc389065303"/>
      <w:bookmarkStart w:id="581" w:name="_Toc78449825"/>
      <w:bookmarkStart w:id="582" w:name="_Toc407135239"/>
      <w:bookmarkStart w:id="583" w:name="_Toc1307315193"/>
      <w:bookmarkStart w:id="584" w:name="_Toc373227737"/>
      <w:bookmarkStart w:id="585" w:name="_Toc530697003"/>
      <w:bookmarkStart w:id="586" w:name="_Toc373478384"/>
      <w:r>
        <w:rPr>
          <w:rFonts w:hint="eastAsia" w:ascii="宋体" w:hAnsi="宋体" w:eastAsia="宋体" w:cs="宋体"/>
          <w:b/>
          <w:bCs/>
          <w:color w:val="auto"/>
          <w:sz w:val="24"/>
          <w:szCs w:val="24"/>
          <w:highlight w:val="none"/>
        </w:rPr>
        <w:t>9</w:t>
      </w:r>
      <w:bookmarkStart w:id="587" w:name="_Toc312677496"/>
      <w:bookmarkStart w:id="588" w:name="_Toc300934983"/>
      <w:bookmarkStart w:id="589" w:name="_Toc297216193"/>
      <w:bookmarkStart w:id="590" w:name="_Toc303539140"/>
      <w:bookmarkStart w:id="591" w:name="_Toc312678022"/>
      <w:bookmarkStart w:id="592" w:name="_Toc304295560"/>
      <w:bookmarkStart w:id="593" w:name="_Toc297123534"/>
      <w:r>
        <w:rPr>
          <w:rFonts w:hint="eastAsia" w:ascii="宋体" w:hAnsi="宋体" w:eastAsia="宋体" w:cs="宋体"/>
          <w:b/>
          <w:bCs/>
          <w:color w:val="auto"/>
          <w:sz w:val="24"/>
          <w:szCs w:val="24"/>
          <w:highlight w:val="none"/>
        </w:rPr>
        <w:t>.1 试验设备与试验人员</w:t>
      </w:r>
      <w:bookmarkEnd w:id="580"/>
      <w:bookmarkEnd w:id="581"/>
      <w:bookmarkEnd w:id="582"/>
      <w:bookmarkEnd w:id="583"/>
      <w:bookmarkEnd w:id="584"/>
      <w:bookmarkEnd w:id="585"/>
      <w:bookmarkEnd w:id="586"/>
    </w:p>
    <w:bookmarkEnd w:id="587"/>
    <w:bookmarkEnd w:id="588"/>
    <w:bookmarkEnd w:id="589"/>
    <w:bookmarkEnd w:id="590"/>
    <w:bookmarkEnd w:id="591"/>
    <w:bookmarkEnd w:id="592"/>
    <w:bookmarkEnd w:id="593"/>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9</w:t>
      </w:r>
      <w:bookmarkStart w:id="594" w:name="_Toc297123535"/>
      <w:bookmarkStart w:id="595" w:name="_Toc312678023"/>
      <w:bookmarkStart w:id="596" w:name="_Toc304295561"/>
      <w:bookmarkStart w:id="597" w:name="_Toc312677497"/>
      <w:bookmarkStart w:id="598" w:name="_Toc303539141"/>
      <w:bookmarkStart w:id="599" w:name="_Toc297216194"/>
      <w:bookmarkStart w:id="600" w:name="_Toc300934984"/>
      <w:bookmarkStart w:id="601" w:name="_Toc318581174"/>
      <w:r>
        <w:rPr>
          <w:rFonts w:hint="eastAsia" w:ascii="宋体" w:hAnsi="宋体" w:eastAsia="宋体" w:cs="宋体"/>
          <w:color w:val="auto"/>
          <w:highlight w:val="none"/>
        </w:rPr>
        <w:t>.1.2 试验设备</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施工现场需要配置的试验场所：</w:t>
      </w:r>
      <w:bookmarkEnd w:id="594"/>
      <w:bookmarkEnd w:id="595"/>
      <w:bookmarkEnd w:id="596"/>
      <w:bookmarkEnd w:id="597"/>
      <w:bookmarkEnd w:id="598"/>
      <w:bookmarkEnd w:id="599"/>
      <w:bookmarkEnd w:id="600"/>
      <w:bookmarkStart w:id="602" w:name="_Toc297216195"/>
      <w:bookmarkStart w:id="603" w:name="_Toc303539142"/>
      <w:bookmarkStart w:id="604" w:name="_Toc312677498"/>
      <w:bookmarkStart w:id="605" w:name="_Toc304295562"/>
      <w:bookmarkStart w:id="606" w:name="_Toc297123536"/>
      <w:bookmarkStart w:id="607" w:name="_Toc300934985"/>
      <w:bookmarkStart w:id="608" w:name="_Toc312678024"/>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施工现场需要配备的试验设备：</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施工现场需要具备的其他试验条件：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609" w:name="_Toc78449826"/>
      <w:bookmarkStart w:id="610" w:name="_Toc407135240"/>
      <w:bookmarkStart w:id="611" w:name="_Toc373478385"/>
      <w:bookmarkStart w:id="612" w:name="_Toc389065304"/>
      <w:bookmarkStart w:id="613" w:name="_Toc373227738"/>
      <w:bookmarkStart w:id="614" w:name="_Toc492347879"/>
      <w:bookmarkStart w:id="615" w:name="_Toc2012255079"/>
      <w:r>
        <w:rPr>
          <w:rFonts w:hint="eastAsia" w:ascii="宋体" w:hAnsi="宋体" w:eastAsia="宋体" w:cs="宋体"/>
          <w:b/>
          <w:bCs/>
          <w:color w:val="auto"/>
          <w:sz w:val="24"/>
          <w:szCs w:val="24"/>
          <w:highlight w:val="none"/>
        </w:rPr>
        <w:t>9.4 现场工艺试验</w:t>
      </w:r>
      <w:bookmarkEnd w:id="609"/>
      <w:bookmarkEnd w:id="610"/>
      <w:bookmarkEnd w:id="611"/>
      <w:bookmarkEnd w:id="612"/>
      <w:bookmarkEnd w:id="613"/>
      <w:bookmarkEnd w:id="614"/>
      <w:bookmarkEnd w:id="615"/>
      <w:r>
        <w:rPr>
          <w:rFonts w:hint="eastAsia" w:ascii="宋体" w:hAnsi="宋体" w:eastAsia="宋体" w:cs="宋体"/>
          <w:b/>
          <w:bCs/>
          <w:color w:val="auto"/>
          <w:sz w:val="24"/>
          <w:szCs w:val="24"/>
          <w:highlight w:val="none"/>
        </w:rPr>
        <w:t xml:space="preserve"> </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现场工艺试验的有关约定：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616" w:name="_Toc407135241"/>
      <w:bookmarkStart w:id="617" w:name="_Toc393419678"/>
      <w:bookmarkStart w:id="618" w:name="_Toc78449827"/>
      <w:bookmarkStart w:id="619" w:name="_Toc1539824686"/>
      <w:bookmarkStart w:id="620" w:name="OLE_LINK1"/>
      <w:r>
        <w:rPr>
          <w:rFonts w:hint="eastAsia" w:ascii="宋体" w:hAnsi="宋体" w:eastAsia="宋体" w:cs="宋体"/>
          <w:b/>
          <w:bCs/>
          <w:color w:val="auto"/>
          <w:sz w:val="24"/>
          <w:szCs w:val="24"/>
          <w:highlight w:val="none"/>
        </w:rPr>
        <w:t>9.5 检验费用</w:t>
      </w:r>
      <w:bookmarkEnd w:id="616"/>
      <w:bookmarkEnd w:id="617"/>
      <w:bookmarkEnd w:id="618"/>
      <w:bookmarkEnd w:id="619"/>
    </w:p>
    <w:p>
      <w:pPr>
        <w:keepNext w:val="0"/>
        <w:keepLines w:val="0"/>
        <w:pageBreakBefore w:val="0"/>
        <w:widowControl w:val="0"/>
        <w:kinsoku/>
        <w:wordWrap/>
        <w:overflowPunct/>
        <w:topLinePunct w:val="0"/>
        <w:bidi w:val="0"/>
        <w:snapToGrid/>
        <w:spacing w:line="360" w:lineRule="auto"/>
        <w:ind w:firstLine="411" w:firstLineChars="196"/>
        <w:textAlignment w:val="auto"/>
        <w:rPr>
          <w:rFonts w:hint="eastAsia" w:ascii="宋体" w:hAnsi="宋体" w:eastAsia="宋体" w:cs="宋体"/>
          <w:color w:val="auto"/>
          <w:highlight w:val="none"/>
        </w:rPr>
      </w:pPr>
      <w:r>
        <w:rPr>
          <w:rFonts w:hint="eastAsia" w:ascii="宋体" w:hAnsi="宋体" w:eastAsia="宋体" w:cs="宋体"/>
          <w:color w:val="auto"/>
          <w:highlight w:val="none"/>
        </w:rPr>
        <w:t>根据《建设工程质量检测管理办法》（建设部令第141号）以及《广西壮族自治区建设工程质量检测管理规定》（桂建管〔2013〕11号）规定，工程质量检测业务由发包人委托有相应资质的检测机构检测。费用从发包人的项目建设经费中支出并直接支付给检测机构，不计入合同价款内。</w:t>
      </w:r>
    </w:p>
    <w:bookmarkEnd w:id="601"/>
    <w:bookmarkEnd w:id="602"/>
    <w:bookmarkEnd w:id="603"/>
    <w:bookmarkEnd w:id="604"/>
    <w:bookmarkEnd w:id="605"/>
    <w:bookmarkEnd w:id="606"/>
    <w:bookmarkEnd w:id="607"/>
    <w:bookmarkEnd w:id="608"/>
    <w:bookmarkEnd w:id="620"/>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621" w:name="_Toc78449828"/>
      <w:bookmarkStart w:id="622" w:name="_Toc1278407274"/>
      <w:bookmarkStart w:id="623" w:name="_Toc373227739"/>
      <w:bookmarkStart w:id="624" w:name="_Toc351203642"/>
      <w:bookmarkStart w:id="625" w:name="_Toc407135242"/>
      <w:bookmarkStart w:id="626" w:name="_Toc603662032"/>
      <w:bookmarkStart w:id="627" w:name="_Toc389065305"/>
      <w:bookmarkStart w:id="628" w:name="_Toc373478386"/>
      <w:r>
        <w:rPr>
          <w:rFonts w:hint="eastAsia" w:ascii="宋体" w:hAnsi="宋体" w:eastAsia="宋体" w:cs="宋体"/>
          <w:b/>
          <w:bCs/>
          <w:color w:val="auto"/>
          <w:sz w:val="24"/>
          <w:szCs w:val="24"/>
          <w:highlight w:val="none"/>
        </w:rPr>
        <w:t>1</w:t>
      </w:r>
      <w:bookmarkEnd w:id="568"/>
      <w:bookmarkEnd w:id="569"/>
      <w:bookmarkEnd w:id="570"/>
      <w:bookmarkEnd w:id="571"/>
      <w:bookmarkEnd w:id="572"/>
      <w:bookmarkEnd w:id="573"/>
      <w:bookmarkEnd w:id="574"/>
      <w:bookmarkEnd w:id="575"/>
      <w:bookmarkEnd w:id="576"/>
      <w:bookmarkEnd w:id="577"/>
      <w:bookmarkEnd w:id="578"/>
      <w:bookmarkEnd w:id="579"/>
      <w:bookmarkStart w:id="629" w:name="_Toc296944532"/>
      <w:bookmarkStart w:id="630" w:name="_Toc300934989"/>
      <w:bookmarkStart w:id="631" w:name="_Toc296347192"/>
      <w:bookmarkStart w:id="632" w:name="_Toc292559398"/>
      <w:bookmarkStart w:id="633" w:name="_Toc297123540"/>
      <w:bookmarkStart w:id="634" w:name="_Toc296346694"/>
      <w:bookmarkStart w:id="635" w:name="_Toc297216199"/>
      <w:bookmarkStart w:id="636" w:name="_Toc296891233"/>
      <w:bookmarkStart w:id="637" w:name="_Toc297048379"/>
      <w:bookmarkStart w:id="638" w:name="_Toc304295566"/>
      <w:bookmarkStart w:id="639" w:name="_Toc292559903"/>
      <w:bookmarkStart w:id="640" w:name="_Toc297120493"/>
      <w:bookmarkStart w:id="641" w:name="_Toc296503193"/>
      <w:bookmarkStart w:id="642" w:name="_Toc296891021"/>
      <w:bookmarkStart w:id="643" w:name="_Toc303539146"/>
      <w:bookmarkStart w:id="644" w:name="_Toc312677499"/>
      <w:bookmarkStart w:id="645" w:name="_Toc312678025"/>
      <w:bookmarkStart w:id="646" w:name="_Toc267251437"/>
      <w:bookmarkStart w:id="647" w:name="_Toc267251440"/>
      <w:bookmarkStart w:id="648" w:name="_Toc267251439"/>
      <w:bookmarkStart w:id="649" w:name="_Toc267251435"/>
      <w:bookmarkStart w:id="650" w:name="_Toc267251433"/>
      <w:bookmarkStart w:id="651" w:name="_Toc267251441"/>
      <w:bookmarkStart w:id="652" w:name="_Toc267251442"/>
      <w:r>
        <w:rPr>
          <w:rFonts w:hint="eastAsia" w:ascii="宋体" w:hAnsi="宋体" w:eastAsia="宋体" w:cs="宋体"/>
          <w:b/>
          <w:bCs/>
          <w:color w:val="auto"/>
          <w:sz w:val="24"/>
          <w:szCs w:val="24"/>
          <w:highlight w:val="none"/>
        </w:rPr>
        <w:t>0. 变更</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bookmarkEnd w:id="644"/>
    <w:bookmarkEnd w:id="645"/>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653" w:name="_Toc407135243"/>
      <w:bookmarkStart w:id="654" w:name="_Toc373227740"/>
      <w:bookmarkStart w:id="655" w:name="_Toc373478387"/>
      <w:bookmarkStart w:id="656" w:name="_Toc1890371558"/>
      <w:bookmarkStart w:id="657" w:name="_Toc78449829"/>
      <w:bookmarkStart w:id="658" w:name="_Toc389065306"/>
      <w:bookmarkStart w:id="659" w:name="_Toc411143415"/>
      <w:r>
        <w:rPr>
          <w:rFonts w:hint="eastAsia" w:ascii="宋体" w:hAnsi="宋体" w:eastAsia="宋体" w:cs="宋体"/>
          <w:b/>
          <w:bCs/>
          <w:color w:val="auto"/>
          <w:sz w:val="24"/>
          <w:szCs w:val="24"/>
          <w:highlight w:val="none"/>
        </w:rPr>
        <w:t>1</w:t>
      </w:r>
      <w:bookmarkStart w:id="660" w:name="_Toc296944533"/>
      <w:bookmarkStart w:id="661" w:name="_Toc303539147"/>
      <w:bookmarkStart w:id="662" w:name="_Toc297120494"/>
      <w:bookmarkStart w:id="663" w:name="_Toc296891234"/>
      <w:bookmarkStart w:id="664" w:name="_Toc297048380"/>
      <w:bookmarkStart w:id="665" w:name="_Toc292559904"/>
      <w:bookmarkStart w:id="666" w:name="_Toc312678026"/>
      <w:bookmarkStart w:id="667" w:name="_Toc296346695"/>
      <w:bookmarkStart w:id="668" w:name="_Toc304295567"/>
      <w:bookmarkStart w:id="669" w:name="_Toc297123541"/>
      <w:bookmarkStart w:id="670" w:name="_Toc292559399"/>
      <w:bookmarkStart w:id="671" w:name="_Toc312677500"/>
      <w:bookmarkStart w:id="672" w:name="_Toc300934990"/>
      <w:bookmarkStart w:id="673" w:name="_Toc296503194"/>
      <w:bookmarkStart w:id="674" w:name="_Toc296347193"/>
      <w:bookmarkStart w:id="675" w:name="_Toc297216200"/>
      <w:bookmarkStart w:id="676" w:name="_Toc296891022"/>
      <w:r>
        <w:rPr>
          <w:rFonts w:hint="eastAsia" w:ascii="宋体" w:hAnsi="宋体" w:eastAsia="宋体" w:cs="宋体"/>
          <w:b/>
          <w:bCs/>
          <w:color w:val="auto"/>
          <w:sz w:val="24"/>
          <w:szCs w:val="24"/>
          <w:highlight w:val="none"/>
        </w:rPr>
        <w:t>0.1 变更的范围</w:t>
      </w:r>
      <w:bookmarkEnd w:id="653"/>
      <w:bookmarkEnd w:id="654"/>
      <w:bookmarkEnd w:id="655"/>
      <w:bookmarkEnd w:id="656"/>
      <w:bookmarkEnd w:id="657"/>
      <w:bookmarkEnd w:id="658"/>
      <w:bookmarkEnd w:id="659"/>
    </w:p>
    <w:p>
      <w:pPr>
        <w:keepNext w:val="0"/>
        <w:keepLines w:val="0"/>
        <w:pageBreakBefore w:val="0"/>
        <w:widowControl w:val="0"/>
        <w:kinsoku/>
        <w:wordWrap/>
        <w:overflowPunct/>
        <w:topLinePunct w:val="0"/>
        <w:bidi w:val="0"/>
        <w:snapToGrid/>
        <w:spacing w:line="360" w:lineRule="auto"/>
        <w:ind w:firstLine="426"/>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关于变更的范围的约定：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677" w:name="_Toc373478388"/>
      <w:bookmarkStart w:id="678" w:name="_Toc389065307"/>
      <w:bookmarkStart w:id="679" w:name="_Toc78449830"/>
      <w:bookmarkStart w:id="680" w:name="_Toc373227741"/>
      <w:bookmarkStart w:id="681" w:name="_Toc1641633295"/>
      <w:bookmarkStart w:id="682" w:name="_Toc450749207"/>
      <w:bookmarkStart w:id="683" w:name="_Toc407135244"/>
      <w:r>
        <w:rPr>
          <w:rFonts w:hint="eastAsia" w:ascii="宋体" w:hAnsi="宋体" w:eastAsia="宋体" w:cs="宋体"/>
          <w:b/>
          <w:bCs/>
          <w:color w:val="auto"/>
          <w:sz w:val="24"/>
          <w:szCs w:val="24"/>
          <w:highlight w:val="none"/>
        </w:rPr>
        <w:t>10.3 变更程序</w:t>
      </w:r>
      <w:bookmarkEnd w:id="677"/>
      <w:bookmarkEnd w:id="678"/>
      <w:bookmarkEnd w:id="679"/>
      <w:bookmarkEnd w:id="680"/>
      <w:bookmarkEnd w:id="681"/>
      <w:bookmarkEnd w:id="682"/>
      <w:bookmarkEnd w:id="683"/>
    </w:p>
    <w:p>
      <w:pPr>
        <w:pStyle w:val="25"/>
        <w:keepNext w:val="0"/>
        <w:keepLines w:val="0"/>
        <w:pageBreakBefore w:val="0"/>
        <w:widowControl w:val="0"/>
        <w:kinsoku/>
        <w:wordWrap/>
        <w:overflowPunct/>
        <w:topLinePunct w:val="0"/>
        <w:bidi w:val="0"/>
        <w:snapToGrid/>
        <w:spacing w:line="360" w:lineRule="auto"/>
        <w:ind w:firstLine="441" w:firstLineChars="21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10.3.1国有投资项目：</w:t>
      </w:r>
    </w:p>
    <w:p>
      <w:pPr>
        <w:pStyle w:val="25"/>
        <w:keepNext w:val="0"/>
        <w:keepLines w:val="0"/>
        <w:pageBreakBefore w:val="0"/>
        <w:widowControl w:val="0"/>
        <w:kinsoku/>
        <w:wordWrap/>
        <w:overflowPunct/>
        <w:topLinePunct w:val="0"/>
        <w:bidi w:val="0"/>
        <w:snapToGrid/>
        <w:spacing w:line="360" w:lineRule="auto"/>
        <w:ind w:firstLine="441" w:firstLineChars="21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⑴设计变更和工程签证，按各市政府或相关部门的规定办理。属不可抗力（自然灾害、突发事件等）造成变更的，按特事特办原则予以办理。</w:t>
      </w:r>
    </w:p>
    <w:p>
      <w:pPr>
        <w:pStyle w:val="25"/>
        <w:keepNext w:val="0"/>
        <w:keepLines w:val="0"/>
        <w:pageBreakBefore w:val="0"/>
        <w:widowControl w:val="0"/>
        <w:kinsoku/>
        <w:wordWrap/>
        <w:overflowPunct/>
        <w:topLinePunct w:val="0"/>
        <w:bidi w:val="0"/>
        <w:snapToGrid/>
        <w:spacing w:line="360" w:lineRule="auto"/>
        <w:ind w:firstLine="441" w:firstLineChars="21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⑵建设单位在实施项目过程中，若发生单价变动，由发包人、承包人、监理或造价咨询等单位共同商定并签字确认。</w:t>
      </w:r>
    </w:p>
    <w:p>
      <w:pPr>
        <w:pStyle w:val="25"/>
        <w:keepNext w:val="0"/>
        <w:keepLines w:val="0"/>
        <w:pageBreakBefore w:val="0"/>
        <w:widowControl w:val="0"/>
        <w:kinsoku/>
        <w:wordWrap/>
        <w:overflowPunct/>
        <w:topLinePunct w:val="0"/>
        <w:bidi w:val="0"/>
        <w:snapToGrid/>
        <w:spacing w:line="360" w:lineRule="auto"/>
        <w:ind w:firstLine="441" w:firstLineChars="21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10.3.2 非国有投资项目：</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684" w:name="_Toc373227742"/>
      <w:bookmarkStart w:id="685" w:name="_Toc389065308"/>
      <w:bookmarkStart w:id="686" w:name="_Toc780640360"/>
      <w:bookmarkStart w:id="687" w:name="_Toc78449831"/>
      <w:bookmarkStart w:id="688" w:name="_Toc1645711468"/>
      <w:bookmarkStart w:id="689" w:name="_Toc373478389"/>
      <w:bookmarkStart w:id="690" w:name="_Toc407135245"/>
      <w:r>
        <w:rPr>
          <w:rFonts w:hint="eastAsia" w:ascii="宋体" w:hAnsi="宋体" w:eastAsia="宋体" w:cs="宋体"/>
          <w:b/>
          <w:bCs/>
          <w:color w:val="auto"/>
          <w:sz w:val="24"/>
          <w:szCs w:val="24"/>
          <w:highlight w:val="none"/>
        </w:rPr>
        <w:t>10.4 变更估价</w:t>
      </w:r>
      <w:bookmarkEnd w:id="684"/>
      <w:bookmarkEnd w:id="685"/>
      <w:bookmarkEnd w:id="686"/>
      <w:bookmarkEnd w:id="687"/>
      <w:bookmarkEnd w:id="688"/>
      <w:bookmarkEnd w:id="689"/>
      <w:bookmarkEnd w:id="690"/>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10.4.1 变更估价原则</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关于变更估价的约定: </w:t>
      </w:r>
      <w:bookmarkStart w:id="691" w:name="_Toc251051742"/>
      <w:r>
        <w:rPr>
          <w:rFonts w:hint="eastAsia" w:ascii="宋体" w:hAnsi="宋体" w:eastAsia="宋体" w:cs="宋体"/>
          <w:color w:val="auto"/>
          <w:highlight w:val="none"/>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hint="eastAsia" w:ascii="宋体" w:hAnsi="宋体" w:eastAsia="宋体" w:cs="宋体"/>
          <w:b/>
          <w:bCs/>
          <w:color w:val="auto"/>
          <w:highlight w:val="none"/>
        </w:rPr>
        <w:t>□</w:t>
      </w:r>
      <w:r>
        <w:rPr>
          <w:rFonts w:hint="eastAsia" w:ascii="宋体" w:hAnsi="宋体" w:eastAsia="宋体" w:cs="宋体"/>
          <w:color w:val="auto"/>
          <w:highlight w:val="none"/>
          <w:u w:val="single"/>
        </w:rPr>
        <w:t>乘以下浮系数    %，</w:t>
      </w:r>
      <w:r>
        <w:rPr>
          <w:rFonts w:hint="eastAsia" w:ascii="宋体" w:hAnsi="宋体" w:eastAsia="宋体" w:cs="宋体"/>
          <w:b/>
          <w:bCs/>
          <w:color w:val="auto"/>
          <w:highlight w:val="none"/>
          <w:lang w:eastAsia="zh-CN"/>
        </w:rPr>
        <w:t>☑</w:t>
      </w:r>
      <w:r>
        <w:rPr>
          <w:rFonts w:hint="eastAsia" w:ascii="宋体" w:hAnsi="宋体" w:eastAsia="宋体" w:cs="宋体"/>
          <w:color w:val="auto"/>
          <w:highlight w:val="none"/>
          <w:u w:val="single"/>
        </w:rPr>
        <w:t>不乘下浮系数）计算，其中：材料设备价格按施工期间的《    市建设工程造价信息》相应信息价的加权平均值计算，《    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691"/>
      <w:r>
        <w:rPr>
          <w:rFonts w:hint="eastAsia" w:ascii="宋体" w:hAnsi="宋体" w:eastAsia="宋体" w:cs="宋体"/>
          <w:color w:val="auto"/>
          <w:highlight w:val="none"/>
        </w:rPr>
        <w:t>。以上约定同时适用于招标工程量清单缺项以及工程量清单项目特征与图纸不符时的价款确定。</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工程变更导致实际完成的变更工程量与已标价清单或预算书中列明的该项目工程量有偏差时，其综合单价的确定按专用条款“1.13工程量清单错误的修正”执行。</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692" w:name="_Toc650800266"/>
      <w:bookmarkStart w:id="693" w:name="_Toc373227743"/>
      <w:bookmarkStart w:id="694" w:name="_Toc407135246"/>
      <w:bookmarkStart w:id="695" w:name="_Toc78449832"/>
      <w:bookmarkStart w:id="696" w:name="_Toc1342657745"/>
      <w:bookmarkStart w:id="697" w:name="_Toc389065309"/>
      <w:bookmarkStart w:id="698" w:name="_Toc373478390"/>
      <w:r>
        <w:rPr>
          <w:rFonts w:hint="eastAsia" w:ascii="宋体" w:hAnsi="宋体" w:eastAsia="宋体" w:cs="宋体"/>
          <w:b/>
          <w:bCs/>
          <w:color w:val="auto"/>
          <w:sz w:val="24"/>
          <w:szCs w:val="24"/>
          <w:highlight w:val="none"/>
        </w:rPr>
        <w:t>1</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Start w:id="699" w:name="_Toc297048383"/>
      <w:bookmarkStart w:id="700" w:name="_Toc296503197"/>
      <w:bookmarkStart w:id="701" w:name="_Toc292559907"/>
      <w:bookmarkStart w:id="702" w:name="_Toc303539150"/>
      <w:bookmarkStart w:id="703" w:name="_Toc296891237"/>
      <w:bookmarkStart w:id="704" w:name="_Toc296346698"/>
      <w:bookmarkStart w:id="705" w:name="_Toc292559402"/>
      <w:bookmarkStart w:id="706" w:name="_Toc297120497"/>
      <w:bookmarkStart w:id="707" w:name="_Toc296944536"/>
      <w:bookmarkStart w:id="708" w:name="_Toc297216203"/>
      <w:bookmarkStart w:id="709" w:name="_Toc296347196"/>
      <w:bookmarkStart w:id="710" w:name="_Toc300934993"/>
      <w:bookmarkStart w:id="711" w:name="_Toc296891025"/>
      <w:bookmarkStart w:id="712" w:name="_Toc297123544"/>
      <w:bookmarkStart w:id="713" w:name="_Toc304295570"/>
      <w:bookmarkStart w:id="714" w:name="_Toc312677503"/>
      <w:bookmarkStart w:id="715" w:name="_Toc312678029"/>
      <w:r>
        <w:rPr>
          <w:rFonts w:hint="eastAsia" w:ascii="宋体" w:hAnsi="宋体" w:eastAsia="宋体" w:cs="宋体"/>
          <w:b/>
          <w:bCs/>
          <w:color w:val="auto"/>
          <w:sz w:val="24"/>
          <w:szCs w:val="24"/>
          <w:highlight w:val="none"/>
        </w:rPr>
        <w:t>0.5 承</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Start w:id="716" w:name="_Toc296891243"/>
      <w:bookmarkStart w:id="717" w:name="_Toc296347202"/>
      <w:bookmarkStart w:id="718" w:name="_Toc292559913"/>
      <w:bookmarkStart w:id="719" w:name="_Toc297216204"/>
      <w:bookmarkStart w:id="720" w:name="_Toc300934994"/>
      <w:bookmarkStart w:id="721" w:name="_Toc296346704"/>
      <w:bookmarkStart w:id="722" w:name="_Toc297120503"/>
      <w:bookmarkStart w:id="723" w:name="_Toc296944542"/>
      <w:bookmarkStart w:id="724" w:name="_Toc296891031"/>
      <w:bookmarkStart w:id="725" w:name="_Toc296503203"/>
      <w:bookmarkStart w:id="726" w:name="_Toc303539151"/>
      <w:bookmarkStart w:id="727" w:name="_Toc292559408"/>
      <w:bookmarkStart w:id="728" w:name="_Toc297123545"/>
      <w:bookmarkStart w:id="729" w:name="_Toc297048389"/>
      <w:r>
        <w:rPr>
          <w:rFonts w:hint="eastAsia" w:ascii="宋体" w:hAnsi="宋体" w:eastAsia="宋体" w:cs="宋体"/>
          <w:b/>
          <w:bCs/>
          <w:color w:val="auto"/>
          <w:sz w:val="24"/>
          <w:szCs w:val="24"/>
          <w:highlight w:val="none"/>
        </w:rPr>
        <w:t>包人的合理化建议</w:t>
      </w:r>
      <w:bookmarkEnd w:id="692"/>
      <w:bookmarkEnd w:id="693"/>
      <w:bookmarkEnd w:id="694"/>
      <w:bookmarkEnd w:id="695"/>
      <w:bookmarkEnd w:id="696"/>
      <w:bookmarkEnd w:id="697"/>
      <w:bookmarkEnd w:id="698"/>
    </w:p>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监理人审查承包人合理化建议的期限：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发包人审批承包人合理化建议的期限：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承</w:t>
      </w:r>
      <w:bookmarkStart w:id="730" w:name="_Toc304295571"/>
      <w:bookmarkStart w:id="731" w:name="_Toc292559409"/>
      <w:bookmarkStart w:id="732" w:name="_Toc296891244"/>
      <w:bookmarkStart w:id="733" w:name="_Toc303539152"/>
      <w:bookmarkStart w:id="734" w:name="_Toc318581175"/>
      <w:bookmarkStart w:id="735" w:name="_Toc297123546"/>
      <w:bookmarkStart w:id="736" w:name="_Toc297048390"/>
      <w:bookmarkStart w:id="737" w:name="_Toc296891032"/>
      <w:bookmarkStart w:id="738" w:name="_Toc297216205"/>
      <w:bookmarkStart w:id="739" w:name="_Toc300934995"/>
      <w:bookmarkStart w:id="740" w:name="_Toc312678030"/>
      <w:bookmarkStart w:id="741" w:name="_Toc292559914"/>
      <w:bookmarkStart w:id="742" w:name="_Toc296347203"/>
      <w:bookmarkStart w:id="743" w:name="_Toc312677504"/>
      <w:bookmarkStart w:id="744" w:name="_Toc296944543"/>
      <w:bookmarkStart w:id="745" w:name="_Toc296503204"/>
      <w:bookmarkStart w:id="746" w:name="_Toc297120504"/>
      <w:bookmarkStart w:id="747" w:name="_Toc296346705"/>
      <w:r>
        <w:rPr>
          <w:rFonts w:hint="eastAsia" w:ascii="宋体" w:hAnsi="宋体" w:eastAsia="宋体" w:cs="宋体"/>
          <w:color w:val="auto"/>
          <w:highlight w:val="none"/>
        </w:rPr>
        <w:t>包人提出的合理化建议降低了合同价格或者提高了工程经济效益的奖励的方法和金额为：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748" w:name="_Toc2045792355"/>
      <w:bookmarkStart w:id="749" w:name="_Toc78449833"/>
      <w:bookmarkStart w:id="750" w:name="_Toc389065310"/>
      <w:bookmarkStart w:id="751" w:name="_Toc373478391"/>
      <w:bookmarkStart w:id="752" w:name="_Toc373227744"/>
      <w:bookmarkStart w:id="753" w:name="_Toc502454636"/>
      <w:bookmarkStart w:id="754" w:name="_Toc407135247"/>
      <w:r>
        <w:rPr>
          <w:rFonts w:hint="eastAsia" w:ascii="宋体" w:hAnsi="宋体" w:eastAsia="宋体" w:cs="宋体"/>
          <w:b/>
          <w:bCs/>
          <w:color w:val="auto"/>
          <w:sz w:val="24"/>
          <w:szCs w:val="24"/>
          <w:highlight w:val="none"/>
        </w:rPr>
        <w:t>1</w:t>
      </w:r>
      <w:bookmarkStart w:id="755" w:name="_Toc292559404"/>
      <w:bookmarkStart w:id="756" w:name="_Toc296891027"/>
      <w:bookmarkStart w:id="757" w:name="_Toc312678033"/>
      <w:bookmarkStart w:id="758" w:name="_Toc297120499"/>
      <w:bookmarkStart w:id="759" w:name="_Toc296944538"/>
      <w:bookmarkStart w:id="760" w:name="_Toc303539154"/>
      <w:bookmarkStart w:id="761" w:name="_Toc297048385"/>
      <w:bookmarkStart w:id="762" w:name="_Toc292559909"/>
      <w:bookmarkStart w:id="763" w:name="_Toc296346700"/>
      <w:bookmarkStart w:id="764" w:name="_Toc312677507"/>
      <w:bookmarkStart w:id="765" w:name="_Toc297123548"/>
      <w:bookmarkStart w:id="766" w:name="_Toc300934997"/>
      <w:bookmarkStart w:id="767" w:name="_Toc296891239"/>
      <w:bookmarkStart w:id="768" w:name="_Toc304295574"/>
      <w:bookmarkStart w:id="769" w:name="_Toc296503199"/>
      <w:bookmarkStart w:id="770" w:name="_Toc297216207"/>
      <w:bookmarkStart w:id="771" w:name="_Toc296347198"/>
      <w:r>
        <w:rPr>
          <w:rFonts w:hint="eastAsia" w:ascii="宋体" w:hAnsi="宋体" w:eastAsia="宋体" w:cs="宋体"/>
          <w:b/>
          <w:bCs/>
          <w:color w:val="auto"/>
          <w:sz w:val="24"/>
          <w:szCs w:val="24"/>
          <w:highlight w:val="none"/>
        </w:rPr>
        <w:t>0.7 暂估价</w:t>
      </w:r>
      <w:bookmarkEnd w:id="748"/>
      <w:bookmarkEnd w:id="749"/>
      <w:bookmarkEnd w:id="750"/>
      <w:bookmarkEnd w:id="751"/>
      <w:bookmarkEnd w:id="752"/>
      <w:bookmarkEnd w:id="753"/>
      <w:bookmarkEnd w:id="754"/>
    </w:p>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kern w:val="0"/>
          <w:highlight w:val="none"/>
        </w:rPr>
        <w:t>暂</w:t>
      </w:r>
      <w:bookmarkStart w:id="772" w:name="_Toc312678034"/>
      <w:bookmarkStart w:id="773" w:name="_Toc312677508"/>
      <w:bookmarkStart w:id="774" w:name="_Toc318581176"/>
      <w:r>
        <w:rPr>
          <w:rFonts w:hint="eastAsia" w:ascii="宋体" w:hAnsi="宋体" w:eastAsia="宋体" w:cs="宋体"/>
          <w:color w:val="auto"/>
          <w:kern w:val="0"/>
          <w:highlight w:val="none"/>
        </w:rPr>
        <w:t>估价材料和工程设备的明细详见已标价工程量清单《</w:t>
      </w:r>
      <w:r>
        <w:rPr>
          <w:rFonts w:hint="eastAsia" w:ascii="宋体" w:hAnsi="宋体" w:eastAsia="宋体" w:cs="宋体"/>
          <w:color w:val="auto"/>
          <w:highlight w:val="none"/>
        </w:rPr>
        <w:t>材料（工程设备）暂估价格及调整表》</w:t>
      </w:r>
      <w:r>
        <w:rPr>
          <w:rFonts w:hint="eastAsia" w:ascii="宋体" w:hAnsi="宋体" w:eastAsia="宋体" w:cs="宋体"/>
          <w:color w:val="auto"/>
          <w:kern w:val="0"/>
          <w:highlight w:val="none"/>
        </w:rPr>
        <w:t>（表12-2）和《</w:t>
      </w:r>
      <w:r>
        <w:rPr>
          <w:rFonts w:hint="eastAsia" w:ascii="宋体" w:hAnsi="宋体" w:eastAsia="宋体" w:cs="宋体"/>
          <w:color w:val="auto"/>
          <w:highlight w:val="none"/>
        </w:rPr>
        <w:t>专业工程暂估价表》（</w:t>
      </w:r>
      <w:r>
        <w:rPr>
          <w:rFonts w:hint="eastAsia" w:ascii="宋体" w:hAnsi="宋体" w:eastAsia="宋体" w:cs="宋体"/>
          <w:color w:val="auto"/>
          <w:kern w:val="0"/>
          <w:highlight w:val="none"/>
        </w:rPr>
        <w:t>表12-3）。</w:t>
      </w:r>
    </w:p>
    <w:bookmarkEnd w:id="772"/>
    <w:bookmarkEnd w:id="773"/>
    <w:bookmarkEnd w:id="774"/>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bookmarkStart w:id="775" w:name="_Toc312678035"/>
      <w:bookmarkStart w:id="776" w:name="_Toc318581177"/>
      <w:bookmarkStart w:id="777" w:name="_Toc312677509"/>
      <w:r>
        <w:rPr>
          <w:rFonts w:hint="eastAsia" w:ascii="宋体" w:hAnsi="宋体" w:eastAsia="宋体" w:cs="宋体"/>
          <w:color w:val="auto"/>
          <w:highlight w:val="none"/>
        </w:rPr>
        <w:t>0.7.1 依法必须招标的暂估价项目</w:t>
      </w:r>
    </w:p>
    <w:bookmarkEnd w:id="775"/>
    <w:bookmarkEnd w:id="776"/>
    <w:bookmarkEnd w:id="777"/>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对于依法必须招标的暂估价项目的确认和批准采取第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种方式确定。</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10.7.2 不属于依法必须招标的暂估价项目</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对于不属于依法必须招标的暂估价项目的确认和批准采取第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种方式确定。</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highlight w:val="none"/>
        </w:rPr>
        <w:t>第3种方式：</w:t>
      </w:r>
      <w:r>
        <w:rPr>
          <w:rFonts w:hint="eastAsia" w:ascii="宋体" w:hAnsi="宋体" w:eastAsia="宋体" w:cs="宋体"/>
          <w:color w:val="auto"/>
          <w:kern w:val="0"/>
          <w:highlight w:val="none"/>
        </w:rPr>
        <w:t>承包人直接实施的暂估价项目</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承包人直接实施的暂估价项目的约定：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778" w:name="_Toc373478392"/>
      <w:bookmarkStart w:id="779" w:name="_Toc389065311"/>
      <w:bookmarkStart w:id="780" w:name="_Toc2032108729"/>
      <w:bookmarkStart w:id="781" w:name="_Toc373227745"/>
      <w:bookmarkStart w:id="782" w:name="_Toc2131098822"/>
      <w:bookmarkStart w:id="783" w:name="_Toc78449834"/>
      <w:bookmarkStart w:id="784" w:name="_Toc407135248"/>
      <w:r>
        <w:rPr>
          <w:rFonts w:hint="eastAsia" w:ascii="宋体" w:hAnsi="宋体" w:eastAsia="宋体" w:cs="宋体"/>
          <w:b/>
          <w:bCs/>
          <w:color w:val="auto"/>
          <w:sz w:val="24"/>
          <w:szCs w:val="24"/>
          <w:highlight w:val="none"/>
        </w:rPr>
        <w:t>10.8 暂列金额</w:t>
      </w:r>
      <w:bookmarkEnd w:id="778"/>
      <w:bookmarkEnd w:id="779"/>
      <w:bookmarkEnd w:id="780"/>
      <w:bookmarkEnd w:id="781"/>
      <w:bookmarkEnd w:id="782"/>
      <w:bookmarkEnd w:id="783"/>
      <w:bookmarkEnd w:id="784"/>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kern w:val="0"/>
          <w:highlight w:val="none"/>
        </w:rPr>
        <w:t>合同当事人关于暂列金额使用的约定：</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785" w:name="_Toc78449835"/>
      <w:bookmarkStart w:id="786" w:name="_Toc1190723452"/>
      <w:bookmarkStart w:id="787" w:name="_Toc136736539"/>
      <w:bookmarkStart w:id="788" w:name="_Toc407135249"/>
      <w:bookmarkStart w:id="789" w:name="_Toc389065312"/>
      <w:bookmarkStart w:id="790" w:name="_Toc373478393"/>
      <w:bookmarkStart w:id="791" w:name="_Toc373227746"/>
      <w:bookmarkStart w:id="792" w:name="_Toc351203643"/>
      <w:r>
        <w:rPr>
          <w:rFonts w:hint="eastAsia" w:ascii="宋体" w:hAnsi="宋体" w:eastAsia="宋体" w:cs="宋体"/>
          <w:b/>
          <w:bCs/>
          <w:color w:val="auto"/>
          <w:sz w:val="24"/>
          <w:szCs w:val="24"/>
          <w:highlight w:val="none"/>
          <w:lang w:val="en-US" w:eastAsia="zh-CN"/>
        </w:rPr>
        <w:t>11.</w:t>
      </w:r>
      <w:r>
        <w:rPr>
          <w:rFonts w:hint="eastAsia" w:ascii="宋体" w:hAnsi="宋体" w:eastAsia="宋体" w:cs="宋体"/>
          <w:b/>
          <w:bCs/>
          <w:color w:val="auto"/>
          <w:sz w:val="24"/>
          <w:szCs w:val="24"/>
          <w:highlight w:val="none"/>
        </w:rPr>
        <w:t>价格调整</w:t>
      </w:r>
      <w:bookmarkEnd w:id="785"/>
      <w:bookmarkEnd w:id="786"/>
      <w:bookmarkEnd w:id="787"/>
      <w:bookmarkEnd w:id="788"/>
      <w:bookmarkEnd w:id="789"/>
      <w:bookmarkEnd w:id="790"/>
      <w:bookmarkEnd w:id="791"/>
      <w:bookmarkEnd w:id="792"/>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793" w:name="_Toc1501386015"/>
      <w:bookmarkStart w:id="794" w:name="_Toc78449836"/>
      <w:bookmarkStart w:id="795" w:name="_Toc407135250"/>
      <w:bookmarkStart w:id="796" w:name="_Toc373478394"/>
      <w:bookmarkStart w:id="797" w:name="_Toc373227747"/>
      <w:bookmarkStart w:id="798" w:name="_Toc389065313"/>
      <w:bookmarkStart w:id="799" w:name="_Toc42268484"/>
      <w:bookmarkStart w:id="800" w:name="_Toc292559406"/>
      <w:bookmarkStart w:id="801" w:name="_Toc303539157"/>
      <w:bookmarkStart w:id="802" w:name="_Toc296944540"/>
      <w:bookmarkStart w:id="803" w:name="_Toc312678039"/>
      <w:bookmarkStart w:id="804" w:name="_Toc297048387"/>
      <w:bookmarkStart w:id="805" w:name="_Toc300935000"/>
      <w:bookmarkStart w:id="806" w:name="_Toc296891241"/>
      <w:bookmarkStart w:id="807" w:name="_Toc292559911"/>
      <w:bookmarkStart w:id="808" w:name="_Toc296346702"/>
      <w:bookmarkStart w:id="809" w:name="_Toc297216209"/>
      <w:bookmarkStart w:id="810" w:name="_Toc296347200"/>
      <w:bookmarkStart w:id="811" w:name="_Toc297123550"/>
      <w:bookmarkStart w:id="812" w:name="_Toc304295577"/>
      <w:bookmarkStart w:id="813" w:name="_Toc296503201"/>
      <w:bookmarkStart w:id="814" w:name="_Toc296891029"/>
      <w:bookmarkStart w:id="815" w:name="_Toc297120501"/>
      <w:r>
        <w:rPr>
          <w:rFonts w:hint="eastAsia" w:ascii="宋体" w:hAnsi="宋体" w:eastAsia="宋体" w:cs="宋体"/>
          <w:b/>
          <w:bCs/>
          <w:color w:val="auto"/>
          <w:sz w:val="24"/>
          <w:szCs w:val="24"/>
          <w:highlight w:val="none"/>
        </w:rPr>
        <w:t>11.1 市场价格波动引起的调整</w:t>
      </w:r>
      <w:bookmarkEnd w:id="793"/>
      <w:bookmarkEnd w:id="794"/>
      <w:bookmarkEnd w:id="795"/>
      <w:bookmarkEnd w:id="796"/>
      <w:bookmarkEnd w:id="797"/>
      <w:bookmarkEnd w:id="798"/>
      <w:bookmarkEnd w:id="799"/>
    </w:p>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kern w:val="0"/>
          <w:highlight w:val="none"/>
        </w:rPr>
        <w:t>市场价格波动是否调整合同价格的约定：</w:t>
      </w:r>
      <w:r>
        <w:rPr>
          <w:rFonts w:hint="eastAsia" w:ascii="宋体" w:hAnsi="宋体" w:eastAsia="宋体" w:cs="宋体"/>
          <w:color w:val="auto"/>
          <w:highlight w:val="none"/>
          <w:u w:val="single"/>
        </w:rPr>
        <w:t>非施工单位原因造成的主要材料价差在 5%以内（含 5%）的，由施工单位承担；超过 5%部分的价差，由建设单位承担</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因市场价格波动调整合同价格，采用以下第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种方式对合同价格进行调整：</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第1种方式：采用价格指数进行价格调整。</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关于各可调因子、定值和变值权重，以及基本价格指数及其来源的约定：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第2种方式：采用造价信息进行价格调整。</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（1）允许调整主要材料和</w:t>
      </w:r>
      <w:r>
        <w:rPr>
          <w:rFonts w:hint="eastAsia" w:ascii="宋体" w:hAnsi="宋体" w:eastAsia="宋体" w:cs="宋体"/>
          <w:color w:val="auto"/>
          <w:highlight w:val="none"/>
          <w:lang w:val="en"/>
        </w:rPr>
        <w:t>工程</w:t>
      </w:r>
      <w:r>
        <w:rPr>
          <w:rFonts w:hint="eastAsia" w:ascii="宋体" w:hAnsi="宋体" w:eastAsia="宋体" w:cs="宋体"/>
          <w:color w:val="auto"/>
          <w:highlight w:val="none"/>
        </w:rPr>
        <w:t>设备、基期价格、风险系数、投标报价详见《</w:t>
      </w:r>
      <w:r>
        <w:rPr>
          <w:rFonts w:hint="eastAsia" w:ascii="宋体" w:hAnsi="宋体" w:eastAsia="宋体" w:cs="宋体"/>
          <w:color w:val="auto"/>
          <w:highlight w:val="none"/>
          <w:lang w:val="en" w:eastAsia="zh-CN"/>
        </w:rPr>
        <w:t>允许调整</w:t>
      </w:r>
      <w:r>
        <w:rPr>
          <w:rFonts w:hint="eastAsia" w:ascii="宋体" w:hAnsi="宋体" w:eastAsia="宋体" w:cs="宋体"/>
          <w:color w:val="auto"/>
          <w:highlight w:val="none"/>
        </w:rPr>
        <w:t>主要材料和</w:t>
      </w:r>
      <w:r>
        <w:rPr>
          <w:rFonts w:hint="eastAsia" w:ascii="宋体" w:hAnsi="宋体" w:eastAsia="宋体" w:cs="宋体"/>
          <w:color w:val="auto"/>
          <w:highlight w:val="none"/>
          <w:lang w:val="en"/>
        </w:rPr>
        <w:t>工程</w:t>
      </w:r>
      <w:r>
        <w:rPr>
          <w:rFonts w:hint="eastAsia" w:ascii="宋体" w:hAnsi="宋体" w:eastAsia="宋体" w:cs="宋体"/>
          <w:color w:val="auto"/>
          <w:highlight w:val="none"/>
        </w:rPr>
        <w:t>设备一览表》</w:t>
      </w:r>
      <w:r>
        <w:rPr>
          <w:rFonts w:hint="eastAsia" w:ascii="宋体" w:hAnsi="宋体" w:eastAsia="宋体" w:cs="宋体"/>
          <w:color w:val="auto"/>
          <w:kern w:val="0"/>
          <w:sz w:val="20"/>
          <w:highlight w:val="none"/>
        </w:rPr>
        <w:t>（表-22）</w:t>
      </w:r>
      <w:r>
        <w:rPr>
          <w:rFonts w:hint="eastAsia" w:ascii="宋体" w:hAnsi="宋体" w:eastAsia="宋体" w:cs="宋体"/>
          <w:color w:val="auto"/>
          <w:highlight w:val="none"/>
        </w:rPr>
        <w:t>,价差调整部分仅计算税金，除此表列明的材料、设备外，其余材料设备价差原则上不予调整。</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（2）主要材料和</w:t>
      </w:r>
      <w:r>
        <w:rPr>
          <w:rFonts w:hint="eastAsia" w:ascii="宋体" w:hAnsi="宋体" w:eastAsia="宋体" w:cs="宋体"/>
          <w:color w:val="auto"/>
          <w:highlight w:val="none"/>
          <w:lang w:val="en"/>
        </w:rPr>
        <w:t>工程</w:t>
      </w:r>
      <w:r>
        <w:rPr>
          <w:rFonts w:hint="eastAsia" w:ascii="宋体" w:hAnsi="宋体" w:eastAsia="宋体" w:cs="宋体"/>
          <w:color w:val="auto"/>
          <w:highlight w:val="none"/>
        </w:rPr>
        <w:t>设备确认价：</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按施工期间《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市建设工程造价信息》材料信息价的加权平均价计算，信息价没有的按通用条款规定确定。</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（3）价差计算方法：</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①《</w:t>
      </w:r>
      <w:r>
        <w:rPr>
          <w:rFonts w:hint="eastAsia" w:ascii="宋体" w:hAnsi="宋体" w:eastAsia="宋体" w:cs="宋体"/>
          <w:color w:val="auto"/>
          <w:highlight w:val="none"/>
          <w:lang w:val="en" w:eastAsia="zh-CN"/>
        </w:rPr>
        <w:t>允许调整</w:t>
      </w:r>
      <w:r>
        <w:rPr>
          <w:rFonts w:hint="eastAsia" w:ascii="宋体" w:hAnsi="宋体" w:eastAsia="宋体" w:cs="宋体"/>
          <w:color w:val="auto"/>
          <w:highlight w:val="none"/>
        </w:rPr>
        <w:t>主要材料和</w:t>
      </w:r>
      <w:r>
        <w:rPr>
          <w:rFonts w:hint="eastAsia" w:ascii="宋体" w:hAnsi="宋体" w:eastAsia="宋体" w:cs="宋体"/>
          <w:color w:val="auto"/>
          <w:highlight w:val="none"/>
          <w:lang w:eastAsia="zh-CN"/>
        </w:rPr>
        <w:t>工程</w:t>
      </w:r>
      <w:r>
        <w:rPr>
          <w:rFonts w:hint="eastAsia" w:ascii="宋体" w:hAnsi="宋体" w:eastAsia="宋体" w:cs="宋体"/>
          <w:color w:val="auto"/>
          <w:highlight w:val="none"/>
        </w:rPr>
        <w:t>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②承包人在《</w:t>
      </w:r>
      <w:r>
        <w:rPr>
          <w:rFonts w:hint="eastAsia" w:ascii="宋体" w:hAnsi="宋体" w:eastAsia="宋体" w:cs="宋体"/>
          <w:color w:val="auto"/>
          <w:highlight w:val="none"/>
          <w:lang w:val="en" w:eastAsia="zh-CN"/>
        </w:rPr>
        <w:t>允许调整</w:t>
      </w:r>
      <w:r>
        <w:rPr>
          <w:rFonts w:hint="eastAsia" w:ascii="宋体" w:hAnsi="宋体" w:eastAsia="宋体" w:cs="宋体"/>
          <w:color w:val="auto"/>
          <w:highlight w:val="none"/>
        </w:rPr>
        <w:t>主要材料和</w:t>
      </w:r>
      <w:r>
        <w:rPr>
          <w:rFonts w:hint="eastAsia" w:ascii="宋体" w:hAnsi="宋体" w:eastAsia="宋体" w:cs="宋体"/>
          <w:color w:val="auto"/>
          <w:highlight w:val="none"/>
          <w:lang w:eastAsia="zh-CN"/>
        </w:rPr>
        <w:t>工程</w:t>
      </w:r>
      <w:r>
        <w:rPr>
          <w:rFonts w:hint="eastAsia" w:ascii="宋体" w:hAnsi="宋体" w:eastAsia="宋体" w:cs="宋体"/>
          <w:color w:val="auto"/>
          <w:highlight w:val="none"/>
        </w:rPr>
        <w:t>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③承包人在《</w:t>
      </w:r>
      <w:r>
        <w:rPr>
          <w:rFonts w:hint="eastAsia" w:ascii="宋体" w:hAnsi="宋体" w:eastAsia="宋体" w:cs="宋体"/>
          <w:color w:val="auto"/>
          <w:highlight w:val="none"/>
          <w:lang w:val="en" w:eastAsia="zh-CN"/>
        </w:rPr>
        <w:t>允许调整</w:t>
      </w:r>
      <w:r>
        <w:rPr>
          <w:rFonts w:hint="eastAsia" w:ascii="宋体" w:hAnsi="宋体" w:eastAsia="宋体" w:cs="宋体"/>
          <w:color w:val="auto"/>
          <w:highlight w:val="none"/>
        </w:rPr>
        <w:t>主要材料和</w:t>
      </w:r>
      <w:r>
        <w:rPr>
          <w:rFonts w:hint="eastAsia" w:ascii="宋体" w:hAnsi="宋体" w:eastAsia="宋体" w:cs="宋体"/>
          <w:color w:val="auto"/>
          <w:highlight w:val="none"/>
          <w:lang w:eastAsia="zh-CN"/>
        </w:rPr>
        <w:t>工程</w:t>
      </w:r>
      <w:r>
        <w:rPr>
          <w:rFonts w:hint="eastAsia" w:ascii="宋体" w:hAnsi="宋体" w:eastAsia="宋体" w:cs="宋体"/>
          <w:color w:val="auto"/>
          <w:highlight w:val="none"/>
        </w:rPr>
        <w:t>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pPr>
        <w:keepNext w:val="0"/>
        <w:keepLines w:val="0"/>
        <w:pageBreakBefore w:val="0"/>
        <w:widowControl w:val="0"/>
        <w:kinsoku/>
        <w:wordWrap/>
        <w:overflowPunct/>
        <w:topLinePunct w:val="0"/>
        <w:bidi w:val="0"/>
        <w:snapToGrid/>
        <w:spacing w:line="360" w:lineRule="auto"/>
        <w:ind w:firstLine="645"/>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第3种方式：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bookmarkEnd w:id="646"/>
    <w:bookmarkEnd w:id="647"/>
    <w:bookmarkEnd w:id="648"/>
    <w:bookmarkEnd w:id="649"/>
    <w:bookmarkEnd w:id="650"/>
    <w:bookmarkEnd w:id="651"/>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en-US" w:eastAsia="zh-CN"/>
        </w:rPr>
      </w:pPr>
      <w:bookmarkStart w:id="816" w:name="_Toc292559410"/>
      <w:bookmarkStart w:id="817" w:name="_Toc296944544"/>
      <w:bookmarkStart w:id="818" w:name="_Toc297048391"/>
      <w:bookmarkStart w:id="819" w:name="_Toc292559915"/>
      <w:bookmarkStart w:id="820" w:name="_Toc296347204"/>
      <w:bookmarkStart w:id="821" w:name="_Toc297120505"/>
      <w:bookmarkStart w:id="822" w:name="_Toc296503205"/>
      <w:bookmarkStart w:id="823" w:name="_Toc296891033"/>
      <w:bookmarkStart w:id="824" w:name="_Toc296891245"/>
      <w:bookmarkStart w:id="825" w:name="_Toc296346706"/>
      <w:bookmarkStart w:id="826" w:name="_Toc1935657796"/>
      <w:bookmarkStart w:id="827" w:name="_Toc373478395"/>
      <w:bookmarkStart w:id="828" w:name="_Toc1720046426"/>
      <w:bookmarkStart w:id="829" w:name="_Toc351203644"/>
      <w:bookmarkStart w:id="830" w:name="_Toc407135251"/>
      <w:bookmarkStart w:id="831" w:name="_Toc373227748"/>
      <w:bookmarkStart w:id="832" w:name="_Toc78449837"/>
      <w:bookmarkStart w:id="833" w:name="_Toc312678040"/>
      <w:bookmarkStart w:id="834" w:name="_Toc304295579"/>
      <w:bookmarkStart w:id="835" w:name="_Toc297216211"/>
      <w:bookmarkStart w:id="836" w:name="_Toc300935002"/>
      <w:bookmarkStart w:id="837" w:name="_Toc303539159"/>
      <w:bookmarkStart w:id="838" w:name="_Toc297123552"/>
      <w:r>
        <w:rPr>
          <w:rFonts w:hint="eastAsia" w:ascii="宋体" w:hAnsi="宋体" w:eastAsia="宋体" w:cs="宋体"/>
          <w:b/>
          <w:bCs/>
          <w:color w:val="auto"/>
          <w:sz w:val="24"/>
          <w:szCs w:val="24"/>
          <w:highlight w:val="none"/>
          <w:lang w:val="en-US" w:eastAsia="zh-CN"/>
        </w:rPr>
        <w:t xml:space="preserve">12. </w:t>
      </w:r>
      <w:bookmarkEnd w:id="816"/>
      <w:bookmarkEnd w:id="817"/>
      <w:bookmarkEnd w:id="818"/>
      <w:bookmarkEnd w:id="819"/>
      <w:bookmarkEnd w:id="820"/>
      <w:bookmarkEnd w:id="821"/>
      <w:bookmarkEnd w:id="822"/>
      <w:bookmarkEnd w:id="823"/>
      <w:bookmarkEnd w:id="824"/>
      <w:bookmarkEnd w:id="825"/>
      <w:r>
        <w:rPr>
          <w:rFonts w:hint="eastAsia" w:ascii="宋体" w:hAnsi="宋体" w:eastAsia="宋体" w:cs="宋体"/>
          <w:b/>
          <w:bCs/>
          <w:color w:val="auto"/>
          <w:sz w:val="24"/>
          <w:szCs w:val="24"/>
          <w:highlight w:val="none"/>
          <w:lang w:val="en-US" w:eastAsia="zh-CN"/>
        </w:rPr>
        <w:t>合同价格、计量与支付</w:t>
      </w:r>
      <w:bookmarkEnd w:id="826"/>
      <w:bookmarkEnd w:id="827"/>
      <w:bookmarkEnd w:id="828"/>
      <w:bookmarkEnd w:id="829"/>
      <w:bookmarkEnd w:id="830"/>
      <w:bookmarkEnd w:id="831"/>
      <w:bookmarkEnd w:id="832"/>
    </w:p>
    <w:bookmarkEnd w:id="833"/>
    <w:bookmarkEnd w:id="834"/>
    <w:bookmarkEnd w:id="835"/>
    <w:bookmarkEnd w:id="836"/>
    <w:bookmarkEnd w:id="837"/>
    <w:bookmarkEnd w:id="838"/>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en-US" w:eastAsia="zh-CN"/>
        </w:rPr>
      </w:pPr>
      <w:bookmarkStart w:id="839" w:name="_Toc267251461"/>
      <w:bookmarkStart w:id="840" w:name="_Toc292559411"/>
      <w:bookmarkStart w:id="841" w:name="_Toc292559916"/>
      <w:bookmarkStart w:id="842" w:name="_Toc296944545"/>
      <w:bookmarkStart w:id="843" w:name="_Toc296891034"/>
      <w:bookmarkStart w:id="844" w:name="_Toc296891246"/>
      <w:bookmarkStart w:id="845" w:name="_Toc296347205"/>
      <w:bookmarkStart w:id="846" w:name="_Toc297048392"/>
      <w:bookmarkStart w:id="847" w:name="_Toc296346707"/>
      <w:bookmarkStart w:id="848" w:name="_Toc296503206"/>
      <w:bookmarkStart w:id="849" w:name="_Toc297120506"/>
      <w:bookmarkStart w:id="850" w:name="_Toc1395756356"/>
      <w:bookmarkStart w:id="851" w:name="_Toc407135252"/>
      <w:bookmarkStart w:id="852" w:name="_Toc373478396"/>
      <w:bookmarkStart w:id="853" w:name="_Toc78449838"/>
      <w:bookmarkStart w:id="854" w:name="_Toc389065314"/>
      <w:bookmarkStart w:id="855" w:name="_Toc373227749"/>
      <w:bookmarkStart w:id="856" w:name="_Toc1894565429"/>
      <w:bookmarkStart w:id="857" w:name="_Toc297216212"/>
      <w:bookmarkStart w:id="858" w:name="_Toc303539160"/>
      <w:bookmarkStart w:id="859" w:name="_Toc312678041"/>
      <w:bookmarkStart w:id="860" w:name="_Toc297123553"/>
      <w:bookmarkStart w:id="861" w:name="_Toc300935003"/>
      <w:bookmarkStart w:id="862" w:name="_Toc304295580"/>
      <w:r>
        <w:rPr>
          <w:rFonts w:hint="eastAsia" w:ascii="宋体" w:hAnsi="宋体" w:eastAsia="宋体" w:cs="宋体"/>
          <w:b/>
          <w:bCs/>
          <w:color w:val="auto"/>
          <w:sz w:val="24"/>
          <w:szCs w:val="24"/>
          <w:highlight w:val="none"/>
          <w:lang w:val="en-US" w:eastAsia="zh-CN"/>
        </w:rPr>
        <w:t>12.1 合</w:t>
      </w:r>
      <w:bookmarkEnd w:id="839"/>
      <w:bookmarkEnd w:id="840"/>
      <w:bookmarkEnd w:id="841"/>
      <w:r>
        <w:rPr>
          <w:rFonts w:hint="eastAsia" w:ascii="宋体" w:hAnsi="宋体" w:eastAsia="宋体" w:cs="宋体"/>
          <w:b/>
          <w:bCs/>
          <w:color w:val="auto"/>
          <w:sz w:val="24"/>
          <w:szCs w:val="24"/>
          <w:highlight w:val="none"/>
          <w:lang w:val="en-US" w:eastAsia="zh-CN"/>
        </w:rPr>
        <w:t>同价</w:t>
      </w:r>
      <w:bookmarkEnd w:id="842"/>
      <w:bookmarkEnd w:id="843"/>
      <w:bookmarkEnd w:id="844"/>
      <w:bookmarkEnd w:id="845"/>
      <w:bookmarkEnd w:id="846"/>
      <w:bookmarkEnd w:id="847"/>
      <w:bookmarkEnd w:id="848"/>
      <w:bookmarkEnd w:id="849"/>
      <w:r>
        <w:rPr>
          <w:rFonts w:hint="eastAsia" w:ascii="宋体" w:hAnsi="宋体" w:eastAsia="宋体" w:cs="宋体"/>
          <w:b/>
          <w:bCs/>
          <w:color w:val="auto"/>
          <w:sz w:val="24"/>
          <w:szCs w:val="24"/>
          <w:highlight w:val="none"/>
          <w:lang w:val="en-US" w:eastAsia="zh-CN"/>
        </w:rPr>
        <w:t>格形式</w:t>
      </w:r>
      <w:bookmarkEnd w:id="850"/>
      <w:bookmarkEnd w:id="851"/>
      <w:bookmarkEnd w:id="852"/>
      <w:bookmarkEnd w:id="853"/>
      <w:bookmarkEnd w:id="854"/>
      <w:bookmarkEnd w:id="855"/>
      <w:bookmarkEnd w:id="856"/>
    </w:p>
    <w:bookmarkEnd w:id="857"/>
    <w:bookmarkEnd w:id="858"/>
    <w:bookmarkEnd w:id="859"/>
    <w:bookmarkEnd w:id="860"/>
    <w:bookmarkEnd w:id="861"/>
    <w:bookmarkEnd w:id="862"/>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bookmarkStart w:id="863" w:name="_Toc373478397"/>
      <w:bookmarkStart w:id="864" w:name="_Toc373227750"/>
      <w:bookmarkStart w:id="865" w:name="_Toc389065315"/>
      <w:bookmarkStart w:id="866" w:name="_Toc304295581"/>
      <w:bookmarkStart w:id="867" w:name="_Toc303539161"/>
      <w:bookmarkStart w:id="868" w:name="_Toc300935004"/>
      <w:bookmarkStart w:id="869" w:name="_Toc312678042"/>
      <w:bookmarkStart w:id="870" w:name="_Toc297216213"/>
      <w:bookmarkStart w:id="871" w:name="_Toc297123554"/>
      <w:bookmarkStart w:id="872" w:name="_Toc292559917"/>
      <w:bookmarkStart w:id="873" w:name="_Toc296944546"/>
      <w:bookmarkStart w:id="874" w:name="_Toc296891035"/>
      <w:bookmarkStart w:id="875" w:name="_Toc296347206"/>
      <w:bookmarkStart w:id="876" w:name="_Toc297048393"/>
      <w:bookmarkStart w:id="877" w:name="_Toc296346708"/>
      <w:bookmarkStart w:id="878" w:name="_Toc292559412"/>
      <w:bookmarkStart w:id="879" w:name="_Toc297120507"/>
      <w:bookmarkStart w:id="880" w:name="_Toc296891247"/>
      <w:bookmarkStart w:id="881" w:name="_Toc296503207"/>
      <w:r>
        <w:rPr>
          <w:rFonts w:hint="eastAsia" w:ascii="宋体" w:hAnsi="宋体" w:eastAsia="宋体" w:cs="宋体"/>
          <w:color w:val="auto"/>
          <w:highlight w:val="none"/>
        </w:rPr>
        <w:t>本工程采用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合同价格形式，合同价格包含增值税，本工程计价时采用的增值税计税方法为：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一般计税法   □简易计税法。</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（1）单价合同。</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采用综合单价合同方式时，工程量按建设单位、监理单位、施工单位三方确认的竣工图结算。</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综合单价包含的风险范围：</w:t>
      </w:r>
      <w:r>
        <w:rPr>
          <w:rFonts w:hint="eastAsia" w:ascii="宋体" w:hAnsi="宋体" w:eastAsia="宋体" w:cs="宋体"/>
          <w:color w:val="auto"/>
          <w:highlight w:val="none"/>
          <w:u w:val="single"/>
        </w:rPr>
        <w:t>除工程变更、项目特征不符、工程量清单缺项、工程量偏差、政策性调整、市场价格波动。</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风险范围以外合同价格的调整方法：</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①工程变更、项目特征不符、工程量清单缺项：按10.4.1变更估价原则的约定调整。</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②工程量偏差：按1.13工程量清单错误修正的约定调整。</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③政策性调整：按国家、自治区住房城乡建设厅或工程所在地</w:t>
      </w:r>
      <w:r>
        <w:rPr>
          <w:rFonts w:hint="eastAsia" w:ascii="宋体" w:hAnsi="宋体" w:eastAsia="宋体" w:cs="宋体"/>
          <w:color w:val="auto"/>
          <w:sz w:val="21"/>
          <w:szCs w:val="21"/>
          <w:highlight w:val="none"/>
        </w:rPr>
        <w:t>市级</w:t>
      </w:r>
      <w:r>
        <w:rPr>
          <w:rFonts w:hint="eastAsia" w:ascii="宋体" w:hAnsi="宋体" w:eastAsia="宋体" w:cs="宋体"/>
          <w:color w:val="auto"/>
          <w:highlight w:val="none"/>
        </w:rPr>
        <w:t>住房城乡建设主管部门颁布的文件执行。</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④市场波动引起的调整：按11.1的约定调整。</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⑤其它：</w:t>
      </w:r>
      <w:r>
        <w:rPr>
          <w:rFonts w:hint="eastAsia" w:ascii="宋体" w:hAnsi="宋体" w:eastAsia="宋体" w:cs="宋体"/>
          <w:color w:val="auto"/>
          <w:highlight w:val="none"/>
          <w:u w:val="single"/>
        </w:rPr>
        <w:t xml:space="preserve"> a .发包人更改承包人的施工组织设计造成费用增加。b .不可抗力引起的费用，按本合同《通用条款》规定执行。</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（2）总价合同。</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总价包含的风险范围：包含除工程变更、政策性调整、</w:t>
      </w:r>
      <w:r>
        <w:rPr>
          <w:rFonts w:hint="eastAsia" w:ascii="宋体" w:hAnsi="宋体" w:eastAsia="宋体" w:cs="宋体"/>
          <w:color w:val="auto"/>
          <w:highlight w:val="none"/>
          <w:u w:val="single"/>
        </w:rPr>
        <w:t xml:space="preserve">市场价格波动。除工程变更外，结算时不再对招标施工图对应的工程量重新计量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风险范围以外合同价格的调整方法：</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①</w:t>
      </w:r>
      <w:r>
        <w:rPr>
          <w:rFonts w:hint="eastAsia" w:ascii="宋体" w:hAnsi="宋体" w:eastAsia="宋体" w:cs="宋体"/>
          <w:color w:val="auto"/>
          <w:highlight w:val="none"/>
        </w:rPr>
        <w:t>工程变更：按10.4.1变更估价原则的约定调整。</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②政策性调整：按国家、自治区住房城乡建设厅或工程所在地市级住房城乡建设主管部门颁布的文件执行。</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③市场波动引起的调整：按11.1的约定调整。</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 4 \* GB3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④</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其它：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（3）其他价格方式：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en-US" w:eastAsia="zh-CN"/>
        </w:rPr>
      </w:pPr>
      <w:bookmarkStart w:id="882" w:name="_Toc1681900246"/>
      <w:bookmarkStart w:id="883" w:name="_Toc407135253"/>
      <w:bookmarkStart w:id="884" w:name="_Toc78449839"/>
      <w:bookmarkStart w:id="885" w:name="_Toc1338560546"/>
      <w:r>
        <w:rPr>
          <w:rFonts w:hint="eastAsia" w:ascii="宋体" w:hAnsi="宋体" w:eastAsia="宋体" w:cs="宋体"/>
          <w:b/>
          <w:bCs/>
          <w:color w:val="auto"/>
          <w:sz w:val="24"/>
          <w:szCs w:val="24"/>
          <w:highlight w:val="none"/>
          <w:lang w:val="en-US" w:eastAsia="zh-CN"/>
        </w:rPr>
        <w:t>12.2 预付款</w:t>
      </w:r>
      <w:bookmarkEnd w:id="863"/>
      <w:bookmarkEnd w:id="864"/>
      <w:bookmarkEnd w:id="865"/>
      <w:bookmarkEnd w:id="882"/>
      <w:bookmarkEnd w:id="883"/>
      <w:bookmarkEnd w:id="884"/>
      <w:bookmarkEnd w:id="885"/>
    </w:p>
    <w:bookmarkEnd w:id="866"/>
    <w:bookmarkEnd w:id="867"/>
    <w:bookmarkEnd w:id="868"/>
    <w:bookmarkEnd w:id="869"/>
    <w:bookmarkEnd w:id="870"/>
    <w:bookmarkEnd w:id="871"/>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12.2.1 预付款的支付</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预付款支付比例或金额：</w:t>
      </w:r>
      <w:r>
        <w:rPr>
          <w:rFonts w:hint="eastAsia" w:ascii="宋体" w:hAnsi="宋体" w:eastAsia="宋体" w:cs="宋体"/>
          <w:color w:val="auto"/>
          <w:highlight w:val="none"/>
          <w:u w:val="single"/>
        </w:rPr>
        <w:t xml:space="preserve"> 30% 【备注：政府投资项目应严格执行工程预付款制度，工程预付款应不低于合同总价（扣除暂列金额）的10%（最高不超过30%，并与工程进度款分期按约定比例抵扣）】</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预付款支付期限：</w:t>
      </w:r>
      <w:r>
        <w:rPr>
          <w:rFonts w:hint="eastAsia" w:ascii="宋体" w:hAnsi="宋体" w:eastAsia="宋体" w:cs="宋体"/>
          <w:color w:val="auto"/>
          <w:highlight w:val="none"/>
          <w:u w:val="single"/>
        </w:rPr>
        <w:t>承包人应在签订合同后向发包人提交预付款支付申请，发包人应对在收到支付申请的10天内进行核实后向承包人发出预付款支付证书，并在签发支付证书后的15天内向承包人支付预付款。</w:t>
      </w:r>
    </w:p>
    <w:bookmarkEnd w:id="872"/>
    <w:bookmarkEnd w:id="873"/>
    <w:bookmarkEnd w:id="874"/>
    <w:bookmarkEnd w:id="875"/>
    <w:bookmarkEnd w:id="876"/>
    <w:bookmarkEnd w:id="877"/>
    <w:bookmarkEnd w:id="878"/>
    <w:bookmarkEnd w:id="879"/>
    <w:bookmarkEnd w:id="880"/>
    <w:bookmarkEnd w:id="881"/>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en-US" w:eastAsia="zh-CN"/>
        </w:rPr>
      </w:pPr>
      <w:bookmarkStart w:id="886" w:name="_Toc373478398"/>
      <w:bookmarkStart w:id="887" w:name="_Toc1494831447"/>
      <w:bookmarkStart w:id="888" w:name="_Toc78449840"/>
      <w:bookmarkStart w:id="889" w:name="_Toc389065316"/>
      <w:bookmarkStart w:id="890" w:name="_Toc1307224940"/>
      <w:bookmarkStart w:id="891" w:name="_Toc373227751"/>
      <w:bookmarkStart w:id="892" w:name="_Toc407135254"/>
      <w:r>
        <w:rPr>
          <w:rFonts w:hint="eastAsia" w:ascii="宋体" w:hAnsi="宋体" w:eastAsia="宋体" w:cs="宋体"/>
          <w:b/>
          <w:bCs/>
          <w:color w:val="auto"/>
          <w:sz w:val="24"/>
          <w:szCs w:val="24"/>
          <w:highlight w:val="none"/>
          <w:lang w:val="en-US" w:eastAsia="zh-CN"/>
        </w:rPr>
        <w:t>12.3 计量</w:t>
      </w:r>
      <w:bookmarkEnd w:id="886"/>
      <w:bookmarkEnd w:id="887"/>
      <w:bookmarkEnd w:id="888"/>
      <w:bookmarkEnd w:id="889"/>
      <w:bookmarkEnd w:id="890"/>
      <w:bookmarkEnd w:id="891"/>
      <w:bookmarkEnd w:id="892"/>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12.3.1 计量原则</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工程量计算规则：</w:t>
      </w:r>
      <w:r>
        <w:rPr>
          <w:rFonts w:hint="eastAsia" w:ascii="宋体" w:hAnsi="宋体" w:eastAsia="宋体" w:cs="宋体"/>
          <w:color w:val="auto"/>
          <w:highlight w:val="none"/>
          <w:u w:val="single"/>
        </w:rPr>
        <w:t>工程的计量均以《建设工程工程量清单计价规范》（GB50500－2013）及广西壮族自治区实施细则、《建设工程工程量清单计算规范》（GB50854~50862－2013）及广西实施细则、本工程补充项目清单为准。</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12.3.2 计量周期</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关于计量周期的约定：</w:t>
      </w:r>
      <w:r>
        <w:rPr>
          <w:rFonts w:hint="eastAsia" w:ascii="宋体" w:hAnsi="宋体" w:eastAsia="宋体" w:cs="宋体"/>
          <w:color w:val="auto"/>
          <w:highlight w:val="none"/>
          <w:u w:val="single"/>
        </w:rPr>
        <w:t>每月25日前</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rPr>
        <w:t>12.3.3 单价合同的计量</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关于单价合同计量的约定：</w:t>
      </w:r>
    </w:p>
    <w:p>
      <w:pPr>
        <w:keepNext w:val="0"/>
        <w:keepLines w:val="0"/>
        <w:pageBreakBefore w:val="0"/>
        <w:widowControl w:val="0"/>
        <w:kinsoku/>
        <w:wordWrap/>
        <w:overflowPunct/>
        <w:topLinePunct w:val="0"/>
        <w:bidi w:val="0"/>
        <w:snapToGrid/>
        <w:spacing w:line="360" w:lineRule="auto"/>
        <w:ind w:firstLine="441" w:firstLineChars="210"/>
        <w:textAlignment w:val="auto"/>
        <w:rPr>
          <w:rFonts w:hint="eastAsia" w:ascii="宋体" w:hAnsi="宋体" w:eastAsia="宋体" w:cs="宋体"/>
          <w:color w:val="auto"/>
          <w:highlight w:val="none"/>
        </w:rPr>
      </w:pPr>
      <w:r>
        <w:rPr>
          <w:rFonts w:hint="eastAsia" w:ascii="宋体" w:hAnsi="宋体" w:eastAsia="宋体" w:cs="宋体"/>
          <w:color w:val="auto"/>
          <w:highlight w:val="none"/>
        </w:rPr>
        <w:t>(1) 工程量清单所列的工程量，不能作为承包人按合同履行其责任依据，实际施工中发生的工程量增加或减少并不影响承包人履行合同的责任，工程结算以完成的实际工程量为准。</w:t>
      </w:r>
    </w:p>
    <w:p>
      <w:pPr>
        <w:keepNext w:val="0"/>
        <w:keepLines w:val="0"/>
        <w:pageBreakBefore w:val="0"/>
        <w:widowControl w:val="0"/>
        <w:kinsoku/>
        <w:wordWrap/>
        <w:overflowPunct/>
        <w:topLinePunct w:val="0"/>
        <w:bidi w:val="0"/>
        <w:snapToGrid/>
        <w:spacing w:line="360" w:lineRule="auto"/>
        <w:ind w:firstLine="441" w:firstLineChars="210"/>
        <w:textAlignment w:val="auto"/>
        <w:rPr>
          <w:rFonts w:hint="eastAsia" w:ascii="宋体" w:hAnsi="宋体" w:eastAsia="宋体" w:cs="宋体"/>
          <w:color w:val="auto"/>
          <w:highlight w:val="none"/>
        </w:rPr>
      </w:pPr>
      <w:r>
        <w:rPr>
          <w:rFonts w:hint="eastAsia" w:ascii="宋体" w:hAnsi="宋体" w:eastAsia="宋体" w:cs="宋体"/>
          <w:color w:val="auto"/>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12.3.4 总价合同的计量</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（1）总价合同计量约定：进度款按支付分解表支付</w:t>
      </w:r>
      <w:r>
        <w:rPr>
          <w:rFonts w:hint="eastAsia" w:ascii="宋体" w:hAnsi="宋体" w:eastAsia="宋体" w:cs="宋体"/>
          <w:color w:val="auto"/>
          <w:kern w:val="0"/>
          <w:highlight w:val="none"/>
        </w:rPr>
        <w:t>，</w:t>
      </w:r>
      <w:r>
        <w:rPr>
          <w:rFonts w:hint="eastAsia" w:ascii="宋体" w:hAnsi="宋体" w:eastAsia="宋体" w:cs="宋体"/>
          <w:color w:val="auto"/>
          <w:highlight w:val="none"/>
        </w:rPr>
        <w:t>支付分解表在招标完成后签合同之前制定，具体详见本专用合同条款12.4.6。</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12.3.6 其他价格形式合同的计量</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其他价格形式的计量方式和程序：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lang w:val="en-US" w:eastAsia="zh-CN"/>
        </w:rPr>
      </w:pPr>
      <w:bookmarkStart w:id="893" w:name="_Toc1155368667"/>
      <w:bookmarkStart w:id="894" w:name="_Toc78449841"/>
      <w:bookmarkStart w:id="895" w:name="_Toc1711431123"/>
      <w:bookmarkStart w:id="896" w:name="_Toc373227752"/>
      <w:bookmarkStart w:id="897" w:name="_Toc407135255"/>
      <w:bookmarkStart w:id="898" w:name="_Toc373478399"/>
      <w:bookmarkStart w:id="899" w:name="_Toc389065317"/>
      <w:r>
        <w:rPr>
          <w:rFonts w:hint="eastAsia" w:ascii="宋体" w:hAnsi="宋体" w:eastAsia="宋体" w:cs="宋体"/>
          <w:b/>
          <w:bCs/>
          <w:color w:val="auto"/>
          <w:sz w:val="24"/>
          <w:szCs w:val="24"/>
          <w:highlight w:val="none"/>
          <w:lang w:val="en-US" w:eastAsia="zh-CN"/>
        </w:rPr>
        <w:t>12.4 工程进度款支付</w:t>
      </w:r>
      <w:bookmarkEnd w:id="893"/>
      <w:bookmarkEnd w:id="894"/>
      <w:bookmarkEnd w:id="895"/>
      <w:bookmarkEnd w:id="896"/>
      <w:bookmarkEnd w:id="897"/>
      <w:bookmarkEnd w:id="898"/>
      <w:bookmarkEnd w:id="899"/>
    </w:p>
    <w:p>
      <w:pPr>
        <w:keepNext w:val="0"/>
        <w:keepLines w:val="0"/>
        <w:pageBreakBefore w:val="0"/>
        <w:widowControl w:val="0"/>
        <w:kinsoku/>
        <w:wordWrap/>
        <w:overflowPunct/>
        <w:topLinePunct w:val="0"/>
        <w:bidi w:val="0"/>
        <w:snapToGrid/>
        <w:spacing w:line="360" w:lineRule="auto"/>
        <w:ind w:firstLine="440" w:firstLineChars="200"/>
        <w:jc w:val="left"/>
        <w:textAlignment w:val="auto"/>
        <w:rPr>
          <w:rFonts w:hint="eastAsia" w:ascii="宋体" w:hAnsi="宋体" w:eastAsia="宋体" w:cs="宋体"/>
          <w:color w:val="auto"/>
          <w:highlight w:val="none"/>
        </w:rPr>
      </w:pPr>
      <w:bookmarkStart w:id="900" w:name="_Toc296503211"/>
      <w:bookmarkStart w:id="901" w:name="_Toc296347210"/>
      <w:bookmarkStart w:id="902" w:name="_Toc297120511"/>
      <w:bookmarkStart w:id="903" w:name="_Toc300935006"/>
      <w:bookmarkStart w:id="904" w:name="_Toc296944550"/>
      <w:bookmarkStart w:id="905" w:name="_Toc303539163"/>
      <w:bookmarkStart w:id="906" w:name="_Toc297216215"/>
      <w:bookmarkStart w:id="907" w:name="_Toc292559921"/>
      <w:bookmarkStart w:id="908" w:name="_Toc296891039"/>
      <w:bookmarkStart w:id="909" w:name="_Toc296891251"/>
      <w:bookmarkStart w:id="910" w:name="_Toc292559416"/>
      <w:bookmarkStart w:id="911" w:name="_Toc297048397"/>
      <w:bookmarkStart w:id="912" w:name="_Toc297123556"/>
      <w:bookmarkStart w:id="913" w:name="_Toc296346712"/>
      <w:r>
        <w:rPr>
          <w:rFonts w:hint="eastAsia" w:ascii="宋体" w:hAnsi="宋体" w:eastAsia="宋体" w:cs="宋体"/>
          <w:color w:val="auto"/>
          <w:kern w:val="0"/>
          <w:sz w:val="22"/>
          <w:szCs w:val="22"/>
          <w:highlight w:val="none"/>
          <w:lang w:val="en-US" w:eastAsia="zh-CN" w:bidi="ar"/>
        </w:rPr>
        <w:t>政府机关、事业单位、国有企业建设工程进度款支付应不低于已完成工程价款的80%；同时，在确保不超出工程总概（预）算以及工程决（结）算工作顺利开展的前提下，除按合同约定保留不超过工程价款总额3%的质量保证金外，进度款支付比例可由发承包双方根据项目实际情况自行确定。在结算过程中，若发生进度款支付超出实际已完成工程价款的情况，承包单位应按规定在结算后30日内向发包单位返还多收到的工程进度款。</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12.4.1 付款周期</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工程款原则上按工程进度支付，合同内进度款支付限额为合同价的90%；工程竣工验收并办理结算手续后，工程款支付至结算总价的97%。发包人按工程价款结算总额的3%预留工程质量保修金，待工程缺陷责任期满后，如无质量问题，发包人应无息返还保修金。</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12.4.2 进度付款申请单的编制</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关于进度付款申请单编制的约定：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r>
        <w:rPr>
          <w:rFonts w:hint="eastAsia" w:ascii="宋体" w:hAnsi="宋体" w:eastAsia="宋体" w:cs="宋体"/>
          <w:color w:val="auto"/>
          <w:highlight w:val="none"/>
        </w:rPr>
        <w:t>2.4.3 进度付款申请单的提交</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highlight w:val="none"/>
          <w:lang w:val="en-US" w:eastAsia="zh-CN"/>
        </w:rPr>
        <w:t xml:space="preserve">（1）单价合同进度付款申请单提交的约定： </w:t>
      </w:r>
      <w:r>
        <w:rPr>
          <w:rFonts w:hint="eastAsia" w:ascii="宋体" w:hAnsi="宋体" w:eastAsia="宋体" w:cs="宋体"/>
          <w:color w:val="auto"/>
          <w:sz w:val="21"/>
          <w:szCs w:val="21"/>
          <w:highlight w:val="none"/>
          <w:u w:val="single"/>
          <w:lang w:val="en-US" w:eastAsia="zh-CN"/>
        </w:rPr>
        <w:t xml:space="preserve">                  </w:t>
      </w:r>
    </w:p>
    <w:p>
      <w:pPr>
        <w:keepNext w:val="0"/>
        <w:keepLines w:val="0"/>
        <w:pageBreakBefore w:val="0"/>
        <w:widowControl w:val="0"/>
        <w:kinsoku/>
        <w:wordWrap/>
        <w:overflowPunct/>
        <w:topLinePunct w:val="0"/>
        <w:bidi w:val="0"/>
        <w:snapToGrid/>
        <w:spacing w:line="360" w:lineRule="auto"/>
        <w:ind w:firstLine="440" w:firstLineChars="200"/>
        <w:jc w:val="lef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（2）总价合同进度付款申请单提交的约定：</w:t>
      </w:r>
      <w:r>
        <w:rPr>
          <w:rFonts w:hint="eastAsia" w:ascii="宋体" w:hAnsi="宋体" w:eastAsia="宋体" w:cs="宋体"/>
          <w:color w:val="auto"/>
          <w:kern w:val="0"/>
          <w:sz w:val="22"/>
          <w:szCs w:val="22"/>
          <w:highlight w:val="none"/>
          <w:u w:val="single"/>
          <w:lang w:val="en-US" w:eastAsia="zh-CN" w:bidi="ar"/>
        </w:rPr>
        <w:t xml:space="preserve">               </w:t>
      </w:r>
      <w:r>
        <w:rPr>
          <w:rFonts w:hint="eastAsia" w:ascii="宋体" w:hAnsi="宋体" w:eastAsia="宋体" w:cs="宋体"/>
          <w:color w:val="auto"/>
          <w:kern w:val="0"/>
          <w:sz w:val="22"/>
          <w:szCs w:val="22"/>
          <w:highlight w:val="none"/>
          <w:lang w:val="en-US" w:eastAsia="zh-CN" w:bidi="ar"/>
        </w:rPr>
        <w:t>。</w:t>
      </w:r>
    </w:p>
    <w:p>
      <w:pPr>
        <w:keepNext w:val="0"/>
        <w:keepLines w:val="0"/>
        <w:pageBreakBefore w:val="0"/>
        <w:widowControl w:val="0"/>
        <w:kinsoku/>
        <w:wordWrap/>
        <w:overflowPunct/>
        <w:topLinePunct w:val="0"/>
        <w:bidi w:val="0"/>
        <w:snapToGrid/>
        <w:spacing w:line="360" w:lineRule="auto"/>
        <w:ind w:firstLine="440" w:firstLineChars="200"/>
        <w:jc w:val="lef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（3）其他价格形式合同进度付款申请单提交的约定：</w:t>
      </w:r>
      <w:r>
        <w:rPr>
          <w:rFonts w:hint="eastAsia" w:ascii="宋体" w:hAnsi="宋体" w:eastAsia="宋体" w:cs="宋体"/>
          <w:color w:val="auto"/>
          <w:kern w:val="0"/>
          <w:sz w:val="22"/>
          <w:szCs w:val="22"/>
          <w:highlight w:val="none"/>
          <w:u w:val="single"/>
          <w:lang w:val="en-US" w:eastAsia="zh-CN" w:bidi="ar"/>
        </w:rPr>
        <w:t xml:space="preserve">                             </w:t>
      </w:r>
      <w:r>
        <w:rPr>
          <w:rFonts w:hint="eastAsia" w:ascii="宋体" w:hAnsi="宋体" w:eastAsia="宋体" w:cs="宋体"/>
          <w:color w:val="auto"/>
          <w:kern w:val="0"/>
          <w:sz w:val="22"/>
          <w:szCs w:val="22"/>
          <w:highlight w:val="none"/>
          <w:lang w:val="en-US" w:eastAsia="zh-CN" w:bidi="ar"/>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12.4.4 进度款审核和支付</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（1）监理人审查并报送发包人的期限：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发包人完成审批并签发进度款支付证书的期限：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（2）发包人支付进度款的期限：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525" w:firstLineChars="25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发包人逾期支付进度款的违约金的计算方式：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630" w:firstLineChars="300"/>
        <w:textAlignment w:val="auto"/>
        <w:rPr>
          <w:rFonts w:hint="eastAsia" w:ascii="宋体" w:hAnsi="宋体" w:eastAsia="宋体" w:cs="宋体"/>
          <w:color w:val="auto"/>
          <w:highlight w:val="none"/>
        </w:rPr>
      </w:pPr>
      <w:r>
        <w:rPr>
          <w:rFonts w:hint="eastAsia" w:ascii="宋体" w:hAnsi="宋体" w:eastAsia="宋体" w:cs="宋体"/>
          <w:color w:val="auto"/>
          <w:highlight w:val="none"/>
        </w:rPr>
        <w:t>进度款支付方式：</w:t>
      </w:r>
      <w:r>
        <w:rPr>
          <w:rFonts w:hint="eastAsia" w:ascii="宋体" w:hAnsi="宋体" w:eastAsia="宋体" w:cs="宋体"/>
          <w:color w:val="auto"/>
          <w:highlight w:val="none"/>
          <w:u w:val="single"/>
        </w:rPr>
        <w:t>银行转账</w:t>
      </w:r>
      <w:r>
        <w:rPr>
          <w:rFonts w:hint="eastAsia" w:ascii="宋体" w:hAnsi="宋体" w:eastAsia="宋体" w:cs="宋体"/>
          <w:color w:val="auto"/>
          <w:highlight w:val="none"/>
        </w:rPr>
        <w:t>。进度款支付申请（核准）表见合同附件11。</w:t>
      </w:r>
    </w:p>
    <w:bookmarkEnd w:id="652"/>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914" w:name="_Toc389065318"/>
      <w:bookmarkStart w:id="915" w:name="_Toc407135256"/>
      <w:bookmarkStart w:id="916" w:name="_Toc351203645"/>
      <w:bookmarkStart w:id="917" w:name="_Toc373227753"/>
      <w:bookmarkStart w:id="918" w:name="_Toc2003466256"/>
      <w:bookmarkStart w:id="919" w:name="_Toc78449842"/>
      <w:bookmarkStart w:id="920" w:name="_Toc373478400"/>
      <w:bookmarkStart w:id="921" w:name="_Toc728899116"/>
      <w:bookmarkStart w:id="922" w:name="_Toc296503219"/>
      <w:bookmarkStart w:id="923" w:name="_Toc297123564"/>
      <w:bookmarkStart w:id="924" w:name="_Toc297048405"/>
      <w:bookmarkStart w:id="925" w:name="_Toc312678053"/>
      <w:bookmarkStart w:id="926" w:name="_Toc300935015"/>
      <w:bookmarkStart w:id="927" w:name="_Toc296891259"/>
      <w:bookmarkStart w:id="928" w:name="_Toc296944558"/>
      <w:bookmarkStart w:id="929" w:name="_Toc296347218"/>
      <w:bookmarkStart w:id="930" w:name="_Toc297120519"/>
      <w:bookmarkStart w:id="931" w:name="_Toc297216223"/>
      <w:bookmarkStart w:id="932" w:name="_Toc296346720"/>
      <w:bookmarkStart w:id="933" w:name="_Toc292559424"/>
      <w:bookmarkStart w:id="934" w:name="_Toc303539172"/>
      <w:bookmarkStart w:id="935" w:name="_Toc292559929"/>
      <w:bookmarkStart w:id="936" w:name="_Toc304295593"/>
      <w:bookmarkStart w:id="937" w:name="_Toc296891047"/>
      <w:r>
        <w:rPr>
          <w:rFonts w:hint="eastAsia" w:ascii="宋体" w:hAnsi="宋体" w:eastAsia="宋体" w:cs="宋体"/>
          <w:b/>
          <w:bCs/>
          <w:color w:val="auto"/>
          <w:sz w:val="24"/>
          <w:szCs w:val="24"/>
          <w:highlight w:val="none"/>
        </w:rPr>
        <w:t>13. 验收和工程试车</w:t>
      </w:r>
      <w:bookmarkEnd w:id="914"/>
      <w:bookmarkEnd w:id="915"/>
      <w:bookmarkEnd w:id="916"/>
      <w:bookmarkEnd w:id="917"/>
      <w:bookmarkEnd w:id="918"/>
      <w:bookmarkEnd w:id="919"/>
      <w:bookmarkEnd w:id="920"/>
      <w:bookmarkEnd w:id="921"/>
    </w:p>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938" w:name="_Toc834489126"/>
      <w:bookmarkStart w:id="939" w:name="_Toc407135257"/>
      <w:bookmarkStart w:id="940" w:name="_Toc78449843"/>
      <w:bookmarkStart w:id="941" w:name="_Toc740353520"/>
      <w:bookmarkStart w:id="942" w:name="_Toc389065319"/>
      <w:bookmarkStart w:id="943" w:name="_Toc373227754"/>
      <w:bookmarkStart w:id="944" w:name="_Toc373478401"/>
      <w:r>
        <w:rPr>
          <w:rFonts w:hint="eastAsia" w:ascii="宋体" w:hAnsi="宋体" w:eastAsia="宋体" w:cs="宋体"/>
          <w:b/>
          <w:bCs/>
          <w:color w:val="auto"/>
          <w:sz w:val="24"/>
          <w:szCs w:val="24"/>
          <w:highlight w:val="none"/>
        </w:rPr>
        <w:t>13.1 分部分项工程验收</w:t>
      </w:r>
      <w:bookmarkEnd w:id="938"/>
      <w:bookmarkEnd w:id="939"/>
      <w:bookmarkEnd w:id="940"/>
      <w:bookmarkEnd w:id="941"/>
      <w:bookmarkEnd w:id="942"/>
      <w:bookmarkEnd w:id="943"/>
      <w:bookmarkEnd w:id="944"/>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13.1.2监理人不能按时进行验收时，应提前</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小时提交书面延期要求。</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b/>
          <w:bCs/>
          <w:color w:val="auto"/>
          <w:highlight w:val="none"/>
        </w:rPr>
      </w:pPr>
      <w:r>
        <w:rPr>
          <w:rFonts w:hint="eastAsia" w:ascii="宋体" w:hAnsi="宋体" w:eastAsia="宋体" w:cs="宋体"/>
          <w:color w:val="auto"/>
          <w:highlight w:val="none"/>
        </w:rPr>
        <w:t>关于延期最长不得超过：</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小时。</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945" w:name="_Toc78449844"/>
      <w:bookmarkStart w:id="946" w:name="_Toc1062221039"/>
      <w:bookmarkStart w:id="947" w:name="_Toc407135258"/>
      <w:bookmarkStart w:id="948" w:name="_Toc1578431234"/>
      <w:bookmarkStart w:id="949" w:name="_Toc373478402"/>
      <w:bookmarkStart w:id="950" w:name="_Toc389065320"/>
      <w:bookmarkStart w:id="951" w:name="_Toc373227755"/>
      <w:bookmarkStart w:id="952" w:name="_Toc296346724"/>
      <w:bookmarkStart w:id="953" w:name="_Toc297216224"/>
      <w:bookmarkStart w:id="954" w:name="_Toc292559428"/>
      <w:bookmarkStart w:id="955" w:name="_Toc296944562"/>
      <w:bookmarkStart w:id="956" w:name="_Toc296891051"/>
      <w:bookmarkStart w:id="957" w:name="_Toc297120523"/>
      <w:bookmarkStart w:id="958" w:name="_Toc297048409"/>
      <w:bookmarkStart w:id="959" w:name="_Toc304295596"/>
      <w:bookmarkStart w:id="960" w:name="_Toc312678056"/>
      <w:bookmarkStart w:id="961" w:name="_Toc303539173"/>
      <w:bookmarkStart w:id="962" w:name="_Toc296347222"/>
      <w:bookmarkStart w:id="963" w:name="_Toc292559933"/>
      <w:bookmarkStart w:id="964" w:name="_Toc296503223"/>
      <w:bookmarkStart w:id="965" w:name="_Toc297123565"/>
      <w:bookmarkStart w:id="966" w:name="_Toc296891263"/>
      <w:bookmarkStart w:id="967" w:name="_Toc300935016"/>
      <w:bookmarkStart w:id="968" w:name="_Toc267251476"/>
      <w:bookmarkStart w:id="969" w:name="_Toc267251470"/>
      <w:bookmarkStart w:id="970" w:name="_Toc267251471"/>
      <w:bookmarkStart w:id="971" w:name="_Toc267251475"/>
      <w:bookmarkStart w:id="972" w:name="_Toc267251472"/>
      <w:bookmarkStart w:id="973" w:name="_Toc267251473"/>
      <w:bookmarkStart w:id="974" w:name="_Toc267251474"/>
      <w:r>
        <w:rPr>
          <w:rFonts w:hint="eastAsia" w:ascii="宋体" w:hAnsi="宋体" w:eastAsia="宋体" w:cs="宋体"/>
          <w:b/>
          <w:bCs/>
          <w:color w:val="auto"/>
          <w:sz w:val="24"/>
          <w:szCs w:val="24"/>
          <w:highlight w:val="none"/>
        </w:rPr>
        <w:t>13.2 竣工验收</w:t>
      </w:r>
      <w:bookmarkEnd w:id="945"/>
      <w:bookmarkEnd w:id="946"/>
      <w:bookmarkEnd w:id="947"/>
      <w:bookmarkEnd w:id="948"/>
      <w:bookmarkEnd w:id="949"/>
      <w:bookmarkEnd w:id="950"/>
      <w:bookmarkEnd w:id="951"/>
    </w:p>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bookmarkStart w:id="975" w:name="_Toc280868704"/>
      <w:bookmarkStart w:id="976" w:name="_Toc280868705"/>
      <w:bookmarkStart w:id="977" w:name="_Toc280868706"/>
      <w:bookmarkStart w:id="978" w:name="_Toc280868707"/>
      <w:bookmarkStart w:id="979" w:name="_Toc280868708"/>
      <w:bookmarkStart w:id="980" w:name="_Toc280868709"/>
      <w:r>
        <w:rPr>
          <w:rFonts w:hint="eastAsia" w:ascii="宋体" w:hAnsi="宋体" w:eastAsia="宋体" w:cs="宋体"/>
          <w:color w:val="auto"/>
          <w:highlight w:val="none"/>
        </w:rPr>
        <w:t>13.2.1竣工验收条件</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竣工验收资料的份数：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承包人提供竣工图的约定：</w:t>
      </w:r>
      <w:r>
        <w:rPr>
          <w:rFonts w:hint="eastAsia" w:ascii="宋体" w:hAnsi="宋体" w:eastAsia="宋体" w:cs="宋体"/>
          <w:color w:val="auto"/>
          <w:highlight w:val="none"/>
          <w:u w:val="single"/>
        </w:rPr>
        <w:t>竣工验收正式通过后5天（工程造价在500万元以下含500万元）、10天（工程造价在500万元至1000万元之间含1000万元）、15天（工程造价在1000万元以上），提供竣工图的数量分别为2套、4套、6套。</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13.2.2竣工验收程序</w:t>
      </w:r>
    </w:p>
    <w:bookmarkEnd w:id="975"/>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关于竣工验收程序的约定：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kern w:val="0"/>
          <w:highlight w:val="none"/>
        </w:rPr>
        <w:t>发包人不按照本项约定组织竣工验收、颁发工程接收证书的违约金的计算方法：</w:t>
      </w:r>
      <w:r>
        <w:rPr>
          <w:rFonts w:hint="eastAsia" w:ascii="宋体" w:hAnsi="宋体" w:eastAsia="宋体" w:cs="宋体"/>
          <w:color w:val="auto"/>
          <w:highlight w:val="none"/>
          <w:u w:val="single"/>
        </w:rPr>
        <w:t xml:space="preserve">         </w:t>
      </w:r>
    </w:p>
    <w:p>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bookmarkEnd w:id="976"/>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13.2.5移交、接收全部与部分工程</w:t>
      </w:r>
    </w:p>
    <w:bookmarkEnd w:id="977"/>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承包人向发包人移交工程的期限：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kern w:val="0"/>
          <w:highlight w:val="none"/>
        </w:rPr>
        <w:t>发包人未按本合同约定接收全部或部分工程的，违约金的计算方法为：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bookmarkEnd w:id="978"/>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承包人未按时移交工程的，违约金的计算方法为：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981" w:name="_Toc2090321864"/>
      <w:bookmarkStart w:id="982" w:name="_Toc407135259"/>
      <w:bookmarkStart w:id="983" w:name="_Toc389065321"/>
      <w:bookmarkStart w:id="984" w:name="_Toc373227756"/>
      <w:bookmarkStart w:id="985" w:name="_Toc373478403"/>
      <w:bookmarkStart w:id="986" w:name="_Toc78449845"/>
      <w:bookmarkStart w:id="987" w:name="_Toc1470255881"/>
      <w:r>
        <w:rPr>
          <w:rFonts w:hint="eastAsia" w:ascii="宋体" w:hAnsi="宋体" w:eastAsia="宋体" w:cs="宋体"/>
          <w:b/>
          <w:bCs/>
          <w:color w:val="auto"/>
          <w:sz w:val="24"/>
          <w:szCs w:val="24"/>
          <w:highlight w:val="none"/>
        </w:rPr>
        <w:t>13.3 工程试车</w:t>
      </w:r>
      <w:bookmarkEnd w:id="981"/>
      <w:bookmarkEnd w:id="982"/>
      <w:bookmarkEnd w:id="983"/>
      <w:bookmarkEnd w:id="984"/>
      <w:bookmarkEnd w:id="985"/>
      <w:bookmarkEnd w:id="986"/>
      <w:bookmarkEnd w:id="987"/>
    </w:p>
    <w:bookmarkEnd w:id="979"/>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13.3.1 试车程序</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kern w:val="0"/>
          <w:highlight w:val="none"/>
        </w:rPr>
        <w:t>工程试车内容：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（1）单机无负荷试车费用由</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承担；</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（2）无负荷联动试车费用由</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承担。</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13.3.3 投料试车</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关于投料试车相关事项的约定：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988" w:name="_Toc10307455"/>
      <w:bookmarkStart w:id="989" w:name="_Toc78449846"/>
      <w:bookmarkStart w:id="990" w:name="_Toc550030550"/>
      <w:bookmarkStart w:id="991" w:name="_Toc373478404"/>
      <w:bookmarkStart w:id="992" w:name="_Toc389065322"/>
      <w:bookmarkStart w:id="993" w:name="_Toc373227757"/>
      <w:bookmarkStart w:id="994" w:name="_Toc407135260"/>
      <w:r>
        <w:rPr>
          <w:rFonts w:hint="eastAsia" w:ascii="宋体" w:hAnsi="宋体" w:eastAsia="宋体" w:cs="宋体"/>
          <w:b/>
          <w:bCs/>
          <w:color w:val="auto"/>
          <w:sz w:val="24"/>
          <w:szCs w:val="24"/>
          <w:highlight w:val="none"/>
        </w:rPr>
        <w:t>13.6 竣工退场</w:t>
      </w:r>
      <w:bookmarkEnd w:id="988"/>
      <w:bookmarkEnd w:id="989"/>
      <w:bookmarkEnd w:id="990"/>
      <w:bookmarkEnd w:id="991"/>
      <w:bookmarkEnd w:id="992"/>
      <w:bookmarkEnd w:id="993"/>
      <w:bookmarkEnd w:id="994"/>
    </w:p>
    <w:p>
      <w:pPr>
        <w:keepNext w:val="0"/>
        <w:keepLines w:val="0"/>
        <w:pageBreakBefore w:val="0"/>
        <w:widowControl w:val="0"/>
        <w:kinsoku/>
        <w:wordWrap/>
        <w:overflowPunct/>
        <w:topLinePunct w:val="0"/>
        <w:bidi w:val="0"/>
        <w:snapToGrid/>
        <w:spacing w:line="360" w:lineRule="auto"/>
        <w:ind w:firstLine="420" w:firstLineChars="200"/>
        <w:jc w:val="left"/>
        <w:textAlignment w:val="auto"/>
        <w:outlineLvl w:val="0"/>
        <w:rPr>
          <w:rFonts w:hint="eastAsia" w:ascii="宋体" w:hAnsi="宋体" w:eastAsia="宋体" w:cs="宋体"/>
          <w:color w:val="auto"/>
          <w:kern w:val="0"/>
          <w:highlight w:val="none"/>
        </w:rPr>
      </w:pPr>
      <w:r>
        <w:rPr>
          <w:rFonts w:hint="eastAsia" w:ascii="宋体" w:hAnsi="宋体" w:eastAsia="宋体" w:cs="宋体"/>
          <w:color w:val="auto"/>
          <w:kern w:val="0"/>
          <w:highlight w:val="none"/>
        </w:rPr>
        <w:t>13.6.1 竣工退场</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承包人完成竣工退场的期限：</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995" w:name="_Toc407135261"/>
      <w:bookmarkStart w:id="996" w:name="_Toc1950258056"/>
      <w:bookmarkStart w:id="997" w:name="_Toc373478405"/>
      <w:bookmarkStart w:id="998" w:name="_Toc78449847"/>
      <w:bookmarkStart w:id="999" w:name="_Toc351203646"/>
      <w:bookmarkStart w:id="1000" w:name="_Toc1385490858"/>
      <w:bookmarkStart w:id="1001" w:name="_Toc389065323"/>
      <w:bookmarkStart w:id="1002" w:name="_Toc373227758"/>
      <w:r>
        <w:rPr>
          <w:rFonts w:hint="eastAsia" w:ascii="宋体" w:hAnsi="宋体" w:eastAsia="宋体" w:cs="宋体"/>
          <w:b/>
          <w:bCs/>
          <w:color w:val="auto"/>
          <w:sz w:val="24"/>
          <w:szCs w:val="24"/>
          <w:highlight w:val="none"/>
        </w:rPr>
        <w:t>14. 竣工结算</w:t>
      </w:r>
      <w:bookmarkEnd w:id="995"/>
      <w:bookmarkEnd w:id="996"/>
      <w:bookmarkEnd w:id="997"/>
      <w:bookmarkEnd w:id="998"/>
      <w:bookmarkEnd w:id="999"/>
      <w:bookmarkEnd w:id="1000"/>
      <w:bookmarkEnd w:id="1001"/>
      <w:bookmarkEnd w:id="1002"/>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003" w:name="_Toc407135262"/>
      <w:bookmarkStart w:id="1004" w:name="_Toc373478406"/>
      <w:bookmarkStart w:id="1005" w:name="_Toc373227759"/>
      <w:bookmarkStart w:id="1006" w:name="_Toc389065324"/>
      <w:bookmarkStart w:id="1007" w:name="_Toc1973954660"/>
      <w:bookmarkStart w:id="1008" w:name="_Toc174652718"/>
      <w:bookmarkStart w:id="1009" w:name="_Toc78449848"/>
      <w:r>
        <w:rPr>
          <w:rFonts w:hint="eastAsia" w:ascii="宋体" w:hAnsi="宋体" w:eastAsia="宋体" w:cs="宋体"/>
          <w:b/>
          <w:bCs/>
          <w:color w:val="auto"/>
          <w:sz w:val="24"/>
          <w:szCs w:val="24"/>
          <w:highlight w:val="none"/>
        </w:rPr>
        <w:t>14.1 竣工付款申请</w:t>
      </w:r>
      <w:bookmarkEnd w:id="1003"/>
      <w:bookmarkEnd w:id="1004"/>
      <w:bookmarkEnd w:id="1005"/>
      <w:bookmarkEnd w:id="1006"/>
      <w:bookmarkEnd w:id="1007"/>
      <w:bookmarkEnd w:id="1008"/>
      <w:bookmarkEnd w:id="1009"/>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承包人提交竣工付款申请单的期限：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竣工付款申请单应包括的内容：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。竣工结算款支付申请（核准）表见合同附件12。</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010" w:name="_Toc407135263"/>
      <w:bookmarkStart w:id="1011" w:name="_Toc489920513"/>
      <w:bookmarkStart w:id="1012" w:name="_Toc667492935"/>
      <w:bookmarkStart w:id="1013" w:name="_Toc373478407"/>
      <w:bookmarkStart w:id="1014" w:name="_Toc389065325"/>
      <w:bookmarkStart w:id="1015" w:name="_Toc373227760"/>
      <w:bookmarkStart w:id="1016" w:name="_Toc78449849"/>
      <w:r>
        <w:rPr>
          <w:rFonts w:hint="eastAsia" w:ascii="宋体" w:hAnsi="宋体" w:eastAsia="宋体" w:cs="宋体"/>
          <w:b/>
          <w:bCs/>
          <w:color w:val="auto"/>
          <w:sz w:val="24"/>
          <w:szCs w:val="24"/>
          <w:highlight w:val="none"/>
        </w:rPr>
        <w:t>14.2 竣工结算审核</w:t>
      </w:r>
      <w:bookmarkEnd w:id="1010"/>
      <w:bookmarkEnd w:id="1011"/>
      <w:bookmarkEnd w:id="1012"/>
      <w:bookmarkEnd w:id="1013"/>
      <w:bookmarkEnd w:id="1014"/>
      <w:bookmarkEnd w:id="1015"/>
      <w:bookmarkEnd w:id="1016"/>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发包人审批竣工付款申请单的期限：</w:t>
      </w:r>
    </w:p>
    <w:tbl>
      <w:tblPr>
        <w:tblStyle w:val="39"/>
        <w:tblW w:w="91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621"/>
        <w:gridCol w:w="5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5" w:type="dxa"/>
            <w:noWrap w:val="0"/>
            <w:vAlign w:val="center"/>
          </w:tcPr>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auto"/>
                <w:highlight w:val="none"/>
              </w:rPr>
            </w:pPr>
          </w:p>
        </w:tc>
        <w:tc>
          <w:tcPr>
            <w:tcW w:w="2621" w:type="dxa"/>
            <w:noWrap w:val="0"/>
            <w:vAlign w:val="center"/>
          </w:tcPr>
          <w:p>
            <w:pPr>
              <w:keepNext w:val="0"/>
              <w:keepLines w:val="0"/>
              <w:pageBreakBefore w:val="0"/>
              <w:widowControl w:val="0"/>
              <w:kinsoku/>
              <w:wordWrap/>
              <w:overflowPunct/>
              <w:topLinePunct w:val="0"/>
              <w:bidi w:val="0"/>
              <w:snapToGrid/>
              <w:spacing w:line="360" w:lineRule="auto"/>
              <w:ind w:firstLine="27" w:firstLineChars="13"/>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工程竣工结算报告金额</w:t>
            </w:r>
          </w:p>
        </w:tc>
        <w:tc>
          <w:tcPr>
            <w:tcW w:w="5812" w:type="dxa"/>
            <w:noWrap w:val="0"/>
            <w:vAlign w:val="center"/>
          </w:tcPr>
          <w:p>
            <w:pPr>
              <w:keepNext w:val="0"/>
              <w:keepLines w:val="0"/>
              <w:pageBreakBefore w:val="0"/>
              <w:widowControl w:val="0"/>
              <w:kinsoku/>
              <w:wordWrap/>
              <w:overflowPunct/>
              <w:topLinePunct w:val="0"/>
              <w:bidi w:val="0"/>
              <w:snapToGrid/>
              <w:spacing w:line="360" w:lineRule="auto"/>
              <w:ind w:firstLine="441" w:firstLineChars="21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发包人审查时间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5" w:type="dxa"/>
            <w:noWrap w:val="0"/>
            <w:vAlign w:val="center"/>
          </w:tcPr>
          <w:p>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621" w:type="dxa"/>
            <w:noWrap w:val="0"/>
            <w:vAlign w:val="center"/>
          </w:tcPr>
          <w:p>
            <w:pPr>
              <w:keepNext w:val="0"/>
              <w:keepLines w:val="0"/>
              <w:pageBreakBefore w:val="0"/>
              <w:widowControl w:val="0"/>
              <w:kinsoku/>
              <w:wordWrap/>
              <w:overflowPunct/>
              <w:topLinePunct w:val="0"/>
              <w:bidi w:val="0"/>
              <w:snapToGrid/>
              <w:spacing w:line="360" w:lineRule="auto"/>
              <w:ind w:firstLine="27" w:firstLineChars="13"/>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500万元以下</w:t>
            </w:r>
          </w:p>
        </w:tc>
        <w:tc>
          <w:tcPr>
            <w:tcW w:w="5812" w:type="dxa"/>
            <w:noWrap w:val="0"/>
            <w:vAlign w:val="center"/>
          </w:tcPr>
          <w:p>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从接到竣工结算报告和完整的竣工结算资料之日起20天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5" w:type="dxa"/>
            <w:noWrap w:val="0"/>
            <w:vAlign w:val="center"/>
          </w:tcPr>
          <w:p>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621" w:type="dxa"/>
            <w:noWrap w:val="0"/>
            <w:vAlign w:val="center"/>
          </w:tcPr>
          <w:p>
            <w:pPr>
              <w:keepNext w:val="0"/>
              <w:keepLines w:val="0"/>
              <w:pageBreakBefore w:val="0"/>
              <w:widowControl w:val="0"/>
              <w:kinsoku/>
              <w:wordWrap/>
              <w:overflowPunct/>
              <w:topLinePunct w:val="0"/>
              <w:bidi w:val="0"/>
              <w:snapToGrid/>
              <w:spacing w:line="360" w:lineRule="auto"/>
              <w:ind w:firstLine="27" w:firstLineChars="13"/>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500万元-2000万元</w:t>
            </w:r>
          </w:p>
        </w:tc>
        <w:tc>
          <w:tcPr>
            <w:tcW w:w="5812" w:type="dxa"/>
            <w:noWrap w:val="0"/>
            <w:vAlign w:val="center"/>
          </w:tcPr>
          <w:p>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5" w:type="dxa"/>
            <w:noWrap w:val="0"/>
            <w:vAlign w:val="center"/>
          </w:tcPr>
          <w:p>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621" w:type="dxa"/>
            <w:noWrap w:val="0"/>
            <w:vAlign w:val="center"/>
          </w:tcPr>
          <w:p>
            <w:pPr>
              <w:keepNext w:val="0"/>
              <w:keepLines w:val="0"/>
              <w:pageBreakBefore w:val="0"/>
              <w:widowControl w:val="0"/>
              <w:kinsoku/>
              <w:wordWrap/>
              <w:overflowPunct/>
              <w:topLinePunct w:val="0"/>
              <w:bidi w:val="0"/>
              <w:snapToGrid/>
              <w:spacing w:line="360" w:lineRule="auto"/>
              <w:ind w:firstLine="27" w:firstLineChars="13"/>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2000万元-5000万元</w:t>
            </w:r>
          </w:p>
        </w:tc>
        <w:tc>
          <w:tcPr>
            <w:tcW w:w="5812" w:type="dxa"/>
            <w:noWrap w:val="0"/>
            <w:vAlign w:val="center"/>
          </w:tcPr>
          <w:p>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从接到竣工结算报告和完整的竣工结算资料之日起45天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5" w:type="dxa"/>
            <w:noWrap w:val="0"/>
            <w:vAlign w:val="center"/>
          </w:tcPr>
          <w:p>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2621" w:type="dxa"/>
            <w:noWrap w:val="0"/>
            <w:vAlign w:val="center"/>
          </w:tcPr>
          <w:p>
            <w:pPr>
              <w:keepNext w:val="0"/>
              <w:keepLines w:val="0"/>
              <w:pageBreakBefore w:val="0"/>
              <w:widowControl w:val="0"/>
              <w:kinsoku/>
              <w:wordWrap/>
              <w:overflowPunct/>
              <w:topLinePunct w:val="0"/>
              <w:bidi w:val="0"/>
              <w:snapToGrid/>
              <w:spacing w:line="360" w:lineRule="auto"/>
              <w:ind w:firstLine="27" w:firstLineChars="13"/>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5000万元以上</w:t>
            </w:r>
          </w:p>
        </w:tc>
        <w:tc>
          <w:tcPr>
            <w:tcW w:w="5812" w:type="dxa"/>
            <w:noWrap w:val="0"/>
            <w:vAlign w:val="center"/>
          </w:tcPr>
          <w:p>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从接到竣工结算报告和完整的竣工结算资料之日起60天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5" w:type="dxa"/>
            <w:noWrap w:val="0"/>
            <w:vAlign w:val="center"/>
          </w:tcPr>
          <w:p>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2621" w:type="dxa"/>
            <w:noWrap w:val="0"/>
            <w:vAlign w:val="center"/>
          </w:tcPr>
          <w:p>
            <w:pPr>
              <w:keepNext w:val="0"/>
              <w:keepLines w:val="0"/>
              <w:pageBreakBefore w:val="0"/>
              <w:widowControl w:val="0"/>
              <w:kinsoku/>
              <w:wordWrap/>
              <w:overflowPunct/>
              <w:topLinePunct w:val="0"/>
              <w:bidi w:val="0"/>
              <w:snapToGrid/>
              <w:spacing w:line="360" w:lineRule="auto"/>
              <w:ind w:firstLine="27" w:firstLineChars="13"/>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5000万以上每增加0.5亿(不足0.5亿不增加)</w:t>
            </w:r>
          </w:p>
        </w:tc>
        <w:tc>
          <w:tcPr>
            <w:tcW w:w="5812" w:type="dxa"/>
            <w:noWrap w:val="0"/>
            <w:vAlign w:val="center"/>
          </w:tcPr>
          <w:p>
            <w:pPr>
              <w:keepNext w:val="0"/>
              <w:keepLines w:val="0"/>
              <w:pageBreakBefore w:val="0"/>
              <w:widowControl w:val="0"/>
              <w:kinsoku/>
              <w:wordWrap/>
              <w:overflowPunct/>
              <w:topLinePunct w:val="0"/>
              <w:bidi w:val="0"/>
              <w:snapToGrid/>
              <w:spacing w:line="360" w:lineRule="auto"/>
              <w:ind w:firstLine="441" w:firstLineChars="21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增加10天</w:t>
            </w:r>
          </w:p>
        </w:tc>
      </w:tr>
    </w:tbl>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因承包人提供的结算资料不完整而需要补充或承包人不按时对账耽误时间时，审查时间应相应顺延。</w:t>
      </w:r>
    </w:p>
    <w:p>
      <w:pPr>
        <w:keepNext w:val="0"/>
        <w:keepLines w:val="0"/>
        <w:pageBreakBefore w:val="0"/>
        <w:widowControl w:val="0"/>
        <w:kinsoku/>
        <w:wordWrap/>
        <w:overflowPunct/>
        <w:topLinePunct w:val="0"/>
        <w:bidi w:val="0"/>
        <w:snapToGrid/>
        <w:spacing w:line="360" w:lineRule="auto"/>
        <w:ind w:firstLine="411" w:firstLineChars="196"/>
        <w:textAlignment w:val="auto"/>
        <w:rPr>
          <w:rFonts w:hint="eastAsia" w:ascii="宋体" w:hAnsi="宋体" w:eastAsia="宋体" w:cs="宋体"/>
          <w:i w:val="0"/>
          <w:caps w:val="0"/>
          <w:color w:val="auto"/>
          <w:spacing w:val="0"/>
          <w:sz w:val="21"/>
          <w:szCs w:val="21"/>
          <w:highlight w:val="none"/>
        </w:rPr>
      </w:pPr>
      <w:r>
        <w:rPr>
          <w:rFonts w:hint="eastAsia" w:ascii="宋体" w:hAnsi="宋体" w:eastAsia="宋体" w:cs="宋体"/>
          <w:color w:val="auto"/>
          <w:highlight w:val="none"/>
        </w:rPr>
        <w:t>竣工结算审核约定：</w:t>
      </w:r>
      <w:r>
        <w:rPr>
          <w:rFonts w:hint="eastAsia" w:ascii="宋体" w:hAnsi="宋体" w:eastAsia="宋体" w:cs="宋体"/>
          <w:i w:val="0"/>
          <w:caps w:val="0"/>
          <w:color w:val="auto"/>
          <w:spacing w:val="0"/>
          <w:sz w:val="21"/>
          <w:szCs w:val="21"/>
          <w:highlight w:val="none"/>
        </w:rPr>
        <w:t>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pPr>
        <w:keepNext w:val="0"/>
        <w:keepLines w:val="0"/>
        <w:pageBreakBefore w:val="0"/>
        <w:widowControl w:val="0"/>
        <w:kinsoku/>
        <w:wordWrap/>
        <w:overflowPunct/>
        <w:topLinePunct w:val="0"/>
        <w:bidi w:val="0"/>
        <w:snapToGrid/>
        <w:spacing w:line="360" w:lineRule="auto"/>
        <w:ind w:firstLine="431" w:firstLineChars="196"/>
        <w:textAlignment w:val="auto"/>
        <w:rPr>
          <w:rFonts w:hint="eastAsia" w:ascii="宋体" w:hAnsi="宋体" w:eastAsia="宋体" w:cs="宋体"/>
          <w:color w:val="auto"/>
          <w:highlight w:val="none"/>
        </w:rPr>
      </w:pPr>
      <w:r>
        <w:rPr>
          <w:rFonts w:hint="eastAsia" w:ascii="宋体" w:hAnsi="宋体" w:eastAsia="宋体" w:cs="宋体"/>
          <w:color w:val="auto"/>
          <w:kern w:val="0"/>
          <w:sz w:val="22"/>
          <w:szCs w:val="22"/>
          <w:highlight w:val="none"/>
          <w:lang w:val="en-US" w:eastAsia="zh-CN" w:bidi="ar"/>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pPr>
        <w:keepNext w:val="0"/>
        <w:keepLines w:val="0"/>
        <w:pageBreakBefore w:val="0"/>
        <w:widowControl w:val="0"/>
        <w:kinsoku/>
        <w:wordWrap/>
        <w:overflowPunct/>
        <w:topLinePunct w:val="0"/>
        <w:bidi w:val="0"/>
        <w:snapToGrid/>
        <w:spacing w:line="360" w:lineRule="auto"/>
        <w:ind w:firstLine="411" w:firstLineChars="196"/>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u w:val="single"/>
        </w:rPr>
        <w:t>1、工程竣工验收报告经发包人认可后   天内，承包人向发包人递交竣工验收合格资料及完整的结算资料和报告，双方按照本工程合同约定的价格形式及价款调整办法进行工程竣工结算。2、发包人收到承包人递交的竣工结算报告及结算资料之日起   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   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   天内，发包人按审定后的竣工结算价款，通知经办银行向承包人支付结算价款。</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备注：对于国有投资项目结算审核约定，双方可结合各地政府或有关部门出台的管理规定进行局部调整</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017" w:name="_Toc78449850"/>
      <w:bookmarkStart w:id="1018" w:name="_Toc389065326"/>
      <w:bookmarkStart w:id="1019" w:name="_Toc540165641"/>
      <w:bookmarkStart w:id="1020" w:name="_Toc373227761"/>
      <w:bookmarkStart w:id="1021" w:name="_Toc373478408"/>
      <w:bookmarkStart w:id="1022" w:name="_Toc1203653078"/>
      <w:bookmarkStart w:id="1023" w:name="_Toc407135264"/>
      <w:r>
        <w:rPr>
          <w:rFonts w:hint="eastAsia" w:ascii="宋体" w:hAnsi="宋体" w:eastAsia="宋体" w:cs="宋体"/>
          <w:b/>
          <w:bCs/>
          <w:color w:val="auto"/>
          <w:sz w:val="24"/>
          <w:szCs w:val="24"/>
          <w:highlight w:val="none"/>
        </w:rPr>
        <w:t>14.4 最终结清</w:t>
      </w:r>
      <w:bookmarkEnd w:id="1017"/>
      <w:bookmarkEnd w:id="1018"/>
      <w:bookmarkEnd w:id="1019"/>
      <w:bookmarkEnd w:id="1020"/>
      <w:bookmarkEnd w:id="1021"/>
      <w:bookmarkEnd w:id="1022"/>
      <w:bookmarkEnd w:id="1023"/>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14.4.1 最终结清申请单</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承包人提交最终结清申请单的份数：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kern w:val="0"/>
          <w:highlight w:val="none"/>
        </w:rPr>
        <w:t>承包人提交最终结算申请单的期限：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最终结算款支付申请（核准）表见合同附件13。</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14.4.2 最终结清证书和支付</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（1）发包人完成最终结清申请单的审批并颁发最终结清证书的期限：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（2）发包人完成支付的期限：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bookmarkEnd w:id="968"/>
    <w:bookmarkEnd w:id="969"/>
    <w:bookmarkEnd w:id="970"/>
    <w:bookmarkEnd w:id="971"/>
    <w:bookmarkEnd w:id="972"/>
    <w:bookmarkEnd w:id="973"/>
    <w:bookmarkEnd w:id="974"/>
    <w:bookmarkEnd w:id="980"/>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024" w:name="_Toc905081407"/>
      <w:bookmarkStart w:id="1025" w:name="_Toc407135265"/>
      <w:bookmarkStart w:id="1026" w:name="_Toc351203647"/>
      <w:bookmarkStart w:id="1027" w:name="_Toc373227762"/>
      <w:bookmarkStart w:id="1028" w:name="_Toc389065327"/>
      <w:bookmarkStart w:id="1029" w:name="_Toc373478409"/>
      <w:bookmarkStart w:id="1030" w:name="_Toc78449851"/>
      <w:bookmarkStart w:id="1031" w:name="_Toc1294213766"/>
      <w:bookmarkStart w:id="1032" w:name="_Toc267251483"/>
      <w:bookmarkStart w:id="1033" w:name="_Toc267251482"/>
      <w:bookmarkStart w:id="1034" w:name="_Toc267251484"/>
      <w:bookmarkStart w:id="1035" w:name="_Toc267251485"/>
      <w:bookmarkStart w:id="1036" w:name="_Toc267251489"/>
      <w:bookmarkStart w:id="1037" w:name="_Toc267251486"/>
      <w:bookmarkStart w:id="1038" w:name="_Toc267251488"/>
      <w:bookmarkStart w:id="1039" w:name="_Toc267251490"/>
      <w:bookmarkStart w:id="1040" w:name="_Toc267251492"/>
      <w:bookmarkStart w:id="1041" w:name="_Toc267251499"/>
      <w:bookmarkStart w:id="1042" w:name="_Toc267251494"/>
      <w:bookmarkStart w:id="1043" w:name="_Toc267251498"/>
      <w:bookmarkStart w:id="1044" w:name="_Toc267251495"/>
      <w:bookmarkStart w:id="1045" w:name="_Toc267251501"/>
      <w:bookmarkStart w:id="1046" w:name="_Toc267251493"/>
      <w:bookmarkStart w:id="1047" w:name="_Toc267251497"/>
      <w:bookmarkStart w:id="1048" w:name="_Toc267251496"/>
      <w:bookmarkStart w:id="1049" w:name="_Toc267251502"/>
      <w:bookmarkStart w:id="1050" w:name="_Toc267251491"/>
      <w:bookmarkStart w:id="1051" w:name="_Toc267251503"/>
      <w:bookmarkStart w:id="1052" w:name="_Toc267251506"/>
      <w:bookmarkStart w:id="1053" w:name="_Toc267251504"/>
      <w:bookmarkStart w:id="1054" w:name="_Toc267251507"/>
      <w:bookmarkStart w:id="1055" w:name="_Toc267251508"/>
      <w:bookmarkStart w:id="1056" w:name="_Toc267251510"/>
      <w:bookmarkStart w:id="1057" w:name="_Toc267251513"/>
      <w:bookmarkStart w:id="1058" w:name="_Toc267251511"/>
      <w:bookmarkStart w:id="1059" w:name="_Toc267251515"/>
      <w:bookmarkStart w:id="1060" w:name="_Toc267251509"/>
      <w:bookmarkStart w:id="1061" w:name="_Toc267251514"/>
      <w:r>
        <w:rPr>
          <w:rFonts w:hint="eastAsia" w:ascii="宋体" w:hAnsi="宋体" w:eastAsia="宋体" w:cs="宋体"/>
          <w:b/>
          <w:bCs/>
          <w:color w:val="auto"/>
          <w:sz w:val="24"/>
          <w:szCs w:val="24"/>
          <w:highlight w:val="none"/>
        </w:rPr>
        <w:t>15. 缺陷责任期与保修</w:t>
      </w:r>
      <w:bookmarkEnd w:id="1024"/>
      <w:bookmarkEnd w:id="1025"/>
      <w:bookmarkEnd w:id="1026"/>
      <w:bookmarkEnd w:id="1027"/>
      <w:bookmarkEnd w:id="1028"/>
      <w:bookmarkEnd w:id="1029"/>
      <w:bookmarkEnd w:id="1030"/>
      <w:bookmarkEnd w:id="1031"/>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062" w:name="_Toc407135266"/>
      <w:bookmarkStart w:id="1063" w:name="_Toc373227763"/>
      <w:bookmarkStart w:id="1064" w:name="_Toc78449852"/>
      <w:bookmarkStart w:id="1065" w:name="_Toc389065328"/>
      <w:bookmarkStart w:id="1066" w:name="_Toc373478410"/>
      <w:bookmarkStart w:id="1067" w:name="_Toc1845278067"/>
      <w:bookmarkStart w:id="1068" w:name="_Toc1468458868"/>
      <w:r>
        <w:rPr>
          <w:rFonts w:hint="eastAsia" w:ascii="宋体" w:hAnsi="宋体" w:eastAsia="宋体" w:cs="宋体"/>
          <w:b/>
          <w:bCs/>
          <w:color w:val="auto"/>
          <w:sz w:val="24"/>
          <w:szCs w:val="24"/>
          <w:highlight w:val="none"/>
        </w:rPr>
        <w:t>15.2 缺陷责任期</w:t>
      </w:r>
      <w:bookmarkEnd w:id="1032"/>
      <w:bookmarkEnd w:id="1062"/>
      <w:bookmarkEnd w:id="1063"/>
      <w:bookmarkEnd w:id="1064"/>
      <w:bookmarkEnd w:id="1065"/>
      <w:bookmarkEnd w:id="1066"/>
      <w:bookmarkEnd w:id="1067"/>
      <w:bookmarkEnd w:id="1068"/>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缺陷责任期的具体期限：</w:t>
      </w:r>
      <w:r>
        <w:rPr>
          <w:rFonts w:hint="eastAsia" w:ascii="宋体" w:hAnsi="宋体" w:eastAsia="宋体" w:cs="宋体"/>
          <w:color w:val="auto"/>
          <w:highlight w:val="none"/>
          <w:u w:val="single"/>
        </w:rPr>
        <w:t xml:space="preserve"> 从工程竣工验收合格之日起 </w:t>
      </w:r>
      <w:r>
        <w:rPr>
          <w:rFonts w:hint="eastAsia" w:ascii="宋体" w:hAnsi="宋体" w:eastAsia="宋体" w:cs="宋体"/>
          <w:color w:val="auto"/>
          <w:highlight w:val="none"/>
          <w:u w:val="single"/>
          <w:lang w:val="en-US" w:eastAsia="zh-CN"/>
        </w:rPr>
        <w:t>12</w:t>
      </w:r>
      <w:r>
        <w:rPr>
          <w:rFonts w:hint="eastAsia" w:ascii="宋体" w:hAnsi="宋体" w:eastAsia="宋体" w:cs="宋体"/>
          <w:color w:val="auto"/>
          <w:highlight w:val="none"/>
          <w:u w:val="single"/>
        </w:rPr>
        <w:t xml:space="preserve"> 个月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069" w:name="_Toc1004692311"/>
      <w:bookmarkStart w:id="1070" w:name="_Toc407135267"/>
      <w:bookmarkStart w:id="1071" w:name="_Toc78449853"/>
      <w:bookmarkStart w:id="1072" w:name="_Toc666080472"/>
      <w:bookmarkStart w:id="1073" w:name="_Toc389065329"/>
      <w:bookmarkStart w:id="1074" w:name="_Toc373478411"/>
      <w:bookmarkStart w:id="1075" w:name="_Toc373227764"/>
      <w:r>
        <w:rPr>
          <w:rFonts w:hint="eastAsia" w:ascii="宋体" w:hAnsi="宋体" w:eastAsia="宋体" w:cs="宋体"/>
          <w:b/>
          <w:bCs/>
          <w:color w:val="auto"/>
          <w:sz w:val="24"/>
          <w:szCs w:val="24"/>
          <w:highlight w:val="none"/>
        </w:rPr>
        <w:t>15.3 质量保证金</w:t>
      </w:r>
      <w:bookmarkEnd w:id="1069"/>
      <w:bookmarkEnd w:id="1070"/>
      <w:bookmarkEnd w:id="1071"/>
      <w:bookmarkEnd w:id="1072"/>
      <w:bookmarkEnd w:id="1073"/>
      <w:bookmarkEnd w:id="1074"/>
      <w:bookmarkEnd w:id="1075"/>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关于是否扣留质量保证金的约定：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在工程项目竣工前，承包人按专用合同条款第3.7条提供履约担保的，发包人不得同时预留工程质量保证金。</w:t>
      </w:r>
    </w:p>
    <w:p>
      <w:pPr>
        <w:keepNext w:val="0"/>
        <w:keepLines w:val="0"/>
        <w:pageBreakBefore w:val="0"/>
        <w:widowControl w:val="0"/>
        <w:kinsoku/>
        <w:wordWrap/>
        <w:overflowPunct/>
        <w:topLinePunct w:val="0"/>
        <w:bidi w:val="0"/>
        <w:snapToGrid/>
        <w:spacing w:line="360" w:lineRule="auto"/>
        <w:ind w:firstLine="420" w:firstLineChars="200"/>
        <w:jc w:val="left"/>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rPr>
        <w:t>15.3.1 承包人提供质量保证金的方式</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质量保证金采用以下第</w:t>
      </w:r>
      <w:r>
        <w:rPr>
          <w:rFonts w:hint="eastAsia" w:ascii="宋体" w:hAnsi="宋体" w:eastAsia="宋体" w:cs="宋体"/>
          <w:color w:val="auto"/>
          <w:highlight w:val="none"/>
          <w:u w:val="single"/>
          <w:lang w:val="en-US" w:eastAsia="zh-CN"/>
        </w:rPr>
        <w:t xml:space="preserve"> 2 </w:t>
      </w:r>
      <w:r>
        <w:rPr>
          <w:rFonts w:hint="eastAsia" w:ascii="宋体" w:hAnsi="宋体" w:eastAsia="宋体" w:cs="宋体"/>
          <w:color w:val="auto"/>
          <w:highlight w:val="none"/>
        </w:rPr>
        <w:t>种方式：</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（1）质量保证金保函</w:t>
      </w:r>
      <w:r>
        <w:rPr>
          <w:rFonts w:hint="eastAsia" w:ascii="宋体" w:hAnsi="宋体" w:eastAsia="宋体" w:cs="宋体"/>
          <w:color w:val="auto"/>
          <w:highlight w:val="none"/>
        </w:rPr>
        <w:t>（银行保函、电子保函、保证保险保函、工程担保保函</w:t>
      </w:r>
      <w:r>
        <w:rPr>
          <w:rFonts w:hint="eastAsia" w:ascii="宋体" w:hAnsi="宋体" w:eastAsia="宋体" w:cs="宋体"/>
          <w:color w:val="auto"/>
          <w:highlight w:val="none"/>
          <w:lang w:eastAsia="zh-CN"/>
        </w:rPr>
        <w:t>，</w:t>
      </w:r>
      <w:r>
        <w:rPr>
          <w:rFonts w:hint="eastAsia" w:ascii="宋体" w:hAnsi="宋体" w:eastAsia="宋体" w:cs="宋体"/>
          <w:color w:val="auto"/>
          <w:kern w:val="0"/>
          <w:highlight w:val="none"/>
        </w:rPr>
        <w:t>工程担保保证人应将出具的保函相关信息录入“广西建筑市场监管云”平台（http://gxjzsc.caihcloud.com），以实现保函查询及验真功能</w:t>
      </w:r>
      <w:r>
        <w:rPr>
          <w:rFonts w:hint="eastAsia" w:ascii="宋体" w:hAnsi="宋体" w:eastAsia="宋体" w:cs="宋体"/>
          <w:color w:val="auto"/>
          <w:kern w:val="0"/>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kern w:val="0"/>
          <w:highlight w:val="none"/>
        </w:rPr>
        <w:t>，保证金额为：</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（2）</w:t>
      </w:r>
      <w:r>
        <w:rPr>
          <w:rFonts w:hint="eastAsia" w:ascii="宋体" w:hAnsi="宋体" w:eastAsia="宋体" w:cs="宋体"/>
          <w:color w:val="auto"/>
          <w:highlight w:val="none"/>
        </w:rPr>
        <w:t>发包人按工程价款结算总额的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%（不得超过3%）预留工程质量保证金，待缺陷责任期满后返还，是否付息及利息计算方式为：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（3）其他方式：</w:t>
      </w:r>
      <w:r>
        <w:rPr>
          <w:rFonts w:hint="eastAsia" w:ascii="宋体" w:hAnsi="宋体" w:eastAsia="宋体" w:cs="宋体"/>
          <w:color w:val="auto"/>
          <w:highlight w:val="none"/>
        </w:rPr>
        <w:t>银行转账、电汇或网上支付等</w:t>
      </w:r>
      <w:r>
        <w:rPr>
          <w:rFonts w:hint="eastAsia" w:ascii="宋体" w:hAnsi="宋体" w:eastAsia="宋体" w:cs="宋体"/>
          <w:color w:val="auto"/>
          <w:highlight w:val="none"/>
          <w:lang w:eastAsia="zh-CN"/>
        </w:rPr>
        <w:t>形</w:t>
      </w:r>
      <w:r>
        <w:rPr>
          <w:rFonts w:hint="eastAsia" w:ascii="宋体" w:hAnsi="宋体" w:eastAsia="宋体" w:cs="宋体"/>
          <w:color w:val="auto"/>
          <w:highlight w:val="none"/>
        </w:rPr>
        <w:t>式。</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15.3.2 质量保证金的扣留</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质量保证金的扣留采取以下第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（1）在不缴纳履保证金情况下，按支付工程进度款时逐次扣留，质量保证金的计算基数不包括预付款的支付、扣回以及价格调整的金额；</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（2）工程竣工结算时，一次性扣留质量保证金，由承包人以银行保函、保证保险替代预留质量保证金，保函金额不得高于工程价款结算总额的3%；</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（3）其他扣留方式</w:t>
      </w:r>
      <w:r>
        <w:rPr>
          <w:rFonts w:hint="eastAsia" w:ascii="宋体" w:hAnsi="宋体" w:eastAsia="宋体" w:cs="宋体"/>
          <w:color w:val="auto"/>
          <w:kern w:val="0"/>
          <w:highlight w:val="none"/>
          <w:lang w:eastAsia="zh-CN"/>
        </w:rPr>
        <w:t>：</w:t>
      </w:r>
      <w:r>
        <w:rPr>
          <w:rFonts w:hint="eastAsia" w:ascii="宋体" w:hAnsi="宋体" w:eastAsia="宋体" w:cs="宋体"/>
          <w:color w:val="auto"/>
          <w:kern w:val="0"/>
          <w:highlight w:val="none"/>
          <w:u w:val="single"/>
          <w:lang w:val="en-US" w:eastAsia="zh-CN"/>
        </w:rPr>
        <w:t xml:space="preserve">         </w:t>
      </w:r>
      <w:r>
        <w:rPr>
          <w:rFonts w:hint="eastAsia" w:ascii="宋体" w:hAnsi="宋体" w:eastAsia="宋体" w:cs="宋体"/>
          <w:color w:val="auto"/>
          <w:highlight w:val="none"/>
        </w:rPr>
        <w:t>银行转账、电汇或网上支付、保函（银行保函、电子保函、保证保险保函、工程担保保函）等</w:t>
      </w:r>
      <w:r>
        <w:rPr>
          <w:rFonts w:hint="eastAsia" w:ascii="宋体" w:hAnsi="宋体" w:eastAsia="宋体" w:cs="宋体"/>
          <w:color w:val="auto"/>
          <w:highlight w:val="none"/>
          <w:lang w:eastAsia="zh-CN"/>
        </w:rPr>
        <w:t>形</w:t>
      </w:r>
      <w:r>
        <w:rPr>
          <w:rFonts w:hint="eastAsia" w:ascii="宋体" w:hAnsi="宋体" w:eastAsia="宋体" w:cs="宋体"/>
          <w:color w:val="auto"/>
          <w:highlight w:val="none"/>
        </w:rPr>
        <w:t>式</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u w:val="single"/>
        </w:rPr>
      </w:pPr>
      <w:r>
        <w:rPr>
          <w:rFonts w:hint="eastAsia" w:ascii="宋体" w:hAnsi="宋体" w:eastAsia="宋体" w:cs="宋体"/>
          <w:color w:val="auto"/>
          <w:highlight w:val="none"/>
        </w:rPr>
        <w:t>关于质量保证金的补充约定：</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bookmarkEnd w:id="1033"/>
    <w:bookmarkEnd w:id="1034"/>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076" w:name="_Toc373227765"/>
      <w:bookmarkStart w:id="1077" w:name="_Toc407135268"/>
      <w:bookmarkStart w:id="1078" w:name="_Toc373478412"/>
      <w:bookmarkStart w:id="1079" w:name="_Toc196306762"/>
      <w:bookmarkStart w:id="1080" w:name="_Toc78449854"/>
      <w:bookmarkStart w:id="1081" w:name="_Toc1902722111"/>
      <w:bookmarkStart w:id="1082" w:name="_Toc389065330"/>
      <w:r>
        <w:rPr>
          <w:rFonts w:hint="eastAsia" w:ascii="宋体" w:hAnsi="宋体" w:eastAsia="宋体" w:cs="宋体"/>
          <w:b/>
          <w:bCs/>
          <w:color w:val="auto"/>
          <w:sz w:val="24"/>
          <w:szCs w:val="24"/>
          <w:highlight w:val="none"/>
        </w:rPr>
        <w:t>15.4 保修</w:t>
      </w:r>
      <w:bookmarkEnd w:id="1076"/>
      <w:bookmarkEnd w:id="1077"/>
      <w:bookmarkEnd w:id="1078"/>
      <w:bookmarkEnd w:id="1079"/>
      <w:bookmarkEnd w:id="1080"/>
      <w:bookmarkEnd w:id="1081"/>
      <w:bookmarkEnd w:id="1082"/>
    </w:p>
    <w:bookmarkEnd w:id="1035"/>
    <w:p>
      <w:pPr>
        <w:keepNext w:val="0"/>
        <w:keepLines w:val="0"/>
        <w:pageBreakBefore w:val="0"/>
        <w:widowControl w:val="0"/>
        <w:kinsoku/>
        <w:wordWrap/>
        <w:overflowPunct/>
        <w:topLinePunct w:val="0"/>
        <w:bidi w:val="0"/>
        <w:snapToGrid/>
        <w:spacing w:line="360" w:lineRule="auto"/>
        <w:ind w:firstLine="409" w:firstLineChars="195"/>
        <w:jc w:val="left"/>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rPr>
        <w:t>15.4.1 保修责任</w:t>
      </w:r>
    </w:p>
    <w:p>
      <w:pPr>
        <w:keepNext w:val="0"/>
        <w:keepLines w:val="0"/>
        <w:pageBreakBefore w:val="0"/>
        <w:widowControl w:val="0"/>
        <w:kinsoku/>
        <w:wordWrap/>
        <w:overflowPunct/>
        <w:topLinePunct w:val="0"/>
        <w:bidi w:val="0"/>
        <w:snapToGrid/>
        <w:spacing w:line="360" w:lineRule="auto"/>
        <w:ind w:firstLine="409" w:firstLineChars="195"/>
        <w:jc w:val="left"/>
        <w:textAlignment w:val="auto"/>
        <w:rPr>
          <w:rFonts w:hint="eastAsia" w:ascii="宋体" w:hAnsi="宋体" w:eastAsia="宋体" w:cs="宋体"/>
          <w:color w:val="auto"/>
          <w:kern w:val="0"/>
          <w:highlight w:val="none"/>
        </w:rPr>
      </w:pPr>
      <w:r>
        <w:rPr>
          <w:rFonts w:hint="eastAsia" w:ascii="宋体" w:hAnsi="宋体" w:eastAsia="宋体" w:cs="宋体"/>
          <w:color w:val="auto"/>
          <w:highlight w:val="none"/>
        </w:rPr>
        <w:t>工程保修期为：</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09" w:firstLineChars="195"/>
        <w:jc w:val="left"/>
        <w:textAlignment w:val="auto"/>
        <w:rPr>
          <w:rFonts w:hint="eastAsia" w:ascii="宋体" w:hAnsi="宋体" w:eastAsia="宋体" w:cs="宋体"/>
          <w:color w:val="auto"/>
          <w:kern w:val="0"/>
          <w:highlight w:val="none"/>
          <w:u w:val="single"/>
        </w:rPr>
      </w:pPr>
      <w:r>
        <w:rPr>
          <w:rFonts w:hint="eastAsia" w:ascii="宋体" w:hAnsi="宋体" w:eastAsia="宋体" w:cs="宋体"/>
          <w:color w:val="auto"/>
          <w:highlight w:val="none"/>
        </w:rPr>
        <w:t>工程保修书具体内容见合同附件2。</w:t>
      </w:r>
    </w:p>
    <w:p>
      <w:pPr>
        <w:keepNext w:val="0"/>
        <w:keepLines w:val="0"/>
        <w:pageBreakBefore w:val="0"/>
        <w:widowControl w:val="0"/>
        <w:kinsoku/>
        <w:wordWrap/>
        <w:overflowPunct/>
        <w:topLinePunct w:val="0"/>
        <w:bidi w:val="0"/>
        <w:snapToGrid/>
        <w:spacing w:line="360" w:lineRule="auto"/>
        <w:ind w:firstLine="409" w:firstLineChars="195"/>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15.4.3 修复通知</w:t>
      </w:r>
    </w:p>
    <w:p>
      <w:pPr>
        <w:keepNext w:val="0"/>
        <w:keepLines w:val="0"/>
        <w:pageBreakBefore w:val="0"/>
        <w:widowControl w:val="0"/>
        <w:kinsoku/>
        <w:wordWrap/>
        <w:overflowPunct/>
        <w:topLinePunct w:val="0"/>
        <w:bidi w:val="0"/>
        <w:snapToGrid/>
        <w:spacing w:line="360" w:lineRule="auto"/>
        <w:ind w:firstLine="409" w:firstLineChars="195"/>
        <w:jc w:val="left"/>
        <w:textAlignment w:val="auto"/>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承包人收到保修通知并到达工程现场的合理时间：</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bookmarkEnd w:id="1036"/>
    <w:bookmarkEnd w:id="1037"/>
    <w:bookmarkEnd w:id="1038"/>
    <w:bookmarkEnd w:id="1039"/>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083" w:name="_Toc351203648"/>
      <w:bookmarkStart w:id="1084" w:name="_Toc407135269"/>
      <w:bookmarkStart w:id="1085" w:name="_Toc373227766"/>
      <w:bookmarkStart w:id="1086" w:name="_Toc1360137061"/>
      <w:bookmarkStart w:id="1087" w:name="_Toc389065331"/>
      <w:bookmarkStart w:id="1088" w:name="_Toc1725581915"/>
      <w:bookmarkStart w:id="1089" w:name="_Toc373478413"/>
      <w:bookmarkStart w:id="1090" w:name="_Toc78449855"/>
      <w:bookmarkStart w:id="1091" w:name="_Toc280868717"/>
      <w:bookmarkStart w:id="1092" w:name="_Toc280868718"/>
      <w:r>
        <w:rPr>
          <w:rFonts w:hint="eastAsia" w:ascii="宋体" w:hAnsi="宋体" w:eastAsia="宋体" w:cs="宋体"/>
          <w:b/>
          <w:bCs/>
          <w:color w:val="auto"/>
          <w:sz w:val="24"/>
          <w:szCs w:val="24"/>
          <w:highlight w:val="none"/>
        </w:rPr>
        <w:t>16. 违约</w:t>
      </w:r>
      <w:bookmarkEnd w:id="1083"/>
      <w:bookmarkEnd w:id="1084"/>
      <w:bookmarkEnd w:id="1085"/>
      <w:bookmarkEnd w:id="1086"/>
      <w:bookmarkEnd w:id="1087"/>
      <w:bookmarkEnd w:id="1088"/>
      <w:bookmarkEnd w:id="1089"/>
      <w:bookmarkEnd w:id="1090"/>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093" w:name="_Toc407135270"/>
      <w:bookmarkStart w:id="1094" w:name="_Toc1973395665"/>
      <w:bookmarkStart w:id="1095" w:name="_Toc373478414"/>
      <w:bookmarkStart w:id="1096" w:name="_Toc373227767"/>
      <w:bookmarkStart w:id="1097" w:name="_Toc389065332"/>
      <w:bookmarkStart w:id="1098" w:name="_Toc78449856"/>
      <w:bookmarkStart w:id="1099" w:name="_Toc1535389315"/>
      <w:r>
        <w:rPr>
          <w:rFonts w:hint="eastAsia" w:ascii="宋体" w:hAnsi="宋体" w:eastAsia="宋体" w:cs="宋体"/>
          <w:b/>
          <w:bCs/>
          <w:color w:val="auto"/>
          <w:sz w:val="24"/>
          <w:szCs w:val="24"/>
          <w:highlight w:val="none"/>
        </w:rPr>
        <w:t>16.1 发包人违约</w:t>
      </w:r>
      <w:bookmarkEnd w:id="1093"/>
      <w:bookmarkEnd w:id="1094"/>
      <w:bookmarkEnd w:id="1095"/>
      <w:bookmarkEnd w:id="1096"/>
      <w:bookmarkEnd w:id="1097"/>
      <w:bookmarkEnd w:id="1098"/>
      <w:bookmarkEnd w:id="1099"/>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16.1.1发包人违约的情形</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发包人违约的其他情形：</w:t>
      </w:r>
      <w:r>
        <w:rPr>
          <w:rFonts w:hint="eastAsia" w:ascii="宋体" w:hAnsi="宋体" w:eastAsia="宋体" w:cs="宋体"/>
          <w:color w:val="auto"/>
          <w:kern w:val="0"/>
          <w:highlight w:val="none"/>
          <w:u w:val="single"/>
        </w:rPr>
        <w:t xml:space="preserve"> 按本合同《通用合同条款》相关规定执行 </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outlineLvl w:val="0"/>
        <w:rPr>
          <w:rFonts w:hint="eastAsia" w:ascii="宋体" w:hAnsi="宋体" w:eastAsia="宋体" w:cs="宋体"/>
          <w:color w:val="auto"/>
          <w:kern w:val="0"/>
          <w:highlight w:val="none"/>
        </w:rPr>
      </w:pPr>
      <w:r>
        <w:rPr>
          <w:rFonts w:hint="eastAsia" w:ascii="宋体" w:hAnsi="宋体" w:eastAsia="宋体" w:cs="宋体"/>
          <w:color w:val="auto"/>
          <w:kern w:val="0"/>
          <w:highlight w:val="none"/>
        </w:rPr>
        <w:t>16.1.2 发包人违约的责任</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发包人违约责任的承担方式和计算方法：</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（1）因发包人原因未能在计划开工日期前7天内下达开工通知的违约责任：</w:t>
      </w:r>
      <w:r>
        <w:rPr>
          <w:rFonts w:hint="eastAsia" w:ascii="宋体" w:hAnsi="宋体" w:eastAsia="宋体" w:cs="宋体"/>
          <w:color w:val="auto"/>
          <w:kern w:val="0"/>
          <w:highlight w:val="none"/>
          <w:u w:val="single"/>
        </w:rPr>
        <w:t xml:space="preserve"> 按本合同《通用合同条款》相关规定执行 </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（2）因发包人原因未能按合同约定支付合同价款的违约责任：</w:t>
      </w:r>
      <w:r>
        <w:rPr>
          <w:rFonts w:hint="eastAsia" w:ascii="宋体" w:hAnsi="宋体" w:eastAsia="宋体" w:cs="宋体"/>
          <w:color w:val="auto"/>
          <w:kern w:val="0"/>
          <w:highlight w:val="none"/>
          <w:u w:val="single"/>
        </w:rPr>
        <w:t xml:space="preserve"> 按本合同《通用合同条款》相关规定执行 </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（3）发包人违反第10.1款〔变更的范围〕第（2）项约定，自行实施被取消的工作或转由他人实施的违约责任：</w:t>
      </w:r>
      <w:r>
        <w:rPr>
          <w:rFonts w:hint="eastAsia" w:ascii="宋体" w:hAnsi="宋体" w:eastAsia="宋体" w:cs="宋体"/>
          <w:color w:val="auto"/>
          <w:kern w:val="0"/>
          <w:highlight w:val="none"/>
          <w:u w:val="single"/>
        </w:rPr>
        <w:t xml:space="preserve"> 按本合同《通用合同条款》相关规定执行 </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highlight w:val="none"/>
          <w:u w:val="single"/>
        </w:rPr>
        <w:t>按本合同《通用合同条款》相关规定执行</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（5）因发包人违反合同约定造成暂停施工的违约责任：</w:t>
      </w:r>
      <w:r>
        <w:rPr>
          <w:rFonts w:hint="eastAsia" w:ascii="宋体" w:hAnsi="宋体" w:eastAsia="宋体" w:cs="宋体"/>
          <w:color w:val="auto"/>
          <w:kern w:val="0"/>
          <w:highlight w:val="none"/>
          <w:u w:val="single"/>
        </w:rPr>
        <w:t>按本合同《通用合同条款》相关规定执行</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（6）发包人无正当理由没有在约定期限内发出复工指示，导致承包人无法复工的违约责任：</w:t>
      </w:r>
      <w:r>
        <w:rPr>
          <w:rFonts w:hint="eastAsia" w:ascii="宋体" w:hAnsi="宋体" w:eastAsia="宋体" w:cs="宋体"/>
          <w:color w:val="auto"/>
          <w:kern w:val="0"/>
          <w:highlight w:val="none"/>
          <w:u w:val="single"/>
        </w:rPr>
        <w:t>按本合同《通用合同条款》相关规定执行</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（7）其他：</w:t>
      </w:r>
      <w:r>
        <w:rPr>
          <w:rFonts w:hint="eastAsia" w:ascii="宋体" w:hAnsi="宋体" w:eastAsia="宋体" w:cs="宋体"/>
          <w:color w:val="auto"/>
          <w:kern w:val="0"/>
          <w:highlight w:val="none"/>
          <w:u w:val="single"/>
        </w:rPr>
        <w:t>按本合同《通用合同条款》相关规定执行</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16.1.3 因发包人违约解除合同</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承包人按16.1.1项〔发包人违约的情形〕约定暂停施工满</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天后发包人仍不纠正其违约行为并致使合同目的不能实现的，承包人有权解除合同。</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100" w:name="_Toc78449857"/>
      <w:bookmarkStart w:id="1101" w:name="_Toc389065333"/>
      <w:bookmarkStart w:id="1102" w:name="_Toc373478415"/>
      <w:bookmarkStart w:id="1103" w:name="_Toc407135271"/>
      <w:bookmarkStart w:id="1104" w:name="_Toc61078193"/>
      <w:bookmarkStart w:id="1105" w:name="_Toc373227768"/>
      <w:bookmarkStart w:id="1106" w:name="_Toc247586342"/>
      <w:r>
        <w:rPr>
          <w:rFonts w:hint="eastAsia" w:ascii="宋体" w:hAnsi="宋体" w:eastAsia="宋体" w:cs="宋体"/>
          <w:b/>
          <w:bCs/>
          <w:color w:val="auto"/>
          <w:sz w:val="24"/>
          <w:szCs w:val="24"/>
          <w:highlight w:val="none"/>
        </w:rPr>
        <w:t>16.2 承包人违约</w:t>
      </w:r>
      <w:bookmarkEnd w:id="1100"/>
      <w:bookmarkEnd w:id="1101"/>
      <w:bookmarkEnd w:id="1102"/>
      <w:bookmarkEnd w:id="1103"/>
      <w:bookmarkEnd w:id="1104"/>
      <w:bookmarkEnd w:id="1105"/>
      <w:bookmarkEnd w:id="1106"/>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16.2.1 承包人违约的情形</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承包人违约的其他情形：</w:t>
      </w:r>
      <w:r>
        <w:rPr>
          <w:rFonts w:hint="eastAsia" w:ascii="宋体" w:hAnsi="宋体" w:eastAsia="宋体" w:cs="宋体"/>
          <w:color w:val="auto"/>
          <w:kern w:val="0"/>
          <w:highlight w:val="none"/>
          <w:u w:val="single"/>
        </w:rPr>
        <w:t>按本合同《通用合同条款》相关规定执行</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outlineLvl w:val="0"/>
        <w:rPr>
          <w:rFonts w:hint="eastAsia" w:ascii="宋体" w:hAnsi="宋体" w:eastAsia="宋体" w:cs="宋体"/>
          <w:color w:val="auto"/>
          <w:kern w:val="0"/>
          <w:highlight w:val="none"/>
        </w:rPr>
      </w:pPr>
      <w:r>
        <w:rPr>
          <w:rFonts w:hint="eastAsia" w:ascii="宋体" w:hAnsi="宋体" w:eastAsia="宋体" w:cs="宋体"/>
          <w:color w:val="auto"/>
          <w:kern w:val="0"/>
          <w:highlight w:val="none"/>
        </w:rPr>
        <w:t>16.2.2承包人违约的责任</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承包人违约责任的承担方式和计算方法：</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承包人有本合同通用条款第16.2.1（2）、（3）条内容情形的，承包人无条件返工处理，修复至工程质量要求并承担相关费用，并在发包人规定的时间内完成返工，否则发包人有权扣罚该分项工程10%的工程款作为处罚。</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（2）承包人有本合同通用条款第16.2.1（6）条情形的，或经监理人检验认为修复质量不合格而承包人拒绝再进行修补的，发包人将扣除承包人全部质量保证金。</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16.2.3 因承包人违约解除合同</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关于承包人违约解除合同的特别约定：</w:t>
      </w:r>
      <w:r>
        <w:rPr>
          <w:rFonts w:hint="eastAsia" w:ascii="宋体" w:hAnsi="宋体" w:eastAsia="宋体" w:cs="宋体"/>
          <w:color w:val="auto"/>
          <w:kern w:val="0"/>
          <w:highlight w:val="none"/>
          <w:u w:val="single"/>
        </w:rPr>
        <w:t>承包人有违反以下情况之一的，发包人有权解除合同，并没收其全部履约保证金</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(1)承包人无正当理由不按开工通知的要求及时进场组织施工和不按签订协议书时商定的进度计划有效地开展施工准备，造成工期延误的；</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(2)承包人违反本合同通用条款第3.5条规定私自将合同或合同的任何部分或任何权利转让给其他人，或私自将工程或工程的一部分分包出去的；</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(3)未经监理人批准，承包人私自将已按投标文件承诺进入工地的工程设备、施工设备、临时工程或材料撤离工地的；</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(4)由于承包人原因拒绝按合同进度计划及时完成合同规定的工程，而又未采取有效措施赶上进度，造成工期严重延误的；</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(5)承包人否认合同有效或拒绝履行合同规定的承包人义务，或由于法律、财务等原因导致承包人无法继续履行或实质上已停止履行合同的义务的；</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(6)合同签订</w:t>
      </w:r>
      <w:r>
        <w:rPr>
          <w:rFonts w:hint="eastAsia" w:ascii="宋体" w:hAnsi="宋体" w:eastAsia="宋体" w:cs="宋体"/>
          <w:color w:val="auto"/>
          <w:highlight w:val="none"/>
        </w:rPr>
        <w:t>且具备法定开工条件后</w:t>
      </w:r>
      <w:r>
        <w:rPr>
          <w:rFonts w:hint="eastAsia" w:ascii="宋体" w:hAnsi="宋体" w:eastAsia="宋体" w:cs="宋体"/>
          <w:color w:val="auto"/>
          <w:kern w:val="0"/>
          <w:highlight w:val="none"/>
        </w:rPr>
        <w:t>之日起十五日内，承包人无法按合同规定及投标文件的承诺进场经监理工程师认可的该施工阶段应有的全部人员和机械的。</w:t>
      </w:r>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107" w:name="_Toc407135272"/>
      <w:bookmarkStart w:id="1108" w:name="_Toc1117922953"/>
      <w:bookmarkStart w:id="1109" w:name="_Toc373478416"/>
      <w:bookmarkStart w:id="1110" w:name="_Toc351203649"/>
      <w:bookmarkStart w:id="1111" w:name="_Toc1753556740"/>
      <w:bookmarkStart w:id="1112" w:name="_Toc373227769"/>
      <w:bookmarkStart w:id="1113" w:name="_Toc389065334"/>
      <w:bookmarkStart w:id="1114" w:name="_Toc78449858"/>
      <w:r>
        <w:rPr>
          <w:rFonts w:hint="eastAsia" w:ascii="宋体" w:hAnsi="宋体" w:eastAsia="宋体" w:cs="宋体"/>
          <w:b/>
          <w:bCs/>
          <w:color w:val="auto"/>
          <w:sz w:val="24"/>
          <w:szCs w:val="24"/>
          <w:highlight w:val="none"/>
        </w:rPr>
        <w:t>17. 不可抗力</w:t>
      </w:r>
      <w:bookmarkEnd w:id="1107"/>
      <w:bookmarkEnd w:id="1108"/>
      <w:bookmarkEnd w:id="1109"/>
      <w:bookmarkEnd w:id="1110"/>
      <w:bookmarkEnd w:id="1111"/>
      <w:bookmarkEnd w:id="1112"/>
      <w:bookmarkEnd w:id="1113"/>
      <w:bookmarkEnd w:id="1114"/>
      <w:r>
        <w:rPr>
          <w:rFonts w:hint="eastAsia" w:ascii="宋体" w:hAnsi="宋体" w:eastAsia="宋体" w:cs="宋体"/>
          <w:b/>
          <w:bCs/>
          <w:color w:val="auto"/>
          <w:sz w:val="24"/>
          <w:szCs w:val="24"/>
          <w:highlight w:val="none"/>
        </w:rPr>
        <w:t xml:space="preserve"> </w:t>
      </w:r>
      <w:bookmarkEnd w:id="1091"/>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115" w:name="_Toc389065335"/>
      <w:bookmarkStart w:id="1116" w:name="_Toc407135273"/>
      <w:bookmarkStart w:id="1117" w:name="_Toc666312941"/>
      <w:bookmarkStart w:id="1118" w:name="_Toc78449859"/>
      <w:bookmarkStart w:id="1119" w:name="_Toc373478417"/>
      <w:bookmarkStart w:id="1120" w:name="_Toc429574049"/>
      <w:bookmarkStart w:id="1121" w:name="_Toc373227770"/>
      <w:r>
        <w:rPr>
          <w:rFonts w:hint="eastAsia" w:ascii="宋体" w:hAnsi="宋体" w:eastAsia="宋体" w:cs="宋体"/>
          <w:b/>
          <w:bCs/>
          <w:color w:val="auto"/>
          <w:sz w:val="24"/>
          <w:szCs w:val="24"/>
          <w:highlight w:val="none"/>
        </w:rPr>
        <w:t>17.1 不可抗力的确认</w:t>
      </w:r>
      <w:bookmarkEnd w:id="1115"/>
      <w:bookmarkEnd w:id="1116"/>
      <w:bookmarkEnd w:id="1117"/>
      <w:bookmarkEnd w:id="1118"/>
      <w:bookmarkEnd w:id="1119"/>
      <w:bookmarkEnd w:id="1120"/>
      <w:bookmarkEnd w:id="1121"/>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u w:val="single"/>
        </w:rPr>
      </w:pPr>
      <w:r>
        <w:rPr>
          <w:rFonts w:hint="eastAsia" w:ascii="宋体" w:hAnsi="宋体" w:eastAsia="宋体" w:cs="宋体"/>
          <w:color w:val="auto"/>
          <w:highlight w:val="none"/>
        </w:rPr>
        <w:t>除通用合同条款约定的不可抗力事件之外，视为不可抗力的其他情形：</w:t>
      </w:r>
      <w:r>
        <w:rPr>
          <w:rFonts w:hint="eastAsia" w:ascii="宋体" w:hAnsi="宋体" w:eastAsia="宋体" w:cs="宋体"/>
          <w:color w:val="auto"/>
          <w:kern w:val="0"/>
          <w:highlight w:val="none"/>
          <w:u w:val="single"/>
        </w:rPr>
        <w:t xml:space="preserve"> 不可抗力包括因战争、恐怖主义、动乱、空中飞行物体坠落、非双方责任造成的爆炸、停工、火灾，以及当地气象部门、地震部门、卫生部门、政府相关部门规定的情形。内容包括：（1）6 级以上的地震、海啸、火山爆发；暴雨；持续 2 天 38 度的高温天气；持续 2 天零度以下的低温天气；25年以上未发生过的洪水；6 级及以上的地震；6 级及以上的大风；洪水及泥石流；（2）战争、骚乱、暴动；（3）核反应、核辐射或核放射性污染；（4）空中飞行物坠落或非工程总承包中标单位责任造成的爆炸、火灾 </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122" w:name="_Toc389065336"/>
      <w:bookmarkStart w:id="1123" w:name="_Toc658729758"/>
      <w:bookmarkStart w:id="1124" w:name="_Toc1951449751"/>
      <w:bookmarkStart w:id="1125" w:name="_Toc78449860"/>
      <w:bookmarkStart w:id="1126" w:name="_Toc407135274"/>
      <w:bookmarkStart w:id="1127" w:name="_Toc373478418"/>
      <w:bookmarkStart w:id="1128" w:name="_Toc373227771"/>
      <w:r>
        <w:rPr>
          <w:rFonts w:hint="eastAsia" w:ascii="宋体" w:hAnsi="宋体" w:eastAsia="宋体" w:cs="宋体"/>
          <w:b/>
          <w:bCs/>
          <w:color w:val="auto"/>
          <w:sz w:val="24"/>
          <w:szCs w:val="24"/>
          <w:highlight w:val="none"/>
        </w:rPr>
        <w:t>17.4 因不可抗力解除合同</w:t>
      </w:r>
      <w:bookmarkEnd w:id="1122"/>
      <w:bookmarkEnd w:id="1123"/>
      <w:bookmarkEnd w:id="1124"/>
      <w:bookmarkEnd w:id="1125"/>
      <w:bookmarkEnd w:id="1126"/>
      <w:bookmarkEnd w:id="1127"/>
      <w:bookmarkEnd w:id="1128"/>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合同解除后，发包人应在商定或确定发包人应支付款项后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天内完成款项的支付。</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129" w:name="_Toc389065337"/>
      <w:bookmarkStart w:id="1130" w:name="_Toc78449861"/>
      <w:bookmarkStart w:id="1131" w:name="_Toc407135275"/>
      <w:bookmarkStart w:id="1132" w:name="_Toc373227772"/>
      <w:bookmarkStart w:id="1133" w:name="_Toc373478419"/>
      <w:bookmarkStart w:id="1134" w:name="_Toc351203650"/>
      <w:bookmarkStart w:id="1135" w:name="_Toc612072600"/>
      <w:bookmarkStart w:id="1136" w:name="_Toc56822299"/>
      <w:r>
        <w:rPr>
          <w:rFonts w:hint="eastAsia" w:ascii="宋体" w:hAnsi="宋体" w:eastAsia="宋体" w:cs="宋体"/>
          <w:b/>
          <w:bCs/>
          <w:color w:val="auto"/>
          <w:sz w:val="24"/>
          <w:szCs w:val="24"/>
          <w:highlight w:val="none"/>
        </w:rPr>
        <w:t>18. 保险</w:t>
      </w:r>
      <w:bookmarkEnd w:id="1129"/>
      <w:bookmarkEnd w:id="1130"/>
      <w:bookmarkEnd w:id="1131"/>
      <w:bookmarkEnd w:id="1132"/>
      <w:bookmarkEnd w:id="1133"/>
      <w:bookmarkEnd w:id="1134"/>
      <w:bookmarkEnd w:id="1135"/>
      <w:bookmarkEnd w:id="1136"/>
    </w:p>
    <w:bookmarkEnd w:id="1092"/>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137" w:name="_Toc2075285517"/>
      <w:bookmarkStart w:id="1138" w:name="_Toc373227773"/>
      <w:bookmarkStart w:id="1139" w:name="_Toc373478420"/>
      <w:bookmarkStart w:id="1140" w:name="_Toc78449862"/>
      <w:bookmarkStart w:id="1141" w:name="_Toc407135276"/>
      <w:bookmarkStart w:id="1142" w:name="_Toc389065338"/>
      <w:bookmarkStart w:id="1143" w:name="_Toc1446953302"/>
      <w:r>
        <w:rPr>
          <w:rFonts w:hint="eastAsia" w:ascii="宋体" w:hAnsi="宋体" w:eastAsia="宋体" w:cs="宋体"/>
          <w:b/>
          <w:bCs/>
          <w:color w:val="auto"/>
          <w:sz w:val="24"/>
          <w:szCs w:val="24"/>
          <w:highlight w:val="none"/>
        </w:rPr>
        <w:t>18.1 工程保险</w:t>
      </w:r>
      <w:bookmarkEnd w:id="1137"/>
      <w:bookmarkEnd w:id="1138"/>
      <w:bookmarkEnd w:id="1139"/>
      <w:bookmarkEnd w:id="1140"/>
      <w:bookmarkEnd w:id="1141"/>
      <w:bookmarkEnd w:id="1142"/>
      <w:bookmarkEnd w:id="1143"/>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highlight w:val="none"/>
        </w:rPr>
        <w:t>关于工程保险的特别约定：</w:t>
      </w:r>
      <w:r>
        <w:rPr>
          <w:rFonts w:hint="eastAsia" w:ascii="宋体" w:hAnsi="宋体" w:eastAsia="宋体" w:cs="宋体"/>
          <w:color w:val="auto"/>
          <w:highlight w:val="none"/>
          <w:u w:val="single"/>
        </w:rPr>
        <w:t>按照国家、广西壮族自治区、北海市有关规定，承包人应以发、承包双方名义向发包人认可的保险人投保建筑工程一切险及安装工程一切险（含第三者责任险）等保险，并于本合同签订后 28 天内向发包人提交保险单副本或其他有效证明，并在合同履行期间保持足额、有效。具体的投保险种、保险范围、保险金额、保险费率、保险期限等有关内容应符合相关规定，投保费用由承包人自行承担。承包人在工程开工一个月后仍未投保，发包人有权代其投保，投保费用按投保金额直接从工程款中扣除，因承包人未及时足额投保产生的所有问题由承包人承担一切责任</w:t>
      </w:r>
      <w:r>
        <w:rPr>
          <w:rFonts w:hint="eastAsia" w:ascii="宋体" w:hAnsi="宋体" w:eastAsia="宋体" w:cs="宋体"/>
          <w:color w:val="auto"/>
          <w:kern w:val="0"/>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18.1.2 双方当事人关于第三方责任险的特别约定：</w:t>
      </w:r>
      <w:r>
        <w:rPr>
          <w:rFonts w:hint="eastAsia" w:ascii="宋体" w:hAnsi="宋体" w:eastAsia="宋体" w:cs="宋体"/>
          <w:color w:val="auto"/>
          <w:kern w:val="0"/>
          <w:highlight w:val="none"/>
          <w:u w:val="single"/>
        </w:rPr>
        <w:t>在缺陷责任期终止证书颁发前，承包人（联合体牵头单位）应按规定投保第三者责任险。</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18.2 工伤和意外伤害保险</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lang w:eastAsia="zh-CN"/>
        </w:rPr>
      </w:pPr>
      <w:r>
        <w:rPr>
          <w:rFonts w:hint="eastAsia" w:ascii="宋体" w:hAnsi="宋体" w:eastAsia="宋体" w:cs="宋体"/>
          <w:color w:val="auto"/>
          <w:kern w:val="0"/>
          <w:highlight w:val="none"/>
        </w:rPr>
        <w:t>18.2.3 关于工伤保险和意外伤害保险的特别约定：</w:t>
      </w:r>
      <w:r>
        <w:rPr>
          <w:rFonts w:hint="eastAsia" w:ascii="宋体" w:hAnsi="宋体" w:eastAsia="宋体" w:cs="宋体"/>
          <w:color w:val="auto"/>
          <w:kern w:val="0"/>
          <w:highlight w:val="none"/>
          <w:u w:val="single"/>
        </w:rPr>
        <w:t>承包人必须为承包人在施工现场的施工作业人员和工程管理人员以及由于施工可能给其带来意外伤害的其他人员办理意外伤害保险，并应根据国家及本工程所在地的法律法规及规范文件的要求为上述人员的生命财产和相关设施、施工机械设备办理保险。承包人（联合体牵头单位）应自行承担上述投保费用</w:t>
      </w:r>
      <w:r>
        <w:rPr>
          <w:rFonts w:hint="eastAsia" w:ascii="宋体" w:hAnsi="宋体" w:eastAsia="宋体" w:cs="宋体"/>
          <w:color w:val="auto"/>
          <w:kern w:val="0"/>
          <w:highlight w:val="none"/>
          <w:u w:val="single"/>
          <w:lang w:eastAsia="zh-CN"/>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144" w:name="_Toc454766369"/>
      <w:bookmarkStart w:id="1145" w:name="_Toc2001387503"/>
      <w:bookmarkStart w:id="1146" w:name="_Toc389065339"/>
      <w:bookmarkStart w:id="1147" w:name="_Toc373478421"/>
      <w:bookmarkStart w:id="1148" w:name="_Toc78449863"/>
      <w:bookmarkStart w:id="1149" w:name="_Toc407135277"/>
      <w:bookmarkStart w:id="1150" w:name="_Toc373227774"/>
      <w:r>
        <w:rPr>
          <w:rFonts w:hint="eastAsia" w:ascii="宋体" w:hAnsi="宋体" w:eastAsia="宋体" w:cs="宋体"/>
          <w:b/>
          <w:bCs/>
          <w:color w:val="auto"/>
          <w:sz w:val="24"/>
          <w:szCs w:val="24"/>
          <w:highlight w:val="none"/>
        </w:rPr>
        <w:t>18.3 其他保险</w:t>
      </w:r>
      <w:bookmarkEnd w:id="1144"/>
      <w:bookmarkEnd w:id="1145"/>
      <w:bookmarkEnd w:id="1146"/>
      <w:bookmarkEnd w:id="1147"/>
      <w:bookmarkEnd w:id="1148"/>
      <w:bookmarkEnd w:id="1149"/>
      <w:bookmarkEnd w:id="1150"/>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highlight w:val="none"/>
        </w:rPr>
        <w:t>关于其他保险的约定：</w:t>
      </w:r>
      <w:r>
        <w:rPr>
          <w:rFonts w:hint="eastAsia" w:ascii="宋体" w:hAnsi="宋体" w:eastAsia="宋体" w:cs="宋体"/>
          <w:color w:val="auto"/>
          <w:highlight w:val="none"/>
          <w:u w:val="single"/>
        </w:rPr>
        <w:t>按本合同《通用合同条款》相关规定执行</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承包人是否应为其施工设备等办理财产保险：</w:t>
      </w:r>
      <w:r>
        <w:rPr>
          <w:rFonts w:hint="eastAsia" w:ascii="宋体" w:hAnsi="宋体" w:eastAsia="宋体" w:cs="宋体"/>
          <w:color w:val="auto"/>
          <w:highlight w:val="none"/>
          <w:u w:val="single"/>
        </w:rPr>
        <w:t>由承包人（联合体牵头单位）按照国家、广西壮族自治区、北海市有关规定投保</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151" w:name="_Toc407135278"/>
      <w:bookmarkStart w:id="1152" w:name="_Toc373478422"/>
      <w:bookmarkStart w:id="1153" w:name="_Toc2102614655"/>
      <w:bookmarkStart w:id="1154" w:name="_Toc389065340"/>
      <w:bookmarkStart w:id="1155" w:name="_Toc1114527236"/>
      <w:bookmarkStart w:id="1156" w:name="_Toc373227775"/>
      <w:bookmarkStart w:id="1157" w:name="_Toc78449864"/>
      <w:r>
        <w:rPr>
          <w:rFonts w:hint="eastAsia" w:ascii="宋体" w:hAnsi="宋体" w:eastAsia="宋体" w:cs="宋体"/>
          <w:b/>
          <w:bCs/>
          <w:color w:val="auto"/>
          <w:sz w:val="24"/>
          <w:szCs w:val="24"/>
          <w:highlight w:val="none"/>
        </w:rPr>
        <w:t>18.7 通知义务</w:t>
      </w:r>
      <w:bookmarkEnd w:id="1151"/>
      <w:bookmarkEnd w:id="1152"/>
      <w:bookmarkEnd w:id="1153"/>
      <w:bookmarkEnd w:id="1154"/>
      <w:bookmarkEnd w:id="1155"/>
      <w:bookmarkEnd w:id="1156"/>
      <w:bookmarkEnd w:id="1157"/>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kern w:val="0"/>
          <w:highlight w:val="none"/>
        </w:rPr>
        <w:t>关于变更保险合同时的通知义务的约定：</w:t>
      </w:r>
      <w:r>
        <w:rPr>
          <w:rFonts w:hint="eastAsia" w:ascii="宋体" w:hAnsi="宋体" w:eastAsia="宋体" w:cs="宋体"/>
          <w:color w:val="auto"/>
          <w:highlight w:val="none"/>
          <w:u w:val="single"/>
        </w:rPr>
        <w:t>按本合同《通用合同条款》相关规定执行</w:t>
      </w:r>
      <w:r>
        <w:rPr>
          <w:rFonts w:hint="eastAsia" w:ascii="宋体" w:hAnsi="宋体" w:eastAsia="宋体" w:cs="宋体"/>
          <w:color w:val="auto"/>
          <w:highlight w:val="none"/>
        </w:rPr>
        <w:t>。</w:t>
      </w:r>
    </w:p>
    <w:bookmarkEnd w:id="1040"/>
    <w:bookmarkEnd w:id="1041"/>
    <w:bookmarkEnd w:id="1042"/>
    <w:bookmarkEnd w:id="1043"/>
    <w:bookmarkEnd w:id="1044"/>
    <w:bookmarkEnd w:id="1045"/>
    <w:bookmarkEnd w:id="1046"/>
    <w:bookmarkEnd w:id="1047"/>
    <w:bookmarkEnd w:id="1048"/>
    <w:bookmarkEnd w:id="1049"/>
    <w:bookmarkEnd w:id="1050"/>
    <w:bookmarkEnd w:id="1051"/>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158" w:name="_Toc373478423"/>
      <w:bookmarkStart w:id="1159" w:name="_Toc1430568476"/>
      <w:bookmarkStart w:id="1160" w:name="_Toc389065341"/>
      <w:bookmarkStart w:id="1161" w:name="_Toc78449865"/>
      <w:bookmarkStart w:id="1162" w:name="_Toc351203651"/>
      <w:bookmarkStart w:id="1163" w:name="_Toc407135279"/>
      <w:bookmarkStart w:id="1164" w:name="_Toc373227776"/>
      <w:bookmarkStart w:id="1165" w:name="_Toc1959910599"/>
      <w:r>
        <w:rPr>
          <w:rFonts w:hint="eastAsia" w:ascii="宋体" w:hAnsi="宋体" w:eastAsia="宋体" w:cs="宋体"/>
          <w:b/>
          <w:bCs/>
          <w:color w:val="auto"/>
          <w:sz w:val="24"/>
          <w:szCs w:val="24"/>
          <w:highlight w:val="none"/>
        </w:rPr>
        <w:t>20. 争议解决</w:t>
      </w:r>
      <w:bookmarkEnd w:id="1158"/>
      <w:bookmarkEnd w:id="1159"/>
      <w:bookmarkEnd w:id="1160"/>
      <w:bookmarkEnd w:id="1161"/>
      <w:bookmarkEnd w:id="1162"/>
      <w:bookmarkEnd w:id="1163"/>
      <w:bookmarkEnd w:id="1164"/>
      <w:bookmarkEnd w:id="1165"/>
    </w:p>
    <w:bookmarkEnd w:id="1052"/>
    <w:bookmarkEnd w:id="1053"/>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166" w:name="_Toc373227777"/>
      <w:bookmarkStart w:id="1167" w:name="_Toc78449866"/>
      <w:bookmarkStart w:id="1168" w:name="_Toc407135280"/>
      <w:bookmarkStart w:id="1169" w:name="_Toc2138124043"/>
      <w:bookmarkStart w:id="1170" w:name="_Toc1645489822"/>
      <w:bookmarkStart w:id="1171" w:name="_Toc373478424"/>
      <w:bookmarkStart w:id="1172" w:name="_Toc389065342"/>
      <w:r>
        <w:rPr>
          <w:rFonts w:hint="eastAsia" w:ascii="宋体" w:hAnsi="宋体" w:eastAsia="宋体" w:cs="宋体"/>
          <w:b/>
          <w:bCs/>
          <w:color w:val="auto"/>
          <w:sz w:val="24"/>
          <w:szCs w:val="24"/>
          <w:highlight w:val="none"/>
        </w:rPr>
        <w:t>20.3 争</w:t>
      </w:r>
      <w:bookmarkEnd w:id="1054"/>
      <w:r>
        <w:rPr>
          <w:rFonts w:hint="eastAsia" w:ascii="宋体" w:hAnsi="宋体" w:eastAsia="宋体" w:cs="宋体"/>
          <w:b/>
          <w:bCs/>
          <w:color w:val="auto"/>
          <w:sz w:val="24"/>
          <w:szCs w:val="24"/>
          <w:highlight w:val="none"/>
        </w:rPr>
        <w:t>议评审</w:t>
      </w:r>
      <w:bookmarkEnd w:id="1166"/>
      <w:bookmarkEnd w:id="1167"/>
      <w:bookmarkEnd w:id="1168"/>
      <w:bookmarkEnd w:id="1169"/>
      <w:bookmarkEnd w:id="1170"/>
      <w:bookmarkEnd w:id="1171"/>
      <w:bookmarkEnd w:id="1172"/>
    </w:p>
    <w:p>
      <w:pPr>
        <w:keepNext w:val="0"/>
        <w:keepLines w:val="0"/>
        <w:pageBreakBefore w:val="0"/>
        <w:widowControl w:val="0"/>
        <w:kinsoku/>
        <w:wordWrap/>
        <w:overflowPunct/>
        <w:topLinePunct w:val="0"/>
        <w:bidi w:val="0"/>
        <w:snapToGrid/>
        <w:spacing w:line="360" w:lineRule="auto"/>
        <w:ind w:left="149" w:leftChars="71" w:firstLine="315" w:firstLineChars="15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合同当事人是否同意将工程争议提交争议评审小组决定：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否</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outlineLvl w:val="0"/>
        <w:rPr>
          <w:rFonts w:hint="eastAsia" w:ascii="宋体" w:hAnsi="宋体" w:eastAsia="宋体" w:cs="宋体"/>
          <w:color w:val="auto"/>
          <w:highlight w:val="none"/>
        </w:rPr>
      </w:pPr>
      <w:r>
        <w:rPr>
          <w:rFonts w:hint="eastAsia" w:ascii="宋体" w:hAnsi="宋体" w:eastAsia="宋体" w:cs="宋体"/>
          <w:color w:val="auto"/>
          <w:highlight w:val="none"/>
        </w:rPr>
        <w:t>20.3.1 争议评审小组的确定</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争议评审小组成员的确定：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选定争议评审员的期限：</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争议评审小组成员的报酬承担方式：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其他事项的约定：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20.3.2 争议评审小组的决定</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合同当事人关于本项的约定：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173" w:name="_Toc1156795721"/>
      <w:bookmarkStart w:id="1174" w:name="_Toc1456517022"/>
      <w:bookmarkStart w:id="1175" w:name="_Toc373227778"/>
      <w:bookmarkStart w:id="1176" w:name="_Toc389065343"/>
      <w:bookmarkStart w:id="1177" w:name="_Toc373478425"/>
      <w:bookmarkStart w:id="1178" w:name="_Toc407135281"/>
      <w:bookmarkStart w:id="1179" w:name="_Toc78449867"/>
      <w:r>
        <w:rPr>
          <w:rFonts w:hint="eastAsia" w:ascii="宋体" w:hAnsi="宋体" w:eastAsia="宋体" w:cs="宋体"/>
          <w:b/>
          <w:bCs/>
          <w:color w:val="auto"/>
          <w:sz w:val="24"/>
          <w:szCs w:val="24"/>
          <w:highlight w:val="none"/>
        </w:rPr>
        <w:t>20.4 仲裁或诉讼</w:t>
      </w:r>
      <w:bookmarkEnd w:id="1055"/>
      <w:bookmarkEnd w:id="1173"/>
      <w:bookmarkEnd w:id="1174"/>
      <w:bookmarkEnd w:id="1175"/>
      <w:bookmarkEnd w:id="1176"/>
      <w:bookmarkEnd w:id="1177"/>
      <w:bookmarkEnd w:id="1178"/>
      <w:bookmarkEnd w:id="1179"/>
    </w:p>
    <w:p>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因合同及合同有关事项发生的争议，按下列第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种方式解决：</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（1）提请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仲裁委员会按照该会仲裁规则进行仲裁，仲裁裁决是终局的，对合同双方均有约束力。</w:t>
      </w:r>
    </w:p>
    <w:p>
      <w:pPr>
        <w:keepNext w:val="0"/>
        <w:keepLines w:val="0"/>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（2）向</w:t>
      </w:r>
      <w:r>
        <w:rPr>
          <w:rFonts w:hint="eastAsia" w:ascii="宋体" w:hAnsi="宋体" w:eastAsia="宋体" w:cs="宋体"/>
          <w:color w:val="auto"/>
          <w:highlight w:val="none"/>
          <w:u w:val="single"/>
        </w:rPr>
        <w:t xml:space="preserve"> 项目所在地 </w:t>
      </w:r>
      <w:r>
        <w:rPr>
          <w:rFonts w:hint="eastAsia" w:ascii="宋体" w:hAnsi="宋体" w:eastAsia="宋体" w:cs="宋体"/>
          <w:color w:val="auto"/>
          <w:highlight w:val="none"/>
        </w:rPr>
        <w:t>人民法院起诉。</w:t>
      </w:r>
      <w:bookmarkEnd w:id="1056"/>
      <w:bookmarkEnd w:id="1057"/>
      <w:bookmarkEnd w:id="1058"/>
      <w:bookmarkEnd w:id="1059"/>
      <w:bookmarkEnd w:id="1060"/>
      <w:bookmarkEnd w:id="1061"/>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
          <w:bCs/>
          <w:color w:val="auto"/>
          <w:sz w:val="24"/>
          <w:szCs w:val="24"/>
          <w:highlight w:val="none"/>
        </w:rPr>
      </w:pPr>
      <w:bookmarkStart w:id="1180" w:name="_Toc351203652"/>
      <w:r>
        <w:rPr>
          <w:rFonts w:hint="eastAsia" w:ascii="宋体" w:hAnsi="宋体" w:eastAsia="宋体" w:cs="宋体"/>
          <w:b/>
          <w:bCs/>
          <w:color w:val="auto"/>
          <w:sz w:val="24"/>
          <w:szCs w:val="24"/>
          <w:highlight w:val="none"/>
        </w:rPr>
        <w:t>附件</w:t>
      </w:r>
      <w:bookmarkEnd w:id="1180"/>
    </w:p>
    <w:p>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附件1：承包人承揽工程项目一览表</w:t>
      </w:r>
    </w:p>
    <w:p>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附件2：工程质量保修书</w:t>
      </w:r>
    </w:p>
    <w:p>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附件3：主要建设工程文件目录</w:t>
      </w:r>
    </w:p>
    <w:p>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附件4：承包人用于本工程施工的机械设备表</w:t>
      </w:r>
    </w:p>
    <w:p>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附件5：承包人主要施工管理人员表</w:t>
      </w:r>
    </w:p>
    <w:p>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附件6：分包人主要施工管理人员表</w:t>
      </w:r>
    </w:p>
    <w:p>
      <w:pPr>
        <w:pStyle w:val="2"/>
        <w:rPr>
          <w:rFonts w:hint="eastAsia" w:ascii="宋体" w:hAnsi="宋体" w:eastAsia="宋体" w:cs="宋体"/>
          <w:color w:val="auto"/>
          <w:highlight w:val="none"/>
        </w:rPr>
        <w:sectPr>
          <w:pgSz w:w="11910" w:h="16840"/>
          <w:pgMar w:top="1134" w:right="1134" w:bottom="1134" w:left="1134" w:header="720" w:footer="720" w:gutter="0"/>
          <w:pgNumType w:fmt="decimal"/>
          <w:cols w:space="720" w:num="1"/>
        </w:sectPr>
      </w:pPr>
    </w:p>
    <w:p>
      <w:pPr>
        <w:spacing w:before="120" w:beforeLines="50" w:after="120" w:afterLines="50" w:line="440" w:lineRule="exact"/>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附件1：</w:t>
      </w:r>
    </w:p>
    <w:p>
      <w:pPr>
        <w:spacing w:before="120" w:beforeLines="50" w:after="120"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承包人承揽工程项目一览表</w:t>
      </w:r>
    </w:p>
    <w:tbl>
      <w:tblPr>
        <w:tblStyle w:val="39"/>
        <w:tblW w:w="138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440"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单位工程名称</w:t>
            </w:r>
          </w:p>
        </w:tc>
        <w:tc>
          <w:tcPr>
            <w:tcW w:w="1440"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建设规模</w:t>
            </w:r>
          </w:p>
        </w:tc>
        <w:tc>
          <w:tcPr>
            <w:tcW w:w="1620"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建筑面积(平方米)</w:t>
            </w:r>
          </w:p>
        </w:tc>
        <w:tc>
          <w:tcPr>
            <w:tcW w:w="166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结构形式</w:t>
            </w:r>
          </w:p>
        </w:tc>
        <w:tc>
          <w:tcPr>
            <w:tcW w:w="850"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层数</w:t>
            </w:r>
          </w:p>
        </w:tc>
        <w:tc>
          <w:tcPr>
            <w:tcW w:w="1560"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生产能力</w:t>
            </w:r>
          </w:p>
        </w:tc>
        <w:tc>
          <w:tcPr>
            <w:tcW w:w="2126"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设备安装内容</w:t>
            </w:r>
          </w:p>
        </w:tc>
        <w:tc>
          <w:tcPr>
            <w:tcW w:w="1417"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合同价格（元）</w:t>
            </w:r>
          </w:p>
        </w:tc>
        <w:tc>
          <w:tcPr>
            <w:tcW w:w="85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开工日期</w:t>
            </w:r>
          </w:p>
        </w:tc>
        <w:tc>
          <w:tcPr>
            <w:tcW w:w="850"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竣工日期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56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212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56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212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56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212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56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212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56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212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56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212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56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212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56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212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56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212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4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56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212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bl>
    <w:p>
      <w:pPr>
        <w:spacing w:line="460" w:lineRule="exact"/>
        <w:ind w:firstLine="420" w:firstLineChars="200"/>
        <w:rPr>
          <w:rFonts w:hint="eastAsia" w:ascii="宋体" w:hAnsi="宋体" w:eastAsia="宋体" w:cs="宋体"/>
          <w:color w:val="auto"/>
          <w:highlight w:val="none"/>
        </w:rPr>
      </w:pPr>
    </w:p>
    <w:p>
      <w:pPr>
        <w:spacing w:line="460" w:lineRule="exact"/>
        <w:ind w:firstLine="420" w:firstLineChars="200"/>
        <w:rPr>
          <w:rFonts w:hint="eastAsia" w:ascii="宋体" w:hAnsi="宋体" w:eastAsia="宋体" w:cs="宋体"/>
          <w:color w:val="auto"/>
          <w:highlight w:val="none"/>
        </w:rPr>
        <w:sectPr>
          <w:pgSz w:w="16840" w:h="11907" w:orient="landscape"/>
          <w:pgMar w:top="1440" w:right="1440" w:bottom="1440" w:left="1797" w:header="851" w:footer="851" w:gutter="0"/>
          <w:pgNumType w:fmt="decimal"/>
          <w:cols w:space="720" w:num="1"/>
          <w:docGrid w:linePitch="312" w:charSpace="0"/>
        </w:sectPr>
      </w:pPr>
    </w:p>
    <w:p>
      <w:pPr>
        <w:spacing w:line="440" w:lineRule="exac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附件2：</w:t>
      </w:r>
    </w:p>
    <w:p>
      <w:pPr>
        <w:spacing w:before="120" w:beforeLines="50" w:after="120" w:afterLines="50" w:line="44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工程质量保修书（房屋建筑工程）</w:t>
      </w:r>
    </w:p>
    <w:p>
      <w:pPr>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spacing w:line="440" w:lineRule="exact"/>
        <w:rPr>
          <w:rFonts w:hint="eastAsia" w:ascii="宋体" w:hAnsi="宋体" w:eastAsia="宋体" w:cs="宋体"/>
          <w:color w:val="auto"/>
          <w:highlight w:val="none"/>
        </w:rPr>
      </w:pP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发包人和承包人根据《中华人民共和国建筑法》和《建设工程质量管理条例》，经协商一致就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（工程全称）签订工程质量保修书。</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一、工程质量保修范围和内容</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承包人在质量保修期内，按照有关法律规定和合同约定，承担工程质量保修责任。</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二、质量保修期</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根据《建设工程质量管理条例》及有关规定，工程的质量保修期如下：</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1．地基基础工程和主体结构工程为设计文件规定的工程合理使用年限；</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2．屋面防水工程、有防水要求的卫生间、房间和外墙面的防渗为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3．装修工程为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4．电气管线、给排水管道、设备安装工程为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5．供热与供冷系统为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个采暖期、供冷期；</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6．住宅小区内的给排水设施、道路等配套工程为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7．其他项目保修期限约定如下：</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质量保修期自工程竣工验收合格之日起计算。</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三、缺陷责任期</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工程缺陷责任期为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个月（最长不超过24个月），缺陷责任期自工程竣工验收合格之日起计算。单位工程先于全部工程进行验收，单位工程缺陷责任期自单位工程验收合格之日起算。</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缺陷责任期</w:t>
      </w:r>
      <w:r>
        <w:rPr>
          <w:rFonts w:hint="eastAsia" w:ascii="宋体" w:hAnsi="宋体" w:eastAsia="宋体" w:cs="宋体"/>
          <w:color w:val="auto"/>
          <w:highlight w:val="none"/>
          <w:u w:val="single"/>
        </w:rPr>
        <w:t>满</w:t>
      </w:r>
      <w:r>
        <w:rPr>
          <w:rFonts w:hint="eastAsia" w:ascii="宋体" w:hAnsi="宋体" w:eastAsia="宋体" w:cs="宋体"/>
          <w:color w:val="auto"/>
          <w:highlight w:val="none"/>
        </w:rPr>
        <w:t>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w:t>
      </w:r>
      <w:r>
        <w:rPr>
          <w:rFonts w:hint="eastAsia" w:ascii="宋体" w:hAnsi="宋体" w:eastAsia="宋体" w:cs="宋体"/>
          <w:color w:val="auto"/>
          <w:highlight w:val="none"/>
          <w:u w:val="single"/>
        </w:rPr>
        <w:t>（按合同约定期限），</w:t>
      </w:r>
      <w:r>
        <w:rPr>
          <w:rFonts w:hint="eastAsia" w:ascii="宋体" w:hAnsi="宋体" w:eastAsia="宋体" w:cs="宋体"/>
          <w:color w:val="auto"/>
          <w:highlight w:val="none"/>
        </w:rPr>
        <w:t>发包人应退还剩余的质量保证金。</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四、质量保修责任</w:t>
      </w:r>
    </w:p>
    <w:p>
      <w:pPr>
        <w:spacing w:line="360" w:lineRule="auto"/>
        <w:ind w:left="105" w:leftChars="50" w:firstLine="430" w:firstLineChars="205"/>
        <w:rPr>
          <w:rFonts w:hint="eastAsia" w:ascii="宋体" w:hAnsi="宋体" w:eastAsia="宋体" w:cs="宋体"/>
          <w:color w:val="auto"/>
          <w:highlight w:val="none"/>
        </w:rPr>
      </w:pPr>
      <w:r>
        <w:rPr>
          <w:rFonts w:hint="eastAsia" w:ascii="宋体" w:hAnsi="宋体" w:eastAsia="宋体" w:cs="宋体"/>
          <w:color w:val="auto"/>
          <w:highlight w:val="none"/>
        </w:rPr>
        <w:t>1．属于保修范围、内容的项目，承包人应当在接到保修通知之日起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天内派人保修。承包人不在约定期限内派人保修的，发包人可以委托他人修理，修理费用从质量保证金内扣除。</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2．发生紧急事故需抢修的，承包人在接到事故通知后，应当立即到达事故现场抢修。</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4．质量保修完成后，由发包人组织验收。</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五、保修费用</w:t>
      </w:r>
    </w:p>
    <w:p>
      <w:pPr>
        <w:tabs>
          <w:tab w:val="left" w:pos="7380"/>
        </w:tabs>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保修费用由造成质量缺陷的责任方承担。</w:t>
      </w: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 xml:space="preserve">六、双方约定的其他工程质量保修事项： </w:t>
      </w:r>
    </w:p>
    <w:p>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spacing w:line="360" w:lineRule="auto"/>
        <w:ind w:firstLine="399" w:firstLineChars="190"/>
        <w:rPr>
          <w:rFonts w:hint="eastAsia" w:ascii="宋体" w:hAnsi="宋体" w:eastAsia="宋体" w:cs="宋体"/>
          <w:color w:val="auto"/>
          <w:highlight w:val="none"/>
        </w:rPr>
      </w:pPr>
      <w:r>
        <w:rPr>
          <w:rFonts w:hint="eastAsia" w:ascii="宋体" w:hAnsi="宋体" w:eastAsia="宋体" w:cs="宋体"/>
          <w:color w:val="auto"/>
          <w:highlight w:val="none"/>
        </w:rPr>
        <w:t>工程质量保修书由发包人、承包人在工程竣工验收前共同签署，作为施工合同附件，其有效期限至保修期满。</w:t>
      </w:r>
    </w:p>
    <w:p>
      <w:pPr>
        <w:spacing w:line="360" w:lineRule="auto"/>
        <w:ind w:firstLine="420"/>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发包人（公章）：</w:t>
      </w:r>
      <w:r>
        <w:rPr>
          <w:rFonts w:hint="eastAsia" w:ascii="宋体" w:hAnsi="宋体" w:eastAsia="宋体" w:cs="宋体"/>
          <w:color w:val="auto"/>
          <w:highlight w:val="none"/>
          <w:u w:val="single"/>
        </w:rPr>
        <w:t xml:space="preserve">         </w:t>
      </w:r>
      <w:r>
        <w:rPr>
          <w:rFonts w:hint="eastAsia" w:ascii="宋体" w:hAnsi="宋体" w:eastAsia="宋体" w:cs="宋体"/>
          <w:color w:val="auto"/>
          <w:highlight w:val="none"/>
        </w:rPr>
        <w:t xml:space="preserve">             承包人（公章）：</w:t>
      </w:r>
      <w:r>
        <w:rPr>
          <w:rFonts w:hint="eastAsia" w:ascii="宋体" w:hAnsi="宋体" w:eastAsia="宋体" w:cs="宋体"/>
          <w:color w:val="auto"/>
          <w:highlight w:val="none"/>
          <w:u w:val="single"/>
        </w:rPr>
        <w:t>          </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地  址：</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 xml:space="preserve">              地  址：</w:t>
      </w:r>
      <w:r>
        <w:rPr>
          <w:rFonts w:hint="eastAsia" w:ascii="宋体" w:hAnsi="宋体" w:eastAsia="宋体" w:cs="宋体"/>
          <w:color w:val="auto"/>
          <w:highlight w:val="none"/>
          <w:u w:val="single"/>
        </w:rPr>
        <w:t>      </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法定代表人（签字）：</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法定代表人（签字）：</w:t>
      </w:r>
      <w:r>
        <w:rPr>
          <w:rFonts w:hint="eastAsia" w:ascii="宋体" w:hAnsi="宋体" w:eastAsia="宋体" w:cs="宋体"/>
          <w:color w:val="auto"/>
          <w:highlight w:val="none"/>
          <w:u w:val="single"/>
        </w:rPr>
        <w:t>     </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委托代理人（签字）：</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委托代理人（签字）：</w:t>
      </w:r>
      <w:r>
        <w:rPr>
          <w:rFonts w:hint="eastAsia" w:ascii="宋体" w:hAnsi="宋体" w:eastAsia="宋体" w:cs="宋体"/>
          <w:color w:val="auto"/>
          <w:highlight w:val="none"/>
          <w:u w:val="single"/>
        </w:rPr>
        <w:t>     </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电  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电  话：</w:t>
      </w:r>
      <w:r>
        <w:rPr>
          <w:rFonts w:hint="eastAsia" w:ascii="宋体" w:hAnsi="宋体" w:eastAsia="宋体" w:cs="宋体"/>
          <w:color w:val="auto"/>
          <w:highlight w:val="none"/>
          <w:u w:val="single"/>
        </w:rPr>
        <w:t>      </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传  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传  真：</w:t>
      </w:r>
      <w:r>
        <w:rPr>
          <w:rFonts w:hint="eastAsia" w:ascii="宋体" w:hAnsi="宋体" w:eastAsia="宋体" w:cs="宋体"/>
          <w:color w:val="auto"/>
          <w:highlight w:val="none"/>
          <w:u w:val="single"/>
        </w:rPr>
        <w:t>    </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开户银行：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开户银行：</w:t>
      </w:r>
      <w:r>
        <w:rPr>
          <w:rFonts w:hint="eastAsia" w:ascii="宋体" w:hAnsi="宋体" w:eastAsia="宋体" w:cs="宋体"/>
          <w:color w:val="auto"/>
          <w:highlight w:val="none"/>
          <w:u w:val="single"/>
        </w:rPr>
        <w:t>  </w:t>
      </w:r>
    </w:p>
    <w:p>
      <w:pPr>
        <w:tabs>
          <w:tab w:val="left" w:pos="2880"/>
          <w:tab w:val="left" w:pos="3060"/>
          <w:tab w:val="left" w:pos="4500"/>
        </w:tabs>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账  号：</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 xml:space="preserve">              账  号：</w:t>
      </w:r>
      <w:r>
        <w:rPr>
          <w:rFonts w:hint="eastAsia" w:ascii="宋体" w:hAnsi="宋体" w:eastAsia="宋体" w:cs="宋体"/>
          <w:color w:val="auto"/>
          <w:highlight w:val="none"/>
          <w:u w:val="single"/>
        </w:rPr>
        <w:t>    </w:t>
      </w:r>
    </w:p>
    <w:p>
      <w:pPr>
        <w:tabs>
          <w:tab w:val="left" w:pos="7200"/>
          <w:tab w:val="left" w:pos="7380"/>
          <w:tab w:val="left" w:pos="7560"/>
        </w:tabs>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 xml:space="preserve">              邮政编码：</w:t>
      </w:r>
      <w:r>
        <w:rPr>
          <w:rFonts w:hint="eastAsia" w:ascii="宋体" w:hAnsi="宋体" w:eastAsia="宋体" w:cs="宋体"/>
          <w:color w:val="auto"/>
          <w:highlight w:val="none"/>
          <w:u w:val="single"/>
        </w:rPr>
        <w:t>   </w:t>
      </w:r>
    </w:p>
    <w:p>
      <w:pPr>
        <w:spacing w:before="120" w:beforeLines="50" w:after="120" w:afterLines="50" w:line="440" w:lineRule="exact"/>
        <w:jc w:val="center"/>
        <w:rPr>
          <w:rFonts w:hint="eastAsia" w:ascii="宋体" w:hAnsi="宋体" w:eastAsia="宋体" w:cs="宋体"/>
          <w:color w:val="auto"/>
          <w:sz w:val="32"/>
          <w:szCs w:val="32"/>
          <w:highlight w:val="none"/>
        </w:rPr>
      </w:pPr>
    </w:p>
    <w:p>
      <w:pPr>
        <w:spacing w:before="120" w:beforeLines="50" w:after="120" w:afterLines="50" w:line="440" w:lineRule="exact"/>
        <w:jc w:val="center"/>
        <w:rPr>
          <w:rFonts w:hint="eastAsia" w:ascii="宋体" w:hAnsi="宋体" w:eastAsia="宋体" w:cs="宋体"/>
          <w:color w:val="auto"/>
          <w:sz w:val="32"/>
          <w:szCs w:val="32"/>
          <w:highlight w:val="none"/>
        </w:rPr>
      </w:pPr>
    </w:p>
    <w:p>
      <w:pPr>
        <w:spacing w:before="120" w:beforeLines="50" w:after="120" w:afterLines="50" w:line="440" w:lineRule="exact"/>
        <w:jc w:val="center"/>
        <w:rPr>
          <w:rFonts w:hint="eastAsia" w:ascii="宋体" w:hAnsi="宋体" w:eastAsia="宋体" w:cs="宋体"/>
          <w:color w:val="auto"/>
          <w:sz w:val="32"/>
          <w:szCs w:val="32"/>
          <w:highlight w:val="none"/>
        </w:rPr>
      </w:pPr>
    </w:p>
    <w:p>
      <w:pPr>
        <w:spacing w:before="120" w:beforeLines="50" w:after="120" w:afterLines="50" w:line="440" w:lineRule="exact"/>
        <w:jc w:val="center"/>
        <w:rPr>
          <w:rFonts w:hint="eastAsia" w:ascii="宋体" w:hAnsi="宋体" w:eastAsia="宋体" w:cs="宋体"/>
          <w:color w:val="auto"/>
          <w:sz w:val="32"/>
          <w:szCs w:val="32"/>
          <w:highlight w:val="none"/>
        </w:rPr>
      </w:pPr>
    </w:p>
    <w:p>
      <w:pPr>
        <w:spacing w:before="120" w:beforeLines="50" w:after="120" w:afterLines="50" w:line="440" w:lineRule="exact"/>
        <w:jc w:val="center"/>
        <w:rPr>
          <w:rFonts w:hint="eastAsia" w:ascii="宋体" w:hAnsi="宋体" w:eastAsia="宋体" w:cs="宋体"/>
          <w:color w:val="auto"/>
          <w:sz w:val="32"/>
          <w:szCs w:val="32"/>
          <w:highlight w:val="none"/>
        </w:rPr>
      </w:pPr>
    </w:p>
    <w:p>
      <w:pPr>
        <w:spacing w:before="120" w:beforeLines="50" w:after="120" w:afterLines="50" w:line="440" w:lineRule="exact"/>
        <w:jc w:val="center"/>
        <w:rPr>
          <w:rFonts w:hint="eastAsia" w:ascii="宋体" w:hAnsi="宋体" w:eastAsia="宋体" w:cs="宋体"/>
          <w:color w:val="auto"/>
          <w:sz w:val="32"/>
          <w:szCs w:val="32"/>
          <w:highlight w:val="none"/>
        </w:rPr>
      </w:pPr>
    </w:p>
    <w:p>
      <w:pPr>
        <w:spacing w:before="120" w:beforeLines="50" w:after="120" w:afterLines="50" w:line="440" w:lineRule="exact"/>
        <w:jc w:val="center"/>
        <w:rPr>
          <w:rFonts w:hint="eastAsia" w:ascii="宋体" w:hAnsi="宋体" w:eastAsia="宋体" w:cs="宋体"/>
          <w:color w:val="auto"/>
          <w:sz w:val="32"/>
          <w:szCs w:val="32"/>
          <w:highlight w:val="none"/>
        </w:rPr>
      </w:pPr>
    </w:p>
    <w:p>
      <w:pPr>
        <w:spacing w:before="120" w:beforeLines="50" w:after="120" w:afterLines="50" w:line="440" w:lineRule="exact"/>
        <w:jc w:val="center"/>
        <w:rPr>
          <w:rFonts w:hint="eastAsia" w:ascii="宋体" w:hAnsi="宋体" w:eastAsia="宋体" w:cs="宋体"/>
          <w:color w:val="auto"/>
          <w:sz w:val="32"/>
          <w:szCs w:val="32"/>
          <w:highlight w:val="none"/>
        </w:rPr>
      </w:pPr>
    </w:p>
    <w:p>
      <w:pPr>
        <w:spacing w:before="120" w:beforeLines="50" w:after="120" w:afterLines="50" w:line="44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工程质量保修书（市政公用工程）</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spacing w:line="360" w:lineRule="auto"/>
        <w:rPr>
          <w:rFonts w:hint="eastAsia" w:ascii="宋体" w:hAnsi="宋体" w:eastAsia="宋体" w:cs="宋体"/>
          <w:color w:val="auto"/>
          <w:highlight w:val="none"/>
        </w:rPr>
      </w:pPr>
    </w:p>
    <w:p>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发包人和承包人根据《中华人民共和国建筑法》和《建设工程质量管理条例》，经协商一致就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（工程全称）签订工程质量保修书。</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一、工程质量保修范围和内容</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承包人在质量保修期内，按照有关法律规定和合同约定，承担工程质量保修责任。</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质量保修范围包括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，以及双方约定的其他项目。具体保修的内容，双方约定如下：</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二、质量保修期</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根据《建设工程质量管理条例》及有关规定，工程的质量保修期如下：</w:t>
      </w:r>
    </w:p>
    <w:p>
      <w:pPr>
        <w:spacing w:line="360" w:lineRule="auto"/>
        <w:ind w:firstLine="426"/>
        <w:rPr>
          <w:rFonts w:hint="eastAsia" w:ascii="宋体" w:hAnsi="宋体" w:eastAsia="宋体" w:cs="宋体"/>
          <w:color w:val="auto"/>
          <w:highlight w:val="none"/>
        </w:rPr>
      </w:pPr>
      <w:r>
        <w:rPr>
          <w:rFonts w:hint="eastAsia" w:ascii="宋体" w:hAnsi="宋体" w:eastAsia="宋体" w:cs="宋体"/>
          <w:color w:val="auto"/>
          <w:highlight w:val="none"/>
        </w:rPr>
        <w:t>1．桥梁工程为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年（建议桥梁隧道主体结构工程为设计文件规定的合理使用年限）；</w:t>
      </w:r>
    </w:p>
    <w:p>
      <w:pPr>
        <w:spacing w:line="360" w:lineRule="auto"/>
        <w:ind w:firstLine="426"/>
        <w:rPr>
          <w:rFonts w:hint="eastAsia" w:ascii="宋体" w:hAnsi="宋体" w:eastAsia="宋体" w:cs="宋体"/>
          <w:color w:val="auto"/>
          <w:highlight w:val="none"/>
        </w:rPr>
      </w:pPr>
      <w:r>
        <w:rPr>
          <w:rFonts w:hint="eastAsia" w:ascii="宋体" w:hAnsi="宋体" w:eastAsia="宋体" w:cs="宋体"/>
          <w:color w:val="auto"/>
          <w:highlight w:val="none"/>
        </w:rPr>
        <w:t>2．道路工程为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年（建议路基、路面、桥面为2年）；</w:t>
      </w:r>
    </w:p>
    <w:p>
      <w:pPr>
        <w:spacing w:line="360" w:lineRule="auto"/>
        <w:ind w:firstLine="426"/>
        <w:rPr>
          <w:rFonts w:hint="eastAsia" w:ascii="宋体" w:hAnsi="宋体" w:eastAsia="宋体" w:cs="宋体"/>
          <w:color w:val="auto"/>
          <w:highlight w:val="none"/>
        </w:rPr>
      </w:pPr>
      <w:r>
        <w:rPr>
          <w:rFonts w:hint="eastAsia" w:ascii="宋体" w:hAnsi="宋体" w:eastAsia="宋体" w:cs="宋体"/>
          <w:color w:val="auto"/>
          <w:highlight w:val="none"/>
        </w:rPr>
        <w:t>3．排水（雨水）工程为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年（建议道路工程中的排水工程为3年）；</w:t>
      </w:r>
    </w:p>
    <w:p>
      <w:pPr>
        <w:spacing w:line="360" w:lineRule="auto"/>
        <w:ind w:firstLine="426"/>
        <w:rPr>
          <w:rFonts w:hint="eastAsia" w:ascii="宋体" w:hAnsi="宋体" w:eastAsia="宋体" w:cs="宋体"/>
          <w:color w:val="auto"/>
          <w:highlight w:val="none"/>
        </w:rPr>
      </w:pPr>
      <w:r>
        <w:rPr>
          <w:rFonts w:hint="eastAsia" w:ascii="宋体" w:hAnsi="宋体" w:eastAsia="宋体" w:cs="宋体"/>
          <w:color w:val="auto"/>
          <w:highlight w:val="none"/>
        </w:rPr>
        <w:t xml:space="preserve">4．绿化工程为 </w:t>
      </w:r>
      <w:r>
        <w:rPr>
          <w:rFonts w:hint="eastAsia" w:ascii="宋体" w:hAnsi="宋体" w:eastAsia="宋体" w:cs="宋体"/>
          <w:color w:val="auto"/>
          <w:highlight w:val="none"/>
          <w:u w:val="single"/>
        </w:rPr>
        <w:t>单位工程竣工验收合格后    年</w:t>
      </w:r>
      <w:r>
        <w:rPr>
          <w:rFonts w:hint="eastAsia" w:ascii="宋体" w:hAnsi="宋体" w:eastAsia="宋体" w:cs="宋体"/>
          <w:color w:val="auto"/>
          <w:highlight w:val="none"/>
        </w:rPr>
        <w:t>；</w:t>
      </w:r>
    </w:p>
    <w:p>
      <w:pPr>
        <w:spacing w:line="360" w:lineRule="auto"/>
        <w:ind w:firstLine="426"/>
        <w:rPr>
          <w:rFonts w:hint="eastAsia" w:ascii="宋体" w:hAnsi="宋体" w:eastAsia="宋体" w:cs="宋体"/>
          <w:color w:val="auto"/>
          <w:highlight w:val="none"/>
        </w:rPr>
      </w:pPr>
      <w:r>
        <w:rPr>
          <w:rFonts w:hint="eastAsia" w:ascii="宋体" w:hAnsi="宋体" w:eastAsia="宋体" w:cs="宋体"/>
          <w:color w:val="auto"/>
          <w:highlight w:val="none"/>
        </w:rPr>
        <w:t>5.  地下防水工程为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年（建议为5年）；</w:t>
      </w:r>
    </w:p>
    <w:p>
      <w:pPr>
        <w:spacing w:line="360" w:lineRule="auto"/>
        <w:ind w:firstLine="426"/>
        <w:rPr>
          <w:rFonts w:hint="eastAsia" w:ascii="宋体" w:hAnsi="宋体" w:eastAsia="宋体" w:cs="宋体"/>
          <w:color w:val="auto"/>
          <w:highlight w:val="none"/>
        </w:rPr>
      </w:pPr>
      <w:r>
        <w:rPr>
          <w:rFonts w:hint="eastAsia" w:ascii="宋体" w:hAnsi="宋体" w:eastAsia="宋体" w:cs="宋体"/>
          <w:color w:val="auto"/>
          <w:highlight w:val="none"/>
        </w:rPr>
        <w:t>6．其他附属工程为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7．其他项目保修期限约定如下：</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质量保修期自工程竣工验收合格之日起计算。</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三、缺陷责任期</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工程缺陷责任期为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个月（最长不超过24个月），缺陷责任期自工程竣工验收合格之日起计算。单位工程先于全部工程进行验收，单位工程缺陷责任期自单位工程验收合格之日起算。</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缺陷责任期</w:t>
      </w:r>
      <w:r>
        <w:rPr>
          <w:rFonts w:hint="eastAsia" w:ascii="宋体" w:hAnsi="宋体" w:eastAsia="宋体" w:cs="宋体"/>
          <w:color w:val="auto"/>
          <w:highlight w:val="none"/>
          <w:u w:val="single"/>
        </w:rPr>
        <w:t>满</w:t>
      </w:r>
      <w:r>
        <w:rPr>
          <w:rFonts w:hint="eastAsia" w:ascii="宋体" w:hAnsi="宋体" w:eastAsia="宋体" w:cs="宋体"/>
          <w:color w:val="auto"/>
          <w:highlight w:val="none"/>
        </w:rPr>
        <w:t>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w:t>
      </w:r>
      <w:r>
        <w:rPr>
          <w:rFonts w:hint="eastAsia" w:ascii="宋体" w:hAnsi="宋体" w:eastAsia="宋体" w:cs="宋体"/>
          <w:color w:val="auto"/>
          <w:highlight w:val="none"/>
          <w:u w:val="single"/>
        </w:rPr>
        <w:t>（按合同约定期限），</w:t>
      </w:r>
      <w:r>
        <w:rPr>
          <w:rFonts w:hint="eastAsia" w:ascii="宋体" w:hAnsi="宋体" w:eastAsia="宋体" w:cs="宋体"/>
          <w:color w:val="auto"/>
          <w:highlight w:val="none"/>
        </w:rPr>
        <w:t>发包人应退还剩余的质量保证金。</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四、质量保修责任</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1．属于保修范围、内容的项目，承包人应当在接到保修通知之日起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天内派人保修。承包人不在约定期限内派人保修的，发包人可以委托他人修理，修理费用从质量保证金内扣除。</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2．发生紧急事故需抢修的，承包人在接到事故通知后，应当立即到达事故现场抢修。</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4．质量保修完成后，由发包人组织验收。</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五、保修费用</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保修费用由造成质量缺陷的责任方承担。</w:t>
      </w:r>
    </w:p>
    <w:p>
      <w:pPr>
        <w:spacing w:line="36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六、双方约定的其他工程质量保修事项：</w:t>
      </w:r>
      <w:r>
        <w:rPr>
          <w:rFonts w:hint="eastAsia" w:ascii="宋体" w:hAnsi="宋体" w:eastAsia="宋体" w:cs="宋体"/>
          <w:color w:val="auto"/>
          <w:highlight w:val="none"/>
          <w:u w:val="single"/>
        </w:rPr>
        <w:t xml:space="preserve">                                          </w:t>
      </w:r>
    </w:p>
    <w:p>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spacing w:line="360" w:lineRule="auto"/>
        <w:ind w:firstLine="399" w:firstLineChars="190"/>
        <w:rPr>
          <w:rFonts w:hint="eastAsia" w:ascii="宋体" w:hAnsi="宋体" w:eastAsia="宋体" w:cs="宋体"/>
          <w:color w:val="auto"/>
          <w:highlight w:val="none"/>
        </w:rPr>
      </w:pPr>
      <w:r>
        <w:rPr>
          <w:rFonts w:hint="eastAsia" w:ascii="宋体" w:hAnsi="宋体" w:eastAsia="宋体" w:cs="宋体"/>
          <w:color w:val="auto"/>
          <w:highlight w:val="none"/>
        </w:rPr>
        <w:t>工程质量保修书由发包人、承包人在工程竣工验收前共同签署，作为施工合同附件，其有效期限至保修期满。</w:t>
      </w:r>
    </w:p>
    <w:p>
      <w:pPr>
        <w:spacing w:line="360" w:lineRule="auto"/>
        <w:ind w:firstLine="420"/>
        <w:rPr>
          <w:rFonts w:hint="eastAsia" w:ascii="宋体" w:hAnsi="宋体" w:eastAsia="宋体" w:cs="宋体"/>
          <w:color w:val="auto"/>
          <w:highlight w:val="none"/>
        </w:rPr>
      </w:pPr>
    </w:p>
    <w:p>
      <w:pPr>
        <w:spacing w:line="360" w:lineRule="auto"/>
        <w:ind w:firstLine="420"/>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发包人（公章）：</w:t>
      </w:r>
      <w:r>
        <w:rPr>
          <w:rFonts w:hint="eastAsia" w:ascii="宋体" w:hAnsi="宋体" w:eastAsia="宋体" w:cs="宋体"/>
          <w:color w:val="auto"/>
          <w:highlight w:val="none"/>
          <w:u w:val="single"/>
        </w:rPr>
        <w:t xml:space="preserve">         </w:t>
      </w:r>
      <w:r>
        <w:rPr>
          <w:rFonts w:hint="eastAsia" w:ascii="宋体" w:hAnsi="宋体" w:eastAsia="宋体" w:cs="宋体"/>
          <w:color w:val="auto"/>
          <w:highlight w:val="none"/>
        </w:rPr>
        <w:t xml:space="preserve">             承包人（公章）：</w:t>
      </w:r>
      <w:r>
        <w:rPr>
          <w:rFonts w:hint="eastAsia" w:ascii="宋体" w:hAnsi="宋体" w:eastAsia="宋体" w:cs="宋体"/>
          <w:color w:val="auto"/>
          <w:highlight w:val="none"/>
          <w:u w:val="single"/>
        </w:rPr>
        <w:t>          </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地  址：</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 xml:space="preserve">              地  址：</w:t>
      </w:r>
      <w:r>
        <w:rPr>
          <w:rFonts w:hint="eastAsia" w:ascii="宋体" w:hAnsi="宋体" w:eastAsia="宋体" w:cs="宋体"/>
          <w:color w:val="auto"/>
          <w:highlight w:val="none"/>
          <w:u w:val="single"/>
        </w:rPr>
        <w:t>      </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法定代表人（签字）：</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法定代表人（签字）：</w:t>
      </w:r>
      <w:r>
        <w:rPr>
          <w:rFonts w:hint="eastAsia" w:ascii="宋体" w:hAnsi="宋体" w:eastAsia="宋体" w:cs="宋体"/>
          <w:color w:val="auto"/>
          <w:highlight w:val="none"/>
          <w:u w:val="single"/>
        </w:rPr>
        <w:t>     </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委托代理人（签字）：</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委托代理人（签字）：</w:t>
      </w:r>
      <w:r>
        <w:rPr>
          <w:rFonts w:hint="eastAsia" w:ascii="宋体" w:hAnsi="宋体" w:eastAsia="宋体" w:cs="宋体"/>
          <w:color w:val="auto"/>
          <w:highlight w:val="none"/>
          <w:u w:val="single"/>
        </w:rPr>
        <w:t>     </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电  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电  话：</w:t>
      </w:r>
      <w:r>
        <w:rPr>
          <w:rFonts w:hint="eastAsia" w:ascii="宋体" w:hAnsi="宋体" w:eastAsia="宋体" w:cs="宋体"/>
          <w:color w:val="auto"/>
          <w:highlight w:val="none"/>
          <w:u w:val="single"/>
        </w:rPr>
        <w:t>      </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传  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传  真：</w:t>
      </w:r>
      <w:r>
        <w:rPr>
          <w:rFonts w:hint="eastAsia" w:ascii="宋体" w:hAnsi="宋体" w:eastAsia="宋体" w:cs="宋体"/>
          <w:color w:val="auto"/>
          <w:highlight w:val="none"/>
          <w:u w:val="single"/>
        </w:rPr>
        <w:t>    </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开户银行：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开户银行：</w:t>
      </w:r>
      <w:r>
        <w:rPr>
          <w:rFonts w:hint="eastAsia" w:ascii="宋体" w:hAnsi="宋体" w:eastAsia="宋体" w:cs="宋体"/>
          <w:color w:val="auto"/>
          <w:highlight w:val="none"/>
          <w:u w:val="single"/>
        </w:rPr>
        <w:t>  </w:t>
      </w:r>
    </w:p>
    <w:p>
      <w:pPr>
        <w:tabs>
          <w:tab w:val="left" w:pos="2880"/>
          <w:tab w:val="left" w:pos="3060"/>
          <w:tab w:val="left" w:pos="4500"/>
        </w:tabs>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账  号：</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 xml:space="preserve">              账  号：</w:t>
      </w:r>
      <w:r>
        <w:rPr>
          <w:rFonts w:hint="eastAsia" w:ascii="宋体" w:hAnsi="宋体" w:eastAsia="宋体" w:cs="宋体"/>
          <w:color w:val="auto"/>
          <w:highlight w:val="none"/>
          <w:u w:val="single"/>
        </w:rPr>
        <w:t>    </w:t>
      </w:r>
    </w:p>
    <w:p>
      <w:pPr>
        <w:spacing w:line="360" w:lineRule="auto"/>
        <w:rPr>
          <w:rFonts w:hint="eastAsia" w:ascii="宋体" w:hAnsi="宋体" w:eastAsia="宋体" w:cs="宋体"/>
          <w:color w:val="auto"/>
          <w:highlight w:val="none"/>
          <w:u w:val="single"/>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 xml:space="preserve">              邮政编码：</w:t>
      </w:r>
      <w:r>
        <w:rPr>
          <w:rFonts w:hint="eastAsia" w:ascii="宋体" w:hAnsi="宋体" w:eastAsia="宋体" w:cs="宋体"/>
          <w:color w:val="auto"/>
          <w:highlight w:val="none"/>
          <w:u w:val="single"/>
        </w:rPr>
        <w:t xml:space="preserve">    </w:t>
      </w:r>
    </w:p>
    <w:p>
      <w:pPr>
        <w:spacing w:line="360" w:lineRule="auto"/>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rPr>
      </w:pPr>
    </w:p>
    <w:p>
      <w:pPr>
        <w:spacing w:line="440" w:lineRule="exac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附件3：</w:t>
      </w:r>
    </w:p>
    <w:p>
      <w:pPr>
        <w:spacing w:before="120" w:beforeLines="50" w:after="120"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主要建设工程文件目录</w:t>
      </w:r>
    </w:p>
    <w:tbl>
      <w:tblPr>
        <w:tblStyle w:val="39"/>
        <w:tblW w:w="9039"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480" w:hRule="atLeast"/>
          <w:jc w:val="center"/>
        </w:trPr>
        <w:tc>
          <w:tcPr>
            <w:tcW w:w="1953" w:type="dxa"/>
            <w:tcBorders>
              <w:top w:val="single" w:color="auto" w:sz="4" w:space="0"/>
              <w:left w:val="single" w:color="auto" w:sz="4" w:space="0"/>
              <w:bottom w:val="single" w:color="auto" w:sz="4" w:space="0"/>
              <w:right w:val="single" w:color="auto" w:sz="4" w:space="0"/>
            </w:tcBorders>
            <w:noWrap w:val="0"/>
            <w:vAlign w:val="center"/>
          </w:tcPr>
          <w:p>
            <w:pPr>
              <w:pStyle w:val="5"/>
              <w:keepNext/>
              <w:spacing w:after="0" w:line="440" w:lineRule="exact"/>
              <w:ind w:left="63" w:right="63"/>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文件名称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pStyle w:val="5"/>
              <w:keepNext/>
              <w:spacing w:after="0" w:line="440" w:lineRule="exact"/>
              <w:ind w:left="63" w:right="63"/>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套数</w:t>
            </w:r>
          </w:p>
        </w:tc>
        <w:tc>
          <w:tcPr>
            <w:tcW w:w="1450" w:type="dxa"/>
            <w:tcBorders>
              <w:top w:val="single" w:color="auto" w:sz="4" w:space="0"/>
              <w:left w:val="single" w:color="auto" w:sz="4" w:space="0"/>
              <w:bottom w:val="single" w:color="auto" w:sz="4" w:space="0"/>
              <w:right w:val="single" w:color="auto" w:sz="4" w:space="0"/>
            </w:tcBorders>
            <w:noWrap w:val="0"/>
            <w:vAlign w:val="center"/>
          </w:tcPr>
          <w:p>
            <w:pPr>
              <w:pStyle w:val="5"/>
              <w:keepNext/>
              <w:spacing w:after="0" w:line="440" w:lineRule="exact"/>
              <w:ind w:left="63" w:right="63"/>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费用（元）</w:t>
            </w:r>
          </w:p>
        </w:tc>
        <w:tc>
          <w:tcPr>
            <w:tcW w:w="1243" w:type="dxa"/>
            <w:tcBorders>
              <w:top w:val="single" w:color="auto" w:sz="4" w:space="0"/>
              <w:left w:val="single" w:color="auto" w:sz="4" w:space="0"/>
              <w:bottom w:val="single" w:color="auto" w:sz="4" w:space="0"/>
              <w:right w:val="single" w:color="auto" w:sz="4" w:space="0"/>
            </w:tcBorders>
            <w:noWrap w:val="0"/>
            <w:vAlign w:val="center"/>
          </w:tcPr>
          <w:p>
            <w:pPr>
              <w:pStyle w:val="5"/>
              <w:keepNext/>
              <w:spacing w:after="0" w:line="440" w:lineRule="exact"/>
              <w:ind w:left="63" w:right="63"/>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质量</w:t>
            </w:r>
          </w:p>
        </w:tc>
        <w:tc>
          <w:tcPr>
            <w:tcW w:w="1450"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移交时间</w:t>
            </w:r>
          </w:p>
        </w:tc>
        <w:tc>
          <w:tcPr>
            <w:tcW w:w="1667"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责任人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tcBorders>
              <w:top w:val="single" w:color="auto" w:sz="4" w:space="0"/>
              <w:bottom w:val="single" w:color="auto" w:sz="6" w:space="0"/>
            </w:tcBorders>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76" w:type="dxa"/>
            <w:tcBorders>
              <w:top w:val="single" w:color="auto" w:sz="4" w:space="0"/>
              <w:bottom w:val="single" w:color="auto" w:sz="6" w:space="0"/>
            </w:tcBorders>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tcBorders>
              <w:top w:val="single" w:color="auto" w:sz="4" w:space="0"/>
              <w:bottom w:val="single" w:color="auto" w:sz="6" w:space="0"/>
            </w:tcBorders>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43" w:type="dxa"/>
            <w:tcBorders>
              <w:top w:val="single" w:color="auto" w:sz="4" w:space="0"/>
              <w:bottom w:val="single" w:color="auto" w:sz="6" w:space="0"/>
            </w:tcBorders>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tcBorders>
              <w:top w:val="single" w:color="auto" w:sz="4" w:space="0"/>
              <w:bottom w:val="single" w:color="auto" w:sz="6" w:space="0"/>
            </w:tcBorders>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7" w:type="dxa"/>
            <w:tcBorders>
              <w:top w:val="single" w:color="auto" w:sz="4" w:space="0"/>
              <w:bottom w:val="single" w:color="auto" w:sz="6" w:space="0"/>
            </w:tcBorders>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76" w:type="dxa"/>
            <w:tcBorders>
              <w:top w:val="nil"/>
            </w:tcBorders>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tcBorders>
              <w:top w:val="nil"/>
            </w:tcBorders>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43" w:type="dxa"/>
            <w:tcBorders>
              <w:top w:val="nil"/>
            </w:tcBorders>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tcBorders>
              <w:top w:val="nil"/>
            </w:tcBorders>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7" w:type="dxa"/>
            <w:tcBorders>
              <w:top w:val="nil"/>
            </w:tcBorders>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7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43"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7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43"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7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43"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7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43"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7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43"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7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43"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top"/>
          </w:tcPr>
          <w:p>
            <w:pPr>
              <w:rPr>
                <w:rFonts w:hint="eastAsia" w:ascii="宋体" w:hAnsi="宋体" w:eastAsia="宋体" w:cs="宋体"/>
                <w:color w:val="auto"/>
                <w:sz w:val="30"/>
                <w:szCs w:val="30"/>
                <w:highlight w:val="none"/>
              </w:rPr>
            </w:pPr>
          </w:p>
        </w:tc>
        <w:tc>
          <w:tcPr>
            <w:tcW w:w="1276"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243"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667" w:type="dxa"/>
            <w:noWrap w:val="0"/>
            <w:vAlign w:val="top"/>
          </w:tcPr>
          <w:p>
            <w:pPr>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76"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243"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667"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top"/>
          </w:tcPr>
          <w:p>
            <w:pPr>
              <w:rPr>
                <w:rFonts w:hint="eastAsia" w:ascii="宋体" w:hAnsi="宋体" w:eastAsia="宋体" w:cs="宋体"/>
                <w:color w:val="auto"/>
                <w:sz w:val="30"/>
                <w:szCs w:val="30"/>
                <w:highlight w:val="none"/>
              </w:rPr>
            </w:pPr>
          </w:p>
        </w:tc>
        <w:tc>
          <w:tcPr>
            <w:tcW w:w="1276"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243"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667" w:type="dxa"/>
            <w:noWrap w:val="0"/>
            <w:vAlign w:val="top"/>
          </w:tcPr>
          <w:p>
            <w:pPr>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top"/>
          </w:tcPr>
          <w:p>
            <w:pPr>
              <w:rPr>
                <w:rFonts w:hint="eastAsia" w:ascii="宋体" w:hAnsi="宋体" w:eastAsia="宋体" w:cs="宋体"/>
                <w:color w:val="auto"/>
                <w:sz w:val="30"/>
                <w:szCs w:val="30"/>
                <w:highlight w:val="none"/>
              </w:rPr>
            </w:pPr>
          </w:p>
        </w:tc>
        <w:tc>
          <w:tcPr>
            <w:tcW w:w="1276"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243"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667" w:type="dxa"/>
            <w:noWrap w:val="0"/>
            <w:vAlign w:val="top"/>
          </w:tcPr>
          <w:p>
            <w:pPr>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top"/>
          </w:tcPr>
          <w:p>
            <w:pPr>
              <w:rPr>
                <w:rFonts w:hint="eastAsia" w:ascii="宋体" w:hAnsi="宋体" w:eastAsia="宋体" w:cs="宋体"/>
                <w:color w:val="auto"/>
                <w:sz w:val="30"/>
                <w:szCs w:val="30"/>
                <w:highlight w:val="none"/>
              </w:rPr>
            </w:pPr>
          </w:p>
        </w:tc>
        <w:tc>
          <w:tcPr>
            <w:tcW w:w="1276"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243"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667" w:type="dxa"/>
            <w:noWrap w:val="0"/>
            <w:vAlign w:val="top"/>
          </w:tcPr>
          <w:p>
            <w:pPr>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top"/>
          </w:tcPr>
          <w:p>
            <w:pPr>
              <w:rPr>
                <w:rFonts w:hint="eastAsia" w:ascii="宋体" w:hAnsi="宋体" w:eastAsia="宋体" w:cs="宋体"/>
                <w:color w:val="auto"/>
                <w:sz w:val="30"/>
                <w:szCs w:val="30"/>
                <w:highlight w:val="none"/>
              </w:rPr>
            </w:pPr>
          </w:p>
        </w:tc>
        <w:tc>
          <w:tcPr>
            <w:tcW w:w="1276"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243"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667" w:type="dxa"/>
            <w:noWrap w:val="0"/>
            <w:vAlign w:val="top"/>
          </w:tcPr>
          <w:p>
            <w:pPr>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top"/>
          </w:tcPr>
          <w:p>
            <w:pPr>
              <w:rPr>
                <w:rFonts w:hint="eastAsia" w:ascii="宋体" w:hAnsi="宋体" w:eastAsia="宋体" w:cs="宋体"/>
                <w:color w:val="auto"/>
                <w:sz w:val="30"/>
                <w:szCs w:val="30"/>
                <w:highlight w:val="none"/>
              </w:rPr>
            </w:pPr>
          </w:p>
        </w:tc>
        <w:tc>
          <w:tcPr>
            <w:tcW w:w="1276"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243"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667" w:type="dxa"/>
            <w:noWrap w:val="0"/>
            <w:vAlign w:val="top"/>
          </w:tcPr>
          <w:p>
            <w:pPr>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top"/>
          </w:tcPr>
          <w:p>
            <w:pPr>
              <w:rPr>
                <w:rFonts w:hint="eastAsia" w:ascii="宋体" w:hAnsi="宋体" w:eastAsia="宋体" w:cs="宋体"/>
                <w:color w:val="auto"/>
                <w:sz w:val="30"/>
                <w:szCs w:val="30"/>
                <w:highlight w:val="none"/>
              </w:rPr>
            </w:pPr>
          </w:p>
        </w:tc>
        <w:tc>
          <w:tcPr>
            <w:tcW w:w="1276"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243"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667" w:type="dxa"/>
            <w:noWrap w:val="0"/>
            <w:vAlign w:val="top"/>
          </w:tcPr>
          <w:p>
            <w:pPr>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top"/>
          </w:tcPr>
          <w:p>
            <w:pPr>
              <w:rPr>
                <w:rFonts w:hint="eastAsia" w:ascii="宋体" w:hAnsi="宋体" w:eastAsia="宋体" w:cs="宋体"/>
                <w:color w:val="auto"/>
                <w:sz w:val="30"/>
                <w:szCs w:val="30"/>
                <w:highlight w:val="none"/>
              </w:rPr>
            </w:pPr>
          </w:p>
        </w:tc>
        <w:tc>
          <w:tcPr>
            <w:tcW w:w="1276"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243"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667" w:type="dxa"/>
            <w:noWrap w:val="0"/>
            <w:vAlign w:val="top"/>
          </w:tcPr>
          <w:p>
            <w:pPr>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top"/>
          </w:tcPr>
          <w:p>
            <w:pPr>
              <w:rPr>
                <w:rFonts w:hint="eastAsia" w:ascii="宋体" w:hAnsi="宋体" w:eastAsia="宋体" w:cs="宋体"/>
                <w:color w:val="auto"/>
                <w:sz w:val="30"/>
                <w:szCs w:val="30"/>
                <w:highlight w:val="none"/>
              </w:rPr>
            </w:pPr>
          </w:p>
        </w:tc>
        <w:tc>
          <w:tcPr>
            <w:tcW w:w="1276"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243"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667" w:type="dxa"/>
            <w:noWrap w:val="0"/>
            <w:vAlign w:val="top"/>
          </w:tcPr>
          <w:p>
            <w:pPr>
              <w:rPr>
                <w:rFonts w:hint="eastAsia" w:ascii="宋体" w:hAnsi="宋体" w:eastAsia="宋体" w:cs="宋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953" w:type="dxa"/>
            <w:noWrap w:val="0"/>
            <w:vAlign w:val="top"/>
          </w:tcPr>
          <w:p>
            <w:pPr>
              <w:rPr>
                <w:rFonts w:hint="eastAsia" w:ascii="宋体" w:hAnsi="宋体" w:eastAsia="宋体" w:cs="宋体"/>
                <w:color w:val="auto"/>
                <w:sz w:val="30"/>
                <w:szCs w:val="30"/>
                <w:highlight w:val="none"/>
              </w:rPr>
            </w:pPr>
          </w:p>
        </w:tc>
        <w:tc>
          <w:tcPr>
            <w:tcW w:w="1276"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243" w:type="dxa"/>
            <w:noWrap w:val="0"/>
            <w:vAlign w:val="top"/>
          </w:tcPr>
          <w:p>
            <w:pPr>
              <w:rPr>
                <w:rFonts w:hint="eastAsia" w:ascii="宋体" w:hAnsi="宋体" w:eastAsia="宋体" w:cs="宋体"/>
                <w:color w:val="auto"/>
                <w:sz w:val="30"/>
                <w:szCs w:val="30"/>
                <w:highlight w:val="none"/>
              </w:rPr>
            </w:pPr>
          </w:p>
        </w:tc>
        <w:tc>
          <w:tcPr>
            <w:tcW w:w="1450" w:type="dxa"/>
            <w:noWrap w:val="0"/>
            <w:vAlign w:val="top"/>
          </w:tcPr>
          <w:p>
            <w:pPr>
              <w:rPr>
                <w:rFonts w:hint="eastAsia" w:ascii="宋体" w:hAnsi="宋体" w:eastAsia="宋体" w:cs="宋体"/>
                <w:color w:val="auto"/>
                <w:sz w:val="30"/>
                <w:szCs w:val="30"/>
                <w:highlight w:val="none"/>
              </w:rPr>
            </w:pPr>
          </w:p>
        </w:tc>
        <w:tc>
          <w:tcPr>
            <w:tcW w:w="1667" w:type="dxa"/>
            <w:noWrap w:val="0"/>
            <w:vAlign w:val="top"/>
          </w:tcPr>
          <w:p>
            <w:pPr>
              <w:rPr>
                <w:rFonts w:hint="eastAsia" w:ascii="宋体" w:hAnsi="宋体" w:eastAsia="宋体" w:cs="宋体"/>
                <w:color w:val="auto"/>
                <w:sz w:val="30"/>
                <w:szCs w:val="30"/>
                <w:highlight w:val="none"/>
              </w:rPr>
            </w:pPr>
          </w:p>
        </w:tc>
      </w:tr>
    </w:tbl>
    <w:p>
      <w:pPr>
        <w:spacing w:line="440" w:lineRule="exact"/>
        <w:rPr>
          <w:rFonts w:hint="eastAsia" w:ascii="宋体" w:hAnsi="宋体" w:eastAsia="宋体" w:cs="宋体"/>
          <w:color w:val="auto"/>
          <w:sz w:val="30"/>
          <w:szCs w:val="30"/>
          <w:highlight w:val="none"/>
        </w:rPr>
      </w:pPr>
    </w:p>
    <w:p>
      <w:pPr>
        <w:spacing w:line="440" w:lineRule="exac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附件4：</w:t>
      </w:r>
    </w:p>
    <w:p>
      <w:pPr>
        <w:spacing w:before="120" w:beforeLines="50" w:after="120"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承包人用于本工程施工的机械设备表</w:t>
      </w:r>
    </w:p>
    <w:tbl>
      <w:tblPr>
        <w:tblStyle w:val="39"/>
        <w:tblW w:w="980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162"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序号</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机械或设备名称</w:t>
            </w:r>
          </w:p>
        </w:tc>
        <w:tc>
          <w:tcPr>
            <w:tcW w:w="850"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规格型号</w:t>
            </w:r>
          </w:p>
        </w:tc>
        <w:tc>
          <w:tcPr>
            <w:tcW w:w="105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数量</w:t>
            </w:r>
          </w:p>
        </w:tc>
        <w:tc>
          <w:tcPr>
            <w:tcW w:w="880"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产地</w:t>
            </w:r>
          </w:p>
        </w:tc>
        <w:tc>
          <w:tcPr>
            <w:tcW w:w="1020"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制造年份</w:t>
            </w:r>
          </w:p>
        </w:tc>
        <w:tc>
          <w:tcPr>
            <w:tcW w:w="1480"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额定功率（kW）</w:t>
            </w:r>
          </w:p>
        </w:tc>
        <w:tc>
          <w:tcPr>
            <w:tcW w:w="1020"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生产能力</w:t>
            </w:r>
          </w:p>
        </w:tc>
        <w:tc>
          <w:tcPr>
            <w:tcW w:w="92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5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92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5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92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5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92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5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92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5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92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5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92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5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92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5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92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top"/>
          </w:tcPr>
          <w:p>
            <w:pPr>
              <w:rPr>
                <w:rFonts w:hint="eastAsia" w:ascii="宋体" w:hAnsi="宋体" w:eastAsia="宋体" w:cs="宋体"/>
                <w:color w:val="auto"/>
                <w:sz w:val="30"/>
                <w:szCs w:val="30"/>
                <w:highlight w:val="none"/>
              </w:rPr>
            </w:pPr>
          </w:p>
        </w:tc>
        <w:tc>
          <w:tcPr>
            <w:tcW w:w="1418" w:type="dxa"/>
            <w:noWrap w:val="0"/>
            <w:vAlign w:val="top"/>
          </w:tcPr>
          <w:p>
            <w:pPr>
              <w:rPr>
                <w:rFonts w:hint="eastAsia" w:ascii="宋体" w:hAnsi="宋体" w:eastAsia="宋体" w:cs="宋体"/>
                <w:color w:val="auto"/>
                <w:sz w:val="30"/>
                <w:szCs w:val="30"/>
                <w:highlight w:val="none"/>
              </w:rPr>
            </w:pPr>
          </w:p>
        </w:tc>
        <w:tc>
          <w:tcPr>
            <w:tcW w:w="850" w:type="dxa"/>
            <w:noWrap w:val="0"/>
            <w:vAlign w:val="top"/>
          </w:tcPr>
          <w:p>
            <w:pPr>
              <w:rPr>
                <w:rFonts w:hint="eastAsia" w:ascii="宋体" w:hAnsi="宋体" w:eastAsia="宋体" w:cs="宋体"/>
                <w:color w:val="auto"/>
                <w:sz w:val="30"/>
                <w:szCs w:val="30"/>
                <w:highlight w:val="none"/>
              </w:rPr>
            </w:pPr>
          </w:p>
        </w:tc>
        <w:tc>
          <w:tcPr>
            <w:tcW w:w="1058" w:type="dxa"/>
            <w:noWrap w:val="0"/>
            <w:vAlign w:val="top"/>
          </w:tcPr>
          <w:p>
            <w:pPr>
              <w:rPr>
                <w:rFonts w:hint="eastAsia" w:ascii="宋体" w:hAnsi="宋体" w:eastAsia="宋体" w:cs="宋体"/>
                <w:color w:val="auto"/>
                <w:sz w:val="30"/>
                <w:szCs w:val="30"/>
                <w:highlight w:val="none"/>
              </w:rPr>
            </w:pPr>
          </w:p>
        </w:tc>
        <w:tc>
          <w:tcPr>
            <w:tcW w:w="8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14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921" w:type="dxa"/>
            <w:noWrap w:val="0"/>
            <w:vAlign w:val="top"/>
          </w:tcPr>
          <w:p>
            <w:pPr>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5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58"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8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48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020"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921"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top"/>
          </w:tcPr>
          <w:p>
            <w:pPr>
              <w:rPr>
                <w:rFonts w:hint="eastAsia" w:ascii="宋体" w:hAnsi="宋体" w:eastAsia="宋体" w:cs="宋体"/>
                <w:color w:val="auto"/>
                <w:sz w:val="30"/>
                <w:szCs w:val="30"/>
                <w:highlight w:val="none"/>
              </w:rPr>
            </w:pPr>
          </w:p>
        </w:tc>
        <w:tc>
          <w:tcPr>
            <w:tcW w:w="1418" w:type="dxa"/>
            <w:noWrap w:val="0"/>
            <w:vAlign w:val="top"/>
          </w:tcPr>
          <w:p>
            <w:pPr>
              <w:rPr>
                <w:rFonts w:hint="eastAsia" w:ascii="宋体" w:hAnsi="宋体" w:eastAsia="宋体" w:cs="宋体"/>
                <w:color w:val="auto"/>
                <w:sz w:val="30"/>
                <w:szCs w:val="30"/>
                <w:highlight w:val="none"/>
              </w:rPr>
            </w:pPr>
          </w:p>
        </w:tc>
        <w:tc>
          <w:tcPr>
            <w:tcW w:w="850" w:type="dxa"/>
            <w:noWrap w:val="0"/>
            <w:vAlign w:val="top"/>
          </w:tcPr>
          <w:p>
            <w:pPr>
              <w:rPr>
                <w:rFonts w:hint="eastAsia" w:ascii="宋体" w:hAnsi="宋体" w:eastAsia="宋体" w:cs="宋体"/>
                <w:color w:val="auto"/>
                <w:sz w:val="30"/>
                <w:szCs w:val="30"/>
                <w:highlight w:val="none"/>
              </w:rPr>
            </w:pPr>
          </w:p>
        </w:tc>
        <w:tc>
          <w:tcPr>
            <w:tcW w:w="1058" w:type="dxa"/>
            <w:noWrap w:val="0"/>
            <w:vAlign w:val="top"/>
          </w:tcPr>
          <w:p>
            <w:pPr>
              <w:rPr>
                <w:rFonts w:hint="eastAsia" w:ascii="宋体" w:hAnsi="宋体" w:eastAsia="宋体" w:cs="宋体"/>
                <w:color w:val="auto"/>
                <w:sz w:val="30"/>
                <w:szCs w:val="30"/>
                <w:highlight w:val="none"/>
              </w:rPr>
            </w:pPr>
          </w:p>
        </w:tc>
        <w:tc>
          <w:tcPr>
            <w:tcW w:w="8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14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921" w:type="dxa"/>
            <w:noWrap w:val="0"/>
            <w:vAlign w:val="top"/>
          </w:tcPr>
          <w:p>
            <w:pPr>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top"/>
          </w:tcPr>
          <w:p>
            <w:pPr>
              <w:rPr>
                <w:rFonts w:hint="eastAsia" w:ascii="宋体" w:hAnsi="宋体" w:eastAsia="宋体" w:cs="宋体"/>
                <w:color w:val="auto"/>
                <w:sz w:val="30"/>
                <w:szCs w:val="30"/>
                <w:highlight w:val="none"/>
              </w:rPr>
            </w:pPr>
          </w:p>
        </w:tc>
        <w:tc>
          <w:tcPr>
            <w:tcW w:w="1418" w:type="dxa"/>
            <w:noWrap w:val="0"/>
            <w:vAlign w:val="top"/>
          </w:tcPr>
          <w:p>
            <w:pPr>
              <w:rPr>
                <w:rFonts w:hint="eastAsia" w:ascii="宋体" w:hAnsi="宋体" w:eastAsia="宋体" w:cs="宋体"/>
                <w:color w:val="auto"/>
                <w:sz w:val="30"/>
                <w:szCs w:val="30"/>
                <w:highlight w:val="none"/>
              </w:rPr>
            </w:pPr>
          </w:p>
        </w:tc>
        <w:tc>
          <w:tcPr>
            <w:tcW w:w="850" w:type="dxa"/>
            <w:noWrap w:val="0"/>
            <w:vAlign w:val="top"/>
          </w:tcPr>
          <w:p>
            <w:pPr>
              <w:rPr>
                <w:rFonts w:hint="eastAsia" w:ascii="宋体" w:hAnsi="宋体" w:eastAsia="宋体" w:cs="宋体"/>
                <w:color w:val="auto"/>
                <w:sz w:val="30"/>
                <w:szCs w:val="30"/>
                <w:highlight w:val="none"/>
              </w:rPr>
            </w:pPr>
          </w:p>
        </w:tc>
        <w:tc>
          <w:tcPr>
            <w:tcW w:w="1058" w:type="dxa"/>
            <w:noWrap w:val="0"/>
            <w:vAlign w:val="top"/>
          </w:tcPr>
          <w:p>
            <w:pPr>
              <w:rPr>
                <w:rFonts w:hint="eastAsia" w:ascii="宋体" w:hAnsi="宋体" w:eastAsia="宋体" w:cs="宋体"/>
                <w:color w:val="auto"/>
                <w:sz w:val="30"/>
                <w:szCs w:val="30"/>
                <w:highlight w:val="none"/>
              </w:rPr>
            </w:pPr>
          </w:p>
        </w:tc>
        <w:tc>
          <w:tcPr>
            <w:tcW w:w="8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14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921" w:type="dxa"/>
            <w:noWrap w:val="0"/>
            <w:vAlign w:val="top"/>
          </w:tcPr>
          <w:p>
            <w:pPr>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top"/>
          </w:tcPr>
          <w:p>
            <w:pPr>
              <w:rPr>
                <w:rFonts w:hint="eastAsia" w:ascii="宋体" w:hAnsi="宋体" w:eastAsia="宋体" w:cs="宋体"/>
                <w:color w:val="auto"/>
                <w:sz w:val="30"/>
                <w:szCs w:val="30"/>
                <w:highlight w:val="none"/>
              </w:rPr>
            </w:pPr>
          </w:p>
        </w:tc>
        <w:tc>
          <w:tcPr>
            <w:tcW w:w="1418" w:type="dxa"/>
            <w:noWrap w:val="0"/>
            <w:vAlign w:val="top"/>
          </w:tcPr>
          <w:p>
            <w:pPr>
              <w:rPr>
                <w:rFonts w:hint="eastAsia" w:ascii="宋体" w:hAnsi="宋体" w:eastAsia="宋体" w:cs="宋体"/>
                <w:color w:val="auto"/>
                <w:sz w:val="30"/>
                <w:szCs w:val="30"/>
                <w:highlight w:val="none"/>
              </w:rPr>
            </w:pPr>
          </w:p>
        </w:tc>
        <w:tc>
          <w:tcPr>
            <w:tcW w:w="850" w:type="dxa"/>
            <w:noWrap w:val="0"/>
            <w:vAlign w:val="top"/>
          </w:tcPr>
          <w:p>
            <w:pPr>
              <w:rPr>
                <w:rFonts w:hint="eastAsia" w:ascii="宋体" w:hAnsi="宋体" w:eastAsia="宋体" w:cs="宋体"/>
                <w:color w:val="auto"/>
                <w:sz w:val="30"/>
                <w:szCs w:val="30"/>
                <w:highlight w:val="none"/>
              </w:rPr>
            </w:pPr>
          </w:p>
        </w:tc>
        <w:tc>
          <w:tcPr>
            <w:tcW w:w="1058" w:type="dxa"/>
            <w:noWrap w:val="0"/>
            <w:vAlign w:val="top"/>
          </w:tcPr>
          <w:p>
            <w:pPr>
              <w:rPr>
                <w:rFonts w:hint="eastAsia" w:ascii="宋体" w:hAnsi="宋体" w:eastAsia="宋体" w:cs="宋体"/>
                <w:color w:val="auto"/>
                <w:sz w:val="30"/>
                <w:szCs w:val="30"/>
                <w:highlight w:val="none"/>
              </w:rPr>
            </w:pPr>
          </w:p>
        </w:tc>
        <w:tc>
          <w:tcPr>
            <w:tcW w:w="8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14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921" w:type="dxa"/>
            <w:noWrap w:val="0"/>
            <w:vAlign w:val="top"/>
          </w:tcPr>
          <w:p>
            <w:pPr>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top"/>
          </w:tcPr>
          <w:p>
            <w:pPr>
              <w:rPr>
                <w:rFonts w:hint="eastAsia" w:ascii="宋体" w:hAnsi="宋体" w:eastAsia="宋体" w:cs="宋体"/>
                <w:color w:val="auto"/>
                <w:sz w:val="30"/>
                <w:szCs w:val="30"/>
                <w:highlight w:val="none"/>
              </w:rPr>
            </w:pPr>
          </w:p>
        </w:tc>
        <w:tc>
          <w:tcPr>
            <w:tcW w:w="1418" w:type="dxa"/>
            <w:noWrap w:val="0"/>
            <w:vAlign w:val="top"/>
          </w:tcPr>
          <w:p>
            <w:pPr>
              <w:rPr>
                <w:rFonts w:hint="eastAsia" w:ascii="宋体" w:hAnsi="宋体" w:eastAsia="宋体" w:cs="宋体"/>
                <w:color w:val="auto"/>
                <w:sz w:val="30"/>
                <w:szCs w:val="30"/>
                <w:highlight w:val="none"/>
              </w:rPr>
            </w:pPr>
          </w:p>
        </w:tc>
        <w:tc>
          <w:tcPr>
            <w:tcW w:w="850" w:type="dxa"/>
            <w:noWrap w:val="0"/>
            <w:vAlign w:val="top"/>
          </w:tcPr>
          <w:p>
            <w:pPr>
              <w:rPr>
                <w:rFonts w:hint="eastAsia" w:ascii="宋体" w:hAnsi="宋体" w:eastAsia="宋体" w:cs="宋体"/>
                <w:color w:val="auto"/>
                <w:sz w:val="30"/>
                <w:szCs w:val="30"/>
                <w:highlight w:val="none"/>
              </w:rPr>
            </w:pPr>
          </w:p>
        </w:tc>
        <w:tc>
          <w:tcPr>
            <w:tcW w:w="1058" w:type="dxa"/>
            <w:noWrap w:val="0"/>
            <w:vAlign w:val="top"/>
          </w:tcPr>
          <w:p>
            <w:pPr>
              <w:rPr>
                <w:rFonts w:hint="eastAsia" w:ascii="宋体" w:hAnsi="宋体" w:eastAsia="宋体" w:cs="宋体"/>
                <w:color w:val="auto"/>
                <w:sz w:val="30"/>
                <w:szCs w:val="30"/>
                <w:highlight w:val="none"/>
              </w:rPr>
            </w:pPr>
          </w:p>
        </w:tc>
        <w:tc>
          <w:tcPr>
            <w:tcW w:w="8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14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921" w:type="dxa"/>
            <w:noWrap w:val="0"/>
            <w:vAlign w:val="top"/>
          </w:tcPr>
          <w:p>
            <w:pPr>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top"/>
          </w:tcPr>
          <w:p>
            <w:pPr>
              <w:rPr>
                <w:rFonts w:hint="eastAsia" w:ascii="宋体" w:hAnsi="宋体" w:eastAsia="宋体" w:cs="宋体"/>
                <w:color w:val="auto"/>
                <w:sz w:val="30"/>
                <w:szCs w:val="30"/>
                <w:highlight w:val="none"/>
              </w:rPr>
            </w:pPr>
          </w:p>
        </w:tc>
        <w:tc>
          <w:tcPr>
            <w:tcW w:w="1418" w:type="dxa"/>
            <w:noWrap w:val="0"/>
            <w:vAlign w:val="top"/>
          </w:tcPr>
          <w:p>
            <w:pPr>
              <w:rPr>
                <w:rFonts w:hint="eastAsia" w:ascii="宋体" w:hAnsi="宋体" w:eastAsia="宋体" w:cs="宋体"/>
                <w:color w:val="auto"/>
                <w:sz w:val="30"/>
                <w:szCs w:val="30"/>
                <w:highlight w:val="none"/>
              </w:rPr>
            </w:pPr>
          </w:p>
        </w:tc>
        <w:tc>
          <w:tcPr>
            <w:tcW w:w="850" w:type="dxa"/>
            <w:noWrap w:val="0"/>
            <w:vAlign w:val="top"/>
          </w:tcPr>
          <w:p>
            <w:pPr>
              <w:rPr>
                <w:rFonts w:hint="eastAsia" w:ascii="宋体" w:hAnsi="宋体" w:eastAsia="宋体" w:cs="宋体"/>
                <w:color w:val="auto"/>
                <w:sz w:val="30"/>
                <w:szCs w:val="30"/>
                <w:highlight w:val="none"/>
              </w:rPr>
            </w:pPr>
          </w:p>
        </w:tc>
        <w:tc>
          <w:tcPr>
            <w:tcW w:w="1058" w:type="dxa"/>
            <w:noWrap w:val="0"/>
            <w:vAlign w:val="top"/>
          </w:tcPr>
          <w:p>
            <w:pPr>
              <w:rPr>
                <w:rFonts w:hint="eastAsia" w:ascii="宋体" w:hAnsi="宋体" w:eastAsia="宋体" w:cs="宋体"/>
                <w:color w:val="auto"/>
                <w:sz w:val="30"/>
                <w:szCs w:val="30"/>
                <w:highlight w:val="none"/>
              </w:rPr>
            </w:pPr>
          </w:p>
        </w:tc>
        <w:tc>
          <w:tcPr>
            <w:tcW w:w="8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14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921" w:type="dxa"/>
            <w:noWrap w:val="0"/>
            <w:vAlign w:val="top"/>
          </w:tcPr>
          <w:p>
            <w:pPr>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top"/>
          </w:tcPr>
          <w:p>
            <w:pPr>
              <w:rPr>
                <w:rFonts w:hint="eastAsia" w:ascii="宋体" w:hAnsi="宋体" w:eastAsia="宋体" w:cs="宋体"/>
                <w:color w:val="auto"/>
                <w:sz w:val="30"/>
                <w:szCs w:val="30"/>
                <w:highlight w:val="none"/>
              </w:rPr>
            </w:pPr>
          </w:p>
        </w:tc>
        <w:tc>
          <w:tcPr>
            <w:tcW w:w="1418" w:type="dxa"/>
            <w:noWrap w:val="0"/>
            <w:vAlign w:val="top"/>
          </w:tcPr>
          <w:p>
            <w:pPr>
              <w:rPr>
                <w:rFonts w:hint="eastAsia" w:ascii="宋体" w:hAnsi="宋体" w:eastAsia="宋体" w:cs="宋体"/>
                <w:color w:val="auto"/>
                <w:sz w:val="30"/>
                <w:szCs w:val="30"/>
                <w:highlight w:val="none"/>
              </w:rPr>
            </w:pPr>
          </w:p>
        </w:tc>
        <w:tc>
          <w:tcPr>
            <w:tcW w:w="850" w:type="dxa"/>
            <w:noWrap w:val="0"/>
            <w:vAlign w:val="top"/>
          </w:tcPr>
          <w:p>
            <w:pPr>
              <w:rPr>
                <w:rFonts w:hint="eastAsia" w:ascii="宋体" w:hAnsi="宋体" w:eastAsia="宋体" w:cs="宋体"/>
                <w:color w:val="auto"/>
                <w:sz w:val="30"/>
                <w:szCs w:val="30"/>
                <w:highlight w:val="none"/>
              </w:rPr>
            </w:pPr>
          </w:p>
        </w:tc>
        <w:tc>
          <w:tcPr>
            <w:tcW w:w="1058" w:type="dxa"/>
            <w:noWrap w:val="0"/>
            <w:vAlign w:val="top"/>
          </w:tcPr>
          <w:p>
            <w:pPr>
              <w:rPr>
                <w:rFonts w:hint="eastAsia" w:ascii="宋体" w:hAnsi="宋体" w:eastAsia="宋体" w:cs="宋体"/>
                <w:color w:val="auto"/>
                <w:sz w:val="30"/>
                <w:szCs w:val="30"/>
                <w:highlight w:val="none"/>
              </w:rPr>
            </w:pPr>
          </w:p>
        </w:tc>
        <w:tc>
          <w:tcPr>
            <w:tcW w:w="8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14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921" w:type="dxa"/>
            <w:noWrap w:val="0"/>
            <w:vAlign w:val="top"/>
          </w:tcPr>
          <w:p>
            <w:pPr>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top"/>
          </w:tcPr>
          <w:p>
            <w:pPr>
              <w:rPr>
                <w:rFonts w:hint="eastAsia" w:ascii="宋体" w:hAnsi="宋体" w:eastAsia="宋体" w:cs="宋体"/>
                <w:color w:val="auto"/>
                <w:sz w:val="30"/>
                <w:szCs w:val="30"/>
                <w:highlight w:val="none"/>
              </w:rPr>
            </w:pPr>
          </w:p>
        </w:tc>
        <w:tc>
          <w:tcPr>
            <w:tcW w:w="1418" w:type="dxa"/>
            <w:noWrap w:val="0"/>
            <w:vAlign w:val="top"/>
          </w:tcPr>
          <w:p>
            <w:pPr>
              <w:rPr>
                <w:rFonts w:hint="eastAsia" w:ascii="宋体" w:hAnsi="宋体" w:eastAsia="宋体" w:cs="宋体"/>
                <w:color w:val="auto"/>
                <w:sz w:val="30"/>
                <w:szCs w:val="30"/>
                <w:highlight w:val="none"/>
              </w:rPr>
            </w:pPr>
          </w:p>
        </w:tc>
        <w:tc>
          <w:tcPr>
            <w:tcW w:w="850" w:type="dxa"/>
            <w:noWrap w:val="0"/>
            <w:vAlign w:val="top"/>
          </w:tcPr>
          <w:p>
            <w:pPr>
              <w:rPr>
                <w:rFonts w:hint="eastAsia" w:ascii="宋体" w:hAnsi="宋体" w:eastAsia="宋体" w:cs="宋体"/>
                <w:color w:val="auto"/>
                <w:sz w:val="30"/>
                <w:szCs w:val="30"/>
                <w:highlight w:val="none"/>
              </w:rPr>
            </w:pPr>
          </w:p>
        </w:tc>
        <w:tc>
          <w:tcPr>
            <w:tcW w:w="1058" w:type="dxa"/>
            <w:noWrap w:val="0"/>
            <w:vAlign w:val="top"/>
          </w:tcPr>
          <w:p>
            <w:pPr>
              <w:rPr>
                <w:rFonts w:hint="eastAsia" w:ascii="宋体" w:hAnsi="宋体" w:eastAsia="宋体" w:cs="宋体"/>
                <w:color w:val="auto"/>
                <w:sz w:val="30"/>
                <w:szCs w:val="30"/>
                <w:highlight w:val="none"/>
              </w:rPr>
            </w:pPr>
          </w:p>
        </w:tc>
        <w:tc>
          <w:tcPr>
            <w:tcW w:w="8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14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921" w:type="dxa"/>
            <w:noWrap w:val="0"/>
            <w:vAlign w:val="top"/>
          </w:tcPr>
          <w:p>
            <w:pPr>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top"/>
          </w:tcPr>
          <w:p>
            <w:pPr>
              <w:rPr>
                <w:rFonts w:hint="eastAsia" w:ascii="宋体" w:hAnsi="宋体" w:eastAsia="宋体" w:cs="宋体"/>
                <w:color w:val="auto"/>
                <w:sz w:val="30"/>
                <w:szCs w:val="30"/>
                <w:highlight w:val="none"/>
              </w:rPr>
            </w:pPr>
          </w:p>
        </w:tc>
        <w:tc>
          <w:tcPr>
            <w:tcW w:w="1418" w:type="dxa"/>
            <w:noWrap w:val="0"/>
            <w:vAlign w:val="top"/>
          </w:tcPr>
          <w:p>
            <w:pPr>
              <w:rPr>
                <w:rFonts w:hint="eastAsia" w:ascii="宋体" w:hAnsi="宋体" w:eastAsia="宋体" w:cs="宋体"/>
                <w:color w:val="auto"/>
                <w:sz w:val="30"/>
                <w:szCs w:val="30"/>
                <w:highlight w:val="none"/>
              </w:rPr>
            </w:pPr>
          </w:p>
        </w:tc>
        <w:tc>
          <w:tcPr>
            <w:tcW w:w="850" w:type="dxa"/>
            <w:noWrap w:val="0"/>
            <w:vAlign w:val="top"/>
          </w:tcPr>
          <w:p>
            <w:pPr>
              <w:rPr>
                <w:rFonts w:hint="eastAsia" w:ascii="宋体" w:hAnsi="宋体" w:eastAsia="宋体" w:cs="宋体"/>
                <w:color w:val="auto"/>
                <w:sz w:val="30"/>
                <w:szCs w:val="30"/>
                <w:highlight w:val="none"/>
              </w:rPr>
            </w:pPr>
          </w:p>
        </w:tc>
        <w:tc>
          <w:tcPr>
            <w:tcW w:w="1058" w:type="dxa"/>
            <w:noWrap w:val="0"/>
            <w:vAlign w:val="top"/>
          </w:tcPr>
          <w:p>
            <w:pPr>
              <w:rPr>
                <w:rFonts w:hint="eastAsia" w:ascii="宋体" w:hAnsi="宋体" w:eastAsia="宋体" w:cs="宋体"/>
                <w:color w:val="auto"/>
                <w:sz w:val="30"/>
                <w:szCs w:val="30"/>
                <w:highlight w:val="none"/>
              </w:rPr>
            </w:pPr>
          </w:p>
        </w:tc>
        <w:tc>
          <w:tcPr>
            <w:tcW w:w="8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14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921" w:type="dxa"/>
            <w:noWrap w:val="0"/>
            <w:vAlign w:val="top"/>
          </w:tcPr>
          <w:p>
            <w:pPr>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1162" w:type="dxa"/>
            <w:noWrap w:val="0"/>
            <w:vAlign w:val="top"/>
          </w:tcPr>
          <w:p>
            <w:pPr>
              <w:rPr>
                <w:rFonts w:hint="eastAsia" w:ascii="宋体" w:hAnsi="宋体" w:eastAsia="宋体" w:cs="宋体"/>
                <w:color w:val="auto"/>
                <w:sz w:val="30"/>
                <w:szCs w:val="30"/>
                <w:highlight w:val="none"/>
              </w:rPr>
            </w:pPr>
          </w:p>
        </w:tc>
        <w:tc>
          <w:tcPr>
            <w:tcW w:w="1418" w:type="dxa"/>
            <w:noWrap w:val="0"/>
            <w:vAlign w:val="top"/>
          </w:tcPr>
          <w:p>
            <w:pPr>
              <w:rPr>
                <w:rFonts w:hint="eastAsia" w:ascii="宋体" w:hAnsi="宋体" w:eastAsia="宋体" w:cs="宋体"/>
                <w:color w:val="auto"/>
                <w:sz w:val="30"/>
                <w:szCs w:val="30"/>
                <w:highlight w:val="none"/>
              </w:rPr>
            </w:pPr>
          </w:p>
        </w:tc>
        <w:tc>
          <w:tcPr>
            <w:tcW w:w="850" w:type="dxa"/>
            <w:noWrap w:val="0"/>
            <w:vAlign w:val="top"/>
          </w:tcPr>
          <w:p>
            <w:pPr>
              <w:rPr>
                <w:rFonts w:hint="eastAsia" w:ascii="宋体" w:hAnsi="宋体" w:eastAsia="宋体" w:cs="宋体"/>
                <w:color w:val="auto"/>
                <w:sz w:val="30"/>
                <w:szCs w:val="30"/>
                <w:highlight w:val="none"/>
              </w:rPr>
            </w:pPr>
          </w:p>
        </w:tc>
        <w:tc>
          <w:tcPr>
            <w:tcW w:w="1058" w:type="dxa"/>
            <w:noWrap w:val="0"/>
            <w:vAlign w:val="top"/>
          </w:tcPr>
          <w:p>
            <w:pPr>
              <w:rPr>
                <w:rFonts w:hint="eastAsia" w:ascii="宋体" w:hAnsi="宋体" w:eastAsia="宋体" w:cs="宋体"/>
                <w:color w:val="auto"/>
                <w:sz w:val="30"/>
                <w:szCs w:val="30"/>
                <w:highlight w:val="none"/>
              </w:rPr>
            </w:pPr>
          </w:p>
        </w:tc>
        <w:tc>
          <w:tcPr>
            <w:tcW w:w="8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1480" w:type="dxa"/>
            <w:noWrap w:val="0"/>
            <w:vAlign w:val="top"/>
          </w:tcPr>
          <w:p>
            <w:pPr>
              <w:rPr>
                <w:rFonts w:hint="eastAsia" w:ascii="宋体" w:hAnsi="宋体" w:eastAsia="宋体" w:cs="宋体"/>
                <w:color w:val="auto"/>
                <w:sz w:val="30"/>
                <w:szCs w:val="30"/>
                <w:highlight w:val="none"/>
              </w:rPr>
            </w:pPr>
          </w:p>
        </w:tc>
        <w:tc>
          <w:tcPr>
            <w:tcW w:w="1020" w:type="dxa"/>
            <w:noWrap w:val="0"/>
            <w:vAlign w:val="top"/>
          </w:tcPr>
          <w:p>
            <w:pPr>
              <w:rPr>
                <w:rFonts w:hint="eastAsia" w:ascii="宋体" w:hAnsi="宋体" w:eastAsia="宋体" w:cs="宋体"/>
                <w:color w:val="auto"/>
                <w:sz w:val="30"/>
                <w:szCs w:val="30"/>
                <w:highlight w:val="none"/>
              </w:rPr>
            </w:pPr>
          </w:p>
        </w:tc>
        <w:tc>
          <w:tcPr>
            <w:tcW w:w="921" w:type="dxa"/>
            <w:noWrap w:val="0"/>
            <w:vAlign w:val="top"/>
          </w:tcPr>
          <w:p>
            <w:pPr>
              <w:rPr>
                <w:rFonts w:hint="eastAsia" w:ascii="宋体" w:hAnsi="宋体" w:eastAsia="宋体" w:cs="宋体"/>
                <w:color w:val="auto"/>
                <w:sz w:val="30"/>
                <w:szCs w:val="30"/>
                <w:highlight w:val="none"/>
              </w:rPr>
            </w:pPr>
          </w:p>
        </w:tc>
      </w:tr>
    </w:tbl>
    <w:p>
      <w:pPr>
        <w:spacing w:line="440" w:lineRule="exact"/>
        <w:rPr>
          <w:rFonts w:hint="eastAsia" w:ascii="宋体" w:hAnsi="宋体" w:eastAsia="宋体" w:cs="宋体"/>
          <w:color w:val="auto"/>
          <w:sz w:val="30"/>
          <w:szCs w:val="30"/>
          <w:highlight w:val="none"/>
        </w:rPr>
        <w:sectPr>
          <w:pgSz w:w="11907" w:h="16840"/>
          <w:pgMar w:top="1440" w:right="1440" w:bottom="1440" w:left="1797" w:header="851" w:footer="851" w:gutter="0"/>
          <w:pgNumType w:fmt="decimal"/>
          <w:cols w:space="720" w:num="1"/>
          <w:docGrid w:linePitch="312" w:charSpace="0"/>
        </w:sectPr>
      </w:pPr>
    </w:p>
    <w:p>
      <w:pPr>
        <w:spacing w:line="440" w:lineRule="exact"/>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w:t>
      </w:r>
      <w:bookmarkStart w:id="1181" w:name="_Toc267261699"/>
      <w:bookmarkStart w:id="1182" w:name="_Toc296503228"/>
      <w:bookmarkStart w:id="1183" w:name="_Toc296891268"/>
      <w:bookmarkStart w:id="1184" w:name="_Toc296347227"/>
      <w:bookmarkStart w:id="1185" w:name="_Toc296944567"/>
      <w:bookmarkStart w:id="1186" w:name="_Toc296346729"/>
      <w:bookmarkStart w:id="1187" w:name="_Toc296891056"/>
      <w:r>
        <w:rPr>
          <w:rFonts w:hint="eastAsia" w:ascii="宋体" w:hAnsi="宋体" w:eastAsia="宋体" w:cs="宋体"/>
          <w:color w:val="auto"/>
          <w:sz w:val="30"/>
          <w:szCs w:val="30"/>
          <w:highlight w:val="none"/>
        </w:rPr>
        <w:t>件5：</w:t>
      </w:r>
    </w:p>
    <w:bookmarkEnd w:id="1181"/>
    <w:bookmarkEnd w:id="1182"/>
    <w:bookmarkEnd w:id="1183"/>
    <w:bookmarkEnd w:id="1184"/>
    <w:bookmarkEnd w:id="1185"/>
    <w:bookmarkEnd w:id="1186"/>
    <w:bookmarkEnd w:id="1187"/>
    <w:p>
      <w:pPr>
        <w:spacing w:before="120" w:beforeLines="50" w:after="120"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承包人主要施工管理人员表</w:t>
      </w:r>
    </w:p>
    <w:tbl>
      <w:tblPr>
        <w:tblStyle w:val="39"/>
        <w:tblW w:w="980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    称</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姓名</w:t>
            </w: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职务</w:t>
            </w: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职称</w:t>
            </w:r>
          </w:p>
        </w:tc>
        <w:tc>
          <w:tcPr>
            <w:tcW w:w="4252" w:type="dxa"/>
            <w:noWrap w:val="0"/>
            <w:vAlign w:val="center"/>
          </w:tcPr>
          <w:p>
            <w:pPr>
              <w:pStyle w:val="5"/>
              <w:keepNext/>
              <w:spacing w:after="0" w:line="440" w:lineRule="exact"/>
              <w:ind w:left="0" w:leftChars="0"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计划进场时间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9809" w:type="dxa"/>
            <w:gridSpan w:val="5"/>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一、总部人员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项目主管</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restart"/>
            <w:noWrap w:val="0"/>
            <w:vAlign w:val="center"/>
          </w:tcPr>
          <w:p>
            <w:pPr>
              <w:pStyle w:val="5"/>
              <w:keepNext/>
              <w:spacing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其他人员</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9809" w:type="dxa"/>
            <w:gridSpan w:val="5"/>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二、现场人员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项目经理</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项目副经理</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技术负责人</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造价管理</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restart"/>
            <w:noWrap w:val="0"/>
            <w:vAlign w:val="center"/>
          </w:tcPr>
          <w:p>
            <w:pPr>
              <w:pStyle w:val="5"/>
              <w:keepNext/>
              <w:spacing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质量管理</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材料管理</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计划管理</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restart"/>
            <w:noWrap w:val="0"/>
            <w:vAlign w:val="center"/>
          </w:tcPr>
          <w:p>
            <w:pPr>
              <w:pStyle w:val="5"/>
              <w:keepNext/>
              <w:spacing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安全管理</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restart"/>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其他人员</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bl>
    <w:p>
      <w:pPr>
        <w:spacing w:line="440" w:lineRule="exac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0"/>
          <w:szCs w:val="30"/>
          <w:highlight w:val="none"/>
        </w:rPr>
        <w:t>附</w:t>
      </w:r>
      <w:bookmarkStart w:id="1188" w:name="_Toc296503229"/>
      <w:bookmarkStart w:id="1189" w:name="_Toc296944568"/>
      <w:bookmarkStart w:id="1190" w:name="_Toc296891269"/>
      <w:bookmarkStart w:id="1191" w:name="_Toc296891057"/>
      <w:bookmarkStart w:id="1192" w:name="_Toc296346730"/>
      <w:bookmarkStart w:id="1193" w:name="_Toc296347228"/>
      <w:r>
        <w:rPr>
          <w:rFonts w:hint="eastAsia" w:ascii="宋体" w:hAnsi="宋体" w:eastAsia="宋体" w:cs="宋体"/>
          <w:color w:val="auto"/>
          <w:sz w:val="30"/>
          <w:szCs w:val="30"/>
          <w:highlight w:val="none"/>
        </w:rPr>
        <w:t>件6：</w:t>
      </w:r>
    </w:p>
    <w:bookmarkEnd w:id="1188"/>
    <w:bookmarkEnd w:id="1189"/>
    <w:bookmarkEnd w:id="1190"/>
    <w:bookmarkEnd w:id="1191"/>
    <w:bookmarkEnd w:id="1192"/>
    <w:bookmarkEnd w:id="1193"/>
    <w:p>
      <w:pPr>
        <w:spacing w:before="120" w:beforeLines="50" w:after="120" w:afterLines="50" w:line="44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分包人主要施工管理人员表</w:t>
      </w:r>
    </w:p>
    <w:tbl>
      <w:tblPr>
        <w:tblStyle w:val="39"/>
        <w:tblW w:w="980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    称</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姓名</w:t>
            </w: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职务</w:t>
            </w: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职称</w:t>
            </w: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主要资历、经验及承担过的项目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9809" w:type="dxa"/>
            <w:gridSpan w:val="5"/>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一、总部人员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项目主管</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restart"/>
            <w:noWrap w:val="0"/>
            <w:vAlign w:val="center"/>
          </w:tcPr>
          <w:p>
            <w:pPr>
              <w:pStyle w:val="5"/>
              <w:keepNext/>
              <w:spacing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其他人员</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9809" w:type="dxa"/>
            <w:gridSpan w:val="5"/>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二、现场人员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项目经理</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项目副经理</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技术负责人</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造价管理</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质量管理</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材料管理</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计划管理</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安全管理</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restart"/>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其他人员</w:t>
            </w: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jc w:val="center"/>
        </w:trPr>
        <w:tc>
          <w:tcPr>
            <w:tcW w:w="1871" w:type="dxa"/>
            <w:vMerge w:val="continue"/>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418" w:type="dxa"/>
            <w:noWrap w:val="0"/>
            <w:vAlign w:val="center"/>
          </w:tcPr>
          <w:p>
            <w:pPr>
              <w:pStyle w:val="5"/>
              <w:keepNext/>
              <w:spacing w:after="0" w:line="440" w:lineRule="exact"/>
              <w:ind w:left="63" w:right="63"/>
              <w:rPr>
                <w:rFonts w:hint="eastAsia" w:ascii="宋体" w:hAnsi="宋体" w:eastAsia="宋体" w:cs="宋体"/>
                <w:color w:val="auto"/>
                <w:sz w:val="28"/>
                <w:szCs w:val="28"/>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1134"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c>
          <w:tcPr>
            <w:tcW w:w="4252" w:type="dxa"/>
            <w:noWrap w:val="0"/>
            <w:vAlign w:val="center"/>
          </w:tcPr>
          <w:p>
            <w:pPr>
              <w:pStyle w:val="5"/>
              <w:keepNext/>
              <w:spacing w:after="0" w:line="440" w:lineRule="exact"/>
              <w:ind w:left="63" w:right="63"/>
              <w:rPr>
                <w:rFonts w:hint="eastAsia" w:ascii="宋体" w:hAnsi="宋体" w:eastAsia="宋体" w:cs="宋体"/>
                <w:color w:val="auto"/>
                <w:sz w:val="30"/>
                <w:szCs w:val="30"/>
                <w:highlight w:val="none"/>
              </w:rPr>
            </w:pPr>
          </w:p>
        </w:tc>
      </w:tr>
    </w:tbl>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autoSpaceDE w:val="0"/>
        <w:autoSpaceDN w:val="0"/>
        <w:adjustRightInd w:val="0"/>
        <w:snapToGrid w:val="0"/>
        <w:spacing w:line="300" w:lineRule="auto"/>
        <w:ind w:firstLine="3264" w:firstLineChars="739"/>
        <w:rPr>
          <w:rFonts w:hint="eastAsia" w:ascii="宋体" w:hAnsi="宋体" w:eastAsia="宋体" w:cs="宋体"/>
          <w:b/>
          <w:color w:val="auto"/>
          <w:kern w:val="0"/>
          <w:sz w:val="44"/>
          <w:szCs w:val="44"/>
          <w:highlight w:val="none"/>
        </w:rPr>
      </w:pPr>
    </w:p>
    <w:p>
      <w:pPr>
        <w:autoSpaceDE w:val="0"/>
        <w:autoSpaceDN w:val="0"/>
        <w:adjustRightInd w:val="0"/>
        <w:snapToGrid w:val="0"/>
        <w:spacing w:line="300" w:lineRule="auto"/>
        <w:ind w:firstLine="3264" w:firstLineChars="739"/>
        <w:rPr>
          <w:rFonts w:hint="eastAsia" w:ascii="宋体" w:hAnsi="宋体" w:eastAsia="宋体" w:cs="宋体"/>
          <w:b/>
          <w:color w:val="auto"/>
          <w:kern w:val="0"/>
          <w:sz w:val="44"/>
          <w:szCs w:val="44"/>
          <w:highlight w:val="none"/>
        </w:rPr>
      </w:pPr>
    </w:p>
    <w:p>
      <w:pPr>
        <w:autoSpaceDE w:val="0"/>
        <w:autoSpaceDN w:val="0"/>
        <w:adjustRightInd w:val="0"/>
        <w:snapToGrid w:val="0"/>
        <w:spacing w:line="300" w:lineRule="auto"/>
        <w:ind w:firstLine="3264" w:firstLineChars="739"/>
        <w:rPr>
          <w:rFonts w:hint="eastAsia" w:ascii="宋体" w:hAnsi="宋体" w:eastAsia="宋体" w:cs="宋体"/>
          <w:b/>
          <w:color w:val="auto"/>
          <w:kern w:val="0"/>
          <w:sz w:val="44"/>
          <w:szCs w:val="44"/>
          <w:highlight w:val="none"/>
        </w:rPr>
      </w:pPr>
    </w:p>
    <w:p>
      <w:pPr>
        <w:autoSpaceDE w:val="0"/>
        <w:autoSpaceDN w:val="0"/>
        <w:adjustRightInd w:val="0"/>
        <w:snapToGrid w:val="0"/>
        <w:spacing w:line="300" w:lineRule="auto"/>
        <w:rPr>
          <w:rFonts w:hint="eastAsia" w:ascii="宋体" w:hAnsi="宋体" w:eastAsia="宋体" w:cs="宋体"/>
          <w:b/>
          <w:color w:val="auto"/>
          <w:kern w:val="0"/>
          <w:sz w:val="44"/>
          <w:szCs w:val="44"/>
          <w:highlight w:val="none"/>
        </w:rPr>
      </w:pPr>
    </w:p>
    <w:p>
      <w:pPr>
        <w:autoSpaceDE w:val="0"/>
        <w:autoSpaceDN w:val="0"/>
        <w:adjustRightInd w:val="0"/>
        <w:snapToGrid w:val="0"/>
        <w:spacing w:line="300" w:lineRule="auto"/>
        <w:rPr>
          <w:rFonts w:hint="eastAsia" w:ascii="宋体" w:hAnsi="宋体" w:eastAsia="宋体" w:cs="宋体"/>
          <w:b/>
          <w:color w:val="auto"/>
          <w:kern w:val="0"/>
          <w:sz w:val="44"/>
          <w:szCs w:val="44"/>
          <w:highlight w:val="none"/>
        </w:rPr>
      </w:pPr>
    </w:p>
    <w:p>
      <w:pPr>
        <w:autoSpaceDE w:val="0"/>
        <w:autoSpaceDN w:val="0"/>
        <w:adjustRightInd w:val="0"/>
        <w:snapToGrid w:val="0"/>
        <w:spacing w:line="300" w:lineRule="auto"/>
        <w:rPr>
          <w:rFonts w:hint="eastAsia" w:ascii="宋体" w:hAnsi="宋体" w:eastAsia="宋体" w:cs="宋体"/>
          <w:b/>
          <w:color w:val="auto"/>
          <w:kern w:val="0"/>
          <w:sz w:val="44"/>
          <w:szCs w:val="44"/>
          <w:highlight w:val="none"/>
        </w:rPr>
      </w:pPr>
    </w:p>
    <w:p>
      <w:pPr>
        <w:autoSpaceDE w:val="0"/>
        <w:autoSpaceDN w:val="0"/>
        <w:adjustRightInd w:val="0"/>
        <w:snapToGrid w:val="0"/>
        <w:spacing w:line="300" w:lineRule="auto"/>
        <w:rPr>
          <w:rFonts w:hint="eastAsia" w:ascii="宋体" w:hAnsi="宋体" w:eastAsia="宋体" w:cs="宋体"/>
          <w:b/>
          <w:color w:val="auto"/>
          <w:kern w:val="0"/>
          <w:sz w:val="44"/>
          <w:szCs w:val="44"/>
          <w:highlight w:val="none"/>
        </w:rPr>
      </w:pPr>
    </w:p>
    <w:p>
      <w:pPr>
        <w:autoSpaceDE w:val="0"/>
        <w:autoSpaceDN w:val="0"/>
        <w:adjustRightInd w:val="0"/>
        <w:snapToGrid w:val="0"/>
        <w:spacing w:line="300" w:lineRule="auto"/>
        <w:ind w:firstLine="3264" w:firstLineChars="739"/>
        <w:rPr>
          <w:rFonts w:hint="eastAsia" w:ascii="宋体" w:hAnsi="宋体" w:eastAsia="宋体" w:cs="宋体"/>
          <w:b/>
          <w:color w:val="auto"/>
          <w:kern w:val="0"/>
          <w:sz w:val="44"/>
          <w:szCs w:val="44"/>
          <w:highlight w:val="none"/>
        </w:rPr>
      </w:pPr>
    </w:p>
    <w:p>
      <w:pPr>
        <w:autoSpaceDE w:val="0"/>
        <w:autoSpaceDN w:val="0"/>
        <w:adjustRightInd w:val="0"/>
        <w:snapToGrid w:val="0"/>
        <w:spacing w:line="300" w:lineRule="auto"/>
        <w:ind w:firstLine="3264" w:firstLineChars="739"/>
        <w:outlineLvl w:val="0"/>
        <w:rPr>
          <w:rFonts w:hint="eastAsia" w:ascii="宋体" w:hAnsi="宋体" w:eastAsia="宋体" w:cs="宋体"/>
          <w:b/>
          <w:color w:val="auto"/>
          <w:kern w:val="0"/>
          <w:sz w:val="44"/>
          <w:szCs w:val="44"/>
          <w:highlight w:val="none"/>
        </w:rPr>
      </w:pPr>
      <w:bookmarkStart w:id="1194" w:name="_Toc3994508"/>
      <w:bookmarkStart w:id="1195" w:name="_Toc29416"/>
      <w:bookmarkStart w:id="1196" w:name="_Toc176861412"/>
      <w:r>
        <w:rPr>
          <w:rFonts w:hint="eastAsia" w:ascii="宋体" w:hAnsi="宋体" w:eastAsia="宋体" w:cs="宋体"/>
          <w:b/>
          <w:color w:val="auto"/>
          <w:kern w:val="0"/>
          <w:sz w:val="44"/>
          <w:szCs w:val="44"/>
          <w:highlight w:val="none"/>
        </w:rPr>
        <w:t>第七章  评定标准</w:t>
      </w:r>
      <w:bookmarkEnd w:id="1194"/>
      <w:bookmarkEnd w:id="1195"/>
      <w:bookmarkEnd w:id="1196"/>
    </w:p>
    <w:p>
      <w:pPr>
        <w:pStyle w:val="25"/>
        <w:spacing w:line="440" w:lineRule="exact"/>
        <w:rPr>
          <w:rFonts w:hint="eastAsia" w:ascii="宋体" w:hAnsi="宋体" w:eastAsia="宋体" w:cs="宋体"/>
          <w:b/>
          <w:color w:val="auto"/>
          <w:kern w:val="0"/>
          <w:sz w:val="32"/>
          <w:szCs w:val="32"/>
          <w:highlight w:val="none"/>
        </w:rPr>
      </w:pPr>
    </w:p>
    <w:p>
      <w:pPr>
        <w:pStyle w:val="25"/>
        <w:spacing w:line="440" w:lineRule="exact"/>
        <w:rPr>
          <w:rFonts w:hint="eastAsia" w:ascii="宋体" w:hAnsi="宋体" w:eastAsia="宋体" w:cs="宋体"/>
          <w:b/>
          <w:color w:val="auto"/>
          <w:kern w:val="0"/>
          <w:sz w:val="32"/>
          <w:szCs w:val="32"/>
          <w:highlight w:val="none"/>
        </w:rPr>
      </w:pPr>
    </w:p>
    <w:p>
      <w:pPr>
        <w:pStyle w:val="25"/>
        <w:spacing w:line="440" w:lineRule="exact"/>
        <w:rPr>
          <w:rFonts w:hint="eastAsia" w:ascii="宋体" w:hAnsi="宋体" w:eastAsia="宋体" w:cs="宋体"/>
          <w:b/>
          <w:color w:val="auto"/>
          <w:kern w:val="0"/>
          <w:sz w:val="32"/>
          <w:szCs w:val="32"/>
          <w:highlight w:val="none"/>
        </w:rPr>
      </w:pPr>
    </w:p>
    <w:p>
      <w:pPr>
        <w:pStyle w:val="25"/>
        <w:spacing w:line="440" w:lineRule="exact"/>
        <w:rPr>
          <w:rFonts w:hint="eastAsia" w:ascii="宋体" w:hAnsi="宋体" w:eastAsia="宋体" w:cs="宋体"/>
          <w:b/>
          <w:color w:val="auto"/>
          <w:kern w:val="0"/>
          <w:sz w:val="32"/>
          <w:szCs w:val="32"/>
          <w:highlight w:val="none"/>
        </w:rPr>
      </w:pPr>
    </w:p>
    <w:p>
      <w:pPr>
        <w:pStyle w:val="25"/>
        <w:spacing w:line="440" w:lineRule="exact"/>
        <w:rPr>
          <w:rFonts w:hint="eastAsia" w:ascii="宋体" w:hAnsi="宋体" w:eastAsia="宋体" w:cs="宋体"/>
          <w:b/>
          <w:color w:val="auto"/>
          <w:kern w:val="0"/>
          <w:sz w:val="32"/>
          <w:szCs w:val="32"/>
          <w:highlight w:val="none"/>
        </w:rPr>
      </w:pPr>
    </w:p>
    <w:p>
      <w:pPr>
        <w:pStyle w:val="25"/>
        <w:spacing w:line="440" w:lineRule="exact"/>
        <w:rPr>
          <w:rFonts w:hint="eastAsia" w:ascii="宋体" w:hAnsi="宋体" w:eastAsia="宋体" w:cs="宋体"/>
          <w:b/>
          <w:color w:val="auto"/>
          <w:kern w:val="0"/>
          <w:sz w:val="32"/>
          <w:szCs w:val="32"/>
          <w:highlight w:val="none"/>
        </w:rPr>
      </w:pPr>
    </w:p>
    <w:p>
      <w:pPr>
        <w:pStyle w:val="25"/>
        <w:spacing w:line="440" w:lineRule="exact"/>
        <w:rPr>
          <w:rFonts w:hint="eastAsia" w:ascii="宋体" w:hAnsi="宋体" w:eastAsia="宋体" w:cs="宋体"/>
          <w:b/>
          <w:color w:val="auto"/>
          <w:kern w:val="0"/>
          <w:sz w:val="32"/>
          <w:szCs w:val="32"/>
          <w:highlight w:val="none"/>
        </w:rPr>
      </w:pPr>
    </w:p>
    <w:p>
      <w:pPr>
        <w:pStyle w:val="25"/>
        <w:spacing w:line="440" w:lineRule="exact"/>
        <w:rPr>
          <w:rFonts w:hint="eastAsia" w:ascii="宋体" w:hAnsi="宋体" w:eastAsia="宋体" w:cs="宋体"/>
          <w:b/>
          <w:color w:val="auto"/>
          <w:kern w:val="0"/>
          <w:sz w:val="32"/>
          <w:szCs w:val="32"/>
          <w:highlight w:val="none"/>
        </w:rPr>
      </w:pPr>
    </w:p>
    <w:p>
      <w:pPr>
        <w:pStyle w:val="25"/>
        <w:spacing w:line="440" w:lineRule="exact"/>
        <w:rPr>
          <w:rFonts w:hint="eastAsia" w:ascii="宋体" w:hAnsi="宋体" w:eastAsia="宋体" w:cs="宋体"/>
          <w:b/>
          <w:color w:val="auto"/>
          <w:kern w:val="0"/>
          <w:sz w:val="32"/>
          <w:szCs w:val="32"/>
          <w:highlight w:val="none"/>
        </w:rPr>
      </w:pPr>
    </w:p>
    <w:p>
      <w:pPr>
        <w:pStyle w:val="25"/>
        <w:spacing w:line="440" w:lineRule="exact"/>
        <w:rPr>
          <w:rFonts w:hint="eastAsia" w:ascii="宋体" w:hAnsi="宋体" w:eastAsia="宋体" w:cs="宋体"/>
          <w:b/>
          <w:color w:val="auto"/>
          <w:kern w:val="0"/>
          <w:sz w:val="32"/>
          <w:szCs w:val="32"/>
          <w:highlight w:val="none"/>
        </w:rPr>
      </w:pPr>
    </w:p>
    <w:p>
      <w:pPr>
        <w:pStyle w:val="25"/>
        <w:spacing w:line="440" w:lineRule="exact"/>
        <w:rPr>
          <w:rFonts w:hint="eastAsia" w:ascii="宋体" w:hAnsi="宋体" w:eastAsia="宋体" w:cs="宋体"/>
          <w:b/>
          <w:color w:val="auto"/>
          <w:kern w:val="0"/>
          <w:sz w:val="32"/>
          <w:szCs w:val="32"/>
          <w:highlight w:val="none"/>
        </w:rPr>
      </w:pPr>
    </w:p>
    <w:p>
      <w:pPr>
        <w:pStyle w:val="25"/>
        <w:spacing w:line="440" w:lineRule="exact"/>
        <w:rPr>
          <w:rFonts w:hint="eastAsia" w:ascii="宋体" w:hAnsi="宋体" w:eastAsia="宋体" w:cs="宋体"/>
          <w:b/>
          <w:color w:val="auto"/>
          <w:kern w:val="0"/>
          <w:sz w:val="32"/>
          <w:szCs w:val="32"/>
          <w:highlight w:val="none"/>
        </w:rPr>
      </w:pPr>
    </w:p>
    <w:p>
      <w:pPr>
        <w:pStyle w:val="25"/>
        <w:spacing w:line="440" w:lineRule="exact"/>
        <w:rPr>
          <w:rFonts w:hint="eastAsia" w:ascii="宋体" w:hAnsi="宋体" w:eastAsia="宋体" w:cs="宋体"/>
          <w:b/>
          <w:color w:val="auto"/>
          <w:kern w:val="0"/>
          <w:sz w:val="32"/>
          <w:szCs w:val="32"/>
          <w:highlight w:val="none"/>
        </w:rPr>
      </w:pPr>
    </w:p>
    <w:p>
      <w:pPr>
        <w:pStyle w:val="25"/>
        <w:spacing w:line="440" w:lineRule="exact"/>
        <w:jc w:val="center"/>
        <w:rPr>
          <w:rFonts w:hint="eastAsia" w:ascii="宋体" w:hAnsi="宋体" w:eastAsia="宋体" w:cs="宋体"/>
          <w:color w:val="auto"/>
          <w:sz w:val="30"/>
          <w:szCs w:val="30"/>
          <w:highlight w:val="none"/>
        </w:rPr>
      </w:pPr>
      <w:r>
        <w:rPr>
          <w:rFonts w:hint="eastAsia" w:ascii="宋体" w:hAnsi="宋体" w:eastAsia="宋体" w:cs="宋体"/>
          <w:b/>
          <w:color w:val="auto"/>
          <w:kern w:val="0"/>
          <w:sz w:val="32"/>
          <w:szCs w:val="32"/>
          <w:highlight w:val="none"/>
        </w:rPr>
        <w:br w:type="page"/>
      </w:r>
      <w:r>
        <w:rPr>
          <w:rFonts w:hint="eastAsia" w:ascii="宋体" w:hAnsi="宋体" w:eastAsia="宋体" w:cs="宋体"/>
          <w:b/>
          <w:color w:val="auto"/>
          <w:kern w:val="0"/>
          <w:sz w:val="30"/>
          <w:szCs w:val="30"/>
          <w:highlight w:val="none"/>
        </w:rPr>
        <w:t>评定标准</w:t>
      </w:r>
    </w:p>
    <w:p>
      <w:pPr>
        <w:keepNext w:val="0"/>
        <w:keepLines w:val="0"/>
        <w:pageBreakBefore w:val="0"/>
        <w:widowControl w:val="0"/>
        <w:kinsoku/>
        <w:wordWrap/>
        <w:overflowPunct/>
        <w:topLinePunct w:val="0"/>
        <w:bidi w:val="0"/>
        <w:snapToGrid/>
        <w:spacing w:line="312" w:lineRule="auto"/>
        <w:ind w:firstLine="413" w:firstLineChars="196"/>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一、</w:t>
      </w:r>
      <w:r>
        <w:rPr>
          <w:rFonts w:hint="eastAsia" w:ascii="宋体" w:hAnsi="宋体" w:eastAsia="宋体" w:cs="宋体"/>
          <w:b/>
          <w:bCs/>
          <w:color w:val="auto"/>
          <w:sz w:val="21"/>
          <w:szCs w:val="21"/>
          <w:highlight w:val="none"/>
        </w:rPr>
        <w:t>评标原则</w:t>
      </w:r>
    </w:p>
    <w:p>
      <w:pPr>
        <w:pStyle w:val="25"/>
        <w:keepNext w:val="0"/>
        <w:keepLines w:val="0"/>
        <w:pageBreakBefore w:val="0"/>
        <w:widowControl w:val="0"/>
        <w:kinsoku/>
        <w:wordWrap/>
        <w:overflowPunct/>
        <w:topLinePunct w:val="0"/>
        <w:bidi w:val="0"/>
        <w:adjustRightInd w:val="0"/>
        <w:snapToGrid/>
        <w:spacing w:line="312" w:lineRule="auto"/>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(一)磋商小组组成：本磋商采购项目的磋商小组由采购人代表、技术和经济等方面的专家共3人以上单数组成。其中，专家磋商小组成员不得少于成员总数的三分之二。</w:t>
      </w:r>
    </w:p>
    <w:p>
      <w:pPr>
        <w:pStyle w:val="25"/>
        <w:keepNext w:val="0"/>
        <w:keepLines w:val="0"/>
        <w:pageBreakBefore w:val="0"/>
        <w:widowControl w:val="0"/>
        <w:kinsoku/>
        <w:wordWrap/>
        <w:overflowPunct/>
        <w:topLinePunct w:val="0"/>
        <w:bidi w:val="0"/>
        <w:adjustRightInd w:val="0"/>
        <w:snapToGrid/>
        <w:spacing w:line="312" w:lineRule="auto"/>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(二)评审依据：磋商小组成员将以采购文件为评审依据，对供应商的最终报价、技术性能、实施方案、信誉业绩、售后服务、政策优惠等方面内容按百分制打分。</w:t>
      </w:r>
    </w:p>
    <w:p>
      <w:pPr>
        <w:pStyle w:val="25"/>
        <w:keepNext w:val="0"/>
        <w:keepLines w:val="0"/>
        <w:pageBreakBefore w:val="0"/>
        <w:widowControl w:val="0"/>
        <w:kinsoku/>
        <w:wordWrap/>
        <w:overflowPunct/>
        <w:topLinePunct w:val="0"/>
        <w:bidi w:val="0"/>
        <w:adjustRightInd w:val="0"/>
        <w:snapToGrid/>
        <w:spacing w:line="312" w:lineRule="auto"/>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(三)评审方式：以封闭方式进行。</w:t>
      </w:r>
    </w:p>
    <w:p>
      <w:pPr>
        <w:keepNext w:val="0"/>
        <w:keepLines w:val="0"/>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(四)按《政府采购促进中小企业发展管理办法》(财库〔2020〕46号)的规定，</w:t>
      </w:r>
      <w:r>
        <w:rPr>
          <w:rFonts w:hint="eastAsia" w:ascii="宋体" w:hAnsi="宋体" w:eastAsia="宋体" w:cs="宋体"/>
          <w:color w:val="auto"/>
          <w:sz w:val="21"/>
          <w:szCs w:val="21"/>
          <w:highlight w:val="none"/>
        </w:rPr>
        <w:t>对于未预留份额专门面向中小企业采购的政府采购工程项目，以及预留份额政府采购工程项目中的非预留部分标项，对小型和微型企业的最后报价给予3%—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1%—2%的扣除，用扣除后的价格参加评审。中小企业参加政府采购活动，应当出具《中小企业声明函》，否则不得享受相关中小企业扶持政策。</w:t>
      </w:r>
    </w:p>
    <w:p>
      <w:pPr>
        <w:pStyle w:val="25"/>
        <w:keepNext w:val="0"/>
        <w:keepLines w:val="0"/>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（五）</w:t>
      </w:r>
      <w:r>
        <w:rPr>
          <w:rFonts w:hint="eastAsia" w:ascii="宋体" w:hAnsi="宋体" w:eastAsia="宋体" w:cs="宋体"/>
          <w:color w:val="auto"/>
          <w:kern w:val="2"/>
          <w:sz w:val="21"/>
          <w:szCs w:val="21"/>
          <w:highlight w:val="none"/>
        </w:rPr>
        <w:t>依据规定《财政部关于推动解决政府采购异常低价问题的通知》（财库〔2026〕2号）规定，政府采购评审中出现以下异常低价情形，</w:t>
      </w:r>
      <w:r>
        <w:rPr>
          <w:rFonts w:hint="eastAsia" w:hAnsi="宋体" w:cs="宋体"/>
          <w:color w:val="auto"/>
          <w:kern w:val="2"/>
          <w:sz w:val="21"/>
          <w:szCs w:val="21"/>
          <w:highlight w:val="none"/>
          <w:lang w:eastAsia="zh-CN"/>
        </w:rPr>
        <w:t>磋商小组</w:t>
      </w:r>
      <w:r>
        <w:rPr>
          <w:rFonts w:hint="eastAsia" w:ascii="宋体" w:hAnsi="宋体" w:eastAsia="宋体" w:cs="宋体"/>
          <w:color w:val="auto"/>
          <w:kern w:val="2"/>
          <w:sz w:val="21"/>
          <w:szCs w:val="21"/>
          <w:highlight w:val="none"/>
        </w:rPr>
        <w:t>应当启动异常低价投标审查程序：</w:t>
      </w:r>
    </w:p>
    <w:p>
      <w:pPr>
        <w:pStyle w:val="25"/>
        <w:keepNext w:val="0"/>
        <w:keepLines w:val="0"/>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（1）谈判报价低于全部通过符合性审查供应商谈判报价平均值</w:t>
      </w:r>
      <w:r>
        <w:rPr>
          <w:rFonts w:hint="eastAsia" w:hAnsi="宋体" w:cs="宋体"/>
          <w:color w:val="auto"/>
          <w:kern w:val="2"/>
          <w:sz w:val="21"/>
          <w:szCs w:val="21"/>
          <w:highlight w:val="none"/>
          <w:lang w:val="en-US" w:eastAsia="zh-CN"/>
        </w:rPr>
        <w:t>65</w:t>
      </w:r>
      <w:r>
        <w:rPr>
          <w:rFonts w:hint="eastAsia" w:ascii="宋体" w:hAnsi="宋体" w:eastAsia="宋体" w:cs="宋体"/>
          <w:color w:val="auto"/>
          <w:kern w:val="2"/>
          <w:sz w:val="21"/>
          <w:szCs w:val="21"/>
          <w:highlight w:val="none"/>
        </w:rPr>
        <w:t>％的；</w:t>
      </w:r>
    </w:p>
    <w:p>
      <w:pPr>
        <w:pStyle w:val="25"/>
        <w:keepNext w:val="0"/>
        <w:keepLines w:val="0"/>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（2）谈判报价低于通过符合性审查的次低报价供应商谈判报价</w:t>
      </w:r>
      <w:r>
        <w:rPr>
          <w:rFonts w:hint="eastAsia" w:hAnsi="宋体" w:cs="宋体"/>
          <w:color w:val="auto"/>
          <w:kern w:val="2"/>
          <w:sz w:val="21"/>
          <w:szCs w:val="21"/>
          <w:highlight w:val="none"/>
          <w:lang w:val="en-US" w:eastAsia="zh-CN"/>
        </w:rPr>
        <w:t>65</w:t>
      </w:r>
      <w:r>
        <w:rPr>
          <w:rFonts w:hint="eastAsia" w:ascii="宋体" w:hAnsi="宋体" w:eastAsia="宋体" w:cs="宋体"/>
          <w:color w:val="auto"/>
          <w:kern w:val="2"/>
          <w:sz w:val="21"/>
          <w:szCs w:val="21"/>
          <w:highlight w:val="none"/>
        </w:rPr>
        <w:t>％的；</w:t>
      </w:r>
    </w:p>
    <w:p>
      <w:pPr>
        <w:pStyle w:val="25"/>
        <w:keepNext w:val="0"/>
        <w:keepLines w:val="0"/>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（3）响应报价低于采购项目最高限价</w:t>
      </w:r>
      <w:r>
        <w:rPr>
          <w:rFonts w:hint="eastAsia" w:hAnsi="宋体" w:cs="宋体"/>
          <w:color w:val="auto"/>
          <w:kern w:val="2"/>
          <w:sz w:val="21"/>
          <w:szCs w:val="21"/>
          <w:highlight w:val="none"/>
          <w:lang w:val="en-US" w:eastAsia="zh-CN"/>
        </w:rPr>
        <w:t>65</w:t>
      </w:r>
      <w:r>
        <w:rPr>
          <w:rFonts w:hint="eastAsia" w:ascii="宋体" w:hAnsi="宋体" w:eastAsia="宋体" w:cs="宋体"/>
          <w:color w:val="auto"/>
          <w:kern w:val="2"/>
          <w:sz w:val="21"/>
          <w:szCs w:val="21"/>
          <w:highlight w:val="none"/>
        </w:rPr>
        <w:t>％的；</w:t>
      </w:r>
    </w:p>
    <w:p>
      <w:pPr>
        <w:pStyle w:val="25"/>
        <w:keepNext w:val="0"/>
        <w:keepLines w:val="0"/>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（4）</w:t>
      </w:r>
      <w:r>
        <w:rPr>
          <w:rFonts w:hint="eastAsia" w:hAnsi="宋体" w:cs="宋体"/>
          <w:color w:val="auto"/>
          <w:kern w:val="2"/>
          <w:sz w:val="21"/>
          <w:szCs w:val="21"/>
          <w:highlight w:val="none"/>
          <w:lang w:eastAsia="zh-CN"/>
        </w:rPr>
        <w:t>磋商小组</w:t>
      </w:r>
      <w:r>
        <w:rPr>
          <w:rFonts w:hint="eastAsia" w:ascii="宋体" w:hAnsi="宋体" w:eastAsia="宋体" w:cs="宋体"/>
          <w:color w:val="auto"/>
          <w:kern w:val="2"/>
          <w:sz w:val="21"/>
          <w:szCs w:val="21"/>
          <w:highlight w:val="none"/>
        </w:rPr>
        <w:t>基于专业判断，认为供应商报价过低，有可能影响产品质量或者不能诚信履约的其他情形。相关法律法规对供应商报价有规定的，从其规定；</w:t>
      </w:r>
    </w:p>
    <w:p>
      <w:pPr>
        <w:pStyle w:val="25"/>
        <w:keepNext w:val="0"/>
        <w:keepLines w:val="0"/>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（5）相关法律法规对供应商报价有规定的，从其规定。</w:t>
      </w:r>
    </w:p>
    <w:p>
      <w:pPr>
        <w:pStyle w:val="25"/>
        <w:keepNext w:val="0"/>
        <w:keepLines w:val="0"/>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kern w:val="2"/>
          <w:sz w:val="21"/>
          <w:szCs w:val="21"/>
          <w:highlight w:val="none"/>
        </w:rPr>
      </w:pPr>
      <w:r>
        <w:rPr>
          <w:rFonts w:hint="eastAsia" w:hAnsi="宋体" w:cs="宋体"/>
          <w:color w:val="auto"/>
          <w:kern w:val="2"/>
          <w:sz w:val="21"/>
          <w:szCs w:val="21"/>
          <w:highlight w:val="none"/>
          <w:lang w:eastAsia="zh-CN"/>
        </w:rPr>
        <w:t>磋商小组</w:t>
      </w:r>
      <w:r>
        <w:rPr>
          <w:rFonts w:hint="eastAsia" w:ascii="宋体" w:hAnsi="宋体" w:eastAsia="宋体" w:cs="宋体"/>
          <w:color w:val="auto"/>
          <w:kern w:val="2"/>
          <w:sz w:val="21"/>
          <w:szCs w:val="21"/>
          <w:highlight w:val="none"/>
        </w:rPr>
        <w:t>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pStyle w:val="25"/>
        <w:keepNext w:val="0"/>
        <w:keepLines w:val="0"/>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kern w:val="2"/>
          <w:sz w:val="21"/>
          <w:szCs w:val="21"/>
          <w:highlight w:val="none"/>
        </w:rPr>
      </w:pPr>
      <w:r>
        <w:rPr>
          <w:rFonts w:hint="eastAsia" w:hAnsi="宋体" w:cs="宋体"/>
          <w:color w:val="auto"/>
          <w:kern w:val="2"/>
          <w:sz w:val="21"/>
          <w:szCs w:val="21"/>
          <w:highlight w:val="none"/>
          <w:lang w:eastAsia="zh-CN"/>
        </w:rPr>
        <w:t>磋商小组</w:t>
      </w:r>
      <w:r>
        <w:rPr>
          <w:rFonts w:hint="eastAsia" w:ascii="宋体" w:hAnsi="宋体" w:eastAsia="宋体" w:cs="宋体"/>
          <w:color w:val="auto"/>
          <w:kern w:val="2"/>
          <w:sz w:val="21"/>
          <w:szCs w:val="21"/>
          <w:highlight w:val="none"/>
        </w:rPr>
        <w:t>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w:t>
      </w:r>
      <w:r>
        <w:rPr>
          <w:rFonts w:hint="eastAsia" w:hAnsi="宋体" w:cs="宋体"/>
          <w:color w:val="auto"/>
          <w:kern w:val="2"/>
          <w:sz w:val="21"/>
          <w:szCs w:val="21"/>
          <w:highlight w:val="none"/>
          <w:lang w:eastAsia="zh-CN"/>
        </w:rPr>
        <w:t>磋商小组</w:t>
      </w:r>
      <w:r>
        <w:rPr>
          <w:rFonts w:hint="eastAsia" w:ascii="宋体" w:hAnsi="宋体" w:eastAsia="宋体" w:cs="宋体"/>
          <w:color w:val="auto"/>
          <w:kern w:val="2"/>
          <w:sz w:val="21"/>
          <w:szCs w:val="21"/>
          <w:highlight w:val="none"/>
        </w:rPr>
        <w:t>应当将其作为无效响应处理。</w:t>
      </w:r>
    </w:p>
    <w:p>
      <w:pPr>
        <w:pStyle w:val="25"/>
        <w:keepNext w:val="0"/>
        <w:keepLines w:val="0"/>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评审组织：采购人、采购代理机构应当为</w:t>
      </w:r>
      <w:r>
        <w:rPr>
          <w:rFonts w:hint="eastAsia" w:hAnsi="宋体" w:cs="宋体"/>
          <w:color w:val="auto"/>
          <w:kern w:val="2"/>
          <w:sz w:val="21"/>
          <w:szCs w:val="21"/>
          <w:highlight w:val="none"/>
          <w:lang w:eastAsia="zh-CN"/>
        </w:rPr>
        <w:t>磋商小组</w:t>
      </w:r>
      <w:r>
        <w:rPr>
          <w:rFonts w:hint="eastAsia" w:ascii="宋体" w:hAnsi="宋体" w:eastAsia="宋体" w:cs="宋体"/>
          <w:color w:val="auto"/>
          <w:kern w:val="2"/>
          <w:sz w:val="21"/>
          <w:szCs w:val="21"/>
          <w:highlight w:val="none"/>
        </w:rPr>
        <w:t>在评审现场及时获取同类项目中标(成交)价格、类似产品市场价格水平、行业人工费用标准、国家有关部门指导行业协会发布的行业平均成本等相关信息资料提供便利。</w:t>
      </w:r>
      <w:r>
        <w:rPr>
          <w:rFonts w:hint="eastAsia" w:hAnsi="宋体" w:cs="宋体"/>
          <w:color w:val="auto"/>
          <w:kern w:val="2"/>
          <w:sz w:val="21"/>
          <w:szCs w:val="21"/>
          <w:highlight w:val="none"/>
          <w:lang w:eastAsia="zh-CN"/>
        </w:rPr>
        <w:t>磋商小组</w:t>
      </w:r>
      <w:r>
        <w:rPr>
          <w:rFonts w:hint="eastAsia" w:ascii="宋体" w:hAnsi="宋体" w:eastAsia="宋体" w:cs="宋体"/>
          <w:color w:val="auto"/>
          <w:kern w:val="2"/>
          <w:sz w:val="21"/>
          <w:szCs w:val="21"/>
          <w:highlight w:val="none"/>
        </w:rPr>
        <w:t>借助互联网等渠道查询相关信息的，应当严格遵守评审工作纪律，不得实施影响评审公正的行为。</w:t>
      </w:r>
    </w:p>
    <w:p>
      <w:pPr>
        <w:keepNext w:val="0"/>
        <w:keepLines w:val="0"/>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rPr>
        <w:t>记录及归档：异常低价投标审查的启动原因、审查意见和审查结果应当在评审报告中记录，并随供应商提供的相关书面说明及证明材料，以及</w:t>
      </w:r>
      <w:r>
        <w:rPr>
          <w:rFonts w:hint="eastAsia" w:ascii="宋体" w:hAnsi="宋体" w:cs="宋体"/>
          <w:color w:val="auto"/>
          <w:kern w:val="2"/>
          <w:sz w:val="21"/>
          <w:szCs w:val="21"/>
          <w:highlight w:val="none"/>
          <w:lang w:eastAsia="zh-CN"/>
        </w:rPr>
        <w:t>磋商小组</w:t>
      </w:r>
      <w:r>
        <w:rPr>
          <w:rFonts w:hint="eastAsia" w:ascii="宋体" w:hAnsi="宋体" w:eastAsia="宋体" w:cs="宋体"/>
          <w:color w:val="auto"/>
          <w:kern w:val="2"/>
          <w:sz w:val="21"/>
          <w:szCs w:val="21"/>
          <w:highlight w:val="none"/>
        </w:rPr>
        <w:t>有关互联网浏览、查询历史一并归档。</w:t>
      </w:r>
    </w:p>
    <w:p>
      <w:pPr>
        <w:keepNext w:val="0"/>
        <w:keepLines w:val="0"/>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eastAsia="zh-CN"/>
        </w:rPr>
        <w:t>六</w:t>
      </w:r>
      <w:r>
        <w:rPr>
          <w:rFonts w:hint="eastAsia" w:ascii="宋体" w:hAnsi="宋体" w:eastAsia="宋体" w:cs="宋体"/>
          <w:color w:val="auto"/>
          <w:kern w:val="0"/>
          <w:sz w:val="21"/>
          <w:szCs w:val="21"/>
          <w:highlight w:val="none"/>
        </w:rPr>
        <w:t>)磋商供应商按《关于政府采购支持监狱企业发展有关问题的通知》(财库〔2014〕68 号)认定为监狱企业的，在政府采购活动中，监狱企业视同小型、微型企业。监狱企业以提供由省级以上监狱管理局、戒毒管理局(含新疆生产建设兵团)出具的属于监狱企业的证明文件为准。</w:t>
      </w:r>
    </w:p>
    <w:p>
      <w:pPr>
        <w:keepNext w:val="0"/>
        <w:keepLines w:val="0"/>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eastAsia="zh-CN"/>
        </w:rPr>
        <w:t>七</w:t>
      </w:r>
      <w:r>
        <w:rPr>
          <w:rFonts w:hint="eastAsia" w:ascii="宋体" w:hAnsi="宋体" w:eastAsia="宋体" w:cs="宋体"/>
          <w:color w:val="auto"/>
          <w:kern w:val="0"/>
          <w:sz w:val="21"/>
          <w:szCs w:val="21"/>
          <w:highlight w:val="none"/>
        </w:rPr>
        <w:t>)磋商供应商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keepNext w:val="0"/>
        <w:keepLines w:val="0"/>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eastAsia="zh-CN"/>
        </w:rPr>
        <w:t>八</w:t>
      </w:r>
      <w:r>
        <w:rPr>
          <w:rFonts w:hint="eastAsia" w:ascii="宋体" w:hAnsi="宋体" w:eastAsia="宋体" w:cs="宋体"/>
          <w:color w:val="auto"/>
          <w:kern w:val="0"/>
          <w:sz w:val="21"/>
          <w:szCs w:val="21"/>
          <w:highlight w:val="none"/>
        </w:rPr>
        <w:t>)专门面向中小企业采购的项目，不再执行价格评审优惠的扶持政策</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未享受优惠政策的供应商的磋商最终报价即为评审价。</w:t>
      </w:r>
    </w:p>
    <w:p>
      <w:pPr>
        <w:spacing w:line="360" w:lineRule="auto"/>
        <w:ind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二、评标方法</w:t>
      </w:r>
    </w:p>
    <w:tbl>
      <w:tblPr>
        <w:tblStyle w:val="39"/>
        <w:tblW w:w="103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994"/>
        <w:gridCol w:w="1142"/>
        <w:gridCol w:w="1583"/>
        <w:gridCol w:w="5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89" w:type="dxa"/>
            <w:shd w:val="clear" w:color="auto" w:fill="E6E6E6"/>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条款号</w:t>
            </w:r>
          </w:p>
        </w:tc>
        <w:tc>
          <w:tcPr>
            <w:tcW w:w="3719" w:type="dxa"/>
            <w:gridSpan w:val="3"/>
            <w:shd w:val="clear" w:color="auto" w:fill="E6E6E6"/>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763" w:type="dxa"/>
            <w:shd w:val="clear" w:color="auto" w:fill="E6E6E6"/>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c>
          <w:tcPr>
            <w:tcW w:w="3719"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报价分（30分）</w:t>
            </w:r>
          </w:p>
        </w:tc>
        <w:tc>
          <w:tcPr>
            <w:tcW w:w="576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有效磋商报价的最低价作为评标基准价，其最低报价为满分；按［磋商报价得分=（磋商基准价/磋商报价）*权重］的计算公式计算。</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评审过程中，不得去掉报价中的最高报价和最低报价。</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未预留份额专门面向中小企业采购的政府采购项目，以及预留份额政府采购项目中的非预留部分标项，对小型和微型企业的磋商报价给予3%—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1%—2%的扣除，用扣除后的价格参加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89" w:type="dxa"/>
            <w:vMerge w:val="restart"/>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c>
          <w:tcPr>
            <w:tcW w:w="994" w:type="dxa"/>
            <w:vMerge w:val="restart"/>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技术分（满分65分）</w:t>
            </w:r>
          </w:p>
        </w:tc>
        <w:tc>
          <w:tcPr>
            <w:tcW w:w="1142" w:type="dxa"/>
            <w:vMerge w:val="restart"/>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项目管理机构（满分9分）</w:t>
            </w:r>
          </w:p>
        </w:tc>
        <w:tc>
          <w:tcPr>
            <w:tcW w:w="1583" w:type="dxa"/>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项目经理情况</w:t>
            </w:r>
            <w:r>
              <w:rPr>
                <w:rFonts w:hint="eastAsia" w:ascii="宋体" w:hAnsi="宋体" w:eastAsia="宋体" w:cs="宋体"/>
                <w:color w:val="auto"/>
                <w:sz w:val="21"/>
                <w:szCs w:val="21"/>
                <w:highlight w:val="none"/>
              </w:rPr>
              <w:t>（满分3分）</w:t>
            </w:r>
          </w:p>
        </w:tc>
        <w:tc>
          <w:tcPr>
            <w:tcW w:w="5763" w:type="dxa"/>
            <w:vAlign w:val="center"/>
          </w:tcPr>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leftChars="0" w:right="0" w:righ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3"/>
                <w:highlight w:val="none"/>
              </w:rPr>
              <w:t>拟派项目经理具备中级</w:t>
            </w:r>
            <w:r>
              <w:rPr>
                <w:rFonts w:hint="eastAsia" w:ascii="宋体" w:hAnsi="宋体" w:eastAsia="宋体" w:cs="宋体"/>
                <w:color w:val="auto"/>
                <w:spacing w:val="13"/>
                <w:highlight w:val="none"/>
                <w:lang w:val="en-US" w:eastAsia="zh-CN"/>
              </w:rPr>
              <w:t>或</w:t>
            </w:r>
            <w:r>
              <w:rPr>
                <w:rFonts w:hint="eastAsia" w:ascii="宋体" w:hAnsi="宋体" w:eastAsia="宋体" w:cs="宋体"/>
                <w:color w:val="auto"/>
                <w:spacing w:val="13"/>
                <w:highlight w:val="none"/>
              </w:rPr>
              <w:t>以上职称的</w:t>
            </w:r>
            <w:r>
              <w:rPr>
                <w:rFonts w:hint="eastAsia" w:ascii="宋体" w:hAnsi="宋体" w:eastAsia="宋体" w:cs="宋体"/>
                <w:color w:val="auto"/>
                <w:spacing w:val="11"/>
                <w:highlight w:val="none"/>
              </w:rPr>
              <w:t>得3分</w:t>
            </w:r>
            <w:r>
              <w:rPr>
                <w:rFonts w:hint="eastAsia" w:ascii="宋体" w:hAnsi="宋体" w:eastAsia="宋体" w:cs="宋体"/>
                <w:color w:val="auto"/>
                <w:spacing w:val="11"/>
                <w:highlight w:val="none"/>
                <w:lang w:eastAsia="zh-CN"/>
              </w:rPr>
              <w:t>，（</w:t>
            </w:r>
            <w:r>
              <w:rPr>
                <w:rFonts w:hint="eastAsia" w:ascii="宋体" w:hAnsi="宋体" w:eastAsia="宋体" w:cs="宋体"/>
                <w:color w:val="auto"/>
                <w:spacing w:val="11"/>
                <w:highlight w:val="none"/>
              </w:rPr>
              <w:t>提供相关证照</w:t>
            </w:r>
            <w:r>
              <w:rPr>
                <w:rFonts w:hint="eastAsia" w:ascii="宋体" w:hAnsi="宋体" w:eastAsia="宋体" w:cs="宋体"/>
                <w:color w:val="auto"/>
                <w:spacing w:val="7"/>
                <w:highlight w:val="none"/>
              </w:rPr>
              <w:t>扫描件加盖公章证明</w:t>
            </w:r>
            <w:r>
              <w:rPr>
                <w:rFonts w:hint="eastAsia" w:ascii="宋体" w:hAnsi="宋体" w:eastAsia="宋体" w:cs="宋体"/>
                <w:color w:val="auto"/>
                <w:spacing w:val="7"/>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89"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994"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142"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583" w:type="dxa"/>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其他主要人员（满分</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c>
          <w:tcPr>
            <w:tcW w:w="5763" w:type="dxa"/>
            <w:vAlign w:val="center"/>
          </w:tcPr>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pacing w:val="13"/>
                <w:highlight w:val="none"/>
                <w:lang w:val="en-US" w:eastAsia="zh-CN"/>
              </w:rPr>
            </w:pPr>
            <w:r>
              <w:rPr>
                <w:rFonts w:hint="eastAsia" w:ascii="宋体" w:hAnsi="宋体" w:eastAsia="宋体" w:cs="宋体"/>
                <w:color w:val="auto"/>
                <w:spacing w:val="13"/>
                <w:highlight w:val="none"/>
                <w:lang w:val="en-US" w:eastAsia="zh-CN"/>
              </w:rPr>
              <w:t>拟投入本工程主要管理人员配备齐全且全部持证上岗的，按以下标准计分：</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pacing w:val="13"/>
                <w:highlight w:val="none"/>
                <w:lang w:val="en-US" w:eastAsia="zh-CN"/>
              </w:rPr>
            </w:pPr>
            <w:r>
              <w:rPr>
                <w:rFonts w:hint="eastAsia" w:ascii="宋体" w:hAnsi="宋体" w:eastAsia="宋体" w:cs="宋体"/>
                <w:color w:val="auto"/>
                <w:spacing w:val="13"/>
                <w:highlight w:val="none"/>
                <w:lang w:val="en-US" w:eastAsia="zh-CN"/>
              </w:rPr>
              <w:t>一档（6分）：完全满足施工需要，管理人员配备齐全且具有丰富的同类经验。</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jc w:val="both"/>
              <w:textAlignment w:val="auto"/>
              <w:rPr>
                <w:rFonts w:hint="eastAsia" w:ascii="宋体" w:hAnsi="宋体" w:eastAsia="宋体" w:cs="宋体"/>
                <w:color w:val="auto"/>
                <w:spacing w:val="13"/>
                <w:highlight w:val="none"/>
                <w:lang w:val="en-US" w:eastAsia="zh-CN"/>
              </w:rPr>
            </w:pPr>
            <w:r>
              <w:rPr>
                <w:rFonts w:hint="eastAsia" w:ascii="宋体" w:hAnsi="宋体" w:eastAsia="宋体" w:cs="宋体"/>
                <w:color w:val="auto"/>
                <w:spacing w:val="13"/>
                <w:highlight w:val="none"/>
                <w:lang w:val="en-US" w:eastAsia="zh-CN"/>
              </w:rPr>
              <w:t>二挡（4分）：基本满足施工需要，管理人员配备齐全。</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leftChars="0" w:righ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3"/>
                <w:highlight w:val="none"/>
                <w:lang w:val="en-US" w:eastAsia="zh-CN"/>
              </w:rPr>
              <w:t>三挡（2分）：不满足施工需要，管理人员配备不齐全。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89"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994"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142" w:type="dxa"/>
            <w:vMerge w:val="restart"/>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施工组织设计（满分56分）</w:t>
            </w:r>
          </w:p>
        </w:tc>
        <w:tc>
          <w:tcPr>
            <w:tcW w:w="1583" w:type="dxa"/>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主要施工方法（满分7分）</w:t>
            </w:r>
          </w:p>
        </w:tc>
        <w:tc>
          <w:tcPr>
            <w:tcW w:w="5763" w:type="dxa"/>
            <w:vAlign w:val="center"/>
          </w:tcPr>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25"/>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四档（7分）各主要分部施工方法符合项</w:t>
            </w:r>
            <w:r>
              <w:rPr>
                <w:rFonts w:hint="eastAsia" w:ascii="宋体" w:hAnsi="宋体" w:eastAsia="宋体" w:cs="宋体"/>
                <w:color w:val="auto"/>
                <w:spacing w:val="11"/>
                <w:highlight w:val="none"/>
              </w:rPr>
              <w:t>目实际，有详尽的</w:t>
            </w:r>
            <w:r>
              <w:rPr>
                <w:rFonts w:hint="eastAsia" w:ascii="宋体" w:hAnsi="宋体" w:eastAsia="宋体" w:cs="宋体"/>
                <w:color w:val="auto"/>
                <w:spacing w:val="13"/>
                <w:highlight w:val="none"/>
              </w:rPr>
              <w:t>施工技术方案，工艺先进、方法科学合理、可行，能指导具</w:t>
            </w:r>
            <w:r>
              <w:rPr>
                <w:rFonts w:hint="eastAsia" w:ascii="宋体" w:hAnsi="宋体" w:eastAsia="宋体" w:cs="宋体"/>
                <w:color w:val="auto"/>
                <w:spacing w:val="7"/>
                <w:highlight w:val="none"/>
              </w:rPr>
              <w:t>体施工并确保安全。</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6"/>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三档（5分）各主要分部施工方法符合项目实际，有详尽的</w:t>
            </w:r>
            <w:r>
              <w:rPr>
                <w:rFonts w:hint="eastAsia" w:ascii="宋体" w:hAnsi="宋体" w:eastAsia="宋体" w:cs="宋体"/>
                <w:color w:val="auto"/>
                <w:spacing w:val="13"/>
                <w:highlight w:val="none"/>
              </w:rPr>
              <w:t>施工技术方案，工艺一般、方法可行，能指导具体施工并确</w:t>
            </w:r>
            <w:r>
              <w:rPr>
                <w:rFonts w:hint="eastAsia" w:ascii="宋体" w:hAnsi="宋体" w:eastAsia="宋体" w:cs="宋体"/>
                <w:color w:val="auto"/>
                <w:spacing w:val="3"/>
                <w:highlight w:val="none"/>
              </w:rPr>
              <w:t>保安全。</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5"/>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二档（3分）各主要分部施工方法符合项目实际，有施工技</w:t>
            </w:r>
            <w:r>
              <w:rPr>
                <w:rFonts w:hint="eastAsia" w:ascii="宋体" w:hAnsi="宋体" w:eastAsia="宋体" w:cs="宋体"/>
                <w:color w:val="auto"/>
                <w:spacing w:val="9"/>
                <w:highlight w:val="none"/>
              </w:rPr>
              <w:t>术方案，工艺一般、方法可行，能指导施工并确保</w:t>
            </w:r>
            <w:r>
              <w:rPr>
                <w:rFonts w:hint="eastAsia" w:ascii="宋体" w:hAnsi="宋体" w:eastAsia="宋体" w:cs="宋体"/>
                <w:color w:val="auto"/>
                <w:spacing w:val="8"/>
                <w:highlight w:val="none"/>
              </w:rPr>
              <w:t>安全。</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leftChars="0" w:right="0" w:rightChars="0" w:firstLine="2"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highlight w:val="none"/>
              </w:rPr>
              <w:t>一档（1分）各主要分部施工方法不符合项目实际，有施工</w:t>
            </w:r>
            <w:r>
              <w:rPr>
                <w:rFonts w:hint="eastAsia" w:ascii="宋体" w:hAnsi="宋体" w:eastAsia="宋体" w:cs="宋体"/>
                <w:color w:val="auto"/>
                <w:spacing w:val="9"/>
                <w:highlight w:val="none"/>
              </w:rPr>
              <w:t>技术方案，工艺一般，不能指导具体施工并确保</w:t>
            </w:r>
            <w:r>
              <w:rPr>
                <w:rFonts w:hint="eastAsia" w:ascii="宋体" w:hAnsi="宋体" w:eastAsia="宋体" w:cs="宋体"/>
                <w:color w:val="auto"/>
                <w:spacing w:val="8"/>
                <w:highlight w:val="none"/>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89"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994"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142"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583" w:type="dxa"/>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拟投入的主要物资计划（满分7分）</w:t>
            </w:r>
          </w:p>
        </w:tc>
        <w:tc>
          <w:tcPr>
            <w:tcW w:w="5763" w:type="dxa"/>
            <w:vAlign w:val="center"/>
          </w:tcPr>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25"/>
              <w:jc w:val="both"/>
              <w:textAlignment w:val="auto"/>
              <w:rPr>
                <w:rFonts w:hint="eastAsia" w:ascii="宋体" w:hAnsi="宋体" w:eastAsia="宋体" w:cs="宋体"/>
                <w:color w:val="auto"/>
                <w:highlight w:val="none"/>
              </w:rPr>
            </w:pPr>
            <w:r>
              <w:rPr>
                <w:rFonts w:hint="eastAsia" w:ascii="宋体" w:hAnsi="宋体" w:eastAsia="宋体" w:cs="宋体"/>
                <w:color w:val="auto"/>
                <w:spacing w:val="6"/>
                <w:highlight w:val="none"/>
              </w:rPr>
              <w:t>四档（7分）投入的施工材料有详细的组织计划且计划周密，</w:t>
            </w:r>
            <w:r>
              <w:rPr>
                <w:rFonts w:hint="eastAsia" w:ascii="宋体" w:hAnsi="宋体" w:eastAsia="宋体" w:cs="宋体"/>
                <w:color w:val="auto"/>
                <w:spacing w:val="9"/>
                <w:highlight w:val="none"/>
              </w:rPr>
              <w:t>数量、选型配置、进场时间安排合理，满足施工需</w:t>
            </w:r>
            <w:r>
              <w:rPr>
                <w:rFonts w:hint="eastAsia" w:ascii="宋体" w:hAnsi="宋体" w:eastAsia="宋体" w:cs="宋体"/>
                <w:color w:val="auto"/>
                <w:spacing w:val="8"/>
                <w:highlight w:val="none"/>
              </w:rPr>
              <w:t>要。</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6"/>
              <w:jc w:val="both"/>
              <w:textAlignment w:val="auto"/>
              <w:rPr>
                <w:rFonts w:hint="eastAsia" w:ascii="宋体" w:hAnsi="宋体" w:eastAsia="宋体" w:cs="宋体"/>
                <w:color w:val="auto"/>
                <w:highlight w:val="none"/>
              </w:rPr>
            </w:pPr>
            <w:r>
              <w:rPr>
                <w:rFonts w:hint="eastAsia" w:ascii="宋体" w:hAnsi="宋体" w:eastAsia="宋体" w:cs="宋体"/>
                <w:color w:val="auto"/>
                <w:spacing w:val="7"/>
                <w:highlight w:val="none"/>
              </w:rPr>
              <w:t>三档（5分）投入的施工材料有详细的组织计划但计划</w:t>
            </w:r>
            <w:r>
              <w:rPr>
                <w:rFonts w:hint="eastAsia" w:ascii="宋体" w:hAnsi="宋体" w:eastAsia="宋体" w:cs="宋体"/>
                <w:color w:val="auto"/>
                <w:spacing w:val="6"/>
                <w:highlight w:val="none"/>
              </w:rPr>
              <w:t>一般，</w:t>
            </w:r>
            <w:r>
              <w:rPr>
                <w:rFonts w:hint="eastAsia" w:ascii="宋体" w:hAnsi="宋体" w:eastAsia="宋体" w:cs="宋体"/>
                <w:color w:val="auto"/>
                <w:spacing w:val="9"/>
                <w:highlight w:val="none"/>
              </w:rPr>
              <w:t>数量、选型配置、进场时间安排合理，满足施工需</w:t>
            </w:r>
            <w:r>
              <w:rPr>
                <w:rFonts w:hint="eastAsia" w:ascii="宋体" w:hAnsi="宋体" w:eastAsia="宋体" w:cs="宋体"/>
                <w:color w:val="auto"/>
                <w:spacing w:val="8"/>
                <w:highlight w:val="none"/>
              </w:rPr>
              <w:t>要。</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4"/>
              <w:jc w:val="both"/>
              <w:textAlignment w:val="auto"/>
              <w:rPr>
                <w:rFonts w:hint="eastAsia" w:ascii="宋体" w:hAnsi="宋体" w:eastAsia="宋体" w:cs="宋体"/>
                <w:color w:val="auto"/>
                <w:highlight w:val="none"/>
              </w:rPr>
            </w:pPr>
            <w:r>
              <w:rPr>
                <w:rFonts w:hint="eastAsia" w:ascii="宋体" w:hAnsi="宋体" w:eastAsia="宋体" w:cs="宋体"/>
                <w:color w:val="auto"/>
                <w:spacing w:val="7"/>
                <w:highlight w:val="none"/>
              </w:rPr>
              <w:t>二档（3分）投入的施工材料有组织计划但计划一般，数量、</w:t>
            </w:r>
            <w:r>
              <w:rPr>
                <w:rFonts w:hint="eastAsia" w:ascii="宋体" w:hAnsi="宋体" w:eastAsia="宋体" w:cs="宋体"/>
                <w:color w:val="auto"/>
                <w:spacing w:val="8"/>
                <w:highlight w:val="none"/>
              </w:rPr>
              <w:t>选型配置、进场时间安排合理，基本满足施工需要。</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leftChars="0" w:right="0" w:rightChars="0" w:firstLine="1"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highlight w:val="none"/>
              </w:rPr>
              <w:t>一档（1分）投入的施工材料无组织计划，数量、选型配置、</w:t>
            </w:r>
            <w:r>
              <w:rPr>
                <w:rFonts w:hint="eastAsia" w:ascii="宋体" w:hAnsi="宋体" w:eastAsia="宋体" w:cs="宋体"/>
                <w:color w:val="auto"/>
                <w:spacing w:val="8"/>
                <w:highlight w:val="none"/>
              </w:rPr>
              <w:t>进场时间安排不合理，不满足施工需要。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89"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994"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142"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583" w:type="dxa"/>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拟投入的主要施工机械、设备计划（满分6分）</w:t>
            </w:r>
          </w:p>
        </w:tc>
        <w:tc>
          <w:tcPr>
            <w:tcW w:w="5763" w:type="dxa"/>
            <w:vAlign w:val="center"/>
          </w:tcPr>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25"/>
              <w:jc w:val="both"/>
              <w:textAlignment w:val="auto"/>
              <w:rPr>
                <w:rFonts w:hint="eastAsia" w:ascii="宋体" w:hAnsi="宋体" w:eastAsia="宋体" w:cs="宋体"/>
                <w:color w:val="auto"/>
                <w:highlight w:val="none"/>
              </w:rPr>
            </w:pPr>
            <w:r>
              <w:rPr>
                <w:rFonts w:hint="eastAsia" w:ascii="宋体" w:hAnsi="宋体" w:eastAsia="宋体" w:cs="宋体"/>
                <w:color w:val="auto"/>
                <w:spacing w:val="5"/>
                <w:highlight w:val="none"/>
              </w:rPr>
              <w:t>四档（6分）投入的施工机械、设备、</w:t>
            </w:r>
            <w:r>
              <w:rPr>
                <w:rFonts w:hint="eastAsia" w:ascii="宋体" w:hAnsi="宋体" w:eastAsia="宋体" w:cs="宋体"/>
                <w:color w:val="auto"/>
                <w:spacing w:val="5"/>
                <w:highlight w:val="none"/>
                <w:lang w:eastAsia="zh-CN"/>
              </w:rPr>
              <w:t>机械</w:t>
            </w:r>
            <w:r>
              <w:rPr>
                <w:rFonts w:hint="eastAsia" w:ascii="宋体" w:hAnsi="宋体" w:eastAsia="宋体" w:cs="宋体"/>
                <w:color w:val="auto"/>
                <w:spacing w:val="5"/>
                <w:highlight w:val="none"/>
              </w:rPr>
              <w:t>具有详细的组织计划</w:t>
            </w:r>
            <w:r>
              <w:rPr>
                <w:rFonts w:hint="eastAsia" w:ascii="宋体" w:hAnsi="宋体" w:eastAsia="宋体" w:cs="宋体"/>
                <w:color w:val="auto"/>
                <w:spacing w:val="13"/>
                <w:highlight w:val="none"/>
              </w:rPr>
              <w:t>且计划周密，设备数量、选型配置、进场时间安排合理，满</w:t>
            </w:r>
            <w:r>
              <w:rPr>
                <w:rFonts w:hint="eastAsia" w:ascii="宋体" w:hAnsi="宋体" w:eastAsia="宋体" w:cs="宋体"/>
                <w:color w:val="auto"/>
                <w:spacing w:val="5"/>
                <w:highlight w:val="none"/>
              </w:rPr>
              <w:t>足施工需要。</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5"/>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三档（4分）投入的施工机械、设备、</w:t>
            </w:r>
            <w:r>
              <w:rPr>
                <w:rFonts w:hint="eastAsia" w:ascii="宋体" w:hAnsi="宋体" w:eastAsia="宋体" w:cs="宋体"/>
                <w:color w:val="auto"/>
                <w:spacing w:val="12"/>
                <w:highlight w:val="none"/>
                <w:lang w:eastAsia="zh-CN"/>
              </w:rPr>
              <w:t>机械</w:t>
            </w:r>
            <w:r>
              <w:rPr>
                <w:rFonts w:hint="eastAsia" w:ascii="宋体" w:hAnsi="宋体" w:eastAsia="宋体" w:cs="宋体"/>
                <w:color w:val="auto"/>
                <w:spacing w:val="12"/>
                <w:highlight w:val="none"/>
              </w:rPr>
              <w:t>具有详细的组织计</w:t>
            </w:r>
            <w:r>
              <w:rPr>
                <w:rFonts w:hint="eastAsia" w:ascii="宋体" w:hAnsi="宋体" w:eastAsia="宋体" w:cs="宋体"/>
                <w:color w:val="auto"/>
                <w:spacing w:val="13"/>
                <w:highlight w:val="none"/>
              </w:rPr>
              <w:t>划但计划一般，设备数量、选型配置、进场时间安排合理，</w:t>
            </w:r>
            <w:r>
              <w:rPr>
                <w:rFonts w:hint="eastAsia" w:ascii="宋体" w:hAnsi="宋体" w:eastAsia="宋体" w:cs="宋体"/>
                <w:color w:val="auto"/>
                <w:spacing w:val="6"/>
                <w:highlight w:val="none"/>
              </w:rPr>
              <w:t>满足施工需要。</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7"/>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二档（2分）投入的施工机械、设备、机具有组织计划但计</w:t>
            </w:r>
            <w:r>
              <w:rPr>
                <w:rFonts w:hint="eastAsia" w:ascii="宋体" w:hAnsi="宋体" w:eastAsia="宋体" w:cs="宋体"/>
                <w:color w:val="auto"/>
                <w:spacing w:val="13"/>
                <w:highlight w:val="none"/>
              </w:rPr>
              <w:t>划一般，设备数量、选型配置、进场时间安排合理，基本满</w:t>
            </w:r>
            <w:r>
              <w:rPr>
                <w:rFonts w:hint="eastAsia" w:ascii="宋体" w:hAnsi="宋体" w:eastAsia="宋体" w:cs="宋体"/>
                <w:color w:val="auto"/>
                <w:spacing w:val="5"/>
                <w:highlight w:val="none"/>
              </w:rPr>
              <w:t>足施工需要。</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leftChars="0" w:right="0" w:rightChars="0" w:firstLine="1"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highlight w:val="none"/>
              </w:rPr>
              <w:t>一档（1分）投入的施工机械、设备、机具无组织计划，设</w:t>
            </w:r>
            <w:r>
              <w:rPr>
                <w:rFonts w:hint="eastAsia" w:ascii="宋体" w:hAnsi="宋体" w:eastAsia="宋体" w:cs="宋体"/>
                <w:color w:val="auto"/>
                <w:spacing w:val="8"/>
                <w:highlight w:val="none"/>
              </w:rPr>
              <w:t>备数量、选型配置、进场时间安排不合理，不满足施工</w:t>
            </w:r>
            <w:r>
              <w:rPr>
                <w:rFonts w:hint="eastAsia" w:ascii="宋体" w:hAnsi="宋体" w:eastAsia="宋体" w:cs="宋体"/>
                <w:color w:val="auto"/>
                <w:spacing w:val="7"/>
                <w:highlight w:val="none"/>
              </w:rPr>
              <w:t>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89"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994"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142"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583" w:type="dxa"/>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劳动力安排计划（满分6分）</w:t>
            </w:r>
          </w:p>
        </w:tc>
        <w:tc>
          <w:tcPr>
            <w:tcW w:w="5763" w:type="dxa"/>
            <w:vAlign w:val="center"/>
          </w:tcPr>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26"/>
              <w:jc w:val="both"/>
              <w:textAlignment w:val="auto"/>
              <w:rPr>
                <w:rFonts w:hint="eastAsia" w:ascii="宋体" w:hAnsi="宋体" w:eastAsia="宋体" w:cs="宋体"/>
                <w:color w:val="auto"/>
                <w:highlight w:val="none"/>
              </w:rPr>
            </w:pPr>
            <w:r>
              <w:rPr>
                <w:rFonts w:hint="eastAsia" w:ascii="宋体" w:hAnsi="宋体" w:eastAsia="宋体" w:cs="宋体"/>
                <w:color w:val="auto"/>
                <w:spacing w:val="7"/>
                <w:highlight w:val="none"/>
              </w:rPr>
              <w:t>四档（6分）各主要施工工序有详细周密的劳动</w:t>
            </w:r>
            <w:r>
              <w:rPr>
                <w:rFonts w:hint="eastAsia" w:ascii="宋体" w:hAnsi="宋体" w:eastAsia="宋体" w:cs="宋体"/>
                <w:color w:val="auto"/>
                <w:spacing w:val="6"/>
                <w:highlight w:val="none"/>
              </w:rPr>
              <w:t>力安排计划，</w:t>
            </w:r>
            <w:r>
              <w:rPr>
                <w:rFonts w:hint="eastAsia" w:ascii="宋体" w:hAnsi="宋体" w:eastAsia="宋体" w:cs="宋体"/>
                <w:color w:val="auto"/>
                <w:spacing w:val="8"/>
                <w:highlight w:val="none"/>
              </w:rPr>
              <w:t>有各工种劳动力安排计划，劳动力投入合理，满足施工需要。</w:t>
            </w:r>
            <w:r>
              <w:rPr>
                <w:rFonts w:hint="eastAsia" w:ascii="宋体" w:hAnsi="宋体" w:eastAsia="宋体" w:cs="宋体"/>
                <w:color w:val="auto"/>
                <w:spacing w:val="13"/>
                <w:highlight w:val="none"/>
              </w:rPr>
              <w:t>三档（4分）各主要施工工序有劳动力安</w:t>
            </w:r>
            <w:r>
              <w:rPr>
                <w:rFonts w:hint="eastAsia" w:ascii="宋体" w:hAnsi="宋体" w:eastAsia="宋体" w:cs="宋体"/>
                <w:color w:val="auto"/>
                <w:spacing w:val="12"/>
                <w:highlight w:val="none"/>
              </w:rPr>
              <w:t>排计划，有各工种</w:t>
            </w:r>
            <w:r>
              <w:rPr>
                <w:rFonts w:hint="eastAsia" w:ascii="宋体" w:hAnsi="宋体" w:eastAsia="宋体" w:cs="宋体"/>
                <w:color w:val="auto"/>
                <w:spacing w:val="9"/>
                <w:highlight w:val="none"/>
              </w:rPr>
              <w:t>劳动力安排计划，劳动力投入合理，满足施工需</w:t>
            </w:r>
            <w:r>
              <w:rPr>
                <w:rFonts w:hint="eastAsia" w:ascii="宋体" w:hAnsi="宋体" w:eastAsia="宋体" w:cs="宋体"/>
                <w:color w:val="auto"/>
                <w:spacing w:val="8"/>
                <w:highlight w:val="none"/>
              </w:rPr>
              <w:t>要。</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5"/>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二档（2分）各主要施工工序只有劳动力安排计划，无各工</w:t>
            </w:r>
            <w:r>
              <w:rPr>
                <w:rFonts w:hint="eastAsia" w:ascii="宋体" w:hAnsi="宋体" w:eastAsia="宋体" w:cs="宋体"/>
                <w:color w:val="auto"/>
                <w:spacing w:val="9"/>
                <w:highlight w:val="none"/>
              </w:rPr>
              <w:t>种劳动力安排计划，劳动力投入合理，满足施</w:t>
            </w:r>
            <w:r>
              <w:rPr>
                <w:rFonts w:hint="eastAsia" w:ascii="宋体" w:hAnsi="宋体" w:eastAsia="宋体" w:cs="宋体"/>
                <w:color w:val="auto"/>
                <w:spacing w:val="8"/>
                <w:highlight w:val="none"/>
              </w:rPr>
              <w:t>工需要。</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leftChars="0" w:right="0" w:rightChars="0" w:firstLine="3"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highlight w:val="none"/>
              </w:rPr>
              <w:t>一档（1分）各主要施工工序无劳动力安排计划，劳动力投</w:t>
            </w:r>
            <w:r>
              <w:rPr>
                <w:rFonts w:hint="eastAsia" w:ascii="宋体" w:hAnsi="宋体" w:eastAsia="宋体" w:cs="宋体"/>
                <w:color w:val="auto"/>
                <w:spacing w:val="7"/>
                <w:highlight w:val="none"/>
              </w:rPr>
              <w:t>入不合理，不满足施工需要。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89"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994"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142"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583" w:type="dxa"/>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确保工程质量的技术组织措施（满分6分）</w:t>
            </w:r>
          </w:p>
        </w:tc>
        <w:tc>
          <w:tcPr>
            <w:tcW w:w="5763" w:type="dxa"/>
            <w:vAlign w:val="center"/>
          </w:tcPr>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5"/>
              <w:jc w:val="both"/>
              <w:textAlignment w:val="auto"/>
              <w:rPr>
                <w:rFonts w:hint="eastAsia" w:ascii="宋体" w:hAnsi="宋体" w:eastAsia="宋体" w:cs="宋体"/>
                <w:color w:val="auto"/>
                <w:spacing w:val="12"/>
                <w:highlight w:val="none"/>
              </w:rPr>
            </w:pPr>
            <w:r>
              <w:rPr>
                <w:rFonts w:hint="eastAsia" w:ascii="宋体" w:hAnsi="宋体" w:eastAsia="宋体" w:cs="宋体"/>
                <w:color w:val="auto"/>
                <w:spacing w:val="12"/>
                <w:highlight w:val="none"/>
              </w:rPr>
              <w:t>四档（6分）有专门的质量技术管理班子和制度，且人员配备合理，制度健全。主要工序有质量技术保证措施和手段，自控体系完整，能有效保证技术质量，达到承诺的质量标准。三档（4分）有质量技术管理班子和制度，且人员配备合理，制度健全。主要工序有质量技术保证措施和手段，自控体系完整，能有效保证技术质量，达到承诺的质量标准。</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5"/>
              <w:jc w:val="both"/>
              <w:textAlignment w:val="auto"/>
              <w:rPr>
                <w:rFonts w:hint="eastAsia" w:ascii="宋体" w:hAnsi="宋体" w:eastAsia="宋体" w:cs="宋体"/>
                <w:color w:val="auto"/>
                <w:spacing w:val="12"/>
                <w:highlight w:val="none"/>
              </w:rPr>
            </w:pPr>
            <w:r>
              <w:rPr>
                <w:rFonts w:hint="eastAsia" w:ascii="宋体" w:hAnsi="宋体" w:eastAsia="宋体" w:cs="宋体"/>
                <w:color w:val="auto"/>
                <w:spacing w:val="12"/>
                <w:highlight w:val="none"/>
              </w:rPr>
              <w:t>二档（2分）有质量技术管理班子和制度。主要工序有质量技术保证措施和手段，</w:t>
            </w:r>
            <w:r>
              <w:rPr>
                <w:rFonts w:hint="eastAsia" w:ascii="宋体" w:hAnsi="宋体" w:eastAsia="宋体" w:cs="宋体"/>
                <w:color w:val="auto"/>
                <w:spacing w:val="12"/>
                <w:highlight w:val="none"/>
                <w:lang w:eastAsia="zh-CN"/>
              </w:rPr>
              <w:t>质控</w:t>
            </w:r>
            <w:r>
              <w:rPr>
                <w:rFonts w:hint="eastAsia" w:ascii="宋体" w:hAnsi="宋体" w:eastAsia="宋体" w:cs="宋体"/>
                <w:color w:val="auto"/>
                <w:spacing w:val="12"/>
                <w:highlight w:val="none"/>
              </w:rPr>
              <w:t>体系一般，基本能保证技术质量，达到承诺的质量标准。</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5"/>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2"/>
                <w:highlight w:val="none"/>
              </w:rPr>
              <w:t>一档（1分）有质量技术管理班子和制度。主要工序无质量技术保证措施和手段，自控体系一般，不能有效保证技术质量。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89"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994"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142"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583" w:type="dxa"/>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确保安全生产的技术组织措施（满分6分）</w:t>
            </w:r>
          </w:p>
        </w:tc>
        <w:tc>
          <w:tcPr>
            <w:tcW w:w="5763" w:type="dxa"/>
            <w:vAlign w:val="center"/>
          </w:tcPr>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22"/>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四档（6分）有专门的安全管理人员和制</w:t>
            </w:r>
            <w:r>
              <w:rPr>
                <w:rFonts w:hint="eastAsia" w:ascii="宋体" w:hAnsi="宋体" w:eastAsia="宋体" w:cs="宋体"/>
                <w:color w:val="auto"/>
                <w:spacing w:val="11"/>
                <w:highlight w:val="none"/>
              </w:rPr>
              <w:t>度，且人员配备合</w:t>
            </w:r>
            <w:r>
              <w:rPr>
                <w:rFonts w:hint="eastAsia" w:ascii="宋体" w:hAnsi="宋体" w:eastAsia="宋体" w:cs="宋体"/>
                <w:color w:val="auto"/>
                <w:spacing w:val="13"/>
                <w:highlight w:val="none"/>
              </w:rPr>
              <w:t>理，制度健全，各道工序安全技术措施针对性强，符合实际且满足有关安全技术标准要求。现场防火、应急救援、社会</w:t>
            </w:r>
            <w:r>
              <w:rPr>
                <w:rFonts w:hint="eastAsia" w:ascii="宋体" w:hAnsi="宋体" w:eastAsia="宋体" w:cs="宋体"/>
                <w:color w:val="auto"/>
                <w:spacing w:val="6"/>
                <w:highlight w:val="none"/>
              </w:rPr>
              <w:t>治安安全措施得力。</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8"/>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三档（4分）有安全管理人员和制度，且人员配备合理，制</w:t>
            </w:r>
            <w:r>
              <w:rPr>
                <w:rFonts w:hint="eastAsia" w:ascii="宋体" w:hAnsi="宋体" w:eastAsia="宋体" w:cs="宋体"/>
                <w:color w:val="auto"/>
                <w:spacing w:val="13"/>
                <w:highlight w:val="none"/>
              </w:rPr>
              <w:t>度健全，各道工序安全技术措施针对性强，符合实际且满足有关安全技术标准要求。现场防火、应急救援、社会治安安</w:t>
            </w:r>
            <w:r>
              <w:rPr>
                <w:rFonts w:hint="eastAsia" w:ascii="宋体" w:hAnsi="宋体" w:eastAsia="宋体" w:cs="宋体"/>
                <w:color w:val="auto"/>
                <w:spacing w:val="6"/>
                <w:highlight w:val="none"/>
              </w:rPr>
              <w:t>全措施得力。</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7"/>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二档（2分）有安全管理人员和制度，人员配备一般，制度</w:t>
            </w:r>
            <w:r>
              <w:rPr>
                <w:rFonts w:hint="eastAsia" w:ascii="宋体" w:hAnsi="宋体" w:eastAsia="宋体" w:cs="宋体"/>
                <w:color w:val="auto"/>
                <w:spacing w:val="13"/>
                <w:highlight w:val="none"/>
              </w:rPr>
              <w:t>健全一般，各道工序安全技术措施针对性一般，基本满足有关安全技术标准要求。现场防火、应急救援、社会治安安全</w:t>
            </w:r>
            <w:r>
              <w:rPr>
                <w:rFonts w:hint="eastAsia" w:ascii="宋体" w:hAnsi="宋体" w:eastAsia="宋体" w:cs="宋体"/>
                <w:color w:val="auto"/>
                <w:spacing w:val="4"/>
                <w:highlight w:val="none"/>
              </w:rPr>
              <w:t>措施得力。</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leftChars="0" w:right="0" w:rightChars="0" w:firstLine="4"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highlight w:val="none"/>
              </w:rPr>
              <w:t>一档（1分）有安全管理人员和制度，各道工序安全技术措</w:t>
            </w:r>
            <w:r>
              <w:rPr>
                <w:rFonts w:hint="eastAsia" w:ascii="宋体" w:hAnsi="宋体" w:eastAsia="宋体" w:cs="宋体"/>
                <w:color w:val="auto"/>
                <w:spacing w:val="13"/>
                <w:highlight w:val="none"/>
              </w:rPr>
              <w:t>施无针对性，满足有关安全技术标准要求。现场防火、应急</w:t>
            </w:r>
            <w:r>
              <w:rPr>
                <w:rFonts w:hint="eastAsia" w:ascii="宋体" w:hAnsi="宋体" w:eastAsia="宋体" w:cs="宋体"/>
                <w:color w:val="auto"/>
                <w:spacing w:val="8"/>
                <w:highlight w:val="none"/>
              </w:rPr>
              <w:t>救援、社会治安安全措施差。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89"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994"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142"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583" w:type="dxa"/>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确保工期的技术组织措施（满分6分）</w:t>
            </w:r>
          </w:p>
        </w:tc>
        <w:tc>
          <w:tcPr>
            <w:tcW w:w="5763" w:type="dxa"/>
            <w:vAlign w:val="center"/>
          </w:tcPr>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26"/>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四档（6分）在施工工艺、施工方法、材</w:t>
            </w:r>
            <w:r>
              <w:rPr>
                <w:rFonts w:hint="eastAsia" w:ascii="宋体" w:hAnsi="宋体" w:eastAsia="宋体" w:cs="宋体"/>
                <w:color w:val="auto"/>
                <w:spacing w:val="11"/>
                <w:highlight w:val="none"/>
              </w:rPr>
              <w:t>料选用、劳动力安</w:t>
            </w:r>
            <w:r>
              <w:rPr>
                <w:rFonts w:hint="eastAsia" w:ascii="宋体" w:hAnsi="宋体" w:eastAsia="宋体" w:cs="宋体"/>
                <w:color w:val="auto"/>
                <w:spacing w:val="13"/>
                <w:highlight w:val="none"/>
              </w:rPr>
              <w:t>排、技术等方面有保证工期的具体措施且措施得当。有控制工期的施工进度计划。有施工总进度表或施工网络图，各项计划图表编制完善，安排科学合理，符合本项目施工实际要</w:t>
            </w:r>
            <w:r>
              <w:rPr>
                <w:rFonts w:hint="eastAsia" w:ascii="宋体" w:hAnsi="宋体" w:eastAsia="宋体" w:cs="宋体"/>
                <w:color w:val="auto"/>
                <w:spacing w:val="-2"/>
                <w:highlight w:val="none"/>
              </w:rPr>
              <w:t>求。</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5"/>
              <w:jc w:val="both"/>
              <w:textAlignment w:val="auto"/>
              <w:rPr>
                <w:rFonts w:hint="eastAsia" w:ascii="宋体" w:hAnsi="宋体" w:eastAsia="宋体" w:cs="宋体"/>
                <w:color w:val="auto"/>
                <w:highlight w:val="none"/>
              </w:rPr>
            </w:pPr>
            <w:r>
              <w:rPr>
                <w:rFonts w:hint="eastAsia" w:ascii="宋体" w:hAnsi="宋体" w:eastAsia="宋体" w:cs="宋体"/>
                <w:color w:val="auto"/>
                <w:spacing w:val="7"/>
                <w:highlight w:val="none"/>
              </w:rPr>
              <w:t>三档（4分）施工工艺、施工方法、材料选用、劳动力安排、</w:t>
            </w:r>
            <w:r>
              <w:rPr>
                <w:rFonts w:hint="eastAsia" w:ascii="宋体" w:hAnsi="宋体" w:eastAsia="宋体" w:cs="宋体"/>
                <w:color w:val="auto"/>
                <w:spacing w:val="13"/>
                <w:highlight w:val="none"/>
              </w:rPr>
              <w:t>技术等方面有保证工期的具体措施。有控制工期的施工进度计划。有施工总进度表或施工网络图，各项计划图表编制完</w:t>
            </w:r>
            <w:r>
              <w:rPr>
                <w:rFonts w:hint="eastAsia" w:ascii="宋体" w:hAnsi="宋体" w:eastAsia="宋体" w:cs="宋体"/>
                <w:color w:val="auto"/>
                <w:spacing w:val="8"/>
                <w:highlight w:val="none"/>
              </w:rPr>
              <w:t>善，符合本项目施工实际要求。</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5"/>
              <w:jc w:val="both"/>
              <w:textAlignment w:val="auto"/>
              <w:rPr>
                <w:rFonts w:hint="eastAsia" w:ascii="宋体" w:hAnsi="宋体" w:eastAsia="宋体" w:cs="宋体"/>
                <w:color w:val="auto"/>
                <w:highlight w:val="none"/>
              </w:rPr>
            </w:pPr>
            <w:r>
              <w:rPr>
                <w:rFonts w:hint="eastAsia" w:ascii="宋体" w:hAnsi="宋体" w:eastAsia="宋体" w:cs="宋体"/>
                <w:color w:val="auto"/>
                <w:spacing w:val="7"/>
                <w:highlight w:val="none"/>
              </w:rPr>
              <w:t>二档（2分）施工工艺、施工方法、材料选用、劳动力安排、</w:t>
            </w:r>
            <w:r>
              <w:rPr>
                <w:rFonts w:hint="eastAsia" w:ascii="宋体" w:hAnsi="宋体" w:eastAsia="宋体" w:cs="宋体"/>
                <w:color w:val="auto"/>
                <w:spacing w:val="13"/>
                <w:highlight w:val="none"/>
              </w:rPr>
              <w:t>技术等方面有措施。有控制工期的施工进度计划。有施工总进度表或施工网络图，各项计划图表编制一般，基本符合本</w:t>
            </w:r>
            <w:r>
              <w:rPr>
                <w:rFonts w:hint="eastAsia" w:ascii="宋体" w:hAnsi="宋体" w:eastAsia="宋体" w:cs="宋体"/>
                <w:color w:val="auto"/>
                <w:spacing w:val="7"/>
                <w:highlight w:val="none"/>
              </w:rPr>
              <w:t>项目施工实际要求。</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leftChars="0" w:right="0" w:rightChars="0" w:firstLine="3"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highlight w:val="none"/>
              </w:rPr>
              <w:t>一档（1分）施工工艺、施工方法、材料选用、劳动力安排、</w:t>
            </w:r>
            <w:r>
              <w:rPr>
                <w:rFonts w:hint="eastAsia" w:ascii="宋体" w:hAnsi="宋体" w:eastAsia="宋体" w:cs="宋体"/>
                <w:color w:val="auto"/>
                <w:spacing w:val="13"/>
                <w:highlight w:val="none"/>
              </w:rPr>
              <w:t>技术等方面有措施。有控制工期的施工进度计划。有施工总进度表或施工网络图，各项计划图表编制差，不符合本项目</w:t>
            </w:r>
            <w:r>
              <w:rPr>
                <w:rFonts w:hint="eastAsia" w:ascii="宋体" w:hAnsi="宋体" w:eastAsia="宋体" w:cs="宋体"/>
                <w:color w:val="auto"/>
                <w:spacing w:val="6"/>
                <w:highlight w:val="none"/>
              </w:rPr>
              <w:t>施工实际要求。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89"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994"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142"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583" w:type="dxa"/>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确保文明施工的技术组织措施（满分4分）</w:t>
            </w:r>
          </w:p>
        </w:tc>
        <w:tc>
          <w:tcPr>
            <w:tcW w:w="5763" w:type="dxa"/>
            <w:vAlign w:val="center"/>
          </w:tcPr>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24"/>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四档（4分）针对本工程项目特点，有现</w:t>
            </w:r>
            <w:r>
              <w:rPr>
                <w:rFonts w:hint="eastAsia" w:ascii="宋体" w:hAnsi="宋体" w:eastAsia="宋体" w:cs="宋体"/>
                <w:color w:val="auto"/>
                <w:spacing w:val="11"/>
                <w:highlight w:val="none"/>
              </w:rPr>
              <w:t>场文明施工、环境</w:t>
            </w:r>
            <w:r>
              <w:rPr>
                <w:rFonts w:hint="eastAsia" w:ascii="宋体" w:hAnsi="宋体" w:eastAsia="宋体" w:cs="宋体"/>
                <w:color w:val="auto"/>
                <w:spacing w:val="12"/>
                <w:highlight w:val="none"/>
              </w:rPr>
              <w:t>保护措施，且措施内容达到《建筑施工安全生产检查标准》（</w:t>
            </w:r>
            <w:r>
              <w:rPr>
                <w:rFonts w:hint="eastAsia" w:ascii="宋体" w:hAnsi="宋体" w:eastAsia="宋体" w:cs="宋体"/>
                <w:color w:val="auto"/>
                <w:highlight w:val="none"/>
              </w:rPr>
              <w:t>JGJ</w:t>
            </w:r>
            <w:r>
              <w:rPr>
                <w:rFonts w:hint="eastAsia" w:ascii="宋体" w:hAnsi="宋体" w:eastAsia="宋体" w:cs="宋体"/>
                <w:color w:val="auto"/>
                <w:spacing w:val="12"/>
                <w:highlight w:val="none"/>
              </w:rPr>
              <w:t>59-2011）合格标准并符合《广西壮族自治区建筑工程</w:t>
            </w:r>
            <w:r>
              <w:rPr>
                <w:rFonts w:hint="eastAsia" w:ascii="宋体" w:hAnsi="宋体" w:eastAsia="宋体" w:cs="宋体"/>
                <w:color w:val="auto"/>
                <w:spacing w:val="13"/>
                <w:highlight w:val="none"/>
              </w:rPr>
              <w:t>文明施工导则》要求。各项措施周全、具体、有效。有具体</w:t>
            </w:r>
            <w:r>
              <w:rPr>
                <w:rFonts w:hint="eastAsia" w:ascii="宋体" w:hAnsi="宋体" w:eastAsia="宋体" w:cs="宋体"/>
                <w:color w:val="auto"/>
                <w:spacing w:val="8"/>
                <w:highlight w:val="none"/>
              </w:rPr>
              <w:t>实现现场文明施工目标的承诺。</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5"/>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三档（3分）针对本工程项目特点，有现场文明施工、环境保护措施，且措施内容达到《建筑施工安全生产检查标准》（</w:t>
            </w:r>
            <w:r>
              <w:rPr>
                <w:rFonts w:hint="eastAsia" w:ascii="宋体" w:hAnsi="宋体" w:eastAsia="宋体" w:cs="宋体"/>
                <w:color w:val="auto"/>
                <w:highlight w:val="none"/>
              </w:rPr>
              <w:t>JGJ</w:t>
            </w:r>
            <w:r>
              <w:rPr>
                <w:rFonts w:hint="eastAsia" w:ascii="宋体" w:hAnsi="宋体" w:eastAsia="宋体" w:cs="宋体"/>
                <w:color w:val="auto"/>
                <w:spacing w:val="12"/>
                <w:highlight w:val="none"/>
              </w:rPr>
              <w:t>59-2011）合格标准并符合《广西壮族自治区建筑工程</w:t>
            </w:r>
            <w:r>
              <w:rPr>
                <w:rFonts w:hint="eastAsia" w:ascii="宋体" w:hAnsi="宋体" w:eastAsia="宋体" w:cs="宋体"/>
                <w:color w:val="auto"/>
                <w:spacing w:val="9"/>
                <w:highlight w:val="none"/>
              </w:rPr>
              <w:t>文明施工导则》要求。有实现现场文明施工目标的</w:t>
            </w:r>
            <w:r>
              <w:rPr>
                <w:rFonts w:hint="eastAsia" w:ascii="宋体" w:hAnsi="宋体" w:eastAsia="宋体" w:cs="宋体"/>
                <w:color w:val="auto"/>
                <w:spacing w:val="8"/>
                <w:highlight w:val="none"/>
              </w:rPr>
              <w:t>承诺。</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8"/>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二档（2分）有现场文明施工、环境保护措施，且措施内容</w:t>
            </w:r>
            <w:r>
              <w:rPr>
                <w:rFonts w:hint="eastAsia" w:ascii="宋体" w:hAnsi="宋体" w:eastAsia="宋体" w:cs="宋体"/>
                <w:color w:val="auto"/>
                <w:spacing w:val="11"/>
                <w:highlight w:val="none"/>
              </w:rPr>
              <w:t>达到《建筑施工安全生产检查标准》（</w:t>
            </w:r>
            <w:r>
              <w:rPr>
                <w:rFonts w:hint="eastAsia" w:ascii="宋体" w:hAnsi="宋体" w:eastAsia="宋体" w:cs="宋体"/>
                <w:color w:val="auto"/>
                <w:highlight w:val="none"/>
              </w:rPr>
              <w:t>JGJ</w:t>
            </w:r>
            <w:r>
              <w:rPr>
                <w:rFonts w:hint="eastAsia" w:ascii="宋体" w:hAnsi="宋体" w:eastAsia="宋体" w:cs="宋体"/>
                <w:color w:val="auto"/>
                <w:spacing w:val="11"/>
                <w:highlight w:val="none"/>
              </w:rPr>
              <w:t>59-2011）合格标</w:t>
            </w:r>
            <w:r>
              <w:rPr>
                <w:rFonts w:hint="eastAsia" w:ascii="宋体" w:hAnsi="宋体" w:eastAsia="宋体" w:cs="宋体"/>
                <w:color w:val="auto"/>
                <w:spacing w:val="13"/>
                <w:highlight w:val="none"/>
              </w:rPr>
              <w:t>准并符合《广西壮族自治区建筑工程文明施工导则》要求。</w:t>
            </w:r>
            <w:r>
              <w:rPr>
                <w:rFonts w:hint="eastAsia" w:ascii="宋体" w:hAnsi="宋体" w:eastAsia="宋体" w:cs="宋体"/>
                <w:color w:val="auto"/>
                <w:spacing w:val="8"/>
                <w:highlight w:val="none"/>
              </w:rPr>
              <w:t>有实现现场文明施工目标的承诺。</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leftChars="0" w:right="0" w:righ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highlight w:val="none"/>
              </w:rPr>
              <w:t>一档（1分）有现场文明施工、环境保护措施，且措施内容</w:t>
            </w:r>
            <w:r>
              <w:rPr>
                <w:rFonts w:hint="eastAsia" w:ascii="宋体" w:hAnsi="宋体" w:eastAsia="宋体" w:cs="宋体"/>
                <w:color w:val="auto"/>
                <w:spacing w:val="11"/>
                <w:highlight w:val="none"/>
              </w:rPr>
              <w:t>达到《建筑施工安全生产检查标准》（</w:t>
            </w:r>
            <w:r>
              <w:rPr>
                <w:rFonts w:hint="eastAsia" w:ascii="宋体" w:hAnsi="宋体" w:eastAsia="宋体" w:cs="宋体"/>
                <w:color w:val="auto"/>
                <w:highlight w:val="none"/>
              </w:rPr>
              <w:t>JGJ</w:t>
            </w:r>
            <w:r>
              <w:rPr>
                <w:rFonts w:hint="eastAsia" w:ascii="宋体" w:hAnsi="宋体" w:eastAsia="宋体" w:cs="宋体"/>
                <w:color w:val="auto"/>
                <w:spacing w:val="11"/>
                <w:highlight w:val="none"/>
              </w:rPr>
              <w:t>59-2011）合格标</w:t>
            </w:r>
            <w:r>
              <w:rPr>
                <w:rFonts w:hint="eastAsia" w:ascii="宋体" w:hAnsi="宋体" w:eastAsia="宋体" w:cs="宋体"/>
                <w:color w:val="auto"/>
                <w:spacing w:val="13"/>
                <w:highlight w:val="none"/>
              </w:rPr>
              <w:t>准并符合《广西壮族自治区建筑工程文明施工导则》要求。</w:t>
            </w:r>
            <w:r>
              <w:rPr>
                <w:rFonts w:hint="eastAsia" w:ascii="宋体" w:hAnsi="宋体" w:eastAsia="宋体" w:cs="宋体"/>
                <w:color w:val="auto"/>
                <w:spacing w:val="8"/>
                <w:highlight w:val="none"/>
              </w:rPr>
              <w:t>无实现现场文明施工目标的承诺。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89"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994"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142"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583" w:type="dxa"/>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工程施工的重点和难点（满分4分）</w:t>
            </w:r>
          </w:p>
        </w:tc>
        <w:tc>
          <w:tcPr>
            <w:tcW w:w="5763" w:type="dxa"/>
            <w:vAlign w:val="center"/>
          </w:tcPr>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24"/>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四档（4分）针对本工程的特点，详细阐</w:t>
            </w:r>
            <w:r>
              <w:rPr>
                <w:rFonts w:hint="eastAsia" w:ascii="宋体" w:hAnsi="宋体" w:eastAsia="宋体" w:cs="宋体"/>
                <w:color w:val="auto"/>
                <w:spacing w:val="11"/>
                <w:highlight w:val="none"/>
              </w:rPr>
              <w:t>述了本工程的重点</w:t>
            </w:r>
            <w:r>
              <w:rPr>
                <w:rFonts w:hint="eastAsia" w:ascii="宋体" w:hAnsi="宋体" w:eastAsia="宋体" w:cs="宋体"/>
                <w:color w:val="auto"/>
                <w:spacing w:val="8"/>
                <w:highlight w:val="none"/>
              </w:rPr>
              <w:t>和难点，解决重点和难点问题的方法合理、可行。</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hanging="5"/>
              <w:jc w:val="both"/>
              <w:textAlignment w:val="auto"/>
              <w:rPr>
                <w:rFonts w:hint="eastAsia" w:ascii="宋体" w:hAnsi="宋体" w:eastAsia="宋体" w:cs="宋体"/>
                <w:color w:val="auto"/>
                <w:highlight w:val="none"/>
              </w:rPr>
            </w:pPr>
            <w:r>
              <w:rPr>
                <w:rFonts w:hint="eastAsia" w:ascii="宋体" w:hAnsi="宋体" w:eastAsia="宋体" w:cs="宋体"/>
                <w:color w:val="auto"/>
                <w:spacing w:val="11"/>
                <w:highlight w:val="none"/>
              </w:rPr>
              <w:t>三档（3分）针对本工程的特点，阐述了本工程</w:t>
            </w:r>
            <w:r>
              <w:rPr>
                <w:rFonts w:hint="eastAsia" w:ascii="宋体" w:hAnsi="宋体" w:eastAsia="宋体" w:cs="宋体"/>
                <w:color w:val="auto"/>
                <w:spacing w:val="10"/>
                <w:highlight w:val="none"/>
              </w:rPr>
              <w:t>的重点和难</w:t>
            </w:r>
            <w:r>
              <w:rPr>
                <w:rFonts w:hint="eastAsia" w:ascii="宋体" w:hAnsi="宋体" w:eastAsia="宋体" w:cs="宋体"/>
                <w:color w:val="auto"/>
                <w:spacing w:val="7"/>
                <w:highlight w:val="none"/>
              </w:rPr>
              <w:t>点，解决重点和难点问题的方法合理。</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5"/>
              <w:jc w:val="both"/>
              <w:textAlignment w:val="auto"/>
              <w:rPr>
                <w:rFonts w:hint="eastAsia" w:ascii="宋体" w:hAnsi="宋体" w:eastAsia="宋体" w:cs="宋体"/>
                <w:color w:val="auto"/>
                <w:highlight w:val="none"/>
              </w:rPr>
            </w:pPr>
            <w:r>
              <w:rPr>
                <w:rFonts w:hint="eastAsia" w:ascii="宋体" w:hAnsi="宋体" w:eastAsia="宋体" w:cs="宋体"/>
                <w:color w:val="auto"/>
                <w:spacing w:val="11"/>
                <w:highlight w:val="none"/>
              </w:rPr>
              <w:t>二档（2分）简单阐述了本工程的重点和难点</w:t>
            </w:r>
            <w:r>
              <w:rPr>
                <w:rFonts w:hint="eastAsia" w:ascii="宋体" w:hAnsi="宋体" w:eastAsia="宋体" w:cs="宋体"/>
                <w:color w:val="auto"/>
                <w:spacing w:val="10"/>
                <w:highlight w:val="none"/>
              </w:rPr>
              <w:t>，解决重点和</w:t>
            </w:r>
            <w:r>
              <w:rPr>
                <w:rFonts w:hint="eastAsia" w:ascii="宋体" w:hAnsi="宋体" w:eastAsia="宋体" w:cs="宋体"/>
                <w:color w:val="auto"/>
                <w:spacing w:val="7"/>
                <w:highlight w:val="none"/>
              </w:rPr>
              <w:t>难点问题的方法一般。</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leftChars="0" w:right="0" w:rightChars="0" w:firstLine="3"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highlight w:val="none"/>
              </w:rPr>
              <w:t>一档（1分）未阐述本工程的重点和难点，无解决及保证措</w:t>
            </w:r>
            <w:r>
              <w:rPr>
                <w:rFonts w:hint="eastAsia" w:ascii="宋体" w:hAnsi="宋体" w:eastAsia="宋体" w:cs="宋体"/>
                <w:color w:val="auto"/>
                <w:spacing w:val="7"/>
                <w:highlight w:val="none"/>
              </w:rPr>
              <w:t>施重点和难点问题的方法。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89"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994"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142" w:type="dxa"/>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p>
        </w:tc>
        <w:tc>
          <w:tcPr>
            <w:tcW w:w="1583" w:type="dxa"/>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施工总平面布置图（满分4分）</w:t>
            </w:r>
          </w:p>
        </w:tc>
        <w:tc>
          <w:tcPr>
            <w:tcW w:w="5763" w:type="dxa"/>
            <w:vAlign w:val="center"/>
          </w:tcPr>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23"/>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四档（4分）有施工总平面布置图，安排</w:t>
            </w:r>
            <w:r>
              <w:rPr>
                <w:rFonts w:hint="eastAsia" w:ascii="宋体" w:hAnsi="宋体" w:eastAsia="宋体" w:cs="宋体"/>
                <w:color w:val="auto"/>
                <w:spacing w:val="11"/>
                <w:highlight w:val="none"/>
              </w:rPr>
              <w:t>科学合理，符合本</w:t>
            </w:r>
            <w:r>
              <w:rPr>
                <w:rFonts w:hint="eastAsia" w:ascii="宋体" w:hAnsi="宋体" w:eastAsia="宋体" w:cs="宋体"/>
                <w:color w:val="auto"/>
                <w:spacing w:val="7"/>
                <w:highlight w:val="none"/>
              </w:rPr>
              <w:t>项目施工实际要求。</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firstLine="6"/>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三档（3分）有施工总平面布置图，安排一般，符合本项目</w:t>
            </w:r>
            <w:r>
              <w:rPr>
                <w:rFonts w:hint="eastAsia" w:ascii="宋体" w:hAnsi="宋体" w:eastAsia="宋体" w:cs="宋体"/>
                <w:color w:val="auto"/>
                <w:spacing w:val="6"/>
                <w:highlight w:val="none"/>
              </w:rPr>
              <w:t>施工实际要求。</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right="0" w:hanging="3"/>
              <w:jc w:val="both"/>
              <w:textAlignment w:val="auto"/>
              <w:rPr>
                <w:rFonts w:hint="eastAsia" w:ascii="宋体" w:hAnsi="宋体" w:eastAsia="宋体" w:cs="宋体"/>
                <w:color w:val="auto"/>
                <w:highlight w:val="none"/>
              </w:rPr>
            </w:pPr>
            <w:r>
              <w:rPr>
                <w:rFonts w:hint="eastAsia" w:ascii="宋体" w:hAnsi="宋体" w:eastAsia="宋体" w:cs="宋体"/>
                <w:color w:val="auto"/>
                <w:spacing w:val="12"/>
                <w:highlight w:val="none"/>
              </w:rPr>
              <w:t>二档（2分）有施工总平面布置图，基本符合本项目施工实</w:t>
            </w:r>
            <w:r>
              <w:rPr>
                <w:rFonts w:hint="eastAsia" w:ascii="宋体" w:hAnsi="宋体" w:eastAsia="宋体" w:cs="宋体"/>
                <w:color w:val="auto"/>
                <w:spacing w:val="1"/>
                <w:highlight w:val="none"/>
              </w:rPr>
              <w:t>际要求。</w:t>
            </w:r>
          </w:p>
          <w:p>
            <w:pPr>
              <w:pStyle w:val="96"/>
              <w:keepNext w:val="0"/>
              <w:keepLines w:val="0"/>
              <w:pageBreakBefore w:val="0"/>
              <w:widowControl w:val="0"/>
              <w:shd w:val="clear" w:color="auto" w:fill="auto"/>
              <w:kinsoku/>
              <w:wordWrap/>
              <w:overflowPunct/>
              <w:topLinePunct w:val="0"/>
              <w:autoSpaceDE/>
              <w:autoSpaceDN/>
              <w:bidi w:val="0"/>
              <w:adjustRightInd/>
              <w:snapToGrid/>
              <w:spacing w:line="288" w:lineRule="auto"/>
              <w:ind w:left="0" w:leftChars="0" w:right="0" w:rightChars="0" w:hanging="6"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highlight w:val="none"/>
              </w:rPr>
              <w:t>一档（1分）有施工总平面布置图，但不符合本项目施工实</w:t>
            </w:r>
            <w:r>
              <w:rPr>
                <w:rFonts w:hint="eastAsia" w:ascii="宋体" w:hAnsi="宋体" w:eastAsia="宋体" w:cs="宋体"/>
                <w:color w:val="auto"/>
                <w:spacing w:val="1"/>
                <w:highlight w:val="none"/>
              </w:rPr>
              <w:t>际要求。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889" w:type="dxa"/>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商务分（满分</w:t>
            </w:r>
            <w:r>
              <w:rPr>
                <w:rFonts w:hint="eastAsia" w:ascii="宋体" w:hAnsi="宋体" w:eastAsia="宋体" w:cs="宋体"/>
                <w:color w:val="auto"/>
                <w:sz w:val="21"/>
                <w:szCs w:val="21"/>
                <w:highlight w:val="none"/>
                <w:lang w:val="en-US" w:eastAsia="zh-CN"/>
              </w:rPr>
              <w:t>5分</w:t>
            </w:r>
            <w:r>
              <w:rPr>
                <w:rFonts w:hint="eastAsia" w:ascii="宋体" w:hAnsi="宋体" w:eastAsia="宋体" w:cs="宋体"/>
                <w:color w:val="auto"/>
                <w:sz w:val="21"/>
                <w:szCs w:val="21"/>
                <w:highlight w:val="none"/>
                <w:lang w:eastAsia="zh-CN"/>
              </w:rPr>
              <w:t>）</w:t>
            </w:r>
          </w:p>
        </w:tc>
        <w:tc>
          <w:tcPr>
            <w:tcW w:w="2725" w:type="dxa"/>
            <w:gridSpan w:val="2"/>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业绩分（满分</w:t>
            </w:r>
            <w:r>
              <w:rPr>
                <w:rFonts w:hint="eastAsia" w:ascii="宋体" w:hAnsi="宋体" w:eastAsia="宋体" w:cs="宋体"/>
                <w:color w:val="auto"/>
                <w:sz w:val="21"/>
                <w:szCs w:val="21"/>
                <w:highlight w:val="none"/>
                <w:lang w:val="en-US" w:eastAsia="zh-CN"/>
              </w:rPr>
              <w:t>5分</w:t>
            </w:r>
            <w:r>
              <w:rPr>
                <w:rFonts w:hint="eastAsia" w:ascii="宋体" w:hAnsi="宋体" w:eastAsia="宋体" w:cs="宋体"/>
                <w:color w:val="auto"/>
                <w:sz w:val="21"/>
                <w:szCs w:val="21"/>
                <w:highlight w:val="none"/>
                <w:lang w:eastAsia="zh-CN"/>
              </w:rPr>
              <w:t>）</w:t>
            </w:r>
          </w:p>
        </w:tc>
        <w:tc>
          <w:tcPr>
            <w:tcW w:w="5763" w:type="dxa"/>
            <w:vAlign w:val="center"/>
          </w:tcPr>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从2021年1月1日至竞标截止时间止完成过类似工程项目的，每提供1个有效业绩得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分，最高得5分。必须提供相关证明材料。</w:t>
            </w:r>
          </w:p>
          <w:p>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证明材料：</w:t>
            </w:r>
            <w:r>
              <w:rPr>
                <w:rFonts w:hint="eastAsia" w:ascii="宋体" w:hAnsi="宋体" w:eastAsia="宋体" w:cs="宋体"/>
                <w:color w:val="auto"/>
                <w:sz w:val="21"/>
                <w:szCs w:val="21"/>
                <w:highlight w:val="none"/>
                <w:lang w:eastAsia="zh-CN"/>
              </w:rPr>
              <w:t>提供中标（成交）通知书或</w:t>
            </w:r>
            <w:r>
              <w:rPr>
                <w:rFonts w:hint="eastAsia" w:ascii="宋体" w:hAnsi="宋体" w:eastAsia="宋体" w:cs="宋体"/>
                <w:color w:val="auto"/>
                <w:sz w:val="21"/>
                <w:szCs w:val="21"/>
                <w:highlight w:val="none"/>
              </w:rPr>
              <w:t>工程合同或工程竣工验收证明</w:t>
            </w:r>
            <w:r>
              <w:rPr>
                <w:rFonts w:hint="eastAsia" w:ascii="宋体" w:hAnsi="宋体" w:eastAsia="宋体" w:cs="宋体"/>
                <w:color w:val="auto"/>
                <w:sz w:val="21"/>
                <w:szCs w:val="21"/>
                <w:highlight w:val="none"/>
                <w:lang w:eastAsia="zh-CN"/>
              </w:rPr>
              <w:t>并加盖公章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4608" w:type="dxa"/>
            <w:gridSpan w:val="4"/>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磋商供应商汇总得分（满分100分）</w:t>
            </w:r>
          </w:p>
        </w:tc>
        <w:tc>
          <w:tcPr>
            <w:tcW w:w="5763" w:type="dxa"/>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磋商供应商汇总得分=报价分+技术分+商务分</w:t>
            </w:r>
          </w:p>
        </w:tc>
      </w:tr>
    </w:tbl>
    <w:p>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三、推荐成交候选供应商原则</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根据《财政部关于政府采购竞争性磋商采购方式管理暂行办法有关问题的补充通知》财库[2015]124号文件的规定，采购过程中符合要求的供应商只有2家的，竞争性磋商采购活动可以继续进行。</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p>
    <w:p>
      <w:pPr>
        <w:pStyle w:val="25"/>
        <w:adjustRightInd w:val="0"/>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四、成交标准：</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根据《财政部关于政府采购竞争性磋商采购方式管理暂行办法有关问题的补充通知》财库[2015]124号文件的规定，采购过程中符合要求的供应商只有2家的，竞争性磋商采购活动可以继续进行。</w:t>
      </w:r>
    </w:p>
    <w:p>
      <w:pPr>
        <w:pStyle w:val="79"/>
        <w:widowControl/>
        <w:ind w:firstLine="480"/>
        <w:rPr>
          <w:rFonts w:hint="eastAsia" w:ascii="宋体" w:hAnsi="宋体" w:eastAsia="宋体" w:cs="宋体"/>
          <w:color w:val="auto"/>
          <w:sz w:val="24"/>
          <w:highlight w:val="none"/>
        </w:rPr>
      </w:pPr>
      <w:r>
        <w:rPr>
          <w:rFonts w:hint="eastAsia" w:ascii="宋体" w:hAnsi="宋体" w:eastAsia="宋体" w:cs="宋体"/>
          <w:color w:val="auto"/>
          <w:sz w:val="21"/>
          <w:szCs w:val="21"/>
          <w:highlight w:val="none"/>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p>
    <w:sectPr>
      <w:footerReference r:id="rId8" w:type="default"/>
      <w:pgSz w:w="11906" w:h="16838"/>
      <w:pgMar w:top="1247" w:right="1247" w:bottom="1247" w:left="124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华文楷体">
    <w:altName w:val="楷体_GB2312"/>
    <w:panose1 w:val="02010600040101010101"/>
    <w:charset w:val="86"/>
    <w:family w:val="auto"/>
    <w:pitch w:val="default"/>
    <w:sig w:usb0="00000000" w:usb1="00000000" w:usb2="00000010" w:usb3="00000000" w:csb0="0004009F" w:csb1="00000000"/>
  </w:font>
  <w:font w:name="仿宋">
    <w:altName w:val="微软雅黑"/>
    <w:panose1 w:val="02010609060101010101"/>
    <w:charset w:val="86"/>
    <w:family w:val="auto"/>
    <w:pitch w:val="default"/>
    <w:sig w:usb0="00000000" w:usb1="00000000" w:usb2="00000016" w:usb3="00000000" w:csb0="00040001"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97</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rFonts w:hint="eastAsia"/>
      </w:rPr>
      <w:t xml:space="preserve">                                                                      北海市政府采购竞争性磋商文件</w:t>
    </w:r>
    <w:r>
      <w:pict>
        <v:shape id="ImpTraceLabel" o:spid="_x0000_s2049" o:spt="202" type="#_x0000_t202" style="position:absolute;left:0pt;margin-left:0pt;margin-top:0pt;height:0pt;width:0pt;mso-position-horizontal-relative:page;mso-position-vertical-relative:page;z-index:251658240;mso-width-relative:page;mso-height-relative:page;" filled="f" stroked="f" coordsize="21600,21600">
          <v:path/>
          <v:fill on="f" focussize="0,0"/>
          <v:stroke on="f" joinstyle="miter"/>
          <v:imagedata o:title=""/>
          <o:lock v:ext="edit"/>
          <v:textbox>
            <w:txbxContent>
              <w:p>
                <w:r>
                  <w:t>ImpTraceLabel=PD94bWwgdmVyc2lvbj0nMS4wJyBlbmNvZGluZz0nVVRGLTgnPz48dHJhY2U+PGNvbnRlbnQ+PC9jb250ZW50PjxhY2NvdW50PjRrejl5aWljY2ZkcHdsZG5uYmF6ZzQ8L2FjY291bnQ+PG1hY2hpbmVDb2RlPks1MTE3NUowMTU0MzYKPC9tYWNoaW5lQ29kZT48dGltZT4yMDI0LTExLTIxIDE3OjUyOjQ5PC90aW1lPjxzeXN0ZW0+TUI8c3lzdGVtPjwvdHJhY2U+</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right"/>
    </w:pPr>
    <w:r>
      <w:rPr>
        <w:rFonts w:hint="eastAsia"/>
      </w:rPr>
      <w:t>北海市政府采购竞争性磋商文件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F82"/>
    <w:multiLevelType w:val="multilevel"/>
    <w:tmpl w:val="00003F82"/>
    <w:lvl w:ilvl="0" w:tentative="0">
      <w:start w:val="1"/>
      <w:numFmt w:val="decimal"/>
      <w:pStyle w:val="23"/>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11"/>
      <w:lvlText w:val="%5)"/>
      <w:lvlJc w:val="left"/>
      <w:pPr>
        <w:tabs>
          <w:tab w:val="left" w:pos="2100"/>
        </w:tabs>
        <w:ind w:left="2100" w:hanging="420"/>
      </w:pPr>
    </w:lvl>
    <w:lvl w:ilvl="5" w:tentative="0">
      <w:start w:val="1"/>
      <w:numFmt w:val="lowerRoman"/>
      <w:pStyle w:val="13"/>
      <w:lvlText w:val="%6."/>
      <w:lvlJc w:val="right"/>
      <w:pPr>
        <w:tabs>
          <w:tab w:val="left" w:pos="2520"/>
        </w:tabs>
        <w:ind w:left="2520" w:hanging="420"/>
      </w:pPr>
    </w:lvl>
    <w:lvl w:ilvl="6" w:tentative="0">
      <w:start w:val="1"/>
      <w:numFmt w:val="decimal"/>
      <w:pStyle w:val="14"/>
      <w:lvlText w:val="%7."/>
      <w:lvlJc w:val="left"/>
      <w:pPr>
        <w:tabs>
          <w:tab w:val="left" w:pos="2940"/>
        </w:tabs>
        <w:ind w:left="2940" w:hanging="420"/>
      </w:pPr>
    </w:lvl>
    <w:lvl w:ilvl="7" w:tentative="0">
      <w:start w:val="1"/>
      <w:numFmt w:val="lowerLetter"/>
      <w:pStyle w:val="15"/>
      <w:lvlText w:val="%8)"/>
      <w:lvlJc w:val="left"/>
      <w:pPr>
        <w:tabs>
          <w:tab w:val="left" w:pos="3360"/>
        </w:tabs>
        <w:ind w:left="3360" w:hanging="420"/>
      </w:pPr>
    </w:lvl>
    <w:lvl w:ilvl="8" w:tentative="0">
      <w:start w:val="1"/>
      <w:numFmt w:val="lowerRoman"/>
      <w:pStyle w:val="16"/>
      <w:lvlText w:val="%9."/>
      <w:lvlJc w:val="right"/>
      <w:pPr>
        <w:tabs>
          <w:tab w:val="left" w:pos="3780"/>
        </w:tabs>
        <w:ind w:left="3780" w:hanging="420"/>
      </w:pPr>
    </w:lvl>
  </w:abstractNum>
  <w:abstractNum w:abstractNumId="1">
    <w:nsid w:val="0EC92157"/>
    <w:multiLevelType w:val="singleLevel"/>
    <w:tmpl w:val="0EC92157"/>
    <w:lvl w:ilvl="0" w:tentative="0">
      <w:start w:val="7"/>
      <w:numFmt w:val="chineseCounting"/>
      <w:suff w:val="nothing"/>
      <w:lvlText w:val="%1、"/>
      <w:lvlJc w:val="left"/>
      <w:rPr>
        <w:rFonts w:hint="eastAsia"/>
      </w:rPr>
    </w:lvl>
  </w:abstractNum>
  <w:abstractNum w:abstractNumId="2">
    <w:nsid w:val="1513657F"/>
    <w:multiLevelType w:val="singleLevel"/>
    <w:tmpl w:val="1513657F"/>
    <w:lvl w:ilvl="0" w:tentative="0">
      <w:start w:val="2"/>
      <w:numFmt w:val="decimal"/>
      <w:lvlText w:val="%1."/>
      <w:lvlJc w:val="left"/>
      <w:pPr>
        <w:tabs>
          <w:tab w:val="left" w:pos="312"/>
        </w:tabs>
      </w:pPr>
    </w:lvl>
  </w:abstractNum>
  <w:abstractNum w:abstractNumId="3">
    <w:nsid w:val="4D844C20"/>
    <w:multiLevelType w:val="singleLevel"/>
    <w:tmpl w:val="4D844C20"/>
    <w:lvl w:ilvl="0" w:tentative="0">
      <w:start w:val="10"/>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iYjdmYTVhNWFiMjE1Y2E1NDNlZTdhNDMzMjk2M2EifQ=="/>
  </w:docVars>
  <w:rsids>
    <w:rsidRoot w:val="00000000"/>
    <w:rsid w:val="02DC66A6"/>
    <w:rsid w:val="058A2656"/>
    <w:rsid w:val="06186B12"/>
    <w:rsid w:val="097E2275"/>
    <w:rsid w:val="0A5C4D1C"/>
    <w:rsid w:val="0F54580F"/>
    <w:rsid w:val="12023D15"/>
    <w:rsid w:val="149A4C07"/>
    <w:rsid w:val="151D36A9"/>
    <w:rsid w:val="17F35E84"/>
    <w:rsid w:val="18205167"/>
    <w:rsid w:val="1A0B5FFF"/>
    <w:rsid w:val="1B0315BD"/>
    <w:rsid w:val="1D2E339B"/>
    <w:rsid w:val="1DFC6CD0"/>
    <w:rsid w:val="1FC03FA8"/>
    <w:rsid w:val="2009186A"/>
    <w:rsid w:val="20661577"/>
    <w:rsid w:val="20DC39BE"/>
    <w:rsid w:val="22D34AAC"/>
    <w:rsid w:val="23017E89"/>
    <w:rsid w:val="278A5225"/>
    <w:rsid w:val="29385257"/>
    <w:rsid w:val="2BD03BB5"/>
    <w:rsid w:val="2C212E3B"/>
    <w:rsid w:val="2E525F4C"/>
    <w:rsid w:val="323121EB"/>
    <w:rsid w:val="33FA6381"/>
    <w:rsid w:val="36CE79A7"/>
    <w:rsid w:val="37F84BD9"/>
    <w:rsid w:val="3825309B"/>
    <w:rsid w:val="38D11E1E"/>
    <w:rsid w:val="3B9A647F"/>
    <w:rsid w:val="3E572C7A"/>
    <w:rsid w:val="3FC06471"/>
    <w:rsid w:val="42862DE9"/>
    <w:rsid w:val="42906238"/>
    <w:rsid w:val="44B440F4"/>
    <w:rsid w:val="494B7A81"/>
    <w:rsid w:val="4B516474"/>
    <w:rsid w:val="4CA83D08"/>
    <w:rsid w:val="4D541681"/>
    <w:rsid w:val="500D0BD5"/>
    <w:rsid w:val="513723A0"/>
    <w:rsid w:val="524564A3"/>
    <w:rsid w:val="52E60757"/>
    <w:rsid w:val="53977F35"/>
    <w:rsid w:val="53B46AF0"/>
    <w:rsid w:val="545A2A1F"/>
    <w:rsid w:val="57A62515"/>
    <w:rsid w:val="59DA74A7"/>
    <w:rsid w:val="5A660BCD"/>
    <w:rsid w:val="5BF938AE"/>
    <w:rsid w:val="5F761804"/>
    <w:rsid w:val="60B77421"/>
    <w:rsid w:val="643B6E4F"/>
    <w:rsid w:val="691B1376"/>
    <w:rsid w:val="6B047273"/>
    <w:rsid w:val="725372E6"/>
    <w:rsid w:val="778F212C"/>
    <w:rsid w:val="77B43F74"/>
    <w:rsid w:val="79101C15"/>
    <w:rsid w:val="7E2E7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8">
    <w:name w:val="heading 2"/>
    <w:basedOn w:val="1"/>
    <w:next w:val="1"/>
    <w:link w:val="46"/>
    <w:qFormat/>
    <w:uiPriority w:val="9"/>
    <w:pPr>
      <w:keepNext/>
      <w:keepLines/>
      <w:spacing w:before="260" w:after="260" w:line="416" w:lineRule="auto"/>
      <w:outlineLvl w:val="1"/>
    </w:pPr>
    <w:rPr>
      <w:rFonts w:ascii="Arial" w:hAnsi="Arial" w:eastAsia="黑体"/>
      <w:b/>
      <w:bCs/>
      <w:sz w:val="32"/>
      <w:szCs w:val="32"/>
    </w:rPr>
  </w:style>
  <w:style w:type="paragraph" w:styleId="9">
    <w:name w:val="heading 3"/>
    <w:basedOn w:val="1"/>
    <w:next w:val="1"/>
    <w:link w:val="47"/>
    <w:qFormat/>
    <w:uiPriority w:val="0"/>
    <w:pPr>
      <w:keepNext/>
      <w:keepLines/>
      <w:spacing w:before="260" w:after="260" w:line="416" w:lineRule="auto"/>
      <w:outlineLvl w:val="2"/>
    </w:pPr>
    <w:rPr>
      <w:rFonts w:ascii="Calibri" w:hAnsi="Calibri"/>
      <w:b/>
      <w:bCs/>
      <w:sz w:val="32"/>
      <w:szCs w:val="32"/>
    </w:rPr>
  </w:style>
  <w:style w:type="paragraph" w:styleId="10">
    <w:name w:val="heading 4"/>
    <w:basedOn w:val="1"/>
    <w:next w:val="1"/>
    <w:link w:val="48"/>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11">
    <w:name w:val="heading 5"/>
    <w:basedOn w:val="1"/>
    <w:next w:val="12"/>
    <w:qFormat/>
    <w:uiPriority w:val="0"/>
    <w:pPr>
      <w:keepNext/>
      <w:keepLines/>
      <w:numPr>
        <w:ilvl w:val="4"/>
        <w:numId w:val="1"/>
      </w:numPr>
      <w:spacing w:before="280" w:after="290" w:line="376" w:lineRule="auto"/>
      <w:outlineLvl w:val="4"/>
    </w:pPr>
    <w:rPr>
      <w:b/>
      <w:sz w:val="28"/>
    </w:rPr>
  </w:style>
  <w:style w:type="paragraph" w:styleId="13">
    <w:name w:val="heading 6"/>
    <w:basedOn w:val="1"/>
    <w:next w:val="12"/>
    <w:qFormat/>
    <w:uiPriority w:val="0"/>
    <w:pPr>
      <w:keepNext/>
      <w:keepLines/>
      <w:numPr>
        <w:ilvl w:val="5"/>
        <w:numId w:val="1"/>
      </w:numPr>
      <w:spacing w:before="240" w:after="64" w:line="320" w:lineRule="auto"/>
      <w:outlineLvl w:val="5"/>
    </w:pPr>
    <w:rPr>
      <w:rFonts w:ascii="Arial" w:hAnsi="Arial" w:eastAsia="黑体"/>
      <w:b/>
      <w:sz w:val="24"/>
    </w:rPr>
  </w:style>
  <w:style w:type="paragraph" w:styleId="14">
    <w:name w:val="heading 7"/>
    <w:basedOn w:val="1"/>
    <w:next w:val="12"/>
    <w:qFormat/>
    <w:uiPriority w:val="0"/>
    <w:pPr>
      <w:keepNext/>
      <w:keepLines/>
      <w:numPr>
        <w:ilvl w:val="6"/>
        <w:numId w:val="1"/>
      </w:numPr>
      <w:spacing w:before="240" w:after="64" w:line="320" w:lineRule="auto"/>
      <w:outlineLvl w:val="6"/>
    </w:pPr>
    <w:rPr>
      <w:b/>
      <w:sz w:val="24"/>
    </w:rPr>
  </w:style>
  <w:style w:type="paragraph" w:styleId="15">
    <w:name w:val="heading 8"/>
    <w:basedOn w:val="1"/>
    <w:next w:val="12"/>
    <w:qFormat/>
    <w:uiPriority w:val="0"/>
    <w:pPr>
      <w:keepNext/>
      <w:keepLines/>
      <w:numPr>
        <w:ilvl w:val="7"/>
        <w:numId w:val="1"/>
      </w:numPr>
      <w:spacing w:before="240" w:after="64" w:line="320" w:lineRule="auto"/>
      <w:outlineLvl w:val="7"/>
    </w:pPr>
    <w:rPr>
      <w:rFonts w:ascii="Arial" w:hAnsi="Arial" w:eastAsia="黑体"/>
      <w:sz w:val="24"/>
    </w:rPr>
  </w:style>
  <w:style w:type="paragraph" w:styleId="16">
    <w:name w:val="heading 9"/>
    <w:basedOn w:val="1"/>
    <w:next w:val="12"/>
    <w:qFormat/>
    <w:uiPriority w:val="0"/>
    <w:pPr>
      <w:keepNext/>
      <w:keepLines/>
      <w:numPr>
        <w:ilvl w:val="8"/>
        <w:numId w:val="1"/>
      </w:numPr>
      <w:spacing w:before="240" w:after="64" w:line="320" w:lineRule="auto"/>
      <w:outlineLvl w:val="8"/>
    </w:pPr>
    <w:rPr>
      <w:rFonts w:ascii="Arial" w:hAnsi="Arial" w:eastAsia="黑体"/>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表格文字"/>
    <w:basedOn w:val="3"/>
    <w:next w:val="5"/>
    <w:qFormat/>
    <w:uiPriority w:val="99"/>
    <w:pPr>
      <w:spacing w:before="25" w:after="25"/>
    </w:pPr>
    <w:rPr>
      <w:rFonts w:ascii="Calibri" w:hAnsi="Calibri" w:eastAsia="Calibri"/>
      <w:bCs/>
      <w:spacing w:val="10"/>
      <w:kern w:val="0"/>
    </w:rPr>
  </w:style>
  <w:style w:type="paragraph" w:styleId="3">
    <w:name w:val="Body Text Indent"/>
    <w:basedOn w:val="1"/>
    <w:next w:val="4"/>
    <w:link w:val="51"/>
    <w:qFormat/>
    <w:uiPriority w:val="0"/>
    <w:pPr>
      <w:ind w:firstLine="830" w:firstLineChars="352"/>
    </w:pPr>
    <w:rPr>
      <w:rFonts w:ascii="仿宋_GB2312" w:eastAsia="仿宋_GB2312"/>
      <w:sz w:val="32"/>
      <w:szCs w:val="20"/>
    </w:rPr>
  </w:style>
  <w:style w:type="paragraph" w:styleId="4">
    <w:name w:val="envelope return"/>
    <w:basedOn w:val="1"/>
    <w:qFormat/>
    <w:uiPriority w:val="0"/>
    <w:pPr>
      <w:snapToGrid w:val="0"/>
    </w:pPr>
    <w:rPr>
      <w:rFonts w:ascii="Arial" w:hAnsi="Arial"/>
    </w:rPr>
  </w:style>
  <w:style w:type="paragraph" w:styleId="5">
    <w:name w:val="Body Text"/>
    <w:basedOn w:val="1"/>
    <w:next w:val="6"/>
    <w:link w:val="50"/>
    <w:qFormat/>
    <w:uiPriority w:val="0"/>
    <w:pPr>
      <w:spacing w:line="380" w:lineRule="exact"/>
    </w:pPr>
    <w:rPr>
      <w:sz w:val="24"/>
    </w:rPr>
  </w:style>
  <w:style w:type="paragraph" w:styleId="6">
    <w:name w:val="Body Text 2"/>
    <w:basedOn w:val="1"/>
    <w:next w:val="5"/>
    <w:qFormat/>
    <w:uiPriority w:val="0"/>
    <w:pPr>
      <w:spacing w:after="120" w:line="480" w:lineRule="auto"/>
    </w:pPr>
  </w:style>
  <w:style w:type="paragraph" w:styleId="12">
    <w:name w:val="Normal Indent"/>
    <w:basedOn w:val="1"/>
    <w:link w:val="49"/>
    <w:qFormat/>
    <w:uiPriority w:val="0"/>
    <w:pPr>
      <w:ind w:firstLine="420"/>
    </w:pPr>
    <w:rPr>
      <w:szCs w:val="20"/>
    </w:rPr>
  </w:style>
  <w:style w:type="paragraph" w:styleId="17">
    <w:name w:val="index 8"/>
    <w:basedOn w:val="1"/>
    <w:next w:val="1"/>
    <w:qFormat/>
    <w:uiPriority w:val="0"/>
    <w:pPr>
      <w:ind w:left="2940"/>
    </w:pPr>
  </w:style>
  <w:style w:type="paragraph" w:styleId="18">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9">
    <w:name w:val="caption"/>
    <w:basedOn w:val="1"/>
    <w:next w:val="1"/>
    <w:qFormat/>
    <w:uiPriority w:val="0"/>
    <w:pPr>
      <w:spacing w:before="152" w:after="160"/>
    </w:pPr>
    <w:rPr>
      <w:rFonts w:ascii="Arial" w:hAnsi="Arial" w:eastAsia="黑体" w:cs="Arial"/>
      <w:sz w:val="20"/>
      <w:szCs w:val="20"/>
    </w:rPr>
  </w:style>
  <w:style w:type="paragraph" w:styleId="20">
    <w:name w:val="Document Map"/>
    <w:basedOn w:val="1"/>
    <w:semiHidden/>
    <w:qFormat/>
    <w:uiPriority w:val="0"/>
    <w:pPr>
      <w:shd w:val="clear" w:color="auto" w:fill="000080"/>
    </w:pPr>
  </w:style>
  <w:style w:type="paragraph" w:styleId="21">
    <w:name w:val="annotation text"/>
    <w:basedOn w:val="1"/>
    <w:qFormat/>
    <w:uiPriority w:val="0"/>
    <w:pPr>
      <w:jc w:val="left"/>
    </w:pPr>
  </w:style>
  <w:style w:type="paragraph" w:styleId="22">
    <w:name w:val="Body Text 3"/>
    <w:basedOn w:val="1"/>
    <w:qFormat/>
    <w:uiPriority w:val="0"/>
    <w:pPr>
      <w:spacing w:line="500" w:lineRule="exact"/>
    </w:pPr>
    <w:rPr>
      <w:b/>
      <w:bCs/>
      <w:sz w:val="24"/>
    </w:rPr>
  </w:style>
  <w:style w:type="paragraph" w:styleId="23">
    <w:name w:val="List Number 3"/>
    <w:basedOn w:val="1"/>
    <w:qFormat/>
    <w:uiPriority w:val="0"/>
    <w:pPr>
      <w:numPr>
        <w:ilvl w:val="0"/>
        <w:numId w:val="1"/>
      </w:numPr>
      <w:tabs>
        <w:tab w:val="left" w:pos="1200"/>
        <w:tab w:val="clear" w:pos="360"/>
      </w:tabs>
    </w:pPr>
  </w:style>
  <w:style w:type="paragraph" w:styleId="24">
    <w:name w:val="List 2"/>
    <w:basedOn w:val="1"/>
    <w:qFormat/>
    <w:uiPriority w:val="0"/>
    <w:pPr>
      <w:ind w:left="100" w:leftChars="200" w:hanging="200" w:hangingChars="200"/>
    </w:pPr>
    <w:rPr>
      <w:sz w:val="28"/>
    </w:rPr>
  </w:style>
  <w:style w:type="paragraph" w:styleId="25">
    <w:name w:val="Plain Text"/>
    <w:basedOn w:val="1"/>
    <w:next w:val="10"/>
    <w:link w:val="52"/>
    <w:qFormat/>
    <w:uiPriority w:val="0"/>
    <w:rPr>
      <w:rFonts w:ascii="宋体" w:hAnsi="Courier New" w:cs="Courier New"/>
      <w:szCs w:val="21"/>
    </w:rPr>
  </w:style>
  <w:style w:type="paragraph" w:styleId="26">
    <w:name w:val="Date"/>
    <w:basedOn w:val="1"/>
    <w:next w:val="1"/>
    <w:qFormat/>
    <w:uiPriority w:val="0"/>
    <w:pPr>
      <w:ind w:left="100" w:leftChars="2500"/>
    </w:pPr>
    <w:rPr>
      <w:rFonts w:ascii="宋体" w:hAnsi="Courier New" w:cs="Courier New"/>
      <w:szCs w:val="21"/>
    </w:rPr>
  </w:style>
  <w:style w:type="paragraph" w:styleId="27">
    <w:name w:val="Body Text Indent 2"/>
    <w:basedOn w:val="1"/>
    <w:link w:val="53"/>
    <w:qFormat/>
    <w:uiPriority w:val="0"/>
    <w:pPr>
      <w:ind w:firstLine="630"/>
    </w:pPr>
    <w:rPr>
      <w:sz w:val="32"/>
      <w:szCs w:val="20"/>
    </w:rPr>
  </w:style>
  <w:style w:type="paragraph" w:styleId="28">
    <w:name w:val="Balloon Text"/>
    <w:basedOn w:val="1"/>
    <w:semiHidden/>
    <w:qFormat/>
    <w:uiPriority w:val="0"/>
    <w:rPr>
      <w:sz w:val="18"/>
      <w:szCs w:val="18"/>
    </w:rPr>
  </w:style>
  <w:style w:type="paragraph" w:styleId="29">
    <w:name w:val="footer"/>
    <w:basedOn w:val="1"/>
    <w:link w:val="54"/>
    <w:qFormat/>
    <w:uiPriority w:val="0"/>
    <w:pPr>
      <w:tabs>
        <w:tab w:val="center" w:pos="4153"/>
        <w:tab w:val="right" w:pos="8306"/>
      </w:tabs>
      <w:snapToGrid w:val="0"/>
      <w:jc w:val="left"/>
    </w:pPr>
    <w:rPr>
      <w:sz w:val="18"/>
      <w:szCs w:val="18"/>
    </w:rPr>
  </w:style>
  <w:style w:type="paragraph" w:styleId="3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style>
  <w:style w:type="paragraph" w:styleId="32">
    <w:name w:val="List"/>
    <w:basedOn w:val="1"/>
    <w:qFormat/>
    <w:uiPriority w:val="0"/>
    <w:pPr>
      <w:ind w:left="200" w:hanging="200" w:hangingChars="200"/>
    </w:pPr>
    <w:rPr>
      <w:sz w:val="28"/>
    </w:rPr>
  </w:style>
  <w:style w:type="paragraph" w:styleId="33">
    <w:name w:val="Body Text Indent 3"/>
    <w:basedOn w:val="1"/>
    <w:qFormat/>
    <w:uiPriority w:val="0"/>
    <w:pPr>
      <w:spacing w:after="120"/>
      <w:ind w:left="420" w:leftChars="200"/>
    </w:pPr>
    <w:rPr>
      <w:sz w:val="16"/>
      <w:szCs w:val="16"/>
    </w:rPr>
  </w:style>
  <w:style w:type="paragraph" w:styleId="34">
    <w:name w:val="toc 2"/>
    <w:basedOn w:val="1"/>
    <w:next w:val="1"/>
    <w:qFormat/>
    <w:uiPriority w:val="39"/>
    <w:pPr>
      <w:tabs>
        <w:tab w:val="right" w:leader="dot" w:pos="9360"/>
      </w:tabs>
      <w:ind w:left="420" w:leftChars="200"/>
    </w:p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index 1"/>
    <w:basedOn w:val="1"/>
    <w:next w:val="1"/>
    <w:semiHidden/>
    <w:qFormat/>
    <w:uiPriority w:val="0"/>
    <w:pPr>
      <w:spacing w:line="400" w:lineRule="exact"/>
      <w:ind w:firstLine="420" w:firstLineChars="200"/>
    </w:pPr>
    <w:rPr>
      <w:rFonts w:ascii="宋体" w:hAnsi="Courier New"/>
      <w:b/>
      <w:szCs w:val="20"/>
    </w:rPr>
  </w:style>
  <w:style w:type="paragraph" w:styleId="37">
    <w:name w:val="Body Text First Indent"/>
    <w:basedOn w:val="5"/>
    <w:link w:val="55"/>
    <w:qFormat/>
    <w:uiPriority w:val="0"/>
    <w:pPr>
      <w:spacing w:after="120" w:line="240" w:lineRule="auto"/>
      <w:ind w:firstLine="420" w:firstLineChars="100"/>
    </w:pPr>
    <w:rPr>
      <w:sz w:val="21"/>
    </w:rPr>
  </w:style>
  <w:style w:type="paragraph" w:styleId="38">
    <w:name w:val="Body Text First Indent 2"/>
    <w:basedOn w:val="3"/>
    <w:link w:val="56"/>
    <w:qFormat/>
    <w:uiPriority w:val="0"/>
    <w:pPr>
      <w:spacing w:after="120"/>
      <w:ind w:left="420" w:leftChars="200" w:firstLine="420" w:firstLineChars="200"/>
    </w:pPr>
    <w:rPr>
      <w:sz w:val="21"/>
      <w:szCs w:val="24"/>
    </w:rPr>
  </w:style>
  <w:style w:type="table" w:styleId="40">
    <w:name w:val="Table Grid"/>
    <w:basedOn w:val="3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42">
    <w:name w:val="Strong"/>
    <w:qFormat/>
    <w:uiPriority w:val="0"/>
    <w:rPr>
      <w:b/>
      <w:bCs/>
    </w:rPr>
  </w:style>
  <w:style w:type="character" w:styleId="43">
    <w:name w:val="page number"/>
    <w:qFormat/>
    <w:uiPriority w:val="0"/>
  </w:style>
  <w:style w:type="character" w:styleId="44">
    <w:name w:val="Hyperlink"/>
    <w:qFormat/>
    <w:uiPriority w:val="99"/>
    <w:rPr>
      <w:color w:val="0000FF"/>
      <w:u w:val="single"/>
    </w:rPr>
  </w:style>
  <w:style w:type="character" w:customStyle="1" w:styleId="45">
    <w:name w:val="标题 1 Char"/>
    <w:link w:val="7"/>
    <w:qFormat/>
    <w:uiPriority w:val="0"/>
    <w:rPr>
      <w:rFonts w:eastAsia="宋体"/>
      <w:b/>
      <w:bCs/>
      <w:kern w:val="44"/>
      <w:sz w:val="44"/>
      <w:szCs w:val="44"/>
      <w:lang w:val="en-US" w:eastAsia="zh-CN" w:bidi="ar-SA"/>
    </w:rPr>
  </w:style>
  <w:style w:type="character" w:customStyle="1" w:styleId="46">
    <w:name w:val="标题 2 Char"/>
    <w:link w:val="8"/>
    <w:qFormat/>
    <w:uiPriority w:val="9"/>
    <w:rPr>
      <w:rFonts w:ascii="Arial" w:hAnsi="Arial" w:eastAsia="黑体"/>
      <w:b/>
      <w:bCs/>
      <w:kern w:val="2"/>
      <w:sz w:val="32"/>
      <w:szCs w:val="32"/>
    </w:rPr>
  </w:style>
  <w:style w:type="character" w:customStyle="1" w:styleId="47">
    <w:name w:val="标题 3 Char"/>
    <w:link w:val="9"/>
    <w:qFormat/>
    <w:uiPriority w:val="0"/>
    <w:rPr>
      <w:rFonts w:ascii="Calibri" w:hAnsi="Calibri" w:eastAsia="宋体"/>
      <w:b/>
      <w:bCs/>
      <w:kern w:val="2"/>
      <w:sz w:val="32"/>
      <w:szCs w:val="32"/>
      <w:lang w:val="en-US" w:eastAsia="zh-CN" w:bidi="ar-SA"/>
    </w:rPr>
  </w:style>
  <w:style w:type="character" w:customStyle="1" w:styleId="48">
    <w:name w:val="标题 4 Char"/>
    <w:link w:val="10"/>
    <w:qFormat/>
    <w:uiPriority w:val="0"/>
    <w:rPr>
      <w:rFonts w:ascii="黑体" w:hAnsi="黑体" w:eastAsia="黑体"/>
      <w:b/>
      <w:bCs/>
      <w:kern w:val="2"/>
      <w:sz w:val="24"/>
      <w:szCs w:val="24"/>
    </w:rPr>
  </w:style>
  <w:style w:type="character" w:customStyle="1" w:styleId="49">
    <w:name w:val="正文缩进 Char"/>
    <w:link w:val="12"/>
    <w:qFormat/>
    <w:locked/>
    <w:uiPriority w:val="0"/>
    <w:rPr>
      <w:kern w:val="2"/>
      <w:sz w:val="21"/>
    </w:rPr>
  </w:style>
  <w:style w:type="character" w:customStyle="1" w:styleId="50">
    <w:name w:val="正文文本 Char"/>
    <w:link w:val="5"/>
    <w:qFormat/>
    <w:uiPriority w:val="0"/>
    <w:rPr>
      <w:kern w:val="2"/>
      <w:sz w:val="24"/>
      <w:szCs w:val="24"/>
    </w:rPr>
  </w:style>
  <w:style w:type="character" w:customStyle="1" w:styleId="51">
    <w:name w:val="正文文本缩进 Char"/>
    <w:link w:val="3"/>
    <w:qFormat/>
    <w:uiPriority w:val="0"/>
    <w:rPr>
      <w:rFonts w:ascii="仿宋_GB2312" w:eastAsia="仿宋_GB2312"/>
      <w:kern w:val="2"/>
      <w:sz w:val="32"/>
    </w:rPr>
  </w:style>
  <w:style w:type="character" w:customStyle="1" w:styleId="52">
    <w:name w:val="纯文本 Char"/>
    <w:link w:val="25"/>
    <w:qFormat/>
    <w:uiPriority w:val="0"/>
    <w:rPr>
      <w:rFonts w:ascii="宋体" w:hAnsi="Courier New" w:eastAsia="宋体" w:cs="Courier New"/>
      <w:kern w:val="2"/>
      <w:sz w:val="21"/>
      <w:szCs w:val="21"/>
      <w:lang w:val="en-US" w:eastAsia="zh-CN" w:bidi="ar-SA"/>
    </w:rPr>
  </w:style>
  <w:style w:type="character" w:customStyle="1" w:styleId="53">
    <w:name w:val="正文文本缩进 2 Char"/>
    <w:link w:val="27"/>
    <w:qFormat/>
    <w:uiPriority w:val="0"/>
    <w:rPr>
      <w:kern w:val="2"/>
      <w:sz w:val="32"/>
    </w:rPr>
  </w:style>
  <w:style w:type="character" w:customStyle="1" w:styleId="54">
    <w:name w:val="页脚 Char"/>
    <w:link w:val="29"/>
    <w:qFormat/>
    <w:uiPriority w:val="0"/>
    <w:rPr>
      <w:kern w:val="2"/>
      <w:sz w:val="18"/>
      <w:szCs w:val="18"/>
    </w:rPr>
  </w:style>
  <w:style w:type="character" w:customStyle="1" w:styleId="55">
    <w:name w:val="正文首行缩进 Char"/>
    <w:link w:val="37"/>
    <w:qFormat/>
    <w:uiPriority w:val="0"/>
    <w:rPr>
      <w:kern w:val="2"/>
      <w:sz w:val="21"/>
      <w:szCs w:val="24"/>
    </w:rPr>
  </w:style>
  <w:style w:type="character" w:customStyle="1" w:styleId="56">
    <w:name w:val="正文首行缩进 2 Char"/>
    <w:link w:val="38"/>
    <w:qFormat/>
    <w:uiPriority w:val="0"/>
    <w:rPr>
      <w:rFonts w:ascii="仿宋_GB2312" w:eastAsia="仿宋_GB2312"/>
      <w:kern w:val="2"/>
      <w:sz w:val="21"/>
      <w:szCs w:val="24"/>
    </w:rPr>
  </w:style>
  <w:style w:type="character" w:customStyle="1" w:styleId="57">
    <w:name w:val="font21"/>
    <w:qFormat/>
    <w:uiPriority w:val="0"/>
    <w:rPr>
      <w:rFonts w:hint="default" w:ascii="仿宋_GB2312" w:eastAsia="仿宋_GB2312" w:cs="仿宋_GB2312"/>
      <w:b/>
      <w:color w:val="000000"/>
      <w:sz w:val="24"/>
      <w:szCs w:val="24"/>
      <w:u w:val="none"/>
    </w:rPr>
  </w:style>
  <w:style w:type="character" w:customStyle="1" w:styleId="58">
    <w:name w:val="纯文本 Char1"/>
    <w:qFormat/>
    <w:uiPriority w:val="0"/>
    <w:rPr>
      <w:rFonts w:ascii="宋体" w:hAnsi="Courier New" w:eastAsia="宋体" w:cs="Courier New"/>
      <w:szCs w:val="21"/>
    </w:rPr>
  </w:style>
  <w:style w:type="character" w:customStyle="1" w:styleId="59">
    <w:name w:val="param-name param-explain"/>
    <w:qFormat/>
    <w:uiPriority w:val="0"/>
  </w:style>
  <w:style w:type="character" w:customStyle="1" w:styleId="60">
    <w:name w:val="1ji Char"/>
    <w:link w:val="61"/>
    <w:qFormat/>
    <w:uiPriority w:val="0"/>
    <w:rPr>
      <w:rFonts w:ascii="宋体" w:hAnsi="宋体" w:eastAsia="宋体"/>
      <w:b/>
      <w:bCs/>
      <w:kern w:val="44"/>
      <w:sz w:val="36"/>
      <w:szCs w:val="44"/>
      <w:lang w:val="en-US" w:eastAsia="zh-CN" w:bidi="ar-SA"/>
    </w:rPr>
  </w:style>
  <w:style w:type="paragraph" w:customStyle="1" w:styleId="61">
    <w:name w:val="1ji"/>
    <w:basedOn w:val="7"/>
    <w:link w:val="60"/>
    <w:qFormat/>
    <w:uiPriority w:val="0"/>
    <w:pPr>
      <w:keepLines w:val="0"/>
      <w:widowControl/>
      <w:spacing w:before="0" w:after="0" w:line="240" w:lineRule="auto"/>
      <w:jc w:val="center"/>
    </w:pPr>
    <w:rPr>
      <w:rFonts w:ascii="宋体" w:hAnsi="宋体"/>
      <w:sz w:val="36"/>
    </w:rPr>
  </w:style>
  <w:style w:type="character" w:customStyle="1" w:styleId="62">
    <w:name w:val="普通文字 Char Char2"/>
    <w:qFormat/>
    <w:uiPriority w:val="0"/>
    <w:rPr>
      <w:rFonts w:ascii="宋体" w:hAnsi="Courier New" w:eastAsia="宋体"/>
      <w:kern w:val="2"/>
      <w:sz w:val="21"/>
      <w:lang w:val="en-US" w:eastAsia="zh-CN" w:bidi="ar-SA"/>
    </w:rPr>
  </w:style>
  <w:style w:type="character" w:customStyle="1" w:styleId="63">
    <w:name w:val="10"/>
    <w:qFormat/>
    <w:uiPriority w:val="0"/>
    <w:rPr>
      <w:rFonts w:hint="default" w:ascii="Times New Roman" w:hAnsi="Times New Roman" w:cs="Times New Roman"/>
    </w:rPr>
  </w:style>
  <w:style w:type="character" w:customStyle="1" w:styleId="64">
    <w:name w:val="font11"/>
    <w:qFormat/>
    <w:uiPriority w:val="0"/>
    <w:rPr>
      <w:rFonts w:hint="eastAsia" w:ascii="宋体" w:hAnsi="宋体" w:eastAsia="宋体" w:cs="宋体"/>
      <w:color w:val="000000"/>
      <w:sz w:val="20"/>
      <w:szCs w:val="20"/>
      <w:u w:val="none"/>
    </w:rPr>
  </w:style>
  <w:style w:type="character" w:customStyle="1" w:styleId="65">
    <w:name w:val="apple-converted-space"/>
    <w:qFormat/>
    <w:uiPriority w:val="0"/>
  </w:style>
  <w:style w:type="character" w:customStyle="1" w:styleId="66">
    <w:name w:val="mark"/>
    <w:qFormat/>
    <w:uiPriority w:val="0"/>
  </w:style>
  <w:style w:type="character" w:customStyle="1" w:styleId="67">
    <w:name w:val="15"/>
    <w:qFormat/>
    <w:uiPriority w:val="0"/>
    <w:rPr>
      <w:rFonts w:hint="default" w:ascii="Times New Roman" w:hAnsi="Times New Roman" w:cs="Times New Roman"/>
    </w:rPr>
  </w:style>
  <w:style w:type="paragraph" w:customStyle="1" w:styleId="68">
    <w:name w:val="默认段落字体 Para Char Char Char Char Char Char Char Char Char1 Char Char Char Char"/>
    <w:basedOn w:val="1"/>
    <w:qFormat/>
    <w:uiPriority w:val="0"/>
    <w:rPr>
      <w:rFonts w:ascii="Tahoma" w:hAnsi="Tahoma"/>
      <w:sz w:val="24"/>
      <w:szCs w:val="20"/>
    </w:rPr>
  </w:style>
  <w:style w:type="paragraph" w:customStyle="1" w:styleId="69">
    <w:name w:val="列出段落1"/>
    <w:basedOn w:val="1"/>
    <w:qFormat/>
    <w:uiPriority w:val="0"/>
    <w:pPr>
      <w:ind w:firstLine="420" w:firstLineChars="200"/>
    </w:pPr>
    <w:rPr>
      <w:szCs w:val="20"/>
    </w:rPr>
  </w:style>
  <w:style w:type="paragraph" w:customStyle="1" w:styleId="70">
    <w:name w:val="1"/>
    <w:basedOn w:val="1"/>
    <w:next w:val="25"/>
    <w:qFormat/>
    <w:uiPriority w:val="0"/>
    <w:rPr>
      <w:rFonts w:ascii="宋体" w:hAnsi="Courier New"/>
      <w:szCs w:val="20"/>
    </w:rPr>
  </w:style>
  <w:style w:type="paragraph" w:customStyle="1" w:styleId="71">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2">
    <w:name w:val="正文段"/>
    <w:basedOn w:val="1"/>
    <w:qFormat/>
    <w:uiPriority w:val="0"/>
    <w:pPr>
      <w:widowControl/>
      <w:snapToGrid w:val="0"/>
      <w:spacing w:after="50" w:afterLines="50"/>
      <w:ind w:firstLine="200" w:firstLineChars="200"/>
    </w:pPr>
    <w:rPr>
      <w:kern w:val="0"/>
      <w:sz w:val="24"/>
      <w:szCs w:val="20"/>
    </w:rPr>
  </w:style>
  <w:style w:type="paragraph" w:customStyle="1" w:styleId="7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4">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5">
    <w:name w:val="_Style 34"/>
    <w:basedOn w:val="20"/>
    <w:qFormat/>
    <w:uiPriority w:val="0"/>
    <w:pPr>
      <w:widowControl/>
      <w:ind w:firstLine="454"/>
      <w:jc w:val="left"/>
    </w:pPr>
  </w:style>
  <w:style w:type="paragraph" w:customStyle="1" w:styleId="76">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7">
    <w:name w:val="_Style 5"/>
    <w:basedOn w:val="1"/>
    <w:qFormat/>
    <w:uiPriority w:val="0"/>
    <w:pPr>
      <w:spacing w:after="78" w:afterLines="25"/>
    </w:pPr>
    <w:rPr>
      <w:rFonts w:ascii="Arial" w:hAnsi="Arial"/>
    </w:rPr>
  </w:style>
  <w:style w:type="paragraph" w:customStyle="1" w:styleId="78">
    <w:name w:val="Char"/>
    <w:basedOn w:val="20"/>
    <w:qFormat/>
    <w:uiPriority w:val="0"/>
    <w:pPr>
      <w:widowControl/>
      <w:ind w:firstLine="454"/>
      <w:jc w:val="left"/>
    </w:pPr>
    <w:rPr>
      <w:rFonts w:ascii="Tahoma" w:hAnsi="Tahoma" w:cs="宋体"/>
      <w:kern w:val="0"/>
      <w:sz w:val="24"/>
      <w:szCs w:val="20"/>
    </w:rPr>
  </w:style>
  <w:style w:type="paragraph" w:customStyle="1" w:styleId="79">
    <w:name w:val="msolistparagraph"/>
    <w:basedOn w:val="1"/>
    <w:qFormat/>
    <w:uiPriority w:val="0"/>
    <w:pPr>
      <w:spacing w:line="360" w:lineRule="auto"/>
      <w:ind w:firstLine="420" w:firstLineChars="200"/>
    </w:pPr>
    <w:rPr>
      <w:sz w:val="28"/>
    </w:rPr>
  </w:style>
  <w:style w:type="paragraph" w:customStyle="1" w:styleId="8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1">
    <w:name w:val="Char Char Char"/>
    <w:basedOn w:val="20"/>
    <w:qFormat/>
    <w:uiPriority w:val="0"/>
    <w:pPr>
      <w:snapToGrid w:val="0"/>
    </w:pPr>
    <w:rPr>
      <w:rFonts w:ascii="Calibri" w:hAnsi="Calibri"/>
      <w:sz w:val="28"/>
      <w:szCs w:val="20"/>
    </w:rPr>
  </w:style>
  <w:style w:type="paragraph" w:customStyle="1" w:styleId="82">
    <w:name w:val="_Style 341"/>
    <w:basedOn w:val="20"/>
    <w:qFormat/>
    <w:uiPriority w:val="0"/>
    <w:pPr>
      <w:widowControl/>
      <w:ind w:firstLine="454"/>
      <w:jc w:val="left"/>
    </w:pPr>
  </w:style>
  <w:style w:type="paragraph" w:customStyle="1" w:styleId="83">
    <w:name w:val="Char1"/>
    <w:basedOn w:val="20"/>
    <w:qFormat/>
    <w:uiPriority w:val="0"/>
    <w:pPr>
      <w:widowControl/>
      <w:ind w:firstLine="454"/>
      <w:jc w:val="left"/>
    </w:pPr>
    <w:rPr>
      <w:rFonts w:ascii="Tahoma" w:hAnsi="Tahoma" w:cs="宋体"/>
      <w:kern w:val="0"/>
      <w:sz w:val="24"/>
      <w:szCs w:val="20"/>
    </w:rPr>
  </w:style>
  <w:style w:type="paragraph" w:styleId="84">
    <w:name w:val="List Paragraph"/>
    <w:basedOn w:val="1"/>
    <w:qFormat/>
    <w:uiPriority w:val="34"/>
    <w:pPr>
      <w:ind w:firstLine="420" w:firstLineChars="200"/>
    </w:pPr>
    <w:rPr>
      <w:rFonts w:ascii="Book Antiqua" w:hAnsi="Book Antiqua" w:cs="Book Antiqua"/>
    </w:rPr>
  </w:style>
  <w:style w:type="paragraph" w:styleId="85">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样式 标题 2 + 宋体"/>
    <w:basedOn w:val="8"/>
    <w:qFormat/>
    <w:uiPriority w:val="0"/>
    <w:pPr>
      <w:tabs>
        <w:tab w:val="left" w:pos="360"/>
      </w:tabs>
    </w:pPr>
    <w:rPr>
      <w:rFonts w:ascii="宋体" w:hAnsi="宋体" w:eastAsia="宋体"/>
      <w:sz w:val="30"/>
    </w:rPr>
  </w:style>
  <w:style w:type="paragraph" w:customStyle="1" w:styleId="87">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8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table" w:customStyle="1" w:styleId="89">
    <w:name w:val="Table Normal_0"/>
    <w:unhideWhenUsed/>
    <w:qFormat/>
    <w:uiPriority w:val="0"/>
    <w:tblPr>
      <w:tblLayout w:type="fixed"/>
      <w:tblCellMar>
        <w:top w:w="0" w:type="dxa"/>
        <w:left w:w="0" w:type="dxa"/>
        <w:bottom w:w="0" w:type="dxa"/>
        <w:right w:w="0" w:type="dxa"/>
      </w:tblCellMar>
    </w:tblPr>
  </w:style>
  <w:style w:type="paragraph" w:customStyle="1" w:styleId="90">
    <w:name w:val="正文2"/>
    <w:basedOn w:val="1"/>
    <w:link w:val="91"/>
    <w:qFormat/>
    <w:uiPriority w:val="0"/>
    <w:pPr>
      <w:adjustRightInd w:val="0"/>
      <w:spacing w:before="156" w:line="360" w:lineRule="auto"/>
      <w:ind w:firstLine="510" w:firstLineChars="200"/>
    </w:pPr>
    <w:rPr>
      <w:sz w:val="24"/>
      <w:szCs w:val="20"/>
    </w:rPr>
  </w:style>
  <w:style w:type="character" w:customStyle="1" w:styleId="91">
    <w:name w:val="正文2 Char Char"/>
    <w:link w:val="90"/>
    <w:qFormat/>
    <w:uiPriority w:val="0"/>
    <w:rPr>
      <w:kern w:val="2"/>
      <w:sz w:val="24"/>
    </w:rPr>
  </w:style>
  <w:style w:type="table" w:customStyle="1" w:styleId="92">
    <w:name w:val="网格型1"/>
    <w:basedOn w:val="3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93">
    <w:name w:val="网格型2"/>
    <w:basedOn w:val="3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4">
    <w:name w:val="*正文 Char"/>
    <w:link w:val="95"/>
    <w:qFormat/>
    <w:locked/>
    <w:uiPriority w:val="0"/>
    <w:rPr>
      <w:rFonts w:ascii="宋体" w:hAnsi="宋体"/>
      <w:sz w:val="24"/>
    </w:rPr>
  </w:style>
  <w:style w:type="paragraph" w:customStyle="1" w:styleId="95">
    <w:name w:val="*正文"/>
    <w:basedOn w:val="1"/>
    <w:link w:val="94"/>
    <w:qFormat/>
    <w:uiPriority w:val="0"/>
    <w:pPr>
      <w:adjustRightInd w:val="0"/>
      <w:snapToGrid w:val="0"/>
      <w:spacing w:line="360" w:lineRule="auto"/>
      <w:ind w:firstLine="482"/>
      <w:jc w:val="left"/>
    </w:pPr>
    <w:rPr>
      <w:rFonts w:ascii="宋体" w:hAnsi="宋体"/>
      <w:kern w:val="0"/>
      <w:sz w:val="24"/>
      <w:szCs w:val="20"/>
    </w:rPr>
  </w:style>
  <w:style w:type="paragraph" w:customStyle="1" w:styleId="96">
    <w:name w:val="Table Text"/>
    <w:basedOn w:val="1"/>
    <w:semiHidden/>
    <w:qFormat/>
    <w:uiPriority w:val="0"/>
    <w:rPr>
      <w:rFonts w:ascii="仿宋" w:hAnsi="仿宋" w:eastAsia="仿宋" w:cs="仿宋"/>
      <w:sz w:val="20"/>
      <w:szCs w:val="20"/>
      <w:lang w:val="en-US" w:eastAsia="en-US" w:bidi="ar-SA"/>
    </w:rPr>
  </w:style>
  <w:style w:type="table" w:customStyle="1" w:styleId="97">
    <w:name w:val="Table Normal"/>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4F8AC1-96F9-4F9A-8C27-E34FA8A8ADB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101</Pages>
  <Words>61369</Words>
  <Characters>64666</Characters>
  <Lines>506</Lines>
  <Paragraphs>142</Paragraphs>
  <TotalTime>43</TotalTime>
  <ScaleCrop>false</ScaleCrop>
  <LinksUpToDate>false</LinksUpToDate>
  <CharactersWithSpaces>73118</CharactersWithSpaces>
  <Application>WPS Office_11.8.2.8576_F1E327BC-269C-435d-A152-05C5408002CA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2024-10-30T08:15:00Z</dcterms:created>
  <dc:creator>北海市政府采购中心</dc:creator>
  <cp:lastModifiedBy>NTKO</cp:lastModifiedBy>
  <cp:lastPrinted>2021-08-15T09:50:00Z</cp:lastPrinted>
  <dcterms:modified xsi:type="dcterms:W3CDTF">2026-08-28T07:54:13Z</dcterms:modified>
  <dc:title>北海市政府采购中心;</dc:title>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0C7F5C32B0194A13A7CB8C845D5A133D</vt:lpwstr>
  </property>
  <property fmtid="{D5CDD505-2E9C-101B-9397-08002B2CF9AE}" pid="3" name="KSOProductBuildVer">
    <vt:lpwstr>2052-11.8.2.8576</vt:lpwstr>
  </property>
</Properties>
</file>