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25F4ED">
      <w:pPr>
        <w:spacing w:line="360" w:lineRule="auto"/>
        <w:jc w:val="center"/>
        <w:outlineLvl w:val="0"/>
        <w:rPr>
          <w:rFonts w:asciiTheme="minorEastAsia" w:hAnsiTheme="minorEastAsia" w:eastAsiaTheme="minorEastAsia"/>
          <w:b/>
          <w:color w:val="auto"/>
          <w:sz w:val="44"/>
          <w:szCs w:val="44"/>
          <w:highlight w:val="none"/>
        </w:rPr>
      </w:pPr>
      <w:r>
        <w:rPr>
          <w:rFonts w:hint="eastAsia" w:asciiTheme="minorEastAsia" w:hAnsiTheme="minorEastAsia" w:eastAsiaTheme="minorEastAsia"/>
          <w:b/>
          <w:color w:val="auto"/>
          <w:sz w:val="44"/>
          <w:szCs w:val="44"/>
          <w:highlight w:val="none"/>
        </w:rPr>
        <w:t>采购项目需求</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6"/>
        <w:gridCol w:w="1588"/>
        <w:gridCol w:w="5778"/>
      </w:tblGrid>
      <w:tr w14:paraId="21E3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14" w:type="dxa"/>
            <w:vAlign w:val="center"/>
          </w:tcPr>
          <w:p w14:paraId="72C04B31">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eastAsia="宋体"/>
                <w:b/>
                <w:color w:val="auto"/>
                <w:sz w:val="24"/>
                <w:szCs w:val="24"/>
                <w:highlight w:val="none"/>
                <w:vertAlign w:val="baseline"/>
                <w:lang w:eastAsia="zh-CN"/>
              </w:rPr>
            </w:pPr>
            <w:r>
              <w:rPr>
                <w:rFonts w:hint="eastAsia"/>
                <w:b/>
                <w:color w:val="auto"/>
                <w:sz w:val="24"/>
                <w:szCs w:val="24"/>
                <w:highlight w:val="none"/>
                <w:vertAlign w:val="baseline"/>
                <w:lang w:eastAsia="zh-CN"/>
              </w:rPr>
              <w:t>技术要求</w:t>
            </w:r>
          </w:p>
        </w:tc>
        <w:tc>
          <w:tcPr>
            <w:tcW w:w="8201" w:type="dxa"/>
            <w:gridSpan w:val="2"/>
          </w:tcPr>
          <w:p w14:paraId="0B661C19">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rPr>
            </w:pPr>
            <w:r>
              <w:rPr>
                <w:rFonts w:hint="eastAsia"/>
                <w:b w:val="0"/>
                <w:bCs/>
                <w:color w:val="auto"/>
                <w:sz w:val="24"/>
                <w:szCs w:val="24"/>
                <w:highlight w:val="none"/>
                <w:vertAlign w:val="baseline"/>
                <w:lang w:val="en-US" w:eastAsia="zh-CN"/>
              </w:rPr>
              <w:t>一、</w:t>
            </w:r>
            <w:r>
              <w:rPr>
                <w:rFonts w:hint="eastAsia"/>
                <w:b w:val="0"/>
                <w:bCs/>
                <w:color w:val="auto"/>
                <w:sz w:val="24"/>
                <w:szCs w:val="24"/>
                <w:highlight w:val="none"/>
                <w:vertAlign w:val="baseline"/>
              </w:rPr>
              <w:t>本采购工程，应该认真按施工图纸要求进行施工；同时也要严格执行建筑工程各专业有关的现行标准和技术规范。</w:t>
            </w:r>
          </w:p>
          <w:p w14:paraId="4AE9A353">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lang w:val="en-US" w:eastAsia="zh-CN"/>
              </w:rPr>
            </w:pPr>
            <w:r>
              <w:rPr>
                <w:rFonts w:hint="eastAsia"/>
                <w:b w:val="0"/>
                <w:bCs/>
                <w:color w:val="auto"/>
                <w:sz w:val="24"/>
                <w:szCs w:val="24"/>
                <w:highlight w:val="none"/>
                <w:vertAlign w:val="baseline"/>
                <w:lang w:val="en-US" w:eastAsia="zh-CN"/>
              </w:rPr>
              <w:t>二、建设地点:防城港职业技术学院。</w:t>
            </w:r>
          </w:p>
          <w:p w14:paraId="7829D409">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lang w:val="en-US" w:eastAsia="zh-CN"/>
              </w:rPr>
            </w:pPr>
            <w:r>
              <w:rPr>
                <w:rFonts w:hint="eastAsia"/>
                <w:b w:val="0"/>
                <w:bCs/>
                <w:color w:val="auto"/>
                <w:sz w:val="24"/>
                <w:szCs w:val="24"/>
                <w:highlight w:val="none"/>
                <w:vertAlign w:val="baseline"/>
                <w:lang w:val="en-US" w:eastAsia="zh-CN"/>
              </w:rPr>
              <w:t>三、质量要求:工程质量符合国家施工验收规范合格标准。</w:t>
            </w:r>
          </w:p>
          <w:p w14:paraId="5D86226D">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outlineLvl w:val="1"/>
              <w:rPr>
                <w:rFonts w:hint="eastAsia" w:eastAsia="宋体"/>
                <w:color w:val="auto"/>
                <w:highlight w:val="none"/>
                <w:lang w:val="en-US" w:eastAsia="zh-CN"/>
              </w:rPr>
            </w:pPr>
            <w:r>
              <w:rPr>
                <w:rFonts w:hint="eastAsia"/>
                <w:b w:val="0"/>
                <w:bCs/>
                <w:color w:val="auto"/>
                <w:sz w:val="24"/>
                <w:szCs w:val="24"/>
                <w:highlight w:val="none"/>
                <w:vertAlign w:val="baseline"/>
                <w:lang w:val="en-US" w:eastAsia="zh-CN"/>
              </w:rPr>
              <w:t>四、工程要求：供应商在施工过程中，不得影响学校正常工作，同时要加强施工安全管理，由供应商引起的各种事故、火灾或案件由供应商承担全部责任</w:t>
            </w:r>
            <w:r>
              <w:rPr>
                <w:rFonts w:hint="eastAsia" w:ascii="宋体" w:eastAsia="宋体" w:cs="Times New Roman"/>
                <w:b w:val="0"/>
                <w:bCs/>
                <w:color w:val="auto"/>
                <w:sz w:val="24"/>
                <w:szCs w:val="24"/>
                <w:highlight w:val="none"/>
                <w:vertAlign w:val="baseline"/>
                <w:lang w:val="en-US" w:eastAsia="zh-CN"/>
              </w:rPr>
              <w:t>。</w:t>
            </w:r>
          </w:p>
        </w:tc>
      </w:tr>
      <w:tr w14:paraId="34D38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restart"/>
            <w:vAlign w:val="center"/>
          </w:tcPr>
          <w:p w14:paraId="0171AE8D">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eastAsia="宋体"/>
                <w:b/>
                <w:color w:val="auto"/>
                <w:sz w:val="24"/>
                <w:szCs w:val="24"/>
                <w:highlight w:val="none"/>
                <w:vertAlign w:val="baseline"/>
                <w:lang w:eastAsia="zh-CN"/>
              </w:rPr>
            </w:pPr>
            <w:r>
              <w:rPr>
                <w:rFonts w:hint="eastAsia"/>
                <w:b/>
                <w:color w:val="auto"/>
                <w:sz w:val="24"/>
                <w:szCs w:val="24"/>
                <w:highlight w:val="none"/>
                <w:vertAlign w:val="baseline"/>
                <w:lang w:eastAsia="zh-CN"/>
              </w:rPr>
              <w:t>商务要求</w:t>
            </w:r>
          </w:p>
        </w:tc>
        <w:tc>
          <w:tcPr>
            <w:tcW w:w="1789" w:type="dxa"/>
            <w:vAlign w:val="center"/>
          </w:tcPr>
          <w:p w14:paraId="011D9364">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vertAlign w:val="baseline"/>
              </w:rPr>
            </w:pPr>
            <w:r>
              <w:rPr>
                <w:rFonts w:hint="eastAsia"/>
                <w:b/>
                <w:color w:val="auto"/>
                <w:sz w:val="24"/>
                <w:szCs w:val="24"/>
                <w:highlight w:val="none"/>
                <w:vertAlign w:val="baseline"/>
              </w:rPr>
              <w:t>项目名称</w:t>
            </w:r>
          </w:p>
        </w:tc>
        <w:tc>
          <w:tcPr>
            <w:tcW w:w="6412" w:type="dxa"/>
          </w:tcPr>
          <w:p w14:paraId="1BD3F542">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rPr>
            </w:pPr>
            <w:r>
              <w:rPr>
                <w:rFonts w:hint="eastAsia"/>
                <w:b w:val="0"/>
                <w:bCs/>
                <w:color w:val="auto"/>
                <w:sz w:val="24"/>
                <w:szCs w:val="24"/>
                <w:highlight w:val="none"/>
                <w:lang w:eastAsia="zh-CN"/>
              </w:rPr>
              <w:t>体育场地综合改善项目（重）</w:t>
            </w:r>
          </w:p>
        </w:tc>
      </w:tr>
      <w:tr w14:paraId="0D3B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201EFFA8">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57A99968">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vertAlign w:val="baseline"/>
              </w:rPr>
            </w:pPr>
            <w:r>
              <w:rPr>
                <w:rFonts w:hint="eastAsia"/>
                <w:b/>
                <w:color w:val="auto"/>
                <w:sz w:val="24"/>
                <w:szCs w:val="24"/>
                <w:highlight w:val="none"/>
              </w:rPr>
              <w:t>项目编号</w:t>
            </w:r>
          </w:p>
        </w:tc>
        <w:tc>
          <w:tcPr>
            <w:tcW w:w="6412" w:type="dxa"/>
          </w:tcPr>
          <w:p w14:paraId="33981A34">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lang w:eastAsia="zh-CN"/>
              </w:rPr>
            </w:pPr>
            <w:r>
              <w:rPr>
                <w:rFonts w:hint="eastAsia"/>
                <w:b w:val="0"/>
                <w:bCs/>
                <w:color w:val="auto"/>
                <w:sz w:val="24"/>
                <w:szCs w:val="24"/>
                <w:highlight w:val="none"/>
                <w:lang w:eastAsia="zh-CN"/>
              </w:rPr>
              <w:t xml:space="preserve">FCZC2026-C2-990162-GXDH </w:t>
            </w:r>
          </w:p>
        </w:tc>
      </w:tr>
      <w:tr w14:paraId="2026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2B455BC3">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5AEF987B">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vertAlign w:val="baseline"/>
              </w:rPr>
            </w:pPr>
            <w:r>
              <w:rPr>
                <w:rFonts w:hint="eastAsia"/>
                <w:b/>
                <w:color w:val="auto"/>
                <w:sz w:val="24"/>
                <w:szCs w:val="24"/>
                <w:highlight w:val="none"/>
              </w:rPr>
              <w:t>工程概况</w:t>
            </w:r>
          </w:p>
        </w:tc>
        <w:tc>
          <w:tcPr>
            <w:tcW w:w="6412" w:type="dxa"/>
          </w:tcPr>
          <w:p w14:paraId="41FAF341">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eastAsia="宋体"/>
                <w:b w:val="0"/>
                <w:bCs/>
                <w:color w:val="auto"/>
                <w:sz w:val="24"/>
                <w:szCs w:val="24"/>
                <w:highlight w:val="none"/>
                <w:vertAlign w:val="baseline"/>
                <w:lang w:eastAsia="zh-CN"/>
              </w:rPr>
            </w:pPr>
            <w:r>
              <w:rPr>
                <w:rFonts w:hint="eastAsia"/>
                <w:b w:val="0"/>
                <w:bCs/>
                <w:color w:val="auto"/>
                <w:sz w:val="24"/>
                <w:szCs w:val="24"/>
                <w:highlight w:val="none"/>
                <w:lang w:eastAsia="zh-CN"/>
              </w:rPr>
              <w:t>体育场地综合改善项目，</w:t>
            </w:r>
            <w:r>
              <w:rPr>
                <w:rFonts w:hint="eastAsia"/>
                <w:b w:val="0"/>
                <w:bCs/>
                <w:color w:val="auto"/>
                <w:sz w:val="24"/>
                <w:szCs w:val="24"/>
                <w:highlight w:val="none"/>
              </w:rPr>
              <w:t>具体内容详见施工图纸和工程量清单</w:t>
            </w:r>
            <w:r>
              <w:rPr>
                <w:rFonts w:hint="eastAsia"/>
                <w:b w:val="0"/>
                <w:bCs/>
                <w:color w:val="auto"/>
                <w:sz w:val="24"/>
                <w:szCs w:val="24"/>
                <w:highlight w:val="none"/>
                <w:lang w:eastAsia="zh-CN"/>
              </w:rPr>
              <w:t>。</w:t>
            </w:r>
          </w:p>
        </w:tc>
      </w:tr>
      <w:tr w14:paraId="30A40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2B29C2B7">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5E48363F">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vertAlign w:val="baseline"/>
              </w:rPr>
            </w:pPr>
            <w:r>
              <w:rPr>
                <w:rFonts w:hint="eastAsia"/>
                <w:b/>
                <w:color w:val="auto"/>
                <w:sz w:val="24"/>
                <w:szCs w:val="24"/>
                <w:highlight w:val="none"/>
              </w:rPr>
              <w:t>项目所属行业</w:t>
            </w:r>
          </w:p>
        </w:tc>
        <w:tc>
          <w:tcPr>
            <w:tcW w:w="6412" w:type="dxa"/>
          </w:tcPr>
          <w:p w14:paraId="21367278">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rPr>
            </w:pPr>
            <w:r>
              <w:rPr>
                <w:rFonts w:hint="eastAsia"/>
                <w:b w:val="0"/>
                <w:bCs/>
                <w:color w:val="auto"/>
                <w:sz w:val="24"/>
                <w:szCs w:val="24"/>
                <w:highlight w:val="none"/>
              </w:rPr>
              <w:t>建筑业</w:t>
            </w:r>
          </w:p>
        </w:tc>
      </w:tr>
      <w:tr w14:paraId="1C2F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16C0D6B8">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3FBAD1CB">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vertAlign w:val="baseline"/>
              </w:rPr>
            </w:pPr>
            <w:r>
              <w:rPr>
                <w:rFonts w:hint="eastAsia"/>
                <w:b/>
                <w:color w:val="auto"/>
                <w:sz w:val="24"/>
                <w:szCs w:val="24"/>
                <w:highlight w:val="none"/>
              </w:rPr>
              <w:t>工期</w:t>
            </w:r>
          </w:p>
        </w:tc>
        <w:tc>
          <w:tcPr>
            <w:tcW w:w="6412" w:type="dxa"/>
          </w:tcPr>
          <w:p w14:paraId="13FEE1BE">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rPr>
            </w:pPr>
            <w:r>
              <w:rPr>
                <w:rFonts w:hint="eastAsia"/>
                <w:b w:val="0"/>
                <w:bCs/>
                <w:color w:val="auto"/>
                <w:sz w:val="24"/>
                <w:szCs w:val="24"/>
                <w:highlight w:val="none"/>
                <w:u w:val="single"/>
                <w:vertAlign w:val="baseline"/>
                <w:lang w:val="en-US" w:eastAsia="zh-CN"/>
              </w:rPr>
              <w:t>30</w:t>
            </w:r>
            <w:r>
              <w:rPr>
                <w:rFonts w:hint="eastAsia"/>
                <w:b w:val="0"/>
                <w:bCs/>
                <w:color w:val="auto"/>
                <w:sz w:val="24"/>
                <w:szCs w:val="24"/>
                <w:highlight w:val="none"/>
                <w:vertAlign w:val="baseline"/>
              </w:rPr>
              <w:t>日历天</w:t>
            </w:r>
          </w:p>
        </w:tc>
      </w:tr>
      <w:tr w14:paraId="0F7A9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075FF614">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35AA7E20">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rPr>
            </w:pPr>
            <w:r>
              <w:rPr>
                <w:rFonts w:hint="eastAsia"/>
                <w:b/>
                <w:color w:val="auto"/>
                <w:sz w:val="24"/>
                <w:szCs w:val="24"/>
                <w:highlight w:val="none"/>
              </w:rPr>
              <w:t>缺陷责任期</w:t>
            </w:r>
          </w:p>
          <w:p w14:paraId="386018D4">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eastAsia="宋体"/>
                <w:b/>
                <w:color w:val="auto"/>
                <w:sz w:val="24"/>
                <w:szCs w:val="24"/>
                <w:highlight w:val="none"/>
                <w:vertAlign w:val="baseline"/>
                <w:lang w:eastAsia="zh-CN"/>
              </w:rPr>
            </w:pPr>
            <w:r>
              <w:rPr>
                <w:rFonts w:hint="eastAsia"/>
                <w:b/>
                <w:color w:val="auto"/>
                <w:sz w:val="24"/>
                <w:szCs w:val="24"/>
                <w:highlight w:val="none"/>
                <w:lang w:eastAsia="zh-CN"/>
              </w:rPr>
              <w:t>（</w:t>
            </w:r>
            <w:r>
              <w:rPr>
                <w:rFonts w:hint="eastAsia"/>
                <w:b/>
                <w:color w:val="auto"/>
                <w:sz w:val="24"/>
                <w:szCs w:val="24"/>
                <w:highlight w:val="none"/>
                <w:lang w:val="en-US" w:eastAsia="zh-CN"/>
              </w:rPr>
              <w:t>质保期</w:t>
            </w:r>
            <w:r>
              <w:rPr>
                <w:rFonts w:hint="eastAsia"/>
                <w:b/>
                <w:color w:val="auto"/>
                <w:sz w:val="24"/>
                <w:szCs w:val="24"/>
                <w:highlight w:val="none"/>
                <w:lang w:eastAsia="zh-CN"/>
              </w:rPr>
              <w:t>）</w:t>
            </w:r>
          </w:p>
        </w:tc>
        <w:tc>
          <w:tcPr>
            <w:tcW w:w="6412" w:type="dxa"/>
          </w:tcPr>
          <w:p w14:paraId="0957571B">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lang w:val="en-US" w:eastAsia="zh-CN"/>
              </w:rPr>
            </w:pPr>
            <w:r>
              <w:rPr>
                <w:rFonts w:hint="eastAsia"/>
                <w:b w:val="0"/>
                <w:bCs/>
                <w:color w:val="auto"/>
                <w:sz w:val="24"/>
                <w:szCs w:val="24"/>
                <w:highlight w:val="none"/>
                <w:vertAlign w:val="baseline"/>
                <w:lang w:val="en-US" w:eastAsia="zh-CN"/>
              </w:rPr>
              <w:t>一、施工项目质量保修期按相关建设项目法律法规的规定约定，质保期不少于2年。</w:t>
            </w:r>
          </w:p>
          <w:p w14:paraId="5128E127">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lang w:val="en-US" w:eastAsia="zh-CN"/>
              </w:rPr>
            </w:pPr>
            <w:r>
              <w:rPr>
                <w:rFonts w:hint="eastAsia"/>
                <w:b w:val="0"/>
                <w:bCs/>
                <w:color w:val="auto"/>
                <w:sz w:val="24"/>
                <w:szCs w:val="24"/>
                <w:highlight w:val="none"/>
                <w:vertAlign w:val="baseline"/>
                <w:lang w:val="en-US" w:eastAsia="zh-CN"/>
              </w:rPr>
              <w:t>二、若保修期内项目出现质量问题，供应商在接到采购人通知后48小时内修复完毕；其他质量问题，在接到通知后3天内修复完毕。保修期自验收合格之日起计算。</w:t>
            </w:r>
          </w:p>
          <w:p w14:paraId="31E44D59">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rPr>
            </w:pPr>
            <w:r>
              <w:rPr>
                <w:rFonts w:hint="eastAsia"/>
                <w:b w:val="0"/>
                <w:bCs/>
                <w:color w:val="auto"/>
                <w:sz w:val="24"/>
                <w:szCs w:val="24"/>
                <w:highlight w:val="none"/>
                <w:vertAlign w:val="baseline"/>
                <w:lang w:val="en-US" w:eastAsia="zh-CN"/>
              </w:rPr>
              <w:t>三、如因供应商原因未按照约定完成质保工作，每延误1天，供应商应按工程结算总价的0.1‰支付采购人违约金，且采购人有权委托第三方代为履行，因此产生的违约金及代履行费用可直接在工程结算款中抵扣或另行扣除。</w:t>
            </w:r>
          </w:p>
        </w:tc>
      </w:tr>
      <w:tr w14:paraId="49D8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4FC88825">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34853EE5">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default"/>
                <w:b/>
                <w:color w:val="auto"/>
                <w:sz w:val="24"/>
                <w:szCs w:val="24"/>
                <w:highlight w:val="none"/>
                <w:lang w:val="en-US" w:eastAsia="zh-CN"/>
              </w:rPr>
            </w:pPr>
            <w:r>
              <w:rPr>
                <w:rFonts w:hint="eastAsia"/>
                <w:b/>
                <w:color w:val="auto"/>
                <w:sz w:val="24"/>
                <w:szCs w:val="24"/>
                <w:highlight w:val="none"/>
                <w:lang w:val="en-US" w:eastAsia="zh-CN"/>
              </w:rPr>
              <w:t>售后服务</w:t>
            </w:r>
          </w:p>
        </w:tc>
        <w:tc>
          <w:tcPr>
            <w:tcW w:w="6412" w:type="dxa"/>
          </w:tcPr>
          <w:p w14:paraId="161BAB42">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lang w:val="en-US" w:eastAsia="zh-CN"/>
              </w:rPr>
            </w:pPr>
            <w:r>
              <w:rPr>
                <w:rFonts w:hint="eastAsia"/>
                <w:b w:val="0"/>
                <w:bCs/>
                <w:color w:val="auto"/>
                <w:sz w:val="24"/>
                <w:szCs w:val="24"/>
                <w:highlight w:val="none"/>
                <w:vertAlign w:val="baseline"/>
                <w:lang w:val="en-US" w:eastAsia="zh-CN"/>
              </w:rPr>
              <w:t>一、如售后施工质量不合格，供应商无条件修复后还需供应商以未合格部分工程量结算价的10%向采购人支付违约金，违约金可直接在工程质保金中抵扣或另行扣除。</w:t>
            </w:r>
          </w:p>
          <w:p w14:paraId="1B647833">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lang w:val="en-US" w:eastAsia="zh-CN"/>
              </w:rPr>
            </w:pPr>
            <w:r>
              <w:rPr>
                <w:rFonts w:hint="eastAsia"/>
                <w:b w:val="0"/>
                <w:bCs/>
                <w:color w:val="auto"/>
                <w:sz w:val="24"/>
                <w:szCs w:val="24"/>
                <w:highlight w:val="none"/>
                <w:vertAlign w:val="baseline"/>
                <w:lang w:val="en-US" w:eastAsia="zh-CN"/>
              </w:rPr>
              <w:t>二、供应商接到维修通知没有在承诺时间到达现场，每次扣罚500元，年度累计5次未按承诺时间到达现场或供应商3次以上不能按采购人要求开展工作的，采购人有权解除合同并上报财政监管部门进行处理。</w:t>
            </w:r>
          </w:p>
        </w:tc>
      </w:tr>
      <w:tr w14:paraId="3E58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61D7A573">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2111BE93">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rPr>
            </w:pPr>
            <w:r>
              <w:rPr>
                <w:rFonts w:hint="eastAsia"/>
                <w:b/>
                <w:color w:val="auto"/>
                <w:sz w:val="24"/>
                <w:szCs w:val="24"/>
                <w:highlight w:val="none"/>
              </w:rPr>
              <w:t>付款方式</w:t>
            </w:r>
          </w:p>
        </w:tc>
        <w:tc>
          <w:tcPr>
            <w:tcW w:w="6412" w:type="dxa"/>
          </w:tcPr>
          <w:p w14:paraId="0CD44795">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eastAsia="宋体"/>
                <w:b w:val="0"/>
                <w:bCs/>
                <w:color w:val="auto"/>
                <w:sz w:val="24"/>
                <w:szCs w:val="24"/>
                <w:highlight w:val="none"/>
                <w:vertAlign w:val="baseline"/>
                <w:lang w:eastAsia="zh-CN"/>
              </w:rPr>
            </w:pPr>
            <w:r>
              <w:rPr>
                <w:rFonts w:hint="eastAsia" w:eastAsia="宋体"/>
                <w:b w:val="0"/>
                <w:bCs/>
                <w:color w:val="auto"/>
                <w:sz w:val="24"/>
                <w:szCs w:val="24"/>
                <w:highlight w:val="none"/>
                <w:vertAlign w:val="baseline"/>
                <w:lang w:eastAsia="zh-CN"/>
              </w:rPr>
              <w:t>合同签订后10个工作日内，发包人支付合同总价的30%作为项目预付款，待工程完工验收达到质量要求，验收合格后，支付至合同总价的80%（含已支付的），竣工结算经财政部门审定后，支付至审定结算价的97%（含已支付的），发包人按结算总额的3%预留工程质量保修金，待约定的工程质量保修期（承包人按要求完成保修责任，并经发包人验收合格）满后无息支付至100%</w:t>
            </w:r>
            <w:r>
              <w:rPr>
                <w:rFonts w:hint="eastAsia"/>
                <w:b w:val="0"/>
                <w:bCs/>
                <w:color w:val="auto"/>
                <w:sz w:val="24"/>
                <w:szCs w:val="24"/>
                <w:highlight w:val="none"/>
                <w:vertAlign w:val="baseline"/>
                <w:lang w:eastAsia="zh-CN"/>
              </w:rPr>
              <w:t>。</w:t>
            </w:r>
          </w:p>
        </w:tc>
      </w:tr>
      <w:tr w14:paraId="7127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14:paraId="5D1DB5B2">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eastAsia="宋体"/>
                <w:b/>
                <w:color w:val="auto"/>
                <w:sz w:val="24"/>
                <w:szCs w:val="24"/>
                <w:highlight w:val="none"/>
                <w:vertAlign w:val="baseline"/>
                <w:lang w:eastAsia="zh-CN"/>
              </w:rPr>
            </w:pPr>
            <w:r>
              <w:rPr>
                <w:rFonts w:hint="eastAsia"/>
                <w:b/>
                <w:color w:val="auto"/>
                <w:sz w:val="24"/>
                <w:szCs w:val="24"/>
                <w:highlight w:val="none"/>
                <w:vertAlign w:val="baseline"/>
                <w:lang w:eastAsia="zh-CN"/>
              </w:rPr>
              <w:t>其他说明</w:t>
            </w:r>
          </w:p>
        </w:tc>
        <w:tc>
          <w:tcPr>
            <w:tcW w:w="8201" w:type="dxa"/>
            <w:gridSpan w:val="2"/>
          </w:tcPr>
          <w:p w14:paraId="485959DD">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outlineLvl w:val="1"/>
              <w:rPr>
                <w:rFonts w:hint="eastAsia" w:ascii="宋体" w:eastAsia="宋体"/>
                <w:b w:val="0"/>
                <w:bCs/>
                <w:color w:val="auto"/>
                <w:sz w:val="24"/>
                <w:szCs w:val="24"/>
                <w:highlight w:val="none"/>
                <w:vertAlign w:val="baseline"/>
                <w:lang w:eastAsia="zh-CN"/>
              </w:rPr>
            </w:pPr>
            <w:r>
              <w:rPr>
                <w:rFonts w:hint="eastAsia" w:ascii="宋体" w:hAnsi="Courier New" w:eastAsia="宋体" w:cs="Times New Roman"/>
                <w:b w:val="0"/>
                <w:bCs/>
                <w:color w:val="auto"/>
                <w:kern w:val="2"/>
                <w:sz w:val="24"/>
                <w:szCs w:val="24"/>
                <w:highlight w:val="none"/>
                <w:lang w:val="en-US" w:eastAsia="zh-CN" w:bidi="ar-SA"/>
              </w:rPr>
              <w:t>1</w:t>
            </w:r>
            <w:r>
              <w:rPr>
                <w:rFonts w:hint="eastAsia" w:ascii="宋体" w:eastAsia="宋体"/>
                <w:b w:val="0"/>
                <w:bCs/>
                <w:color w:val="auto"/>
                <w:sz w:val="24"/>
                <w:szCs w:val="24"/>
                <w:highlight w:val="none"/>
                <w:vertAlign w:val="baseline"/>
                <w:lang w:val="en-US" w:eastAsia="zh-CN"/>
              </w:rPr>
              <w:t>、</w:t>
            </w:r>
            <w:r>
              <w:rPr>
                <w:rFonts w:hint="eastAsia" w:ascii="宋体" w:eastAsia="宋体"/>
                <w:b w:val="0"/>
                <w:bCs/>
                <w:color w:val="auto"/>
                <w:sz w:val="24"/>
                <w:szCs w:val="24"/>
                <w:highlight w:val="none"/>
                <w:vertAlign w:val="baseline"/>
                <w:lang w:eastAsia="zh-CN"/>
              </w:rPr>
              <w:t>本项目图纸和工程量清单另册发放。</w:t>
            </w:r>
          </w:p>
          <w:p w14:paraId="04F18D7F">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outlineLvl w:val="1"/>
              <w:rPr>
                <w:rFonts w:hint="default"/>
                <w:color w:val="auto"/>
                <w:highlight w:val="none"/>
                <w:lang w:val="en-US" w:eastAsia="zh-CN"/>
              </w:rPr>
            </w:pPr>
            <w:r>
              <w:rPr>
                <w:rFonts w:hint="eastAsia" w:ascii="宋体" w:eastAsia="宋体"/>
                <w:b w:val="0"/>
                <w:bCs/>
                <w:color w:val="auto"/>
                <w:sz w:val="24"/>
                <w:szCs w:val="24"/>
                <w:highlight w:val="none"/>
                <w:vertAlign w:val="baseline"/>
                <w:lang w:val="en-US" w:eastAsia="zh-CN"/>
              </w:rPr>
              <w:t>2、未尽事宜详见本工程工程量清单、最高限价控制价编制说明以及现行《计价规范》等有关规定执行。</w:t>
            </w:r>
          </w:p>
        </w:tc>
      </w:tr>
    </w:tbl>
    <w:p w14:paraId="19FFA79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A47D5F"/>
    <w:rsid w:val="01F21786"/>
    <w:rsid w:val="16A47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ourier New" w:eastAsia="宋体" w:cs="Times New Roman"/>
      <w:kern w:val="2"/>
      <w:sz w:val="21"/>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0"/>
    <w:pPr>
      <w:adjustRightInd w:val="0"/>
      <w:ind w:left="420" w:right="33"/>
      <w:jc w:val="left"/>
      <w:textAlignment w:val="baseline"/>
    </w:pPr>
    <w:rPr>
      <w:rFonts w:ascii="Times New Roman" w:hAnsi="Times New Roman"/>
      <w:kern w:val="0"/>
      <w:sz w:val="24"/>
    </w:rPr>
  </w:style>
  <w:style w:type="table" w:styleId="4">
    <w:name w:val="Table Grid"/>
    <w:basedOn w:val="3"/>
    <w:qFormat/>
    <w:uiPriority w:val="0"/>
    <w:pPr>
      <w:widowControl w:val="0"/>
      <w:adjustRightInd w:val="0"/>
      <w:spacing w:line="312" w:lineRule="atLeast"/>
      <w:jc w:val="both"/>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862</Words>
  <Characters>903</Characters>
  <Lines>0</Lines>
  <Paragraphs>0</Paragraphs>
  <TotalTime>0</TotalTime>
  <ScaleCrop>false</ScaleCrop>
  <LinksUpToDate>false</LinksUpToDate>
  <CharactersWithSpaces>904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2026-08-19T08:48:00Z</dcterms:created>
  <dc:creator>Administrator</dc:creator>
  <cp:lastModifiedBy>Administrator</cp:lastModifiedBy>
  <dcterms:modified xsi:type="dcterms:W3CDTF">2026-09-07T09:49:52Z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CCD743554F2A4004836FD8E75D4D8542_13</vt:lpwstr>
  </property>
  <property fmtid="{D5CDD505-2E9C-101B-9397-08002B2CF9AE}" pid="4" name="KSOTemplateDocerSaveRecord">
    <vt:lpwstr>eyJoZGlkIjoiYTljMzc1ZDIyMTNjM2IxZTQ4NGM2MTAxZDE4YzZjYzYiLCJ1c2VySWQiOiIxNDU2MjM0MDA4In0=</vt:lpwstr>
  </property>
</Properties>
</file>